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BFA" w:rsidRPr="00B92A68" w:rsidRDefault="00A34BFA" w:rsidP="00AE22BB">
      <w:pPr>
        <w:tabs>
          <w:tab w:val="left" w:pos="360"/>
        </w:tabs>
        <w:rPr>
          <w:b/>
          <w:bCs/>
        </w:rPr>
      </w:pPr>
      <w:r w:rsidRPr="00B92A68">
        <w:rPr>
          <w:b/>
        </w:rPr>
        <w:t xml:space="preserve">B. COLLECTIONS OF INFORMATION EMPLOYING STATISTICAL METHODS </w:t>
      </w:r>
    </w:p>
    <w:p w:rsidR="00A34BFA" w:rsidRPr="00D85123" w:rsidRDefault="00A34BFA" w:rsidP="00AE22BB">
      <w:pPr>
        <w:rPr>
          <w:b/>
          <w:bCs/>
        </w:rPr>
      </w:pPr>
    </w:p>
    <w:p w:rsidR="00A34BFA" w:rsidRDefault="00A34BFA" w:rsidP="00AE22BB">
      <w:pPr>
        <w:numPr>
          <w:ilvl w:val="0"/>
          <w:numId w:val="2"/>
        </w:numPr>
        <w:rPr>
          <w:u w:val="single"/>
        </w:rPr>
      </w:pPr>
      <w:r w:rsidRPr="00D85123">
        <w:rPr>
          <w:u w:val="single"/>
        </w:rPr>
        <w:t>Respondent Universe and Sampling Methods</w:t>
      </w:r>
    </w:p>
    <w:p w:rsidR="00A34BFA" w:rsidRPr="00D85123" w:rsidRDefault="00A34BFA" w:rsidP="00AE22BB">
      <w:pPr>
        <w:rPr>
          <w:u w:val="single"/>
        </w:rPr>
      </w:pPr>
    </w:p>
    <w:p w:rsidR="00A34BFA" w:rsidRPr="00C72B56" w:rsidRDefault="00B95321" w:rsidP="00AE22BB">
      <w:pPr>
        <w:spacing w:line="480" w:lineRule="auto"/>
        <w:ind w:firstLine="720"/>
      </w:pPr>
      <w:r>
        <w:t xml:space="preserve">In </w:t>
      </w:r>
      <w:r w:rsidR="009D390A">
        <w:t xml:space="preserve">Study </w:t>
      </w:r>
      <w:r>
        <w:t xml:space="preserve">1, invitations will be sent to a random selection of 2,770 participants from a prescreened sample of 40,823 general population participants for a total of </w:t>
      </w:r>
      <w:r w:rsidR="00A34BFA">
        <w:t>1,800</w:t>
      </w:r>
      <w:r>
        <w:t xml:space="preserve"> (</w:t>
      </w:r>
      <w:r w:rsidR="00A34BFA">
        <w:t xml:space="preserve">200 </w:t>
      </w:r>
      <w:r w:rsidR="00A34BFA" w:rsidRPr="001271AE">
        <w:t>for the pretest</w:t>
      </w:r>
      <w:r w:rsidR="00A34BFA">
        <w:t>;</w:t>
      </w:r>
      <w:r w:rsidR="00A34BFA" w:rsidRPr="001271AE">
        <w:t xml:space="preserve"> </w:t>
      </w:r>
      <w:r w:rsidR="00A34BFA">
        <w:t xml:space="preserve">1,600 </w:t>
      </w:r>
      <w:r w:rsidR="00A34BFA" w:rsidRPr="001271AE">
        <w:t>for the main st</w:t>
      </w:r>
      <w:r w:rsidR="00A34BFA">
        <w:t>udy</w:t>
      </w:r>
      <w:r w:rsidR="00A34BFA" w:rsidRPr="001271AE">
        <w:t>)</w:t>
      </w:r>
      <w:r w:rsidR="00A34BFA">
        <w:t xml:space="preserve"> </w:t>
      </w:r>
      <w:r>
        <w:t xml:space="preserve">completed surveys. In </w:t>
      </w:r>
      <w:r w:rsidR="009D390A">
        <w:t xml:space="preserve">Study </w:t>
      </w:r>
      <w:r>
        <w:t xml:space="preserve">2, invitations will be sent to a random selection of 2,677 participants who have experienced seasonal allergies within the past 12 months out of a prescreened sample </w:t>
      </w:r>
      <w:r w:rsidRPr="00C72B56">
        <w:t>of 5,984 individuals with seasonal allergies</w:t>
      </w:r>
      <w:r>
        <w:t xml:space="preserve"> for a total of </w:t>
      </w:r>
      <w:r w:rsidR="00A34BFA">
        <w:t>2,202</w:t>
      </w:r>
      <w:r>
        <w:t xml:space="preserve"> (</w:t>
      </w:r>
      <w:r w:rsidR="00CD0F5D">
        <w:t>462</w:t>
      </w:r>
      <w:r w:rsidR="00A34BFA">
        <w:t xml:space="preserve"> for the pretest; 1,</w:t>
      </w:r>
      <w:r w:rsidR="00CD0F5D">
        <w:t>740</w:t>
      </w:r>
      <w:r w:rsidR="00A34BFA">
        <w:t xml:space="preserve"> for the main study) </w:t>
      </w:r>
      <w:r>
        <w:t xml:space="preserve">completed surveys. </w:t>
      </w:r>
      <w:r w:rsidR="00A34BFA" w:rsidRPr="00C72B56">
        <w:t xml:space="preserve">Study invitations will be sent to individuals within the existing </w:t>
      </w:r>
      <w:proofErr w:type="spellStart"/>
      <w:r w:rsidR="00A34BFA" w:rsidRPr="00C72B56">
        <w:t>GfK</w:t>
      </w:r>
      <w:proofErr w:type="spellEnd"/>
      <w:r w:rsidR="00A34BFA" w:rsidRPr="00C72B56">
        <w:t xml:space="preserve"> panel (see Appendix C for the study invitation and reminder emails). </w:t>
      </w:r>
    </w:p>
    <w:p w:rsidR="00A34BFA" w:rsidRPr="00C72B56" w:rsidRDefault="00A34BFA" w:rsidP="00AE22BB">
      <w:pPr>
        <w:spacing w:line="480" w:lineRule="auto"/>
      </w:pPr>
      <w:proofErr w:type="spellStart"/>
      <w:r w:rsidRPr="00C72B56">
        <w:t>GfK</w:t>
      </w:r>
      <w:proofErr w:type="spellEnd"/>
      <w:r w:rsidRPr="00C72B56">
        <w:t xml:space="preserve"> will take the following steps:</w:t>
      </w:r>
    </w:p>
    <w:p w:rsidR="00A34BFA" w:rsidRPr="002F2824" w:rsidRDefault="00A34BFA" w:rsidP="00AE22BB">
      <w:pPr>
        <w:numPr>
          <w:ilvl w:val="0"/>
          <w:numId w:val="3"/>
        </w:numPr>
        <w:spacing w:line="480" w:lineRule="auto"/>
      </w:pPr>
      <w:r w:rsidRPr="00C72B56">
        <w:t xml:space="preserve">Identify individuals </w:t>
      </w:r>
      <w:r w:rsidR="00401914" w:rsidRPr="00C72B56">
        <w:t>at the</w:t>
      </w:r>
      <w:r w:rsidR="00401914" w:rsidRPr="002F2824">
        <w:t xml:space="preserve"> rate of no more than one per household</w:t>
      </w:r>
      <w:r w:rsidR="00401914">
        <w:t xml:space="preserve"> who are appropriate for </w:t>
      </w:r>
      <w:r w:rsidR="00E86076">
        <w:t xml:space="preserve">each </w:t>
      </w:r>
      <w:r w:rsidR="00401914">
        <w:t xml:space="preserve">study, including those </w:t>
      </w:r>
      <w:r w:rsidRPr="00C72B56">
        <w:t xml:space="preserve">with </w:t>
      </w:r>
      <w:r w:rsidRPr="003C7F96">
        <w:t>seasonal allergies</w:t>
      </w:r>
      <w:r w:rsidRPr="00C72B56">
        <w:t xml:space="preserve"> </w:t>
      </w:r>
      <w:r>
        <w:t xml:space="preserve">for the </w:t>
      </w:r>
      <w:r w:rsidR="009E4840">
        <w:t>Study</w:t>
      </w:r>
      <w:r>
        <w:t xml:space="preserve"> 2;</w:t>
      </w:r>
      <w:r w:rsidRPr="002F2824">
        <w:t xml:space="preserve"> </w:t>
      </w:r>
    </w:p>
    <w:p w:rsidR="00A34BFA" w:rsidRPr="002F2824" w:rsidRDefault="00A34BFA" w:rsidP="00AE22BB">
      <w:pPr>
        <w:numPr>
          <w:ilvl w:val="0"/>
          <w:numId w:val="3"/>
        </w:numPr>
        <w:spacing w:line="480" w:lineRule="auto"/>
      </w:pPr>
      <w:r w:rsidRPr="002F2824">
        <w:t xml:space="preserve">Randomly assign the panel into replicates and then release as many replicates as </w:t>
      </w:r>
      <w:r>
        <w:t xml:space="preserve">they </w:t>
      </w:r>
      <w:r w:rsidRPr="002F2824">
        <w:t xml:space="preserve">think </w:t>
      </w:r>
      <w:r>
        <w:t xml:space="preserve">will be necessary </w:t>
      </w:r>
      <w:r w:rsidRPr="002F2824">
        <w:t>under the most optimistic scenario</w:t>
      </w:r>
      <w:r>
        <w:t>;</w:t>
      </w:r>
      <w:r w:rsidRPr="002F2824">
        <w:t xml:space="preserve"> </w:t>
      </w:r>
    </w:p>
    <w:p w:rsidR="00A34BFA" w:rsidRDefault="00A34BFA" w:rsidP="00AE22BB">
      <w:pPr>
        <w:numPr>
          <w:ilvl w:val="0"/>
          <w:numId w:val="3"/>
        </w:numPr>
        <w:spacing w:line="480" w:lineRule="auto"/>
      </w:pPr>
      <w:r w:rsidRPr="002F2824">
        <w:t>After a short time in the field (somewhere between a few days and a week), re-evaluate the cooperation rate and then release additional replicates as needed to achieve the required number of completed interviews</w:t>
      </w:r>
      <w:r>
        <w:t>.</w:t>
      </w:r>
      <w:r w:rsidRPr="002F2824">
        <w:t xml:space="preserve"> </w:t>
      </w:r>
    </w:p>
    <w:p w:rsidR="00A34BFA" w:rsidRDefault="00A34BFA" w:rsidP="00AE22BB">
      <w:pPr>
        <w:spacing w:line="480" w:lineRule="auto"/>
        <w:jc w:val="center"/>
        <w:rPr>
          <w:b/>
        </w:rPr>
      </w:pPr>
      <w:r w:rsidRPr="007A7DC7">
        <w:rPr>
          <w:b/>
        </w:rPr>
        <w:t>Weig</w:t>
      </w:r>
      <w:r>
        <w:rPr>
          <w:b/>
        </w:rPr>
        <w:t>hting procedures</w:t>
      </w:r>
    </w:p>
    <w:p w:rsidR="00A34BFA" w:rsidRDefault="00A34BFA" w:rsidP="00A61556">
      <w:pPr>
        <w:spacing w:line="480" w:lineRule="auto"/>
        <w:ind w:firstLine="720"/>
      </w:pPr>
      <w:r>
        <w:t xml:space="preserve">Recruitment will begin with an equal probability sample. </w:t>
      </w:r>
      <w:r w:rsidRPr="00FE31EF">
        <w:t xml:space="preserve">The data will be weighted to </w:t>
      </w:r>
      <w:r>
        <w:t xml:space="preserve">adjust for known unequal selection probabilities, for unequal response rates, and for any remaining deviations between the sample and population distributions.  In the final step, we will use </w:t>
      </w:r>
      <w:proofErr w:type="spellStart"/>
      <w:r>
        <w:t>poststratification</w:t>
      </w:r>
      <w:proofErr w:type="spellEnd"/>
      <w:r>
        <w:t xml:space="preserve"> to calibrate the sample distribution to known population distribution to reduce </w:t>
      </w:r>
      <w:r>
        <w:lastRenderedPageBreak/>
        <w:t xml:space="preserve">bias due to frame </w:t>
      </w:r>
      <w:proofErr w:type="spellStart"/>
      <w:r>
        <w:t>undercoverage</w:t>
      </w:r>
      <w:proofErr w:type="spellEnd"/>
      <w:r w:rsidRPr="00C073DD">
        <w:t>.</w:t>
      </w:r>
      <w:r w:rsidRPr="00286C86">
        <w:t xml:space="preserve"> </w:t>
      </w:r>
      <w:r>
        <w:t xml:space="preserve"> </w:t>
      </w:r>
      <w:r w:rsidRPr="00286C86">
        <w:t xml:space="preserve">We believe that </w:t>
      </w:r>
      <w:proofErr w:type="spellStart"/>
      <w:r w:rsidRPr="00286C86">
        <w:t>poststratification</w:t>
      </w:r>
      <w:proofErr w:type="spellEnd"/>
      <w:r w:rsidRPr="00286C86">
        <w:t xml:space="preserve"> should reduce </w:t>
      </w:r>
      <w:proofErr w:type="spellStart"/>
      <w:r>
        <w:t>undercoverage</w:t>
      </w:r>
      <w:proofErr w:type="spellEnd"/>
      <w:r w:rsidRPr="00286C86">
        <w:t xml:space="preserve"> b</w:t>
      </w:r>
      <w:r w:rsidRPr="00532A94">
        <w:t xml:space="preserve">ias to some extent for the same reasons that weighting adjustment reduces nonresponse bias. </w:t>
      </w:r>
      <w:r>
        <w:t xml:space="preserve"> </w:t>
      </w:r>
      <w:r w:rsidRPr="00532A94">
        <w:t xml:space="preserve">Population counts for use in </w:t>
      </w:r>
      <w:proofErr w:type="spellStart"/>
      <w:r w:rsidRPr="00532A94">
        <w:t>poststratification</w:t>
      </w:r>
      <w:proofErr w:type="spellEnd"/>
      <w:r w:rsidRPr="00532A94">
        <w:t xml:space="preserve"> will be </w:t>
      </w:r>
      <w:r>
        <w:t>based on demographic distributions from the most recent data from the Current Population Survey (CPS) and benchmark distributions for Internet access among the U.S. population of adults obtained from the most recent special CPS supplemental survey measuring Internet access (October 2010).</w:t>
      </w:r>
      <w:r w:rsidRPr="00532A94">
        <w:t xml:space="preserve"> Available variables on which to weight include </w:t>
      </w:r>
      <w:r>
        <w:t>g</w:t>
      </w:r>
      <w:r w:rsidRPr="003C7F96">
        <w:t>ender</w:t>
      </w:r>
      <w:r>
        <w:t xml:space="preserve">, age, race, </w:t>
      </w:r>
      <w:r w:rsidRPr="003C7F96">
        <w:t>ethnicity</w:t>
      </w:r>
      <w:r>
        <w:t>, ed</w:t>
      </w:r>
      <w:r w:rsidRPr="003C7F96">
        <w:t>ucation</w:t>
      </w:r>
      <w:r>
        <w:t>, census r</w:t>
      </w:r>
      <w:r w:rsidRPr="003C7F96">
        <w:t>egion (Northeast, Midwest, South, West)</w:t>
      </w:r>
      <w:r>
        <w:t>, h</w:t>
      </w:r>
      <w:r w:rsidRPr="003C7F96">
        <w:t>ousehold income</w:t>
      </w:r>
      <w:r>
        <w:t>,</w:t>
      </w:r>
      <w:r w:rsidRPr="003C7F96">
        <w:t xml:space="preserve"> </w:t>
      </w:r>
      <w:r>
        <w:t>h</w:t>
      </w:r>
      <w:r w:rsidRPr="003C7F96">
        <w:t>ome ownership status</w:t>
      </w:r>
      <w:r>
        <w:t>, m</w:t>
      </w:r>
      <w:r w:rsidRPr="003C7F96">
        <w:t xml:space="preserve">etropolitan </w:t>
      </w:r>
      <w:r>
        <w:t>a</w:t>
      </w:r>
      <w:r w:rsidRPr="003C7F96">
        <w:t>rea (Yes, No)</w:t>
      </w:r>
      <w:r>
        <w:t xml:space="preserve">, and </w:t>
      </w:r>
      <w:r w:rsidRPr="003C7F96">
        <w:t xml:space="preserve">Internet </w:t>
      </w:r>
      <w:r>
        <w:t>a</w:t>
      </w:r>
      <w:r w:rsidRPr="003C7F96">
        <w:t>ccess (Yes, No)</w:t>
      </w:r>
      <w:r>
        <w:t>.</w:t>
      </w:r>
      <w:r w:rsidRPr="00532A94">
        <w:t xml:space="preserve"> </w:t>
      </w:r>
    </w:p>
    <w:p w:rsidR="00A34BFA" w:rsidRPr="00532A94" w:rsidRDefault="00A34BFA" w:rsidP="00A61556">
      <w:pPr>
        <w:spacing w:line="480" w:lineRule="auto"/>
        <w:ind w:firstLine="720"/>
      </w:pPr>
      <w:r w:rsidRPr="00532A94">
        <w:t xml:space="preserve"> </w:t>
      </w:r>
    </w:p>
    <w:p w:rsidR="00A34BFA" w:rsidRDefault="00A34BFA" w:rsidP="00A61556">
      <w:pPr>
        <w:spacing w:line="480" w:lineRule="auto"/>
      </w:pPr>
    </w:p>
    <w:p w:rsidR="00A34BFA" w:rsidRDefault="00A34BFA" w:rsidP="00AE22BB">
      <w:pPr>
        <w:numPr>
          <w:ilvl w:val="0"/>
          <w:numId w:val="2"/>
        </w:numPr>
        <w:spacing w:line="480" w:lineRule="auto"/>
      </w:pPr>
      <w:r w:rsidRPr="00D85123">
        <w:rPr>
          <w:u w:val="single"/>
        </w:rPr>
        <w:t>Procedures for the Collection of Information</w:t>
      </w:r>
    </w:p>
    <w:p w:rsidR="00A34BFA" w:rsidRPr="00E23BC0" w:rsidRDefault="00A34BFA" w:rsidP="00AE22BB">
      <w:pPr>
        <w:spacing w:line="480" w:lineRule="auto"/>
        <w:jc w:val="center"/>
        <w:rPr>
          <w:b/>
        </w:rPr>
      </w:pPr>
      <w:r w:rsidRPr="00E23BC0">
        <w:rPr>
          <w:b/>
        </w:rPr>
        <w:t>Design Overview</w:t>
      </w:r>
    </w:p>
    <w:p w:rsidR="00A34BFA" w:rsidRPr="00386DAB" w:rsidRDefault="00A34BFA" w:rsidP="00AE22BB">
      <w:pPr>
        <w:spacing w:line="480" w:lineRule="auto"/>
        <w:ind w:firstLine="720"/>
      </w:pPr>
      <w:proofErr w:type="gramStart"/>
      <w:r>
        <w:rPr>
          <w:b/>
        </w:rPr>
        <w:t>Study 1.</w:t>
      </w:r>
      <w:proofErr w:type="gramEnd"/>
      <w:r>
        <w:rPr>
          <w:b/>
        </w:rPr>
        <w:t xml:space="preserve"> </w:t>
      </w:r>
      <w:r>
        <w:t xml:space="preserve">In this </w:t>
      </w:r>
      <w:r w:rsidR="009E4840">
        <w:t>study</w:t>
      </w:r>
      <w:r>
        <w:t xml:space="preserve">, individuals in </w:t>
      </w:r>
      <w:r w:rsidRPr="00386DAB">
        <w:t xml:space="preserve">a general population sample of </w:t>
      </w:r>
      <w:r w:rsidRPr="00386DAB">
        <w:rPr>
          <w:bCs/>
        </w:rPr>
        <w:t>1,600</w:t>
      </w:r>
      <w:r w:rsidRPr="00386DAB">
        <w:rPr>
          <w:b/>
          <w:bCs/>
        </w:rPr>
        <w:t xml:space="preserve"> </w:t>
      </w:r>
      <w:r w:rsidRPr="00386DAB">
        <w:t xml:space="preserve">adults </w:t>
      </w:r>
      <w:r>
        <w:t xml:space="preserve">of varying education levels will answer an internet survey designed </w:t>
      </w:r>
      <w:r w:rsidRPr="00386DAB">
        <w:t xml:space="preserve">to explore whether consumers recognize composite scores in DTC ads and their understanding of composite scores. </w:t>
      </w:r>
      <w:r>
        <w:t>The survey will be conducted with a</w:t>
      </w:r>
      <w:r w:rsidRPr="00386DAB">
        <w:t xml:space="preserve"> probability-based consumer panel of U.S. adults. </w:t>
      </w:r>
    </w:p>
    <w:p w:rsidR="00A34BFA" w:rsidRPr="00386DAB" w:rsidRDefault="00A34BFA" w:rsidP="00AE22BB">
      <w:pPr>
        <w:spacing w:line="480" w:lineRule="auto"/>
        <w:ind w:firstLine="720"/>
      </w:pPr>
      <w:r>
        <w:t xml:space="preserve">As part of the survey, </w:t>
      </w:r>
      <w:r w:rsidRPr="00386DAB">
        <w:t xml:space="preserve">participants </w:t>
      </w:r>
      <w:r>
        <w:t xml:space="preserve">will view </w:t>
      </w:r>
      <w:r w:rsidRPr="00386DAB">
        <w:t xml:space="preserve">a print ad </w:t>
      </w:r>
      <w:r>
        <w:t xml:space="preserve">that contains claims based on </w:t>
      </w:r>
      <w:r w:rsidRPr="00386DAB">
        <w:t xml:space="preserve">composite scores and </w:t>
      </w:r>
      <w:r>
        <w:t xml:space="preserve">respond to </w:t>
      </w:r>
      <w:r w:rsidRPr="00386DAB">
        <w:t>questions about the ad to assess whether they recognized that composite scores were used</w:t>
      </w:r>
      <w:r>
        <w:t>.  Other outcomes will include</w:t>
      </w:r>
      <w:r w:rsidRPr="00386DAB">
        <w:t xml:space="preserve"> ad comprehension, perceived efficacy, and perceived risk as they relate to their understanding of composite scores. We will also examine whether and in what ways participants’ perceived efficacy and perceived risk change after they are </w:t>
      </w:r>
      <w:r w:rsidRPr="00386DAB">
        <w:lastRenderedPageBreak/>
        <w:t>given a definition and examples of composite scores. Questions will</w:t>
      </w:r>
      <w:r>
        <w:t xml:space="preserve"> also</w:t>
      </w:r>
      <w:r w:rsidRPr="00386DAB">
        <w:t xml:space="preserve"> explore consumers’ understanding of how the effectiveness of drugs is measured in general.</w:t>
      </w:r>
    </w:p>
    <w:p w:rsidR="00A34BFA" w:rsidRDefault="00A34BFA" w:rsidP="00AE22BB">
      <w:pPr>
        <w:spacing w:line="480" w:lineRule="auto"/>
        <w:ind w:firstLine="720"/>
      </w:pPr>
      <w:r w:rsidRPr="0037220F">
        <w:t>This</w:t>
      </w:r>
      <w:r>
        <w:t xml:space="preserve"> exploratory survey</w:t>
      </w:r>
      <w:r w:rsidRPr="0037220F">
        <w:t xml:space="preserve"> will not be </w:t>
      </w:r>
      <w:r>
        <w:t>used to test</w:t>
      </w:r>
      <w:r w:rsidRPr="0037220F">
        <w:t xml:space="preserve"> specific hypotheses</w:t>
      </w:r>
      <w:r w:rsidR="00A61556">
        <w:t xml:space="preserve"> about the outcome measures</w:t>
      </w:r>
      <w:r w:rsidRPr="0037220F">
        <w:t xml:space="preserve">. However, </w:t>
      </w:r>
      <w:r>
        <w:t>we will explore the differences in responses to the ad before and after information about composite scores is provided. W</w:t>
      </w:r>
      <w:r w:rsidRPr="0037220F">
        <w:t xml:space="preserve">e will </w:t>
      </w:r>
      <w:r>
        <w:t xml:space="preserve">also </w:t>
      </w:r>
      <w:r w:rsidRPr="0037220F">
        <w:t xml:space="preserve">examine differences in </w:t>
      </w:r>
      <w:r>
        <w:t xml:space="preserve">the </w:t>
      </w:r>
      <w:r w:rsidRPr="0037220F">
        <w:t xml:space="preserve">comprehension of </w:t>
      </w:r>
      <w:r>
        <w:t>the composite score concept and in the features of the ad</w:t>
      </w:r>
      <w:r w:rsidRPr="0037220F">
        <w:t xml:space="preserve"> by education level and age because literature suggests that less-educated and older consumers may not understand this type of information as well.</w:t>
      </w:r>
      <w:r>
        <w:rPr>
          <w:rStyle w:val="FootnoteReference"/>
        </w:rPr>
        <w:footnoteReference w:id="1"/>
      </w:r>
      <w:r w:rsidRPr="0037220F">
        <w:t xml:space="preserve">   </w:t>
      </w:r>
    </w:p>
    <w:p w:rsidR="00A34BFA" w:rsidRDefault="00A34BFA" w:rsidP="00AE22BB">
      <w:pPr>
        <w:spacing w:line="480" w:lineRule="auto"/>
        <w:ind w:firstLine="720"/>
      </w:pPr>
      <w:r w:rsidRPr="002A3E3B">
        <w:rPr>
          <w:b/>
        </w:rPr>
        <w:t>Study 2.</w:t>
      </w:r>
      <w:r>
        <w:t xml:space="preserve"> Unlike Study 1, Study 2 will be a randomized, controlled study. </w:t>
      </w:r>
      <w:r w:rsidRPr="0075081D">
        <w:t xml:space="preserve">Study 2 </w:t>
      </w:r>
      <w:r>
        <w:t>will examine</w:t>
      </w:r>
      <w:r w:rsidRPr="0075081D">
        <w:t xml:space="preserve"> </w:t>
      </w:r>
      <w:r>
        <w:t xml:space="preserve">1) </w:t>
      </w:r>
      <w:r w:rsidRPr="0075081D">
        <w:t xml:space="preserve">different ways </w:t>
      </w:r>
      <w:r>
        <w:t>to present the</w:t>
      </w:r>
      <w:r w:rsidRPr="0075081D">
        <w:t xml:space="preserve"> information that arise</w:t>
      </w:r>
      <w:r>
        <w:t>s</w:t>
      </w:r>
      <w:r w:rsidRPr="0075081D">
        <w:t xml:space="preserve"> from a composite </w:t>
      </w:r>
      <w:r w:rsidR="00FC729D">
        <w:t>score</w:t>
      </w:r>
      <w:r w:rsidR="00FC729D" w:rsidRPr="0075081D">
        <w:t xml:space="preserve"> </w:t>
      </w:r>
      <w:r w:rsidRPr="0075081D">
        <w:t>and</w:t>
      </w:r>
      <w:r>
        <w:t xml:space="preserve"> 2) different ways to explain</w:t>
      </w:r>
      <w:r w:rsidRPr="0075081D">
        <w:t xml:space="preserve"> the concept of a composite score</w:t>
      </w:r>
      <w:r>
        <w:t xml:space="preserve"> (an educational intervention)</w:t>
      </w:r>
      <w:r w:rsidRPr="0075081D">
        <w:t>.</w:t>
      </w:r>
      <w:r w:rsidRPr="00864EEB">
        <w:rPr>
          <w:rFonts w:cs="Arial"/>
        </w:rPr>
        <w:t xml:space="preserve"> </w:t>
      </w:r>
      <w:r>
        <w:t xml:space="preserve">Outcome measures will include </w:t>
      </w:r>
      <w:r w:rsidRPr="0075081D">
        <w:t>consumers’ awareness and comprehension of the composite score concept, perceived drug efficacy, and risk recall</w:t>
      </w:r>
      <w:r>
        <w:t>.  Participants will be randomly assigned to experimental arms in a 3 x 2 design as shown in Table 1.</w:t>
      </w:r>
    </w:p>
    <w:p w:rsidR="00A34BFA" w:rsidRDefault="00A34BFA" w:rsidP="00AE22BB">
      <w:pPr>
        <w:spacing w:line="480" w:lineRule="auto"/>
      </w:pPr>
      <w:r>
        <w:t>Table 1. Study design for study 2.</w:t>
      </w:r>
    </w:p>
    <w:tbl>
      <w:tblPr>
        <w:tblW w:w="9148" w:type="dxa"/>
        <w:tblBorders>
          <w:top w:val="single" w:sz="6" w:space="0" w:color="auto"/>
          <w:bottom w:val="single" w:sz="6" w:space="0" w:color="auto"/>
          <w:insideH w:val="single" w:sz="6" w:space="0" w:color="auto"/>
          <w:insideV w:val="single" w:sz="6" w:space="0" w:color="auto"/>
        </w:tblBorders>
        <w:tblLayout w:type="fixed"/>
        <w:tblCellMar>
          <w:left w:w="58" w:type="dxa"/>
          <w:right w:w="58" w:type="dxa"/>
        </w:tblCellMar>
        <w:tblLook w:val="01E0" w:firstRow="1" w:lastRow="1" w:firstColumn="1" w:lastColumn="1" w:noHBand="0" w:noVBand="0"/>
      </w:tblPr>
      <w:tblGrid>
        <w:gridCol w:w="1498"/>
        <w:gridCol w:w="1440"/>
        <w:gridCol w:w="1980"/>
        <w:gridCol w:w="1980"/>
        <w:gridCol w:w="2250"/>
      </w:tblGrid>
      <w:tr w:rsidR="00A34BFA" w:rsidRPr="008516A1" w:rsidTr="008A1B98">
        <w:trPr>
          <w:cantSplit/>
        </w:trPr>
        <w:tc>
          <w:tcPr>
            <w:tcW w:w="1498" w:type="dxa"/>
            <w:tcBorders>
              <w:top w:val="single" w:sz="12" w:space="0" w:color="auto"/>
            </w:tcBorders>
            <w:shd w:val="clear" w:color="auto" w:fill="0A357E"/>
          </w:tcPr>
          <w:p w:rsidR="00A34BFA" w:rsidRPr="008516A1" w:rsidRDefault="00A34BFA" w:rsidP="008A1B98">
            <w:pPr>
              <w:spacing w:before="40" w:after="40" w:line="260" w:lineRule="exact"/>
              <w:jc w:val="center"/>
              <w:rPr>
                <w:b/>
                <w:bCs/>
                <w:color w:val="FFFFFF"/>
              </w:rPr>
            </w:pPr>
          </w:p>
        </w:tc>
        <w:tc>
          <w:tcPr>
            <w:tcW w:w="5400" w:type="dxa"/>
            <w:gridSpan w:val="3"/>
            <w:tcBorders>
              <w:top w:val="single" w:sz="12" w:space="0" w:color="auto"/>
              <w:right w:val="single" w:sz="6" w:space="0" w:color="FFFFFF"/>
            </w:tcBorders>
            <w:shd w:val="clear" w:color="auto" w:fill="0A357E"/>
            <w:vAlign w:val="bottom"/>
          </w:tcPr>
          <w:p w:rsidR="00A34BFA" w:rsidRPr="008516A1" w:rsidRDefault="00A34BFA" w:rsidP="008A1B98">
            <w:pPr>
              <w:spacing w:before="40" w:after="40" w:line="260" w:lineRule="exact"/>
              <w:jc w:val="center"/>
              <w:rPr>
                <w:b/>
                <w:bCs/>
                <w:color w:val="FFFFFF"/>
              </w:rPr>
            </w:pPr>
            <w:r w:rsidRPr="008516A1">
              <w:rPr>
                <w:b/>
                <w:color w:val="FFFFFF"/>
              </w:rPr>
              <w:t>Information</w:t>
            </w:r>
            <w:r>
              <w:rPr>
                <w:b/>
                <w:color w:val="FFFFFF"/>
              </w:rPr>
              <w:t xml:space="preserve"> Presentation</w:t>
            </w:r>
          </w:p>
        </w:tc>
        <w:tc>
          <w:tcPr>
            <w:tcW w:w="2250" w:type="dxa"/>
            <w:tcBorders>
              <w:top w:val="single" w:sz="12" w:space="0" w:color="auto"/>
              <w:left w:val="single" w:sz="6" w:space="0" w:color="FFFFFF"/>
              <w:right w:val="single" w:sz="6" w:space="0" w:color="auto"/>
            </w:tcBorders>
            <w:shd w:val="clear" w:color="auto" w:fill="0A357E"/>
          </w:tcPr>
          <w:p w:rsidR="00A34BFA" w:rsidRPr="008516A1" w:rsidRDefault="00A34BFA" w:rsidP="008A1B98">
            <w:pPr>
              <w:spacing w:before="40" w:after="40" w:line="260" w:lineRule="exact"/>
              <w:rPr>
                <w:b/>
                <w:bCs/>
              </w:rPr>
            </w:pPr>
          </w:p>
        </w:tc>
      </w:tr>
      <w:tr w:rsidR="00A34BFA" w:rsidRPr="008516A1" w:rsidTr="008A1B98">
        <w:trPr>
          <w:cantSplit/>
          <w:trHeight w:val="933"/>
        </w:trPr>
        <w:tc>
          <w:tcPr>
            <w:tcW w:w="1498" w:type="dxa"/>
            <w:tcBorders>
              <w:top w:val="single" w:sz="12" w:space="0" w:color="auto"/>
            </w:tcBorders>
            <w:shd w:val="clear" w:color="auto" w:fill="0A357E"/>
          </w:tcPr>
          <w:p w:rsidR="00A34BFA" w:rsidRPr="008516A1" w:rsidRDefault="00A34BFA" w:rsidP="008A1B98">
            <w:pPr>
              <w:jc w:val="center"/>
              <w:rPr>
                <w:b/>
              </w:rPr>
            </w:pPr>
            <w:r>
              <w:rPr>
                <w:b/>
              </w:rPr>
              <w:t xml:space="preserve">                            </w:t>
            </w:r>
            <w:r w:rsidRPr="008516A1">
              <w:rPr>
                <w:b/>
              </w:rPr>
              <w:t>Educational Intervention</w:t>
            </w:r>
          </w:p>
        </w:tc>
        <w:tc>
          <w:tcPr>
            <w:tcW w:w="1440" w:type="dxa"/>
            <w:tcBorders>
              <w:top w:val="single" w:sz="12" w:space="0" w:color="auto"/>
            </w:tcBorders>
            <w:shd w:val="clear" w:color="auto" w:fill="0A357E"/>
            <w:vAlign w:val="bottom"/>
          </w:tcPr>
          <w:p w:rsidR="00A34BFA" w:rsidRPr="008516A1" w:rsidRDefault="00A34BFA" w:rsidP="008A1B98">
            <w:pPr>
              <w:spacing w:before="40" w:after="40" w:line="260" w:lineRule="exact"/>
              <w:jc w:val="center"/>
              <w:rPr>
                <w:b/>
                <w:color w:val="FFFFFF"/>
              </w:rPr>
            </w:pPr>
            <w:r w:rsidRPr="008516A1">
              <w:rPr>
                <w:b/>
                <w:color w:val="FFFFFF"/>
              </w:rPr>
              <w:t>General Indication</w:t>
            </w:r>
          </w:p>
        </w:tc>
        <w:tc>
          <w:tcPr>
            <w:tcW w:w="1980" w:type="dxa"/>
            <w:tcBorders>
              <w:top w:val="single" w:sz="12" w:space="0" w:color="auto"/>
              <w:right w:val="single" w:sz="12" w:space="0" w:color="auto"/>
            </w:tcBorders>
            <w:shd w:val="clear" w:color="auto" w:fill="0A357E"/>
          </w:tcPr>
          <w:p w:rsidR="00A34BFA" w:rsidRDefault="00A34BFA" w:rsidP="008A1B98">
            <w:pPr>
              <w:spacing w:before="40" w:after="40" w:line="260" w:lineRule="exact"/>
              <w:jc w:val="center"/>
              <w:rPr>
                <w:b/>
                <w:bCs/>
                <w:color w:val="FFFFFF"/>
              </w:rPr>
            </w:pPr>
          </w:p>
          <w:p w:rsidR="00A34BFA" w:rsidRDefault="00A34BFA" w:rsidP="008A1B98">
            <w:pPr>
              <w:spacing w:before="40" w:after="40" w:line="260" w:lineRule="exact"/>
              <w:jc w:val="center"/>
              <w:rPr>
                <w:b/>
                <w:bCs/>
                <w:color w:val="FFFFFF"/>
              </w:rPr>
            </w:pPr>
          </w:p>
          <w:p w:rsidR="00A34BFA" w:rsidRDefault="00A34BFA" w:rsidP="008A1B98">
            <w:pPr>
              <w:spacing w:before="40" w:after="40" w:line="260" w:lineRule="exact"/>
              <w:jc w:val="center"/>
              <w:rPr>
                <w:b/>
                <w:bCs/>
                <w:color w:val="FFFFFF"/>
              </w:rPr>
            </w:pPr>
          </w:p>
          <w:p w:rsidR="00A34BFA" w:rsidRPr="008516A1" w:rsidRDefault="00A34BFA" w:rsidP="008A1B98">
            <w:pPr>
              <w:spacing w:before="40" w:after="40" w:line="260" w:lineRule="exact"/>
              <w:jc w:val="center"/>
              <w:rPr>
                <w:b/>
                <w:bCs/>
                <w:color w:val="FFFFFF"/>
              </w:rPr>
            </w:pPr>
            <w:r>
              <w:rPr>
                <w:b/>
                <w:bCs/>
                <w:color w:val="FFFFFF"/>
              </w:rPr>
              <w:t xml:space="preserve">List of </w:t>
            </w:r>
            <w:r w:rsidRPr="008516A1">
              <w:rPr>
                <w:b/>
                <w:bCs/>
                <w:color w:val="FFFFFF"/>
              </w:rPr>
              <w:t>Symptom</w:t>
            </w:r>
            <w:r>
              <w:rPr>
                <w:b/>
                <w:bCs/>
                <w:color w:val="FFFFFF"/>
              </w:rPr>
              <w:t>s</w:t>
            </w:r>
          </w:p>
        </w:tc>
        <w:tc>
          <w:tcPr>
            <w:tcW w:w="1980" w:type="dxa"/>
            <w:tcBorders>
              <w:top w:val="single" w:sz="12" w:space="0" w:color="auto"/>
              <w:left w:val="single" w:sz="12" w:space="0" w:color="auto"/>
              <w:right w:val="single" w:sz="6" w:space="0" w:color="FFFFFF"/>
            </w:tcBorders>
            <w:shd w:val="clear" w:color="auto" w:fill="0A357E"/>
            <w:vAlign w:val="bottom"/>
          </w:tcPr>
          <w:p w:rsidR="00A34BFA" w:rsidRPr="008516A1" w:rsidRDefault="00A34BFA" w:rsidP="008A1B98">
            <w:pPr>
              <w:spacing w:before="40" w:after="40" w:line="260" w:lineRule="exact"/>
              <w:jc w:val="center"/>
              <w:rPr>
                <w:b/>
                <w:bCs/>
                <w:color w:val="FFFFFF"/>
              </w:rPr>
            </w:pPr>
            <w:r>
              <w:rPr>
                <w:b/>
                <w:bCs/>
                <w:color w:val="FFFFFF"/>
              </w:rPr>
              <w:t xml:space="preserve">Composite </w:t>
            </w:r>
            <w:r w:rsidRPr="008516A1">
              <w:rPr>
                <w:b/>
                <w:bCs/>
                <w:color w:val="FFFFFF"/>
              </w:rPr>
              <w:t>Definition</w:t>
            </w:r>
          </w:p>
        </w:tc>
        <w:tc>
          <w:tcPr>
            <w:tcW w:w="2250" w:type="dxa"/>
            <w:tcBorders>
              <w:top w:val="single" w:sz="12" w:space="0" w:color="auto"/>
              <w:left w:val="single" w:sz="6" w:space="0" w:color="FFFFFF"/>
              <w:right w:val="single" w:sz="6" w:space="0" w:color="auto"/>
            </w:tcBorders>
            <w:shd w:val="clear" w:color="auto" w:fill="0A357E"/>
          </w:tcPr>
          <w:p w:rsidR="00A34BFA" w:rsidRPr="008516A1" w:rsidRDefault="00A34BFA" w:rsidP="008A1B98">
            <w:pPr>
              <w:spacing w:before="40" w:after="40" w:line="260" w:lineRule="exact"/>
              <w:jc w:val="center"/>
              <w:rPr>
                <w:b/>
                <w:bCs/>
              </w:rPr>
            </w:pPr>
          </w:p>
          <w:p w:rsidR="00A34BFA" w:rsidRDefault="00A34BFA" w:rsidP="008A1B98">
            <w:pPr>
              <w:spacing w:before="40" w:after="40" w:line="260" w:lineRule="exact"/>
              <w:jc w:val="center"/>
              <w:rPr>
                <w:b/>
                <w:bCs/>
              </w:rPr>
            </w:pPr>
          </w:p>
          <w:p w:rsidR="00A34BFA" w:rsidRDefault="00A34BFA" w:rsidP="008A1B98">
            <w:pPr>
              <w:spacing w:before="40" w:after="40" w:line="260" w:lineRule="exact"/>
              <w:jc w:val="center"/>
              <w:rPr>
                <w:b/>
                <w:bCs/>
              </w:rPr>
            </w:pPr>
          </w:p>
          <w:p w:rsidR="00A34BFA" w:rsidRPr="008516A1" w:rsidRDefault="00A34BFA" w:rsidP="008A1B98">
            <w:pPr>
              <w:spacing w:before="40" w:after="40" w:line="260" w:lineRule="exact"/>
              <w:jc w:val="center"/>
              <w:rPr>
                <w:b/>
                <w:bCs/>
                <w:color w:val="FFFFFF"/>
              </w:rPr>
            </w:pPr>
            <w:r>
              <w:rPr>
                <w:b/>
                <w:bCs/>
              </w:rPr>
              <w:t>TOTAL</w:t>
            </w:r>
          </w:p>
        </w:tc>
      </w:tr>
      <w:tr w:rsidR="00A34BFA" w:rsidRPr="008516A1" w:rsidTr="008A1B98">
        <w:trPr>
          <w:cantSplit/>
        </w:trPr>
        <w:tc>
          <w:tcPr>
            <w:tcW w:w="1498" w:type="dxa"/>
            <w:shd w:val="clear" w:color="auto" w:fill="D9D9D9"/>
          </w:tcPr>
          <w:p w:rsidR="00A34BFA" w:rsidRPr="008516A1" w:rsidRDefault="00A34BFA" w:rsidP="008A1B98">
            <w:pPr>
              <w:spacing w:before="40" w:after="40" w:line="260" w:lineRule="exact"/>
              <w:jc w:val="center"/>
              <w:rPr>
                <w:b/>
                <w:bCs/>
              </w:rPr>
            </w:pPr>
            <w:r>
              <w:rPr>
                <w:b/>
                <w:bCs/>
              </w:rPr>
              <w:t>Absent</w:t>
            </w:r>
            <w:r w:rsidRPr="008516A1">
              <w:rPr>
                <w:b/>
                <w:bCs/>
              </w:rPr>
              <w:t xml:space="preserve"> </w:t>
            </w:r>
          </w:p>
        </w:tc>
        <w:tc>
          <w:tcPr>
            <w:tcW w:w="1440" w:type="dxa"/>
            <w:shd w:val="clear" w:color="auto" w:fill="FFFFFF"/>
          </w:tcPr>
          <w:p w:rsidR="00A34BFA" w:rsidRDefault="00A34BFA" w:rsidP="008A1B98">
            <w:pPr>
              <w:spacing w:before="40" w:after="40" w:line="260" w:lineRule="exact"/>
              <w:jc w:val="center"/>
              <w:rPr>
                <w:b/>
                <w:bCs/>
              </w:rPr>
            </w:pPr>
            <w:r w:rsidRPr="008516A1">
              <w:rPr>
                <w:b/>
                <w:bCs/>
              </w:rPr>
              <w:t>Arm 1</w:t>
            </w:r>
          </w:p>
          <w:p w:rsidR="00A34BFA" w:rsidRPr="007E0610" w:rsidRDefault="00A34BFA" w:rsidP="008A1B98">
            <w:pPr>
              <w:spacing w:before="40" w:after="40" w:line="260" w:lineRule="exact"/>
              <w:jc w:val="center"/>
              <w:rPr>
                <w:bCs/>
                <w:i/>
              </w:rPr>
            </w:pPr>
            <w:r w:rsidRPr="007E0610">
              <w:rPr>
                <w:bCs/>
                <w:i/>
              </w:rPr>
              <w:t>(n=</w:t>
            </w:r>
            <w:r w:rsidR="00AF2650">
              <w:rPr>
                <w:bCs/>
                <w:i/>
              </w:rPr>
              <w:t>290</w:t>
            </w:r>
            <w:r w:rsidRPr="007E0610">
              <w:rPr>
                <w:bCs/>
                <w:i/>
              </w:rPr>
              <w:t>)</w:t>
            </w:r>
          </w:p>
        </w:tc>
        <w:tc>
          <w:tcPr>
            <w:tcW w:w="1980" w:type="dxa"/>
          </w:tcPr>
          <w:p w:rsidR="00A34BFA" w:rsidRDefault="00A34BFA" w:rsidP="008A1B98">
            <w:pPr>
              <w:spacing w:before="40" w:after="40" w:line="260" w:lineRule="exact"/>
              <w:jc w:val="center"/>
              <w:rPr>
                <w:b/>
                <w:bCs/>
              </w:rPr>
            </w:pPr>
            <w:r w:rsidRPr="008516A1">
              <w:rPr>
                <w:b/>
                <w:bCs/>
              </w:rPr>
              <w:t>Arm 2</w:t>
            </w:r>
          </w:p>
          <w:p w:rsidR="00A34BFA" w:rsidRPr="008516A1" w:rsidRDefault="00A34BFA" w:rsidP="008A1B98">
            <w:pPr>
              <w:spacing w:before="40" w:after="40" w:line="260" w:lineRule="exact"/>
              <w:jc w:val="center"/>
              <w:rPr>
                <w:b/>
                <w:bCs/>
              </w:rPr>
            </w:pPr>
            <w:r>
              <w:rPr>
                <w:bCs/>
                <w:i/>
              </w:rPr>
              <w:t>(</w:t>
            </w:r>
            <w:r w:rsidRPr="007E0610">
              <w:rPr>
                <w:bCs/>
                <w:i/>
              </w:rPr>
              <w:t>n=</w:t>
            </w:r>
            <w:r w:rsidR="00AF2650">
              <w:rPr>
                <w:bCs/>
                <w:i/>
              </w:rPr>
              <w:t>290</w:t>
            </w:r>
            <w:r w:rsidRPr="007E0610">
              <w:rPr>
                <w:bCs/>
                <w:i/>
              </w:rPr>
              <w:t>)</w:t>
            </w:r>
          </w:p>
        </w:tc>
        <w:tc>
          <w:tcPr>
            <w:tcW w:w="1980" w:type="dxa"/>
          </w:tcPr>
          <w:p w:rsidR="00A34BFA" w:rsidRDefault="00A34BFA" w:rsidP="008A1B98">
            <w:pPr>
              <w:spacing w:before="40" w:after="40" w:line="260" w:lineRule="exact"/>
              <w:jc w:val="center"/>
              <w:rPr>
                <w:b/>
                <w:bCs/>
              </w:rPr>
            </w:pPr>
            <w:r w:rsidRPr="008516A1">
              <w:rPr>
                <w:b/>
                <w:bCs/>
              </w:rPr>
              <w:t>Arm 3</w:t>
            </w:r>
          </w:p>
          <w:p w:rsidR="00A34BFA" w:rsidRPr="008516A1" w:rsidRDefault="00A34BFA" w:rsidP="008A1B98">
            <w:pPr>
              <w:spacing w:before="40" w:after="40" w:line="260" w:lineRule="exact"/>
              <w:jc w:val="center"/>
              <w:rPr>
                <w:b/>
                <w:bCs/>
              </w:rPr>
            </w:pPr>
            <w:r>
              <w:rPr>
                <w:bCs/>
                <w:i/>
              </w:rPr>
              <w:t>(</w:t>
            </w:r>
            <w:r w:rsidRPr="007E0610">
              <w:rPr>
                <w:bCs/>
                <w:i/>
              </w:rPr>
              <w:t>n=</w:t>
            </w:r>
            <w:r w:rsidR="00AF2650">
              <w:rPr>
                <w:bCs/>
                <w:i/>
              </w:rPr>
              <w:t>290</w:t>
            </w:r>
            <w:r w:rsidRPr="007E0610">
              <w:rPr>
                <w:bCs/>
                <w:i/>
              </w:rPr>
              <w:t>)</w:t>
            </w:r>
          </w:p>
        </w:tc>
        <w:tc>
          <w:tcPr>
            <w:tcW w:w="2250" w:type="dxa"/>
            <w:tcBorders>
              <w:right w:val="single" w:sz="6" w:space="0" w:color="auto"/>
            </w:tcBorders>
          </w:tcPr>
          <w:p w:rsidR="00A34BFA" w:rsidRPr="008516A1" w:rsidRDefault="00A34BFA" w:rsidP="008A1B98">
            <w:pPr>
              <w:spacing w:before="40" w:after="40" w:line="260" w:lineRule="exact"/>
              <w:jc w:val="center"/>
              <w:rPr>
                <w:b/>
                <w:bCs/>
              </w:rPr>
            </w:pPr>
            <w:r>
              <w:rPr>
                <w:b/>
                <w:bCs/>
              </w:rPr>
              <w:t>8</w:t>
            </w:r>
            <w:r w:rsidR="00AF2650">
              <w:rPr>
                <w:b/>
                <w:bCs/>
              </w:rPr>
              <w:t>70</w:t>
            </w:r>
          </w:p>
        </w:tc>
      </w:tr>
      <w:tr w:rsidR="00A34BFA" w:rsidRPr="008516A1" w:rsidTr="008A1B98">
        <w:trPr>
          <w:cantSplit/>
        </w:trPr>
        <w:tc>
          <w:tcPr>
            <w:tcW w:w="1498" w:type="dxa"/>
            <w:tcBorders>
              <w:left w:val="nil"/>
            </w:tcBorders>
            <w:shd w:val="clear" w:color="auto" w:fill="D9D9D9"/>
          </w:tcPr>
          <w:p w:rsidR="00A34BFA" w:rsidRPr="008516A1" w:rsidRDefault="00A34BFA" w:rsidP="008A1B98">
            <w:pPr>
              <w:spacing w:before="40" w:after="40" w:line="260" w:lineRule="exact"/>
              <w:jc w:val="center"/>
              <w:rPr>
                <w:b/>
                <w:bCs/>
              </w:rPr>
            </w:pPr>
            <w:r>
              <w:rPr>
                <w:b/>
                <w:bCs/>
              </w:rPr>
              <w:t>Present</w:t>
            </w:r>
          </w:p>
        </w:tc>
        <w:tc>
          <w:tcPr>
            <w:tcW w:w="1440" w:type="dxa"/>
            <w:tcBorders>
              <w:left w:val="nil"/>
            </w:tcBorders>
            <w:shd w:val="clear" w:color="auto" w:fill="FFFFFF"/>
          </w:tcPr>
          <w:p w:rsidR="00A34BFA" w:rsidRDefault="00A34BFA" w:rsidP="008A1B98">
            <w:pPr>
              <w:spacing w:before="40" w:after="40" w:line="260" w:lineRule="exact"/>
              <w:jc w:val="center"/>
              <w:rPr>
                <w:b/>
                <w:bCs/>
              </w:rPr>
            </w:pPr>
            <w:r w:rsidRPr="008516A1">
              <w:rPr>
                <w:b/>
                <w:bCs/>
              </w:rPr>
              <w:t>Arm 4</w:t>
            </w:r>
          </w:p>
          <w:p w:rsidR="00A34BFA" w:rsidRPr="008516A1" w:rsidRDefault="00A34BFA" w:rsidP="008A1B98">
            <w:pPr>
              <w:spacing w:before="40" w:after="40" w:line="260" w:lineRule="exact"/>
              <w:jc w:val="center"/>
              <w:rPr>
                <w:b/>
                <w:bCs/>
              </w:rPr>
            </w:pPr>
            <w:r>
              <w:rPr>
                <w:bCs/>
                <w:i/>
              </w:rPr>
              <w:t>(</w:t>
            </w:r>
            <w:r w:rsidRPr="007E0610">
              <w:rPr>
                <w:bCs/>
                <w:i/>
              </w:rPr>
              <w:t>n=</w:t>
            </w:r>
            <w:r w:rsidR="00AF2650">
              <w:rPr>
                <w:bCs/>
                <w:i/>
              </w:rPr>
              <w:t>290</w:t>
            </w:r>
            <w:r w:rsidRPr="007E0610">
              <w:rPr>
                <w:bCs/>
                <w:i/>
              </w:rPr>
              <w:t>)</w:t>
            </w:r>
          </w:p>
        </w:tc>
        <w:tc>
          <w:tcPr>
            <w:tcW w:w="1980" w:type="dxa"/>
          </w:tcPr>
          <w:p w:rsidR="00A34BFA" w:rsidRDefault="00A34BFA" w:rsidP="008A1B98">
            <w:pPr>
              <w:spacing w:before="40" w:after="40" w:line="260" w:lineRule="exact"/>
              <w:jc w:val="center"/>
              <w:rPr>
                <w:b/>
                <w:bCs/>
              </w:rPr>
            </w:pPr>
            <w:r w:rsidRPr="008516A1">
              <w:rPr>
                <w:b/>
                <w:bCs/>
              </w:rPr>
              <w:t>Arm 5</w:t>
            </w:r>
          </w:p>
          <w:p w:rsidR="00A34BFA" w:rsidRPr="008516A1" w:rsidRDefault="00A34BFA" w:rsidP="008A1B98">
            <w:pPr>
              <w:spacing w:before="40" w:after="40" w:line="260" w:lineRule="exact"/>
              <w:jc w:val="center"/>
              <w:rPr>
                <w:b/>
                <w:bCs/>
              </w:rPr>
            </w:pPr>
            <w:r>
              <w:rPr>
                <w:bCs/>
                <w:i/>
              </w:rPr>
              <w:t>(</w:t>
            </w:r>
            <w:r w:rsidRPr="007E0610">
              <w:rPr>
                <w:bCs/>
                <w:i/>
              </w:rPr>
              <w:t>n=</w:t>
            </w:r>
            <w:r w:rsidR="00AF2650">
              <w:rPr>
                <w:bCs/>
                <w:i/>
              </w:rPr>
              <w:t>290</w:t>
            </w:r>
            <w:r w:rsidRPr="007E0610">
              <w:rPr>
                <w:bCs/>
                <w:i/>
              </w:rPr>
              <w:t>)</w:t>
            </w:r>
          </w:p>
        </w:tc>
        <w:tc>
          <w:tcPr>
            <w:tcW w:w="1980" w:type="dxa"/>
          </w:tcPr>
          <w:p w:rsidR="00A34BFA" w:rsidRDefault="00A34BFA" w:rsidP="008A1B98">
            <w:pPr>
              <w:spacing w:before="40" w:after="40" w:line="260" w:lineRule="exact"/>
              <w:jc w:val="center"/>
              <w:rPr>
                <w:b/>
                <w:bCs/>
              </w:rPr>
            </w:pPr>
            <w:r w:rsidRPr="008516A1">
              <w:rPr>
                <w:b/>
                <w:bCs/>
              </w:rPr>
              <w:t>Arm 6</w:t>
            </w:r>
          </w:p>
          <w:p w:rsidR="00A34BFA" w:rsidRPr="008516A1" w:rsidRDefault="00A34BFA" w:rsidP="008A1B98">
            <w:pPr>
              <w:spacing w:before="40" w:after="40" w:line="260" w:lineRule="exact"/>
              <w:jc w:val="center"/>
              <w:rPr>
                <w:b/>
                <w:bCs/>
              </w:rPr>
            </w:pPr>
            <w:r>
              <w:rPr>
                <w:bCs/>
                <w:i/>
              </w:rPr>
              <w:t>(</w:t>
            </w:r>
            <w:r w:rsidRPr="007E0610">
              <w:rPr>
                <w:bCs/>
                <w:i/>
              </w:rPr>
              <w:t>n=</w:t>
            </w:r>
            <w:r w:rsidR="00AF2650">
              <w:rPr>
                <w:bCs/>
                <w:i/>
              </w:rPr>
              <w:t>290</w:t>
            </w:r>
            <w:r w:rsidRPr="007E0610">
              <w:rPr>
                <w:bCs/>
                <w:i/>
              </w:rPr>
              <w:t>)</w:t>
            </w:r>
          </w:p>
        </w:tc>
        <w:tc>
          <w:tcPr>
            <w:tcW w:w="2250" w:type="dxa"/>
            <w:tcBorders>
              <w:right w:val="single" w:sz="6" w:space="0" w:color="auto"/>
            </w:tcBorders>
          </w:tcPr>
          <w:p w:rsidR="00A34BFA" w:rsidRPr="008516A1" w:rsidRDefault="00A34BFA" w:rsidP="008A1B98">
            <w:pPr>
              <w:spacing w:before="40" w:after="40" w:line="260" w:lineRule="exact"/>
              <w:jc w:val="center"/>
              <w:rPr>
                <w:b/>
                <w:bCs/>
              </w:rPr>
            </w:pPr>
            <w:r>
              <w:rPr>
                <w:b/>
                <w:bCs/>
              </w:rPr>
              <w:t>8</w:t>
            </w:r>
            <w:r w:rsidR="00AF2650">
              <w:rPr>
                <w:b/>
                <w:bCs/>
              </w:rPr>
              <w:t>70</w:t>
            </w:r>
          </w:p>
        </w:tc>
      </w:tr>
      <w:tr w:rsidR="00A34BFA" w:rsidRPr="008516A1" w:rsidTr="008A1B98">
        <w:trPr>
          <w:cantSplit/>
        </w:trPr>
        <w:tc>
          <w:tcPr>
            <w:tcW w:w="1498" w:type="dxa"/>
            <w:tcBorders>
              <w:left w:val="nil"/>
            </w:tcBorders>
            <w:shd w:val="clear" w:color="auto" w:fill="D9D9D9"/>
          </w:tcPr>
          <w:p w:rsidR="00A34BFA" w:rsidRPr="008516A1" w:rsidDel="00993E3B" w:rsidRDefault="00A34BFA" w:rsidP="008A1B98">
            <w:pPr>
              <w:spacing w:before="40" w:after="40" w:line="260" w:lineRule="exact"/>
              <w:jc w:val="center"/>
              <w:rPr>
                <w:b/>
                <w:bCs/>
              </w:rPr>
            </w:pPr>
            <w:r>
              <w:rPr>
                <w:b/>
                <w:bCs/>
              </w:rPr>
              <w:t>TOTAL</w:t>
            </w:r>
          </w:p>
        </w:tc>
        <w:tc>
          <w:tcPr>
            <w:tcW w:w="1440" w:type="dxa"/>
            <w:tcBorders>
              <w:left w:val="nil"/>
            </w:tcBorders>
            <w:shd w:val="clear" w:color="auto" w:fill="FFFFFF"/>
          </w:tcPr>
          <w:p w:rsidR="00A34BFA" w:rsidRPr="008516A1" w:rsidRDefault="00A34BFA" w:rsidP="008A1B98">
            <w:pPr>
              <w:spacing w:before="40" w:after="40" w:line="260" w:lineRule="exact"/>
              <w:jc w:val="center"/>
              <w:rPr>
                <w:b/>
                <w:bCs/>
              </w:rPr>
            </w:pPr>
            <w:r>
              <w:rPr>
                <w:b/>
                <w:bCs/>
              </w:rPr>
              <w:t>5</w:t>
            </w:r>
            <w:r w:rsidR="00AF2650">
              <w:rPr>
                <w:b/>
                <w:bCs/>
              </w:rPr>
              <w:t>80</w:t>
            </w:r>
          </w:p>
        </w:tc>
        <w:tc>
          <w:tcPr>
            <w:tcW w:w="1980" w:type="dxa"/>
          </w:tcPr>
          <w:p w:rsidR="00A34BFA" w:rsidRPr="008516A1" w:rsidRDefault="00A34BFA" w:rsidP="008A1B98">
            <w:pPr>
              <w:spacing w:before="40" w:after="40" w:line="260" w:lineRule="exact"/>
              <w:jc w:val="center"/>
              <w:rPr>
                <w:b/>
                <w:bCs/>
              </w:rPr>
            </w:pPr>
            <w:r>
              <w:rPr>
                <w:b/>
                <w:bCs/>
              </w:rPr>
              <w:t>5</w:t>
            </w:r>
            <w:r w:rsidR="00AF2650">
              <w:rPr>
                <w:b/>
                <w:bCs/>
              </w:rPr>
              <w:t>80</w:t>
            </w:r>
          </w:p>
        </w:tc>
        <w:tc>
          <w:tcPr>
            <w:tcW w:w="1980" w:type="dxa"/>
          </w:tcPr>
          <w:p w:rsidR="00A34BFA" w:rsidRPr="008516A1" w:rsidRDefault="00A34BFA" w:rsidP="008A1B98">
            <w:pPr>
              <w:spacing w:before="40" w:after="40" w:line="260" w:lineRule="exact"/>
              <w:jc w:val="center"/>
              <w:rPr>
                <w:b/>
                <w:bCs/>
              </w:rPr>
            </w:pPr>
            <w:r>
              <w:rPr>
                <w:b/>
                <w:bCs/>
              </w:rPr>
              <w:t>5</w:t>
            </w:r>
            <w:r w:rsidR="00AF2650">
              <w:rPr>
                <w:b/>
                <w:bCs/>
              </w:rPr>
              <w:t>80</w:t>
            </w:r>
          </w:p>
        </w:tc>
        <w:tc>
          <w:tcPr>
            <w:tcW w:w="2250" w:type="dxa"/>
            <w:tcBorders>
              <w:right w:val="single" w:sz="6" w:space="0" w:color="auto"/>
            </w:tcBorders>
          </w:tcPr>
          <w:p w:rsidR="00A34BFA" w:rsidRPr="008516A1" w:rsidRDefault="00A34BFA" w:rsidP="008A1B98">
            <w:pPr>
              <w:spacing w:before="40" w:after="40" w:line="260" w:lineRule="exact"/>
              <w:jc w:val="center"/>
              <w:rPr>
                <w:b/>
                <w:bCs/>
              </w:rPr>
            </w:pPr>
            <w:r>
              <w:rPr>
                <w:b/>
                <w:bCs/>
              </w:rPr>
              <w:t>1,</w:t>
            </w:r>
            <w:r w:rsidR="00AF2650">
              <w:rPr>
                <w:b/>
                <w:bCs/>
              </w:rPr>
              <w:t>740</w:t>
            </w:r>
          </w:p>
        </w:tc>
      </w:tr>
    </w:tbl>
    <w:p w:rsidR="00A34BFA" w:rsidRPr="0075081D" w:rsidRDefault="00A34BFA" w:rsidP="00AE22BB">
      <w:pPr>
        <w:spacing w:line="480" w:lineRule="auto"/>
      </w:pPr>
      <w:r w:rsidRPr="0075081D">
        <w:lastRenderedPageBreak/>
        <w:t xml:space="preserve"> </w:t>
      </w:r>
    </w:p>
    <w:p w:rsidR="00A34BFA" w:rsidRDefault="00A34BFA" w:rsidP="00AE22BB">
      <w:pPr>
        <w:spacing w:line="480" w:lineRule="auto"/>
        <w:ind w:firstLine="720"/>
      </w:pPr>
      <w:r>
        <w:t>This study will manipulate two variables: three types of information presentations and the presence or absence of an educational intervention.  In terms of information presentation, there are many aspects of composite scores that could be communicated and one research project cannot test them all.  In this study, we have chosen to examine three different information presentations that may or may not help consumers understand the composite score concept.  These different information presentations were chosen based on a review of the literature and a review of past DTC submissions.</w:t>
      </w:r>
    </w:p>
    <w:p w:rsidR="00A34BFA" w:rsidRPr="00775049" w:rsidRDefault="00A34BFA" w:rsidP="00AE22BB">
      <w:pPr>
        <w:spacing w:line="480" w:lineRule="auto"/>
        <w:ind w:firstLine="720"/>
      </w:pPr>
      <w:r w:rsidRPr="00775049">
        <w:t xml:space="preserve">The </w:t>
      </w:r>
      <w:r>
        <w:t>three different information presentations are described below</w:t>
      </w:r>
      <w:r w:rsidRPr="00775049">
        <w:t>.</w:t>
      </w:r>
    </w:p>
    <w:p w:rsidR="00A34BFA" w:rsidRDefault="00A34BFA" w:rsidP="00AE22BB">
      <w:pPr>
        <w:autoSpaceDE w:val="0"/>
        <w:autoSpaceDN w:val="0"/>
        <w:adjustRightInd w:val="0"/>
        <w:spacing w:after="120" w:line="480" w:lineRule="auto"/>
        <w:ind w:firstLine="720"/>
        <w:rPr>
          <w:b/>
          <w:bCs/>
        </w:rPr>
      </w:pPr>
      <w:r w:rsidRPr="00775049">
        <w:rPr>
          <w:b/>
          <w:bCs/>
        </w:rPr>
        <w:t>General Indication</w:t>
      </w:r>
      <w:r w:rsidRPr="00775049">
        <w:rPr>
          <w:i/>
          <w:iCs/>
        </w:rPr>
        <w:t xml:space="preserve">. </w:t>
      </w:r>
      <w:r w:rsidRPr="00775049">
        <w:t xml:space="preserve">The first </w:t>
      </w:r>
      <w:r>
        <w:t xml:space="preserve">information presentation is the indication of the product.  In this condition, participants will see the drug indication, but will not see any explicit statement that </w:t>
      </w:r>
      <w:r w:rsidRPr="00775049">
        <w:t xml:space="preserve">the drug’s benefits are based on a composite </w:t>
      </w:r>
      <w:r w:rsidR="00FC729D">
        <w:t>score</w:t>
      </w:r>
      <w:r w:rsidRPr="00775049">
        <w:t>.</w:t>
      </w:r>
      <w:r>
        <w:t xml:space="preserve">  This is a common way that composite scores are currently communicated.  An example of this presentation is: “</w:t>
      </w:r>
      <w:r w:rsidRPr="00775049">
        <w:t>Drug A treats and helps prevent seasonal nasal allergy symptoms</w:t>
      </w:r>
      <w:r>
        <w:t xml:space="preserve">.”  </w:t>
      </w:r>
    </w:p>
    <w:p w:rsidR="00A34BFA" w:rsidRPr="00775049" w:rsidRDefault="00A34BFA" w:rsidP="00AE22BB">
      <w:pPr>
        <w:autoSpaceDE w:val="0"/>
        <w:autoSpaceDN w:val="0"/>
        <w:adjustRightInd w:val="0"/>
        <w:spacing w:after="120" w:line="480" w:lineRule="auto"/>
        <w:ind w:firstLine="720"/>
      </w:pPr>
      <w:r w:rsidRPr="00775049">
        <w:rPr>
          <w:b/>
          <w:bCs/>
        </w:rPr>
        <w:t>List of Symptoms</w:t>
      </w:r>
      <w:r w:rsidRPr="00775049">
        <w:rPr>
          <w:i/>
          <w:iCs/>
        </w:rPr>
        <w:t xml:space="preserve">. </w:t>
      </w:r>
      <w:r w:rsidRPr="00775049">
        <w:t xml:space="preserve">The </w:t>
      </w:r>
      <w:r>
        <w:t xml:space="preserve">next information presentation </w:t>
      </w:r>
      <w:r w:rsidRPr="00775049">
        <w:t xml:space="preserve">will </w:t>
      </w:r>
      <w:r>
        <w:t xml:space="preserve">include the drug indication and </w:t>
      </w:r>
      <w:r w:rsidRPr="00775049">
        <w:t>all of the symptoms that are used to make up the composite score.</w:t>
      </w:r>
      <w:r>
        <w:t xml:space="preserve">  This condition, like the general indication condition, will not include an explicit statement referencing composite scores.  This is also a common way that composite scores are currently communicated.  An example of this presentation is: “</w:t>
      </w:r>
      <w:r w:rsidRPr="00775049">
        <w:t>Drug A treats and helps prevent seasonal nasal allergy symptoms: congestion, runny nose, nasal stuffiness, nasal itching, and sneezing.</w:t>
      </w:r>
      <w:r>
        <w:t>”</w:t>
      </w:r>
    </w:p>
    <w:p w:rsidR="00A34BFA" w:rsidRPr="00775049" w:rsidRDefault="00A34BFA" w:rsidP="00AE22BB">
      <w:pPr>
        <w:autoSpaceDE w:val="0"/>
        <w:autoSpaceDN w:val="0"/>
        <w:adjustRightInd w:val="0"/>
        <w:spacing w:after="120" w:line="480" w:lineRule="auto"/>
        <w:ind w:firstLine="720"/>
      </w:pPr>
      <w:r w:rsidRPr="00775049">
        <w:rPr>
          <w:b/>
          <w:bCs/>
        </w:rPr>
        <w:t>Composite Definition</w:t>
      </w:r>
      <w:r w:rsidRPr="00775049">
        <w:rPr>
          <w:i/>
          <w:iCs/>
        </w:rPr>
        <w:t xml:space="preserve">. </w:t>
      </w:r>
      <w:r w:rsidRPr="00775049">
        <w:t xml:space="preserve">The </w:t>
      </w:r>
      <w:r>
        <w:t>final information presentation</w:t>
      </w:r>
      <w:r w:rsidRPr="00775049">
        <w:t xml:space="preserve"> will present the indication, describe that the drug’s benefits are based on a composite </w:t>
      </w:r>
      <w:r w:rsidR="00FC729D">
        <w:t>score</w:t>
      </w:r>
      <w:r w:rsidRPr="00775049">
        <w:t xml:space="preserve">, and explicitly define a composite score. </w:t>
      </w:r>
      <w:r>
        <w:t xml:space="preserve"> To our knowledge, this would be a new way to communicate composite scores.  An </w:t>
      </w:r>
      <w:r>
        <w:lastRenderedPageBreak/>
        <w:t>example of this presentation is: “</w:t>
      </w:r>
      <w:r w:rsidRPr="00775049">
        <w:t xml:space="preserve">Drug A treats and helps prevent seasonal nasal allergy symptoms. Drug A’s effectiveness is based on a composite score. A composite score is a single measure of how well a drug works based on a combination of </w:t>
      </w:r>
      <w:r w:rsidR="00FC729D">
        <w:t>symptoms</w:t>
      </w:r>
      <w:r w:rsidRPr="00775049">
        <w:t>. Drug A may not be as effective in addressing each factor individually.</w:t>
      </w:r>
      <w:r>
        <w:t>”</w:t>
      </w:r>
    </w:p>
    <w:p w:rsidR="00A34BFA" w:rsidRDefault="00A34BFA" w:rsidP="00AE22BB">
      <w:pPr>
        <w:spacing w:line="480" w:lineRule="auto"/>
      </w:pPr>
      <w:r>
        <w:rPr>
          <w:b/>
          <w:bCs/>
        </w:rPr>
        <w:tab/>
      </w:r>
      <w:r>
        <w:rPr>
          <w:bCs/>
        </w:rPr>
        <w:t xml:space="preserve">We will also manipulate whether or not participants see a specific educational intervention.  This intervention was developed from prior focus groups (OMB Control No. 0910-0677) where it was found to resonate with participants.  In these focus groups, medical examples were confusing, so non-medical examples were explored.  </w:t>
      </w:r>
      <w:r>
        <w:t xml:space="preserve">This example </w:t>
      </w:r>
      <w:r w:rsidRPr="00775049">
        <w:t xml:space="preserve">will feature the decathlon as an educational example of a composite score. </w:t>
      </w:r>
      <w:r>
        <w:t xml:space="preserve"> For example, </w:t>
      </w:r>
      <w:r w:rsidRPr="00775049">
        <w:t xml:space="preserve">“Drug A’s effectiveness is based on a composite score.  A composite score is like a decathlon.  In that event, athletes compete in 10 events, such as the long jump, the shot put, and the 50 yard dash.  An athlete may not win all events, but if he or performs well enough in </w:t>
      </w:r>
      <w:r w:rsidR="00746A1A">
        <w:t>som</w:t>
      </w:r>
      <w:bookmarkStart w:id="2" w:name="_GoBack"/>
      <w:bookmarkEnd w:id="2"/>
      <w:r w:rsidR="00746A1A">
        <w:t>e events</w:t>
      </w:r>
      <w:r w:rsidRPr="00775049">
        <w:t>, he or she may be the winner based on a combination of scores for each event.”</w:t>
      </w:r>
    </w:p>
    <w:p w:rsidR="00A34BFA" w:rsidRDefault="00A34BFA" w:rsidP="00AE22BB">
      <w:pPr>
        <w:spacing w:line="480" w:lineRule="auto"/>
        <w:ind w:firstLine="720"/>
      </w:pPr>
      <w:r>
        <w:t xml:space="preserve">We will test whether the educational intervention, the information presentation, and the interaction of the two affect outcomes such as </w:t>
      </w:r>
      <w:r w:rsidRPr="0075081D">
        <w:t xml:space="preserve">consumers’ awareness and comprehension of </w:t>
      </w:r>
      <w:r>
        <w:t>the composite score concept; perceived drug efficacy;</w:t>
      </w:r>
      <w:r w:rsidRPr="0075081D">
        <w:t xml:space="preserve"> and risk recall</w:t>
      </w:r>
      <w:r>
        <w:t>. We will test whether numeracy and literacy moderate any significant relations.</w:t>
      </w:r>
    </w:p>
    <w:p w:rsidR="00A34BFA" w:rsidRDefault="00A34BFA" w:rsidP="00AE22BB">
      <w:pPr>
        <w:spacing w:line="480" w:lineRule="auto"/>
        <w:ind w:firstLine="720"/>
      </w:pPr>
      <w:r>
        <w:t xml:space="preserve">The sample for the second study </w:t>
      </w:r>
      <w:r w:rsidR="00373343">
        <w:t>will include approximately 1,740</w:t>
      </w:r>
      <w:r>
        <w:t xml:space="preserve"> participants who have been diagnosed with seasonal allergies.  The protocol will take place via the internet.  Participants will be randomly assigned to view one print ad for a fictitious prescription drug that treats seasonal allergies and will answer questions about it.  The entire process is expected to take no longer than 20 minutes.  </w:t>
      </w:r>
      <w:r w:rsidRPr="003300A2">
        <w:t>This will be a one time (rather than annual) collection of information.</w:t>
      </w:r>
    </w:p>
    <w:p w:rsidR="00A34BFA" w:rsidRDefault="00A34BFA" w:rsidP="00AE22BB">
      <w:pPr>
        <w:tabs>
          <w:tab w:val="left" w:pos="360"/>
        </w:tabs>
        <w:spacing w:line="480" w:lineRule="auto"/>
        <w:jc w:val="center"/>
        <w:rPr>
          <w:b/>
        </w:rPr>
      </w:pPr>
      <w:r>
        <w:rPr>
          <w:b/>
        </w:rPr>
        <w:t>Hypotheses</w:t>
      </w:r>
    </w:p>
    <w:p w:rsidR="00E86076" w:rsidRPr="00DD2014" w:rsidRDefault="00E86076" w:rsidP="00C82ECD">
      <w:pPr>
        <w:spacing w:line="480" w:lineRule="auto"/>
        <w:rPr>
          <w:b/>
        </w:rPr>
      </w:pPr>
      <w:r w:rsidRPr="00DD2014">
        <w:rPr>
          <w:b/>
        </w:rPr>
        <w:lastRenderedPageBreak/>
        <w:t>Study 1</w:t>
      </w:r>
    </w:p>
    <w:p w:rsidR="00E86076" w:rsidRPr="00E86076" w:rsidRDefault="00C82ECD" w:rsidP="00C82ECD">
      <w:pPr>
        <w:spacing w:line="480" w:lineRule="auto"/>
      </w:pPr>
      <w:r>
        <w:t>1.</w:t>
      </w:r>
      <w:r w:rsidR="00E86076" w:rsidRPr="00C82ECD">
        <w:t xml:space="preserve"> </w:t>
      </w:r>
      <w:r w:rsidR="00373343">
        <w:t>P</w:t>
      </w:r>
      <w:r w:rsidR="00E86076" w:rsidRPr="00E86076">
        <w:t xml:space="preserve">articipants </w:t>
      </w:r>
      <w:r w:rsidR="00373343">
        <w:t xml:space="preserve">who have lower levels of education </w:t>
      </w:r>
      <w:r w:rsidR="00E86076" w:rsidRPr="00E86076">
        <w:t>will exhibit poorer comprehension of composite endpoint scores than participants</w:t>
      </w:r>
      <w:r w:rsidR="00373343">
        <w:t xml:space="preserve"> who have higher levels of education</w:t>
      </w:r>
      <w:r w:rsidR="00E86076" w:rsidRPr="00E86076">
        <w:t>.</w:t>
      </w:r>
    </w:p>
    <w:p w:rsidR="00E86076" w:rsidRPr="00E86076" w:rsidRDefault="00C82ECD" w:rsidP="00C82ECD">
      <w:pPr>
        <w:spacing w:line="480" w:lineRule="auto"/>
      </w:pPr>
      <w:r>
        <w:t>2.</w:t>
      </w:r>
      <w:r w:rsidR="00E86076" w:rsidRPr="00C82ECD">
        <w:t xml:space="preserve"> </w:t>
      </w:r>
      <w:r w:rsidR="00E86076" w:rsidRPr="00E86076">
        <w:t>Older participants will exhibit poorer comprehension of composite endpoint scores than younger participants.</w:t>
      </w:r>
    </w:p>
    <w:p w:rsidR="00E86076" w:rsidRPr="00E86076" w:rsidRDefault="00E86076" w:rsidP="00C82ECD">
      <w:pPr>
        <w:pStyle w:val="CommentText"/>
        <w:spacing w:line="480" w:lineRule="auto"/>
        <w:ind w:firstLine="720"/>
        <w:rPr>
          <w:sz w:val="24"/>
          <w:szCs w:val="24"/>
        </w:rPr>
      </w:pPr>
      <w:r w:rsidRPr="00E86076">
        <w:rPr>
          <w:sz w:val="24"/>
          <w:szCs w:val="24"/>
        </w:rPr>
        <w:t xml:space="preserve">Although we do not have directional hypotheses, we also believe that presenting the composite score information will change/affect the following variables: clarity of the advertisement, perceived efficacy, </w:t>
      </w:r>
      <w:proofErr w:type="gramStart"/>
      <w:r w:rsidRPr="00E86076">
        <w:rPr>
          <w:sz w:val="24"/>
          <w:szCs w:val="24"/>
        </w:rPr>
        <w:t>trust</w:t>
      </w:r>
      <w:proofErr w:type="gramEnd"/>
      <w:r w:rsidRPr="00E86076">
        <w:rPr>
          <w:sz w:val="24"/>
          <w:szCs w:val="24"/>
        </w:rPr>
        <w:t xml:space="preserve"> in ad information, source credibility, and attitudes toward the drug.  We do not expect presenting the composite score information to affect perceived risk.</w:t>
      </w:r>
    </w:p>
    <w:p w:rsidR="00E86076" w:rsidRPr="00DD2014" w:rsidRDefault="00DD2014" w:rsidP="00C82ECD">
      <w:pPr>
        <w:spacing w:line="480" w:lineRule="auto"/>
        <w:rPr>
          <w:b/>
        </w:rPr>
      </w:pPr>
      <w:r w:rsidRPr="00DD2014">
        <w:rPr>
          <w:b/>
        </w:rPr>
        <w:t>Study 2</w:t>
      </w:r>
    </w:p>
    <w:p w:rsidR="00A34BFA" w:rsidRPr="00C05803" w:rsidRDefault="00A34BFA" w:rsidP="00C82ECD">
      <w:pPr>
        <w:spacing w:line="480" w:lineRule="auto"/>
      </w:pPr>
      <w:r w:rsidRPr="00C05803">
        <w:t>Study 2 manipulates two factors (i.e., type of information and presence/absence of an educational intervention). We can test the levels of each factor (e.g., list of symptoms versus composite score definition) and we can test the interaction between the factors. The primary study hypotheses are found below.</w:t>
      </w:r>
    </w:p>
    <w:p w:rsidR="00A34BFA" w:rsidRPr="00C05803" w:rsidRDefault="00A34BFA" w:rsidP="00AE22BB">
      <w:pPr>
        <w:numPr>
          <w:ilvl w:val="0"/>
          <w:numId w:val="4"/>
        </w:numPr>
        <w:spacing w:line="480" w:lineRule="auto"/>
      </w:pPr>
      <w:r w:rsidRPr="00C05803">
        <w:t xml:space="preserve">Participants who see the educational intervention will show greater awareness and comprehension of the concept of composite scores than participants who do not see the intervention. The educational intervention’s effect on perceived efficacy and risk are exploratory.   </w:t>
      </w:r>
    </w:p>
    <w:p w:rsidR="00A34BFA" w:rsidRPr="00C05803" w:rsidRDefault="00A34BFA" w:rsidP="00AE22BB">
      <w:pPr>
        <w:numPr>
          <w:ilvl w:val="0"/>
          <w:numId w:val="4"/>
        </w:numPr>
        <w:spacing w:line="480" w:lineRule="auto"/>
      </w:pPr>
      <w:r w:rsidRPr="00C05803">
        <w:t>Within the education-absent conditions, participants who see a composite definition (3</w:t>
      </w:r>
      <w:r w:rsidRPr="00C05803">
        <w:rPr>
          <w:vertAlign w:val="superscript"/>
        </w:rPr>
        <w:t>rd</w:t>
      </w:r>
      <w:r w:rsidRPr="00C05803">
        <w:t xml:space="preserve"> level of type of information) will show greater awareness and comprehension of the concept of composite scores as compared with the general indication and the list of symptoms conditions. No difference is expected between the general indication and list of </w:t>
      </w:r>
      <w:r w:rsidRPr="00C05803">
        <w:lastRenderedPageBreak/>
        <w:t>symptoms conditions on these outcomes. The role of type of information on perceived efficacy and risk is exploratory.</w:t>
      </w:r>
    </w:p>
    <w:p w:rsidR="00A34BFA" w:rsidRPr="00C05803" w:rsidRDefault="00A34BFA" w:rsidP="00AE22BB">
      <w:pPr>
        <w:numPr>
          <w:ilvl w:val="0"/>
          <w:numId w:val="4"/>
        </w:numPr>
        <w:spacing w:line="480" w:lineRule="auto"/>
      </w:pPr>
      <w:r w:rsidRPr="00C05803">
        <w:t>Educational intervention and type of information will interact such that participants in the composite definition/education-present condition will show the greatest awareness and comprehension of the composite score concept more often than participants in any other group. We will explore whether there are interaction effects for perceived benefit and risk.</w:t>
      </w:r>
    </w:p>
    <w:p w:rsidR="00A34BFA" w:rsidRPr="00C05803" w:rsidRDefault="00A34BFA" w:rsidP="00AE22BB">
      <w:pPr>
        <w:numPr>
          <w:ilvl w:val="0"/>
          <w:numId w:val="4"/>
        </w:numPr>
        <w:spacing w:line="480" w:lineRule="auto"/>
      </w:pPr>
      <w:r w:rsidRPr="00C05803">
        <w:t>Effects on benefit and risk recall are exploratory.</w:t>
      </w:r>
    </w:p>
    <w:p w:rsidR="00A34BFA" w:rsidRDefault="00A34BFA" w:rsidP="00AE22BB">
      <w:pPr>
        <w:ind w:left="720"/>
        <w:rPr>
          <w:rFonts w:ascii="Verdana" w:hAnsi="Verdana" w:cs="Arial"/>
          <w:sz w:val="20"/>
          <w:szCs w:val="20"/>
        </w:rPr>
      </w:pPr>
    </w:p>
    <w:p w:rsidR="00A34BFA" w:rsidRPr="002A6AB0" w:rsidRDefault="00A34BFA" w:rsidP="00AE22BB">
      <w:pPr>
        <w:tabs>
          <w:tab w:val="left" w:pos="360"/>
        </w:tabs>
        <w:spacing w:line="480" w:lineRule="auto"/>
        <w:jc w:val="center"/>
        <w:rPr>
          <w:b/>
        </w:rPr>
      </w:pPr>
      <w:r w:rsidRPr="008B019A">
        <w:rPr>
          <w:b/>
        </w:rPr>
        <w:t>Analysis Plan</w:t>
      </w:r>
    </w:p>
    <w:p w:rsidR="00A34BFA" w:rsidRPr="0075483A" w:rsidRDefault="00A34BFA" w:rsidP="00AE22BB">
      <w:pPr>
        <w:autoSpaceDE w:val="0"/>
        <w:autoSpaceDN w:val="0"/>
        <w:adjustRightInd w:val="0"/>
        <w:spacing w:line="480" w:lineRule="auto"/>
        <w:ind w:firstLine="720"/>
      </w:pPr>
      <w:r w:rsidRPr="0075483A">
        <w:t>Prior to main analys</w:t>
      </w:r>
      <w:r>
        <w:t>e</w:t>
      </w:r>
      <w:r w:rsidRPr="0075483A">
        <w:t>s</w:t>
      </w:r>
      <w:r>
        <w:t xml:space="preserve"> in both </w:t>
      </w:r>
      <w:r w:rsidR="009E4840">
        <w:t>studies</w:t>
      </w:r>
      <w:r w:rsidRPr="0075483A">
        <w:t xml:space="preserve">, we will perform an outlier analysis </w:t>
      </w:r>
      <w:r>
        <w:t xml:space="preserve">by flagging inactive (i.e. spend more than 10 minutes on a question) and multi-session (i.e., close survey browser) participants and examining whether their responses on key outcome variables are significantly different than other participants.  </w:t>
      </w:r>
      <w:r w:rsidRPr="00531C0F">
        <w:t>We will also examine whether there are differences in</w:t>
      </w:r>
      <w:r>
        <w:t xml:space="preserve"> responses on key outcome variables for participants who pass and who fail the attention filter item and assess the extent of any </w:t>
      </w:r>
      <w:r w:rsidRPr="00806D21">
        <w:t xml:space="preserve">missing </w:t>
      </w:r>
      <w:r>
        <w:t xml:space="preserve">information to determine the data quality.  </w:t>
      </w:r>
      <w:r w:rsidRPr="0075483A">
        <w:t>Descriptive statistics will</w:t>
      </w:r>
      <w:r>
        <w:t xml:space="preserve"> </w:t>
      </w:r>
      <w:r w:rsidRPr="0075483A">
        <w:t xml:space="preserve">afford a look at the frequency of certain key responses, such as the number of respondents </w:t>
      </w:r>
      <w:r>
        <w:t>who can accurately identify a composite score</w:t>
      </w:r>
      <w:r w:rsidRPr="0075483A">
        <w:t xml:space="preserve">. </w:t>
      </w:r>
      <w:r>
        <w:t xml:space="preserve"> </w:t>
      </w:r>
      <w:r w:rsidRPr="0075483A">
        <w:t xml:space="preserve">Regression will allow us to assess the </w:t>
      </w:r>
      <w:r>
        <w:t xml:space="preserve">effect </w:t>
      </w:r>
      <w:r w:rsidRPr="0075483A">
        <w:t>of various</w:t>
      </w:r>
      <w:r>
        <w:t xml:space="preserve"> </w:t>
      </w:r>
      <w:r w:rsidRPr="0075483A">
        <w:t>independent variables on key outcomes when we control for several variables simultaneously</w:t>
      </w:r>
      <w:r>
        <w:t>.</w:t>
      </w:r>
      <w:r w:rsidRPr="0075483A">
        <w:t xml:space="preserve"> </w:t>
      </w:r>
      <w:r>
        <w:t xml:space="preserve"> W</w:t>
      </w:r>
      <w:r w:rsidRPr="0075483A">
        <w:t>e can use</w:t>
      </w:r>
      <w:r>
        <w:t xml:space="preserve"> </w:t>
      </w:r>
      <w:r w:rsidRPr="0075483A">
        <w:t xml:space="preserve">ordinary least squares regression for continuous variables and logistic regression where the </w:t>
      </w:r>
      <w:r>
        <w:t xml:space="preserve">outcome </w:t>
      </w:r>
      <w:r w:rsidRPr="0075483A">
        <w:t>variables are</w:t>
      </w:r>
      <w:r>
        <w:t xml:space="preserve"> </w:t>
      </w:r>
      <w:r w:rsidRPr="0075483A">
        <w:t xml:space="preserve">categorical in nature. </w:t>
      </w:r>
      <w:r>
        <w:t xml:space="preserve"> </w:t>
      </w:r>
      <w:r w:rsidRPr="0075483A">
        <w:t>Regression also offers a framework within which we can assess potential</w:t>
      </w:r>
      <w:r>
        <w:t xml:space="preserve"> </w:t>
      </w:r>
      <w:r w:rsidRPr="0075483A">
        <w:t xml:space="preserve">moderating factors, such as </w:t>
      </w:r>
      <w:r>
        <w:t>education or age,</w:t>
      </w:r>
      <w:r w:rsidRPr="00786F60">
        <w:t xml:space="preserve"> </w:t>
      </w:r>
      <w:r>
        <w:t xml:space="preserve">on the relationship between </w:t>
      </w:r>
      <w:r w:rsidRPr="00A136A2">
        <w:t>consumer understanding of composite endpoint scores</w:t>
      </w:r>
      <w:r>
        <w:t xml:space="preserve"> and perceived efficacy</w:t>
      </w:r>
      <w:r w:rsidRPr="0075483A">
        <w:t xml:space="preserve">. </w:t>
      </w:r>
      <w:r>
        <w:t xml:space="preserve"> </w:t>
      </w:r>
      <w:r w:rsidRPr="0075483A">
        <w:t>For questions of mediation, structural equation modeling will allow us to build an overall</w:t>
      </w:r>
      <w:r>
        <w:t xml:space="preserve"> </w:t>
      </w:r>
      <w:r w:rsidRPr="0075483A">
        <w:t>path analysis model.</w:t>
      </w:r>
    </w:p>
    <w:p w:rsidR="00A34BFA" w:rsidRDefault="00A34BFA" w:rsidP="00AE22BB">
      <w:pPr>
        <w:autoSpaceDE w:val="0"/>
        <w:autoSpaceDN w:val="0"/>
        <w:adjustRightInd w:val="0"/>
        <w:spacing w:line="480" w:lineRule="auto"/>
        <w:ind w:firstLine="720"/>
      </w:pPr>
      <w:r w:rsidRPr="0075483A">
        <w:lastRenderedPageBreak/>
        <w:t>We will implement analyses using SUDAAN (version 10) to take into account the complexity of</w:t>
      </w:r>
      <w:r>
        <w:t xml:space="preserve"> </w:t>
      </w:r>
      <w:r w:rsidRPr="0075483A">
        <w:t xml:space="preserve">the </w:t>
      </w:r>
      <w:r>
        <w:t xml:space="preserve">study </w:t>
      </w:r>
      <w:r w:rsidRPr="0075483A">
        <w:t xml:space="preserve">design </w:t>
      </w:r>
      <w:r>
        <w:t xml:space="preserve">as a result of </w:t>
      </w:r>
      <w:r w:rsidRPr="0075483A">
        <w:t xml:space="preserve">weighting, clustering, and stratification. </w:t>
      </w:r>
      <w:r>
        <w:t>We will also reproduce some of the analysis results using the SPSS computer program; the Complex Samples add-on module will be used to account for the complex survey design and appropriately use the analysis weights.</w:t>
      </w:r>
    </w:p>
    <w:p w:rsidR="00A34BFA" w:rsidRDefault="00A34BFA" w:rsidP="00AE22BB">
      <w:pPr>
        <w:spacing w:line="480" w:lineRule="auto"/>
        <w:ind w:firstLine="720"/>
      </w:pPr>
      <w:r>
        <w:t xml:space="preserve">For </w:t>
      </w:r>
      <w:r w:rsidR="009E4840">
        <w:t xml:space="preserve">Study </w:t>
      </w:r>
      <w:r>
        <w:t xml:space="preserve">2, we will test whether there is a main effect of the educational intervention (present/absent), a main effect of type of information (general indication, list of symptoms, or composite definition), and/or an interaction between educational intervention and type of information on our main dependent variables (e.g., </w:t>
      </w:r>
      <w:r w:rsidRPr="00C2668E">
        <w:t>consumers’ awareness and comprehension of the composite score concept, perceived drug efficacy, and risk recall</w:t>
      </w:r>
      <w:r>
        <w:t xml:space="preserve">) using ANOVAs.  We will conduct ANOVAs both with and without covariates (e.g., demographic characteristics) included in the model.  In addition, we will test whether </w:t>
      </w:r>
      <w:r w:rsidRPr="00E04850">
        <w:t xml:space="preserve">effects are moderated by </w:t>
      </w:r>
      <w:r>
        <w:t>other measured variables (e.g.,</w:t>
      </w:r>
      <w:r w:rsidRPr="00BB3CD3">
        <w:t xml:space="preserve"> </w:t>
      </w:r>
      <w:r>
        <w:t>health literacy</w:t>
      </w:r>
      <w:r w:rsidRPr="00E04850">
        <w:t xml:space="preserve">).  If </w:t>
      </w:r>
      <w:r>
        <w:t xml:space="preserve">a main effect is significant, we will conduct pairwise-comparisons to determine which conditions are significantly different from one another.  We will also conduct planned comparisons in line with our hypotheses (see above).  </w:t>
      </w:r>
    </w:p>
    <w:p w:rsidR="00A34BFA" w:rsidRPr="00821AA1" w:rsidRDefault="00A34BFA" w:rsidP="00AE22BB">
      <w:pPr>
        <w:spacing w:line="480" w:lineRule="auto"/>
        <w:jc w:val="center"/>
        <w:rPr>
          <w:b/>
        </w:rPr>
      </w:pPr>
      <w:r w:rsidRPr="00821AA1">
        <w:rPr>
          <w:b/>
        </w:rPr>
        <w:t>Power</w:t>
      </w:r>
      <w:r>
        <w:rPr>
          <w:b/>
        </w:rPr>
        <w:t xml:space="preserve"> Analysis</w:t>
      </w:r>
    </w:p>
    <w:p w:rsidR="009B66E4" w:rsidRPr="009B66E4" w:rsidRDefault="009B66E4" w:rsidP="009B66E4">
      <w:pPr>
        <w:pStyle w:val="BodyText1"/>
        <w:spacing w:after="120" w:line="480" w:lineRule="auto"/>
        <w:ind w:firstLine="0"/>
        <w:rPr>
          <w:b/>
          <w:sz w:val="24"/>
          <w:szCs w:val="24"/>
        </w:rPr>
      </w:pPr>
      <w:r w:rsidRPr="009B66E4">
        <w:rPr>
          <w:b/>
          <w:sz w:val="24"/>
          <w:szCs w:val="24"/>
        </w:rPr>
        <w:t>Study 1</w:t>
      </w:r>
    </w:p>
    <w:p w:rsidR="001136BD" w:rsidRPr="009B66E4" w:rsidRDefault="001136BD" w:rsidP="001136BD">
      <w:pPr>
        <w:pStyle w:val="BodyText1"/>
        <w:spacing w:after="120" w:line="480" w:lineRule="auto"/>
        <w:rPr>
          <w:sz w:val="24"/>
          <w:szCs w:val="24"/>
        </w:rPr>
      </w:pPr>
      <w:r w:rsidRPr="009B66E4">
        <w:rPr>
          <w:sz w:val="24"/>
          <w:szCs w:val="24"/>
        </w:rPr>
        <w:t>The proposed study design consists of 1,600 participants.  All power calculations are for a two-tailed test.  We assumed a design effect equal to 1. If the study involves over or under sampling, the design effect will increase and reduce the power.</w:t>
      </w:r>
    </w:p>
    <w:p w:rsidR="001136BD" w:rsidRPr="009B66E4" w:rsidRDefault="00373343" w:rsidP="001136BD">
      <w:pPr>
        <w:pStyle w:val="BodyText1"/>
        <w:spacing w:line="480" w:lineRule="auto"/>
        <w:rPr>
          <w:sz w:val="24"/>
          <w:szCs w:val="24"/>
        </w:rPr>
      </w:pPr>
      <w:r>
        <w:rPr>
          <w:b/>
          <w:bCs/>
          <w:sz w:val="24"/>
          <w:szCs w:val="24"/>
        </w:rPr>
        <w:t>Hypothesis 1: Education L</w:t>
      </w:r>
      <w:r w:rsidR="001136BD" w:rsidRPr="009B66E4">
        <w:rPr>
          <w:b/>
          <w:bCs/>
          <w:sz w:val="24"/>
          <w:szCs w:val="24"/>
        </w:rPr>
        <w:t>evel and Comprehension</w:t>
      </w:r>
      <w:r w:rsidR="001136BD" w:rsidRPr="009B66E4">
        <w:rPr>
          <w:sz w:val="24"/>
          <w:szCs w:val="24"/>
        </w:rPr>
        <w:t xml:space="preserve">. </w:t>
      </w:r>
      <w:r>
        <w:rPr>
          <w:sz w:val="24"/>
          <w:szCs w:val="24"/>
        </w:rPr>
        <w:t>P</w:t>
      </w:r>
      <w:r w:rsidR="001136BD" w:rsidRPr="009B66E4">
        <w:rPr>
          <w:sz w:val="24"/>
          <w:szCs w:val="24"/>
        </w:rPr>
        <w:t xml:space="preserve">articipants </w:t>
      </w:r>
      <w:r>
        <w:rPr>
          <w:sz w:val="24"/>
          <w:szCs w:val="24"/>
        </w:rPr>
        <w:t xml:space="preserve">with lower levels of education </w:t>
      </w:r>
      <w:r w:rsidR="001136BD" w:rsidRPr="009B66E4">
        <w:rPr>
          <w:sz w:val="24"/>
          <w:szCs w:val="24"/>
        </w:rPr>
        <w:t>will exhibit poorer comprehension of composite endpoint scores than participants</w:t>
      </w:r>
      <w:r>
        <w:rPr>
          <w:sz w:val="24"/>
          <w:szCs w:val="24"/>
        </w:rPr>
        <w:t xml:space="preserve"> with higher levels of education</w:t>
      </w:r>
      <w:r w:rsidR="001136BD" w:rsidRPr="009B66E4">
        <w:rPr>
          <w:sz w:val="24"/>
          <w:szCs w:val="24"/>
        </w:rPr>
        <w:t>.</w:t>
      </w:r>
    </w:p>
    <w:p w:rsidR="009B66E4" w:rsidRDefault="001136BD" w:rsidP="009B66E4">
      <w:pPr>
        <w:pStyle w:val="BodyText1"/>
        <w:spacing w:after="120" w:line="480" w:lineRule="auto"/>
        <w:rPr>
          <w:sz w:val="24"/>
          <w:szCs w:val="24"/>
        </w:rPr>
      </w:pPr>
      <w:r w:rsidRPr="009B66E4">
        <w:rPr>
          <w:sz w:val="24"/>
          <w:szCs w:val="24"/>
        </w:rPr>
        <w:lastRenderedPageBreak/>
        <w:t>The G*Power program</w:t>
      </w:r>
      <w:r w:rsidR="009B66E4">
        <w:rPr>
          <w:rStyle w:val="FootnoteReference"/>
          <w:sz w:val="24"/>
          <w:szCs w:val="24"/>
        </w:rPr>
        <w:footnoteReference w:id="2"/>
      </w:r>
      <w:r w:rsidRPr="009B66E4">
        <w:rPr>
          <w:sz w:val="24"/>
          <w:szCs w:val="24"/>
        </w:rPr>
        <w:t xml:space="preserve"> was used to calculate the power of a t-test for independent groups to detect differences in comprehension between less educated and more educated participants.  We defined less educated as a participant who did not have any education past high school.  We assumed that this study would have a similar percentage of less educated participants as we had in a recent, similar FDA-funded study (20.6%).   The power results for Hypothesis 1 are shown in </w:t>
      </w:r>
      <w:r w:rsidR="009B66E4">
        <w:rPr>
          <w:sz w:val="24"/>
          <w:szCs w:val="24"/>
        </w:rPr>
        <w:t>Table 2</w:t>
      </w:r>
      <w:r w:rsidRPr="009B66E4">
        <w:rPr>
          <w:sz w:val="24"/>
          <w:szCs w:val="24"/>
        </w:rPr>
        <w:t>.</w:t>
      </w:r>
    </w:p>
    <w:p w:rsidR="001136BD" w:rsidRPr="009B66E4" w:rsidRDefault="009B66E4" w:rsidP="009B66E4">
      <w:pPr>
        <w:pStyle w:val="BodyText1"/>
        <w:spacing w:after="120" w:line="240" w:lineRule="auto"/>
        <w:ind w:firstLine="0"/>
        <w:rPr>
          <w:sz w:val="24"/>
          <w:szCs w:val="24"/>
        </w:rPr>
      </w:pPr>
      <w:proofErr w:type="gramStart"/>
      <w:r>
        <w:rPr>
          <w:sz w:val="24"/>
          <w:szCs w:val="24"/>
        </w:rPr>
        <w:t>Table 2</w:t>
      </w:r>
      <w:r w:rsidR="001136BD" w:rsidRPr="009B66E4">
        <w:rPr>
          <w:sz w:val="24"/>
          <w:szCs w:val="24"/>
        </w:rPr>
        <w:t>.</w:t>
      </w:r>
      <w:proofErr w:type="gramEnd"/>
      <w:r w:rsidR="001136BD" w:rsidRPr="009B66E4">
        <w:rPr>
          <w:sz w:val="24"/>
          <w:szCs w:val="24"/>
        </w:rPr>
        <w:t xml:space="preserve">  Power for Comprehension Comparisons between Less Educated and</w:t>
      </w:r>
      <w:r>
        <w:rPr>
          <w:sz w:val="24"/>
          <w:szCs w:val="24"/>
        </w:rPr>
        <w:t xml:space="preserve"> </w:t>
      </w:r>
      <w:r w:rsidR="001136BD" w:rsidRPr="009B66E4">
        <w:rPr>
          <w:sz w:val="24"/>
          <w:szCs w:val="24"/>
        </w:rPr>
        <w:t>More Educated Participants</w:t>
      </w:r>
    </w:p>
    <w:tbl>
      <w:tblPr>
        <w:tblStyle w:val="TableGrid"/>
        <w:tblW w:w="0" w:type="auto"/>
        <w:tblLook w:val="04A0" w:firstRow="1" w:lastRow="0" w:firstColumn="1" w:lastColumn="0" w:noHBand="0" w:noVBand="1"/>
      </w:tblPr>
      <w:tblGrid>
        <w:gridCol w:w="3822"/>
        <w:gridCol w:w="1270"/>
        <w:gridCol w:w="1270"/>
        <w:gridCol w:w="1377"/>
        <w:gridCol w:w="1112"/>
        <w:gridCol w:w="869"/>
      </w:tblGrid>
      <w:tr w:rsidR="001136BD" w:rsidRPr="002B0BE2" w:rsidTr="009B1228">
        <w:trPr>
          <w:trHeight w:val="323"/>
        </w:trPr>
        <w:tc>
          <w:tcPr>
            <w:tcW w:w="4161" w:type="dxa"/>
            <w:vMerge w:val="restart"/>
            <w:shd w:val="clear" w:color="auto" w:fill="auto"/>
            <w:vAlign w:val="bottom"/>
          </w:tcPr>
          <w:p w:rsidR="001136BD" w:rsidRPr="002B0BE2" w:rsidRDefault="001136BD" w:rsidP="009B1228">
            <w:pPr>
              <w:jc w:val="center"/>
            </w:pPr>
            <w:r w:rsidRPr="002B0BE2">
              <w:rPr>
                <w:b/>
                <w:bCs/>
              </w:rPr>
              <w:t>Education</w:t>
            </w:r>
          </w:p>
        </w:tc>
        <w:tc>
          <w:tcPr>
            <w:tcW w:w="2274" w:type="dxa"/>
            <w:gridSpan w:val="2"/>
            <w:shd w:val="clear" w:color="auto" w:fill="auto"/>
            <w:vAlign w:val="bottom"/>
          </w:tcPr>
          <w:p w:rsidR="001136BD" w:rsidRPr="00B95C53" w:rsidRDefault="001136BD" w:rsidP="009B1228">
            <w:pPr>
              <w:jc w:val="center"/>
              <w:rPr>
                <w:b/>
                <w:bCs/>
              </w:rPr>
            </w:pPr>
            <w:r w:rsidRPr="00B95C53">
              <w:rPr>
                <w:b/>
                <w:bCs/>
              </w:rPr>
              <w:t>Sample Size Per Group</w:t>
            </w:r>
          </w:p>
        </w:tc>
        <w:tc>
          <w:tcPr>
            <w:tcW w:w="1217" w:type="dxa"/>
            <w:vMerge w:val="restart"/>
            <w:shd w:val="clear" w:color="auto" w:fill="auto"/>
            <w:vAlign w:val="bottom"/>
          </w:tcPr>
          <w:p w:rsidR="001136BD" w:rsidRPr="002B0BE2" w:rsidRDefault="001136BD" w:rsidP="009B1228">
            <w:pPr>
              <w:jc w:val="center"/>
            </w:pPr>
            <w:r w:rsidRPr="00674402">
              <w:rPr>
                <w:b/>
                <w:bCs/>
              </w:rPr>
              <w:t xml:space="preserve">Probability of Type </w:t>
            </w:r>
            <w:r>
              <w:rPr>
                <w:b/>
                <w:bCs/>
              </w:rPr>
              <w:t>I Error (α)</w:t>
            </w:r>
          </w:p>
        </w:tc>
        <w:tc>
          <w:tcPr>
            <w:tcW w:w="1119" w:type="dxa"/>
            <w:vMerge w:val="restart"/>
            <w:shd w:val="clear" w:color="auto" w:fill="auto"/>
            <w:vAlign w:val="bottom"/>
          </w:tcPr>
          <w:p w:rsidR="001136BD" w:rsidRDefault="001136BD" w:rsidP="009B1228">
            <w:pPr>
              <w:jc w:val="center"/>
              <w:rPr>
                <w:b/>
                <w:bCs/>
              </w:rPr>
            </w:pPr>
            <w:r>
              <w:rPr>
                <w:b/>
                <w:bCs/>
              </w:rPr>
              <w:t>Cohen’s</w:t>
            </w:r>
          </w:p>
          <w:p w:rsidR="001136BD" w:rsidRPr="002B0BE2" w:rsidRDefault="001136BD" w:rsidP="009B1228">
            <w:pPr>
              <w:jc w:val="center"/>
            </w:pPr>
            <w:r w:rsidRPr="00674402">
              <w:rPr>
                <w:b/>
                <w:bCs/>
              </w:rPr>
              <w:t>Effect Size</w:t>
            </w:r>
            <w:r w:rsidR="009B66E4">
              <w:rPr>
                <w:rStyle w:val="FootnoteReference"/>
                <w:b/>
                <w:bCs/>
              </w:rPr>
              <w:footnoteReference w:id="3"/>
            </w:r>
          </w:p>
        </w:tc>
        <w:tc>
          <w:tcPr>
            <w:tcW w:w="805" w:type="dxa"/>
            <w:vMerge w:val="restart"/>
            <w:shd w:val="clear" w:color="auto" w:fill="auto"/>
            <w:vAlign w:val="bottom"/>
          </w:tcPr>
          <w:p w:rsidR="001136BD" w:rsidRPr="002B0BE2" w:rsidRDefault="001136BD" w:rsidP="009B1228">
            <w:pPr>
              <w:jc w:val="center"/>
            </w:pPr>
            <w:r w:rsidRPr="00674402">
              <w:rPr>
                <w:b/>
                <w:bCs/>
              </w:rPr>
              <w:t>Power</w:t>
            </w:r>
          </w:p>
        </w:tc>
      </w:tr>
      <w:tr w:rsidR="001136BD" w:rsidRPr="002B0BE2" w:rsidTr="009B1228">
        <w:trPr>
          <w:trHeight w:val="323"/>
        </w:trPr>
        <w:tc>
          <w:tcPr>
            <w:tcW w:w="4161" w:type="dxa"/>
            <w:vMerge/>
            <w:shd w:val="clear" w:color="auto" w:fill="auto"/>
            <w:vAlign w:val="center"/>
          </w:tcPr>
          <w:p w:rsidR="001136BD" w:rsidRPr="002B0BE2" w:rsidRDefault="001136BD" w:rsidP="009B1228">
            <w:pPr>
              <w:jc w:val="center"/>
            </w:pPr>
          </w:p>
        </w:tc>
        <w:tc>
          <w:tcPr>
            <w:tcW w:w="1137" w:type="dxa"/>
            <w:shd w:val="clear" w:color="auto" w:fill="auto"/>
          </w:tcPr>
          <w:p w:rsidR="001136BD" w:rsidRPr="00674402" w:rsidRDefault="001136BD" w:rsidP="009B1228">
            <w:pPr>
              <w:jc w:val="center"/>
              <w:rPr>
                <w:b/>
                <w:bCs/>
              </w:rPr>
            </w:pPr>
            <w:r w:rsidRPr="00674402">
              <w:rPr>
                <w:b/>
                <w:bCs/>
              </w:rPr>
              <w:t>Less Education</w:t>
            </w:r>
          </w:p>
        </w:tc>
        <w:tc>
          <w:tcPr>
            <w:tcW w:w="1137" w:type="dxa"/>
            <w:shd w:val="clear" w:color="auto" w:fill="auto"/>
            <w:vAlign w:val="bottom"/>
          </w:tcPr>
          <w:p w:rsidR="001136BD" w:rsidRPr="00674402" w:rsidRDefault="001136BD" w:rsidP="009B1228">
            <w:pPr>
              <w:jc w:val="center"/>
              <w:rPr>
                <w:b/>
                <w:bCs/>
              </w:rPr>
            </w:pPr>
            <w:r w:rsidRPr="00674402">
              <w:rPr>
                <w:b/>
                <w:bCs/>
              </w:rPr>
              <w:t>More Education</w:t>
            </w:r>
          </w:p>
        </w:tc>
        <w:tc>
          <w:tcPr>
            <w:tcW w:w="1217" w:type="dxa"/>
            <w:vMerge/>
            <w:shd w:val="clear" w:color="auto" w:fill="auto"/>
            <w:vAlign w:val="bottom"/>
          </w:tcPr>
          <w:p w:rsidR="001136BD" w:rsidRPr="00674402" w:rsidRDefault="001136BD" w:rsidP="009B1228">
            <w:pPr>
              <w:jc w:val="center"/>
              <w:rPr>
                <w:b/>
                <w:bCs/>
              </w:rPr>
            </w:pPr>
          </w:p>
        </w:tc>
        <w:tc>
          <w:tcPr>
            <w:tcW w:w="1119" w:type="dxa"/>
            <w:vMerge/>
            <w:shd w:val="clear" w:color="auto" w:fill="auto"/>
            <w:vAlign w:val="bottom"/>
          </w:tcPr>
          <w:p w:rsidR="001136BD" w:rsidRPr="00674402" w:rsidRDefault="001136BD" w:rsidP="009B1228">
            <w:pPr>
              <w:jc w:val="center"/>
              <w:rPr>
                <w:b/>
                <w:bCs/>
              </w:rPr>
            </w:pPr>
          </w:p>
        </w:tc>
        <w:tc>
          <w:tcPr>
            <w:tcW w:w="805" w:type="dxa"/>
            <w:vMerge/>
            <w:shd w:val="clear" w:color="auto" w:fill="auto"/>
            <w:vAlign w:val="bottom"/>
          </w:tcPr>
          <w:p w:rsidR="001136BD" w:rsidRPr="00674402" w:rsidRDefault="001136BD" w:rsidP="009B1228">
            <w:pPr>
              <w:jc w:val="center"/>
              <w:rPr>
                <w:b/>
                <w:bCs/>
              </w:rPr>
            </w:pPr>
          </w:p>
        </w:tc>
      </w:tr>
      <w:tr w:rsidR="001136BD" w:rsidRPr="002B0BE2" w:rsidTr="009B1228">
        <w:trPr>
          <w:trHeight w:val="323"/>
        </w:trPr>
        <w:tc>
          <w:tcPr>
            <w:tcW w:w="4161" w:type="dxa"/>
            <w:vMerge w:val="restart"/>
            <w:shd w:val="clear" w:color="auto" w:fill="auto"/>
            <w:vAlign w:val="center"/>
          </w:tcPr>
          <w:p w:rsidR="00373343" w:rsidRDefault="001136BD" w:rsidP="00373343">
            <w:pPr>
              <w:jc w:val="center"/>
            </w:pPr>
            <w:r w:rsidRPr="002B0BE2">
              <w:t>High School or Less</w:t>
            </w:r>
          </w:p>
          <w:p w:rsidR="00373343" w:rsidRDefault="001136BD" w:rsidP="00373343">
            <w:pPr>
              <w:jc w:val="center"/>
            </w:pPr>
            <w:r w:rsidRPr="002B0BE2">
              <w:t>vs</w:t>
            </w:r>
            <w:r>
              <w:t>.</w:t>
            </w:r>
          </w:p>
          <w:p w:rsidR="001136BD" w:rsidRPr="002B0BE2" w:rsidRDefault="001136BD" w:rsidP="00373343">
            <w:pPr>
              <w:jc w:val="center"/>
            </w:pPr>
            <w:r>
              <w:t xml:space="preserve">More </w:t>
            </w:r>
            <w:r w:rsidRPr="002B0BE2">
              <w:t>than High School</w:t>
            </w:r>
          </w:p>
        </w:tc>
        <w:tc>
          <w:tcPr>
            <w:tcW w:w="1137" w:type="dxa"/>
            <w:vMerge w:val="restart"/>
            <w:shd w:val="clear" w:color="auto" w:fill="auto"/>
            <w:vAlign w:val="center"/>
          </w:tcPr>
          <w:p w:rsidR="001136BD" w:rsidRPr="002B0BE2" w:rsidRDefault="001136BD" w:rsidP="009B1228">
            <w:pPr>
              <w:spacing w:after="120"/>
              <w:jc w:val="center"/>
            </w:pPr>
            <w:r w:rsidRPr="002B0BE2">
              <w:t>330</w:t>
            </w:r>
          </w:p>
        </w:tc>
        <w:tc>
          <w:tcPr>
            <w:tcW w:w="1137" w:type="dxa"/>
            <w:vMerge w:val="restart"/>
            <w:shd w:val="clear" w:color="auto" w:fill="auto"/>
            <w:vAlign w:val="center"/>
          </w:tcPr>
          <w:p w:rsidR="001136BD" w:rsidRPr="002B0BE2" w:rsidRDefault="001136BD" w:rsidP="009B1228">
            <w:pPr>
              <w:spacing w:after="120"/>
              <w:jc w:val="center"/>
            </w:pPr>
            <w:r w:rsidRPr="002B0BE2">
              <w:t>1,270</w:t>
            </w:r>
          </w:p>
        </w:tc>
        <w:tc>
          <w:tcPr>
            <w:tcW w:w="1217" w:type="dxa"/>
            <w:vMerge w:val="restart"/>
            <w:shd w:val="clear" w:color="auto" w:fill="auto"/>
            <w:vAlign w:val="center"/>
          </w:tcPr>
          <w:p w:rsidR="001136BD" w:rsidRPr="00633435" w:rsidRDefault="001136BD" w:rsidP="009B1228">
            <w:pPr>
              <w:spacing w:after="120"/>
              <w:jc w:val="center"/>
            </w:pPr>
            <w:r w:rsidRPr="00633435">
              <w:t>0.05</w:t>
            </w:r>
          </w:p>
        </w:tc>
        <w:tc>
          <w:tcPr>
            <w:tcW w:w="1119" w:type="dxa"/>
            <w:shd w:val="clear" w:color="auto" w:fill="auto"/>
            <w:vAlign w:val="bottom"/>
          </w:tcPr>
          <w:p w:rsidR="001136BD" w:rsidRPr="00556D96" w:rsidRDefault="001136BD" w:rsidP="009B1228">
            <w:pPr>
              <w:jc w:val="center"/>
            </w:pPr>
            <w:r w:rsidRPr="00556D96">
              <w:t>0.2</w:t>
            </w:r>
          </w:p>
        </w:tc>
        <w:tc>
          <w:tcPr>
            <w:tcW w:w="805" w:type="dxa"/>
            <w:shd w:val="clear" w:color="auto" w:fill="auto"/>
            <w:vAlign w:val="bottom"/>
          </w:tcPr>
          <w:p w:rsidR="001136BD" w:rsidRPr="00556D96" w:rsidRDefault="001136BD" w:rsidP="009B1228">
            <w:pPr>
              <w:jc w:val="center"/>
            </w:pPr>
            <w:r w:rsidRPr="00556D96">
              <w:t>0.90</w:t>
            </w:r>
          </w:p>
        </w:tc>
      </w:tr>
      <w:tr w:rsidR="001136BD" w:rsidRPr="002B0BE2" w:rsidTr="009B1228">
        <w:tc>
          <w:tcPr>
            <w:tcW w:w="4161" w:type="dxa"/>
            <w:vMerge/>
            <w:shd w:val="clear" w:color="auto" w:fill="auto"/>
          </w:tcPr>
          <w:p w:rsidR="001136BD" w:rsidRPr="002B0BE2" w:rsidRDefault="001136BD" w:rsidP="009B1228">
            <w:pPr>
              <w:jc w:val="center"/>
            </w:pPr>
          </w:p>
        </w:tc>
        <w:tc>
          <w:tcPr>
            <w:tcW w:w="1137" w:type="dxa"/>
            <w:vMerge/>
            <w:shd w:val="clear" w:color="auto" w:fill="auto"/>
          </w:tcPr>
          <w:p w:rsidR="001136BD" w:rsidRPr="002B0BE2" w:rsidRDefault="001136BD" w:rsidP="009B1228">
            <w:pPr>
              <w:jc w:val="center"/>
            </w:pPr>
          </w:p>
        </w:tc>
        <w:tc>
          <w:tcPr>
            <w:tcW w:w="1137" w:type="dxa"/>
            <w:vMerge/>
            <w:shd w:val="clear" w:color="auto" w:fill="auto"/>
          </w:tcPr>
          <w:p w:rsidR="001136BD" w:rsidRPr="002B0BE2" w:rsidRDefault="001136BD" w:rsidP="009B1228">
            <w:pPr>
              <w:jc w:val="center"/>
            </w:pPr>
          </w:p>
        </w:tc>
        <w:tc>
          <w:tcPr>
            <w:tcW w:w="1217" w:type="dxa"/>
            <w:vMerge/>
            <w:shd w:val="clear" w:color="auto" w:fill="auto"/>
          </w:tcPr>
          <w:p w:rsidR="001136BD" w:rsidRPr="002B0BE2" w:rsidRDefault="001136BD" w:rsidP="009B1228">
            <w:pPr>
              <w:jc w:val="center"/>
            </w:pPr>
          </w:p>
        </w:tc>
        <w:tc>
          <w:tcPr>
            <w:tcW w:w="1119" w:type="dxa"/>
            <w:shd w:val="clear" w:color="auto" w:fill="auto"/>
            <w:vAlign w:val="center"/>
          </w:tcPr>
          <w:p w:rsidR="001136BD" w:rsidRPr="002B0BE2" w:rsidRDefault="001136BD" w:rsidP="009B1228">
            <w:pPr>
              <w:jc w:val="center"/>
            </w:pPr>
            <w:r w:rsidRPr="002B0BE2">
              <w:t>0.5</w:t>
            </w:r>
          </w:p>
        </w:tc>
        <w:tc>
          <w:tcPr>
            <w:tcW w:w="805" w:type="dxa"/>
            <w:shd w:val="clear" w:color="auto" w:fill="auto"/>
            <w:vAlign w:val="center"/>
          </w:tcPr>
          <w:p w:rsidR="001136BD" w:rsidRPr="002B0BE2" w:rsidRDefault="001136BD" w:rsidP="009B1228">
            <w:pPr>
              <w:jc w:val="center"/>
            </w:pPr>
            <w:r w:rsidRPr="002B0BE2">
              <w:t>0.99</w:t>
            </w:r>
          </w:p>
        </w:tc>
      </w:tr>
      <w:tr w:rsidR="001136BD" w:rsidTr="009B1228">
        <w:tc>
          <w:tcPr>
            <w:tcW w:w="4161" w:type="dxa"/>
            <w:vMerge/>
            <w:shd w:val="clear" w:color="auto" w:fill="auto"/>
          </w:tcPr>
          <w:p w:rsidR="001136BD" w:rsidRPr="002B0BE2" w:rsidRDefault="001136BD" w:rsidP="009B1228">
            <w:pPr>
              <w:jc w:val="center"/>
            </w:pPr>
          </w:p>
        </w:tc>
        <w:tc>
          <w:tcPr>
            <w:tcW w:w="1137" w:type="dxa"/>
            <w:vMerge/>
            <w:shd w:val="clear" w:color="auto" w:fill="auto"/>
          </w:tcPr>
          <w:p w:rsidR="001136BD" w:rsidRPr="002B0BE2" w:rsidRDefault="001136BD" w:rsidP="009B1228">
            <w:pPr>
              <w:jc w:val="center"/>
            </w:pPr>
          </w:p>
        </w:tc>
        <w:tc>
          <w:tcPr>
            <w:tcW w:w="1137" w:type="dxa"/>
            <w:vMerge/>
            <w:shd w:val="clear" w:color="auto" w:fill="auto"/>
          </w:tcPr>
          <w:p w:rsidR="001136BD" w:rsidRPr="002B0BE2" w:rsidRDefault="001136BD" w:rsidP="009B1228">
            <w:pPr>
              <w:jc w:val="center"/>
            </w:pPr>
          </w:p>
        </w:tc>
        <w:tc>
          <w:tcPr>
            <w:tcW w:w="1217" w:type="dxa"/>
            <w:vMerge/>
            <w:shd w:val="clear" w:color="auto" w:fill="auto"/>
          </w:tcPr>
          <w:p w:rsidR="001136BD" w:rsidRPr="002B0BE2" w:rsidRDefault="001136BD" w:rsidP="009B1228">
            <w:pPr>
              <w:jc w:val="center"/>
            </w:pPr>
          </w:p>
        </w:tc>
        <w:tc>
          <w:tcPr>
            <w:tcW w:w="1119" w:type="dxa"/>
            <w:shd w:val="clear" w:color="auto" w:fill="auto"/>
            <w:vAlign w:val="center"/>
          </w:tcPr>
          <w:p w:rsidR="001136BD" w:rsidRPr="002B0BE2" w:rsidRDefault="001136BD" w:rsidP="009B1228">
            <w:pPr>
              <w:jc w:val="center"/>
            </w:pPr>
            <w:r w:rsidRPr="002B0BE2">
              <w:t>0.8</w:t>
            </w:r>
          </w:p>
        </w:tc>
        <w:tc>
          <w:tcPr>
            <w:tcW w:w="805" w:type="dxa"/>
            <w:shd w:val="clear" w:color="auto" w:fill="auto"/>
            <w:vAlign w:val="center"/>
          </w:tcPr>
          <w:p w:rsidR="001136BD" w:rsidRDefault="001136BD" w:rsidP="009B1228">
            <w:pPr>
              <w:jc w:val="center"/>
            </w:pPr>
            <w:r w:rsidRPr="002B0BE2">
              <w:t>0.99</w:t>
            </w:r>
          </w:p>
        </w:tc>
      </w:tr>
    </w:tbl>
    <w:p w:rsidR="001136BD" w:rsidRDefault="001136BD" w:rsidP="001136BD"/>
    <w:p w:rsidR="00373343" w:rsidRDefault="00373343" w:rsidP="001136BD">
      <w:pPr>
        <w:spacing w:line="480" w:lineRule="auto"/>
        <w:rPr>
          <w:b/>
          <w:bCs/>
        </w:rPr>
      </w:pPr>
    </w:p>
    <w:p w:rsidR="001136BD" w:rsidRPr="009B66E4" w:rsidRDefault="001136BD" w:rsidP="00373343">
      <w:pPr>
        <w:spacing w:line="480" w:lineRule="auto"/>
        <w:ind w:firstLine="720"/>
      </w:pPr>
      <w:r w:rsidRPr="009B66E4">
        <w:rPr>
          <w:b/>
          <w:bCs/>
        </w:rPr>
        <w:t>Hypothesis 2: Age and Comprehension</w:t>
      </w:r>
      <w:r w:rsidRPr="009B66E4">
        <w:t>. Older participants will exhibit poorer comprehension of composite endpoint scores than younger participants.</w:t>
      </w:r>
    </w:p>
    <w:p w:rsidR="001136BD" w:rsidRPr="009B66E4" w:rsidRDefault="009B66E4" w:rsidP="001136BD">
      <w:pPr>
        <w:pStyle w:val="BodyText1"/>
        <w:spacing w:after="120" w:line="480" w:lineRule="auto"/>
        <w:rPr>
          <w:sz w:val="24"/>
          <w:szCs w:val="24"/>
        </w:rPr>
      </w:pPr>
      <w:r>
        <w:rPr>
          <w:sz w:val="24"/>
          <w:szCs w:val="24"/>
        </w:rPr>
        <w:t>The G*Power program</w:t>
      </w:r>
      <w:r w:rsidR="00373343">
        <w:rPr>
          <w:rStyle w:val="FootnoteReference"/>
          <w:sz w:val="24"/>
          <w:szCs w:val="24"/>
        </w:rPr>
        <w:footnoteReference w:id="4"/>
      </w:r>
      <w:r>
        <w:rPr>
          <w:sz w:val="24"/>
          <w:szCs w:val="24"/>
        </w:rPr>
        <w:t xml:space="preserve"> </w:t>
      </w:r>
      <w:r w:rsidR="001136BD" w:rsidRPr="009B66E4">
        <w:rPr>
          <w:sz w:val="24"/>
          <w:szCs w:val="24"/>
        </w:rPr>
        <w:t xml:space="preserve">was used to calculate the power of a t-test for independent groups to detect differences in comprehension between younger and older participants.  We defined an older participant as someone who was at least 55 years old.  We assumed that this study would have a similar percentage of older participants as we had had in a recent, similar FDA-funded study (63.3%).  The power results for Hypothesis 2 are shown in </w:t>
      </w:r>
      <w:r>
        <w:rPr>
          <w:sz w:val="24"/>
          <w:szCs w:val="24"/>
        </w:rPr>
        <w:t>Table 3</w:t>
      </w:r>
      <w:r w:rsidR="001136BD" w:rsidRPr="009B66E4">
        <w:rPr>
          <w:sz w:val="24"/>
          <w:szCs w:val="24"/>
        </w:rPr>
        <w:t>.</w:t>
      </w:r>
    </w:p>
    <w:p w:rsidR="009B66E4" w:rsidRDefault="009B66E4" w:rsidP="009B66E4">
      <w:pPr>
        <w:pStyle w:val="BodyText1"/>
        <w:spacing w:after="120"/>
        <w:ind w:firstLine="0"/>
        <w:rPr>
          <w:sz w:val="24"/>
          <w:szCs w:val="24"/>
        </w:rPr>
      </w:pPr>
    </w:p>
    <w:p w:rsidR="009B66E4" w:rsidRDefault="009B66E4" w:rsidP="009B66E4">
      <w:pPr>
        <w:pStyle w:val="BodyText1"/>
        <w:spacing w:after="120"/>
        <w:ind w:firstLine="0"/>
        <w:rPr>
          <w:sz w:val="24"/>
          <w:szCs w:val="24"/>
        </w:rPr>
      </w:pPr>
    </w:p>
    <w:p w:rsidR="009B66E4" w:rsidRDefault="009B66E4" w:rsidP="009B66E4">
      <w:pPr>
        <w:pStyle w:val="BodyText1"/>
        <w:spacing w:after="120"/>
        <w:ind w:firstLine="0"/>
        <w:rPr>
          <w:sz w:val="24"/>
          <w:szCs w:val="24"/>
        </w:rPr>
      </w:pPr>
    </w:p>
    <w:p w:rsidR="001136BD" w:rsidRPr="009B66E4" w:rsidRDefault="009B66E4" w:rsidP="009B66E4">
      <w:pPr>
        <w:pStyle w:val="BodyText1"/>
        <w:spacing w:after="120"/>
        <w:ind w:firstLine="0"/>
        <w:rPr>
          <w:sz w:val="24"/>
          <w:szCs w:val="24"/>
        </w:rPr>
      </w:pPr>
      <w:proofErr w:type="gramStart"/>
      <w:r>
        <w:rPr>
          <w:sz w:val="24"/>
          <w:szCs w:val="24"/>
        </w:rPr>
        <w:t>Table 3</w:t>
      </w:r>
      <w:r w:rsidR="001136BD" w:rsidRPr="009B66E4">
        <w:rPr>
          <w:sz w:val="24"/>
          <w:szCs w:val="24"/>
        </w:rPr>
        <w:t>.</w:t>
      </w:r>
      <w:proofErr w:type="gramEnd"/>
      <w:r w:rsidR="001136BD" w:rsidRPr="009B66E4">
        <w:rPr>
          <w:sz w:val="24"/>
          <w:szCs w:val="24"/>
        </w:rPr>
        <w:t xml:space="preserve">  Power for Comprehension Comparisons between Older and Younger Participants</w:t>
      </w:r>
    </w:p>
    <w:tbl>
      <w:tblPr>
        <w:tblStyle w:val="TableGrid"/>
        <w:tblW w:w="0" w:type="auto"/>
        <w:jc w:val="center"/>
        <w:tblInd w:w="-1770" w:type="dxa"/>
        <w:tblLook w:val="04A0" w:firstRow="1" w:lastRow="0" w:firstColumn="1" w:lastColumn="0" w:noHBand="0" w:noVBand="1"/>
      </w:tblPr>
      <w:tblGrid>
        <w:gridCol w:w="3325"/>
        <w:gridCol w:w="1137"/>
        <w:gridCol w:w="1137"/>
        <w:gridCol w:w="1377"/>
        <w:gridCol w:w="1303"/>
        <w:gridCol w:w="869"/>
      </w:tblGrid>
      <w:tr w:rsidR="001136BD" w:rsidTr="009B1228">
        <w:trPr>
          <w:jc w:val="center"/>
        </w:trPr>
        <w:tc>
          <w:tcPr>
            <w:tcW w:w="3325" w:type="dxa"/>
            <w:vMerge w:val="restart"/>
            <w:vAlign w:val="bottom"/>
          </w:tcPr>
          <w:p w:rsidR="001136BD" w:rsidRPr="00AA003D" w:rsidRDefault="001136BD" w:rsidP="009B1228">
            <w:pPr>
              <w:jc w:val="center"/>
              <w:rPr>
                <w:b/>
                <w:bCs/>
              </w:rPr>
            </w:pPr>
            <w:r w:rsidRPr="00AA003D">
              <w:rPr>
                <w:b/>
                <w:bCs/>
              </w:rPr>
              <w:t>Age</w:t>
            </w:r>
          </w:p>
        </w:tc>
        <w:tc>
          <w:tcPr>
            <w:tcW w:w="2274" w:type="dxa"/>
            <w:gridSpan w:val="2"/>
            <w:vAlign w:val="bottom"/>
          </w:tcPr>
          <w:p w:rsidR="001136BD" w:rsidRPr="00AA003D" w:rsidRDefault="001136BD" w:rsidP="009B1228">
            <w:pPr>
              <w:jc w:val="center"/>
              <w:rPr>
                <w:b/>
                <w:bCs/>
              </w:rPr>
            </w:pPr>
            <w:r w:rsidRPr="00AA003D">
              <w:rPr>
                <w:b/>
                <w:bCs/>
              </w:rPr>
              <w:t>Sample Size Per Group</w:t>
            </w:r>
          </w:p>
        </w:tc>
        <w:tc>
          <w:tcPr>
            <w:tcW w:w="1217" w:type="dxa"/>
            <w:vMerge w:val="restart"/>
            <w:vAlign w:val="bottom"/>
          </w:tcPr>
          <w:p w:rsidR="001136BD" w:rsidRPr="00AA003D" w:rsidRDefault="001136BD" w:rsidP="009B1228">
            <w:pPr>
              <w:jc w:val="center"/>
              <w:rPr>
                <w:b/>
                <w:bCs/>
              </w:rPr>
            </w:pPr>
            <w:r w:rsidRPr="00AA003D">
              <w:rPr>
                <w:b/>
                <w:bCs/>
              </w:rPr>
              <w:t>Probability of Type I Error (α)</w:t>
            </w:r>
          </w:p>
        </w:tc>
        <w:tc>
          <w:tcPr>
            <w:tcW w:w="0" w:type="auto"/>
            <w:vMerge w:val="restart"/>
            <w:vAlign w:val="bottom"/>
          </w:tcPr>
          <w:p w:rsidR="001136BD" w:rsidRDefault="001136BD" w:rsidP="009B1228">
            <w:pPr>
              <w:jc w:val="center"/>
              <w:rPr>
                <w:b/>
                <w:bCs/>
              </w:rPr>
            </w:pPr>
            <w:r>
              <w:rPr>
                <w:b/>
                <w:bCs/>
              </w:rPr>
              <w:t xml:space="preserve">Cohen’s </w:t>
            </w:r>
          </w:p>
          <w:p w:rsidR="001136BD" w:rsidRPr="00AA003D" w:rsidRDefault="001136BD" w:rsidP="009B1228">
            <w:pPr>
              <w:jc w:val="center"/>
              <w:rPr>
                <w:b/>
                <w:bCs/>
              </w:rPr>
            </w:pPr>
            <w:r w:rsidRPr="00AA003D">
              <w:rPr>
                <w:b/>
                <w:bCs/>
              </w:rPr>
              <w:t>Effect Size</w:t>
            </w:r>
          </w:p>
        </w:tc>
        <w:tc>
          <w:tcPr>
            <w:tcW w:w="0" w:type="auto"/>
            <w:vMerge w:val="restart"/>
            <w:vAlign w:val="bottom"/>
          </w:tcPr>
          <w:p w:rsidR="001136BD" w:rsidRPr="00AA003D" w:rsidRDefault="001136BD" w:rsidP="009B1228">
            <w:pPr>
              <w:jc w:val="center"/>
              <w:rPr>
                <w:b/>
                <w:bCs/>
              </w:rPr>
            </w:pPr>
            <w:r w:rsidRPr="00AA003D">
              <w:rPr>
                <w:b/>
                <w:bCs/>
              </w:rPr>
              <w:t>Power</w:t>
            </w:r>
          </w:p>
        </w:tc>
      </w:tr>
      <w:tr w:rsidR="001136BD" w:rsidTr="009B1228">
        <w:trPr>
          <w:jc w:val="center"/>
        </w:trPr>
        <w:tc>
          <w:tcPr>
            <w:tcW w:w="3325" w:type="dxa"/>
            <w:vMerge/>
            <w:vAlign w:val="bottom"/>
          </w:tcPr>
          <w:p w:rsidR="001136BD" w:rsidRDefault="001136BD" w:rsidP="009B1228">
            <w:pPr>
              <w:jc w:val="center"/>
            </w:pPr>
          </w:p>
        </w:tc>
        <w:tc>
          <w:tcPr>
            <w:tcW w:w="1137" w:type="dxa"/>
            <w:vAlign w:val="bottom"/>
          </w:tcPr>
          <w:p w:rsidR="001136BD" w:rsidRPr="00AA003D" w:rsidRDefault="001136BD" w:rsidP="009B1228">
            <w:pPr>
              <w:jc w:val="center"/>
              <w:rPr>
                <w:b/>
                <w:bCs/>
              </w:rPr>
            </w:pPr>
            <w:r w:rsidRPr="00AA003D">
              <w:rPr>
                <w:b/>
                <w:bCs/>
              </w:rPr>
              <w:t>Younger</w:t>
            </w:r>
          </w:p>
        </w:tc>
        <w:tc>
          <w:tcPr>
            <w:tcW w:w="1137" w:type="dxa"/>
            <w:vAlign w:val="bottom"/>
          </w:tcPr>
          <w:p w:rsidR="001136BD" w:rsidRPr="00AA003D" w:rsidRDefault="001136BD" w:rsidP="009B1228">
            <w:pPr>
              <w:jc w:val="center"/>
              <w:rPr>
                <w:b/>
                <w:bCs/>
              </w:rPr>
            </w:pPr>
            <w:r w:rsidRPr="00AA003D">
              <w:rPr>
                <w:b/>
                <w:bCs/>
              </w:rPr>
              <w:t>Older</w:t>
            </w:r>
          </w:p>
        </w:tc>
        <w:tc>
          <w:tcPr>
            <w:tcW w:w="1217" w:type="dxa"/>
            <w:vMerge/>
            <w:vAlign w:val="bottom"/>
          </w:tcPr>
          <w:p w:rsidR="001136BD" w:rsidRDefault="001136BD" w:rsidP="009B1228">
            <w:pPr>
              <w:jc w:val="center"/>
            </w:pPr>
          </w:p>
        </w:tc>
        <w:tc>
          <w:tcPr>
            <w:tcW w:w="0" w:type="auto"/>
            <w:vMerge/>
            <w:vAlign w:val="bottom"/>
          </w:tcPr>
          <w:p w:rsidR="001136BD" w:rsidRDefault="001136BD" w:rsidP="009B1228">
            <w:pPr>
              <w:jc w:val="center"/>
            </w:pPr>
          </w:p>
        </w:tc>
        <w:tc>
          <w:tcPr>
            <w:tcW w:w="0" w:type="auto"/>
            <w:vMerge/>
            <w:vAlign w:val="bottom"/>
          </w:tcPr>
          <w:p w:rsidR="001136BD" w:rsidRDefault="001136BD" w:rsidP="009B1228">
            <w:pPr>
              <w:jc w:val="center"/>
            </w:pPr>
          </w:p>
        </w:tc>
      </w:tr>
      <w:tr w:rsidR="001136BD" w:rsidTr="009B1228">
        <w:trPr>
          <w:trHeight w:val="323"/>
          <w:jc w:val="center"/>
        </w:trPr>
        <w:tc>
          <w:tcPr>
            <w:tcW w:w="3325" w:type="dxa"/>
            <w:vMerge w:val="restart"/>
            <w:vAlign w:val="center"/>
          </w:tcPr>
          <w:p w:rsidR="001136BD" w:rsidRDefault="001136BD" w:rsidP="00373343">
            <w:pPr>
              <w:jc w:val="center"/>
            </w:pPr>
            <w:r>
              <w:t>18-54 Years</w:t>
            </w:r>
            <w:r w:rsidR="00373343">
              <w:t xml:space="preserve"> </w:t>
            </w:r>
            <w:r>
              <w:t>vs. 55+ Years</w:t>
            </w:r>
          </w:p>
        </w:tc>
        <w:tc>
          <w:tcPr>
            <w:tcW w:w="1137" w:type="dxa"/>
            <w:vMerge w:val="restart"/>
            <w:vAlign w:val="center"/>
          </w:tcPr>
          <w:p w:rsidR="001136BD" w:rsidRDefault="001136BD" w:rsidP="009B1228">
            <w:pPr>
              <w:jc w:val="center"/>
            </w:pPr>
            <w:r>
              <w:t>587</w:t>
            </w:r>
          </w:p>
        </w:tc>
        <w:tc>
          <w:tcPr>
            <w:tcW w:w="1137" w:type="dxa"/>
            <w:vMerge w:val="restart"/>
            <w:vAlign w:val="center"/>
          </w:tcPr>
          <w:p w:rsidR="001136BD" w:rsidRDefault="001136BD" w:rsidP="009B1228">
            <w:pPr>
              <w:jc w:val="center"/>
            </w:pPr>
            <w:r>
              <w:t>1,013</w:t>
            </w:r>
          </w:p>
        </w:tc>
        <w:tc>
          <w:tcPr>
            <w:tcW w:w="1217" w:type="dxa"/>
            <w:vMerge w:val="restart"/>
            <w:vAlign w:val="center"/>
          </w:tcPr>
          <w:p w:rsidR="001136BD" w:rsidRDefault="001136BD" w:rsidP="009B1228">
            <w:pPr>
              <w:jc w:val="center"/>
            </w:pPr>
            <w:r>
              <w:t>0.05</w:t>
            </w:r>
          </w:p>
        </w:tc>
        <w:tc>
          <w:tcPr>
            <w:tcW w:w="0" w:type="auto"/>
            <w:vAlign w:val="center"/>
          </w:tcPr>
          <w:p w:rsidR="001136BD" w:rsidRDefault="001136BD" w:rsidP="009B1228">
            <w:pPr>
              <w:spacing w:after="100" w:afterAutospacing="1"/>
              <w:jc w:val="center"/>
            </w:pPr>
            <w:r>
              <w:t>0.2</w:t>
            </w:r>
          </w:p>
        </w:tc>
        <w:tc>
          <w:tcPr>
            <w:tcW w:w="0" w:type="auto"/>
            <w:vAlign w:val="center"/>
          </w:tcPr>
          <w:p w:rsidR="001136BD" w:rsidRDefault="001136BD" w:rsidP="009B1228">
            <w:pPr>
              <w:spacing w:after="100" w:afterAutospacing="1"/>
              <w:jc w:val="center"/>
            </w:pPr>
            <w:r>
              <w:t>0.97</w:t>
            </w:r>
          </w:p>
        </w:tc>
      </w:tr>
      <w:tr w:rsidR="001136BD" w:rsidTr="009B1228">
        <w:trPr>
          <w:jc w:val="center"/>
        </w:trPr>
        <w:tc>
          <w:tcPr>
            <w:tcW w:w="3325" w:type="dxa"/>
            <w:vMerge/>
          </w:tcPr>
          <w:p w:rsidR="001136BD" w:rsidRDefault="001136BD" w:rsidP="009B1228">
            <w:pPr>
              <w:jc w:val="center"/>
            </w:pPr>
          </w:p>
        </w:tc>
        <w:tc>
          <w:tcPr>
            <w:tcW w:w="1137" w:type="dxa"/>
            <w:vMerge/>
          </w:tcPr>
          <w:p w:rsidR="001136BD" w:rsidRDefault="001136BD" w:rsidP="009B1228">
            <w:pPr>
              <w:jc w:val="center"/>
            </w:pPr>
          </w:p>
        </w:tc>
        <w:tc>
          <w:tcPr>
            <w:tcW w:w="1137" w:type="dxa"/>
            <w:vMerge/>
          </w:tcPr>
          <w:p w:rsidR="001136BD" w:rsidRDefault="001136BD" w:rsidP="009B1228">
            <w:pPr>
              <w:jc w:val="center"/>
            </w:pPr>
          </w:p>
        </w:tc>
        <w:tc>
          <w:tcPr>
            <w:tcW w:w="1217" w:type="dxa"/>
            <w:vMerge/>
          </w:tcPr>
          <w:p w:rsidR="001136BD" w:rsidRDefault="001136BD" w:rsidP="009B1228">
            <w:pPr>
              <w:jc w:val="center"/>
            </w:pPr>
          </w:p>
        </w:tc>
        <w:tc>
          <w:tcPr>
            <w:tcW w:w="0" w:type="auto"/>
            <w:vAlign w:val="center"/>
          </w:tcPr>
          <w:p w:rsidR="001136BD" w:rsidRDefault="001136BD" w:rsidP="009B1228">
            <w:pPr>
              <w:jc w:val="center"/>
            </w:pPr>
            <w:r>
              <w:t>0.5</w:t>
            </w:r>
          </w:p>
        </w:tc>
        <w:tc>
          <w:tcPr>
            <w:tcW w:w="0" w:type="auto"/>
            <w:vAlign w:val="center"/>
          </w:tcPr>
          <w:p w:rsidR="001136BD" w:rsidRDefault="001136BD" w:rsidP="009B1228">
            <w:pPr>
              <w:jc w:val="center"/>
            </w:pPr>
            <w:r>
              <w:t>0.99</w:t>
            </w:r>
          </w:p>
        </w:tc>
      </w:tr>
      <w:tr w:rsidR="001136BD" w:rsidTr="009B1228">
        <w:trPr>
          <w:jc w:val="center"/>
        </w:trPr>
        <w:tc>
          <w:tcPr>
            <w:tcW w:w="3325" w:type="dxa"/>
            <w:vMerge/>
          </w:tcPr>
          <w:p w:rsidR="001136BD" w:rsidRDefault="001136BD" w:rsidP="009B1228">
            <w:pPr>
              <w:jc w:val="center"/>
            </w:pPr>
          </w:p>
        </w:tc>
        <w:tc>
          <w:tcPr>
            <w:tcW w:w="1137" w:type="dxa"/>
            <w:vMerge/>
          </w:tcPr>
          <w:p w:rsidR="001136BD" w:rsidRDefault="001136BD" w:rsidP="009B1228">
            <w:pPr>
              <w:jc w:val="center"/>
            </w:pPr>
          </w:p>
        </w:tc>
        <w:tc>
          <w:tcPr>
            <w:tcW w:w="1137" w:type="dxa"/>
            <w:vMerge/>
          </w:tcPr>
          <w:p w:rsidR="001136BD" w:rsidRDefault="001136BD" w:rsidP="009B1228">
            <w:pPr>
              <w:jc w:val="center"/>
            </w:pPr>
          </w:p>
        </w:tc>
        <w:tc>
          <w:tcPr>
            <w:tcW w:w="1217" w:type="dxa"/>
            <w:vMerge/>
          </w:tcPr>
          <w:p w:rsidR="001136BD" w:rsidRDefault="001136BD" w:rsidP="009B1228">
            <w:pPr>
              <w:jc w:val="center"/>
            </w:pPr>
          </w:p>
        </w:tc>
        <w:tc>
          <w:tcPr>
            <w:tcW w:w="0" w:type="auto"/>
            <w:vAlign w:val="center"/>
          </w:tcPr>
          <w:p w:rsidR="001136BD" w:rsidRDefault="001136BD" w:rsidP="009B1228">
            <w:pPr>
              <w:jc w:val="center"/>
            </w:pPr>
            <w:r>
              <w:t>0.8</w:t>
            </w:r>
          </w:p>
        </w:tc>
        <w:tc>
          <w:tcPr>
            <w:tcW w:w="0" w:type="auto"/>
            <w:vAlign w:val="center"/>
          </w:tcPr>
          <w:p w:rsidR="001136BD" w:rsidRDefault="001136BD" w:rsidP="009B1228">
            <w:pPr>
              <w:jc w:val="center"/>
            </w:pPr>
            <w:r>
              <w:t>0.99</w:t>
            </w:r>
          </w:p>
        </w:tc>
      </w:tr>
    </w:tbl>
    <w:p w:rsidR="001136BD" w:rsidRDefault="001136BD" w:rsidP="001136BD"/>
    <w:p w:rsidR="001136BD" w:rsidRDefault="001136BD" w:rsidP="00AE22BB">
      <w:pPr>
        <w:tabs>
          <w:tab w:val="left" w:pos="360"/>
        </w:tabs>
        <w:spacing w:line="480" w:lineRule="auto"/>
      </w:pPr>
    </w:p>
    <w:p w:rsidR="009B66E4" w:rsidRPr="009B66E4" w:rsidRDefault="009B66E4" w:rsidP="00AE22BB">
      <w:pPr>
        <w:tabs>
          <w:tab w:val="left" w:pos="360"/>
        </w:tabs>
        <w:spacing w:line="480" w:lineRule="auto"/>
        <w:rPr>
          <w:b/>
        </w:rPr>
      </w:pPr>
      <w:r w:rsidRPr="009B66E4">
        <w:rPr>
          <w:b/>
        </w:rPr>
        <w:t>Study 2</w:t>
      </w:r>
    </w:p>
    <w:p w:rsidR="009B66E4" w:rsidRPr="009B66E4" w:rsidRDefault="009B66E4" w:rsidP="009B66E4">
      <w:pPr>
        <w:pStyle w:val="BodyText1"/>
        <w:spacing w:after="120" w:line="480" w:lineRule="auto"/>
        <w:rPr>
          <w:sz w:val="24"/>
          <w:szCs w:val="24"/>
        </w:rPr>
      </w:pPr>
      <w:r>
        <w:t xml:space="preserve">The proposed study design includes 1,740 participants and </w:t>
      </w:r>
      <w:r w:rsidRPr="009B66E4">
        <w:rPr>
          <w:sz w:val="24"/>
          <w:szCs w:val="24"/>
        </w:rPr>
        <w:t xml:space="preserve">assigns 290 subjects to each of the 6 arms.  Each of the two educational inventions consists of 3 arms resulting in a sample size of 870 per intervention.  Each of three categories of information consists of both educational interventions which results in a sample size of 580 per category of information.  To provide conservative estimates of power, a </w:t>
      </w:r>
      <w:proofErr w:type="spellStart"/>
      <w:r w:rsidRPr="009B66E4">
        <w:rPr>
          <w:sz w:val="24"/>
          <w:szCs w:val="24"/>
        </w:rPr>
        <w:t>Bonferroni</w:t>
      </w:r>
      <w:proofErr w:type="spellEnd"/>
      <w:r w:rsidRPr="009B66E4">
        <w:rPr>
          <w:sz w:val="24"/>
          <w:szCs w:val="24"/>
        </w:rPr>
        <w:t xml:space="preserve"> correction was used when there were multiple comparisons and one of the proportions was assumed to be 0.5.  All power calculations are for a two-tailed test and equal sized groups.  We assumed a design effect equal to 1. If the study involves over or under sampling, the design effect will increase and reduce the power.</w:t>
      </w:r>
    </w:p>
    <w:p w:rsidR="009B66E4" w:rsidRPr="009B66E4" w:rsidRDefault="009B66E4" w:rsidP="009B66E4">
      <w:pPr>
        <w:pStyle w:val="BodyText1"/>
        <w:spacing w:after="120" w:line="480" w:lineRule="auto"/>
        <w:rPr>
          <w:b/>
          <w:bCs/>
          <w:sz w:val="24"/>
          <w:szCs w:val="24"/>
        </w:rPr>
      </w:pPr>
      <w:r w:rsidRPr="009B66E4">
        <w:rPr>
          <w:b/>
          <w:bCs/>
          <w:sz w:val="24"/>
          <w:szCs w:val="24"/>
        </w:rPr>
        <w:t>Binary Outcomes</w:t>
      </w:r>
    </w:p>
    <w:p w:rsidR="009B66E4" w:rsidRPr="009B66E4" w:rsidRDefault="009B66E4" w:rsidP="009B66E4">
      <w:pPr>
        <w:pStyle w:val="BodyText1"/>
        <w:spacing w:after="120" w:line="480" w:lineRule="auto"/>
        <w:rPr>
          <w:sz w:val="24"/>
          <w:szCs w:val="24"/>
        </w:rPr>
      </w:pPr>
      <w:r>
        <w:rPr>
          <w:sz w:val="24"/>
          <w:szCs w:val="24"/>
        </w:rPr>
        <w:t>The G*Power program</w:t>
      </w:r>
      <w:r w:rsidR="00373343">
        <w:rPr>
          <w:rStyle w:val="FootnoteReference"/>
          <w:sz w:val="24"/>
          <w:szCs w:val="24"/>
        </w:rPr>
        <w:footnoteReference w:id="5"/>
      </w:r>
      <w:r w:rsidRPr="009B66E4">
        <w:rPr>
          <w:sz w:val="24"/>
          <w:szCs w:val="24"/>
        </w:rPr>
        <w:t xml:space="preserve"> was used to calculate the power to detect differences between the six experimental arms. The </w:t>
      </w:r>
      <w:proofErr w:type="spellStart"/>
      <w:r w:rsidRPr="009B66E4">
        <w:rPr>
          <w:sz w:val="24"/>
          <w:szCs w:val="24"/>
        </w:rPr>
        <w:t>Bonferroni</w:t>
      </w:r>
      <w:proofErr w:type="spellEnd"/>
      <w:r w:rsidRPr="009B66E4">
        <w:rPr>
          <w:sz w:val="24"/>
          <w:szCs w:val="24"/>
        </w:rPr>
        <w:t xml:space="preserve"> correction was used to adjust for the required 15 comparisons; therefore, the corrected α=0.0</w:t>
      </w:r>
      <w:r>
        <w:rPr>
          <w:sz w:val="24"/>
          <w:szCs w:val="24"/>
        </w:rPr>
        <w:t xml:space="preserve">03. </w:t>
      </w:r>
      <w:r w:rsidRPr="009B66E4">
        <w:rPr>
          <w:sz w:val="24"/>
          <w:szCs w:val="24"/>
        </w:rPr>
        <w:t xml:space="preserve">This correction results in a loss of power and the results for the arm-to-arm comparisons are shown in </w:t>
      </w:r>
      <w:r w:rsidR="00465B22">
        <w:rPr>
          <w:sz w:val="24"/>
          <w:szCs w:val="24"/>
        </w:rPr>
        <w:t>Table 4</w:t>
      </w:r>
      <w:r w:rsidRPr="009B66E4">
        <w:rPr>
          <w:sz w:val="24"/>
          <w:szCs w:val="24"/>
        </w:rPr>
        <w:t>.</w:t>
      </w:r>
    </w:p>
    <w:p w:rsidR="00465B22" w:rsidRPr="009B66E4" w:rsidRDefault="00465B22" w:rsidP="009B66E4">
      <w:pPr>
        <w:pStyle w:val="BodyText1"/>
        <w:spacing w:after="120" w:line="480" w:lineRule="auto"/>
        <w:rPr>
          <w:sz w:val="24"/>
          <w:szCs w:val="24"/>
        </w:rPr>
      </w:pPr>
    </w:p>
    <w:p w:rsidR="009B66E4" w:rsidRPr="009B66E4" w:rsidRDefault="009B66E4" w:rsidP="009B66E4">
      <w:pPr>
        <w:pStyle w:val="BodyText1"/>
        <w:spacing w:after="120" w:line="480" w:lineRule="auto"/>
        <w:rPr>
          <w:sz w:val="24"/>
          <w:szCs w:val="24"/>
        </w:rPr>
      </w:pPr>
      <w:r w:rsidRPr="009B66E4">
        <w:rPr>
          <w:sz w:val="24"/>
          <w:szCs w:val="24"/>
        </w:rPr>
        <w:t xml:space="preserve">                                   </w:t>
      </w:r>
      <w:proofErr w:type="gramStart"/>
      <w:r w:rsidR="00465B22">
        <w:rPr>
          <w:sz w:val="24"/>
          <w:szCs w:val="24"/>
        </w:rPr>
        <w:t>Table 4</w:t>
      </w:r>
      <w:r w:rsidRPr="009B66E4">
        <w:rPr>
          <w:sz w:val="24"/>
          <w:szCs w:val="24"/>
        </w:rPr>
        <w:t>.</w:t>
      </w:r>
      <w:proofErr w:type="gramEnd"/>
      <w:r w:rsidRPr="009B66E4">
        <w:rPr>
          <w:sz w:val="24"/>
          <w:szCs w:val="24"/>
        </w:rPr>
        <w:t xml:space="preserve">  Power for Arm-to-Arm Comparisons</w:t>
      </w:r>
    </w:p>
    <w:tbl>
      <w:tblPr>
        <w:tblStyle w:val="TableGrid"/>
        <w:tblW w:w="0" w:type="auto"/>
        <w:jc w:val="center"/>
        <w:tblLook w:val="04A0" w:firstRow="1" w:lastRow="0" w:firstColumn="1" w:lastColumn="0" w:noHBand="0" w:noVBand="1"/>
      </w:tblPr>
      <w:tblGrid>
        <w:gridCol w:w="2416"/>
        <w:gridCol w:w="1761"/>
        <w:gridCol w:w="1410"/>
        <w:gridCol w:w="830"/>
      </w:tblGrid>
      <w:tr w:rsidR="009B66E4" w:rsidRPr="007964FC" w:rsidTr="009B1228">
        <w:trPr>
          <w:jc w:val="center"/>
        </w:trPr>
        <w:tc>
          <w:tcPr>
            <w:tcW w:w="0" w:type="auto"/>
            <w:vAlign w:val="bottom"/>
          </w:tcPr>
          <w:p w:rsidR="009B66E4" w:rsidRPr="00465B22" w:rsidRDefault="009B66E4" w:rsidP="00465B22">
            <w:pPr>
              <w:pStyle w:val="BodyText1"/>
              <w:spacing w:after="0"/>
              <w:ind w:firstLine="0"/>
              <w:rPr>
                <w:sz w:val="24"/>
                <w:szCs w:val="24"/>
              </w:rPr>
            </w:pPr>
            <w:r w:rsidRPr="00465B22">
              <w:rPr>
                <w:sz w:val="24"/>
                <w:szCs w:val="24"/>
              </w:rPr>
              <w:t>Percentage Difference</w:t>
            </w:r>
          </w:p>
          <w:p w:rsidR="009B66E4" w:rsidRPr="00465B22" w:rsidRDefault="009B66E4" w:rsidP="00465B22">
            <w:pPr>
              <w:pStyle w:val="BodyText1"/>
              <w:spacing w:after="0"/>
              <w:ind w:firstLine="0"/>
              <w:rPr>
                <w:sz w:val="24"/>
                <w:szCs w:val="24"/>
              </w:rPr>
            </w:pPr>
            <w:r w:rsidRPr="00465B22">
              <w:rPr>
                <w:sz w:val="24"/>
                <w:szCs w:val="24"/>
              </w:rPr>
              <w:t>Between 2 Proportions</w:t>
            </w:r>
          </w:p>
        </w:tc>
        <w:tc>
          <w:tcPr>
            <w:tcW w:w="0" w:type="auto"/>
            <w:vAlign w:val="bottom"/>
          </w:tcPr>
          <w:p w:rsidR="009B66E4" w:rsidRPr="00465B22" w:rsidRDefault="009B66E4" w:rsidP="00465B22">
            <w:pPr>
              <w:pStyle w:val="BodyText1"/>
              <w:spacing w:after="0"/>
              <w:ind w:firstLine="0"/>
              <w:rPr>
                <w:sz w:val="24"/>
                <w:szCs w:val="24"/>
              </w:rPr>
            </w:pPr>
            <w:r w:rsidRPr="00465B22">
              <w:rPr>
                <w:sz w:val="24"/>
                <w:szCs w:val="24"/>
              </w:rPr>
              <w:t>Probability of a</w:t>
            </w:r>
          </w:p>
          <w:p w:rsidR="009B66E4" w:rsidRPr="00465B22" w:rsidRDefault="009B66E4" w:rsidP="00465B22">
            <w:pPr>
              <w:pStyle w:val="BodyText1"/>
              <w:spacing w:after="0"/>
              <w:ind w:firstLine="0"/>
              <w:rPr>
                <w:sz w:val="24"/>
                <w:szCs w:val="24"/>
              </w:rPr>
            </w:pPr>
            <w:r w:rsidRPr="00465B22">
              <w:rPr>
                <w:sz w:val="24"/>
                <w:szCs w:val="24"/>
              </w:rPr>
              <w:t>Type I Error (α)</w:t>
            </w:r>
          </w:p>
        </w:tc>
        <w:tc>
          <w:tcPr>
            <w:tcW w:w="0" w:type="auto"/>
            <w:vAlign w:val="bottom"/>
          </w:tcPr>
          <w:p w:rsidR="009B66E4" w:rsidRPr="00465B22" w:rsidRDefault="009B66E4" w:rsidP="00465B22">
            <w:pPr>
              <w:pStyle w:val="BodyText1"/>
              <w:spacing w:after="0"/>
              <w:ind w:firstLine="0"/>
              <w:rPr>
                <w:sz w:val="24"/>
                <w:szCs w:val="24"/>
              </w:rPr>
            </w:pPr>
            <w:r w:rsidRPr="00465B22">
              <w:rPr>
                <w:sz w:val="24"/>
                <w:szCs w:val="24"/>
              </w:rPr>
              <w:t>Sample Size</w:t>
            </w:r>
          </w:p>
          <w:p w:rsidR="009B66E4" w:rsidRPr="00465B22" w:rsidRDefault="009B66E4" w:rsidP="00465B22">
            <w:pPr>
              <w:pStyle w:val="BodyText1"/>
              <w:spacing w:after="0"/>
              <w:ind w:firstLine="0"/>
              <w:rPr>
                <w:sz w:val="24"/>
                <w:szCs w:val="24"/>
              </w:rPr>
            </w:pPr>
            <w:r w:rsidRPr="00465B22">
              <w:rPr>
                <w:sz w:val="24"/>
                <w:szCs w:val="24"/>
              </w:rPr>
              <w:t>Per Arm</w:t>
            </w:r>
          </w:p>
        </w:tc>
        <w:tc>
          <w:tcPr>
            <w:tcW w:w="0" w:type="auto"/>
            <w:vAlign w:val="bottom"/>
          </w:tcPr>
          <w:p w:rsidR="009B66E4" w:rsidRPr="00465B22" w:rsidRDefault="00465B22" w:rsidP="00465B22">
            <w:pPr>
              <w:pStyle w:val="BodyText1"/>
              <w:spacing w:after="0"/>
              <w:ind w:firstLine="0"/>
              <w:rPr>
                <w:sz w:val="24"/>
                <w:szCs w:val="24"/>
              </w:rPr>
            </w:pPr>
            <w:r w:rsidRPr="00465B22">
              <w:rPr>
                <w:sz w:val="24"/>
                <w:szCs w:val="24"/>
              </w:rPr>
              <w:t>P</w:t>
            </w:r>
            <w:r w:rsidR="009B66E4" w:rsidRPr="00465B22">
              <w:rPr>
                <w:sz w:val="24"/>
                <w:szCs w:val="24"/>
              </w:rPr>
              <w:t>ower</w:t>
            </w:r>
          </w:p>
        </w:tc>
      </w:tr>
      <w:tr w:rsidR="009B66E4" w:rsidRPr="007964FC" w:rsidTr="009B1228">
        <w:trPr>
          <w:jc w:val="center"/>
        </w:trPr>
        <w:tc>
          <w:tcPr>
            <w:tcW w:w="0" w:type="auto"/>
            <w:vAlign w:val="center"/>
          </w:tcPr>
          <w:p w:rsidR="009B66E4" w:rsidRPr="00465B22" w:rsidRDefault="009B66E4" w:rsidP="00465B22">
            <w:pPr>
              <w:pStyle w:val="BodyText1"/>
              <w:spacing w:after="120"/>
              <w:jc w:val="center"/>
              <w:rPr>
                <w:sz w:val="24"/>
                <w:szCs w:val="24"/>
              </w:rPr>
            </w:pPr>
            <w:r w:rsidRPr="00465B22">
              <w:rPr>
                <w:sz w:val="24"/>
                <w:szCs w:val="24"/>
              </w:rPr>
              <w:t>20%</w:t>
            </w:r>
          </w:p>
        </w:tc>
        <w:tc>
          <w:tcPr>
            <w:tcW w:w="0" w:type="auto"/>
            <w:vAlign w:val="center"/>
          </w:tcPr>
          <w:p w:rsidR="009B66E4" w:rsidRPr="00465B22" w:rsidRDefault="009B66E4" w:rsidP="00465B22">
            <w:pPr>
              <w:pStyle w:val="BodyText1"/>
              <w:spacing w:after="120"/>
              <w:jc w:val="center"/>
              <w:rPr>
                <w:sz w:val="24"/>
                <w:szCs w:val="24"/>
              </w:rPr>
            </w:pPr>
            <w:r w:rsidRPr="00465B22">
              <w:rPr>
                <w:sz w:val="24"/>
                <w:szCs w:val="24"/>
              </w:rPr>
              <w:t>0.003</w:t>
            </w:r>
          </w:p>
        </w:tc>
        <w:tc>
          <w:tcPr>
            <w:tcW w:w="0" w:type="auto"/>
            <w:vAlign w:val="center"/>
          </w:tcPr>
          <w:p w:rsidR="009B66E4" w:rsidRPr="00465B22" w:rsidRDefault="009B66E4" w:rsidP="00465B22">
            <w:pPr>
              <w:pStyle w:val="BodyText1"/>
              <w:spacing w:after="120"/>
              <w:ind w:firstLine="0"/>
              <w:jc w:val="center"/>
              <w:rPr>
                <w:sz w:val="24"/>
                <w:szCs w:val="24"/>
              </w:rPr>
            </w:pPr>
            <w:r w:rsidRPr="00465B22">
              <w:rPr>
                <w:sz w:val="24"/>
                <w:szCs w:val="24"/>
              </w:rPr>
              <w:t>290</w:t>
            </w:r>
          </w:p>
        </w:tc>
        <w:tc>
          <w:tcPr>
            <w:tcW w:w="0" w:type="auto"/>
            <w:vAlign w:val="center"/>
          </w:tcPr>
          <w:p w:rsidR="009B66E4" w:rsidRPr="00465B22" w:rsidRDefault="009B66E4" w:rsidP="00465B22">
            <w:pPr>
              <w:pStyle w:val="BodyText1"/>
              <w:spacing w:after="120"/>
              <w:ind w:firstLine="0"/>
              <w:jc w:val="center"/>
              <w:rPr>
                <w:sz w:val="24"/>
                <w:szCs w:val="24"/>
              </w:rPr>
            </w:pPr>
            <w:r w:rsidRPr="00465B22">
              <w:rPr>
                <w:sz w:val="24"/>
                <w:szCs w:val="24"/>
              </w:rPr>
              <w:t>0.98</w:t>
            </w:r>
          </w:p>
        </w:tc>
      </w:tr>
      <w:tr w:rsidR="009B66E4" w:rsidRPr="007964FC" w:rsidTr="009B1228">
        <w:trPr>
          <w:jc w:val="center"/>
        </w:trPr>
        <w:tc>
          <w:tcPr>
            <w:tcW w:w="0" w:type="auto"/>
            <w:vAlign w:val="center"/>
          </w:tcPr>
          <w:p w:rsidR="009B66E4" w:rsidRPr="00465B22" w:rsidRDefault="009B66E4" w:rsidP="00465B22">
            <w:pPr>
              <w:pStyle w:val="BodyText1"/>
              <w:spacing w:after="120"/>
              <w:jc w:val="center"/>
              <w:rPr>
                <w:sz w:val="24"/>
                <w:szCs w:val="24"/>
              </w:rPr>
            </w:pPr>
            <w:r w:rsidRPr="00465B22">
              <w:rPr>
                <w:sz w:val="24"/>
                <w:szCs w:val="24"/>
              </w:rPr>
              <w:t>15%</w:t>
            </w:r>
          </w:p>
        </w:tc>
        <w:tc>
          <w:tcPr>
            <w:tcW w:w="0" w:type="auto"/>
            <w:vAlign w:val="center"/>
          </w:tcPr>
          <w:p w:rsidR="009B66E4" w:rsidRPr="00465B22" w:rsidRDefault="009B66E4" w:rsidP="00465B22">
            <w:pPr>
              <w:pStyle w:val="BodyText1"/>
              <w:spacing w:after="120"/>
              <w:jc w:val="center"/>
              <w:rPr>
                <w:sz w:val="24"/>
                <w:szCs w:val="24"/>
              </w:rPr>
            </w:pPr>
            <w:r w:rsidRPr="00465B22">
              <w:rPr>
                <w:sz w:val="24"/>
                <w:szCs w:val="24"/>
              </w:rPr>
              <w:t>0.003</w:t>
            </w:r>
          </w:p>
        </w:tc>
        <w:tc>
          <w:tcPr>
            <w:tcW w:w="0" w:type="auto"/>
            <w:vAlign w:val="center"/>
          </w:tcPr>
          <w:p w:rsidR="009B66E4" w:rsidRPr="00465B22" w:rsidRDefault="009B66E4" w:rsidP="00465B22">
            <w:pPr>
              <w:pStyle w:val="BodyText1"/>
              <w:spacing w:after="120"/>
              <w:ind w:firstLine="0"/>
              <w:jc w:val="center"/>
              <w:rPr>
                <w:sz w:val="24"/>
                <w:szCs w:val="24"/>
              </w:rPr>
            </w:pPr>
            <w:r w:rsidRPr="00465B22">
              <w:rPr>
                <w:sz w:val="24"/>
                <w:szCs w:val="24"/>
              </w:rPr>
              <w:t>290</w:t>
            </w:r>
          </w:p>
        </w:tc>
        <w:tc>
          <w:tcPr>
            <w:tcW w:w="0" w:type="auto"/>
            <w:vAlign w:val="center"/>
          </w:tcPr>
          <w:p w:rsidR="009B66E4" w:rsidRPr="00465B22" w:rsidRDefault="009B66E4" w:rsidP="00465B22">
            <w:pPr>
              <w:pStyle w:val="BodyText1"/>
              <w:spacing w:after="120"/>
              <w:ind w:firstLine="0"/>
              <w:jc w:val="center"/>
              <w:rPr>
                <w:sz w:val="24"/>
                <w:szCs w:val="24"/>
              </w:rPr>
            </w:pPr>
            <w:r w:rsidRPr="00465B22">
              <w:rPr>
                <w:sz w:val="24"/>
                <w:szCs w:val="24"/>
              </w:rPr>
              <w:t>0.76</w:t>
            </w:r>
          </w:p>
        </w:tc>
      </w:tr>
      <w:tr w:rsidR="009B66E4" w:rsidRPr="007964FC" w:rsidTr="009B1228">
        <w:trPr>
          <w:jc w:val="center"/>
        </w:trPr>
        <w:tc>
          <w:tcPr>
            <w:tcW w:w="0" w:type="auto"/>
            <w:vAlign w:val="center"/>
          </w:tcPr>
          <w:p w:rsidR="009B66E4" w:rsidRPr="00465B22" w:rsidRDefault="009B66E4" w:rsidP="00465B22">
            <w:pPr>
              <w:pStyle w:val="BodyText1"/>
              <w:spacing w:after="120"/>
              <w:jc w:val="center"/>
              <w:rPr>
                <w:sz w:val="24"/>
                <w:szCs w:val="24"/>
              </w:rPr>
            </w:pPr>
            <w:r w:rsidRPr="00465B22">
              <w:rPr>
                <w:sz w:val="24"/>
                <w:szCs w:val="24"/>
              </w:rPr>
              <w:t>10%</w:t>
            </w:r>
          </w:p>
        </w:tc>
        <w:tc>
          <w:tcPr>
            <w:tcW w:w="0" w:type="auto"/>
            <w:vAlign w:val="center"/>
          </w:tcPr>
          <w:p w:rsidR="009B66E4" w:rsidRPr="00465B22" w:rsidRDefault="009B66E4" w:rsidP="00465B22">
            <w:pPr>
              <w:pStyle w:val="BodyText1"/>
              <w:spacing w:after="120"/>
              <w:jc w:val="center"/>
              <w:rPr>
                <w:sz w:val="24"/>
                <w:szCs w:val="24"/>
              </w:rPr>
            </w:pPr>
            <w:r w:rsidRPr="00465B22">
              <w:rPr>
                <w:sz w:val="24"/>
                <w:szCs w:val="24"/>
              </w:rPr>
              <w:t>0.003</w:t>
            </w:r>
          </w:p>
        </w:tc>
        <w:tc>
          <w:tcPr>
            <w:tcW w:w="0" w:type="auto"/>
            <w:vAlign w:val="center"/>
          </w:tcPr>
          <w:p w:rsidR="009B66E4" w:rsidRPr="00465B22" w:rsidRDefault="009B66E4" w:rsidP="00465B22">
            <w:pPr>
              <w:pStyle w:val="BodyText1"/>
              <w:spacing w:after="120"/>
              <w:ind w:firstLine="0"/>
              <w:jc w:val="center"/>
              <w:rPr>
                <w:sz w:val="24"/>
                <w:szCs w:val="24"/>
              </w:rPr>
            </w:pPr>
            <w:r w:rsidRPr="00465B22">
              <w:rPr>
                <w:sz w:val="24"/>
                <w:szCs w:val="24"/>
              </w:rPr>
              <w:t>290</w:t>
            </w:r>
          </w:p>
        </w:tc>
        <w:tc>
          <w:tcPr>
            <w:tcW w:w="0" w:type="auto"/>
            <w:vAlign w:val="center"/>
          </w:tcPr>
          <w:p w:rsidR="009B66E4" w:rsidRPr="00465B22" w:rsidRDefault="009B66E4" w:rsidP="00465B22">
            <w:pPr>
              <w:pStyle w:val="BodyText1"/>
              <w:spacing w:after="120"/>
              <w:ind w:firstLine="0"/>
              <w:jc w:val="center"/>
              <w:rPr>
                <w:sz w:val="24"/>
                <w:szCs w:val="24"/>
              </w:rPr>
            </w:pPr>
            <w:r w:rsidRPr="00465B22">
              <w:rPr>
                <w:sz w:val="24"/>
                <w:szCs w:val="24"/>
              </w:rPr>
              <w:t>0.29</w:t>
            </w:r>
          </w:p>
        </w:tc>
      </w:tr>
    </w:tbl>
    <w:p w:rsidR="009B66E4" w:rsidRPr="007964FC" w:rsidRDefault="009B66E4" w:rsidP="009B66E4">
      <w:pPr>
        <w:pStyle w:val="BodyText1"/>
        <w:spacing w:after="120"/>
        <w:rPr>
          <w:rFonts w:asciiTheme="minorHAnsi" w:hAnsiTheme="minorHAnsi" w:cs="Arial"/>
        </w:rPr>
      </w:pPr>
    </w:p>
    <w:p w:rsidR="009B66E4" w:rsidRPr="00465B22" w:rsidRDefault="009B66E4" w:rsidP="00465B22">
      <w:pPr>
        <w:pStyle w:val="BodyText1"/>
        <w:spacing w:after="120" w:line="480" w:lineRule="auto"/>
        <w:rPr>
          <w:sz w:val="24"/>
          <w:szCs w:val="24"/>
        </w:rPr>
      </w:pPr>
      <w:r w:rsidRPr="007964FC">
        <w:rPr>
          <w:rFonts w:asciiTheme="minorHAnsi" w:hAnsiTheme="minorHAnsi" w:cs="Arial"/>
        </w:rPr>
        <w:t xml:space="preserve"> </w:t>
      </w:r>
      <w:r w:rsidRPr="00465B22">
        <w:rPr>
          <w:sz w:val="24"/>
          <w:szCs w:val="24"/>
        </w:rPr>
        <w:t xml:space="preserve">The power to detect differences between the different methods of presenting the information also required a </w:t>
      </w:r>
      <w:proofErr w:type="spellStart"/>
      <w:r w:rsidR="00373343">
        <w:rPr>
          <w:sz w:val="24"/>
          <w:szCs w:val="24"/>
        </w:rPr>
        <w:t>Bonferroni</w:t>
      </w:r>
      <w:proofErr w:type="spellEnd"/>
      <w:r w:rsidR="00373343">
        <w:rPr>
          <w:sz w:val="24"/>
          <w:szCs w:val="24"/>
        </w:rPr>
        <w:t xml:space="preserve"> </w:t>
      </w:r>
      <w:r w:rsidRPr="00465B22">
        <w:rPr>
          <w:sz w:val="24"/>
          <w:szCs w:val="24"/>
        </w:rPr>
        <w:t xml:space="preserve">correction; however, there are only 3 comparisons so the corrected α=0.017.  The power results for the method of presentation are shown in </w:t>
      </w:r>
      <w:r w:rsidR="00465B22">
        <w:rPr>
          <w:sz w:val="24"/>
          <w:szCs w:val="24"/>
        </w:rPr>
        <w:t>Table 5</w:t>
      </w:r>
      <w:r w:rsidRPr="00465B22">
        <w:rPr>
          <w:sz w:val="24"/>
          <w:szCs w:val="24"/>
        </w:rPr>
        <w:t>.</w:t>
      </w:r>
    </w:p>
    <w:p w:rsidR="009B66E4" w:rsidRPr="007964FC" w:rsidRDefault="009B66E4" w:rsidP="009B66E4">
      <w:pPr>
        <w:pStyle w:val="BodyText1"/>
        <w:spacing w:after="120"/>
        <w:rPr>
          <w:rFonts w:asciiTheme="minorHAnsi" w:hAnsiTheme="minorHAnsi" w:cs="Arial"/>
        </w:rPr>
      </w:pPr>
    </w:p>
    <w:p w:rsidR="009B66E4" w:rsidRPr="00465B22" w:rsidRDefault="009B66E4" w:rsidP="009B66E4">
      <w:r w:rsidRPr="007964FC">
        <w:rPr>
          <w:rFonts w:asciiTheme="minorHAnsi" w:hAnsiTheme="minorHAnsi" w:cs="Arial"/>
        </w:rPr>
        <w:t xml:space="preserve">                              </w:t>
      </w:r>
      <w:proofErr w:type="gramStart"/>
      <w:r w:rsidR="00465B22" w:rsidRPr="00465B22">
        <w:t>Table 5</w:t>
      </w:r>
      <w:r w:rsidRPr="00465B22">
        <w:t>.</w:t>
      </w:r>
      <w:proofErr w:type="gramEnd"/>
      <w:r w:rsidRPr="00465B22">
        <w:t xml:space="preserve">  Power to Detect Differences in Presentation Methods</w:t>
      </w:r>
    </w:p>
    <w:tbl>
      <w:tblPr>
        <w:tblStyle w:val="TableGrid"/>
        <w:tblW w:w="0" w:type="auto"/>
        <w:jc w:val="center"/>
        <w:tblLook w:val="04A0" w:firstRow="1" w:lastRow="0" w:firstColumn="1" w:lastColumn="0" w:noHBand="0" w:noVBand="1"/>
      </w:tblPr>
      <w:tblGrid>
        <w:gridCol w:w="2416"/>
        <w:gridCol w:w="1761"/>
        <w:gridCol w:w="1783"/>
        <w:gridCol w:w="830"/>
      </w:tblGrid>
      <w:tr w:rsidR="009B66E4" w:rsidRPr="00465B22" w:rsidTr="009B1228">
        <w:trPr>
          <w:jc w:val="center"/>
        </w:trPr>
        <w:tc>
          <w:tcPr>
            <w:tcW w:w="0" w:type="auto"/>
            <w:vAlign w:val="bottom"/>
          </w:tcPr>
          <w:p w:rsidR="009B66E4" w:rsidRPr="00465B22" w:rsidRDefault="009B66E4" w:rsidP="00465B22">
            <w:pPr>
              <w:pStyle w:val="BodyText1"/>
              <w:spacing w:after="0"/>
              <w:ind w:firstLine="0"/>
              <w:rPr>
                <w:sz w:val="24"/>
                <w:szCs w:val="24"/>
              </w:rPr>
            </w:pPr>
            <w:r w:rsidRPr="00465B22">
              <w:rPr>
                <w:sz w:val="24"/>
                <w:szCs w:val="24"/>
              </w:rPr>
              <w:t>Percentage Difference</w:t>
            </w:r>
          </w:p>
          <w:p w:rsidR="009B66E4" w:rsidRPr="00465B22" w:rsidRDefault="009B66E4" w:rsidP="00465B22">
            <w:pPr>
              <w:pStyle w:val="BodyText1"/>
              <w:spacing w:after="0"/>
              <w:ind w:firstLine="0"/>
              <w:rPr>
                <w:sz w:val="24"/>
                <w:szCs w:val="24"/>
              </w:rPr>
            </w:pPr>
            <w:r w:rsidRPr="00465B22">
              <w:rPr>
                <w:sz w:val="24"/>
                <w:szCs w:val="24"/>
              </w:rPr>
              <w:t>Between 2 Proportions</w:t>
            </w:r>
          </w:p>
        </w:tc>
        <w:tc>
          <w:tcPr>
            <w:tcW w:w="0" w:type="auto"/>
            <w:vAlign w:val="bottom"/>
          </w:tcPr>
          <w:p w:rsidR="009B66E4" w:rsidRPr="00465B22" w:rsidRDefault="009B66E4" w:rsidP="00465B22">
            <w:pPr>
              <w:pStyle w:val="BodyText1"/>
              <w:spacing w:after="0"/>
              <w:ind w:firstLine="0"/>
              <w:rPr>
                <w:sz w:val="24"/>
                <w:szCs w:val="24"/>
              </w:rPr>
            </w:pPr>
            <w:r w:rsidRPr="00465B22">
              <w:rPr>
                <w:sz w:val="24"/>
                <w:szCs w:val="24"/>
              </w:rPr>
              <w:t>Probability of a</w:t>
            </w:r>
          </w:p>
          <w:p w:rsidR="009B66E4" w:rsidRPr="00465B22" w:rsidRDefault="009B66E4" w:rsidP="00465B22">
            <w:pPr>
              <w:pStyle w:val="BodyText1"/>
              <w:spacing w:after="0"/>
              <w:ind w:firstLine="0"/>
              <w:rPr>
                <w:sz w:val="24"/>
                <w:szCs w:val="24"/>
              </w:rPr>
            </w:pPr>
            <w:r w:rsidRPr="00465B22">
              <w:rPr>
                <w:sz w:val="24"/>
                <w:szCs w:val="24"/>
              </w:rPr>
              <w:t>Type I Error (α)</w:t>
            </w:r>
          </w:p>
        </w:tc>
        <w:tc>
          <w:tcPr>
            <w:tcW w:w="0" w:type="auto"/>
            <w:vAlign w:val="bottom"/>
          </w:tcPr>
          <w:p w:rsidR="009B66E4" w:rsidRPr="00465B22" w:rsidRDefault="009B66E4" w:rsidP="00465B22">
            <w:pPr>
              <w:pStyle w:val="BodyText1"/>
              <w:spacing w:after="0"/>
              <w:ind w:firstLine="0"/>
              <w:rPr>
                <w:sz w:val="24"/>
                <w:szCs w:val="24"/>
              </w:rPr>
            </w:pPr>
            <w:r w:rsidRPr="00465B22">
              <w:rPr>
                <w:sz w:val="24"/>
                <w:szCs w:val="24"/>
              </w:rPr>
              <w:t>Sample Size</w:t>
            </w:r>
          </w:p>
          <w:p w:rsidR="009B66E4" w:rsidRPr="00465B22" w:rsidRDefault="009B66E4" w:rsidP="00465B22">
            <w:pPr>
              <w:pStyle w:val="BodyText1"/>
              <w:spacing w:after="0"/>
              <w:ind w:firstLine="0"/>
              <w:rPr>
                <w:sz w:val="24"/>
                <w:szCs w:val="24"/>
              </w:rPr>
            </w:pPr>
            <w:r w:rsidRPr="00465B22">
              <w:rPr>
                <w:sz w:val="24"/>
                <w:szCs w:val="24"/>
              </w:rPr>
              <w:t xml:space="preserve">Per Presentation </w:t>
            </w:r>
          </w:p>
          <w:p w:rsidR="009B66E4" w:rsidRPr="00465B22" w:rsidRDefault="009B66E4" w:rsidP="00465B22">
            <w:pPr>
              <w:pStyle w:val="BodyText1"/>
              <w:spacing w:after="0"/>
              <w:ind w:firstLine="0"/>
              <w:rPr>
                <w:sz w:val="24"/>
                <w:szCs w:val="24"/>
              </w:rPr>
            </w:pPr>
            <w:r w:rsidRPr="00465B22">
              <w:rPr>
                <w:sz w:val="24"/>
                <w:szCs w:val="24"/>
              </w:rPr>
              <w:t>Method</w:t>
            </w:r>
          </w:p>
        </w:tc>
        <w:tc>
          <w:tcPr>
            <w:tcW w:w="0" w:type="auto"/>
            <w:vAlign w:val="bottom"/>
          </w:tcPr>
          <w:p w:rsidR="009B66E4" w:rsidRPr="00465B22" w:rsidRDefault="00465B22" w:rsidP="00465B22">
            <w:pPr>
              <w:pStyle w:val="BodyText1"/>
              <w:spacing w:after="0"/>
              <w:ind w:firstLine="0"/>
              <w:rPr>
                <w:sz w:val="24"/>
                <w:szCs w:val="24"/>
              </w:rPr>
            </w:pPr>
            <w:r w:rsidRPr="00465B22">
              <w:rPr>
                <w:sz w:val="24"/>
                <w:szCs w:val="24"/>
              </w:rPr>
              <w:t>P</w:t>
            </w:r>
            <w:r w:rsidR="009B66E4" w:rsidRPr="00465B22">
              <w:rPr>
                <w:sz w:val="24"/>
                <w:szCs w:val="24"/>
              </w:rPr>
              <w:t>ower</w:t>
            </w:r>
          </w:p>
        </w:tc>
      </w:tr>
      <w:tr w:rsidR="009B66E4" w:rsidRPr="00465B22" w:rsidTr="009B1228">
        <w:trPr>
          <w:jc w:val="center"/>
        </w:trPr>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20%</w:t>
            </w:r>
          </w:p>
        </w:tc>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0.017</w:t>
            </w:r>
          </w:p>
        </w:tc>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580</w:t>
            </w:r>
          </w:p>
        </w:tc>
        <w:tc>
          <w:tcPr>
            <w:tcW w:w="0" w:type="auto"/>
            <w:vAlign w:val="center"/>
          </w:tcPr>
          <w:p w:rsidR="009B66E4" w:rsidRPr="00465B22" w:rsidRDefault="009B66E4" w:rsidP="00373343">
            <w:pPr>
              <w:pStyle w:val="BodyText1"/>
              <w:spacing w:after="120"/>
              <w:jc w:val="center"/>
              <w:rPr>
                <w:sz w:val="24"/>
                <w:szCs w:val="24"/>
              </w:rPr>
            </w:pPr>
            <w:r w:rsidRPr="00465B22">
              <w:rPr>
                <w:sz w:val="24"/>
                <w:szCs w:val="24"/>
              </w:rPr>
              <w:t>.</w:t>
            </w:r>
            <w:r w:rsidR="00465B22" w:rsidRPr="00465B22">
              <w:rPr>
                <w:sz w:val="24"/>
                <w:szCs w:val="24"/>
              </w:rPr>
              <w:t>0.</w:t>
            </w:r>
            <w:r w:rsidRPr="00465B22">
              <w:rPr>
                <w:sz w:val="24"/>
                <w:szCs w:val="24"/>
              </w:rPr>
              <w:t>99</w:t>
            </w:r>
          </w:p>
        </w:tc>
      </w:tr>
      <w:tr w:rsidR="009B66E4" w:rsidRPr="00465B22" w:rsidTr="009B1228">
        <w:trPr>
          <w:jc w:val="center"/>
        </w:trPr>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15%</w:t>
            </w:r>
          </w:p>
        </w:tc>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0.017</w:t>
            </w:r>
          </w:p>
        </w:tc>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580</w:t>
            </w:r>
          </w:p>
        </w:tc>
        <w:tc>
          <w:tcPr>
            <w:tcW w:w="0" w:type="auto"/>
            <w:vAlign w:val="center"/>
          </w:tcPr>
          <w:p w:rsidR="009B66E4" w:rsidRPr="00465B22" w:rsidRDefault="009B66E4" w:rsidP="00373343">
            <w:pPr>
              <w:pStyle w:val="BodyText1"/>
              <w:spacing w:after="120"/>
              <w:jc w:val="center"/>
              <w:rPr>
                <w:sz w:val="24"/>
                <w:szCs w:val="24"/>
              </w:rPr>
            </w:pPr>
            <w:r w:rsidRPr="00465B22">
              <w:rPr>
                <w:sz w:val="24"/>
                <w:szCs w:val="24"/>
              </w:rPr>
              <w:t>.</w:t>
            </w:r>
            <w:r w:rsidR="00465B22" w:rsidRPr="00465B22">
              <w:rPr>
                <w:sz w:val="24"/>
                <w:szCs w:val="24"/>
              </w:rPr>
              <w:t>0.</w:t>
            </w:r>
            <w:r w:rsidRPr="00465B22">
              <w:rPr>
                <w:sz w:val="24"/>
                <w:szCs w:val="24"/>
              </w:rPr>
              <w:t>99</w:t>
            </w:r>
          </w:p>
        </w:tc>
      </w:tr>
      <w:tr w:rsidR="009B66E4" w:rsidRPr="00465B22" w:rsidTr="009B1228">
        <w:trPr>
          <w:jc w:val="center"/>
        </w:trPr>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10%</w:t>
            </w:r>
          </w:p>
        </w:tc>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0.017</w:t>
            </w:r>
          </w:p>
        </w:tc>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580</w:t>
            </w:r>
          </w:p>
        </w:tc>
        <w:tc>
          <w:tcPr>
            <w:tcW w:w="0" w:type="auto"/>
            <w:vAlign w:val="center"/>
          </w:tcPr>
          <w:p w:rsidR="009B66E4" w:rsidRPr="00465B22" w:rsidRDefault="009B66E4" w:rsidP="00373343">
            <w:pPr>
              <w:pStyle w:val="BodyText1"/>
              <w:spacing w:after="120"/>
              <w:jc w:val="center"/>
              <w:rPr>
                <w:sz w:val="24"/>
                <w:szCs w:val="24"/>
              </w:rPr>
            </w:pPr>
            <w:r w:rsidRPr="00465B22">
              <w:rPr>
                <w:sz w:val="24"/>
                <w:szCs w:val="24"/>
              </w:rPr>
              <w:t>.</w:t>
            </w:r>
            <w:r w:rsidR="00465B22" w:rsidRPr="00465B22">
              <w:rPr>
                <w:sz w:val="24"/>
                <w:szCs w:val="24"/>
              </w:rPr>
              <w:t>0.</w:t>
            </w:r>
            <w:r w:rsidRPr="00465B22">
              <w:rPr>
                <w:sz w:val="24"/>
                <w:szCs w:val="24"/>
              </w:rPr>
              <w:t>85</w:t>
            </w:r>
          </w:p>
        </w:tc>
      </w:tr>
      <w:tr w:rsidR="009B66E4" w:rsidRPr="00465B22" w:rsidTr="009B1228">
        <w:trPr>
          <w:jc w:val="center"/>
        </w:trPr>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5%</w:t>
            </w:r>
          </w:p>
        </w:tc>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0.017</w:t>
            </w:r>
          </w:p>
        </w:tc>
        <w:tc>
          <w:tcPr>
            <w:tcW w:w="0" w:type="auto"/>
            <w:vAlign w:val="center"/>
          </w:tcPr>
          <w:p w:rsidR="009B66E4" w:rsidRPr="00465B22" w:rsidRDefault="009B66E4" w:rsidP="00373343">
            <w:pPr>
              <w:pStyle w:val="BodyText1"/>
              <w:spacing w:after="120"/>
              <w:ind w:firstLine="0"/>
              <w:jc w:val="center"/>
              <w:rPr>
                <w:sz w:val="24"/>
                <w:szCs w:val="24"/>
              </w:rPr>
            </w:pPr>
            <w:r w:rsidRPr="00465B22">
              <w:rPr>
                <w:sz w:val="24"/>
                <w:szCs w:val="24"/>
              </w:rPr>
              <w:t>580</w:t>
            </w:r>
          </w:p>
        </w:tc>
        <w:tc>
          <w:tcPr>
            <w:tcW w:w="0" w:type="auto"/>
            <w:vAlign w:val="center"/>
          </w:tcPr>
          <w:p w:rsidR="009B66E4" w:rsidRPr="00465B22" w:rsidRDefault="009B66E4" w:rsidP="00373343">
            <w:pPr>
              <w:pStyle w:val="BodyText1"/>
              <w:spacing w:after="120"/>
              <w:jc w:val="center"/>
              <w:rPr>
                <w:sz w:val="24"/>
                <w:szCs w:val="24"/>
              </w:rPr>
            </w:pPr>
            <w:r w:rsidRPr="00465B22">
              <w:rPr>
                <w:sz w:val="24"/>
                <w:szCs w:val="24"/>
              </w:rPr>
              <w:t>.</w:t>
            </w:r>
            <w:r w:rsidR="00465B22" w:rsidRPr="00465B22">
              <w:rPr>
                <w:sz w:val="24"/>
                <w:szCs w:val="24"/>
              </w:rPr>
              <w:t>0.</w:t>
            </w:r>
            <w:r w:rsidRPr="00465B22">
              <w:rPr>
                <w:sz w:val="24"/>
                <w:szCs w:val="24"/>
              </w:rPr>
              <w:t>25</w:t>
            </w:r>
          </w:p>
        </w:tc>
      </w:tr>
    </w:tbl>
    <w:p w:rsidR="009B66E4" w:rsidRPr="007964FC" w:rsidRDefault="009B66E4" w:rsidP="009B66E4">
      <w:pPr>
        <w:pStyle w:val="BodyText1"/>
        <w:spacing w:after="120"/>
        <w:rPr>
          <w:rFonts w:asciiTheme="minorHAnsi" w:hAnsiTheme="minorHAnsi" w:cs="Arial"/>
        </w:rPr>
      </w:pPr>
    </w:p>
    <w:p w:rsidR="009B66E4" w:rsidRPr="007964FC" w:rsidRDefault="009B66E4" w:rsidP="009B66E4">
      <w:pPr>
        <w:pStyle w:val="BodyText1"/>
        <w:spacing w:after="120"/>
        <w:rPr>
          <w:rFonts w:asciiTheme="minorHAnsi" w:hAnsiTheme="minorHAnsi" w:cs="Arial"/>
        </w:rPr>
      </w:pPr>
    </w:p>
    <w:p w:rsidR="009B66E4" w:rsidRPr="00465B22" w:rsidRDefault="009B66E4" w:rsidP="00465B22">
      <w:pPr>
        <w:pStyle w:val="BodyText1"/>
        <w:spacing w:after="120" w:line="480" w:lineRule="auto"/>
        <w:rPr>
          <w:sz w:val="24"/>
          <w:szCs w:val="24"/>
        </w:rPr>
      </w:pPr>
      <w:r w:rsidRPr="00465B22">
        <w:rPr>
          <w:sz w:val="24"/>
          <w:szCs w:val="24"/>
        </w:rPr>
        <w:t xml:space="preserve">The power to detect differences between the educational intervention groups (i.e. absent and present) did not require a correction for multiple tests and has the highest sample size per group; therefore, these comparisons have the highest power as shown in </w:t>
      </w:r>
      <w:r w:rsidR="00465B22">
        <w:rPr>
          <w:sz w:val="24"/>
          <w:szCs w:val="24"/>
        </w:rPr>
        <w:t>Table 6</w:t>
      </w:r>
      <w:r w:rsidRPr="00465B22">
        <w:rPr>
          <w:sz w:val="24"/>
          <w:szCs w:val="24"/>
        </w:rPr>
        <w:t xml:space="preserve">. </w:t>
      </w:r>
    </w:p>
    <w:p w:rsidR="009B66E4" w:rsidRPr="007964FC" w:rsidRDefault="009B66E4" w:rsidP="009B66E4">
      <w:pPr>
        <w:pStyle w:val="BodyText1"/>
        <w:spacing w:after="120"/>
        <w:rPr>
          <w:rFonts w:asciiTheme="minorHAnsi" w:hAnsiTheme="minorHAnsi" w:cs="Arial"/>
        </w:rPr>
      </w:pPr>
    </w:p>
    <w:p w:rsidR="00EE302A" w:rsidRDefault="00EE302A" w:rsidP="00EE302A">
      <w:pPr>
        <w:pStyle w:val="BodyText1"/>
        <w:spacing w:after="120" w:line="240" w:lineRule="auto"/>
        <w:rPr>
          <w:sz w:val="24"/>
          <w:szCs w:val="24"/>
        </w:rPr>
      </w:pPr>
      <w:r>
        <w:rPr>
          <w:sz w:val="24"/>
          <w:szCs w:val="24"/>
        </w:rPr>
        <w:lastRenderedPageBreak/>
        <w:t xml:space="preserve">                  </w:t>
      </w:r>
    </w:p>
    <w:p w:rsidR="009B66E4" w:rsidRPr="00EE302A" w:rsidRDefault="00465B22" w:rsidP="00EE302A">
      <w:pPr>
        <w:pStyle w:val="BodyText1"/>
        <w:spacing w:after="120" w:line="240" w:lineRule="auto"/>
        <w:ind w:left="720"/>
        <w:rPr>
          <w:sz w:val="24"/>
          <w:szCs w:val="24"/>
        </w:rPr>
      </w:pPr>
      <w:proofErr w:type="gramStart"/>
      <w:r w:rsidRPr="00EE302A">
        <w:rPr>
          <w:sz w:val="24"/>
          <w:szCs w:val="24"/>
        </w:rPr>
        <w:t>Table 6</w:t>
      </w:r>
      <w:r w:rsidR="009B66E4" w:rsidRPr="00EE302A">
        <w:rPr>
          <w:sz w:val="24"/>
          <w:szCs w:val="24"/>
        </w:rPr>
        <w:t>.</w:t>
      </w:r>
      <w:proofErr w:type="gramEnd"/>
      <w:r w:rsidR="009B66E4" w:rsidRPr="00EE302A">
        <w:rPr>
          <w:sz w:val="24"/>
          <w:szCs w:val="24"/>
        </w:rPr>
        <w:t xml:space="preserve">  Power to Detect Differences in Educational Interventions</w:t>
      </w:r>
    </w:p>
    <w:tbl>
      <w:tblPr>
        <w:tblStyle w:val="TableGrid"/>
        <w:tblW w:w="0" w:type="auto"/>
        <w:jc w:val="center"/>
        <w:tblLook w:val="04A0" w:firstRow="1" w:lastRow="0" w:firstColumn="1" w:lastColumn="0" w:noHBand="0" w:noVBand="1"/>
      </w:tblPr>
      <w:tblGrid>
        <w:gridCol w:w="2416"/>
        <w:gridCol w:w="1761"/>
        <w:gridCol w:w="1743"/>
        <w:gridCol w:w="925"/>
      </w:tblGrid>
      <w:tr w:rsidR="009B66E4" w:rsidRPr="00EE302A" w:rsidTr="00EE302A">
        <w:trPr>
          <w:jc w:val="center"/>
        </w:trPr>
        <w:tc>
          <w:tcPr>
            <w:tcW w:w="0" w:type="auto"/>
            <w:vAlign w:val="bottom"/>
          </w:tcPr>
          <w:p w:rsidR="009B66E4" w:rsidRPr="00EE302A" w:rsidRDefault="009B66E4" w:rsidP="00EE302A">
            <w:pPr>
              <w:pStyle w:val="BodyText1"/>
              <w:spacing w:after="0" w:line="240" w:lineRule="auto"/>
              <w:ind w:firstLine="0"/>
              <w:rPr>
                <w:sz w:val="24"/>
                <w:szCs w:val="24"/>
              </w:rPr>
            </w:pPr>
            <w:r w:rsidRPr="00EE302A">
              <w:rPr>
                <w:sz w:val="24"/>
                <w:szCs w:val="24"/>
              </w:rPr>
              <w:t>Percentage Difference</w:t>
            </w:r>
          </w:p>
          <w:p w:rsidR="009B66E4" w:rsidRPr="00EE302A" w:rsidRDefault="009B66E4" w:rsidP="00EE302A">
            <w:pPr>
              <w:pStyle w:val="BodyText1"/>
              <w:spacing w:after="0" w:line="240" w:lineRule="auto"/>
              <w:ind w:firstLine="0"/>
              <w:rPr>
                <w:sz w:val="24"/>
                <w:szCs w:val="24"/>
              </w:rPr>
            </w:pPr>
            <w:r w:rsidRPr="00EE302A">
              <w:rPr>
                <w:sz w:val="24"/>
                <w:szCs w:val="24"/>
              </w:rPr>
              <w:t>Between 2 Proportions</w:t>
            </w:r>
          </w:p>
        </w:tc>
        <w:tc>
          <w:tcPr>
            <w:tcW w:w="0" w:type="auto"/>
            <w:vAlign w:val="bottom"/>
          </w:tcPr>
          <w:p w:rsidR="009B66E4" w:rsidRPr="00EE302A" w:rsidRDefault="009B66E4" w:rsidP="00EE302A">
            <w:pPr>
              <w:pStyle w:val="BodyText1"/>
              <w:spacing w:after="0" w:line="240" w:lineRule="auto"/>
              <w:ind w:firstLine="0"/>
              <w:rPr>
                <w:sz w:val="24"/>
                <w:szCs w:val="24"/>
              </w:rPr>
            </w:pPr>
            <w:r w:rsidRPr="00EE302A">
              <w:rPr>
                <w:sz w:val="24"/>
                <w:szCs w:val="24"/>
              </w:rPr>
              <w:t>Probability of a</w:t>
            </w:r>
          </w:p>
          <w:p w:rsidR="009B66E4" w:rsidRPr="00EE302A" w:rsidRDefault="009B66E4" w:rsidP="00EE302A">
            <w:pPr>
              <w:pStyle w:val="BodyText1"/>
              <w:spacing w:after="0" w:line="240" w:lineRule="auto"/>
              <w:ind w:firstLine="0"/>
              <w:rPr>
                <w:sz w:val="24"/>
                <w:szCs w:val="24"/>
              </w:rPr>
            </w:pPr>
            <w:r w:rsidRPr="00EE302A">
              <w:rPr>
                <w:sz w:val="24"/>
                <w:szCs w:val="24"/>
              </w:rPr>
              <w:t>Type I Error (α)</w:t>
            </w:r>
          </w:p>
        </w:tc>
        <w:tc>
          <w:tcPr>
            <w:tcW w:w="0" w:type="auto"/>
            <w:vAlign w:val="bottom"/>
          </w:tcPr>
          <w:p w:rsidR="009B66E4" w:rsidRPr="00EE302A" w:rsidRDefault="009B66E4" w:rsidP="00EE302A">
            <w:pPr>
              <w:pStyle w:val="BodyText1"/>
              <w:spacing w:after="0" w:line="240" w:lineRule="auto"/>
              <w:ind w:firstLine="0"/>
              <w:rPr>
                <w:sz w:val="24"/>
                <w:szCs w:val="24"/>
              </w:rPr>
            </w:pPr>
            <w:r w:rsidRPr="00EE302A">
              <w:rPr>
                <w:sz w:val="24"/>
                <w:szCs w:val="24"/>
              </w:rPr>
              <w:t>Sample Size</w:t>
            </w:r>
          </w:p>
          <w:p w:rsidR="009B66E4" w:rsidRPr="00EE302A" w:rsidRDefault="009B66E4" w:rsidP="00EE302A">
            <w:pPr>
              <w:pStyle w:val="BodyText1"/>
              <w:spacing w:after="0" w:line="240" w:lineRule="auto"/>
              <w:ind w:firstLine="0"/>
              <w:rPr>
                <w:sz w:val="24"/>
                <w:szCs w:val="24"/>
              </w:rPr>
            </w:pPr>
            <w:r w:rsidRPr="00EE302A">
              <w:rPr>
                <w:sz w:val="24"/>
                <w:szCs w:val="24"/>
              </w:rPr>
              <w:t xml:space="preserve">Per Educational </w:t>
            </w:r>
          </w:p>
          <w:p w:rsidR="009B66E4" w:rsidRPr="00EE302A" w:rsidRDefault="009B66E4" w:rsidP="00EE302A">
            <w:pPr>
              <w:pStyle w:val="BodyText1"/>
              <w:spacing w:after="0" w:line="240" w:lineRule="auto"/>
              <w:ind w:firstLine="0"/>
              <w:rPr>
                <w:sz w:val="24"/>
                <w:szCs w:val="24"/>
              </w:rPr>
            </w:pPr>
            <w:r w:rsidRPr="00EE302A">
              <w:rPr>
                <w:sz w:val="24"/>
                <w:szCs w:val="24"/>
              </w:rPr>
              <w:t>Intervention</w:t>
            </w:r>
          </w:p>
        </w:tc>
        <w:tc>
          <w:tcPr>
            <w:tcW w:w="925" w:type="dxa"/>
            <w:vAlign w:val="bottom"/>
          </w:tcPr>
          <w:p w:rsidR="009B66E4" w:rsidRPr="00EE302A" w:rsidRDefault="009B66E4" w:rsidP="00EE302A">
            <w:pPr>
              <w:pStyle w:val="BodyText1"/>
              <w:spacing w:after="0" w:line="240" w:lineRule="auto"/>
              <w:ind w:firstLine="0"/>
              <w:rPr>
                <w:sz w:val="24"/>
                <w:szCs w:val="24"/>
              </w:rPr>
            </w:pPr>
            <w:r w:rsidRPr="00EE302A">
              <w:rPr>
                <w:sz w:val="24"/>
                <w:szCs w:val="24"/>
              </w:rPr>
              <w:t>Power</w:t>
            </w:r>
          </w:p>
        </w:tc>
      </w:tr>
      <w:tr w:rsidR="009B66E4" w:rsidRPr="00EE302A" w:rsidTr="00EE302A">
        <w:trPr>
          <w:jc w:val="center"/>
        </w:trPr>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20%</w:t>
            </w:r>
          </w:p>
        </w:tc>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0.05</w:t>
            </w:r>
          </w:p>
        </w:tc>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870</w:t>
            </w:r>
          </w:p>
        </w:tc>
        <w:tc>
          <w:tcPr>
            <w:tcW w:w="925" w:type="dxa"/>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0.99</w:t>
            </w:r>
          </w:p>
        </w:tc>
      </w:tr>
      <w:tr w:rsidR="009B66E4" w:rsidRPr="00EE302A" w:rsidTr="00EE302A">
        <w:trPr>
          <w:jc w:val="center"/>
        </w:trPr>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15%</w:t>
            </w:r>
          </w:p>
        </w:tc>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0.05</w:t>
            </w:r>
          </w:p>
        </w:tc>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870</w:t>
            </w:r>
          </w:p>
        </w:tc>
        <w:tc>
          <w:tcPr>
            <w:tcW w:w="925" w:type="dxa"/>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0.99</w:t>
            </w:r>
          </w:p>
        </w:tc>
      </w:tr>
      <w:tr w:rsidR="009B66E4" w:rsidRPr="00EE302A" w:rsidTr="00EE302A">
        <w:trPr>
          <w:jc w:val="center"/>
        </w:trPr>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10%</w:t>
            </w:r>
          </w:p>
        </w:tc>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0.05</w:t>
            </w:r>
          </w:p>
        </w:tc>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870</w:t>
            </w:r>
          </w:p>
        </w:tc>
        <w:tc>
          <w:tcPr>
            <w:tcW w:w="925" w:type="dxa"/>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0.99</w:t>
            </w:r>
          </w:p>
        </w:tc>
      </w:tr>
      <w:tr w:rsidR="009B66E4" w:rsidRPr="00EE302A" w:rsidTr="00EE302A">
        <w:trPr>
          <w:jc w:val="center"/>
        </w:trPr>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5%</w:t>
            </w:r>
          </w:p>
        </w:tc>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0.05</w:t>
            </w:r>
          </w:p>
        </w:tc>
        <w:tc>
          <w:tcPr>
            <w:tcW w:w="0" w:type="auto"/>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870</w:t>
            </w:r>
          </w:p>
        </w:tc>
        <w:tc>
          <w:tcPr>
            <w:tcW w:w="925" w:type="dxa"/>
            <w:vAlign w:val="center"/>
          </w:tcPr>
          <w:p w:rsidR="009B66E4" w:rsidRPr="00EE302A" w:rsidRDefault="009B66E4" w:rsidP="00EE302A">
            <w:pPr>
              <w:pStyle w:val="BodyText1"/>
              <w:spacing w:after="120" w:line="240" w:lineRule="auto"/>
              <w:ind w:firstLine="0"/>
              <w:jc w:val="center"/>
              <w:rPr>
                <w:sz w:val="24"/>
                <w:szCs w:val="24"/>
              </w:rPr>
            </w:pPr>
            <w:r w:rsidRPr="00EE302A">
              <w:rPr>
                <w:sz w:val="24"/>
                <w:szCs w:val="24"/>
              </w:rPr>
              <w:t>0.55</w:t>
            </w:r>
          </w:p>
        </w:tc>
      </w:tr>
    </w:tbl>
    <w:p w:rsidR="009B66E4" w:rsidRPr="00EE302A" w:rsidRDefault="009B66E4" w:rsidP="00EE302A">
      <w:pPr>
        <w:pStyle w:val="BodyText1"/>
        <w:spacing w:after="120" w:line="240" w:lineRule="auto"/>
        <w:rPr>
          <w:sz w:val="24"/>
          <w:szCs w:val="24"/>
        </w:rPr>
      </w:pPr>
    </w:p>
    <w:p w:rsidR="009B66E4" w:rsidRPr="007964FC" w:rsidRDefault="009B66E4" w:rsidP="009B66E4">
      <w:pPr>
        <w:pStyle w:val="BodyText1"/>
        <w:spacing w:after="120"/>
        <w:rPr>
          <w:rFonts w:asciiTheme="minorHAnsi" w:hAnsiTheme="minorHAnsi" w:cs="Arial"/>
        </w:rPr>
      </w:pPr>
    </w:p>
    <w:p w:rsidR="009B66E4" w:rsidRPr="00EE302A" w:rsidRDefault="009B66E4" w:rsidP="00EE302A">
      <w:pPr>
        <w:pStyle w:val="BodyText1"/>
        <w:spacing w:after="120" w:line="480" w:lineRule="auto"/>
        <w:rPr>
          <w:b/>
          <w:bCs/>
          <w:sz w:val="24"/>
          <w:szCs w:val="24"/>
        </w:rPr>
      </w:pPr>
      <w:r w:rsidRPr="00EE302A">
        <w:rPr>
          <w:b/>
          <w:bCs/>
          <w:sz w:val="24"/>
          <w:szCs w:val="24"/>
        </w:rPr>
        <w:t>Continuous Outcomes</w:t>
      </w:r>
    </w:p>
    <w:p w:rsidR="009B66E4" w:rsidRPr="00EE302A" w:rsidRDefault="009B66E4" w:rsidP="00373343">
      <w:pPr>
        <w:spacing w:line="480" w:lineRule="auto"/>
        <w:ind w:firstLine="720"/>
      </w:pPr>
      <w:r w:rsidRPr="00EE302A">
        <w:t>The G*Power program</w:t>
      </w:r>
      <w:r w:rsidR="00373343">
        <w:rPr>
          <w:rStyle w:val="FootnoteReference"/>
        </w:rPr>
        <w:footnoteReference w:id="6"/>
      </w:r>
      <w:r w:rsidRPr="00EE302A">
        <w:t xml:space="preserve"> was used to calculate the power to detect differences between the 6 groups described above and assuming a small ANOVA effect size (d=0.1) as suggested by Cohen (1988).</w:t>
      </w:r>
      <w:r w:rsidR="00373343">
        <w:rPr>
          <w:rStyle w:val="FootnoteReference"/>
        </w:rPr>
        <w:footnoteReference w:id="7"/>
      </w:r>
      <w:r w:rsidRPr="00EE302A">
        <w:t xml:space="preserve">  As shown in </w:t>
      </w:r>
      <w:r w:rsidR="00465B22" w:rsidRPr="00EE302A">
        <w:t>Table 7</w:t>
      </w:r>
      <w:r w:rsidRPr="00EE302A">
        <w:t xml:space="preserve">, we will have excellent power to detect differences for the main effects of educational intervention and type of information.  We will have </w:t>
      </w:r>
      <w:proofErr w:type="gramStart"/>
      <w:r w:rsidRPr="00EE302A">
        <w:t>good</w:t>
      </w:r>
      <w:proofErr w:type="gramEnd"/>
      <w:r w:rsidRPr="00EE302A">
        <w:t xml:space="preserve"> to fair power to detect a small interaction effect.  We will have very low power (≤ 0.5) to detect very small effect sizes (d=0.05).</w:t>
      </w:r>
    </w:p>
    <w:p w:rsidR="009B66E4" w:rsidRPr="007964FC" w:rsidRDefault="009B66E4" w:rsidP="009B66E4">
      <w:pPr>
        <w:pStyle w:val="BodyText1"/>
        <w:spacing w:after="120"/>
        <w:rPr>
          <w:rFonts w:asciiTheme="minorHAnsi" w:hAnsiTheme="minorHAnsi" w:cs="Arial"/>
        </w:rPr>
      </w:pPr>
    </w:p>
    <w:p w:rsidR="009B66E4" w:rsidRPr="00EE302A" w:rsidRDefault="009B66E4" w:rsidP="00EE302A">
      <w:pPr>
        <w:pStyle w:val="BodyText1"/>
        <w:spacing w:after="120" w:line="240" w:lineRule="auto"/>
        <w:rPr>
          <w:sz w:val="24"/>
          <w:szCs w:val="24"/>
        </w:rPr>
      </w:pPr>
      <w:r w:rsidRPr="00EE302A">
        <w:rPr>
          <w:sz w:val="24"/>
          <w:szCs w:val="24"/>
        </w:rPr>
        <w:t xml:space="preserve">           </w:t>
      </w:r>
      <w:proofErr w:type="gramStart"/>
      <w:r w:rsidR="00465B22" w:rsidRPr="00EE302A">
        <w:rPr>
          <w:sz w:val="24"/>
          <w:szCs w:val="24"/>
        </w:rPr>
        <w:t>Table 7</w:t>
      </w:r>
      <w:r w:rsidRPr="00EE302A">
        <w:rPr>
          <w:sz w:val="24"/>
          <w:szCs w:val="24"/>
        </w:rPr>
        <w:t>.</w:t>
      </w:r>
      <w:proofErr w:type="gramEnd"/>
      <w:r w:rsidRPr="00EE302A">
        <w:rPr>
          <w:sz w:val="24"/>
          <w:szCs w:val="24"/>
        </w:rPr>
        <w:t xml:space="preserve">  Power for Continuous Outcome </w:t>
      </w:r>
    </w:p>
    <w:tbl>
      <w:tblPr>
        <w:tblStyle w:val="TableGrid"/>
        <w:tblW w:w="0" w:type="auto"/>
        <w:jc w:val="center"/>
        <w:tblLook w:val="04A0" w:firstRow="1" w:lastRow="0" w:firstColumn="1" w:lastColumn="0" w:noHBand="0" w:noVBand="1"/>
      </w:tblPr>
      <w:tblGrid>
        <w:gridCol w:w="3429"/>
        <w:gridCol w:w="1577"/>
        <w:gridCol w:w="1571"/>
        <w:gridCol w:w="1016"/>
        <w:gridCol w:w="830"/>
      </w:tblGrid>
      <w:tr w:rsidR="009B66E4" w:rsidRPr="00EE302A" w:rsidTr="009B1228">
        <w:trPr>
          <w:jc w:val="center"/>
        </w:trPr>
        <w:tc>
          <w:tcPr>
            <w:tcW w:w="3429" w:type="dxa"/>
            <w:vAlign w:val="bottom"/>
          </w:tcPr>
          <w:p w:rsidR="009B66E4" w:rsidRPr="00EE302A" w:rsidRDefault="009B66E4" w:rsidP="00EE302A">
            <w:pPr>
              <w:pStyle w:val="BodyText1"/>
              <w:spacing w:after="0" w:line="240" w:lineRule="auto"/>
              <w:rPr>
                <w:sz w:val="24"/>
                <w:szCs w:val="24"/>
              </w:rPr>
            </w:pPr>
          </w:p>
        </w:tc>
        <w:tc>
          <w:tcPr>
            <w:tcW w:w="1577" w:type="dxa"/>
            <w:vAlign w:val="bottom"/>
          </w:tcPr>
          <w:p w:rsidR="009B66E4" w:rsidRPr="00EE302A" w:rsidRDefault="009B66E4" w:rsidP="00EE302A">
            <w:pPr>
              <w:pStyle w:val="BodyText1"/>
              <w:spacing w:after="0" w:line="240" w:lineRule="auto"/>
              <w:ind w:firstLine="0"/>
              <w:rPr>
                <w:sz w:val="24"/>
                <w:szCs w:val="24"/>
              </w:rPr>
            </w:pPr>
            <w:r w:rsidRPr="00EE302A">
              <w:rPr>
                <w:sz w:val="24"/>
                <w:szCs w:val="24"/>
              </w:rPr>
              <w:t>Probability of a</w:t>
            </w:r>
            <w:r w:rsidR="00EE302A">
              <w:rPr>
                <w:sz w:val="24"/>
                <w:szCs w:val="24"/>
              </w:rPr>
              <w:t xml:space="preserve"> </w:t>
            </w:r>
            <w:r w:rsidRPr="00EE302A">
              <w:rPr>
                <w:sz w:val="24"/>
                <w:szCs w:val="24"/>
              </w:rPr>
              <w:t>Type I Error (α)</w:t>
            </w:r>
          </w:p>
        </w:tc>
        <w:tc>
          <w:tcPr>
            <w:tcW w:w="1571" w:type="dxa"/>
            <w:vAlign w:val="bottom"/>
          </w:tcPr>
          <w:p w:rsidR="009B66E4" w:rsidRPr="00EE302A" w:rsidRDefault="00EE302A" w:rsidP="00EE302A">
            <w:pPr>
              <w:pStyle w:val="BodyText1"/>
              <w:spacing w:after="0" w:line="240" w:lineRule="auto"/>
              <w:ind w:firstLine="0"/>
              <w:rPr>
                <w:sz w:val="24"/>
                <w:szCs w:val="24"/>
              </w:rPr>
            </w:pPr>
            <w:r>
              <w:rPr>
                <w:sz w:val="24"/>
                <w:szCs w:val="24"/>
              </w:rPr>
              <w:t>Total Sample Size (Equal Sized</w:t>
            </w:r>
            <w:r w:rsidR="00385D1F">
              <w:rPr>
                <w:sz w:val="24"/>
                <w:szCs w:val="24"/>
              </w:rPr>
              <w:t xml:space="preserve"> </w:t>
            </w:r>
            <w:r w:rsidR="009B66E4" w:rsidRPr="00EE302A">
              <w:rPr>
                <w:sz w:val="24"/>
                <w:szCs w:val="24"/>
              </w:rPr>
              <w:t>Groups)</w:t>
            </w:r>
          </w:p>
        </w:tc>
        <w:tc>
          <w:tcPr>
            <w:tcW w:w="931" w:type="dxa"/>
            <w:vAlign w:val="bottom"/>
          </w:tcPr>
          <w:p w:rsidR="009B66E4" w:rsidRPr="00EE302A" w:rsidRDefault="009B66E4" w:rsidP="00EE302A">
            <w:pPr>
              <w:pStyle w:val="BodyText1"/>
              <w:spacing w:after="0" w:line="240" w:lineRule="auto"/>
              <w:ind w:firstLine="0"/>
              <w:rPr>
                <w:sz w:val="24"/>
                <w:szCs w:val="24"/>
              </w:rPr>
            </w:pPr>
            <w:r w:rsidRPr="00EE302A">
              <w:rPr>
                <w:sz w:val="24"/>
                <w:szCs w:val="24"/>
              </w:rPr>
              <w:t>Cohen’s Effect Size</w:t>
            </w:r>
          </w:p>
        </w:tc>
        <w:tc>
          <w:tcPr>
            <w:tcW w:w="790" w:type="dxa"/>
            <w:vAlign w:val="bottom"/>
          </w:tcPr>
          <w:p w:rsidR="009B66E4" w:rsidRPr="00EE302A" w:rsidRDefault="009B66E4" w:rsidP="00EE302A">
            <w:pPr>
              <w:pStyle w:val="BodyText1"/>
              <w:spacing w:after="0" w:line="240" w:lineRule="auto"/>
              <w:ind w:firstLine="0"/>
              <w:rPr>
                <w:sz w:val="24"/>
                <w:szCs w:val="24"/>
              </w:rPr>
            </w:pPr>
            <w:r w:rsidRPr="00EE302A">
              <w:rPr>
                <w:sz w:val="24"/>
                <w:szCs w:val="24"/>
              </w:rPr>
              <w:t>Power</w:t>
            </w:r>
          </w:p>
        </w:tc>
      </w:tr>
      <w:tr w:rsidR="009B66E4" w:rsidRPr="00EE302A" w:rsidTr="009B1228">
        <w:trPr>
          <w:jc w:val="center"/>
        </w:trPr>
        <w:tc>
          <w:tcPr>
            <w:tcW w:w="3429" w:type="dxa"/>
          </w:tcPr>
          <w:p w:rsidR="009B66E4" w:rsidRPr="00EE302A" w:rsidRDefault="009B66E4" w:rsidP="00EE302A">
            <w:pPr>
              <w:pStyle w:val="BodyText1"/>
              <w:spacing w:after="120" w:line="240" w:lineRule="auto"/>
              <w:ind w:firstLine="0"/>
              <w:rPr>
                <w:sz w:val="24"/>
                <w:szCs w:val="24"/>
              </w:rPr>
            </w:pPr>
            <w:r w:rsidRPr="00EE302A">
              <w:rPr>
                <w:sz w:val="24"/>
                <w:szCs w:val="24"/>
              </w:rPr>
              <w:t>Educational Intervention</w:t>
            </w:r>
          </w:p>
        </w:tc>
        <w:tc>
          <w:tcPr>
            <w:tcW w:w="1577" w:type="dxa"/>
            <w:vAlign w:val="center"/>
          </w:tcPr>
          <w:p w:rsidR="009B66E4" w:rsidRPr="00EE302A" w:rsidRDefault="009B66E4" w:rsidP="00E801C7">
            <w:pPr>
              <w:pStyle w:val="BodyText1"/>
              <w:spacing w:after="120" w:line="240" w:lineRule="auto"/>
              <w:ind w:firstLine="0"/>
              <w:jc w:val="center"/>
              <w:rPr>
                <w:sz w:val="24"/>
                <w:szCs w:val="24"/>
              </w:rPr>
            </w:pPr>
            <w:r w:rsidRPr="00EE302A">
              <w:rPr>
                <w:sz w:val="24"/>
                <w:szCs w:val="24"/>
              </w:rPr>
              <w:t>0.05</w:t>
            </w:r>
          </w:p>
        </w:tc>
        <w:tc>
          <w:tcPr>
            <w:tcW w:w="1571" w:type="dxa"/>
            <w:vAlign w:val="center"/>
          </w:tcPr>
          <w:p w:rsidR="009B66E4" w:rsidRPr="00EE302A" w:rsidRDefault="009B66E4" w:rsidP="00E801C7">
            <w:pPr>
              <w:pStyle w:val="BodyText1"/>
              <w:spacing w:after="120" w:line="240" w:lineRule="auto"/>
              <w:ind w:firstLine="0"/>
              <w:jc w:val="center"/>
              <w:rPr>
                <w:sz w:val="24"/>
                <w:szCs w:val="24"/>
              </w:rPr>
            </w:pPr>
            <w:r w:rsidRPr="00EE302A">
              <w:rPr>
                <w:sz w:val="24"/>
                <w:szCs w:val="24"/>
              </w:rPr>
              <w:t>1740</w:t>
            </w:r>
          </w:p>
        </w:tc>
        <w:tc>
          <w:tcPr>
            <w:tcW w:w="931" w:type="dxa"/>
            <w:vAlign w:val="center"/>
          </w:tcPr>
          <w:p w:rsidR="009B66E4" w:rsidRPr="00EE302A" w:rsidRDefault="009B66E4" w:rsidP="00E801C7">
            <w:pPr>
              <w:pStyle w:val="BodyText1"/>
              <w:spacing w:after="120" w:line="240" w:lineRule="auto"/>
              <w:ind w:firstLine="0"/>
              <w:jc w:val="center"/>
              <w:rPr>
                <w:sz w:val="24"/>
                <w:szCs w:val="24"/>
              </w:rPr>
            </w:pPr>
            <w:r w:rsidRPr="00EE302A">
              <w:rPr>
                <w:sz w:val="24"/>
                <w:szCs w:val="24"/>
              </w:rPr>
              <w:t>0.1</w:t>
            </w:r>
          </w:p>
        </w:tc>
        <w:tc>
          <w:tcPr>
            <w:tcW w:w="790" w:type="dxa"/>
            <w:vAlign w:val="center"/>
          </w:tcPr>
          <w:p w:rsidR="009B66E4" w:rsidRPr="00EE302A" w:rsidRDefault="009B66E4" w:rsidP="00E801C7">
            <w:pPr>
              <w:pStyle w:val="BodyText1"/>
              <w:spacing w:after="120" w:line="240" w:lineRule="auto"/>
              <w:ind w:firstLine="0"/>
              <w:jc w:val="center"/>
              <w:rPr>
                <w:sz w:val="24"/>
                <w:szCs w:val="24"/>
              </w:rPr>
            </w:pPr>
            <w:r w:rsidRPr="00EE302A">
              <w:rPr>
                <w:sz w:val="24"/>
                <w:szCs w:val="24"/>
              </w:rPr>
              <w:t>0.99</w:t>
            </w:r>
          </w:p>
        </w:tc>
      </w:tr>
      <w:tr w:rsidR="009B66E4" w:rsidRPr="00EE302A" w:rsidTr="009B1228">
        <w:trPr>
          <w:jc w:val="center"/>
        </w:trPr>
        <w:tc>
          <w:tcPr>
            <w:tcW w:w="3429" w:type="dxa"/>
          </w:tcPr>
          <w:p w:rsidR="009B66E4" w:rsidRPr="00EE302A" w:rsidRDefault="009B66E4" w:rsidP="00EE302A">
            <w:pPr>
              <w:pStyle w:val="BodyText1"/>
              <w:spacing w:after="120" w:line="240" w:lineRule="auto"/>
              <w:ind w:firstLine="0"/>
              <w:rPr>
                <w:sz w:val="24"/>
                <w:szCs w:val="24"/>
              </w:rPr>
            </w:pPr>
            <w:r w:rsidRPr="00EE302A">
              <w:rPr>
                <w:sz w:val="24"/>
                <w:szCs w:val="24"/>
              </w:rPr>
              <w:t>Type of Information</w:t>
            </w:r>
          </w:p>
        </w:tc>
        <w:tc>
          <w:tcPr>
            <w:tcW w:w="1577" w:type="dxa"/>
            <w:vAlign w:val="center"/>
          </w:tcPr>
          <w:p w:rsidR="009B66E4" w:rsidRPr="00EE302A" w:rsidRDefault="009B66E4" w:rsidP="00E801C7">
            <w:pPr>
              <w:jc w:val="center"/>
            </w:pPr>
            <w:r w:rsidRPr="00EE302A">
              <w:t>0.05</w:t>
            </w:r>
          </w:p>
        </w:tc>
        <w:tc>
          <w:tcPr>
            <w:tcW w:w="1571" w:type="dxa"/>
            <w:vAlign w:val="center"/>
          </w:tcPr>
          <w:p w:rsidR="009B66E4" w:rsidRPr="00EE302A" w:rsidRDefault="009B66E4" w:rsidP="00E801C7">
            <w:pPr>
              <w:jc w:val="center"/>
            </w:pPr>
            <w:r w:rsidRPr="00EE302A">
              <w:t>1740</w:t>
            </w:r>
          </w:p>
        </w:tc>
        <w:tc>
          <w:tcPr>
            <w:tcW w:w="931" w:type="dxa"/>
            <w:vAlign w:val="center"/>
          </w:tcPr>
          <w:p w:rsidR="009B66E4" w:rsidRPr="00EE302A" w:rsidRDefault="009B66E4" w:rsidP="00E801C7">
            <w:pPr>
              <w:pStyle w:val="BodyText1"/>
              <w:spacing w:after="120" w:line="240" w:lineRule="auto"/>
              <w:ind w:firstLine="0"/>
              <w:jc w:val="center"/>
              <w:rPr>
                <w:sz w:val="24"/>
                <w:szCs w:val="24"/>
              </w:rPr>
            </w:pPr>
            <w:r w:rsidRPr="00EE302A">
              <w:rPr>
                <w:sz w:val="24"/>
                <w:szCs w:val="24"/>
              </w:rPr>
              <w:t>0.1</w:t>
            </w:r>
          </w:p>
        </w:tc>
        <w:tc>
          <w:tcPr>
            <w:tcW w:w="790" w:type="dxa"/>
            <w:vAlign w:val="center"/>
          </w:tcPr>
          <w:p w:rsidR="009B66E4" w:rsidRPr="00EE302A" w:rsidRDefault="009B66E4" w:rsidP="00E801C7">
            <w:pPr>
              <w:pStyle w:val="BodyText1"/>
              <w:spacing w:after="120" w:line="240" w:lineRule="auto"/>
              <w:ind w:firstLine="0"/>
              <w:jc w:val="center"/>
              <w:rPr>
                <w:sz w:val="24"/>
                <w:szCs w:val="24"/>
              </w:rPr>
            </w:pPr>
            <w:r w:rsidRPr="00EE302A">
              <w:rPr>
                <w:sz w:val="24"/>
                <w:szCs w:val="24"/>
              </w:rPr>
              <w:t>0.97</w:t>
            </w:r>
          </w:p>
        </w:tc>
      </w:tr>
      <w:tr w:rsidR="009B66E4" w:rsidRPr="00EE302A" w:rsidTr="009B1228">
        <w:trPr>
          <w:jc w:val="center"/>
        </w:trPr>
        <w:tc>
          <w:tcPr>
            <w:tcW w:w="3429" w:type="dxa"/>
          </w:tcPr>
          <w:p w:rsidR="009B66E4" w:rsidRPr="00EE302A" w:rsidRDefault="009B66E4" w:rsidP="00EE302A">
            <w:pPr>
              <w:pStyle w:val="BodyText1"/>
              <w:spacing w:after="120" w:line="240" w:lineRule="auto"/>
              <w:ind w:firstLine="0"/>
              <w:rPr>
                <w:sz w:val="24"/>
                <w:szCs w:val="24"/>
              </w:rPr>
            </w:pPr>
            <w:r w:rsidRPr="00EE302A">
              <w:rPr>
                <w:sz w:val="24"/>
                <w:szCs w:val="24"/>
              </w:rPr>
              <w:t>Educational Intervention * Type of Intervention</w:t>
            </w:r>
          </w:p>
        </w:tc>
        <w:tc>
          <w:tcPr>
            <w:tcW w:w="1577" w:type="dxa"/>
            <w:vAlign w:val="center"/>
          </w:tcPr>
          <w:p w:rsidR="009B66E4" w:rsidRPr="00EE302A" w:rsidRDefault="009B66E4" w:rsidP="00E801C7">
            <w:pPr>
              <w:jc w:val="center"/>
            </w:pPr>
            <w:r w:rsidRPr="00EE302A">
              <w:t>0.05</w:t>
            </w:r>
          </w:p>
        </w:tc>
        <w:tc>
          <w:tcPr>
            <w:tcW w:w="1571" w:type="dxa"/>
            <w:vAlign w:val="center"/>
          </w:tcPr>
          <w:p w:rsidR="009B66E4" w:rsidRPr="00EE302A" w:rsidRDefault="009B66E4" w:rsidP="00E801C7">
            <w:pPr>
              <w:jc w:val="center"/>
            </w:pPr>
            <w:r w:rsidRPr="00EE302A">
              <w:t>1740</w:t>
            </w:r>
          </w:p>
        </w:tc>
        <w:tc>
          <w:tcPr>
            <w:tcW w:w="931" w:type="dxa"/>
            <w:vAlign w:val="center"/>
          </w:tcPr>
          <w:p w:rsidR="009B66E4" w:rsidRPr="00EE302A" w:rsidRDefault="009B66E4" w:rsidP="00E801C7">
            <w:pPr>
              <w:pStyle w:val="BodyText1"/>
              <w:spacing w:after="120" w:line="240" w:lineRule="auto"/>
              <w:ind w:firstLine="0"/>
              <w:jc w:val="center"/>
              <w:rPr>
                <w:sz w:val="24"/>
                <w:szCs w:val="24"/>
              </w:rPr>
            </w:pPr>
            <w:r w:rsidRPr="00EE302A">
              <w:rPr>
                <w:sz w:val="24"/>
                <w:szCs w:val="24"/>
              </w:rPr>
              <w:t>0.1</w:t>
            </w:r>
          </w:p>
        </w:tc>
        <w:tc>
          <w:tcPr>
            <w:tcW w:w="790" w:type="dxa"/>
            <w:vAlign w:val="center"/>
          </w:tcPr>
          <w:p w:rsidR="009B66E4" w:rsidRPr="00EE302A" w:rsidRDefault="009B66E4" w:rsidP="00E801C7">
            <w:pPr>
              <w:pStyle w:val="BodyText1"/>
              <w:spacing w:after="120" w:line="240" w:lineRule="auto"/>
              <w:ind w:firstLine="0"/>
              <w:jc w:val="center"/>
              <w:rPr>
                <w:sz w:val="24"/>
                <w:szCs w:val="24"/>
              </w:rPr>
            </w:pPr>
            <w:r w:rsidRPr="00EE302A">
              <w:rPr>
                <w:sz w:val="24"/>
                <w:szCs w:val="24"/>
              </w:rPr>
              <w:t>0.80</w:t>
            </w:r>
          </w:p>
        </w:tc>
      </w:tr>
    </w:tbl>
    <w:p w:rsidR="009B66E4" w:rsidRPr="00EE302A" w:rsidRDefault="009B66E4" w:rsidP="00EE302A">
      <w:pPr>
        <w:pStyle w:val="BodyText1"/>
        <w:spacing w:after="120" w:line="240" w:lineRule="auto"/>
        <w:rPr>
          <w:sz w:val="24"/>
          <w:szCs w:val="24"/>
        </w:rPr>
      </w:pPr>
    </w:p>
    <w:p w:rsidR="00EE302A" w:rsidRDefault="00EE302A" w:rsidP="00AE22BB">
      <w:pPr>
        <w:tabs>
          <w:tab w:val="left" w:pos="360"/>
        </w:tabs>
        <w:spacing w:line="480" w:lineRule="auto"/>
        <w:rPr>
          <w:u w:val="single"/>
        </w:rPr>
      </w:pPr>
    </w:p>
    <w:p w:rsidR="00EE302A" w:rsidRDefault="00EE302A" w:rsidP="00AE22BB">
      <w:pPr>
        <w:tabs>
          <w:tab w:val="left" w:pos="360"/>
        </w:tabs>
        <w:spacing w:line="480" w:lineRule="auto"/>
        <w:rPr>
          <w:u w:val="single"/>
        </w:rPr>
      </w:pPr>
    </w:p>
    <w:p w:rsidR="00A34BFA" w:rsidRPr="00D85123" w:rsidRDefault="00A34BFA" w:rsidP="00AE22BB">
      <w:pPr>
        <w:tabs>
          <w:tab w:val="left" w:pos="360"/>
        </w:tabs>
        <w:spacing w:line="480" w:lineRule="auto"/>
        <w:rPr>
          <w:u w:val="single"/>
        </w:rPr>
      </w:pPr>
      <w:r w:rsidRPr="00D85123">
        <w:rPr>
          <w:u w:val="single"/>
        </w:rPr>
        <w:t>Methods to Maximize Response Rates and to Deal with Issues of Non</w:t>
      </w:r>
      <w:r>
        <w:rPr>
          <w:u w:val="single"/>
        </w:rPr>
        <w:t>r</w:t>
      </w:r>
      <w:r w:rsidRPr="00D85123">
        <w:rPr>
          <w:u w:val="single"/>
        </w:rPr>
        <w:t>esponse</w:t>
      </w:r>
    </w:p>
    <w:p w:rsidR="00A34BFA" w:rsidRDefault="00A34BFA" w:rsidP="00AE22BB">
      <w:pPr>
        <w:spacing w:line="480" w:lineRule="auto"/>
        <w:ind w:firstLine="360"/>
      </w:pPr>
      <w:r>
        <w:rPr>
          <w:color w:val="000000"/>
        </w:rPr>
        <w:t xml:space="preserve">The survey in </w:t>
      </w:r>
      <w:r w:rsidR="009E4840">
        <w:rPr>
          <w:color w:val="000000"/>
        </w:rPr>
        <w:t>Study</w:t>
      </w:r>
      <w:r>
        <w:rPr>
          <w:color w:val="000000"/>
        </w:rPr>
        <w:t xml:space="preserve"> 1 will use an existing Internet panel to draw a sample.  The panel (described in B.1) comprises individuals who share their opinions via the Internet regularly.  To help ensure that the participation rate is as high as possible</w:t>
      </w:r>
      <w:r>
        <w:t>, FDA and the contractor will</w:t>
      </w:r>
      <w:r w:rsidRPr="005C7016">
        <w:t>:</w:t>
      </w:r>
    </w:p>
    <w:p w:rsidR="00A34BFA" w:rsidRDefault="00A34BFA" w:rsidP="00AE22BB">
      <w:pPr>
        <w:pStyle w:val="ListParagraph"/>
        <w:numPr>
          <w:ilvl w:val="0"/>
          <w:numId w:val="1"/>
        </w:numPr>
        <w:tabs>
          <w:tab w:val="left" w:pos="1080"/>
        </w:tabs>
        <w:spacing w:line="480" w:lineRule="auto"/>
        <w:ind w:left="1080" w:hanging="360"/>
        <w:contextualSpacing w:val="0"/>
      </w:pPr>
      <w:r w:rsidRPr="005C7016">
        <w:t>Design a</w:t>
      </w:r>
      <w:r>
        <w:t xml:space="preserve"> </w:t>
      </w:r>
      <w:r w:rsidRPr="005C7016">
        <w:t>protocol that minimizes burden (short in length, clearly written, and with appealing graphics)</w:t>
      </w:r>
      <w:r>
        <w:t>;</w:t>
      </w:r>
      <w:r w:rsidRPr="005C7016">
        <w:t xml:space="preserve"> </w:t>
      </w:r>
    </w:p>
    <w:p w:rsidR="00A34BFA" w:rsidRDefault="00A34BFA" w:rsidP="00AE22BB">
      <w:pPr>
        <w:pStyle w:val="ListParagraph"/>
        <w:numPr>
          <w:ilvl w:val="0"/>
          <w:numId w:val="1"/>
        </w:numPr>
        <w:tabs>
          <w:tab w:val="left" w:pos="1080"/>
        </w:tabs>
        <w:spacing w:line="480" w:lineRule="auto"/>
        <w:ind w:left="1080" w:hanging="360"/>
        <w:contextualSpacing w:val="0"/>
      </w:pPr>
      <w:r w:rsidRPr="005C7016">
        <w:t xml:space="preserve">Administer the </w:t>
      </w:r>
      <w:r>
        <w:t xml:space="preserve">survey </w:t>
      </w:r>
      <w:r w:rsidRPr="005C7016">
        <w:t>over the Internet, allowing respondents to answer questions at a time and location of their choosing</w:t>
      </w:r>
      <w:r>
        <w:t>;</w:t>
      </w:r>
      <w:r w:rsidRPr="005C7016">
        <w:t xml:space="preserve"> </w:t>
      </w:r>
    </w:p>
    <w:p w:rsidR="00A34BFA" w:rsidRDefault="00A34BFA" w:rsidP="00AE22BB">
      <w:pPr>
        <w:pStyle w:val="ListParagraph"/>
        <w:numPr>
          <w:ilvl w:val="0"/>
          <w:numId w:val="1"/>
        </w:numPr>
        <w:tabs>
          <w:tab w:val="left" w:pos="1080"/>
        </w:tabs>
        <w:spacing w:line="480" w:lineRule="auto"/>
        <w:ind w:left="1080" w:hanging="360"/>
        <w:contextualSpacing w:val="0"/>
      </w:pPr>
      <w:r>
        <w:t xml:space="preserve">Email a reminder to the respondents who do not complete the protocol 4 days after the original invitation to participate is sent; </w:t>
      </w:r>
    </w:p>
    <w:p w:rsidR="00A34BFA" w:rsidRDefault="00A34BFA" w:rsidP="00AE22BB">
      <w:pPr>
        <w:pStyle w:val="ListParagraph"/>
        <w:numPr>
          <w:ilvl w:val="0"/>
          <w:numId w:val="1"/>
        </w:numPr>
        <w:tabs>
          <w:tab w:val="left" w:pos="1080"/>
        </w:tabs>
        <w:spacing w:line="480" w:lineRule="auto"/>
        <w:ind w:left="1080" w:hanging="360"/>
        <w:contextualSpacing w:val="0"/>
      </w:pPr>
      <w:r>
        <w:t>Provide a toll-free hotline for respondents who may have questions or technical difficulty as they complete the survey.</w:t>
      </w:r>
      <w:r w:rsidRPr="005C7016">
        <w:t xml:space="preserve"> </w:t>
      </w:r>
    </w:p>
    <w:p w:rsidR="00A34BFA" w:rsidRPr="0075483A" w:rsidRDefault="00A34BFA" w:rsidP="00AE22BB">
      <w:pPr>
        <w:autoSpaceDE w:val="0"/>
        <w:autoSpaceDN w:val="0"/>
        <w:adjustRightInd w:val="0"/>
        <w:spacing w:line="480" w:lineRule="auto"/>
        <w:ind w:firstLine="720"/>
        <w:rPr>
          <w:color w:val="000000"/>
        </w:rPr>
      </w:pPr>
      <w:r w:rsidRPr="0075483A">
        <w:rPr>
          <w:color w:val="000000"/>
        </w:rPr>
        <w:t>In the absence of additional information, response rates are ofte</w:t>
      </w:r>
      <w:r>
        <w:rPr>
          <w:color w:val="000000"/>
        </w:rPr>
        <w:t xml:space="preserve">n used alone as a proxy measure </w:t>
      </w:r>
      <w:r w:rsidRPr="0075483A">
        <w:rPr>
          <w:color w:val="000000"/>
        </w:rPr>
        <w:t>for survey quality, with lower response rates indicating poorer q</w:t>
      </w:r>
      <w:r>
        <w:rPr>
          <w:color w:val="000000"/>
        </w:rPr>
        <w:t xml:space="preserve">uality.  However, lower response </w:t>
      </w:r>
      <w:r w:rsidRPr="0075483A">
        <w:rPr>
          <w:color w:val="000000"/>
        </w:rPr>
        <w:t>rates are</w:t>
      </w:r>
      <w:r>
        <w:rPr>
          <w:color w:val="000000"/>
        </w:rPr>
        <w:t xml:space="preserve"> </w:t>
      </w:r>
      <w:r w:rsidRPr="0075483A">
        <w:rPr>
          <w:color w:val="000000"/>
        </w:rPr>
        <w:t>not always associated with greater nonresponse bias (Groves 2006</w:t>
      </w:r>
      <w:r>
        <w:rPr>
          <w:color w:val="000000"/>
        </w:rPr>
        <w:t>)</w:t>
      </w:r>
      <w:r>
        <w:rPr>
          <w:rStyle w:val="FootnoteReference"/>
          <w:color w:val="000000"/>
        </w:rPr>
        <w:footnoteReference w:id="8"/>
      </w:r>
      <w:r>
        <w:rPr>
          <w:color w:val="000000"/>
        </w:rPr>
        <w:t>.</w:t>
      </w:r>
      <w:r w:rsidRPr="0075483A">
        <w:rPr>
          <w:color w:val="000000"/>
        </w:rPr>
        <w:t xml:space="preserve"> </w:t>
      </w:r>
      <w:r>
        <w:rPr>
          <w:color w:val="000000"/>
        </w:rPr>
        <w:t xml:space="preserve"> </w:t>
      </w:r>
      <w:r w:rsidRPr="0075483A">
        <w:rPr>
          <w:color w:val="000000"/>
        </w:rPr>
        <w:t>Total survey error is a function of</w:t>
      </w:r>
      <w:r>
        <w:rPr>
          <w:color w:val="000000"/>
        </w:rPr>
        <w:t xml:space="preserve"> </w:t>
      </w:r>
      <w:r w:rsidRPr="0075483A">
        <w:rPr>
          <w:color w:val="000000"/>
        </w:rPr>
        <w:t xml:space="preserve">many factors, including </w:t>
      </w:r>
      <w:proofErr w:type="spellStart"/>
      <w:r w:rsidRPr="0075483A">
        <w:rPr>
          <w:color w:val="000000"/>
        </w:rPr>
        <w:t>nonsampling</w:t>
      </w:r>
      <w:proofErr w:type="spellEnd"/>
      <w:r w:rsidRPr="0075483A">
        <w:rPr>
          <w:color w:val="000000"/>
        </w:rPr>
        <w:t xml:space="preserve"> errors that may arise from bo</w:t>
      </w:r>
      <w:r>
        <w:rPr>
          <w:color w:val="000000"/>
        </w:rPr>
        <w:t xml:space="preserve">th responders and </w:t>
      </w:r>
      <w:proofErr w:type="spellStart"/>
      <w:r>
        <w:rPr>
          <w:color w:val="000000"/>
        </w:rPr>
        <w:t>nonresponders</w:t>
      </w:r>
      <w:proofErr w:type="spellEnd"/>
      <w:r>
        <w:rPr>
          <w:color w:val="000000"/>
        </w:rPr>
        <w:t xml:space="preserve">. </w:t>
      </w:r>
      <w:r w:rsidRPr="0075483A">
        <w:rPr>
          <w:color w:val="000000"/>
        </w:rPr>
        <w:t>(</w:t>
      </w:r>
      <w:proofErr w:type="spellStart"/>
      <w:r w:rsidRPr="0075483A">
        <w:rPr>
          <w:color w:val="000000"/>
        </w:rPr>
        <w:t>Biemer</w:t>
      </w:r>
      <w:proofErr w:type="spellEnd"/>
      <w:r w:rsidRPr="0075483A">
        <w:rPr>
          <w:color w:val="000000"/>
        </w:rPr>
        <w:t xml:space="preserve"> and </w:t>
      </w:r>
      <w:proofErr w:type="spellStart"/>
      <w:r w:rsidRPr="0075483A">
        <w:rPr>
          <w:color w:val="000000"/>
        </w:rPr>
        <w:t>Lyberg</w:t>
      </w:r>
      <w:proofErr w:type="spellEnd"/>
      <w:r w:rsidRPr="0075483A">
        <w:rPr>
          <w:color w:val="000000"/>
        </w:rPr>
        <w:t xml:space="preserve"> 2003</w:t>
      </w:r>
      <w:r>
        <w:rPr>
          <w:color w:val="000000"/>
        </w:rPr>
        <w:t>)</w:t>
      </w:r>
      <w:r>
        <w:rPr>
          <w:rStyle w:val="FootnoteReference"/>
          <w:color w:val="000000"/>
        </w:rPr>
        <w:footnoteReference w:id="9"/>
      </w:r>
      <w:r w:rsidRPr="0075483A">
        <w:rPr>
          <w:color w:val="000000"/>
        </w:rPr>
        <w:t xml:space="preserve">. </w:t>
      </w:r>
      <w:r>
        <w:rPr>
          <w:color w:val="000000"/>
        </w:rPr>
        <w:t xml:space="preserve"> </w:t>
      </w:r>
      <w:r w:rsidRPr="0075483A">
        <w:rPr>
          <w:color w:val="000000"/>
        </w:rPr>
        <w:t>A nonresponse bias analysis can be used</w:t>
      </w:r>
      <w:r>
        <w:rPr>
          <w:color w:val="000000"/>
        </w:rPr>
        <w:t xml:space="preserve"> to determine the potential for </w:t>
      </w:r>
      <w:r w:rsidRPr="0075483A">
        <w:rPr>
          <w:color w:val="000000"/>
        </w:rPr>
        <w:t>nonresponse bias in the survey estimates from the main data collection.</w:t>
      </w:r>
    </w:p>
    <w:p w:rsidR="00A34BFA" w:rsidRPr="0075483A" w:rsidRDefault="00A34BFA" w:rsidP="00AE22BB">
      <w:pPr>
        <w:autoSpaceDE w:val="0"/>
        <w:autoSpaceDN w:val="0"/>
        <w:adjustRightInd w:val="0"/>
        <w:spacing w:line="480" w:lineRule="auto"/>
        <w:ind w:firstLine="720"/>
        <w:rPr>
          <w:color w:val="000000"/>
        </w:rPr>
      </w:pPr>
      <w:r w:rsidRPr="0075483A">
        <w:rPr>
          <w:color w:val="000000"/>
        </w:rPr>
        <w:lastRenderedPageBreak/>
        <w:t>There are several approaches to address the potential for nonrespon</w:t>
      </w:r>
      <w:r>
        <w:rPr>
          <w:color w:val="000000"/>
        </w:rPr>
        <w:t xml:space="preserve">se bias analysis in this study, </w:t>
      </w:r>
      <w:r w:rsidRPr="0075483A">
        <w:rPr>
          <w:color w:val="000000"/>
        </w:rPr>
        <w:t>such as comparing response rates by subgroups, comparing re</w:t>
      </w:r>
      <w:r>
        <w:rPr>
          <w:color w:val="000000"/>
        </w:rPr>
        <w:t xml:space="preserve">spondents and </w:t>
      </w:r>
      <w:proofErr w:type="spellStart"/>
      <w:r>
        <w:rPr>
          <w:color w:val="000000"/>
        </w:rPr>
        <w:t>nonrespondents</w:t>
      </w:r>
      <w:proofErr w:type="spellEnd"/>
      <w:r>
        <w:rPr>
          <w:color w:val="000000"/>
        </w:rPr>
        <w:t xml:space="preserve"> on </w:t>
      </w:r>
      <w:r w:rsidRPr="0075483A">
        <w:rPr>
          <w:color w:val="000000"/>
        </w:rPr>
        <w:t>frame</w:t>
      </w:r>
      <w:r>
        <w:rPr>
          <w:color w:val="000000"/>
        </w:rPr>
        <w:t xml:space="preserve"> </w:t>
      </w:r>
      <w:r w:rsidRPr="0075483A">
        <w:rPr>
          <w:color w:val="000000"/>
        </w:rPr>
        <w:t>variables, and conducting a nonresponse follow-up study</w:t>
      </w:r>
      <w:r w:rsidR="00385D1F">
        <w:rPr>
          <w:color w:val="000000"/>
        </w:rPr>
        <w:t>.</w:t>
      </w:r>
      <w:r w:rsidR="00385D1F">
        <w:rPr>
          <w:rStyle w:val="FootnoteReference"/>
          <w:color w:val="000000"/>
        </w:rPr>
        <w:footnoteReference w:id="10"/>
      </w:r>
      <w:r w:rsidRPr="0075483A">
        <w:rPr>
          <w:color w:val="000000"/>
        </w:rPr>
        <w:t xml:space="preserve"> </w:t>
      </w:r>
      <w:r>
        <w:rPr>
          <w:color w:val="000000"/>
        </w:rPr>
        <w:t xml:space="preserve"> </w:t>
      </w:r>
      <w:r w:rsidRPr="0075483A">
        <w:rPr>
          <w:color w:val="000000"/>
        </w:rPr>
        <w:t>For the proposed project, we</w:t>
      </w:r>
      <w:r>
        <w:rPr>
          <w:color w:val="000000"/>
        </w:rPr>
        <w:t xml:space="preserve"> will perform t</w:t>
      </w:r>
      <w:r w:rsidRPr="0075483A">
        <w:rPr>
          <w:color w:val="000000"/>
        </w:rPr>
        <w:t>wo steps: comparing response rates on subgroups and comparing respo</w:t>
      </w:r>
      <w:r>
        <w:rPr>
          <w:color w:val="000000"/>
        </w:rPr>
        <w:t xml:space="preserve">nders and </w:t>
      </w:r>
      <w:proofErr w:type="spellStart"/>
      <w:r w:rsidRPr="0075483A">
        <w:rPr>
          <w:color w:val="000000"/>
        </w:rPr>
        <w:t>nonresponders</w:t>
      </w:r>
      <w:proofErr w:type="spellEnd"/>
      <w:r w:rsidRPr="0075483A">
        <w:rPr>
          <w:color w:val="000000"/>
        </w:rPr>
        <w:t xml:space="preserve"> on frame variables.</w:t>
      </w:r>
    </w:p>
    <w:p w:rsidR="00A34BFA" w:rsidRPr="0075483A" w:rsidRDefault="00A34BFA" w:rsidP="00AE22BB">
      <w:pPr>
        <w:autoSpaceDE w:val="0"/>
        <w:autoSpaceDN w:val="0"/>
        <w:adjustRightInd w:val="0"/>
        <w:spacing w:line="480" w:lineRule="auto"/>
        <w:ind w:firstLine="720"/>
        <w:rPr>
          <w:color w:val="000000"/>
        </w:rPr>
      </w:pPr>
      <w:r w:rsidRPr="0075483A">
        <w:rPr>
          <w:color w:val="000000"/>
        </w:rPr>
        <w:t xml:space="preserve">We will first identify </w:t>
      </w:r>
      <w:r>
        <w:rPr>
          <w:color w:val="000000"/>
        </w:rPr>
        <w:t xml:space="preserve">the subgroups of interest, such </w:t>
      </w:r>
      <w:r w:rsidRPr="0075483A">
        <w:rPr>
          <w:color w:val="000000"/>
        </w:rPr>
        <w:t xml:space="preserve">as </w:t>
      </w:r>
      <w:r>
        <w:rPr>
          <w:color w:val="000000"/>
        </w:rPr>
        <w:t>age and gender</w:t>
      </w:r>
      <w:r w:rsidRPr="0075483A">
        <w:rPr>
          <w:color w:val="000000"/>
        </w:rPr>
        <w:t xml:space="preserve">. At the end of </w:t>
      </w:r>
      <w:r>
        <w:rPr>
          <w:color w:val="000000"/>
        </w:rPr>
        <w:t xml:space="preserve">the </w:t>
      </w:r>
      <w:r w:rsidRPr="0075483A">
        <w:rPr>
          <w:color w:val="000000"/>
        </w:rPr>
        <w:t>data collection, we w</w:t>
      </w:r>
      <w:r>
        <w:rPr>
          <w:color w:val="000000"/>
        </w:rPr>
        <w:t xml:space="preserve">ill calculate response rates by </w:t>
      </w:r>
      <w:r w:rsidRPr="0075483A">
        <w:rPr>
          <w:color w:val="000000"/>
        </w:rPr>
        <w:t>subgroup. If the response rates are the same within subgroups, then nonresp</w:t>
      </w:r>
      <w:r>
        <w:rPr>
          <w:color w:val="000000"/>
        </w:rPr>
        <w:t xml:space="preserve">onse bias should not affect the </w:t>
      </w:r>
      <w:r w:rsidRPr="0075483A">
        <w:rPr>
          <w:color w:val="000000"/>
        </w:rPr>
        <w:t>results related to those group categories. For example, if the response ra</w:t>
      </w:r>
      <w:r>
        <w:rPr>
          <w:color w:val="000000"/>
        </w:rPr>
        <w:t xml:space="preserve">te for males and females is the </w:t>
      </w:r>
      <w:r w:rsidRPr="0075483A">
        <w:rPr>
          <w:color w:val="000000"/>
        </w:rPr>
        <w:t>same, then there will not be a large nonresponse bias in the survey estimates for gender.</w:t>
      </w:r>
    </w:p>
    <w:p w:rsidR="00A34BFA" w:rsidRDefault="00A34BFA" w:rsidP="00AE22BB">
      <w:pPr>
        <w:autoSpaceDE w:val="0"/>
        <w:autoSpaceDN w:val="0"/>
        <w:adjustRightInd w:val="0"/>
        <w:spacing w:line="480" w:lineRule="auto"/>
        <w:ind w:firstLine="720"/>
        <w:rPr>
          <w:color w:val="000000"/>
        </w:rPr>
      </w:pPr>
      <w:r w:rsidRPr="0075483A">
        <w:rPr>
          <w:color w:val="000000"/>
        </w:rPr>
        <w:t>To the extent that information</w:t>
      </w:r>
      <w:r>
        <w:rPr>
          <w:color w:val="000000"/>
        </w:rPr>
        <w:t xml:space="preserve"> </w:t>
      </w:r>
      <w:r w:rsidRPr="0075483A">
        <w:rPr>
          <w:color w:val="000000"/>
        </w:rPr>
        <w:t>is available about all sample cases on the frame and that information is</w:t>
      </w:r>
      <w:r>
        <w:rPr>
          <w:color w:val="000000"/>
        </w:rPr>
        <w:t xml:space="preserve"> associated with the key survey </w:t>
      </w:r>
      <w:r w:rsidRPr="0075483A">
        <w:rPr>
          <w:color w:val="000000"/>
        </w:rPr>
        <w:t>estimates, this approach can provide additional information about the pot</w:t>
      </w:r>
      <w:r>
        <w:rPr>
          <w:color w:val="000000"/>
        </w:rPr>
        <w:t xml:space="preserve">ential for nonresponse bias. At </w:t>
      </w:r>
      <w:r w:rsidRPr="0075483A">
        <w:rPr>
          <w:color w:val="000000"/>
        </w:rPr>
        <w:t>the end of data collection, we will review the sampling frame to determine if any variables are associated</w:t>
      </w:r>
      <w:r>
        <w:rPr>
          <w:color w:val="000000"/>
        </w:rPr>
        <w:t xml:space="preserve"> </w:t>
      </w:r>
      <w:r w:rsidRPr="0075483A">
        <w:rPr>
          <w:color w:val="000000"/>
        </w:rPr>
        <w:t>with the key survey estimates, such as age. We will then compare the frame information for the full</w:t>
      </w:r>
      <w:r>
        <w:rPr>
          <w:color w:val="000000"/>
        </w:rPr>
        <w:t xml:space="preserve"> </w:t>
      </w:r>
      <w:r w:rsidRPr="0075483A">
        <w:rPr>
          <w:color w:val="000000"/>
        </w:rPr>
        <w:t xml:space="preserve">sample compared with respondents only. </w:t>
      </w:r>
      <w:r>
        <w:rPr>
          <w:color w:val="000000"/>
        </w:rPr>
        <w:t xml:space="preserve"> </w:t>
      </w:r>
      <w:r w:rsidRPr="0075483A">
        <w:rPr>
          <w:color w:val="000000"/>
        </w:rPr>
        <w:t>Differences between the full s</w:t>
      </w:r>
      <w:r>
        <w:rPr>
          <w:color w:val="000000"/>
        </w:rPr>
        <w:t xml:space="preserve">ample and the respondents are an </w:t>
      </w:r>
      <w:r w:rsidRPr="0075483A">
        <w:rPr>
          <w:color w:val="000000"/>
        </w:rPr>
        <w:t xml:space="preserve">indicator of potential bias. </w:t>
      </w:r>
      <w:r>
        <w:rPr>
          <w:color w:val="000000"/>
        </w:rPr>
        <w:t xml:space="preserve"> </w:t>
      </w:r>
      <w:r w:rsidRPr="0075483A">
        <w:rPr>
          <w:color w:val="000000"/>
        </w:rPr>
        <w:t>For example, if the median age of the full samp</w:t>
      </w:r>
      <w:r>
        <w:rPr>
          <w:color w:val="000000"/>
        </w:rPr>
        <w:t xml:space="preserve">le is 45, but the median age of </w:t>
      </w:r>
      <w:r w:rsidRPr="0075483A">
        <w:rPr>
          <w:color w:val="000000"/>
        </w:rPr>
        <w:t>the respondents is 60, there is likely bias in the estimates due to age if age is correlated with any of the</w:t>
      </w:r>
      <w:r>
        <w:rPr>
          <w:color w:val="000000"/>
        </w:rPr>
        <w:t xml:space="preserve"> survey estimates.</w:t>
      </w:r>
    </w:p>
    <w:p w:rsidR="00A34BFA" w:rsidRPr="005C7016" w:rsidRDefault="00A34BFA" w:rsidP="00AE22BB">
      <w:pPr>
        <w:spacing w:line="480" w:lineRule="auto"/>
        <w:ind w:firstLine="720"/>
      </w:pPr>
      <w:r>
        <w:rPr>
          <w:color w:val="000000"/>
        </w:rPr>
        <w:t xml:space="preserve">The experimental </w:t>
      </w:r>
      <w:r w:rsidR="009E4840">
        <w:rPr>
          <w:color w:val="000000"/>
        </w:rPr>
        <w:t>Study</w:t>
      </w:r>
      <w:r>
        <w:rPr>
          <w:color w:val="000000"/>
        </w:rPr>
        <w:t xml:space="preserve"> 2 will also use an existing Internet panel to draw a sample.  To help ensure that the participation rate is as high as possible</w:t>
      </w:r>
      <w:r>
        <w:t>, FDA and the contractor will</w:t>
      </w:r>
      <w:r w:rsidRPr="005C7016">
        <w:t>:</w:t>
      </w:r>
    </w:p>
    <w:p w:rsidR="00A34BFA" w:rsidRDefault="000607D8" w:rsidP="00AE22BB">
      <w:pPr>
        <w:pStyle w:val="ListParagraph"/>
        <w:numPr>
          <w:ilvl w:val="0"/>
          <w:numId w:val="1"/>
        </w:numPr>
        <w:tabs>
          <w:tab w:val="left" w:pos="1080"/>
        </w:tabs>
        <w:spacing w:line="480" w:lineRule="auto"/>
        <w:ind w:left="1080" w:hanging="360"/>
        <w:contextualSpacing w:val="0"/>
      </w:pPr>
      <w:r>
        <w:lastRenderedPageBreak/>
        <w:t>Use</w:t>
      </w:r>
      <w:r w:rsidRPr="005C7016">
        <w:t xml:space="preserve"> </w:t>
      </w:r>
      <w:r w:rsidR="00A34BFA" w:rsidRPr="005C7016">
        <w:t xml:space="preserve">an experimental protocol that minimizes burden (short in length, clearly written, and with appealing graphics); </w:t>
      </w:r>
    </w:p>
    <w:p w:rsidR="00A34BFA" w:rsidRDefault="00A34BFA" w:rsidP="00AE22BB">
      <w:pPr>
        <w:pStyle w:val="ListParagraph"/>
        <w:numPr>
          <w:ilvl w:val="0"/>
          <w:numId w:val="1"/>
        </w:numPr>
        <w:tabs>
          <w:tab w:val="left" w:pos="1080"/>
        </w:tabs>
        <w:spacing w:line="480" w:lineRule="auto"/>
        <w:ind w:left="1080" w:hanging="360"/>
        <w:contextualSpacing w:val="0"/>
      </w:pPr>
      <w:r w:rsidRPr="005C7016">
        <w:t xml:space="preserve">Administer the experiment over the Internet, allowing respondents to answer questions at a time and location of their choosing; </w:t>
      </w:r>
    </w:p>
    <w:p w:rsidR="00A34BFA" w:rsidRDefault="00A34BFA" w:rsidP="00AE22BB">
      <w:pPr>
        <w:pStyle w:val="ListParagraph"/>
        <w:numPr>
          <w:ilvl w:val="0"/>
          <w:numId w:val="1"/>
        </w:numPr>
        <w:tabs>
          <w:tab w:val="left" w:pos="1080"/>
        </w:tabs>
        <w:spacing w:line="480" w:lineRule="auto"/>
        <w:ind w:left="1080" w:hanging="360"/>
        <w:contextualSpacing w:val="0"/>
      </w:pPr>
      <w:r>
        <w:t xml:space="preserve">Email a reminder to the respondents who do not complete the protocol four days after the original invitation to participate is sent; </w:t>
      </w:r>
    </w:p>
    <w:p w:rsidR="00A34BFA" w:rsidRDefault="00A34BFA" w:rsidP="00AE22BB">
      <w:pPr>
        <w:pStyle w:val="ListParagraph"/>
        <w:numPr>
          <w:ilvl w:val="0"/>
          <w:numId w:val="1"/>
        </w:numPr>
        <w:tabs>
          <w:tab w:val="left" w:pos="1080"/>
        </w:tabs>
        <w:spacing w:line="480" w:lineRule="auto"/>
        <w:ind w:left="1080" w:hanging="360"/>
        <w:contextualSpacing w:val="0"/>
      </w:pPr>
      <w:r>
        <w:t>Provide a toll-free hotline for respondents who may have questions or technical difficulty as they complete the experiment. </w:t>
      </w:r>
      <w:r w:rsidRPr="005C7016">
        <w:t xml:space="preserve"> </w:t>
      </w:r>
    </w:p>
    <w:p w:rsidR="00A34BFA" w:rsidRDefault="00A34BFA" w:rsidP="00AE22BB">
      <w:pPr>
        <w:numPr>
          <w:ilvl w:val="0"/>
          <w:numId w:val="2"/>
        </w:numPr>
        <w:spacing w:line="480" w:lineRule="auto"/>
      </w:pPr>
      <w:r w:rsidRPr="00D85123">
        <w:rPr>
          <w:u w:val="single"/>
        </w:rPr>
        <w:t xml:space="preserve">Test </w:t>
      </w:r>
      <w:r>
        <w:rPr>
          <w:u w:val="single"/>
        </w:rPr>
        <w:t xml:space="preserve">of </w:t>
      </w:r>
      <w:r w:rsidRPr="00D85123">
        <w:rPr>
          <w:u w:val="single"/>
        </w:rPr>
        <w:t>Procedures</w:t>
      </w:r>
      <w:r>
        <w:rPr>
          <w:u w:val="single"/>
        </w:rPr>
        <w:t xml:space="preserve"> or Methods to be Undertaken</w:t>
      </w:r>
    </w:p>
    <w:p w:rsidR="00A34BFA" w:rsidRDefault="00A34BFA" w:rsidP="00AE22BB">
      <w:pPr>
        <w:spacing w:line="480" w:lineRule="auto"/>
        <w:ind w:firstLine="360"/>
        <w:rPr>
          <w:bCs/>
        </w:rPr>
      </w:pPr>
      <w:r>
        <w:t xml:space="preserve">Prior to pretesting, </w:t>
      </w:r>
      <w:r>
        <w:rPr>
          <w:bCs/>
        </w:rPr>
        <w:t xml:space="preserve">nine participants will respond to the survey in </w:t>
      </w:r>
      <w:r w:rsidR="009E4840">
        <w:rPr>
          <w:bCs/>
        </w:rPr>
        <w:t>Study</w:t>
      </w:r>
      <w:r>
        <w:rPr>
          <w:bCs/>
        </w:rPr>
        <w:t xml:space="preserve"> 1 while explaining their thoughts and responses, enabling us to assess blatant glitches in questionnaire wording, programming, and execution of the study.  Another nine participants will respond to the experimental protocol in </w:t>
      </w:r>
      <w:r w:rsidR="009E4840">
        <w:rPr>
          <w:bCs/>
        </w:rPr>
        <w:t>Study</w:t>
      </w:r>
      <w:r>
        <w:rPr>
          <w:bCs/>
        </w:rPr>
        <w:t xml:space="preserve"> 2.  We will also conduct pretests for each </w:t>
      </w:r>
      <w:r w:rsidR="009E4840">
        <w:rPr>
          <w:bCs/>
        </w:rPr>
        <w:t>study</w:t>
      </w:r>
      <w:r>
        <w:rPr>
          <w:bCs/>
        </w:rPr>
        <w:t xml:space="preserve"> before running the main study to ensure that the questionnaire wording is clear.  Finally, we will run the main study as described elsewhere in this document.</w:t>
      </w:r>
    </w:p>
    <w:p w:rsidR="00A34BFA" w:rsidRDefault="00A34BFA" w:rsidP="00AE22BB">
      <w:pPr>
        <w:numPr>
          <w:ilvl w:val="0"/>
          <w:numId w:val="2"/>
        </w:numPr>
        <w:spacing w:line="480" w:lineRule="auto"/>
      </w:pPr>
      <w:r w:rsidRPr="00D85123">
        <w:rPr>
          <w:u w:val="single"/>
        </w:rPr>
        <w:t xml:space="preserve">Individuals </w:t>
      </w:r>
      <w:r>
        <w:rPr>
          <w:u w:val="single"/>
        </w:rPr>
        <w:t>Consulted on</w:t>
      </w:r>
      <w:r w:rsidRPr="00D85123">
        <w:rPr>
          <w:u w:val="single"/>
        </w:rPr>
        <w:t xml:space="preserve"> Statistical </w:t>
      </w:r>
      <w:r>
        <w:rPr>
          <w:u w:val="single"/>
        </w:rPr>
        <w:t>Aspects</w:t>
      </w:r>
      <w:r w:rsidRPr="00D85123">
        <w:rPr>
          <w:u w:val="single"/>
        </w:rPr>
        <w:t xml:space="preserve"> and</w:t>
      </w:r>
      <w:r>
        <w:rPr>
          <w:u w:val="single"/>
        </w:rPr>
        <w:t xml:space="preserve"> Individuals Collecting and/or Analyzing Data</w:t>
      </w:r>
    </w:p>
    <w:p w:rsidR="00A34BFA" w:rsidRDefault="00A34BFA" w:rsidP="00385D1F">
      <w:pPr>
        <w:keepLines/>
        <w:spacing w:line="480" w:lineRule="auto"/>
        <w:rPr>
          <w:b/>
        </w:rPr>
      </w:pPr>
      <w:r>
        <w:tab/>
        <w:t>The contractor, RTI International, will collect the information on behalf of FDA as a task order under Contract No. HHSF223201110333G.  Pam Williams, Ph.D., is the Project Director, 919-316-3936</w:t>
      </w:r>
      <w:r w:rsidRPr="00AB5643">
        <w:rPr>
          <w:noProof/>
        </w:rPr>
        <w:t>.  Data</w:t>
      </w:r>
      <w:r>
        <w:rPr>
          <w:noProof/>
          <w:color w:val="000080"/>
        </w:rPr>
        <w:t xml:space="preserve"> </w:t>
      </w:r>
      <w:r>
        <w:t xml:space="preserve">analysis will be conducted by </w:t>
      </w:r>
      <w:proofErr w:type="gramStart"/>
      <w:r>
        <w:t>both RTI</w:t>
      </w:r>
      <w:proofErr w:type="gramEnd"/>
      <w:r>
        <w:t xml:space="preserve"> and the Research Team, Office of Prescription Drug Promotion (OPDP), Office of Medical Policy, CDER, FDA; and coordinated by Amie C. O’Donoghue, Ph.D., 301-796-0574, and Helen W. Sullivan, Ph.D., M.P.H., 301-796-4188.</w:t>
      </w:r>
    </w:p>
    <w:p w:rsidR="00A34BFA" w:rsidRDefault="00A34BFA"/>
    <w:sectPr w:rsidR="00A34BFA" w:rsidSect="004236CF">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F65" w:rsidRDefault="005E5F65" w:rsidP="00AE22BB">
      <w:r>
        <w:separator/>
      </w:r>
    </w:p>
  </w:endnote>
  <w:endnote w:type="continuationSeparator" w:id="0">
    <w:p w:rsidR="005E5F65" w:rsidRDefault="005E5F65" w:rsidP="00AE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F65" w:rsidRDefault="005E5F65" w:rsidP="00AE22BB">
      <w:r>
        <w:separator/>
      </w:r>
    </w:p>
  </w:footnote>
  <w:footnote w:type="continuationSeparator" w:id="0">
    <w:p w:rsidR="005E5F65" w:rsidRDefault="005E5F65" w:rsidP="00AE22BB">
      <w:r>
        <w:continuationSeparator/>
      </w:r>
    </w:p>
  </w:footnote>
  <w:footnote w:id="1">
    <w:p w:rsidR="00A34BFA" w:rsidRDefault="00A34BFA">
      <w:pPr>
        <w:pStyle w:val="FootnoteText"/>
      </w:pPr>
      <w:r>
        <w:rPr>
          <w:rStyle w:val="FootnoteReference"/>
        </w:rPr>
        <w:footnoteRef/>
      </w:r>
      <w:r>
        <w:t xml:space="preserve"> </w:t>
      </w:r>
      <w:bookmarkStart w:id="0" w:name="_ENREF_7"/>
      <w:proofErr w:type="spellStart"/>
      <w:proofErr w:type="gramStart"/>
      <w:r w:rsidRPr="006132AF">
        <w:t>Fagerlin</w:t>
      </w:r>
      <w:proofErr w:type="spellEnd"/>
      <w:r w:rsidRPr="006132AF">
        <w:t>, A., &amp; Peters, E. (2011).</w:t>
      </w:r>
      <w:proofErr w:type="gramEnd"/>
      <w:r w:rsidRPr="006132AF">
        <w:t xml:space="preserve"> </w:t>
      </w:r>
      <w:proofErr w:type="gramStart"/>
      <w:r w:rsidRPr="006132AF">
        <w:t>Quantitative information.</w:t>
      </w:r>
      <w:bookmarkEnd w:id="0"/>
      <w:proofErr w:type="gramEnd"/>
      <w:r w:rsidRPr="006132AF">
        <w:t xml:space="preserve"> In</w:t>
      </w:r>
      <w:bookmarkStart w:id="1" w:name="_ENREF_9"/>
      <w:r w:rsidRPr="006132AF">
        <w:t xml:space="preserve"> B. </w:t>
      </w:r>
      <w:proofErr w:type="spellStart"/>
      <w:r w:rsidRPr="006132AF">
        <w:t>Fishoff</w:t>
      </w:r>
      <w:proofErr w:type="spellEnd"/>
      <w:r w:rsidRPr="006132AF">
        <w:t>, N. T. Brewer, &amp; J. S. Downs (Eds.),</w:t>
      </w:r>
      <w:r>
        <w:t xml:space="preserve"> </w:t>
      </w:r>
      <w:r w:rsidRPr="006132AF">
        <w:rPr>
          <w:i/>
          <w:iCs/>
        </w:rPr>
        <w:t>Communicating risks and benefits: An evidence-based user guide.</w:t>
      </w:r>
      <w:bookmarkEnd w:id="1"/>
      <w:r w:rsidRPr="006132AF">
        <w:t xml:space="preserve"> </w:t>
      </w:r>
      <w:proofErr w:type="gramStart"/>
      <w:r w:rsidRPr="006132AF">
        <w:t>Food and Drug Administration, U.S. Department of Health and Human Services.</w:t>
      </w:r>
      <w:proofErr w:type="gramEnd"/>
      <w:r w:rsidRPr="006132AF">
        <w:t xml:space="preserve"> Retrieved from </w:t>
      </w:r>
      <w:hyperlink r:id="rId1" w:history="1">
        <w:r w:rsidRPr="006132AF">
          <w:rPr>
            <w:rStyle w:val="Hyperlink"/>
          </w:rPr>
          <w:t>http://www.fda.gov/AboutFDA/ReportsManualsForms/Reports/ucm268078.htm</w:t>
        </w:r>
      </w:hyperlink>
    </w:p>
  </w:footnote>
  <w:footnote w:id="2">
    <w:p w:rsidR="009B66E4" w:rsidRPr="009B66E4" w:rsidRDefault="009B66E4">
      <w:pPr>
        <w:pStyle w:val="FootnoteText"/>
      </w:pPr>
      <w:r>
        <w:rPr>
          <w:rStyle w:val="FootnoteReference"/>
        </w:rPr>
        <w:footnoteRef/>
      </w:r>
      <w:r>
        <w:t xml:space="preserve"> </w:t>
      </w:r>
      <w:proofErr w:type="spellStart"/>
      <w:proofErr w:type="gramStart"/>
      <w:r>
        <w:t>Faul</w:t>
      </w:r>
      <w:proofErr w:type="spellEnd"/>
      <w:r>
        <w:t xml:space="preserve">, F., </w:t>
      </w:r>
      <w:proofErr w:type="spellStart"/>
      <w:r>
        <w:t>Erdfelder</w:t>
      </w:r>
      <w:proofErr w:type="spellEnd"/>
      <w:r>
        <w:t>, E., Buchner, A., &amp; Lang, A.G. (2009).</w:t>
      </w:r>
      <w:proofErr w:type="gramEnd"/>
      <w:r>
        <w:t xml:space="preserve">  Statistical power analyses using G*Power 3.1: Tests for correlation and regression analyses. </w:t>
      </w:r>
      <w:r>
        <w:rPr>
          <w:i/>
        </w:rPr>
        <w:t>Behavior Research Methods, 41</w:t>
      </w:r>
      <w:r>
        <w:t>, 1149-1160.</w:t>
      </w:r>
    </w:p>
  </w:footnote>
  <w:footnote w:id="3">
    <w:p w:rsidR="009B66E4" w:rsidRPr="009B66E4" w:rsidRDefault="009B66E4">
      <w:pPr>
        <w:pStyle w:val="FootnoteText"/>
      </w:pPr>
      <w:r>
        <w:rPr>
          <w:rStyle w:val="FootnoteReference"/>
        </w:rPr>
        <w:footnoteRef/>
      </w:r>
      <w:r>
        <w:t xml:space="preserve"> Cohen, J. (1988).  </w:t>
      </w:r>
      <w:proofErr w:type="gramStart"/>
      <w:r>
        <w:rPr>
          <w:i/>
        </w:rPr>
        <w:t>Statistical Power Analysis for the Behavioral Sciences</w:t>
      </w:r>
      <w:r>
        <w:t xml:space="preserve"> (2</w:t>
      </w:r>
      <w:r w:rsidRPr="009B66E4">
        <w:rPr>
          <w:vertAlign w:val="superscript"/>
        </w:rPr>
        <w:t>nd</w:t>
      </w:r>
      <w:r>
        <w:t xml:space="preserve"> Ed.).</w:t>
      </w:r>
      <w:proofErr w:type="gramEnd"/>
      <w:r>
        <w:t xml:space="preserve"> Lawrence Erlbaum Associates: Hillsdale, New Jersey.</w:t>
      </w:r>
    </w:p>
  </w:footnote>
  <w:footnote w:id="4">
    <w:p w:rsidR="00373343" w:rsidRPr="009B66E4" w:rsidRDefault="00373343" w:rsidP="00373343">
      <w:pPr>
        <w:pStyle w:val="FootnoteText"/>
      </w:pPr>
      <w:r>
        <w:rPr>
          <w:rStyle w:val="FootnoteReference"/>
        </w:rPr>
        <w:footnoteRef/>
      </w:r>
      <w:r>
        <w:t xml:space="preserve"> </w:t>
      </w:r>
      <w:proofErr w:type="spellStart"/>
      <w:proofErr w:type="gramStart"/>
      <w:r>
        <w:t>Faul</w:t>
      </w:r>
      <w:proofErr w:type="spellEnd"/>
      <w:r>
        <w:t xml:space="preserve">, F., </w:t>
      </w:r>
      <w:proofErr w:type="spellStart"/>
      <w:r>
        <w:t>Erdfelder</w:t>
      </w:r>
      <w:proofErr w:type="spellEnd"/>
      <w:r>
        <w:t>, E., Buchner, A., &amp; Lang, A.G. (2009).</w:t>
      </w:r>
      <w:proofErr w:type="gramEnd"/>
      <w:r>
        <w:t xml:space="preserve">  Statistical power analyses using G*Power 3.1: Tests for correlation and regression analyses. </w:t>
      </w:r>
      <w:r>
        <w:rPr>
          <w:i/>
        </w:rPr>
        <w:t>Behavior Research Methods, 41</w:t>
      </w:r>
      <w:r>
        <w:t>, 1149-1160.</w:t>
      </w:r>
    </w:p>
    <w:p w:rsidR="00373343" w:rsidRDefault="00373343">
      <w:pPr>
        <w:pStyle w:val="FootnoteText"/>
      </w:pPr>
    </w:p>
  </w:footnote>
  <w:footnote w:id="5">
    <w:p w:rsidR="00373343" w:rsidRPr="009B66E4" w:rsidRDefault="00373343" w:rsidP="00373343">
      <w:pPr>
        <w:pStyle w:val="FootnoteText"/>
      </w:pPr>
      <w:r>
        <w:rPr>
          <w:rStyle w:val="FootnoteReference"/>
        </w:rPr>
        <w:footnoteRef/>
      </w:r>
      <w:r>
        <w:t xml:space="preserve"> </w:t>
      </w:r>
      <w:proofErr w:type="spellStart"/>
      <w:proofErr w:type="gramStart"/>
      <w:r>
        <w:t>Faul</w:t>
      </w:r>
      <w:proofErr w:type="spellEnd"/>
      <w:r>
        <w:t xml:space="preserve">, F., </w:t>
      </w:r>
      <w:proofErr w:type="spellStart"/>
      <w:r>
        <w:t>Erdfelder</w:t>
      </w:r>
      <w:proofErr w:type="spellEnd"/>
      <w:r>
        <w:t>, E., Buchner, A., &amp; Lang, A.G. (2009).</w:t>
      </w:r>
      <w:proofErr w:type="gramEnd"/>
      <w:r>
        <w:t xml:space="preserve">  Statistical power analyses using G*Power 3.1: Tests for correlation and regression analyses. </w:t>
      </w:r>
      <w:r>
        <w:rPr>
          <w:i/>
        </w:rPr>
        <w:t>Behavior Research Methods, 41</w:t>
      </w:r>
      <w:r>
        <w:t>, 1149-1160.</w:t>
      </w:r>
    </w:p>
    <w:p w:rsidR="00373343" w:rsidRDefault="00373343">
      <w:pPr>
        <w:pStyle w:val="FootnoteText"/>
      </w:pPr>
    </w:p>
  </w:footnote>
  <w:footnote w:id="6">
    <w:p w:rsidR="00373343" w:rsidRPr="009B66E4" w:rsidRDefault="00373343" w:rsidP="00373343">
      <w:pPr>
        <w:pStyle w:val="FootnoteText"/>
      </w:pPr>
      <w:r>
        <w:rPr>
          <w:rStyle w:val="FootnoteReference"/>
        </w:rPr>
        <w:footnoteRef/>
      </w:r>
      <w:r>
        <w:t xml:space="preserve"> </w:t>
      </w:r>
      <w:proofErr w:type="spellStart"/>
      <w:proofErr w:type="gramStart"/>
      <w:r>
        <w:t>Faul</w:t>
      </w:r>
      <w:proofErr w:type="spellEnd"/>
      <w:r>
        <w:t xml:space="preserve">, F., </w:t>
      </w:r>
      <w:proofErr w:type="spellStart"/>
      <w:r>
        <w:t>Erdfelder</w:t>
      </w:r>
      <w:proofErr w:type="spellEnd"/>
      <w:r>
        <w:t>, E., Buchner, A., &amp; Lang, A.G. (2009).</w:t>
      </w:r>
      <w:proofErr w:type="gramEnd"/>
      <w:r>
        <w:t xml:space="preserve">  Statistical power analyses using G*Power 3.1: Tests for correlation and regression analyses. </w:t>
      </w:r>
      <w:r>
        <w:rPr>
          <w:i/>
        </w:rPr>
        <w:t>Behavior Research Methods, 41</w:t>
      </w:r>
      <w:r>
        <w:t>, 1149-1160.</w:t>
      </w:r>
    </w:p>
    <w:p w:rsidR="00373343" w:rsidRDefault="00373343">
      <w:pPr>
        <w:pStyle w:val="FootnoteText"/>
      </w:pPr>
    </w:p>
  </w:footnote>
  <w:footnote w:id="7">
    <w:p w:rsidR="00373343" w:rsidRDefault="00373343">
      <w:pPr>
        <w:pStyle w:val="FootnoteText"/>
      </w:pPr>
      <w:r>
        <w:rPr>
          <w:rStyle w:val="FootnoteReference"/>
        </w:rPr>
        <w:footnoteRef/>
      </w:r>
      <w:r>
        <w:t xml:space="preserve"> Cohen, J. (1988).  </w:t>
      </w:r>
      <w:proofErr w:type="gramStart"/>
      <w:r>
        <w:rPr>
          <w:i/>
        </w:rPr>
        <w:t>Statistical Power Analysis for the Behavioral Sciences</w:t>
      </w:r>
      <w:r>
        <w:t xml:space="preserve"> (2</w:t>
      </w:r>
      <w:r w:rsidRPr="009B66E4">
        <w:rPr>
          <w:vertAlign w:val="superscript"/>
        </w:rPr>
        <w:t>nd</w:t>
      </w:r>
      <w:r>
        <w:t xml:space="preserve"> Ed.).</w:t>
      </w:r>
      <w:proofErr w:type="gramEnd"/>
      <w:r>
        <w:t xml:space="preserve"> Lawrence Erlbaum Associates: Hillsdale, New Jersey.</w:t>
      </w:r>
    </w:p>
  </w:footnote>
  <w:footnote w:id="8">
    <w:p w:rsidR="00A34BFA" w:rsidRDefault="00A34BFA" w:rsidP="00AE22BB">
      <w:pPr>
        <w:pStyle w:val="biblio"/>
        <w:spacing w:after="0"/>
        <w:ind w:left="0" w:firstLine="0"/>
      </w:pPr>
      <w:r>
        <w:rPr>
          <w:rStyle w:val="FootnoteReference"/>
        </w:rPr>
        <w:footnoteRef/>
      </w:r>
      <w:r>
        <w:t xml:space="preserve"> </w:t>
      </w:r>
      <w:proofErr w:type="gramStart"/>
      <w:r w:rsidRPr="00091809">
        <w:rPr>
          <w:rFonts w:ascii="Times New Roman" w:hAnsi="Times New Roman"/>
          <w:sz w:val="20"/>
        </w:rPr>
        <w:t>Groves, R.</w:t>
      </w:r>
      <w:r>
        <w:rPr>
          <w:rFonts w:ascii="Times New Roman" w:hAnsi="Times New Roman"/>
          <w:sz w:val="20"/>
        </w:rPr>
        <w:t>,</w:t>
      </w:r>
      <w:r w:rsidRPr="00091809">
        <w:rPr>
          <w:rFonts w:ascii="Times New Roman" w:hAnsi="Times New Roman"/>
          <w:sz w:val="20"/>
        </w:rPr>
        <w:t xml:space="preserve"> </w:t>
      </w:r>
      <w:r>
        <w:rPr>
          <w:rFonts w:ascii="Times New Roman" w:hAnsi="Times New Roman"/>
          <w:sz w:val="20"/>
        </w:rPr>
        <w:t>“</w:t>
      </w:r>
      <w:r w:rsidRPr="00091809">
        <w:rPr>
          <w:rFonts w:ascii="Times New Roman" w:hAnsi="Times New Roman"/>
          <w:sz w:val="20"/>
        </w:rPr>
        <w:t xml:space="preserve">Nonresponse </w:t>
      </w:r>
      <w:r>
        <w:rPr>
          <w:rFonts w:ascii="Times New Roman" w:hAnsi="Times New Roman"/>
          <w:sz w:val="20"/>
        </w:rPr>
        <w:t>R</w:t>
      </w:r>
      <w:r w:rsidRPr="00091809">
        <w:rPr>
          <w:rFonts w:ascii="Times New Roman" w:hAnsi="Times New Roman"/>
          <w:sz w:val="20"/>
        </w:rPr>
        <w:t xml:space="preserve">ates and </w:t>
      </w:r>
      <w:r>
        <w:rPr>
          <w:rFonts w:ascii="Times New Roman" w:hAnsi="Times New Roman"/>
          <w:sz w:val="20"/>
        </w:rPr>
        <w:t>N</w:t>
      </w:r>
      <w:r w:rsidRPr="00091809">
        <w:rPr>
          <w:rFonts w:ascii="Times New Roman" w:hAnsi="Times New Roman"/>
          <w:sz w:val="20"/>
        </w:rPr>
        <w:t xml:space="preserve">onresponse </w:t>
      </w:r>
      <w:r>
        <w:rPr>
          <w:rFonts w:ascii="Times New Roman" w:hAnsi="Times New Roman"/>
          <w:sz w:val="20"/>
        </w:rPr>
        <w:t>B</w:t>
      </w:r>
      <w:r w:rsidRPr="00091809">
        <w:rPr>
          <w:rFonts w:ascii="Times New Roman" w:hAnsi="Times New Roman"/>
          <w:sz w:val="20"/>
        </w:rPr>
        <w:t xml:space="preserve">ias in </w:t>
      </w:r>
      <w:r>
        <w:rPr>
          <w:rFonts w:ascii="Times New Roman" w:hAnsi="Times New Roman"/>
          <w:sz w:val="20"/>
        </w:rPr>
        <w:t>H</w:t>
      </w:r>
      <w:r w:rsidRPr="00091809">
        <w:rPr>
          <w:rFonts w:ascii="Times New Roman" w:hAnsi="Times New Roman"/>
          <w:sz w:val="20"/>
        </w:rPr>
        <w:t>ouseholds</w:t>
      </w:r>
      <w:r>
        <w:rPr>
          <w:rFonts w:ascii="Times New Roman" w:hAnsi="Times New Roman"/>
          <w:sz w:val="20"/>
        </w:rPr>
        <w:t>,”</w:t>
      </w:r>
      <w:r w:rsidRPr="00091809">
        <w:rPr>
          <w:rFonts w:ascii="Times New Roman" w:hAnsi="Times New Roman"/>
          <w:sz w:val="20"/>
        </w:rPr>
        <w:t xml:space="preserve"> </w:t>
      </w:r>
      <w:r w:rsidRPr="00091809">
        <w:rPr>
          <w:rFonts w:ascii="Times New Roman" w:hAnsi="Times New Roman"/>
          <w:i/>
          <w:iCs/>
          <w:sz w:val="20"/>
        </w:rPr>
        <w:t>Public Opinion Quarterly</w:t>
      </w:r>
      <w:r w:rsidRPr="00091809">
        <w:rPr>
          <w:rFonts w:ascii="Times New Roman" w:hAnsi="Times New Roman"/>
          <w:sz w:val="20"/>
        </w:rPr>
        <w:t xml:space="preserve">, </w:t>
      </w:r>
      <w:r>
        <w:rPr>
          <w:rFonts w:ascii="Times New Roman" w:hAnsi="Times New Roman"/>
          <w:sz w:val="20"/>
        </w:rPr>
        <w:t>vol. </w:t>
      </w:r>
      <w:r w:rsidRPr="00B92A68">
        <w:rPr>
          <w:rFonts w:ascii="Times New Roman" w:hAnsi="Times New Roman"/>
          <w:iCs/>
          <w:sz w:val="20"/>
        </w:rPr>
        <w:t>70</w:t>
      </w:r>
      <w:r w:rsidRPr="007F486A">
        <w:rPr>
          <w:rFonts w:ascii="Times New Roman" w:hAnsi="Times New Roman"/>
          <w:sz w:val="20"/>
        </w:rPr>
        <w:t>(5),</w:t>
      </w:r>
      <w:r w:rsidRPr="00091809">
        <w:rPr>
          <w:rFonts w:ascii="Times New Roman" w:hAnsi="Times New Roman"/>
          <w:sz w:val="20"/>
        </w:rPr>
        <w:t xml:space="preserve"> </w:t>
      </w:r>
      <w:r>
        <w:rPr>
          <w:rFonts w:ascii="Times New Roman" w:hAnsi="Times New Roman"/>
          <w:sz w:val="20"/>
        </w:rPr>
        <w:t>pp. </w:t>
      </w:r>
      <w:r w:rsidRPr="00091809">
        <w:rPr>
          <w:rFonts w:ascii="Times New Roman" w:hAnsi="Times New Roman"/>
          <w:sz w:val="20"/>
        </w:rPr>
        <w:t>646–675</w:t>
      </w:r>
      <w:r>
        <w:rPr>
          <w:rFonts w:ascii="Times New Roman" w:hAnsi="Times New Roman"/>
          <w:sz w:val="20"/>
        </w:rPr>
        <w:t>, 2006</w:t>
      </w:r>
      <w:r w:rsidRPr="00091809">
        <w:rPr>
          <w:rFonts w:ascii="Times New Roman" w:hAnsi="Times New Roman"/>
          <w:sz w:val="20"/>
        </w:rPr>
        <w:t>.</w:t>
      </w:r>
      <w:proofErr w:type="gramEnd"/>
    </w:p>
  </w:footnote>
  <w:footnote w:id="9">
    <w:p w:rsidR="00A34BFA" w:rsidRDefault="00A34BFA" w:rsidP="00AE22BB">
      <w:pPr>
        <w:pStyle w:val="biblio"/>
        <w:spacing w:after="0"/>
        <w:ind w:left="0" w:firstLine="0"/>
      </w:pPr>
      <w:r>
        <w:rPr>
          <w:rStyle w:val="FootnoteReference"/>
        </w:rPr>
        <w:footnoteRef/>
      </w:r>
      <w:r>
        <w:t xml:space="preserve"> </w:t>
      </w:r>
      <w:proofErr w:type="spellStart"/>
      <w:r w:rsidRPr="00091809">
        <w:rPr>
          <w:rFonts w:ascii="Times New Roman" w:hAnsi="Times New Roman"/>
          <w:sz w:val="20"/>
        </w:rPr>
        <w:t>Biemer</w:t>
      </w:r>
      <w:proofErr w:type="spellEnd"/>
      <w:r w:rsidRPr="00091809">
        <w:rPr>
          <w:rFonts w:ascii="Times New Roman" w:hAnsi="Times New Roman"/>
          <w:sz w:val="20"/>
        </w:rPr>
        <w:t xml:space="preserve">, P. </w:t>
      </w:r>
      <w:r>
        <w:rPr>
          <w:rFonts w:ascii="Times New Roman" w:hAnsi="Times New Roman"/>
          <w:sz w:val="20"/>
        </w:rPr>
        <w:t>and</w:t>
      </w:r>
      <w:r w:rsidRPr="00091809">
        <w:rPr>
          <w:rFonts w:ascii="Times New Roman" w:hAnsi="Times New Roman"/>
          <w:sz w:val="20"/>
        </w:rPr>
        <w:t xml:space="preserve"> </w:t>
      </w:r>
      <w:r>
        <w:rPr>
          <w:rFonts w:ascii="Times New Roman" w:hAnsi="Times New Roman"/>
          <w:sz w:val="20"/>
        </w:rPr>
        <w:t xml:space="preserve">L. </w:t>
      </w:r>
      <w:proofErr w:type="spellStart"/>
      <w:r w:rsidRPr="00091809">
        <w:rPr>
          <w:rFonts w:ascii="Times New Roman" w:hAnsi="Times New Roman"/>
          <w:sz w:val="20"/>
        </w:rPr>
        <w:t>Lyberg</w:t>
      </w:r>
      <w:proofErr w:type="spellEnd"/>
      <w:r w:rsidRPr="00091809">
        <w:rPr>
          <w:rFonts w:ascii="Times New Roman" w:hAnsi="Times New Roman"/>
          <w:sz w:val="20"/>
        </w:rPr>
        <w:t xml:space="preserve">, </w:t>
      </w:r>
      <w:r>
        <w:rPr>
          <w:rFonts w:ascii="Times New Roman" w:hAnsi="Times New Roman"/>
          <w:sz w:val="20"/>
        </w:rPr>
        <w:t>“</w:t>
      </w:r>
      <w:r w:rsidRPr="00B92A68">
        <w:rPr>
          <w:rFonts w:ascii="Times New Roman" w:hAnsi="Times New Roman"/>
          <w:iCs/>
          <w:sz w:val="20"/>
        </w:rPr>
        <w:t>Introduction to survey quality</w:t>
      </w:r>
      <w:r>
        <w:rPr>
          <w:rFonts w:ascii="Times New Roman" w:hAnsi="Times New Roman"/>
          <w:sz w:val="20"/>
        </w:rPr>
        <w:t>,”</w:t>
      </w:r>
      <w:r w:rsidRPr="00091809">
        <w:rPr>
          <w:rFonts w:ascii="Times New Roman" w:hAnsi="Times New Roman"/>
          <w:sz w:val="20"/>
        </w:rPr>
        <w:t xml:space="preserve"> New York: Wiley</w:t>
      </w:r>
      <w:r>
        <w:rPr>
          <w:rFonts w:ascii="Times New Roman" w:hAnsi="Times New Roman"/>
          <w:sz w:val="20"/>
        </w:rPr>
        <w:t>, 2003</w:t>
      </w:r>
      <w:r w:rsidRPr="00091809">
        <w:rPr>
          <w:rFonts w:ascii="Times New Roman" w:hAnsi="Times New Roman"/>
          <w:sz w:val="20"/>
        </w:rPr>
        <w:t>.</w:t>
      </w:r>
    </w:p>
  </w:footnote>
  <w:footnote w:id="10">
    <w:p w:rsidR="00385D1F" w:rsidRPr="00385D1F" w:rsidRDefault="00385D1F">
      <w:pPr>
        <w:pStyle w:val="FootnoteText"/>
      </w:pPr>
      <w:r>
        <w:rPr>
          <w:rStyle w:val="FootnoteReference"/>
        </w:rPr>
        <w:footnoteRef/>
      </w:r>
      <w:r>
        <w:t xml:space="preserve"> Office of Management and Budget, </w:t>
      </w:r>
      <w:r w:rsidRPr="00385D1F">
        <w:rPr>
          <w:i/>
        </w:rPr>
        <w:t>Standards and Guidelines for Statistical Surveys</w:t>
      </w:r>
      <w:r>
        <w:t xml:space="preserve">, September, 2006.  </w:t>
      </w:r>
      <w:hyperlink r:id="rId2" w:history="1">
        <w:r w:rsidRPr="000764CC">
          <w:rPr>
            <w:rStyle w:val="Hyperlink"/>
          </w:rPr>
          <w:t>www.whitehouse.gov/sites/default/files/omb/inforeg/statpc</w:t>
        </w:r>
      </w:hyperlink>
      <w:r>
        <w:t>.  Last accessed April 18</w:t>
      </w:r>
      <w:proofErr w:type="gramStart"/>
      <w:r>
        <w:t>,2013</w:t>
      </w:r>
      <w:proofErr w:type="gram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0646"/>
    <w:multiLevelType w:val="hybridMultilevel"/>
    <w:tmpl w:val="CA689E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4F0948A1"/>
    <w:multiLevelType w:val="hybridMultilevel"/>
    <w:tmpl w:val="F66A055E"/>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0D2E7E"/>
    <w:multiLevelType w:val="hybridMultilevel"/>
    <w:tmpl w:val="17F43B86"/>
    <w:lvl w:ilvl="0" w:tplc="A2B4661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F105FA8"/>
    <w:multiLevelType w:val="hybridMultilevel"/>
    <w:tmpl w:val="214E24A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2BB"/>
    <w:rsid w:val="00011641"/>
    <w:rsid w:val="000607D8"/>
    <w:rsid w:val="00082FFF"/>
    <w:rsid w:val="00091809"/>
    <w:rsid w:val="000B0CAD"/>
    <w:rsid w:val="001136BD"/>
    <w:rsid w:val="00116320"/>
    <w:rsid w:val="001271AE"/>
    <w:rsid w:val="001353F6"/>
    <w:rsid w:val="00137E3F"/>
    <w:rsid w:val="00286C86"/>
    <w:rsid w:val="002A3E3B"/>
    <w:rsid w:val="002A52F9"/>
    <w:rsid w:val="002A6AB0"/>
    <w:rsid w:val="002B7ABB"/>
    <w:rsid w:val="002E500E"/>
    <w:rsid w:val="002F2824"/>
    <w:rsid w:val="00300D79"/>
    <w:rsid w:val="003300A2"/>
    <w:rsid w:val="00330B9A"/>
    <w:rsid w:val="0037220F"/>
    <w:rsid w:val="00373343"/>
    <w:rsid w:val="00385D1F"/>
    <w:rsid w:val="00386DAB"/>
    <w:rsid w:val="0039354F"/>
    <w:rsid w:val="003C7F96"/>
    <w:rsid w:val="003E702A"/>
    <w:rsid w:val="00401914"/>
    <w:rsid w:val="004236CF"/>
    <w:rsid w:val="004312AC"/>
    <w:rsid w:val="00452142"/>
    <w:rsid w:val="00465B22"/>
    <w:rsid w:val="004A2404"/>
    <w:rsid w:val="0053196F"/>
    <w:rsid w:val="00531C0F"/>
    <w:rsid w:val="00532A94"/>
    <w:rsid w:val="005732F1"/>
    <w:rsid w:val="005C7016"/>
    <w:rsid w:val="005E5F65"/>
    <w:rsid w:val="006132AF"/>
    <w:rsid w:val="00622B11"/>
    <w:rsid w:val="00664177"/>
    <w:rsid w:val="00667601"/>
    <w:rsid w:val="007238ED"/>
    <w:rsid w:val="00746A1A"/>
    <w:rsid w:val="0075081D"/>
    <w:rsid w:val="0075483A"/>
    <w:rsid w:val="00775049"/>
    <w:rsid w:val="00786F60"/>
    <w:rsid w:val="007A7DC7"/>
    <w:rsid w:val="007E0610"/>
    <w:rsid w:val="007F486A"/>
    <w:rsid w:val="00806D21"/>
    <w:rsid w:val="00821AA1"/>
    <w:rsid w:val="008516A1"/>
    <w:rsid w:val="00861E3F"/>
    <w:rsid w:val="00864EEB"/>
    <w:rsid w:val="008A1B98"/>
    <w:rsid w:val="008B019A"/>
    <w:rsid w:val="008E4D8F"/>
    <w:rsid w:val="009868F5"/>
    <w:rsid w:val="00993E3B"/>
    <w:rsid w:val="009B66E4"/>
    <w:rsid w:val="009D390A"/>
    <w:rsid w:val="009E4840"/>
    <w:rsid w:val="00A136A2"/>
    <w:rsid w:val="00A34BFA"/>
    <w:rsid w:val="00A61556"/>
    <w:rsid w:val="00AB5643"/>
    <w:rsid w:val="00AE22BB"/>
    <w:rsid w:val="00AE4D56"/>
    <w:rsid w:val="00AF2650"/>
    <w:rsid w:val="00B34571"/>
    <w:rsid w:val="00B92A68"/>
    <w:rsid w:val="00B95321"/>
    <w:rsid w:val="00BB3CD3"/>
    <w:rsid w:val="00BF6D2A"/>
    <w:rsid w:val="00C05803"/>
    <w:rsid w:val="00C073DD"/>
    <w:rsid w:val="00C2668E"/>
    <w:rsid w:val="00C72B56"/>
    <w:rsid w:val="00C82ECD"/>
    <w:rsid w:val="00CC2656"/>
    <w:rsid w:val="00CD0F5D"/>
    <w:rsid w:val="00CF4BE4"/>
    <w:rsid w:val="00D60511"/>
    <w:rsid w:val="00D85123"/>
    <w:rsid w:val="00DD2014"/>
    <w:rsid w:val="00DD50F1"/>
    <w:rsid w:val="00E04850"/>
    <w:rsid w:val="00E23BC0"/>
    <w:rsid w:val="00E801C7"/>
    <w:rsid w:val="00E86076"/>
    <w:rsid w:val="00EE302A"/>
    <w:rsid w:val="00EF7077"/>
    <w:rsid w:val="00F80B9F"/>
    <w:rsid w:val="00FC729D"/>
    <w:rsid w:val="00FE3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B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AE22BB"/>
    <w:rPr>
      <w:rFonts w:cs="Times New Roman"/>
      <w:vertAlign w:val="superscript"/>
    </w:rPr>
  </w:style>
  <w:style w:type="paragraph" w:styleId="ListParagraph">
    <w:name w:val="List Paragraph"/>
    <w:basedOn w:val="Normal"/>
    <w:uiPriority w:val="99"/>
    <w:qFormat/>
    <w:rsid w:val="00AE22BB"/>
    <w:pPr>
      <w:ind w:left="720"/>
      <w:contextualSpacing/>
    </w:pPr>
  </w:style>
  <w:style w:type="paragraph" w:customStyle="1" w:styleId="biblio">
    <w:name w:val="biblio"/>
    <w:basedOn w:val="Normal"/>
    <w:uiPriority w:val="99"/>
    <w:rsid w:val="00AE22BB"/>
    <w:pPr>
      <w:keepLines/>
      <w:spacing w:after="240"/>
      <w:ind w:left="720" w:hanging="720"/>
    </w:pPr>
    <w:rPr>
      <w:rFonts w:ascii="Calibri" w:hAnsi="Calibri"/>
      <w:sz w:val="22"/>
      <w:szCs w:val="2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rsid w:val="00AE22BB"/>
    <w:pPr>
      <w:spacing w:after="240" w:line="300" w:lineRule="exact"/>
      <w:ind w:firstLine="720"/>
    </w:pPr>
    <w:rPr>
      <w:sz w:val="22"/>
      <w:szCs w:val="20"/>
    </w:rPr>
  </w:style>
  <w:style w:type="paragraph" w:styleId="BalloonText">
    <w:name w:val="Balloon Text"/>
    <w:basedOn w:val="Normal"/>
    <w:link w:val="BalloonTextChar"/>
    <w:uiPriority w:val="99"/>
    <w:semiHidden/>
    <w:rsid w:val="00AE22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22BB"/>
    <w:rPr>
      <w:rFonts w:ascii="Tahoma" w:hAnsi="Tahoma" w:cs="Tahoma"/>
      <w:sz w:val="16"/>
      <w:szCs w:val="16"/>
    </w:rPr>
  </w:style>
  <w:style w:type="paragraph" w:styleId="FootnoteText">
    <w:name w:val="footnote text"/>
    <w:basedOn w:val="Normal"/>
    <w:link w:val="FootnoteTextChar"/>
    <w:uiPriority w:val="99"/>
    <w:semiHidden/>
    <w:rsid w:val="005732F1"/>
    <w:rPr>
      <w:sz w:val="20"/>
      <w:szCs w:val="20"/>
    </w:rPr>
  </w:style>
  <w:style w:type="character" w:customStyle="1" w:styleId="FootnoteTextChar">
    <w:name w:val="Footnote Text Char"/>
    <w:basedOn w:val="DefaultParagraphFont"/>
    <w:link w:val="FootnoteText"/>
    <w:uiPriority w:val="99"/>
    <w:semiHidden/>
    <w:locked/>
    <w:rsid w:val="005732F1"/>
    <w:rPr>
      <w:rFonts w:ascii="Times New Roman" w:hAnsi="Times New Roman" w:cs="Times New Roman"/>
      <w:sz w:val="20"/>
      <w:szCs w:val="20"/>
    </w:rPr>
  </w:style>
  <w:style w:type="character" w:styleId="Hyperlink">
    <w:name w:val="Hyperlink"/>
    <w:basedOn w:val="DefaultParagraphFont"/>
    <w:uiPriority w:val="99"/>
    <w:rsid w:val="005732F1"/>
    <w:rPr>
      <w:rFonts w:cs="Times New Roman"/>
      <w:color w:val="0000FF"/>
      <w:u w:val="single"/>
    </w:rPr>
  </w:style>
  <w:style w:type="character" w:styleId="CommentReference">
    <w:name w:val="annotation reference"/>
    <w:basedOn w:val="DefaultParagraphFont"/>
    <w:uiPriority w:val="99"/>
    <w:semiHidden/>
    <w:rsid w:val="003E702A"/>
    <w:rPr>
      <w:rFonts w:cs="Times New Roman"/>
      <w:sz w:val="16"/>
      <w:szCs w:val="16"/>
    </w:rPr>
  </w:style>
  <w:style w:type="paragraph" w:styleId="CommentText">
    <w:name w:val="annotation text"/>
    <w:basedOn w:val="Normal"/>
    <w:link w:val="CommentTextChar"/>
    <w:uiPriority w:val="99"/>
    <w:semiHidden/>
    <w:rsid w:val="003E702A"/>
    <w:rPr>
      <w:sz w:val="20"/>
      <w:szCs w:val="20"/>
    </w:rPr>
  </w:style>
  <w:style w:type="character" w:customStyle="1" w:styleId="CommentTextChar">
    <w:name w:val="Comment Text Char"/>
    <w:basedOn w:val="DefaultParagraphFont"/>
    <w:link w:val="CommentText"/>
    <w:uiPriority w:val="99"/>
    <w:semiHidden/>
    <w:rsid w:val="0001164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3E702A"/>
    <w:rPr>
      <w:b/>
      <w:bCs/>
    </w:rPr>
  </w:style>
  <w:style w:type="character" w:customStyle="1" w:styleId="CommentSubjectChar">
    <w:name w:val="Comment Subject Char"/>
    <w:basedOn w:val="CommentTextChar"/>
    <w:link w:val="CommentSubject"/>
    <w:uiPriority w:val="99"/>
    <w:semiHidden/>
    <w:rsid w:val="0001164D"/>
    <w:rPr>
      <w:rFonts w:ascii="Times New Roman" w:eastAsia="Times New Roman" w:hAnsi="Times New Roman"/>
      <w:b/>
      <w:bCs/>
      <w:sz w:val="20"/>
      <w:szCs w:val="20"/>
    </w:rPr>
  </w:style>
  <w:style w:type="character" w:customStyle="1" w:styleId="bodytextChar">
    <w:name w:val="body text Char"/>
    <w:aliases w:val="body tx Char,flush Char,bt Char Char Char Char,body text1 Char Char Char Char,bt Char1,memo Char,memo body text Char Char"/>
    <w:basedOn w:val="DefaultParagraphFont"/>
    <w:locked/>
    <w:rsid w:val="001136BD"/>
    <w:rPr>
      <w:rFonts w:ascii="Verdana" w:hAnsi="Verdana" w:cs="Times New Roman"/>
    </w:rPr>
  </w:style>
  <w:style w:type="table" w:styleId="TableGrid">
    <w:name w:val="Table Grid"/>
    <w:basedOn w:val="TableNormal"/>
    <w:locked/>
    <w:rsid w:val="00113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B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AE22BB"/>
    <w:rPr>
      <w:rFonts w:cs="Times New Roman"/>
      <w:vertAlign w:val="superscript"/>
    </w:rPr>
  </w:style>
  <w:style w:type="paragraph" w:styleId="ListParagraph">
    <w:name w:val="List Paragraph"/>
    <w:basedOn w:val="Normal"/>
    <w:uiPriority w:val="99"/>
    <w:qFormat/>
    <w:rsid w:val="00AE22BB"/>
    <w:pPr>
      <w:ind w:left="720"/>
      <w:contextualSpacing/>
    </w:pPr>
  </w:style>
  <w:style w:type="paragraph" w:customStyle="1" w:styleId="biblio">
    <w:name w:val="biblio"/>
    <w:basedOn w:val="Normal"/>
    <w:uiPriority w:val="99"/>
    <w:rsid w:val="00AE22BB"/>
    <w:pPr>
      <w:keepLines/>
      <w:spacing w:after="240"/>
      <w:ind w:left="720" w:hanging="720"/>
    </w:pPr>
    <w:rPr>
      <w:rFonts w:ascii="Calibri" w:hAnsi="Calibri"/>
      <w:sz w:val="22"/>
      <w:szCs w:val="2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rsid w:val="00AE22BB"/>
    <w:pPr>
      <w:spacing w:after="240" w:line="300" w:lineRule="exact"/>
      <w:ind w:firstLine="720"/>
    </w:pPr>
    <w:rPr>
      <w:sz w:val="22"/>
      <w:szCs w:val="20"/>
    </w:rPr>
  </w:style>
  <w:style w:type="paragraph" w:styleId="BalloonText">
    <w:name w:val="Balloon Text"/>
    <w:basedOn w:val="Normal"/>
    <w:link w:val="BalloonTextChar"/>
    <w:uiPriority w:val="99"/>
    <w:semiHidden/>
    <w:rsid w:val="00AE22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22BB"/>
    <w:rPr>
      <w:rFonts w:ascii="Tahoma" w:hAnsi="Tahoma" w:cs="Tahoma"/>
      <w:sz w:val="16"/>
      <w:szCs w:val="16"/>
    </w:rPr>
  </w:style>
  <w:style w:type="paragraph" w:styleId="FootnoteText">
    <w:name w:val="footnote text"/>
    <w:basedOn w:val="Normal"/>
    <w:link w:val="FootnoteTextChar"/>
    <w:uiPriority w:val="99"/>
    <w:semiHidden/>
    <w:rsid w:val="005732F1"/>
    <w:rPr>
      <w:sz w:val="20"/>
      <w:szCs w:val="20"/>
    </w:rPr>
  </w:style>
  <w:style w:type="character" w:customStyle="1" w:styleId="FootnoteTextChar">
    <w:name w:val="Footnote Text Char"/>
    <w:basedOn w:val="DefaultParagraphFont"/>
    <w:link w:val="FootnoteText"/>
    <w:uiPriority w:val="99"/>
    <w:semiHidden/>
    <w:locked/>
    <w:rsid w:val="005732F1"/>
    <w:rPr>
      <w:rFonts w:ascii="Times New Roman" w:hAnsi="Times New Roman" w:cs="Times New Roman"/>
      <w:sz w:val="20"/>
      <w:szCs w:val="20"/>
    </w:rPr>
  </w:style>
  <w:style w:type="character" w:styleId="Hyperlink">
    <w:name w:val="Hyperlink"/>
    <w:basedOn w:val="DefaultParagraphFont"/>
    <w:uiPriority w:val="99"/>
    <w:rsid w:val="005732F1"/>
    <w:rPr>
      <w:rFonts w:cs="Times New Roman"/>
      <w:color w:val="0000FF"/>
      <w:u w:val="single"/>
    </w:rPr>
  </w:style>
  <w:style w:type="character" w:styleId="CommentReference">
    <w:name w:val="annotation reference"/>
    <w:basedOn w:val="DefaultParagraphFont"/>
    <w:uiPriority w:val="99"/>
    <w:semiHidden/>
    <w:rsid w:val="003E702A"/>
    <w:rPr>
      <w:rFonts w:cs="Times New Roman"/>
      <w:sz w:val="16"/>
      <w:szCs w:val="16"/>
    </w:rPr>
  </w:style>
  <w:style w:type="paragraph" w:styleId="CommentText">
    <w:name w:val="annotation text"/>
    <w:basedOn w:val="Normal"/>
    <w:link w:val="CommentTextChar"/>
    <w:uiPriority w:val="99"/>
    <w:semiHidden/>
    <w:rsid w:val="003E702A"/>
    <w:rPr>
      <w:sz w:val="20"/>
      <w:szCs w:val="20"/>
    </w:rPr>
  </w:style>
  <w:style w:type="character" w:customStyle="1" w:styleId="CommentTextChar">
    <w:name w:val="Comment Text Char"/>
    <w:basedOn w:val="DefaultParagraphFont"/>
    <w:link w:val="CommentText"/>
    <w:uiPriority w:val="99"/>
    <w:semiHidden/>
    <w:rsid w:val="0001164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3E702A"/>
    <w:rPr>
      <w:b/>
      <w:bCs/>
    </w:rPr>
  </w:style>
  <w:style w:type="character" w:customStyle="1" w:styleId="CommentSubjectChar">
    <w:name w:val="Comment Subject Char"/>
    <w:basedOn w:val="CommentTextChar"/>
    <w:link w:val="CommentSubject"/>
    <w:uiPriority w:val="99"/>
    <w:semiHidden/>
    <w:rsid w:val="0001164D"/>
    <w:rPr>
      <w:rFonts w:ascii="Times New Roman" w:eastAsia="Times New Roman" w:hAnsi="Times New Roman"/>
      <w:b/>
      <w:bCs/>
      <w:sz w:val="20"/>
      <w:szCs w:val="20"/>
    </w:rPr>
  </w:style>
  <w:style w:type="character" w:customStyle="1" w:styleId="bodytextChar">
    <w:name w:val="body text Char"/>
    <w:aliases w:val="body tx Char,flush Char,bt Char Char Char Char,body text1 Char Char Char Char,bt Char1,memo Char,memo body text Char Char"/>
    <w:basedOn w:val="DefaultParagraphFont"/>
    <w:locked/>
    <w:rsid w:val="001136BD"/>
    <w:rPr>
      <w:rFonts w:ascii="Verdana" w:hAnsi="Verdana" w:cs="Times New Roman"/>
    </w:rPr>
  </w:style>
  <w:style w:type="table" w:styleId="TableGrid">
    <w:name w:val="Table Grid"/>
    <w:basedOn w:val="TableNormal"/>
    <w:locked/>
    <w:rsid w:val="00113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sites/default/files/omb/inforeg/statpc" TargetMode="External"/><Relationship Id="rId1" Type="http://schemas.openxmlformats.org/officeDocument/2006/relationships/hyperlink" Target="http://www.fda.gov/AboutFDA/ReportsManualsForms/Reports/ucm26807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DA796-7961-414C-9EB9-009BB280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B</vt:lpstr>
    </vt:vector>
  </TitlesOfParts>
  <Company>FDA</Company>
  <LinksUpToDate>false</LinksUpToDate>
  <CharactersWithSpaces>23764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O'Donoghue, Amie</dc:creator>
  <cp:lastModifiedBy>O'Donoghue, Amie</cp:lastModifiedBy>
  <cp:revision>4</cp:revision>
  <dcterms:created xsi:type="dcterms:W3CDTF">2013-04-18T15:17:00Z</dcterms:created>
  <dcterms:modified xsi:type="dcterms:W3CDTF">2013-04-18T17:25:00Z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