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F3" w:rsidRDefault="003315F3" w:rsidP="003315F3">
      <w:pPr>
        <w:tabs>
          <w:tab w:val="left" w:pos="450"/>
        </w:tabs>
        <w:autoSpaceDE w:val="0"/>
        <w:autoSpaceDN w:val="0"/>
        <w:adjustRightInd w:val="0"/>
        <w:spacing w:after="0" w:line="240" w:lineRule="auto"/>
        <w:rPr>
          <w:rFonts w:eastAsia="Times New Roman"/>
          <w:b/>
        </w:rPr>
      </w:pPr>
      <w:r w:rsidRPr="00C455AE">
        <w:rPr>
          <w:rFonts w:eastAsia="Times New Roman"/>
          <w:b/>
        </w:rPr>
        <w:t>Part B: Collections of Information Employing Statistical Methods</w:t>
      </w:r>
    </w:p>
    <w:p w:rsidR="00AF557D" w:rsidRDefault="00AF557D" w:rsidP="003315F3">
      <w:pPr>
        <w:tabs>
          <w:tab w:val="left" w:pos="450"/>
        </w:tabs>
        <w:autoSpaceDE w:val="0"/>
        <w:autoSpaceDN w:val="0"/>
        <w:adjustRightInd w:val="0"/>
        <w:spacing w:after="0" w:line="240" w:lineRule="auto"/>
        <w:rPr>
          <w:rFonts w:eastAsia="Times New Roman"/>
          <w:b/>
        </w:rPr>
      </w:pPr>
    </w:p>
    <w:p w:rsidR="003315F3" w:rsidRPr="00C455AE" w:rsidRDefault="003315F3" w:rsidP="003315F3">
      <w:pPr>
        <w:keepNext/>
        <w:autoSpaceDE w:val="0"/>
        <w:autoSpaceDN w:val="0"/>
        <w:adjustRightInd w:val="0"/>
        <w:spacing w:after="0" w:line="240" w:lineRule="auto"/>
        <w:ind w:left="450" w:hanging="360"/>
        <w:rPr>
          <w:rFonts w:eastAsia="Times New Roman"/>
          <w:b/>
          <w:bCs/>
          <w:sz w:val="20"/>
          <w:szCs w:val="20"/>
        </w:rPr>
      </w:pPr>
      <w:bookmarkStart w:id="0" w:name="_GoBack"/>
      <w:bookmarkEnd w:id="0"/>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AC471D" w:rsidRPr="00AC471D" w:rsidRDefault="00AC471D" w:rsidP="00AC471D">
      <w:pPr>
        <w:autoSpaceDE w:val="0"/>
        <w:autoSpaceDN w:val="0"/>
        <w:adjustRightInd w:val="0"/>
        <w:spacing w:after="0" w:line="240" w:lineRule="auto"/>
        <w:ind w:left="450"/>
        <w:rPr>
          <w:rFonts w:eastAsia="Times New Roman"/>
          <w:bCs/>
          <w:u w:val="single"/>
        </w:rPr>
      </w:pPr>
      <w:r w:rsidRPr="00AC471D">
        <w:rPr>
          <w:rFonts w:eastAsia="Times New Roman"/>
          <w:bCs/>
          <w:u w:val="single"/>
        </w:rPr>
        <w:t>Population and Sample Size</w:t>
      </w:r>
    </w:p>
    <w:p w:rsidR="00AC471D" w:rsidRDefault="00AC471D" w:rsidP="00AC471D">
      <w:pPr>
        <w:autoSpaceDE w:val="0"/>
        <w:autoSpaceDN w:val="0"/>
        <w:adjustRightInd w:val="0"/>
        <w:spacing w:after="0" w:line="240" w:lineRule="auto"/>
        <w:ind w:left="450"/>
        <w:rPr>
          <w:rFonts w:eastAsia="Times New Roman"/>
          <w:bCs/>
        </w:rPr>
      </w:pPr>
    </w:p>
    <w:p w:rsidR="00C6407B" w:rsidRDefault="00EE02FB" w:rsidP="00AC471D">
      <w:pPr>
        <w:autoSpaceDE w:val="0"/>
        <w:autoSpaceDN w:val="0"/>
        <w:adjustRightInd w:val="0"/>
        <w:spacing w:after="0" w:line="240" w:lineRule="auto"/>
        <w:ind w:left="450"/>
        <w:rPr>
          <w:rFonts w:eastAsia="Times New Roman"/>
          <w:bCs/>
        </w:rPr>
      </w:pPr>
      <w:r>
        <w:rPr>
          <w:rFonts w:eastAsia="Times New Roman"/>
          <w:bCs/>
        </w:rPr>
        <w:t xml:space="preserve">The population of potential interviewees consists of applicants who receive a first-review cycle action </w:t>
      </w:r>
      <w:r w:rsidR="00D87883">
        <w:rPr>
          <w:rFonts w:eastAsia="Times New Roman"/>
          <w:bCs/>
        </w:rPr>
        <w:t xml:space="preserve">(whether that action represents an approval or not) </w:t>
      </w:r>
      <w:r w:rsidR="00852907">
        <w:rPr>
          <w:rFonts w:eastAsia="Times New Roman"/>
          <w:bCs/>
        </w:rPr>
        <w:t xml:space="preserve">by September 30, 2016 </w:t>
      </w:r>
      <w:r>
        <w:rPr>
          <w:rFonts w:eastAsia="Times New Roman"/>
          <w:bCs/>
        </w:rPr>
        <w:t>under FDA’s Program for Enhanced Review Transparency and Communication for NME NDAs</w:t>
      </w:r>
      <w:r w:rsidR="00852907">
        <w:rPr>
          <w:rFonts w:eastAsia="Times New Roman"/>
          <w:bCs/>
        </w:rPr>
        <w:t xml:space="preserve"> and Original BLAs in PDUFA V. The number of applications that receive FDA actions varies somewhat from year to year; for the purpose of this estimate of population size, we use a high-end estimated average of 45 such applications per year. The independent contractor conducting the study will interview one to three sponsor representatives per application, bringing the total estimated population size to 135 per year or </w:t>
      </w:r>
      <w:r w:rsidR="00865C38">
        <w:rPr>
          <w:rFonts w:eastAsia="Times New Roman"/>
          <w:bCs/>
        </w:rPr>
        <w:t>540 over 4 years.</w:t>
      </w:r>
    </w:p>
    <w:p w:rsidR="003D2664" w:rsidRDefault="003D2664" w:rsidP="00AC471D">
      <w:pPr>
        <w:autoSpaceDE w:val="0"/>
        <w:autoSpaceDN w:val="0"/>
        <w:adjustRightInd w:val="0"/>
        <w:spacing w:after="0" w:line="240" w:lineRule="auto"/>
        <w:ind w:left="450"/>
        <w:rPr>
          <w:rFonts w:eastAsia="Times New Roman"/>
          <w:bCs/>
        </w:rPr>
      </w:pPr>
    </w:p>
    <w:p w:rsidR="003D2664" w:rsidRDefault="003D2664" w:rsidP="006571A7">
      <w:pPr>
        <w:autoSpaceDE w:val="0"/>
        <w:autoSpaceDN w:val="0"/>
        <w:adjustRightInd w:val="0"/>
        <w:spacing w:after="0" w:line="240" w:lineRule="auto"/>
        <w:ind w:left="450"/>
        <w:rPr>
          <w:rFonts w:eastAsia="Times New Roman"/>
          <w:bCs/>
        </w:rPr>
      </w:pPr>
      <w:r>
        <w:rPr>
          <w:rFonts w:eastAsia="Times New Roman"/>
          <w:bCs/>
        </w:rPr>
        <w:t>The expected response rate for this</w:t>
      </w:r>
      <w:r w:rsidR="004D283C">
        <w:rPr>
          <w:rFonts w:eastAsia="Times New Roman"/>
          <w:bCs/>
        </w:rPr>
        <w:t xml:space="preserve"> information collection is 90%.</w:t>
      </w:r>
    </w:p>
    <w:p w:rsidR="00865C38" w:rsidRDefault="00865C38" w:rsidP="00AC471D">
      <w:pPr>
        <w:autoSpaceDE w:val="0"/>
        <w:autoSpaceDN w:val="0"/>
        <w:adjustRightInd w:val="0"/>
        <w:spacing w:after="0" w:line="240" w:lineRule="auto"/>
        <w:ind w:left="450"/>
        <w:rPr>
          <w:rFonts w:eastAsia="Times New Roman"/>
          <w:bCs/>
        </w:rPr>
      </w:pPr>
    </w:p>
    <w:p w:rsidR="006571A7" w:rsidRDefault="006571A7" w:rsidP="00AC471D">
      <w:pPr>
        <w:autoSpaceDE w:val="0"/>
        <w:autoSpaceDN w:val="0"/>
        <w:adjustRightInd w:val="0"/>
        <w:spacing w:after="0" w:line="240" w:lineRule="auto"/>
        <w:ind w:left="450"/>
        <w:rPr>
          <w:rFonts w:eastAsia="Times New Roman"/>
          <w:bCs/>
        </w:rPr>
      </w:pPr>
    </w:p>
    <w:tbl>
      <w:tblPr>
        <w:tblStyle w:val="LightGrid-Accent1"/>
        <w:tblW w:w="0" w:type="auto"/>
        <w:tblLook w:val="04A0" w:firstRow="1" w:lastRow="0" w:firstColumn="1" w:lastColumn="0" w:noHBand="0" w:noVBand="1"/>
      </w:tblPr>
      <w:tblGrid>
        <w:gridCol w:w="2628"/>
        <w:gridCol w:w="1910"/>
        <w:gridCol w:w="1924"/>
        <w:gridCol w:w="1557"/>
        <w:gridCol w:w="1557"/>
      </w:tblGrid>
      <w:tr w:rsidR="003D2664" w:rsidTr="006A0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D2664" w:rsidRDefault="003D2664" w:rsidP="003D2664">
            <w:pPr>
              <w:autoSpaceDE w:val="0"/>
              <w:autoSpaceDN w:val="0"/>
              <w:adjustRightInd w:val="0"/>
              <w:spacing w:before="60" w:after="60"/>
              <w:rPr>
                <w:rFonts w:eastAsia="Times New Roman"/>
                <w:bCs w:val="0"/>
              </w:rPr>
            </w:pPr>
            <w:r>
              <w:rPr>
                <w:rFonts w:eastAsia="Times New Roman"/>
                <w:bCs w:val="0"/>
              </w:rPr>
              <w:t>Estimated Average Number of Applications Receiving a First-Review Cycle Action Under The Program</w:t>
            </w:r>
          </w:p>
        </w:tc>
        <w:tc>
          <w:tcPr>
            <w:tcW w:w="1910" w:type="dxa"/>
          </w:tcPr>
          <w:p w:rsidR="003D2664" w:rsidRDefault="003D2664" w:rsidP="00865C38">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bCs w:val="0"/>
              </w:rPr>
            </w:pPr>
            <w:r>
              <w:rPr>
                <w:rFonts w:eastAsia="Times New Roman"/>
                <w:bCs w:val="0"/>
              </w:rPr>
              <w:t>Number of Interviewees Per Application</w:t>
            </w:r>
          </w:p>
        </w:tc>
        <w:tc>
          <w:tcPr>
            <w:tcW w:w="1924" w:type="dxa"/>
          </w:tcPr>
          <w:p w:rsidR="003D2664" w:rsidRDefault="003D2664" w:rsidP="00865C38">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bCs w:val="0"/>
              </w:rPr>
            </w:pPr>
            <w:r>
              <w:rPr>
                <w:rFonts w:eastAsia="Times New Roman"/>
                <w:bCs w:val="0"/>
              </w:rPr>
              <w:t>Size of potential respondent universe</w:t>
            </w:r>
          </w:p>
        </w:tc>
        <w:tc>
          <w:tcPr>
            <w:tcW w:w="1557" w:type="dxa"/>
          </w:tcPr>
          <w:p w:rsidR="003D2664" w:rsidRDefault="003D2664" w:rsidP="00865C38">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bCs w:val="0"/>
              </w:rPr>
            </w:pPr>
            <w:r>
              <w:rPr>
                <w:rFonts w:eastAsia="Times New Roman"/>
                <w:bCs w:val="0"/>
              </w:rPr>
              <w:t>Expected Response Rate</w:t>
            </w:r>
          </w:p>
        </w:tc>
        <w:tc>
          <w:tcPr>
            <w:tcW w:w="1557" w:type="dxa"/>
          </w:tcPr>
          <w:p w:rsidR="003D2664" w:rsidRDefault="003D2664" w:rsidP="00865C38">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Times New Roman"/>
                <w:bCs w:val="0"/>
              </w:rPr>
            </w:pPr>
            <w:r>
              <w:rPr>
                <w:rFonts w:eastAsia="Times New Roman"/>
                <w:bCs w:val="0"/>
              </w:rPr>
              <w:t>Estimated</w:t>
            </w:r>
            <w:r w:rsidR="006A05F7">
              <w:rPr>
                <w:rFonts w:eastAsia="Times New Roman"/>
                <w:bCs w:val="0"/>
              </w:rPr>
              <w:t xml:space="preserve"> Number of Respondents</w:t>
            </w:r>
          </w:p>
        </w:tc>
      </w:tr>
      <w:tr w:rsidR="003D2664" w:rsidTr="006A0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D2664" w:rsidRPr="00865C38" w:rsidRDefault="003D2664" w:rsidP="00865C38">
            <w:pPr>
              <w:autoSpaceDE w:val="0"/>
              <w:autoSpaceDN w:val="0"/>
              <w:adjustRightInd w:val="0"/>
              <w:spacing w:before="60" w:after="60"/>
              <w:rPr>
                <w:rFonts w:eastAsia="Times New Roman"/>
                <w:b w:val="0"/>
                <w:bCs w:val="0"/>
              </w:rPr>
            </w:pPr>
            <w:r w:rsidRPr="00865C38">
              <w:rPr>
                <w:rFonts w:eastAsia="Times New Roman"/>
                <w:b w:val="0"/>
                <w:bCs w:val="0"/>
              </w:rPr>
              <w:t>45</w:t>
            </w:r>
            <w:r>
              <w:rPr>
                <w:rFonts w:eastAsia="Times New Roman"/>
                <w:b w:val="0"/>
                <w:bCs w:val="0"/>
              </w:rPr>
              <w:t xml:space="preserve"> per year</w:t>
            </w:r>
          </w:p>
        </w:tc>
        <w:tc>
          <w:tcPr>
            <w:tcW w:w="1910" w:type="dxa"/>
          </w:tcPr>
          <w:p w:rsidR="003D2664" w:rsidRDefault="003D2664" w:rsidP="00865C3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eastAsia="Times New Roman"/>
                <w:bCs/>
              </w:rPr>
            </w:pPr>
            <w:r>
              <w:rPr>
                <w:rFonts w:eastAsia="Times New Roman"/>
                <w:bCs/>
              </w:rPr>
              <w:t>1-3</w:t>
            </w:r>
          </w:p>
        </w:tc>
        <w:tc>
          <w:tcPr>
            <w:tcW w:w="1924" w:type="dxa"/>
          </w:tcPr>
          <w:p w:rsidR="003D2664" w:rsidRDefault="003D2664" w:rsidP="00865C3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eastAsia="Times New Roman"/>
                <w:bCs/>
              </w:rPr>
            </w:pPr>
            <w:r>
              <w:rPr>
                <w:rFonts w:eastAsia="Times New Roman"/>
                <w:bCs/>
              </w:rPr>
              <w:t>135 per year</w:t>
            </w:r>
          </w:p>
        </w:tc>
        <w:tc>
          <w:tcPr>
            <w:tcW w:w="1557" w:type="dxa"/>
          </w:tcPr>
          <w:p w:rsidR="003D2664" w:rsidRDefault="003D2664" w:rsidP="00865C3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eastAsia="Times New Roman"/>
                <w:bCs/>
              </w:rPr>
            </w:pPr>
            <w:r>
              <w:rPr>
                <w:rFonts w:eastAsia="Times New Roman"/>
                <w:bCs/>
              </w:rPr>
              <w:t>90%</w:t>
            </w:r>
          </w:p>
        </w:tc>
        <w:tc>
          <w:tcPr>
            <w:tcW w:w="1557" w:type="dxa"/>
          </w:tcPr>
          <w:p w:rsidR="003D2664" w:rsidRDefault="006A05F7" w:rsidP="00865C3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eastAsia="Times New Roman"/>
                <w:bCs/>
              </w:rPr>
            </w:pPr>
            <w:r>
              <w:rPr>
                <w:rFonts w:eastAsia="Times New Roman"/>
                <w:bCs/>
              </w:rPr>
              <w:t>122</w:t>
            </w:r>
          </w:p>
        </w:tc>
      </w:tr>
      <w:tr w:rsidR="003D2664" w:rsidTr="006A05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3D2664" w:rsidRPr="00865C38" w:rsidRDefault="003D2664" w:rsidP="00865C38">
            <w:pPr>
              <w:autoSpaceDE w:val="0"/>
              <w:autoSpaceDN w:val="0"/>
              <w:adjustRightInd w:val="0"/>
              <w:spacing w:before="60" w:after="60"/>
              <w:rPr>
                <w:rFonts w:eastAsia="Times New Roman"/>
                <w:b w:val="0"/>
                <w:bCs w:val="0"/>
              </w:rPr>
            </w:pPr>
            <w:r>
              <w:rPr>
                <w:rFonts w:eastAsia="Times New Roman"/>
                <w:b w:val="0"/>
                <w:bCs w:val="0"/>
              </w:rPr>
              <w:t>180 over 4 years</w:t>
            </w:r>
          </w:p>
        </w:tc>
        <w:tc>
          <w:tcPr>
            <w:tcW w:w="1910" w:type="dxa"/>
          </w:tcPr>
          <w:p w:rsidR="003D2664" w:rsidRDefault="003D2664" w:rsidP="00865C3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1-3</w:t>
            </w:r>
          </w:p>
        </w:tc>
        <w:tc>
          <w:tcPr>
            <w:tcW w:w="1924" w:type="dxa"/>
          </w:tcPr>
          <w:p w:rsidR="003D2664" w:rsidRDefault="003D2664" w:rsidP="00865C3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540 over 4 years</w:t>
            </w:r>
          </w:p>
        </w:tc>
        <w:tc>
          <w:tcPr>
            <w:tcW w:w="1557" w:type="dxa"/>
          </w:tcPr>
          <w:p w:rsidR="003D2664" w:rsidRDefault="003D2664" w:rsidP="00865C3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90%</w:t>
            </w:r>
          </w:p>
        </w:tc>
        <w:tc>
          <w:tcPr>
            <w:tcW w:w="1557" w:type="dxa"/>
          </w:tcPr>
          <w:p w:rsidR="003D2664" w:rsidRDefault="007C6EBA" w:rsidP="00865C3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eastAsia="Times New Roman"/>
                <w:bCs/>
              </w:rPr>
            </w:pPr>
            <w:r>
              <w:rPr>
                <w:rFonts w:eastAsia="Times New Roman"/>
                <w:bCs/>
              </w:rPr>
              <w:t>486</w:t>
            </w:r>
          </w:p>
        </w:tc>
      </w:tr>
    </w:tbl>
    <w:p w:rsidR="00865C38" w:rsidRDefault="00865C38" w:rsidP="00AC471D">
      <w:pPr>
        <w:autoSpaceDE w:val="0"/>
        <w:autoSpaceDN w:val="0"/>
        <w:adjustRightInd w:val="0"/>
        <w:spacing w:after="0" w:line="240" w:lineRule="auto"/>
        <w:ind w:left="450"/>
        <w:rPr>
          <w:rFonts w:eastAsia="Times New Roman"/>
          <w:bCs/>
        </w:rPr>
      </w:pPr>
    </w:p>
    <w:p w:rsidR="00951A43" w:rsidRDefault="00951A43" w:rsidP="00AC471D">
      <w:pPr>
        <w:autoSpaceDE w:val="0"/>
        <w:autoSpaceDN w:val="0"/>
        <w:adjustRightInd w:val="0"/>
        <w:spacing w:after="0" w:line="240" w:lineRule="auto"/>
        <w:ind w:left="450"/>
        <w:rPr>
          <w:rFonts w:eastAsia="Times New Roman"/>
          <w:bCs/>
        </w:rPr>
      </w:pPr>
    </w:p>
    <w:p w:rsidR="00AC471D" w:rsidRPr="00AC471D" w:rsidRDefault="00AC471D" w:rsidP="00AC471D">
      <w:pPr>
        <w:autoSpaceDE w:val="0"/>
        <w:autoSpaceDN w:val="0"/>
        <w:adjustRightInd w:val="0"/>
        <w:spacing w:after="0" w:line="240" w:lineRule="auto"/>
        <w:ind w:left="450"/>
        <w:rPr>
          <w:rFonts w:eastAsia="Times New Roman"/>
          <w:bCs/>
          <w:u w:val="single"/>
        </w:rPr>
      </w:pPr>
      <w:r w:rsidRPr="00AC471D">
        <w:rPr>
          <w:rFonts w:eastAsia="Times New Roman"/>
          <w:bCs/>
          <w:u w:val="single"/>
        </w:rPr>
        <w:t>Selection Methods</w:t>
      </w:r>
    </w:p>
    <w:p w:rsidR="00AC471D" w:rsidRDefault="00AC471D" w:rsidP="00AC471D">
      <w:pPr>
        <w:autoSpaceDE w:val="0"/>
        <w:autoSpaceDN w:val="0"/>
        <w:adjustRightInd w:val="0"/>
        <w:spacing w:after="0" w:line="240" w:lineRule="auto"/>
        <w:ind w:left="450"/>
        <w:rPr>
          <w:rFonts w:eastAsia="Times New Roman"/>
          <w:bCs/>
        </w:rPr>
      </w:pPr>
    </w:p>
    <w:p w:rsidR="00AC471D" w:rsidRDefault="004D283C" w:rsidP="00AC471D">
      <w:pPr>
        <w:autoSpaceDE w:val="0"/>
        <w:autoSpaceDN w:val="0"/>
        <w:adjustRightInd w:val="0"/>
        <w:spacing w:after="0" w:line="240" w:lineRule="auto"/>
        <w:ind w:left="450"/>
        <w:rPr>
          <w:rFonts w:eastAsia="Times New Roman"/>
          <w:bCs/>
        </w:rPr>
      </w:pPr>
      <w:r>
        <w:rPr>
          <w:rFonts w:eastAsia="Times New Roman"/>
          <w:bCs/>
        </w:rPr>
        <w:t>The independent contractor conducting this information collection will offer interviews to all applicants who receive a first-review cycle action under the Program by September 30, 2016. There will be no sampling or other selection methods.</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Default="003315F3" w:rsidP="003315F3">
      <w:pPr>
        <w:autoSpaceDE w:val="0"/>
        <w:autoSpaceDN w:val="0"/>
        <w:adjustRightInd w:val="0"/>
        <w:spacing w:after="0" w:line="240" w:lineRule="auto"/>
        <w:ind w:left="450"/>
        <w:rPr>
          <w:rFonts w:eastAsia="Times New Roman"/>
          <w:bCs/>
          <w:szCs w:val="20"/>
        </w:rPr>
      </w:pPr>
      <w:r w:rsidRPr="00C455AE">
        <w:rPr>
          <w:rFonts w:eastAsia="Times New Roman"/>
          <w:bCs/>
          <w:szCs w:val="20"/>
          <w:u w:val="single"/>
        </w:rPr>
        <w:t>Response Rate</w:t>
      </w:r>
    </w:p>
    <w:p w:rsidR="003315F3" w:rsidRDefault="003315F3" w:rsidP="003315F3">
      <w:pPr>
        <w:spacing w:after="0" w:line="240" w:lineRule="auto"/>
        <w:rPr>
          <w:rFonts w:eastAsia="Times New Roman"/>
          <w:b/>
          <w:bCs/>
          <w:sz w:val="20"/>
        </w:rPr>
      </w:pPr>
    </w:p>
    <w:p w:rsidR="00942428" w:rsidRDefault="004D283C" w:rsidP="004D283C">
      <w:pPr>
        <w:spacing w:after="0" w:line="240" w:lineRule="auto"/>
        <w:ind w:left="450"/>
        <w:rPr>
          <w:rFonts w:eastAsia="Times New Roman"/>
          <w:b/>
          <w:bCs/>
          <w:sz w:val="20"/>
        </w:rPr>
      </w:pPr>
      <w:r>
        <w:rPr>
          <w:rFonts w:eastAsia="Times New Roman"/>
          <w:bCs/>
        </w:rPr>
        <w:t>This information collection reflects an agreement negotiated between FDA and industry during the development of PDUFA V and is documented in FDA’s Commitment Letter for PDUFA V</w:t>
      </w:r>
      <w:r w:rsidR="00824003">
        <w:rPr>
          <w:rFonts w:eastAsia="Times New Roman"/>
          <w:bCs/>
        </w:rPr>
        <w:t xml:space="preserve"> (</w:t>
      </w:r>
      <w:hyperlink r:id="rId9" w:history="1">
        <w:r w:rsidR="00824003" w:rsidRPr="004D65E0">
          <w:rPr>
            <w:rStyle w:val="Hyperlink"/>
            <w:rFonts w:eastAsia="Times New Roman"/>
            <w:bCs/>
          </w:rPr>
          <w:t>http://www.fda.gov/downloads/ForIndustry/UserFees/PrescriptionDrugUserFee/UCM270412.pdf</w:t>
        </w:r>
      </w:hyperlink>
      <w:r w:rsidR="00824003">
        <w:rPr>
          <w:rFonts w:eastAsia="Times New Roman"/>
          <w:bCs/>
        </w:rPr>
        <w:t>)</w:t>
      </w:r>
      <w:r>
        <w:rPr>
          <w:rFonts w:eastAsia="Times New Roman"/>
          <w:bCs/>
        </w:rPr>
        <w:t xml:space="preserve">. Program applicants therefore expect these interviews to take place. Industry representatives continue to support this information collection </w:t>
      </w:r>
      <w:r w:rsidR="00824003">
        <w:rPr>
          <w:rFonts w:eastAsia="Times New Roman"/>
          <w:bCs/>
        </w:rPr>
        <w:t xml:space="preserve">as it is a key aspect of the Program that could inform further enhancements to FDA-industry interactions.  This support is </w:t>
      </w:r>
      <w:r>
        <w:rPr>
          <w:rFonts w:eastAsia="Times New Roman"/>
          <w:bCs/>
        </w:rPr>
        <w:t>evidenced b</w:t>
      </w:r>
      <w:r w:rsidR="00824003">
        <w:rPr>
          <w:rFonts w:eastAsia="Times New Roman"/>
          <w:bCs/>
        </w:rPr>
        <w:t>y</w:t>
      </w:r>
      <w:r>
        <w:rPr>
          <w:rFonts w:eastAsia="Times New Roman"/>
          <w:bCs/>
        </w:rPr>
        <w:t xml:space="preserve"> </w:t>
      </w:r>
      <w:r w:rsidR="00824003">
        <w:rPr>
          <w:rFonts w:eastAsia="Times New Roman"/>
          <w:bCs/>
        </w:rPr>
        <w:t xml:space="preserve">submitted </w:t>
      </w:r>
      <w:r>
        <w:rPr>
          <w:rFonts w:eastAsia="Times New Roman"/>
          <w:bCs/>
        </w:rPr>
        <w:t xml:space="preserve">comments in response to the 30-day notice for this information collection request). We therefore expect that applicants will be motivated to participate in this information collection regardless of outcome </w:t>
      </w:r>
      <w:r>
        <w:rPr>
          <w:rFonts w:eastAsia="Times New Roman"/>
          <w:bCs/>
        </w:rPr>
        <w:lastRenderedPageBreak/>
        <w:t>(approval or not) or other application/applicant characteristics. Because members of the potential respondent universe are highly engaged and motivated, we expect a high response rate: 90%.</w:t>
      </w:r>
    </w:p>
    <w:p w:rsidR="002861A4" w:rsidRPr="00C455AE" w:rsidRDefault="002861A4" w:rsidP="003315F3">
      <w:pPr>
        <w:spacing w:after="0" w:line="240" w:lineRule="auto"/>
        <w:rPr>
          <w:rFonts w:eastAsia="Times New Roman"/>
          <w:b/>
          <w:bCs/>
          <w:sz w:val="20"/>
        </w:rPr>
      </w:pP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Statistical Method for Stratification, Accuracy, and Sample Selection</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315F3" w:rsidP="004D283C">
      <w:pPr>
        <w:autoSpaceDE w:val="0"/>
        <w:autoSpaceDN w:val="0"/>
        <w:adjustRightInd w:val="0"/>
        <w:spacing w:after="0" w:line="240" w:lineRule="auto"/>
        <w:ind w:left="450" w:hanging="360"/>
        <w:rPr>
          <w:rFonts w:eastAsia="Times New Roman"/>
        </w:rPr>
      </w:pPr>
      <w:r w:rsidRPr="00C455AE">
        <w:rPr>
          <w:rFonts w:eastAsia="Times New Roman"/>
          <w:bCs/>
        </w:rPr>
        <w:tab/>
      </w:r>
      <w:r w:rsidR="004D283C">
        <w:rPr>
          <w:rFonts w:eastAsia="Times New Roman"/>
          <w:bCs/>
        </w:rPr>
        <w:t xml:space="preserve">This information collection will encompass the full universe of potential respondents; </w:t>
      </w:r>
      <w:r w:rsidR="00212D25">
        <w:rPr>
          <w:rFonts w:eastAsia="Times New Roman"/>
          <w:bCs/>
        </w:rPr>
        <w:t>no statistical methods for stratification, accuracy, and sample selection are required</w:t>
      </w:r>
      <w:r w:rsidR="004D283C">
        <w:rPr>
          <w:rFonts w:eastAsia="Times New Roman"/>
          <w:bCs/>
        </w:rPr>
        <w:t>.</w:t>
      </w:r>
    </w:p>
    <w:p w:rsidR="003315F3" w:rsidRPr="00C455AE" w:rsidRDefault="003315F3" w:rsidP="003315F3">
      <w:pPr>
        <w:autoSpaceDE w:val="0"/>
        <w:autoSpaceDN w:val="0"/>
        <w:adjustRightInd w:val="0"/>
        <w:spacing w:after="0" w:line="240" w:lineRule="auto"/>
        <w:ind w:left="450" w:hanging="360"/>
        <w:rPr>
          <w:rFonts w:eastAsia="Times New Roman"/>
          <w:b/>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Estimation Procedure</w:t>
      </w:r>
    </w:p>
    <w:p w:rsidR="003315F3" w:rsidRPr="00C455AE" w:rsidRDefault="003315F3" w:rsidP="003315F3">
      <w:pPr>
        <w:spacing w:after="0" w:line="240" w:lineRule="auto"/>
        <w:ind w:left="450" w:hanging="360"/>
        <w:rPr>
          <w:rFonts w:eastAsia="Times New Roman"/>
          <w:b/>
        </w:rPr>
      </w:pPr>
    </w:p>
    <w:p w:rsidR="003315F3" w:rsidRPr="00C455AE" w:rsidRDefault="003315F3" w:rsidP="003315F3">
      <w:pPr>
        <w:spacing w:after="0" w:line="240" w:lineRule="auto"/>
        <w:ind w:left="450" w:hanging="360"/>
        <w:rPr>
          <w:rFonts w:eastAsia="Times New Roman"/>
        </w:rPr>
      </w:pPr>
      <w:r w:rsidRPr="00C455AE">
        <w:rPr>
          <w:rFonts w:eastAsia="Times New Roman"/>
        </w:rPr>
        <w:tab/>
      </w:r>
      <w:r w:rsidR="00212D25">
        <w:rPr>
          <w:rFonts w:eastAsia="Times New Roman"/>
        </w:rPr>
        <w:t>None are required.</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Unusual Problems Requiring Specialized Sampling Procedures</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rPr>
      </w:pPr>
      <w:r w:rsidRPr="00C455AE">
        <w:rPr>
          <w:rFonts w:eastAsia="Times New Roman"/>
          <w:bCs/>
        </w:rPr>
        <w:t>None are required.</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u w:val="single"/>
        </w:rPr>
      </w:pPr>
      <w:r w:rsidRPr="00C455AE">
        <w:rPr>
          <w:rFonts w:eastAsia="Times New Roman"/>
          <w:bCs/>
          <w:u w:val="single"/>
        </w:rPr>
        <w:t>Use of Periodic (Less Than Annual) Data Collection</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bCs/>
        </w:rPr>
      </w:pPr>
      <w:r w:rsidRPr="00C455AE">
        <w:rPr>
          <w:rFonts w:eastAsia="Times New Roman"/>
          <w:bCs/>
        </w:rPr>
        <w:t>This request is for a one-time data collection</w:t>
      </w:r>
      <w:r w:rsidR="00212D25">
        <w:rPr>
          <w:rFonts w:eastAsia="Times New Roman"/>
          <w:bCs/>
        </w:rPr>
        <w:t xml:space="preserve"> spanning 4 years of the Program as described above</w:t>
      </w:r>
      <w:r w:rsidRPr="00C455AE">
        <w:rPr>
          <w:rFonts w:eastAsia="Times New Roman"/>
          <w:bCs/>
        </w:rPr>
        <w:t xml:space="preserve">. </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rPr>
          <w:rFonts w:eastAsia="Times New Roman"/>
        </w:rPr>
      </w:pPr>
      <w:r w:rsidRPr="00C455AE">
        <w:rPr>
          <w:rFonts w:eastAsia="Times New Roman"/>
        </w:rPr>
        <w:t xml:space="preserve">Despite the expectation </w:t>
      </w:r>
      <w:r w:rsidR="00212D25">
        <w:rPr>
          <w:rFonts w:eastAsia="Times New Roman"/>
        </w:rPr>
        <w:t>of</w:t>
      </w:r>
      <w:r w:rsidRPr="00C455AE">
        <w:rPr>
          <w:rFonts w:eastAsia="Times New Roman"/>
        </w:rPr>
        <w:t xml:space="preserve"> a high response rate, </w:t>
      </w:r>
      <w:r w:rsidR="00212D25">
        <w:rPr>
          <w:rFonts w:eastAsia="Times New Roman"/>
        </w:rPr>
        <w:t>FDA and the independent contractor</w:t>
      </w:r>
      <w:r w:rsidRPr="00C455AE">
        <w:rPr>
          <w:rFonts w:eastAsia="Times New Roman"/>
        </w:rPr>
        <w:t xml:space="preserve"> will follow good </w:t>
      </w:r>
      <w:r w:rsidR="00212D25">
        <w:rPr>
          <w:rFonts w:eastAsia="Times New Roman"/>
        </w:rPr>
        <w:t>interview</w:t>
      </w:r>
      <w:r w:rsidRPr="00C455AE">
        <w:rPr>
          <w:rFonts w:eastAsia="Times New Roman"/>
        </w:rPr>
        <w:t xml:space="preserve"> practices, including the following:</w:t>
      </w:r>
    </w:p>
    <w:p w:rsidR="003315F3" w:rsidRPr="00C455AE" w:rsidRDefault="003315F3" w:rsidP="003315F3">
      <w:pPr>
        <w:autoSpaceDE w:val="0"/>
        <w:autoSpaceDN w:val="0"/>
        <w:adjustRightInd w:val="0"/>
        <w:spacing w:after="0" w:line="240" w:lineRule="auto"/>
        <w:ind w:left="450"/>
        <w:rPr>
          <w:rFonts w:eastAsia="Times New Roman"/>
        </w:rPr>
      </w:pPr>
    </w:p>
    <w:p w:rsidR="003315F3" w:rsidRPr="00C455AE" w:rsidRDefault="00212D25" w:rsidP="003315F3">
      <w:pPr>
        <w:numPr>
          <w:ilvl w:val="0"/>
          <w:numId w:val="2"/>
        </w:numPr>
        <w:autoSpaceDE w:val="0"/>
        <w:autoSpaceDN w:val="0"/>
        <w:adjustRightInd w:val="0"/>
        <w:spacing w:after="0" w:line="240" w:lineRule="auto"/>
        <w:ind w:left="900" w:hanging="180"/>
        <w:rPr>
          <w:rFonts w:eastAsia="Times New Roman"/>
        </w:rPr>
      </w:pPr>
      <w:r>
        <w:rPr>
          <w:rFonts w:eastAsia="Times New Roman"/>
        </w:rPr>
        <w:t>In all action letters under the Program, FDA will include a notification about the opportunity to participate in a post-action interview and indicate that the independent contractor will contact the sponsor to that end.</w:t>
      </w:r>
    </w:p>
    <w:p w:rsidR="003315F3" w:rsidRPr="00C455AE" w:rsidRDefault="00212D25" w:rsidP="003315F3">
      <w:pPr>
        <w:numPr>
          <w:ilvl w:val="0"/>
          <w:numId w:val="2"/>
        </w:numPr>
        <w:autoSpaceDE w:val="0"/>
        <w:autoSpaceDN w:val="0"/>
        <w:adjustRightInd w:val="0"/>
        <w:spacing w:after="0" w:line="240" w:lineRule="auto"/>
        <w:ind w:left="900" w:hanging="180"/>
        <w:rPr>
          <w:rFonts w:eastAsia="Times New Roman"/>
        </w:rPr>
      </w:pPr>
      <w:r>
        <w:rPr>
          <w:rFonts w:eastAsia="Times New Roman"/>
        </w:rPr>
        <w:t>The independent contractor will send an email to the primary contact person for the application requesting participation in the interview and explaining the importance of the information collection; ERG will offer to conduct the interview at a location (in person or by phone) and date/time that is convenient for the sponsor</w:t>
      </w:r>
      <w:r w:rsidR="003315F3" w:rsidRPr="00C455AE">
        <w:rPr>
          <w:rFonts w:eastAsia="Times New Roman"/>
        </w:rPr>
        <w:t>.</w:t>
      </w:r>
    </w:p>
    <w:p w:rsidR="003315F3" w:rsidRDefault="00212D25" w:rsidP="003315F3">
      <w:pPr>
        <w:numPr>
          <w:ilvl w:val="0"/>
          <w:numId w:val="2"/>
        </w:numPr>
        <w:autoSpaceDE w:val="0"/>
        <w:autoSpaceDN w:val="0"/>
        <w:adjustRightInd w:val="0"/>
        <w:spacing w:after="0" w:line="240" w:lineRule="auto"/>
        <w:ind w:left="900" w:hanging="180"/>
        <w:rPr>
          <w:rFonts w:eastAsia="Times New Roman"/>
        </w:rPr>
      </w:pPr>
      <w:r>
        <w:rPr>
          <w:rFonts w:eastAsia="Times New Roman"/>
        </w:rPr>
        <w:t>For those not responding to the initial email (described in the bullet above), ERG will send follow-up emails and place follow-up telephone calls as needed to ensure that the appropriate person in the sponsor company receives the interview invitation; ERG will discuss logistical options as needed to optimize the convenience of the interview for interviewees.</w:t>
      </w:r>
    </w:p>
    <w:p w:rsidR="00212D25" w:rsidRPr="00C455AE" w:rsidRDefault="00212D25" w:rsidP="003315F3">
      <w:pPr>
        <w:numPr>
          <w:ilvl w:val="0"/>
          <w:numId w:val="2"/>
        </w:numPr>
        <w:autoSpaceDE w:val="0"/>
        <w:autoSpaceDN w:val="0"/>
        <w:adjustRightInd w:val="0"/>
        <w:spacing w:after="0" w:line="240" w:lineRule="auto"/>
        <w:ind w:left="900" w:hanging="180"/>
        <w:rPr>
          <w:rFonts w:eastAsia="Times New Roman"/>
        </w:rPr>
      </w:pPr>
      <w:r>
        <w:rPr>
          <w:rFonts w:eastAsia="Times New Roman"/>
        </w:rPr>
        <w:t>ERG will send an appointment invitation and reminders (with all contact and logistical information needed)</w:t>
      </w:r>
      <w:r w:rsidR="00494F75">
        <w:rPr>
          <w:rFonts w:eastAsia="Times New Roman"/>
        </w:rPr>
        <w:t xml:space="preserve"> to every interviewee.</w:t>
      </w:r>
    </w:p>
    <w:p w:rsidR="003315F3" w:rsidRDefault="003315F3" w:rsidP="003315F3">
      <w:pPr>
        <w:autoSpaceDE w:val="0"/>
        <w:autoSpaceDN w:val="0"/>
        <w:adjustRightInd w:val="0"/>
        <w:spacing w:after="0" w:line="240" w:lineRule="auto"/>
        <w:ind w:left="450"/>
        <w:rPr>
          <w:rFonts w:eastAsia="Times New Roman"/>
        </w:rPr>
      </w:pPr>
    </w:p>
    <w:p w:rsidR="003315F3" w:rsidRPr="00AF4C64" w:rsidRDefault="00494F75" w:rsidP="003315F3">
      <w:pPr>
        <w:autoSpaceDE w:val="0"/>
        <w:autoSpaceDN w:val="0"/>
        <w:adjustRightInd w:val="0"/>
        <w:spacing w:after="0" w:line="240" w:lineRule="auto"/>
        <w:ind w:left="450"/>
        <w:rPr>
          <w:rFonts w:eastAsia="Times New Roman"/>
        </w:rPr>
      </w:pPr>
      <w:r>
        <w:rPr>
          <w:rFonts w:eastAsia="Times New Roman"/>
        </w:rPr>
        <w:lastRenderedPageBreak/>
        <w:t>The independent contractor will track non-responses to gauge potential non-response bias. As explained above, however, response rates are expected to be high regardless of application action and characteristics</w:t>
      </w:r>
      <w:r w:rsidR="003315F3">
        <w:rPr>
          <w:rFonts w:eastAsia="Times New Roman"/>
        </w:rPr>
        <w:t>.</w:t>
      </w:r>
    </w:p>
    <w:p w:rsidR="003315F3" w:rsidRPr="00C455AE" w:rsidRDefault="003315F3" w:rsidP="003315F3">
      <w:pPr>
        <w:autoSpaceDE w:val="0"/>
        <w:autoSpaceDN w:val="0"/>
        <w:adjustRightInd w:val="0"/>
        <w:spacing w:after="0" w:line="240" w:lineRule="auto"/>
        <w:ind w:left="450"/>
        <w:rPr>
          <w:rFonts w:eastAsia="Times New Roman"/>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Describe any tests of procedures or methods to be undertaken. Tests are encouraged as effective means to refine collections, but if ten or more test respondents are involved OMB must give prior approval.</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494F75" w:rsidP="003315F3">
      <w:pPr>
        <w:autoSpaceDE w:val="0"/>
        <w:autoSpaceDN w:val="0"/>
        <w:adjustRightInd w:val="0"/>
        <w:spacing w:after="0" w:line="240" w:lineRule="auto"/>
        <w:ind w:left="450"/>
        <w:rPr>
          <w:rFonts w:eastAsia="Times New Roman"/>
          <w:bCs/>
        </w:rPr>
      </w:pPr>
      <w:r>
        <w:rPr>
          <w:rFonts w:eastAsia="Times New Roman"/>
        </w:rPr>
        <w:t>In developing the interview protocol and instrument, the independent contractor</w:t>
      </w:r>
      <w:r w:rsidR="00795C78">
        <w:rPr>
          <w:rFonts w:eastAsia="Times New Roman"/>
        </w:rPr>
        <w:t xml:space="preserve"> consulted experts to refine procedures and methods as much as possible. In addition, ERG will use the first five interviews as an opportunity to assess interview procedures and refine operational procedures if necessary.</w:t>
      </w:r>
    </w:p>
    <w:p w:rsidR="003315F3" w:rsidRPr="00C455AE" w:rsidRDefault="003315F3" w:rsidP="003315F3">
      <w:pPr>
        <w:autoSpaceDE w:val="0"/>
        <w:autoSpaceDN w:val="0"/>
        <w:adjustRightInd w:val="0"/>
        <w:spacing w:after="0" w:line="240" w:lineRule="auto"/>
        <w:ind w:left="450" w:hanging="360"/>
        <w:rPr>
          <w:rFonts w:eastAsia="Times New Roman"/>
          <w:bCs/>
        </w:rPr>
      </w:pP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3315F3" w:rsidP="003315F3">
      <w:pPr>
        <w:numPr>
          <w:ilvl w:val="0"/>
          <w:numId w:val="1"/>
        </w:numPr>
        <w:autoSpaceDE w:val="0"/>
        <w:autoSpaceDN w:val="0"/>
        <w:adjustRightInd w:val="0"/>
        <w:spacing w:after="0" w:line="240" w:lineRule="auto"/>
        <w:ind w:left="450"/>
        <w:rPr>
          <w:rFonts w:eastAsia="Times New Roman"/>
          <w:b/>
          <w:bCs/>
        </w:rPr>
      </w:pPr>
      <w:r w:rsidRPr="00C455AE">
        <w:rPr>
          <w:rFonts w:eastAsia="Times New Roman"/>
          <w:b/>
          <w:bCs/>
        </w:rPr>
        <w:t>Provide the name and telephone number of individuals consulted on the statistical aspects of the design, and the name of the agency unit, contractor(s), grantee(s), or other person(s) who will actually collect and/or analyze the information for the agency.</w:t>
      </w:r>
    </w:p>
    <w:p w:rsidR="003315F3" w:rsidRPr="00C455AE" w:rsidRDefault="003315F3" w:rsidP="003315F3">
      <w:pPr>
        <w:autoSpaceDE w:val="0"/>
        <w:autoSpaceDN w:val="0"/>
        <w:adjustRightInd w:val="0"/>
        <w:spacing w:after="0" w:line="240" w:lineRule="auto"/>
        <w:ind w:left="450" w:hanging="360"/>
        <w:rPr>
          <w:rFonts w:eastAsia="Times New Roman"/>
          <w:b/>
          <w:bCs/>
        </w:rPr>
      </w:pPr>
    </w:p>
    <w:p w:rsidR="003315F3" w:rsidRPr="00C455AE" w:rsidRDefault="00795C78" w:rsidP="003315F3">
      <w:pPr>
        <w:spacing w:after="0" w:line="240" w:lineRule="auto"/>
        <w:ind w:left="450"/>
        <w:rPr>
          <w:rFonts w:eastAsia="Times New Roman"/>
        </w:rPr>
      </w:pPr>
      <w:r>
        <w:rPr>
          <w:rFonts w:eastAsia="Times New Roman"/>
        </w:rPr>
        <w:t>FDA</w:t>
      </w:r>
      <w:r w:rsidR="003315F3" w:rsidRPr="00C455AE">
        <w:rPr>
          <w:rFonts w:eastAsia="Times New Roman"/>
        </w:rPr>
        <w:t xml:space="preserve"> contracted with Eastern Research Group, Inc. (ERG) of Lexington, MA to design the </w:t>
      </w:r>
      <w:r>
        <w:rPr>
          <w:rFonts w:eastAsia="Times New Roman"/>
        </w:rPr>
        <w:t>interview protocol and</w:t>
      </w:r>
      <w:r w:rsidR="003315F3" w:rsidRPr="00C455AE">
        <w:rPr>
          <w:rFonts w:eastAsia="Times New Roman"/>
        </w:rPr>
        <w:t xml:space="preserve"> instrument, implement the </w:t>
      </w:r>
      <w:r>
        <w:rPr>
          <w:rFonts w:eastAsia="Times New Roman"/>
        </w:rPr>
        <w:t>interviews</w:t>
      </w:r>
      <w:r w:rsidR="003315F3" w:rsidRPr="00C455AE">
        <w:rPr>
          <w:rFonts w:eastAsia="Times New Roman"/>
        </w:rPr>
        <w:t xml:space="preserve">, and analyze the resulting </w:t>
      </w:r>
      <w:r>
        <w:rPr>
          <w:rFonts w:eastAsia="Times New Roman"/>
        </w:rPr>
        <w:t>information</w:t>
      </w:r>
      <w:r w:rsidR="003315F3" w:rsidRPr="00C455AE">
        <w:rPr>
          <w:rFonts w:eastAsia="Times New Roman"/>
        </w:rPr>
        <w:t xml:space="preserve"> collected. The </w:t>
      </w:r>
      <w:r>
        <w:rPr>
          <w:rFonts w:eastAsia="Times New Roman"/>
        </w:rPr>
        <w:t>information collection</w:t>
      </w:r>
      <w:r w:rsidR="003315F3" w:rsidRPr="00C455AE">
        <w:rPr>
          <w:rFonts w:eastAsia="Times New Roman"/>
        </w:rPr>
        <w:t xml:space="preserve"> design team included the following individuals:</w:t>
      </w:r>
    </w:p>
    <w:p w:rsidR="003315F3" w:rsidRPr="00C455AE" w:rsidRDefault="003315F3" w:rsidP="003315F3">
      <w:pPr>
        <w:spacing w:after="0" w:line="240" w:lineRule="auto"/>
        <w:ind w:left="450"/>
        <w:rPr>
          <w:rFonts w:eastAsia="Times New Roman"/>
        </w:rPr>
      </w:pPr>
    </w:p>
    <w:p w:rsidR="00795C78" w:rsidRDefault="00795C78" w:rsidP="003315F3">
      <w:pPr>
        <w:numPr>
          <w:ilvl w:val="0"/>
          <w:numId w:val="3"/>
        </w:numPr>
        <w:spacing w:after="0" w:line="240" w:lineRule="auto"/>
        <w:contextualSpacing/>
        <w:rPr>
          <w:rFonts w:eastAsia="Times New Roman"/>
        </w:rPr>
      </w:pPr>
      <w:r>
        <w:rPr>
          <w:rFonts w:eastAsia="Times New Roman"/>
        </w:rPr>
        <w:t xml:space="preserve">Valerie Overton (781) 674-7398; </w:t>
      </w:r>
      <w:hyperlink r:id="rId10" w:history="1">
        <w:r w:rsidR="009D585E" w:rsidRPr="002725B1">
          <w:rPr>
            <w:rStyle w:val="Hyperlink"/>
            <w:rFonts w:eastAsia="Times New Roman"/>
          </w:rPr>
          <w:t>valerie.overton@erg.com</w:t>
        </w:r>
      </w:hyperlink>
    </w:p>
    <w:p w:rsidR="003315F3" w:rsidRDefault="00795C78" w:rsidP="003315F3">
      <w:pPr>
        <w:numPr>
          <w:ilvl w:val="0"/>
          <w:numId w:val="3"/>
        </w:numPr>
        <w:spacing w:after="0" w:line="240" w:lineRule="auto"/>
        <w:contextualSpacing/>
        <w:rPr>
          <w:rFonts w:eastAsia="Times New Roman"/>
        </w:rPr>
      </w:pPr>
      <w:r>
        <w:rPr>
          <w:rFonts w:eastAsia="Times New Roman"/>
        </w:rPr>
        <w:t>Dr. Lou Nadeau (781)</w:t>
      </w:r>
      <w:r w:rsidR="003315F3" w:rsidRPr="00C455AE">
        <w:rPr>
          <w:rFonts w:eastAsia="Times New Roman"/>
        </w:rPr>
        <w:t xml:space="preserve"> 674-7316; </w:t>
      </w:r>
      <w:hyperlink r:id="rId11" w:history="1">
        <w:r w:rsidR="003315F3" w:rsidRPr="00C455AE">
          <w:rPr>
            <w:rFonts w:eastAsia="Times New Roman"/>
            <w:color w:val="0000FF"/>
            <w:u w:val="single"/>
          </w:rPr>
          <w:t>lou.nadeau@erg.com</w:t>
        </w:r>
      </w:hyperlink>
    </w:p>
    <w:p w:rsidR="00E55AE4" w:rsidRDefault="00E55AE4" w:rsidP="003315F3">
      <w:pPr>
        <w:numPr>
          <w:ilvl w:val="0"/>
          <w:numId w:val="3"/>
        </w:numPr>
        <w:spacing w:after="0" w:line="240" w:lineRule="auto"/>
        <w:contextualSpacing/>
        <w:rPr>
          <w:rFonts w:eastAsia="Times New Roman"/>
        </w:rPr>
      </w:pPr>
      <w:r>
        <w:rPr>
          <w:rFonts w:eastAsia="Times New Roman"/>
        </w:rPr>
        <w:t xml:space="preserve">Patrick Zhou (301) 796-2107; </w:t>
      </w:r>
      <w:hyperlink r:id="rId12" w:history="1">
        <w:r w:rsidRPr="002725B1">
          <w:rPr>
            <w:rStyle w:val="Hyperlink"/>
            <w:rFonts w:eastAsia="Times New Roman"/>
          </w:rPr>
          <w:t>patrick.zhou@erg.com</w:t>
        </w:r>
      </w:hyperlink>
    </w:p>
    <w:p w:rsidR="00E55AE4" w:rsidRPr="00C455AE" w:rsidRDefault="00E55AE4" w:rsidP="00E55AE4">
      <w:pPr>
        <w:spacing w:after="0" w:line="240" w:lineRule="auto"/>
        <w:ind w:left="1170"/>
        <w:contextualSpacing/>
        <w:rPr>
          <w:rFonts w:eastAsia="Times New Roman"/>
        </w:rPr>
      </w:pPr>
    </w:p>
    <w:p w:rsidR="003315F3" w:rsidRPr="00C455AE" w:rsidRDefault="003315F3" w:rsidP="003315F3">
      <w:pPr>
        <w:spacing w:after="0" w:line="240" w:lineRule="auto"/>
        <w:rPr>
          <w:rFonts w:eastAsia="Times New Roman"/>
        </w:rPr>
      </w:pPr>
    </w:p>
    <w:p w:rsidR="003315F3" w:rsidRPr="00C455AE" w:rsidRDefault="003315F3" w:rsidP="003315F3">
      <w:pPr>
        <w:autoSpaceDE w:val="0"/>
        <w:autoSpaceDN w:val="0"/>
        <w:adjustRightInd w:val="0"/>
        <w:spacing w:after="0" w:line="240" w:lineRule="auto"/>
        <w:ind w:left="450" w:hanging="360"/>
        <w:rPr>
          <w:rFonts w:eastAsia="Times New Roman"/>
        </w:rPr>
      </w:pPr>
    </w:p>
    <w:p w:rsidR="003315F3" w:rsidRPr="00C455AE" w:rsidRDefault="003315F3" w:rsidP="003315F3">
      <w:pPr>
        <w:rPr>
          <w:rFonts w:asciiTheme="minorHAnsi" w:hAnsiTheme="minorHAnsi" w:cstheme="minorHAnsi"/>
          <w:b/>
        </w:rPr>
      </w:pPr>
    </w:p>
    <w:p w:rsidR="00EE0D55" w:rsidRDefault="00EE0D55"/>
    <w:sectPr w:rsidR="00EE0D55" w:rsidSect="00AC471D">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A4" w:rsidRDefault="00B242A4" w:rsidP="003315F3">
      <w:pPr>
        <w:spacing w:after="0" w:line="240" w:lineRule="auto"/>
      </w:pPr>
      <w:r>
        <w:separator/>
      </w:r>
    </w:p>
  </w:endnote>
  <w:endnote w:type="continuationSeparator" w:id="0">
    <w:p w:rsidR="00B242A4" w:rsidRDefault="00B242A4" w:rsidP="0033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77334"/>
      <w:docPartObj>
        <w:docPartGallery w:val="Page Numbers (Bottom of Page)"/>
        <w:docPartUnique/>
      </w:docPartObj>
    </w:sdtPr>
    <w:sdtEndPr>
      <w:rPr>
        <w:noProof/>
      </w:rPr>
    </w:sdtEndPr>
    <w:sdtContent>
      <w:p w:rsidR="00212D25" w:rsidRDefault="00212D25">
        <w:pPr>
          <w:pStyle w:val="Footer"/>
          <w:jc w:val="right"/>
        </w:pPr>
        <w:r>
          <w:fldChar w:fldCharType="begin"/>
        </w:r>
        <w:r>
          <w:instrText xml:space="preserve"> PAGE   \* MERGEFORMAT </w:instrText>
        </w:r>
        <w:r>
          <w:fldChar w:fldCharType="separate"/>
        </w:r>
        <w:r w:rsidR="00EB2A54">
          <w:rPr>
            <w:noProof/>
          </w:rPr>
          <w:t>1</w:t>
        </w:r>
        <w:r>
          <w:rPr>
            <w:noProof/>
          </w:rPr>
          <w:fldChar w:fldCharType="end"/>
        </w:r>
      </w:p>
    </w:sdtContent>
  </w:sdt>
  <w:p w:rsidR="00212D25" w:rsidRDefault="00212D25" w:rsidP="00AC4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A4" w:rsidRDefault="00B242A4" w:rsidP="003315F3">
      <w:pPr>
        <w:spacing w:after="0" w:line="240" w:lineRule="auto"/>
      </w:pPr>
      <w:r>
        <w:separator/>
      </w:r>
    </w:p>
  </w:footnote>
  <w:footnote w:type="continuationSeparator" w:id="0">
    <w:p w:rsidR="00B242A4" w:rsidRDefault="00B242A4" w:rsidP="00331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5" w:rsidRDefault="00212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5" w:rsidRDefault="00212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5" w:rsidRDefault="00212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53FA9"/>
    <w:multiLevelType w:val="hybridMultilevel"/>
    <w:tmpl w:val="EF308F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F3"/>
    <w:rsid w:val="000E1338"/>
    <w:rsid w:val="001B1B99"/>
    <w:rsid w:val="00212D25"/>
    <w:rsid w:val="002861A4"/>
    <w:rsid w:val="00312C81"/>
    <w:rsid w:val="003315F3"/>
    <w:rsid w:val="003D2664"/>
    <w:rsid w:val="00494F75"/>
    <w:rsid w:val="004D283C"/>
    <w:rsid w:val="00563976"/>
    <w:rsid w:val="006571A7"/>
    <w:rsid w:val="006A05F7"/>
    <w:rsid w:val="007743E4"/>
    <w:rsid w:val="00795C78"/>
    <w:rsid w:val="007C6EBA"/>
    <w:rsid w:val="00824003"/>
    <w:rsid w:val="00852907"/>
    <w:rsid w:val="00865C38"/>
    <w:rsid w:val="00942428"/>
    <w:rsid w:val="00951A43"/>
    <w:rsid w:val="009D585E"/>
    <w:rsid w:val="00A23B27"/>
    <w:rsid w:val="00A348B5"/>
    <w:rsid w:val="00AC471D"/>
    <w:rsid w:val="00AF557D"/>
    <w:rsid w:val="00B242A4"/>
    <w:rsid w:val="00BF1F6D"/>
    <w:rsid w:val="00C02FA8"/>
    <w:rsid w:val="00C6407B"/>
    <w:rsid w:val="00D562F2"/>
    <w:rsid w:val="00D87883"/>
    <w:rsid w:val="00E55588"/>
    <w:rsid w:val="00E55AE4"/>
    <w:rsid w:val="00E701C7"/>
    <w:rsid w:val="00EB2A54"/>
    <w:rsid w:val="00EE02FB"/>
    <w:rsid w:val="00EE0D55"/>
    <w:rsid w:val="00F70BAB"/>
    <w:rsid w:val="00F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F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315F3"/>
    <w:pPr>
      <w:spacing w:after="0" w:line="240" w:lineRule="auto"/>
    </w:pPr>
    <w:rPr>
      <w:sz w:val="20"/>
      <w:szCs w:val="20"/>
    </w:rPr>
  </w:style>
  <w:style w:type="character" w:customStyle="1" w:styleId="FootnoteTextChar">
    <w:name w:val="Footnote Text Char"/>
    <w:basedOn w:val="DefaultParagraphFont"/>
    <w:link w:val="FootnoteText"/>
    <w:rsid w:val="003315F3"/>
    <w:rPr>
      <w:rFonts w:eastAsiaTheme="minorEastAsia"/>
      <w:sz w:val="20"/>
      <w:szCs w:val="20"/>
    </w:rPr>
  </w:style>
  <w:style w:type="character" w:styleId="FootnoteReference">
    <w:name w:val="footnote reference"/>
    <w:basedOn w:val="DefaultParagraphFont"/>
    <w:unhideWhenUsed/>
    <w:rsid w:val="003315F3"/>
    <w:rPr>
      <w:vertAlign w:val="superscript"/>
    </w:rPr>
  </w:style>
  <w:style w:type="character" w:styleId="Hyperlink">
    <w:name w:val="Hyperlink"/>
    <w:basedOn w:val="DefaultParagraphFont"/>
    <w:unhideWhenUsed/>
    <w:rsid w:val="003315F3"/>
    <w:rPr>
      <w:color w:val="0000FF" w:themeColor="hyperlink"/>
      <w:u w:val="single"/>
    </w:rPr>
  </w:style>
  <w:style w:type="paragraph" w:styleId="Footer">
    <w:name w:val="footer"/>
    <w:basedOn w:val="Normal"/>
    <w:link w:val="FooterChar"/>
    <w:uiPriority w:val="99"/>
    <w:unhideWhenUsed/>
    <w:rsid w:val="0033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F3"/>
    <w:rPr>
      <w:rFonts w:eastAsiaTheme="minorEastAsia"/>
    </w:rPr>
  </w:style>
  <w:style w:type="table" w:customStyle="1" w:styleId="TableGrid1">
    <w:name w:val="Table Grid1"/>
    <w:basedOn w:val="TableNormal"/>
    <w:rsid w:val="003315F3"/>
    <w:pPr>
      <w:spacing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15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F3"/>
    <w:rPr>
      <w:rFonts w:ascii="Tahoma" w:eastAsiaTheme="minorEastAsia" w:hAnsi="Tahoma" w:cs="Tahoma"/>
      <w:sz w:val="16"/>
      <w:szCs w:val="16"/>
    </w:rPr>
  </w:style>
  <w:style w:type="table" w:styleId="LightGrid-Accent1">
    <w:name w:val="Light Grid Accent 1"/>
    <w:basedOn w:val="TableNormal"/>
    <w:uiPriority w:val="62"/>
    <w:rsid w:val="00865C38"/>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4D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83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F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315F3"/>
    <w:pPr>
      <w:spacing w:after="0" w:line="240" w:lineRule="auto"/>
    </w:pPr>
    <w:rPr>
      <w:sz w:val="20"/>
      <w:szCs w:val="20"/>
    </w:rPr>
  </w:style>
  <w:style w:type="character" w:customStyle="1" w:styleId="FootnoteTextChar">
    <w:name w:val="Footnote Text Char"/>
    <w:basedOn w:val="DefaultParagraphFont"/>
    <w:link w:val="FootnoteText"/>
    <w:rsid w:val="003315F3"/>
    <w:rPr>
      <w:rFonts w:eastAsiaTheme="minorEastAsia"/>
      <w:sz w:val="20"/>
      <w:szCs w:val="20"/>
    </w:rPr>
  </w:style>
  <w:style w:type="character" w:styleId="FootnoteReference">
    <w:name w:val="footnote reference"/>
    <w:basedOn w:val="DefaultParagraphFont"/>
    <w:unhideWhenUsed/>
    <w:rsid w:val="003315F3"/>
    <w:rPr>
      <w:vertAlign w:val="superscript"/>
    </w:rPr>
  </w:style>
  <w:style w:type="character" w:styleId="Hyperlink">
    <w:name w:val="Hyperlink"/>
    <w:basedOn w:val="DefaultParagraphFont"/>
    <w:unhideWhenUsed/>
    <w:rsid w:val="003315F3"/>
    <w:rPr>
      <w:color w:val="0000FF" w:themeColor="hyperlink"/>
      <w:u w:val="single"/>
    </w:rPr>
  </w:style>
  <w:style w:type="paragraph" w:styleId="Footer">
    <w:name w:val="footer"/>
    <w:basedOn w:val="Normal"/>
    <w:link w:val="FooterChar"/>
    <w:uiPriority w:val="99"/>
    <w:unhideWhenUsed/>
    <w:rsid w:val="0033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F3"/>
    <w:rPr>
      <w:rFonts w:eastAsiaTheme="minorEastAsia"/>
    </w:rPr>
  </w:style>
  <w:style w:type="table" w:customStyle="1" w:styleId="TableGrid1">
    <w:name w:val="Table Grid1"/>
    <w:basedOn w:val="TableNormal"/>
    <w:rsid w:val="003315F3"/>
    <w:pPr>
      <w:spacing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15F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F3"/>
    <w:rPr>
      <w:rFonts w:ascii="Tahoma" w:eastAsiaTheme="minorEastAsia" w:hAnsi="Tahoma" w:cs="Tahoma"/>
      <w:sz w:val="16"/>
      <w:szCs w:val="16"/>
    </w:rPr>
  </w:style>
  <w:style w:type="table" w:styleId="LightGrid-Accent1">
    <w:name w:val="Light Grid Accent 1"/>
    <w:basedOn w:val="TableNormal"/>
    <w:uiPriority w:val="62"/>
    <w:rsid w:val="00865C38"/>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4D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83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rick.zhou@er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lerie.overton@erg.com" TargetMode="External"/><Relationship Id="rId4" Type="http://schemas.microsoft.com/office/2007/relationships/stylesWithEffects" Target="stylesWithEffects.xml"/><Relationship Id="rId9" Type="http://schemas.openxmlformats.org/officeDocument/2006/relationships/hyperlink" Target="http://www.fda.gov/downloads/ForIndustry/UserFees/PrescriptionDrugUserFee/UCM270412.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3586A-387E-477C-8E54-86157B2D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Nadeau</dc:creator>
  <cp:lastModifiedBy>Mizrachi, Ila</cp:lastModifiedBy>
  <cp:revision>2</cp:revision>
  <dcterms:created xsi:type="dcterms:W3CDTF">2013-08-13T20:13:00Z</dcterms:created>
  <dcterms:modified xsi:type="dcterms:W3CDTF">2013-08-13T20:13:00Z</dcterms:modified>
</cp:coreProperties>
</file>