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844" w:rsidRPr="003530A9" w:rsidRDefault="00D83844" w:rsidP="00D83844">
      <w:pPr>
        <w:jc w:val="center"/>
        <w:rPr>
          <w:b/>
          <w:bCs/>
          <w:sz w:val="24"/>
          <w:szCs w:val="24"/>
        </w:rPr>
      </w:pPr>
      <w:bookmarkStart w:id="0" w:name="_GoBack"/>
      <w:bookmarkEnd w:id="0"/>
      <w:r w:rsidRPr="003530A9">
        <w:rPr>
          <w:b/>
          <w:bCs/>
          <w:sz w:val="24"/>
          <w:szCs w:val="24"/>
        </w:rPr>
        <w:t>SUPPORTING STATEMENT</w:t>
      </w:r>
    </w:p>
    <w:p w:rsidR="00D83844" w:rsidRPr="003530A9" w:rsidRDefault="00D83844" w:rsidP="00D83844">
      <w:pPr>
        <w:jc w:val="center"/>
        <w:rPr>
          <w:b/>
          <w:color w:val="222222"/>
          <w:sz w:val="24"/>
          <w:szCs w:val="24"/>
          <w:shd w:val="clear" w:color="auto" w:fill="FFFFFF"/>
        </w:rPr>
      </w:pPr>
      <w:r w:rsidRPr="003530A9">
        <w:rPr>
          <w:b/>
          <w:bCs/>
          <w:sz w:val="24"/>
          <w:szCs w:val="24"/>
        </w:rPr>
        <w:t xml:space="preserve">MARINE RECREATIONAL INFORMATION PROGRAM </w:t>
      </w:r>
      <w:r w:rsidRPr="003530A9">
        <w:rPr>
          <w:b/>
          <w:color w:val="222222"/>
          <w:sz w:val="24"/>
          <w:szCs w:val="24"/>
          <w:shd w:val="clear" w:color="auto" w:fill="FFFFFF"/>
        </w:rPr>
        <w:t>LONGITUDINAL SURVEY OF RECREATIONAL FISHING PARTICIPATION</w:t>
      </w:r>
    </w:p>
    <w:p w:rsidR="00D83844" w:rsidRPr="003530A9" w:rsidRDefault="00D83844" w:rsidP="00D83844">
      <w:pPr>
        <w:jc w:val="center"/>
        <w:rPr>
          <w:sz w:val="24"/>
          <w:szCs w:val="24"/>
        </w:rPr>
      </w:pPr>
      <w:r w:rsidRPr="003530A9">
        <w:rPr>
          <w:b/>
          <w:bCs/>
          <w:sz w:val="24"/>
          <w:szCs w:val="24"/>
        </w:rPr>
        <w:t>OMB CONTROL NO. 0648-XXXX</w:t>
      </w:r>
    </w:p>
    <w:p w:rsidR="00D83844" w:rsidRDefault="00D83844" w:rsidP="00D83844">
      <w:pPr>
        <w:rPr>
          <w:b/>
          <w:bCs/>
          <w:sz w:val="24"/>
          <w:szCs w:val="24"/>
        </w:rPr>
      </w:pPr>
    </w:p>
    <w:p w:rsidR="00D83844" w:rsidRDefault="00D83844" w:rsidP="00D83844">
      <w:pPr>
        <w:rPr>
          <w:b/>
          <w:bCs/>
          <w:sz w:val="24"/>
          <w:szCs w:val="24"/>
        </w:rPr>
      </w:pPr>
    </w:p>
    <w:p w:rsidR="00D83844" w:rsidRPr="003530A9" w:rsidRDefault="00D83844" w:rsidP="00D83844">
      <w:pPr>
        <w:rPr>
          <w:sz w:val="24"/>
          <w:szCs w:val="24"/>
        </w:rPr>
      </w:pPr>
      <w:r w:rsidRPr="003530A9">
        <w:rPr>
          <w:b/>
          <w:bCs/>
          <w:sz w:val="24"/>
          <w:szCs w:val="24"/>
        </w:rPr>
        <w:t>B.  COLLECTIONS OF INFORMATION EMPLOYING STATISTICAL METHODS</w:t>
      </w:r>
    </w:p>
    <w:p w:rsidR="00D83844" w:rsidRPr="003530A9" w:rsidRDefault="00D83844" w:rsidP="00D83844">
      <w:pPr>
        <w:rPr>
          <w:sz w:val="24"/>
          <w:szCs w:val="24"/>
        </w:rPr>
      </w:pPr>
    </w:p>
    <w:p w:rsidR="00D83844" w:rsidRPr="003530A9" w:rsidRDefault="00D83844" w:rsidP="00D83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530A9">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83844" w:rsidRPr="003530A9" w:rsidRDefault="00D83844" w:rsidP="00D83844">
      <w:pPr>
        <w:tabs>
          <w:tab w:val="left" w:pos="0"/>
        </w:tabs>
        <w:rPr>
          <w:sz w:val="24"/>
          <w:szCs w:val="24"/>
        </w:rPr>
      </w:pPr>
    </w:p>
    <w:p w:rsidR="00D83844" w:rsidRPr="003530A9" w:rsidRDefault="00D83844" w:rsidP="00D83844">
      <w:pPr>
        <w:pStyle w:val="Default"/>
      </w:pPr>
      <w:r w:rsidRPr="003530A9">
        <w:t>1.1. MRIP Longitudinal Survey of Recreational Fishing Participation</w:t>
      </w:r>
    </w:p>
    <w:p w:rsidR="00D83844" w:rsidRPr="003530A9" w:rsidRDefault="00D83844" w:rsidP="00D83844">
      <w:pPr>
        <w:pStyle w:val="Default"/>
      </w:pPr>
    </w:p>
    <w:p w:rsidR="00ED09AA" w:rsidRPr="00FC3E5D" w:rsidRDefault="00D83844" w:rsidP="00FC3E5D">
      <w:pPr>
        <w:shd w:val="clear" w:color="auto" w:fill="FFFFFF"/>
        <w:rPr>
          <w:color w:val="222222"/>
          <w:sz w:val="24"/>
          <w:szCs w:val="24"/>
        </w:rPr>
      </w:pPr>
      <w:r w:rsidRPr="00FC3E5D">
        <w:rPr>
          <w:sz w:val="24"/>
          <w:szCs w:val="24"/>
        </w:rPr>
        <w:t>The MRIP Longitudinal Survey of Recreational Fishing Participation (MLSR) is a fixed panel mail survey designed to produce a reliable estimate of the number of adults who participated in marine recreational fishing during the last year in the study state (</w:t>
      </w:r>
      <w:r w:rsidR="00ED09AA" w:rsidRPr="00FC3E5D">
        <w:rPr>
          <w:sz w:val="24"/>
          <w:szCs w:val="24"/>
        </w:rPr>
        <w:t xml:space="preserve">annual </w:t>
      </w:r>
      <w:r w:rsidRPr="00FC3E5D">
        <w:rPr>
          <w:sz w:val="24"/>
          <w:szCs w:val="24"/>
        </w:rPr>
        <w:t>participation).  The sampling design is very similar to the MRIP Fishing Effort Survey (MFES, OMB Control #0648-0652)</w:t>
      </w:r>
      <w:r w:rsidR="00ED09AA" w:rsidRPr="00FC3E5D">
        <w:rPr>
          <w:sz w:val="24"/>
          <w:szCs w:val="24"/>
        </w:rPr>
        <w:t xml:space="preserve"> and the results will be used to assess recall error in annual participatio</w:t>
      </w:r>
      <w:r w:rsidR="00EB2FD7">
        <w:rPr>
          <w:sz w:val="24"/>
          <w:szCs w:val="24"/>
        </w:rPr>
        <w:t>n estimates derived</w:t>
      </w:r>
      <w:r w:rsidR="00ED09AA" w:rsidRPr="00FC3E5D">
        <w:rPr>
          <w:sz w:val="24"/>
          <w:szCs w:val="24"/>
        </w:rPr>
        <w:t xml:space="preserve"> from MFES data</w:t>
      </w:r>
      <w:r w:rsidRPr="00FC3E5D">
        <w:rPr>
          <w:sz w:val="24"/>
          <w:szCs w:val="24"/>
        </w:rPr>
        <w:t xml:space="preserve">.  </w:t>
      </w:r>
      <w:r w:rsidR="00FC3E5D" w:rsidRPr="00FC3E5D">
        <w:rPr>
          <w:bCs/>
          <w:color w:val="222222"/>
          <w:sz w:val="24"/>
          <w:szCs w:val="24"/>
        </w:rPr>
        <w:t>The comp</w:t>
      </w:r>
      <w:r w:rsidR="00FC3E5D" w:rsidRPr="00ED09AA">
        <w:rPr>
          <w:bCs/>
          <w:color w:val="222222"/>
          <w:sz w:val="24"/>
          <w:szCs w:val="24"/>
        </w:rPr>
        <w:t xml:space="preserve">arison </w:t>
      </w:r>
      <w:r w:rsidR="00FC3E5D">
        <w:rPr>
          <w:bCs/>
          <w:color w:val="222222"/>
          <w:sz w:val="24"/>
          <w:szCs w:val="24"/>
        </w:rPr>
        <w:t xml:space="preserve">of the annual participation estimates from MLSR and MFES </w:t>
      </w:r>
      <w:r w:rsidR="00FC3E5D" w:rsidRPr="00ED09AA">
        <w:rPr>
          <w:bCs/>
          <w:color w:val="222222"/>
          <w:sz w:val="24"/>
          <w:szCs w:val="24"/>
        </w:rPr>
        <w:t xml:space="preserve">is just being done in North Carolina which is the only state where both surveys are being conducted. </w:t>
      </w:r>
      <w:r w:rsidR="00FC3E5D">
        <w:rPr>
          <w:bCs/>
          <w:color w:val="222222"/>
          <w:sz w:val="24"/>
          <w:szCs w:val="24"/>
        </w:rPr>
        <w:t xml:space="preserve"> </w:t>
      </w:r>
      <w:r w:rsidR="00FC3E5D" w:rsidRPr="00ED09AA">
        <w:rPr>
          <w:bCs/>
          <w:color w:val="222222"/>
          <w:sz w:val="24"/>
          <w:szCs w:val="24"/>
        </w:rPr>
        <w:t xml:space="preserve">The sample selection methodology is identical in the two surveys and the mode of contact is the same; the difference between the </w:t>
      </w:r>
      <w:r w:rsidR="002776B6">
        <w:rPr>
          <w:bCs/>
          <w:color w:val="222222"/>
          <w:sz w:val="24"/>
          <w:szCs w:val="24"/>
        </w:rPr>
        <w:t>MLSR</w:t>
      </w:r>
      <w:r w:rsidR="00FC3E5D">
        <w:rPr>
          <w:bCs/>
          <w:color w:val="222222"/>
          <w:sz w:val="24"/>
          <w:szCs w:val="24"/>
        </w:rPr>
        <w:t xml:space="preserve"> and </w:t>
      </w:r>
      <w:r w:rsidR="002776B6">
        <w:rPr>
          <w:bCs/>
          <w:color w:val="222222"/>
          <w:sz w:val="24"/>
          <w:szCs w:val="24"/>
        </w:rPr>
        <w:t>MFES</w:t>
      </w:r>
      <w:r w:rsidR="00FC3E5D">
        <w:rPr>
          <w:bCs/>
          <w:color w:val="222222"/>
          <w:sz w:val="24"/>
          <w:szCs w:val="24"/>
        </w:rPr>
        <w:t xml:space="preserve"> is</w:t>
      </w:r>
      <w:r w:rsidR="00FC3E5D" w:rsidRPr="00ED09AA">
        <w:rPr>
          <w:bCs/>
          <w:color w:val="222222"/>
          <w:sz w:val="24"/>
          <w:szCs w:val="24"/>
        </w:rPr>
        <w:t xml:space="preserve"> due to the differences between questions in the surveys (and the recall associated with them). </w:t>
      </w:r>
      <w:r w:rsidR="00FC3E5D">
        <w:rPr>
          <w:bCs/>
          <w:color w:val="222222"/>
          <w:sz w:val="24"/>
          <w:szCs w:val="24"/>
        </w:rPr>
        <w:t xml:space="preserve"> </w:t>
      </w:r>
      <w:r w:rsidR="00FC3E5D" w:rsidRPr="00ED09AA">
        <w:rPr>
          <w:bCs/>
          <w:color w:val="222222"/>
          <w:sz w:val="24"/>
          <w:szCs w:val="24"/>
        </w:rPr>
        <w:t xml:space="preserve">The questionnaires are not identical (for example, the </w:t>
      </w:r>
      <w:r w:rsidR="002776B6">
        <w:rPr>
          <w:bCs/>
          <w:color w:val="222222"/>
          <w:sz w:val="24"/>
          <w:szCs w:val="24"/>
        </w:rPr>
        <w:t>MLSR</w:t>
      </w:r>
      <w:r w:rsidR="00FC3E5D" w:rsidRPr="00ED09AA">
        <w:rPr>
          <w:bCs/>
          <w:color w:val="222222"/>
          <w:sz w:val="24"/>
          <w:szCs w:val="24"/>
        </w:rPr>
        <w:t xml:space="preserve"> asks for the first name of the adults and the </w:t>
      </w:r>
      <w:r w:rsidR="002776B6">
        <w:rPr>
          <w:bCs/>
          <w:color w:val="222222"/>
          <w:sz w:val="24"/>
          <w:szCs w:val="24"/>
        </w:rPr>
        <w:t>MFES</w:t>
      </w:r>
      <w:r w:rsidR="00FC3E5D" w:rsidRPr="00ED09AA">
        <w:rPr>
          <w:bCs/>
          <w:color w:val="222222"/>
          <w:sz w:val="24"/>
          <w:szCs w:val="24"/>
        </w:rPr>
        <w:t xml:space="preserve"> does not). </w:t>
      </w:r>
      <w:r w:rsidR="00FC3E5D">
        <w:rPr>
          <w:bCs/>
          <w:color w:val="222222"/>
          <w:sz w:val="24"/>
          <w:szCs w:val="24"/>
        </w:rPr>
        <w:t xml:space="preserve"> </w:t>
      </w:r>
      <w:r w:rsidR="00FC3E5D" w:rsidRPr="00ED09AA">
        <w:rPr>
          <w:bCs/>
          <w:color w:val="222222"/>
          <w:sz w:val="24"/>
          <w:szCs w:val="24"/>
        </w:rPr>
        <w:t xml:space="preserve">These differences are a potential source of error that is not recall error. </w:t>
      </w:r>
      <w:r w:rsidR="00FC3E5D">
        <w:rPr>
          <w:bCs/>
          <w:color w:val="222222"/>
          <w:sz w:val="24"/>
          <w:szCs w:val="24"/>
        </w:rPr>
        <w:t xml:space="preserve"> </w:t>
      </w:r>
      <w:r w:rsidR="00FC3E5D" w:rsidRPr="00ED09AA">
        <w:rPr>
          <w:bCs/>
          <w:color w:val="222222"/>
          <w:sz w:val="24"/>
          <w:szCs w:val="24"/>
        </w:rPr>
        <w:t xml:space="preserve">While it is not recall error, it is part of the measurement error. </w:t>
      </w:r>
      <w:r w:rsidR="00FC3E5D">
        <w:rPr>
          <w:bCs/>
          <w:color w:val="222222"/>
          <w:sz w:val="24"/>
          <w:szCs w:val="24"/>
        </w:rPr>
        <w:t xml:space="preserve"> </w:t>
      </w:r>
      <w:r w:rsidR="00EB2FD7">
        <w:rPr>
          <w:bCs/>
          <w:color w:val="222222"/>
          <w:sz w:val="24"/>
          <w:szCs w:val="24"/>
        </w:rPr>
        <w:t>The MLSR estimates an annual participation for May</w:t>
      </w:r>
      <w:r w:rsidR="00114726">
        <w:rPr>
          <w:bCs/>
          <w:color w:val="222222"/>
          <w:sz w:val="24"/>
          <w:szCs w:val="24"/>
        </w:rPr>
        <w:t>,</w:t>
      </w:r>
      <w:r w:rsidR="00EB2FD7">
        <w:rPr>
          <w:bCs/>
          <w:color w:val="222222"/>
          <w:sz w:val="24"/>
          <w:szCs w:val="24"/>
        </w:rPr>
        <w:t xml:space="preserve"> 2013 to April</w:t>
      </w:r>
      <w:r w:rsidR="00114726">
        <w:rPr>
          <w:bCs/>
          <w:color w:val="222222"/>
          <w:sz w:val="24"/>
          <w:szCs w:val="24"/>
        </w:rPr>
        <w:t>,</w:t>
      </w:r>
      <w:r w:rsidR="00EB2FD7">
        <w:rPr>
          <w:bCs/>
          <w:color w:val="222222"/>
          <w:sz w:val="24"/>
          <w:szCs w:val="24"/>
        </w:rPr>
        <w:t xml:space="preserve"> 2014</w:t>
      </w:r>
      <w:r w:rsidR="00114726">
        <w:rPr>
          <w:bCs/>
          <w:color w:val="222222"/>
          <w:sz w:val="24"/>
          <w:szCs w:val="24"/>
        </w:rPr>
        <w:t>.</w:t>
      </w:r>
      <w:r w:rsidR="00EB2FD7">
        <w:rPr>
          <w:bCs/>
          <w:color w:val="222222"/>
          <w:sz w:val="24"/>
          <w:szCs w:val="24"/>
        </w:rPr>
        <w:t xml:space="preserve"> </w:t>
      </w:r>
      <w:r w:rsidR="00114726">
        <w:rPr>
          <w:bCs/>
          <w:color w:val="222222"/>
          <w:sz w:val="24"/>
          <w:szCs w:val="24"/>
        </w:rPr>
        <w:t xml:space="preserve"> </w:t>
      </w:r>
      <w:r w:rsidR="00FC3E5D" w:rsidRPr="00ED09AA">
        <w:rPr>
          <w:bCs/>
          <w:color w:val="222222"/>
          <w:sz w:val="24"/>
          <w:szCs w:val="24"/>
        </w:rPr>
        <w:t xml:space="preserve">The MFES is conducted every two months so the 2013 Wave 4, which is scheduled to be mailed at the same time as the </w:t>
      </w:r>
      <w:r w:rsidR="002776B6">
        <w:rPr>
          <w:bCs/>
          <w:color w:val="222222"/>
          <w:sz w:val="24"/>
          <w:szCs w:val="24"/>
        </w:rPr>
        <w:t>MLSR</w:t>
      </w:r>
      <w:r w:rsidR="00FC3E5D" w:rsidRPr="00ED09AA">
        <w:rPr>
          <w:bCs/>
          <w:color w:val="222222"/>
          <w:sz w:val="24"/>
          <w:szCs w:val="24"/>
        </w:rPr>
        <w:t>, and subsequent waves all can be used for comparison. We expect there will be some differences depending on the wave, with one hypothesis being that waves closer to the peak fishing season will have less measurement error since less recall is required for most participants.  We plan to examine estimates for all the waves for the same year</w:t>
      </w:r>
      <w:r w:rsidR="00EB2FD7">
        <w:rPr>
          <w:bCs/>
          <w:color w:val="222222"/>
          <w:sz w:val="24"/>
          <w:szCs w:val="24"/>
        </w:rPr>
        <w:t xml:space="preserve"> as the</w:t>
      </w:r>
      <w:r w:rsidR="00FC3E5D" w:rsidRPr="00ED09AA">
        <w:rPr>
          <w:bCs/>
          <w:color w:val="222222"/>
          <w:sz w:val="24"/>
          <w:szCs w:val="24"/>
        </w:rPr>
        <w:t xml:space="preserve"> </w:t>
      </w:r>
      <w:r w:rsidR="002776B6">
        <w:rPr>
          <w:bCs/>
          <w:color w:val="222222"/>
          <w:sz w:val="24"/>
          <w:szCs w:val="24"/>
        </w:rPr>
        <w:t>MLSR</w:t>
      </w:r>
      <w:r w:rsidR="00FC3E5D" w:rsidRPr="00ED09AA">
        <w:rPr>
          <w:bCs/>
          <w:color w:val="222222"/>
          <w:sz w:val="24"/>
          <w:szCs w:val="24"/>
        </w:rPr>
        <w:t xml:space="preserve">. </w:t>
      </w:r>
      <w:r w:rsidR="00FC3E5D">
        <w:rPr>
          <w:bCs/>
          <w:color w:val="222222"/>
          <w:sz w:val="24"/>
          <w:szCs w:val="24"/>
        </w:rPr>
        <w:t xml:space="preserve"> </w:t>
      </w:r>
      <w:r w:rsidR="00FC3E5D" w:rsidRPr="00ED09AA">
        <w:rPr>
          <w:bCs/>
          <w:color w:val="222222"/>
          <w:sz w:val="24"/>
          <w:szCs w:val="24"/>
        </w:rPr>
        <w:t xml:space="preserve">Combining of </w:t>
      </w:r>
      <w:r w:rsidR="002776B6">
        <w:rPr>
          <w:bCs/>
          <w:color w:val="222222"/>
          <w:sz w:val="24"/>
          <w:szCs w:val="24"/>
        </w:rPr>
        <w:t>MFES</w:t>
      </w:r>
      <w:r w:rsidR="00FC3E5D" w:rsidRPr="00ED09AA">
        <w:rPr>
          <w:bCs/>
          <w:color w:val="222222"/>
          <w:sz w:val="24"/>
          <w:szCs w:val="24"/>
        </w:rPr>
        <w:t xml:space="preserve"> data from multiple months is possible, but not currently anticipated. </w:t>
      </w:r>
    </w:p>
    <w:p w:rsidR="00ED09AA" w:rsidRDefault="00ED09AA" w:rsidP="00D83844">
      <w:pPr>
        <w:pStyle w:val="Default"/>
      </w:pPr>
    </w:p>
    <w:p w:rsidR="00D83844" w:rsidRPr="003530A9" w:rsidRDefault="00D83844" w:rsidP="00D83844">
      <w:pPr>
        <w:pStyle w:val="Default"/>
      </w:pPr>
      <w:r w:rsidRPr="003530A9">
        <w:t xml:space="preserve">The </w:t>
      </w:r>
      <w:r w:rsidR="002776B6">
        <w:t xml:space="preserve">MLSR </w:t>
      </w:r>
      <w:r w:rsidRPr="003530A9">
        <w:t xml:space="preserve">consists of two independent components, resident angler sampling and non-resident angler sampling. Resident anglers are sampled from the CDS and non-resident anglers are sampled from a database licensed saltwater anglers maintained by the North Carolina Division of Marine Fisheries.  </w:t>
      </w:r>
    </w:p>
    <w:p w:rsidR="00ED09AA" w:rsidRPr="003530A9" w:rsidRDefault="00ED09AA" w:rsidP="00D83844">
      <w:pPr>
        <w:pStyle w:val="Default"/>
      </w:pPr>
    </w:p>
    <w:p w:rsidR="00D83844" w:rsidRPr="003530A9" w:rsidRDefault="00D83844" w:rsidP="00D83844">
      <w:pPr>
        <w:pStyle w:val="Default"/>
      </w:pPr>
      <w:r w:rsidRPr="003530A9">
        <w:t>1.2. Resident Angler Sampling</w:t>
      </w:r>
    </w:p>
    <w:p w:rsidR="00D83844" w:rsidRPr="003530A9" w:rsidRDefault="00D83844" w:rsidP="00D83844">
      <w:pPr>
        <w:pStyle w:val="Default"/>
      </w:pPr>
    </w:p>
    <w:p w:rsidR="00D83844" w:rsidRPr="003530A9" w:rsidRDefault="00D83844" w:rsidP="00D83844">
      <w:pPr>
        <w:pStyle w:val="Default"/>
      </w:pPr>
      <w:r w:rsidRPr="003530A9">
        <w:t xml:space="preserve">Addresses within North Carolina are sampled form the CDS.  Sampling is stratified by geographic proximity to the coast.  Specifically, counties with any border that is within 25 miles of the coast are in the coastal stratum, and all other counties are in the non-coastal stratum.  This </w:t>
      </w:r>
      <w:r w:rsidRPr="003530A9">
        <w:lastRenderedPageBreak/>
        <w:t xml:space="preserve">stratification serves two purposes.  First, residents of coastal counties are more likely to participate in recreational saltwater fishing than residents of non-coastal counties – historical estimates from the Marine Recreational Fisheries Statistics Survey (MRFSS) demonstrate that 65-90% of recreational saltwater fishing trips in the study state are taken by residents of coastal counties within those state.  Stratification also provides an opportunity to sample at different rates among strata and subsequently increase the efficiency of data collection.  </w:t>
      </w:r>
    </w:p>
    <w:p w:rsidR="00D83844" w:rsidRPr="003530A9" w:rsidRDefault="00D83844" w:rsidP="00D83844">
      <w:pPr>
        <w:pStyle w:val="Default"/>
      </w:pPr>
    </w:p>
    <w:p w:rsidR="00D83844" w:rsidRPr="003530A9" w:rsidRDefault="00D83844" w:rsidP="00D83844">
      <w:pPr>
        <w:pStyle w:val="Default"/>
      </w:pPr>
      <w:r w:rsidRPr="003530A9">
        <w:t>A simple random sample of addresses is selected within each stratum in a single stage.  The sample size is sufficient to permit sub-sampling, as described below.  Addresses are selected from a comprehensive list of residential addresses maintained by a vendor licensed to distribute the CDS.  Following selection, sampled addresses in each stratum are matched, by address and telephone number, to databases of anglers licensed to participate in saltwater fishing in the respective state.  Databases of licensed anglers are provided to NMFS by state natural resource agencies approximately one month prior to the beginning of data collection.  Prior to matching, addresses within the license databases are formatted to conform to USPS postal addressing standards, and duplicate angler records.</w:t>
      </w:r>
    </w:p>
    <w:p w:rsidR="00D83844" w:rsidRPr="003530A9" w:rsidRDefault="00D83844" w:rsidP="00D83844">
      <w:pPr>
        <w:pStyle w:val="Default"/>
      </w:pPr>
    </w:p>
    <w:p w:rsidR="00D83844" w:rsidRPr="003530A9" w:rsidRDefault="00D83844" w:rsidP="00D83844">
      <w:pPr>
        <w:pStyle w:val="Default"/>
      </w:pPr>
      <w:r w:rsidRPr="003530A9">
        <w:t>Matching addresses to license databases screens the ABS sample to identify households with (matched) and without (unmatched) licensed anglers, effectively stratifying the sample into matched and unmatched strata (Lohr, 2009).  Stratification provides an opportunity to optimize sampling among strata - previous studies (Andrews et al., 2010, Brick et al., 2012) have demonstrated that residents of households that match to license databases respond to fishing surveys at a higher rate and are more likely to have fished than residents of unmatched households.  The survey instrument collects information about the recent saltwater fishing activity for all residents of each sampled address (i.e. each address is a cluster of individuals wh</w:t>
      </w:r>
      <w:r>
        <w:t>o reside at the address).</w:t>
      </w:r>
    </w:p>
    <w:p w:rsidR="00D83844" w:rsidRPr="003530A9" w:rsidRDefault="00D83844" w:rsidP="00D83844">
      <w:pPr>
        <w:pStyle w:val="Default"/>
      </w:pPr>
    </w:p>
    <w:p w:rsidR="00D83844" w:rsidRPr="003530A9" w:rsidRDefault="00D83844" w:rsidP="00D83844">
      <w:pPr>
        <w:pStyle w:val="Default"/>
      </w:pPr>
      <w:r w:rsidRPr="003530A9">
        <w:t xml:space="preserve">Table 1 provides the sample universe, initial ABS sample sizes, final target sample sizes and estimated number of completed household interviews for each stratum.  The final target allocation is achieved by retaining all matched addresses in the sample and sub-sampling unmatched addresses.  Target sample sizes are expected to result in a completed number of household surveys that achieve a half-width of the 95% confidence interval of 2 percentage points on estimates of total participation.  Sampling requirements are based upon results from </w:t>
      </w:r>
      <w:r>
        <w:t>previous MRIP pilot studies.</w:t>
      </w:r>
    </w:p>
    <w:p w:rsidR="00D83844" w:rsidRPr="003530A9" w:rsidRDefault="00D83844" w:rsidP="00D83844">
      <w:pPr>
        <w:pStyle w:val="Default"/>
      </w:pPr>
    </w:p>
    <w:p w:rsidR="00D83844" w:rsidRPr="003530A9" w:rsidRDefault="00D83844" w:rsidP="00D83844">
      <w:pPr>
        <w:pStyle w:val="Default"/>
      </w:pPr>
      <w:r w:rsidRPr="003530A9">
        <w:t>1.3. Nonresident Angler Sampling</w:t>
      </w:r>
    </w:p>
    <w:p w:rsidR="00D83844" w:rsidRPr="003530A9" w:rsidRDefault="00D83844" w:rsidP="00D83844">
      <w:pPr>
        <w:pStyle w:val="CM23"/>
        <w:spacing w:after="0"/>
        <w:rPr>
          <w:b/>
          <w:bCs/>
          <w:color w:val="000000"/>
        </w:rPr>
      </w:pPr>
    </w:p>
    <w:p w:rsidR="00D83844" w:rsidRDefault="00D83844" w:rsidP="00D83844">
      <w:pPr>
        <w:pStyle w:val="Default"/>
      </w:pPr>
      <w:r w:rsidRPr="003530A9">
        <w:t xml:space="preserve">Non-resident anglers are sampled from lists of individuals who are licensed to participate in saltwater fishing in the study state.  The sample frame for the state consists of anglers who were licensed to fish in North Carolina during the reference wave but reside in another state.  Databases of licensed anglers are provided to NMFS by </w:t>
      </w:r>
      <w:r>
        <w:t xml:space="preserve">state natural resource agencies </w:t>
      </w:r>
      <w:r w:rsidRPr="003530A9">
        <w:t xml:space="preserve">approximately one month prior to the beginning of data collection.  Prior to sampling, addresses within the license databases are formatted to conform to USPS postal addressing standards, and </w:t>
      </w:r>
      <w:r>
        <w:t>d</w:t>
      </w:r>
      <w:r w:rsidRPr="003530A9">
        <w:t xml:space="preserve">uplicate angler records, as well as records for individuals less than18 years of age are identified </w:t>
      </w:r>
    </w:p>
    <w:p w:rsidR="00D83844" w:rsidRPr="003530A9" w:rsidRDefault="00D83844" w:rsidP="00D83844">
      <w:pPr>
        <w:pStyle w:val="Default"/>
      </w:pPr>
      <w:r>
        <w:t>and removed.</w:t>
      </w:r>
    </w:p>
    <w:p w:rsidR="00D83844" w:rsidRDefault="00D83844" w:rsidP="00D83844">
      <w:pPr>
        <w:pStyle w:val="Default"/>
      </w:pPr>
    </w:p>
    <w:p w:rsidR="00D83844" w:rsidRDefault="00D83844" w:rsidP="00D83844">
      <w:pPr>
        <w:pStyle w:val="Default"/>
      </w:pPr>
    </w:p>
    <w:p w:rsidR="00D83844" w:rsidRPr="003530A9" w:rsidRDefault="00D83844" w:rsidP="00D83844">
      <w:pPr>
        <w:pStyle w:val="Default"/>
        <w:sectPr w:rsidR="00D83844" w:rsidRPr="003530A9" w:rsidSect="00D83844">
          <w:footerReference w:type="default" r:id="rId9"/>
          <w:footnotePr>
            <w:numRestart w:val="eachSect"/>
          </w:footnotePr>
          <w:endnotePr>
            <w:numFmt w:val="decimal"/>
          </w:endnotePr>
          <w:pgSz w:w="12240" w:h="15840"/>
          <w:pgMar w:top="1440" w:right="1440" w:bottom="1080" w:left="1440" w:header="720" w:footer="720" w:gutter="0"/>
          <w:cols w:space="720"/>
        </w:sectPr>
      </w:pPr>
    </w:p>
    <w:p w:rsidR="00D83844" w:rsidRPr="003530A9" w:rsidRDefault="00D83844" w:rsidP="00D83844">
      <w:pPr>
        <w:pStyle w:val="Default"/>
      </w:pPr>
      <w:r w:rsidRPr="00F16837">
        <w:rPr>
          <w:b/>
        </w:rPr>
        <w:lastRenderedPageBreak/>
        <w:t xml:space="preserve">Table 1.  Estimated size of the sample universe, initial and final sample sizes, expected response rates and estimated number of completed household interviews for the resident angler sampling.  </w:t>
      </w:r>
    </w:p>
    <w:p w:rsidR="00D83844" w:rsidRPr="00F7355A" w:rsidRDefault="00D83844" w:rsidP="00D83844">
      <w:pPr>
        <w:pStyle w:val="Default"/>
        <w:jc w:val="center"/>
        <w:rPr>
          <w:b/>
        </w:rPr>
      </w:pPr>
    </w:p>
    <w:tbl>
      <w:tblPr>
        <w:tblW w:w="13068" w:type="dxa"/>
        <w:jc w:val="center"/>
        <w:tblLayout w:type="fixed"/>
        <w:tblLook w:val="04A0" w:firstRow="1" w:lastRow="0" w:firstColumn="1" w:lastColumn="0" w:noHBand="0" w:noVBand="1"/>
      </w:tblPr>
      <w:tblGrid>
        <w:gridCol w:w="735"/>
        <w:gridCol w:w="1350"/>
        <w:gridCol w:w="1389"/>
        <w:gridCol w:w="1440"/>
        <w:gridCol w:w="1620"/>
        <w:gridCol w:w="1800"/>
        <w:gridCol w:w="1170"/>
        <w:gridCol w:w="1620"/>
        <w:gridCol w:w="1944"/>
      </w:tblGrid>
      <w:tr w:rsidR="00D83844" w:rsidRPr="0009166A" w:rsidTr="0088491D">
        <w:trPr>
          <w:trHeight w:val="132"/>
          <w:jc w:val="center"/>
        </w:trPr>
        <w:tc>
          <w:tcPr>
            <w:tcW w:w="13068" w:type="dxa"/>
            <w:gridSpan w:val="9"/>
            <w:tcBorders>
              <w:top w:val="nil"/>
              <w:left w:val="nil"/>
              <w:bottom w:val="single" w:sz="12" w:space="0" w:color="auto"/>
              <w:right w:val="nil"/>
            </w:tcBorders>
            <w:shd w:val="clear" w:color="auto" w:fill="auto"/>
            <w:vAlign w:val="center"/>
            <w:hideMark/>
          </w:tcPr>
          <w:p w:rsidR="00D83844" w:rsidRPr="0009166A" w:rsidRDefault="00D83844" w:rsidP="0088491D">
            <w:pPr>
              <w:pStyle w:val="Default"/>
              <w:jc w:val="center"/>
              <w:rPr>
                <w:b/>
              </w:rPr>
            </w:pPr>
            <w:r w:rsidRPr="0009166A">
              <w:rPr>
                <w:b/>
              </w:rPr>
              <w:t>Wave A (May-August, 2013)</w:t>
            </w:r>
          </w:p>
        </w:tc>
      </w:tr>
      <w:tr w:rsidR="00D83844" w:rsidRPr="0009166A" w:rsidTr="0088491D">
        <w:trPr>
          <w:trHeight w:val="492"/>
          <w:jc w:val="center"/>
        </w:trPr>
        <w:tc>
          <w:tcPr>
            <w:tcW w:w="735"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State</w:t>
            </w:r>
          </w:p>
        </w:tc>
        <w:tc>
          <w:tcPr>
            <w:tcW w:w="135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Geographic Stratum</w:t>
            </w:r>
          </w:p>
        </w:tc>
        <w:tc>
          <w:tcPr>
            <w:tcW w:w="1389"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License Stratum</w:t>
            </w:r>
          </w:p>
        </w:tc>
        <w:tc>
          <w:tcPr>
            <w:tcW w:w="144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Estimated Number of Households</w:t>
            </w:r>
            <w:r w:rsidRPr="0009166A">
              <w:rPr>
                <w:rStyle w:val="FootnoteReference"/>
                <w:color w:val="000000"/>
                <w:sz w:val="24"/>
                <w:szCs w:val="24"/>
              </w:rPr>
              <w:footnoteReference w:id="1"/>
            </w:r>
          </w:p>
        </w:tc>
        <w:tc>
          <w:tcPr>
            <w:tcW w:w="162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Initial ABS Sample Size</w:t>
            </w:r>
            <w:r w:rsidRPr="0009166A">
              <w:rPr>
                <w:rStyle w:val="FootnoteReference"/>
                <w:color w:val="000000"/>
                <w:sz w:val="24"/>
                <w:szCs w:val="24"/>
              </w:rPr>
              <w:footnoteReference w:id="2"/>
            </w:r>
          </w:p>
        </w:tc>
        <w:tc>
          <w:tcPr>
            <w:tcW w:w="180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Estimated Final ABS Sample Size</w:t>
            </w:r>
            <w:r w:rsidRPr="0009166A">
              <w:rPr>
                <w:rStyle w:val="FootnoteReference"/>
                <w:color w:val="000000"/>
                <w:sz w:val="24"/>
                <w:szCs w:val="24"/>
              </w:rPr>
              <w:footnoteReference w:id="3"/>
            </w:r>
            <w:r w:rsidRPr="0009166A">
              <w:rPr>
                <w:rStyle w:val="FootnoteReference"/>
                <w:color w:val="000000"/>
                <w:sz w:val="24"/>
                <w:szCs w:val="24"/>
              </w:rPr>
              <w:footnoteReference w:id="4"/>
            </w:r>
          </w:p>
        </w:tc>
        <w:tc>
          <w:tcPr>
            <w:tcW w:w="117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Expected Response Rates</w:t>
            </w:r>
            <w:r w:rsidRPr="0009166A">
              <w:rPr>
                <w:rStyle w:val="FootnoteReference"/>
                <w:color w:val="000000"/>
                <w:sz w:val="24"/>
                <w:szCs w:val="24"/>
              </w:rPr>
              <w:footnoteReference w:id="5"/>
            </w:r>
          </w:p>
        </w:tc>
        <w:tc>
          <w:tcPr>
            <w:tcW w:w="162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Household Fishing Status</w:t>
            </w:r>
            <w:r w:rsidRPr="0009166A">
              <w:rPr>
                <w:rStyle w:val="FootnoteReference"/>
                <w:color w:val="000000"/>
                <w:sz w:val="24"/>
                <w:szCs w:val="24"/>
              </w:rPr>
              <w:footnoteReference w:id="6"/>
            </w:r>
          </w:p>
        </w:tc>
        <w:tc>
          <w:tcPr>
            <w:tcW w:w="1944"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 xml:space="preserve">Wave A </w:t>
            </w:r>
          </w:p>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Estimated Completed interviews</w:t>
            </w:r>
            <w:r w:rsidRPr="0009166A">
              <w:rPr>
                <w:rStyle w:val="FootnoteReference"/>
                <w:color w:val="000000"/>
                <w:sz w:val="24"/>
                <w:szCs w:val="24"/>
              </w:rPr>
              <w:footnoteReference w:id="7"/>
            </w:r>
          </w:p>
        </w:tc>
      </w:tr>
      <w:tr w:rsidR="00D83844" w:rsidRPr="0009166A" w:rsidTr="0088491D">
        <w:trPr>
          <w:trHeight w:val="150"/>
          <w:jc w:val="center"/>
        </w:trPr>
        <w:tc>
          <w:tcPr>
            <w:tcW w:w="735" w:type="dxa"/>
            <w:vMerge w:val="restart"/>
            <w:tcBorders>
              <w:top w:val="single" w:sz="12" w:space="0" w:color="auto"/>
              <w:left w:val="nil"/>
              <w:bottom w:val="single"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NC</w:t>
            </w:r>
          </w:p>
        </w:tc>
        <w:tc>
          <w:tcPr>
            <w:tcW w:w="135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Coastal</w:t>
            </w:r>
          </w:p>
        </w:tc>
        <w:tc>
          <w:tcPr>
            <w:tcW w:w="1389"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Matched</w:t>
            </w:r>
          </w:p>
        </w:tc>
        <w:tc>
          <w:tcPr>
            <w:tcW w:w="144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199,839</w:t>
            </w:r>
          </w:p>
        </w:tc>
        <w:tc>
          <w:tcPr>
            <w:tcW w:w="162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3,000</w:t>
            </w:r>
          </w:p>
        </w:tc>
        <w:tc>
          <w:tcPr>
            <w:tcW w:w="180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3,000</w:t>
            </w:r>
          </w:p>
        </w:tc>
        <w:tc>
          <w:tcPr>
            <w:tcW w:w="117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57%</w:t>
            </w:r>
          </w:p>
        </w:tc>
        <w:tc>
          <w:tcPr>
            <w:tcW w:w="162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current/likely</w:t>
            </w:r>
          </w:p>
        </w:tc>
        <w:tc>
          <w:tcPr>
            <w:tcW w:w="194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1,000</w:t>
            </w:r>
          </w:p>
        </w:tc>
      </w:tr>
      <w:tr w:rsidR="00D83844" w:rsidRPr="0009166A" w:rsidTr="0088491D">
        <w:trPr>
          <w:trHeight w:val="152"/>
          <w:jc w:val="center"/>
        </w:trPr>
        <w:tc>
          <w:tcPr>
            <w:tcW w:w="735"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389"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44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62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80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17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62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unlikely</w:t>
            </w:r>
          </w:p>
        </w:tc>
        <w:tc>
          <w:tcPr>
            <w:tcW w:w="194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539</w:t>
            </w:r>
          </w:p>
        </w:tc>
      </w:tr>
      <w:tr w:rsidR="00D83844" w:rsidRPr="0009166A" w:rsidTr="0088491D">
        <w:trPr>
          <w:trHeight w:val="152"/>
          <w:jc w:val="center"/>
        </w:trPr>
        <w:tc>
          <w:tcPr>
            <w:tcW w:w="735"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Coastal</w:t>
            </w:r>
          </w:p>
        </w:tc>
        <w:tc>
          <w:tcPr>
            <w:tcW w:w="1389"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Unmatched</w:t>
            </w:r>
          </w:p>
        </w:tc>
        <w:tc>
          <w:tcPr>
            <w:tcW w:w="144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557,660</w:t>
            </w:r>
          </w:p>
        </w:tc>
        <w:tc>
          <w:tcPr>
            <w:tcW w:w="162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8,372</w:t>
            </w:r>
          </w:p>
        </w:tc>
        <w:tc>
          <w:tcPr>
            <w:tcW w:w="180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5,280</w:t>
            </w:r>
          </w:p>
        </w:tc>
        <w:tc>
          <w:tcPr>
            <w:tcW w:w="117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43%</w:t>
            </w:r>
          </w:p>
        </w:tc>
        <w:tc>
          <w:tcPr>
            <w:tcW w:w="162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current/likely</w:t>
            </w:r>
          </w:p>
        </w:tc>
        <w:tc>
          <w:tcPr>
            <w:tcW w:w="194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1,329</w:t>
            </w:r>
          </w:p>
        </w:tc>
      </w:tr>
      <w:tr w:rsidR="00D83844" w:rsidRPr="0009166A" w:rsidTr="0088491D">
        <w:trPr>
          <w:trHeight w:val="170"/>
          <w:jc w:val="center"/>
        </w:trPr>
        <w:tc>
          <w:tcPr>
            <w:tcW w:w="735"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389"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44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62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80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17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62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unlikely</w:t>
            </w:r>
          </w:p>
        </w:tc>
        <w:tc>
          <w:tcPr>
            <w:tcW w:w="194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715</w:t>
            </w:r>
          </w:p>
        </w:tc>
      </w:tr>
      <w:tr w:rsidR="00D83844" w:rsidRPr="0009166A" w:rsidTr="0088491D">
        <w:trPr>
          <w:trHeight w:val="70"/>
          <w:jc w:val="center"/>
        </w:trPr>
        <w:tc>
          <w:tcPr>
            <w:tcW w:w="735"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Noncoastal</w:t>
            </w:r>
          </w:p>
        </w:tc>
        <w:tc>
          <w:tcPr>
            <w:tcW w:w="1389"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Matched</w:t>
            </w:r>
          </w:p>
        </w:tc>
        <w:tc>
          <w:tcPr>
            <w:tcW w:w="144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222,650</w:t>
            </w:r>
          </w:p>
        </w:tc>
        <w:tc>
          <w:tcPr>
            <w:tcW w:w="162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480</w:t>
            </w:r>
          </w:p>
        </w:tc>
        <w:tc>
          <w:tcPr>
            <w:tcW w:w="180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480</w:t>
            </w:r>
          </w:p>
        </w:tc>
        <w:tc>
          <w:tcPr>
            <w:tcW w:w="117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53%</w:t>
            </w:r>
          </w:p>
        </w:tc>
        <w:tc>
          <w:tcPr>
            <w:tcW w:w="162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current/likely</w:t>
            </w:r>
          </w:p>
        </w:tc>
        <w:tc>
          <w:tcPr>
            <w:tcW w:w="194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149</w:t>
            </w:r>
          </w:p>
        </w:tc>
      </w:tr>
      <w:tr w:rsidR="00D83844" w:rsidRPr="0009166A" w:rsidTr="0088491D">
        <w:trPr>
          <w:trHeight w:val="70"/>
          <w:jc w:val="center"/>
        </w:trPr>
        <w:tc>
          <w:tcPr>
            <w:tcW w:w="735"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tcBorders>
              <w:top w:val="nil"/>
              <w:left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389" w:type="dxa"/>
            <w:vMerge/>
            <w:tcBorders>
              <w:top w:val="nil"/>
              <w:left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440" w:type="dxa"/>
            <w:vMerge/>
            <w:tcBorders>
              <w:top w:val="nil"/>
              <w:left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620" w:type="dxa"/>
            <w:vMerge/>
            <w:tcBorders>
              <w:top w:val="nil"/>
              <w:left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800" w:type="dxa"/>
            <w:vMerge/>
            <w:tcBorders>
              <w:top w:val="nil"/>
              <w:left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170" w:type="dxa"/>
            <w:vMerge/>
            <w:tcBorders>
              <w:top w:val="nil"/>
              <w:left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62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unlikely</w:t>
            </w:r>
          </w:p>
        </w:tc>
        <w:tc>
          <w:tcPr>
            <w:tcW w:w="194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80</w:t>
            </w:r>
          </w:p>
        </w:tc>
      </w:tr>
      <w:tr w:rsidR="00D83844" w:rsidRPr="0009166A" w:rsidTr="0088491D">
        <w:trPr>
          <w:trHeight w:val="70"/>
          <w:jc w:val="center"/>
        </w:trPr>
        <w:tc>
          <w:tcPr>
            <w:tcW w:w="735"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val="restart"/>
            <w:tcBorders>
              <w:top w:val="nil"/>
              <w:left w:val="nil"/>
              <w:bottom w:val="single"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Noncoastal</w:t>
            </w:r>
          </w:p>
        </w:tc>
        <w:tc>
          <w:tcPr>
            <w:tcW w:w="1389" w:type="dxa"/>
            <w:vMerge w:val="restart"/>
            <w:tcBorders>
              <w:top w:val="nil"/>
              <w:left w:val="nil"/>
              <w:bottom w:val="single"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Unmatched</w:t>
            </w:r>
          </w:p>
        </w:tc>
        <w:tc>
          <w:tcPr>
            <w:tcW w:w="1440" w:type="dxa"/>
            <w:vMerge w:val="restart"/>
            <w:tcBorders>
              <w:top w:val="nil"/>
              <w:left w:val="nil"/>
              <w:bottom w:val="single"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2,812,924</w:t>
            </w:r>
          </w:p>
        </w:tc>
        <w:tc>
          <w:tcPr>
            <w:tcW w:w="1620" w:type="dxa"/>
            <w:vMerge w:val="restart"/>
            <w:tcBorders>
              <w:top w:val="nil"/>
              <w:left w:val="nil"/>
              <w:bottom w:val="single"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6,064</w:t>
            </w:r>
          </w:p>
        </w:tc>
        <w:tc>
          <w:tcPr>
            <w:tcW w:w="1800" w:type="dxa"/>
            <w:vMerge w:val="restart"/>
            <w:tcBorders>
              <w:top w:val="nil"/>
              <w:left w:val="nil"/>
              <w:bottom w:val="single"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2,520</w:t>
            </w:r>
          </w:p>
        </w:tc>
        <w:tc>
          <w:tcPr>
            <w:tcW w:w="1170" w:type="dxa"/>
            <w:vMerge w:val="restart"/>
            <w:tcBorders>
              <w:top w:val="nil"/>
              <w:left w:val="nil"/>
              <w:bottom w:val="single"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41%</w:t>
            </w:r>
          </w:p>
        </w:tc>
        <w:tc>
          <w:tcPr>
            <w:tcW w:w="1620" w:type="dxa"/>
            <w:tcBorders>
              <w:top w:val="nil"/>
              <w:left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current/likely</w:t>
            </w:r>
          </w:p>
        </w:tc>
        <w:tc>
          <w:tcPr>
            <w:tcW w:w="1944" w:type="dxa"/>
            <w:tcBorders>
              <w:top w:val="nil"/>
              <w:left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605</w:t>
            </w:r>
          </w:p>
        </w:tc>
      </w:tr>
      <w:tr w:rsidR="00D83844" w:rsidRPr="0009166A" w:rsidTr="0088491D">
        <w:trPr>
          <w:trHeight w:val="60"/>
          <w:jc w:val="center"/>
        </w:trPr>
        <w:tc>
          <w:tcPr>
            <w:tcW w:w="735" w:type="dxa"/>
            <w:vMerge/>
            <w:tcBorders>
              <w:top w:val="nil"/>
              <w:left w:val="nil"/>
              <w:bottom w:val="dashSmallGap"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tcBorders>
              <w:top w:val="nil"/>
              <w:left w:val="nil"/>
              <w:bottom w:val="dashSmallGap"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89" w:type="dxa"/>
            <w:vMerge/>
            <w:tcBorders>
              <w:top w:val="nil"/>
              <w:left w:val="nil"/>
              <w:bottom w:val="dashSmallGap"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440" w:type="dxa"/>
            <w:vMerge/>
            <w:tcBorders>
              <w:top w:val="nil"/>
              <w:left w:val="nil"/>
              <w:bottom w:val="dashSmallGap"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620" w:type="dxa"/>
            <w:vMerge/>
            <w:tcBorders>
              <w:top w:val="nil"/>
              <w:left w:val="nil"/>
              <w:bottom w:val="dashSmallGap"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800" w:type="dxa"/>
            <w:vMerge/>
            <w:tcBorders>
              <w:top w:val="nil"/>
              <w:left w:val="nil"/>
              <w:bottom w:val="dashSmallGap"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170" w:type="dxa"/>
            <w:vMerge/>
            <w:tcBorders>
              <w:top w:val="nil"/>
              <w:left w:val="nil"/>
              <w:bottom w:val="dashSmallGap"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620" w:type="dxa"/>
            <w:tcBorders>
              <w:top w:val="nil"/>
              <w:left w:val="nil"/>
              <w:bottom w:val="dashSmallGap"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unlikely</w:t>
            </w:r>
          </w:p>
        </w:tc>
        <w:tc>
          <w:tcPr>
            <w:tcW w:w="1944" w:type="dxa"/>
            <w:tcBorders>
              <w:top w:val="nil"/>
              <w:left w:val="nil"/>
              <w:bottom w:val="dashSmallGap"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326</w:t>
            </w:r>
          </w:p>
        </w:tc>
      </w:tr>
      <w:tr w:rsidR="00D83844" w:rsidRPr="0009166A" w:rsidTr="0088491D">
        <w:trPr>
          <w:trHeight w:val="70"/>
          <w:jc w:val="center"/>
        </w:trPr>
        <w:tc>
          <w:tcPr>
            <w:tcW w:w="735"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Total</w:t>
            </w:r>
          </w:p>
        </w:tc>
        <w:tc>
          <w:tcPr>
            <w:tcW w:w="135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 </w:t>
            </w:r>
          </w:p>
        </w:tc>
        <w:tc>
          <w:tcPr>
            <w:tcW w:w="1389"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 </w:t>
            </w:r>
          </w:p>
        </w:tc>
        <w:tc>
          <w:tcPr>
            <w:tcW w:w="144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3,793,073</w:t>
            </w:r>
          </w:p>
        </w:tc>
        <w:tc>
          <w:tcPr>
            <w:tcW w:w="162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17,916</w:t>
            </w:r>
          </w:p>
        </w:tc>
        <w:tc>
          <w:tcPr>
            <w:tcW w:w="180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11,280</w:t>
            </w:r>
          </w:p>
        </w:tc>
        <w:tc>
          <w:tcPr>
            <w:tcW w:w="117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48%</w:t>
            </w:r>
          </w:p>
        </w:tc>
        <w:tc>
          <w:tcPr>
            <w:tcW w:w="162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 </w:t>
            </w:r>
          </w:p>
        </w:tc>
        <w:tc>
          <w:tcPr>
            <w:tcW w:w="1944"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4,742</w:t>
            </w:r>
          </w:p>
        </w:tc>
      </w:tr>
    </w:tbl>
    <w:p w:rsidR="00D83844" w:rsidRDefault="00D83844" w:rsidP="00D83844">
      <w:pPr>
        <w:pStyle w:val="Default"/>
        <w:jc w:val="center"/>
        <w:rPr>
          <w:b/>
        </w:rPr>
      </w:pPr>
    </w:p>
    <w:p w:rsidR="00D83844" w:rsidRDefault="00D83844" w:rsidP="00D83844">
      <w:pPr>
        <w:pStyle w:val="Default"/>
        <w:jc w:val="center"/>
        <w:rPr>
          <w:b/>
        </w:rPr>
      </w:pPr>
    </w:p>
    <w:p w:rsidR="00D83844" w:rsidRDefault="00D83844" w:rsidP="00D83844">
      <w:pPr>
        <w:pStyle w:val="Default"/>
        <w:jc w:val="center"/>
        <w:rPr>
          <w:b/>
        </w:rPr>
      </w:pPr>
    </w:p>
    <w:p w:rsidR="00D83844" w:rsidRDefault="00D83844" w:rsidP="00D83844">
      <w:pPr>
        <w:pStyle w:val="Default"/>
        <w:jc w:val="center"/>
        <w:rPr>
          <w:b/>
        </w:rPr>
      </w:pPr>
    </w:p>
    <w:p w:rsidR="00D83844" w:rsidRDefault="00D83844" w:rsidP="00D83844">
      <w:pPr>
        <w:pStyle w:val="Default"/>
        <w:rPr>
          <w:b/>
        </w:rPr>
      </w:pPr>
    </w:p>
    <w:p w:rsidR="00D83844" w:rsidRDefault="00D83844" w:rsidP="00D83844">
      <w:pPr>
        <w:pStyle w:val="Default"/>
        <w:rPr>
          <w:b/>
        </w:rPr>
      </w:pPr>
    </w:p>
    <w:p w:rsidR="00D83844" w:rsidRDefault="00D83844" w:rsidP="00D83844">
      <w:pPr>
        <w:pStyle w:val="Default"/>
        <w:rPr>
          <w:b/>
        </w:rPr>
      </w:pPr>
    </w:p>
    <w:p w:rsidR="00D83844" w:rsidRDefault="00D83844" w:rsidP="00D83844">
      <w:pPr>
        <w:pStyle w:val="Default"/>
        <w:rPr>
          <w:b/>
        </w:rPr>
      </w:pPr>
      <w:r w:rsidRPr="00F16837">
        <w:rPr>
          <w:b/>
        </w:rPr>
        <w:lastRenderedPageBreak/>
        <w:t xml:space="preserve">Table 1.  </w:t>
      </w:r>
      <w:r>
        <w:rPr>
          <w:b/>
        </w:rPr>
        <w:t>(Continued.)</w:t>
      </w:r>
    </w:p>
    <w:p w:rsidR="00D83844" w:rsidRDefault="00D83844" w:rsidP="00D83844">
      <w:pPr>
        <w:pStyle w:val="Default"/>
        <w:jc w:val="center"/>
        <w:rPr>
          <w:b/>
        </w:rPr>
      </w:pPr>
    </w:p>
    <w:p w:rsidR="00D83844" w:rsidRPr="00B4062F" w:rsidRDefault="00D83844" w:rsidP="00D83844">
      <w:pPr>
        <w:pStyle w:val="Default"/>
        <w:jc w:val="center"/>
        <w:rPr>
          <w:b/>
          <w:sz w:val="22"/>
          <w:szCs w:val="22"/>
        </w:rPr>
      </w:pPr>
      <w:r w:rsidRPr="00B4062F">
        <w:rPr>
          <w:b/>
        </w:rPr>
        <w:t>Wave B (September-December, 2013) and Wave C (January-April, 2014)</w:t>
      </w:r>
    </w:p>
    <w:tbl>
      <w:tblPr>
        <w:tblW w:w="13248" w:type="dxa"/>
        <w:jc w:val="center"/>
        <w:tblLayout w:type="fixed"/>
        <w:tblLook w:val="04A0" w:firstRow="1" w:lastRow="0" w:firstColumn="1" w:lastColumn="0" w:noHBand="0" w:noVBand="1"/>
      </w:tblPr>
      <w:tblGrid>
        <w:gridCol w:w="728"/>
        <w:gridCol w:w="1350"/>
        <w:gridCol w:w="1396"/>
        <w:gridCol w:w="1530"/>
        <w:gridCol w:w="1170"/>
        <w:gridCol w:w="1350"/>
        <w:gridCol w:w="1584"/>
        <w:gridCol w:w="1350"/>
        <w:gridCol w:w="1440"/>
        <w:gridCol w:w="1350"/>
      </w:tblGrid>
      <w:tr w:rsidR="00D83844" w:rsidRPr="0009166A" w:rsidTr="0088491D">
        <w:trPr>
          <w:trHeight w:val="969"/>
          <w:jc w:val="center"/>
        </w:trPr>
        <w:tc>
          <w:tcPr>
            <w:tcW w:w="728"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State</w:t>
            </w:r>
          </w:p>
        </w:tc>
        <w:tc>
          <w:tcPr>
            <w:tcW w:w="135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Geographic Stratum</w:t>
            </w:r>
          </w:p>
        </w:tc>
        <w:tc>
          <w:tcPr>
            <w:tcW w:w="1396"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License Stratum</w:t>
            </w:r>
          </w:p>
        </w:tc>
        <w:tc>
          <w:tcPr>
            <w:tcW w:w="153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Household Fishing Status</w:t>
            </w:r>
          </w:p>
        </w:tc>
        <w:tc>
          <w:tcPr>
            <w:tcW w:w="117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Expected Response Rates</w:t>
            </w:r>
          </w:p>
        </w:tc>
        <w:tc>
          <w:tcPr>
            <w:tcW w:w="135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Wave A Estimated Completed Interviews</w:t>
            </w:r>
          </w:p>
        </w:tc>
        <w:tc>
          <w:tcPr>
            <w:tcW w:w="1584"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Wave B Estimated ABS Sample Size</w:t>
            </w:r>
            <w:r w:rsidRPr="0009166A">
              <w:rPr>
                <w:rStyle w:val="FootnoteReference"/>
                <w:color w:val="000000"/>
                <w:sz w:val="24"/>
                <w:szCs w:val="24"/>
              </w:rPr>
              <w:footnoteReference w:id="8"/>
            </w:r>
          </w:p>
        </w:tc>
        <w:tc>
          <w:tcPr>
            <w:tcW w:w="135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Wave B Estimated Completed Interviews</w:t>
            </w:r>
          </w:p>
        </w:tc>
        <w:tc>
          <w:tcPr>
            <w:tcW w:w="144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Wave C Estimated ABS Sample Size</w:t>
            </w:r>
          </w:p>
        </w:tc>
        <w:tc>
          <w:tcPr>
            <w:tcW w:w="1350" w:type="dxa"/>
            <w:tcBorders>
              <w:top w:val="single" w:sz="12" w:space="0" w:color="auto"/>
              <w:left w:val="nil"/>
              <w:bottom w:val="single" w:sz="12" w:space="0" w:color="auto"/>
              <w:right w:val="nil"/>
            </w:tcBorders>
            <w:shd w:val="clear" w:color="auto" w:fill="auto"/>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Wave C Estimated Completed Interviews</w:t>
            </w:r>
          </w:p>
        </w:tc>
      </w:tr>
      <w:tr w:rsidR="00D83844" w:rsidRPr="0009166A" w:rsidTr="0088491D">
        <w:trPr>
          <w:trHeight w:val="87"/>
          <w:jc w:val="center"/>
        </w:trPr>
        <w:tc>
          <w:tcPr>
            <w:tcW w:w="728" w:type="dxa"/>
            <w:vMerge w:val="restart"/>
            <w:tcBorders>
              <w:top w:val="single" w:sz="12" w:space="0" w:color="auto"/>
              <w:left w:val="nil"/>
              <w:bottom w:val="single"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NC</w:t>
            </w:r>
          </w:p>
        </w:tc>
        <w:tc>
          <w:tcPr>
            <w:tcW w:w="1350"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Coastal</w:t>
            </w:r>
          </w:p>
        </w:tc>
        <w:tc>
          <w:tcPr>
            <w:tcW w:w="1396"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Matched</w:t>
            </w:r>
          </w:p>
        </w:tc>
        <w:tc>
          <w:tcPr>
            <w:tcW w:w="153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current/likely</w:t>
            </w:r>
          </w:p>
        </w:tc>
        <w:tc>
          <w:tcPr>
            <w:tcW w:w="117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57%</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1,000</w:t>
            </w:r>
          </w:p>
        </w:tc>
        <w:tc>
          <w:tcPr>
            <w:tcW w:w="158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1,000</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570</w:t>
            </w:r>
          </w:p>
        </w:tc>
        <w:tc>
          <w:tcPr>
            <w:tcW w:w="144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1,000</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570</w:t>
            </w:r>
          </w:p>
        </w:tc>
      </w:tr>
      <w:tr w:rsidR="00D83844" w:rsidRPr="0009166A" w:rsidTr="0088491D">
        <w:trPr>
          <w:trHeight w:val="70"/>
          <w:jc w:val="center"/>
        </w:trPr>
        <w:tc>
          <w:tcPr>
            <w:tcW w:w="728"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396"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53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unlikely</w:t>
            </w:r>
          </w:p>
        </w:tc>
        <w:tc>
          <w:tcPr>
            <w:tcW w:w="117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57%</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539</w:t>
            </w:r>
          </w:p>
        </w:tc>
        <w:tc>
          <w:tcPr>
            <w:tcW w:w="158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180</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102</w:t>
            </w:r>
          </w:p>
        </w:tc>
        <w:tc>
          <w:tcPr>
            <w:tcW w:w="144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539</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307</w:t>
            </w:r>
          </w:p>
        </w:tc>
      </w:tr>
      <w:tr w:rsidR="00D83844" w:rsidRPr="0009166A" w:rsidTr="0088491D">
        <w:trPr>
          <w:trHeight w:val="70"/>
          <w:jc w:val="center"/>
        </w:trPr>
        <w:tc>
          <w:tcPr>
            <w:tcW w:w="728"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396"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Unmatched</w:t>
            </w:r>
          </w:p>
        </w:tc>
        <w:tc>
          <w:tcPr>
            <w:tcW w:w="153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current/likely</w:t>
            </w:r>
          </w:p>
        </w:tc>
        <w:tc>
          <w:tcPr>
            <w:tcW w:w="117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43%</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1,329</w:t>
            </w:r>
          </w:p>
        </w:tc>
        <w:tc>
          <w:tcPr>
            <w:tcW w:w="158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1,329</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571</w:t>
            </w:r>
          </w:p>
        </w:tc>
        <w:tc>
          <w:tcPr>
            <w:tcW w:w="144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1,329</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571</w:t>
            </w:r>
          </w:p>
        </w:tc>
      </w:tr>
      <w:tr w:rsidR="00D83844" w:rsidRPr="0009166A" w:rsidTr="0088491D">
        <w:trPr>
          <w:trHeight w:val="70"/>
          <w:jc w:val="center"/>
        </w:trPr>
        <w:tc>
          <w:tcPr>
            <w:tcW w:w="728"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tcBorders>
              <w:top w:val="nil"/>
              <w:left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396" w:type="dxa"/>
            <w:vMerge/>
            <w:tcBorders>
              <w:top w:val="nil"/>
              <w:left w:val="nil"/>
              <w:bottom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53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unlikely</w:t>
            </w:r>
          </w:p>
        </w:tc>
        <w:tc>
          <w:tcPr>
            <w:tcW w:w="117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43%</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715</w:t>
            </w:r>
          </w:p>
        </w:tc>
        <w:tc>
          <w:tcPr>
            <w:tcW w:w="158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238</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103</w:t>
            </w:r>
          </w:p>
        </w:tc>
        <w:tc>
          <w:tcPr>
            <w:tcW w:w="144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715</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308</w:t>
            </w:r>
          </w:p>
        </w:tc>
      </w:tr>
      <w:tr w:rsidR="00D83844" w:rsidRPr="0009166A" w:rsidTr="0088491D">
        <w:trPr>
          <w:trHeight w:val="70"/>
          <w:jc w:val="center"/>
        </w:trPr>
        <w:tc>
          <w:tcPr>
            <w:tcW w:w="728"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val="restart"/>
            <w:tcBorders>
              <w:top w:val="nil"/>
              <w:left w:val="nil"/>
              <w:bottom w:val="single"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Noncoastal</w:t>
            </w:r>
          </w:p>
        </w:tc>
        <w:tc>
          <w:tcPr>
            <w:tcW w:w="1396" w:type="dxa"/>
            <w:vMerge w:val="restart"/>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Matched</w:t>
            </w:r>
          </w:p>
        </w:tc>
        <w:tc>
          <w:tcPr>
            <w:tcW w:w="153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current/likely</w:t>
            </w:r>
          </w:p>
        </w:tc>
        <w:tc>
          <w:tcPr>
            <w:tcW w:w="117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53%</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149</w:t>
            </w:r>
          </w:p>
        </w:tc>
        <w:tc>
          <w:tcPr>
            <w:tcW w:w="158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149</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79</w:t>
            </w:r>
          </w:p>
        </w:tc>
        <w:tc>
          <w:tcPr>
            <w:tcW w:w="144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149</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79</w:t>
            </w:r>
          </w:p>
        </w:tc>
      </w:tr>
      <w:tr w:rsidR="00D83844" w:rsidRPr="0009166A" w:rsidTr="0088491D">
        <w:trPr>
          <w:trHeight w:val="70"/>
          <w:jc w:val="center"/>
        </w:trPr>
        <w:tc>
          <w:tcPr>
            <w:tcW w:w="728"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96" w:type="dxa"/>
            <w:vMerge/>
            <w:tcBorders>
              <w:top w:val="nil"/>
              <w:left w:val="nil"/>
              <w:right w:val="nil"/>
            </w:tcBorders>
            <w:vAlign w:val="center"/>
            <w:hideMark/>
          </w:tcPr>
          <w:p w:rsidR="00D83844" w:rsidRPr="0009166A" w:rsidRDefault="00D83844" w:rsidP="0088491D">
            <w:pPr>
              <w:widowControl/>
              <w:autoSpaceDE/>
              <w:autoSpaceDN/>
              <w:adjustRightInd/>
              <w:rPr>
                <w:color w:val="000000"/>
                <w:sz w:val="24"/>
                <w:szCs w:val="24"/>
              </w:rPr>
            </w:pPr>
          </w:p>
        </w:tc>
        <w:tc>
          <w:tcPr>
            <w:tcW w:w="153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unlikely</w:t>
            </w:r>
          </w:p>
        </w:tc>
        <w:tc>
          <w:tcPr>
            <w:tcW w:w="117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53%</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80</w:t>
            </w:r>
          </w:p>
        </w:tc>
        <w:tc>
          <w:tcPr>
            <w:tcW w:w="1584"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27</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14</w:t>
            </w:r>
          </w:p>
        </w:tc>
        <w:tc>
          <w:tcPr>
            <w:tcW w:w="144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80</w:t>
            </w:r>
          </w:p>
        </w:tc>
        <w:tc>
          <w:tcPr>
            <w:tcW w:w="1350" w:type="dxa"/>
            <w:tcBorders>
              <w:top w:val="nil"/>
              <w:left w:val="nil"/>
              <w:bottom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42</w:t>
            </w:r>
          </w:p>
        </w:tc>
      </w:tr>
      <w:tr w:rsidR="00D83844" w:rsidRPr="0009166A" w:rsidTr="0088491D">
        <w:trPr>
          <w:trHeight w:val="70"/>
          <w:jc w:val="center"/>
        </w:trPr>
        <w:tc>
          <w:tcPr>
            <w:tcW w:w="728"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tcBorders>
              <w:top w:val="nil"/>
              <w:left w:val="nil"/>
              <w:bottom w:val="single"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96" w:type="dxa"/>
            <w:vMerge w:val="restart"/>
            <w:tcBorders>
              <w:top w:val="nil"/>
              <w:left w:val="nil"/>
              <w:bottom w:val="single"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Unmatched</w:t>
            </w:r>
          </w:p>
        </w:tc>
        <w:tc>
          <w:tcPr>
            <w:tcW w:w="1530" w:type="dxa"/>
            <w:tcBorders>
              <w:top w:val="nil"/>
              <w:left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current/likely</w:t>
            </w:r>
          </w:p>
        </w:tc>
        <w:tc>
          <w:tcPr>
            <w:tcW w:w="1170" w:type="dxa"/>
            <w:tcBorders>
              <w:top w:val="nil"/>
              <w:left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41%</w:t>
            </w:r>
          </w:p>
        </w:tc>
        <w:tc>
          <w:tcPr>
            <w:tcW w:w="1350" w:type="dxa"/>
            <w:tcBorders>
              <w:top w:val="nil"/>
              <w:left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605</w:t>
            </w:r>
          </w:p>
        </w:tc>
        <w:tc>
          <w:tcPr>
            <w:tcW w:w="1584" w:type="dxa"/>
            <w:tcBorders>
              <w:top w:val="nil"/>
              <w:left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605</w:t>
            </w:r>
          </w:p>
        </w:tc>
        <w:tc>
          <w:tcPr>
            <w:tcW w:w="1350" w:type="dxa"/>
            <w:tcBorders>
              <w:top w:val="nil"/>
              <w:left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248</w:t>
            </w:r>
          </w:p>
        </w:tc>
        <w:tc>
          <w:tcPr>
            <w:tcW w:w="1440" w:type="dxa"/>
            <w:tcBorders>
              <w:top w:val="nil"/>
              <w:left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605</w:t>
            </w:r>
          </w:p>
        </w:tc>
        <w:tc>
          <w:tcPr>
            <w:tcW w:w="1350" w:type="dxa"/>
            <w:tcBorders>
              <w:top w:val="nil"/>
              <w:left w:val="nil"/>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248</w:t>
            </w:r>
          </w:p>
        </w:tc>
      </w:tr>
      <w:tr w:rsidR="00D83844" w:rsidRPr="0009166A" w:rsidTr="0088491D">
        <w:trPr>
          <w:trHeight w:val="70"/>
          <w:jc w:val="center"/>
        </w:trPr>
        <w:tc>
          <w:tcPr>
            <w:tcW w:w="728" w:type="dxa"/>
            <w:vMerge/>
            <w:tcBorders>
              <w:top w:val="nil"/>
              <w:left w:val="nil"/>
              <w:bottom w:val="dashSmallGap"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50" w:type="dxa"/>
            <w:vMerge/>
            <w:tcBorders>
              <w:top w:val="nil"/>
              <w:left w:val="nil"/>
              <w:bottom w:val="dashSmallGap"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396" w:type="dxa"/>
            <w:vMerge/>
            <w:tcBorders>
              <w:top w:val="nil"/>
              <w:left w:val="nil"/>
              <w:bottom w:val="dashSmallGap" w:sz="4" w:space="0" w:color="auto"/>
              <w:right w:val="nil"/>
            </w:tcBorders>
            <w:vAlign w:val="center"/>
            <w:hideMark/>
          </w:tcPr>
          <w:p w:rsidR="00D83844" w:rsidRPr="0009166A" w:rsidRDefault="00D83844" w:rsidP="0088491D">
            <w:pPr>
              <w:widowControl/>
              <w:autoSpaceDE/>
              <w:autoSpaceDN/>
              <w:adjustRightInd/>
              <w:rPr>
                <w:color w:val="000000"/>
                <w:sz w:val="24"/>
                <w:szCs w:val="24"/>
              </w:rPr>
            </w:pPr>
          </w:p>
        </w:tc>
        <w:tc>
          <w:tcPr>
            <w:tcW w:w="1530" w:type="dxa"/>
            <w:tcBorders>
              <w:top w:val="nil"/>
              <w:left w:val="nil"/>
              <w:bottom w:val="dashSmallGap"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unlikely</w:t>
            </w:r>
          </w:p>
        </w:tc>
        <w:tc>
          <w:tcPr>
            <w:tcW w:w="1170" w:type="dxa"/>
            <w:tcBorders>
              <w:top w:val="nil"/>
              <w:left w:val="nil"/>
              <w:bottom w:val="dashSmallGap"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41%</w:t>
            </w:r>
          </w:p>
        </w:tc>
        <w:tc>
          <w:tcPr>
            <w:tcW w:w="1350" w:type="dxa"/>
            <w:tcBorders>
              <w:top w:val="nil"/>
              <w:left w:val="nil"/>
              <w:bottom w:val="dashSmallGap"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326</w:t>
            </w:r>
          </w:p>
        </w:tc>
        <w:tc>
          <w:tcPr>
            <w:tcW w:w="1584" w:type="dxa"/>
            <w:tcBorders>
              <w:top w:val="nil"/>
              <w:left w:val="nil"/>
              <w:bottom w:val="dashSmallGap"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109</w:t>
            </w:r>
          </w:p>
        </w:tc>
        <w:tc>
          <w:tcPr>
            <w:tcW w:w="1350" w:type="dxa"/>
            <w:tcBorders>
              <w:top w:val="nil"/>
              <w:left w:val="nil"/>
              <w:bottom w:val="dashSmallGap"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44</w:t>
            </w:r>
          </w:p>
        </w:tc>
        <w:tc>
          <w:tcPr>
            <w:tcW w:w="1440" w:type="dxa"/>
            <w:tcBorders>
              <w:top w:val="nil"/>
              <w:left w:val="nil"/>
              <w:bottom w:val="dashSmallGap"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326</w:t>
            </w:r>
          </w:p>
        </w:tc>
        <w:tc>
          <w:tcPr>
            <w:tcW w:w="1350" w:type="dxa"/>
            <w:tcBorders>
              <w:top w:val="nil"/>
              <w:left w:val="nil"/>
              <w:bottom w:val="dashSmallGap" w:sz="4"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133</w:t>
            </w:r>
          </w:p>
        </w:tc>
      </w:tr>
      <w:tr w:rsidR="00D83844" w:rsidRPr="0009166A" w:rsidTr="0088491D">
        <w:trPr>
          <w:trHeight w:val="70"/>
          <w:jc w:val="center"/>
        </w:trPr>
        <w:tc>
          <w:tcPr>
            <w:tcW w:w="728"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Total</w:t>
            </w:r>
          </w:p>
        </w:tc>
        <w:tc>
          <w:tcPr>
            <w:tcW w:w="135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 </w:t>
            </w:r>
          </w:p>
        </w:tc>
        <w:tc>
          <w:tcPr>
            <w:tcW w:w="1396"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 </w:t>
            </w:r>
          </w:p>
        </w:tc>
        <w:tc>
          <w:tcPr>
            <w:tcW w:w="153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 </w:t>
            </w:r>
          </w:p>
        </w:tc>
        <w:tc>
          <w:tcPr>
            <w:tcW w:w="117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48%</w:t>
            </w:r>
          </w:p>
        </w:tc>
        <w:tc>
          <w:tcPr>
            <w:tcW w:w="135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4,742</w:t>
            </w:r>
          </w:p>
        </w:tc>
        <w:tc>
          <w:tcPr>
            <w:tcW w:w="1584"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3,636</w:t>
            </w:r>
          </w:p>
        </w:tc>
        <w:tc>
          <w:tcPr>
            <w:tcW w:w="135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1,732</w:t>
            </w:r>
          </w:p>
        </w:tc>
        <w:tc>
          <w:tcPr>
            <w:tcW w:w="144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4,742</w:t>
            </w:r>
          </w:p>
        </w:tc>
        <w:tc>
          <w:tcPr>
            <w:tcW w:w="1350" w:type="dxa"/>
            <w:tcBorders>
              <w:top w:val="dashSmallGap" w:sz="4" w:space="0" w:color="auto"/>
              <w:left w:val="nil"/>
              <w:bottom w:val="single" w:sz="12" w:space="0" w:color="auto"/>
              <w:right w:val="nil"/>
            </w:tcBorders>
            <w:shd w:val="clear" w:color="auto" w:fill="auto"/>
            <w:noWrap/>
            <w:vAlign w:val="center"/>
            <w:hideMark/>
          </w:tcPr>
          <w:p w:rsidR="00D83844" w:rsidRPr="0009166A" w:rsidRDefault="00D83844" w:rsidP="0088491D">
            <w:pPr>
              <w:widowControl/>
              <w:autoSpaceDE/>
              <w:autoSpaceDN/>
              <w:adjustRightInd/>
              <w:jc w:val="center"/>
              <w:rPr>
                <w:color w:val="000000"/>
                <w:sz w:val="24"/>
                <w:szCs w:val="24"/>
              </w:rPr>
            </w:pPr>
            <w:r w:rsidRPr="0009166A">
              <w:rPr>
                <w:color w:val="000000"/>
                <w:sz w:val="24"/>
                <w:szCs w:val="24"/>
              </w:rPr>
              <w:t>2,259</w:t>
            </w:r>
          </w:p>
        </w:tc>
      </w:tr>
    </w:tbl>
    <w:p w:rsidR="00D83844" w:rsidRDefault="00D83844" w:rsidP="00D83844">
      <w:pPr>
        <w:pStyle w:val="Default"/>
      </w:pPr>
    </w:p>
    <w:p w:rsidR="00D83844" w:rsidRPr="003530A9" w:rsidRDefault="00D83844" w:rsidP="00D83844">
      <w:pPr>
        <w:pStyle w:val="Default"/>
      </w:pPr>
    </w:p>
    <w:p w:rsidR="00D83844" w:rsidRPr="003530A9" w:rsidRDefault="00D83844" w:rsidP="00D83844">
      <w:pPr>
        <w:pStyle w:val="Default"/>
      </w:pPr>
      <w:r w:rsidRPr="003530A9">
        <w:t>A simple random sample of licensed anglers is selected from the state’s license frame.  The survey instrument collects information about recent saltwater fishing activity for the sampled angler, as well as any other individuals who reside at the same address as the sampled angler; each sampled angler represents a cluster of anglers who reside at the same address.  Table 2 provides the sample universe, sample size, expected response rates and estimated number of completed surveys for the state.</w:t>
      </w:r>
    </w:p>
    <w:p w:rsidR="00D83844" w:rsidRDefault="00D83844" w:rsidP="00D83844">
      <w:pPr>
        <w:pStyle w:val="Default"/>
      </w:pPr>
    </w:p>
    <w:p w:rsidR="00D83844" w:rsidRDefault="00D83844" w:rsidP="00D83844">
      <w:pPr>
        <w:pStyle w:val="Default"/>
      </w:pPr>
    </w:p>
    <w:p w:rsidR="009D10E1" w:rsidRDefault="009D10E1" w:rsidP="00D83844">
      <w:pPr>
        <w:pStyle w:val="Default"/>
        <w:rPr>
          <w:b/>
        </w:rPr>
      </w:pPr>
    </w:p>
    <w:p w:rsidR="009D10E1" w:rsidRDefault="009D10E1" w:rsidP="00D83844">
      <w:pPr>
        <w:pStyle w:val="Default"/>
        <w:rPr>
          <w:b/>
        </w:rPr>
      </w:pPr>
    </w:p>
    <w:p w:rsidR="009D10E1" w:rsidRDefault="009D10E1" w:rsidP="00D83844">
      <w:pPr>
        <w:pStyle w:val="Default"/>
        <w:rPr>
          <w:b/>
        </w:rPr>
      </w:pPr>
    </w:p>
    <w:p w:rsidR="009D10E1" w:rsidRDefault="009D10E1" w:rsidP="00D83844">
      <w:pPr>
        <w:pStyle w:val="Default"/>
        <w:rPr>
          <w:b/>
        </w:rPr>
      </w:pPr>
    </w:p>
    <w:p w:rsidR="009D10E1" w:rsidRDefault="009D10E1" w:rsidP="00D83844">
      <w:pPr>
        <w:pStyle w:val="Default"/>
        <w:rPr>
          <w:b/>
        </w:rPr>
      </w:pPr>
    </w:p>
    <w:p w:rsidR="009D10E1" w:rsidRDefault="009D10E1" w:rsidP="00D83844">
      <w:pPr>
        <w:pStyle w:val="Default"/>
        <w:rPr>
          <w:b/>
        </w:rPr>
      </w:pPr>
    </w:p>
    <w:p w:rsidR="009D10E1" w:rsidRDefault="009D10E1" w:rsidP="00D83844">
      <w:pPr>
        <w:pStyle w:val="Default"/>
        <w:rPr>
          <w:b/>
        </w:rPr>
      </w:pPr>
    </w:p>
    <w:p w:rsidR="00D83844" w:rsidRPr="00F16837" w:rsidRDefault="00D83844" w:rsidP="00D83844">
      <w:pPr>
        <w:pStyle w:val="Default"/>
        <w:rPr>
          <w:b/>
        </w:rPr>
      </w:pPr>
      <w:r w:rsidRPr="00F16837">
        <w:rPr>
          <w:b/>
        </w:rPr>
        <w:lastRenderedPageBreak/>
        <w:t xml:space="preserve">Table 2. Estimated size of the sample universe, initial and final sample sizes, expected response rates and estimated number of completed interviews for the nonresident angler sampling. </w:t>
      </w:r>
    </w:p>
    <w:p w:rsidR="00D83844" w:rsidRPr="00F7355A" w:rsidRDefault="00D83844" w:rsidP="00D83844">
      <w:pPr>
        <w:pStyle w:val="Default"/>
        <w:jc w:val="center"/>
        <w:rPr>
          <w:b/>
          <w:sz w:val="22"/>
          <w:szCs w:val="22"/>
        </w:rPr>
      </w:pPr>
    </w:p>
    <w:tbl>
      <w:tblPr>
        <w:tblW w:w="12321" w:type="dxa"/>
        <w:jc w:val="center"/>
        <w:tblLayout w:type="fixed"/>
        <w:tblLook w:val="04A0" w:firstRow="1" w:lastRow="0" w:firstColumn="1" w:lastColumn="0" w:noHBand="0" w:noVBand="1"/>
      </w:tblPr>
      <w:tblGrid>
        <w:gridCol w:w="738"/>
        <w:gridCol w:w="1440"/>
        <w:gridCol w:w="990"/>
        <w:gridCol w:w="1103"/>
        <w:gridCol w:w="1440"/>
        <w:gridCol w:w="1350"/>
        <w:gridCol w:w="1359"/>
        <w:gridCol w:w="1260"/>
        <w:gridCol w:w="1350"/>
        <w:gridCol w:w="1291"/>
      </w:tblGrid>
      <w:tr w:rsidR="00D83844" w:rsidRPr="003530A9" w:rsidTr="0088491D">
        <w:trPr>
          <w:trHeight w:val="249"/>
          <w:jc w:val="center"/>
        </w:trPr>
        <w:tc>
          <w:tcPr>
            <w:tcW w:w="12321" w:type="dxa"/>
            <w:gridSpan w:val="10"/>
            <w:tcBorders>
              <w:top w:val="nil"/>
              <w:left w:val="nil"/>
              <w:bottom w:val="single" w:sz="12" w:space="0" w:color="auto"/>
              <w:right w:val="nil"/>
            </w:tcBorders>
            <w:shd w:val="clear" w:color="auto" w:fill="auto"/>
            <w:vAlign w:val="center"/>
          </w:tcPr>
          <w:p w:rsidR="00D83844" w:rsidRPr="00B4062F" w:rsidRDefault="00D83844" w:rsidP="0088491D">
            <w:pPr>
              <w:pStyle w:val="Default"/>
              <w:jc w:val="center"/>
              <w:rPr>
                <w:b/>
                <w:sz w:val="22"/>
                <w:szCs w:val="22"/>
              </w:rPr>
            </w:pPr>
            <w:r w:rsidRPr="00F7355A">
              <w:rPr>
                <w:b/>
              </w:rPr>
              <w:t>Wave A (May-August, 2013), Wave B (September-December, 2012) and Wave C (January-April, 2014)</w:t>
            </w:r>
          </w:p>
        </w:tc>
      </w:tr>
      <w:tr w:rsidR="00D83844" w:rsidRPr="00575B17" w:rsidTr="0088491D">
        <w:trPr>
          <w:trHeight w:val="1113"/>
          <w:jc w:val="center"/>
        </w:trPr>
        <w:tc>
          <w:tcPr>
            <w:tcW w:w="738" w:type="dxa"/>
            <w:tcBorders>
              <w:top w:val="single" w:sz="12" w:space="0" w:color="auto"/>
              <w:left w:val="nil"/>
              <w:bottom w:val="single" w:sz="12" w:space="0" w:color="auto"/>
              <w:right w:val="nil"/>
            </w:tcBorders>
            <w:shd w:val="clear" w:color="auto" w:fill="auto"/>
            <w:vAlign w:val="center"/>
            <w:hideMark/>
          </w:tcPr>
          <w:p w:rsidR="00D83844" w:rsidRPr="00B4062F" w:rsidRDefault="00D83844" w:rsidP="0088491D">
            <w:pPr>
              <w:widowControl/>
              <w:autoSpaceDE/>
              <w:autoSpaceDN/>
              <w:adjustRightInd/>
              <w:jc w:val="center"/>
              <w:rPr>
                <w:color w:val="000000"/>
                <w:sz w:val="22"/>
                <w:szCs w:val="22"/>
              </w:rPr>
            </w:pPr>
            <w:r w:rsidRPr="00B4062F">
              <w:rPr>
                <w:color w:val="000000"/>
                <w:sz w:val="22"/>
                <w:szCs w:val="22"/>
              </w:rPr>
              <w:t>State</w:t>
            </w:r>
          </w:p>
        </w:tc>
        <w:tc>
          <w:tcPr>
            <w:tcW w:w="1440" w:type="dxa"/>
            <w:tcBorders>
              <w:top w:val="single" w:sz="12" w:space="0" w:color="auto"/>
              <w:left w:val="nil"/>
              <w:bottom w:val="single" w:sz="12" w:space="0" w:color="auto"/>
              <w:right w:val="nil"/>
            </w:tcBorders>
            <w:shd w:val="clear" w:color="auto" w:fill="auto"/>
            <w:vAlign w:val="center"/>
            <w:hideMark/>
          </w:tcPr>
          <w:p w:rsidR="00D83844" w:rsidRPr="00B4062F" w:rsidRDefault="00D83844" w:rsidP="0088491D">
            <w:pPr>
              <w:widowControl/>
              <w:autoSpaceDE/>
              <w:autoSpaceDN/>
              <w:adjustRightInd/>
              <w:jc w:val="center"/>
              <w:rPr>
                <w:color w:val="000000"/>
                <w:sz w:val="22"/>
                <w:szCs w:val="22"/>
              </w:rPr>
            </w:pPr>
            <w:r w:rsidRPr="00B4062F">
              <w:rPr>
                <w:color w:val="000000"/>
                <w:sz w:val="22"/>
                <w:szCs w:val="22"/>
              </w:rPr>
              <w:t>Estimated Number of Nonresident Anglers</w:t>
            </w:r>
            <w:r>
              <w:rPr>
                <w:rStyle w:val="FootnoteReference"/>
                <w:color w:val="000000"/>
                <w:sz w:val="22"/>
                <w:szCs w:val="22"/>
              </w:rPr>
              <w:footnoteReference w:id="9"/>
            </w:r>
          </w:p>
        </w:tc>
        <w:tc>
          <w:tcPr>
            <w:tcW w:w="990" w:type="dxa"/>
            <w:tcBorders>
              <w:top w:val="single" w:sz="12" w:space="0" w:color="auto"/>
              <w:left w:val="nil"/>
              <w:bottom w:val="single" w:sz="12" w:space="0" w:color="auto"/>
              <w:right w:val="nil"/>
            </w:tcBorders>
            <w:shd w:val="clear" w:color="auto" w:fill="auto"/>
            <w:vAlign w:val="center"/>
            <w:hideMark/>
          </w:tcPr>
          <w:p w:rsidR="00D83844" w:rsidRPr="00B4062F" w:rsidRDefault="00D83844" w:rsidP="0088491D">
            <w:pPr>
              <w:widowControl/>
              <w:autoSpaceDE/>
              <w:autoSpaceDN/>
              <w:adjustRightInd/>
              <w:jc w:val="center"/>
              <w:rPr>
                <w:color w:val="000000"/>
                <w:sz w:val="22"/>
                <w:szCs w:val="22"/>
              </w:rPr>
            </w:pPr>
            <w:r w:rsidRPr="00B4062F">
              <w:rPr>
                <w:color w:val="000000"/>
                <w:sz w:val="22"/>
                <w:szCs w:val="22"/>
              </w:rPr>
              <w:t>Wave A Sample Size</w:t>
            </w:r>
            <w:r>
              <w:rPr>
                <w:rStyle w:val="FootnoteReference"/>
                <w:color w:val="000000"/>
                <w:sz w:val="22"/>
                <w:szCs w:val="22"/>
              </w:rPr>
              <w:footnoteReference w:id="10"/>
            </w:r>
          </w:p>
        </w:tc>
        <w:tc>
          <w:tcPr>
            <w:tcW w:w="1103" w:type="dxa"/>
            <w:tcBorders>
              <w:top w:val="single" w:sz="12" w:space="0" w:color="auto"/>
              <w:left w:val="nil"/>
              <w:bottom w:val="single" w:sz="12" w:space="0" w:color="auto"/>
              <w:right w:val="nil"/>
            </w:tcBorders>
            <w:shd w:val="clear" w:color="auto" w:fill="auto"/>
            <w:vAlign w:val="center"/>
            <w:hideMark/>
          </w:tcPr>
          <w:p w:rsidR="00D83844" w:rsidRPr="00B4062F" w:rsidRDefault="00D83844" w:rsidP="0088491D">
            <w:pPr>
              <w:widowControl/>
              <w:autoSpaceDE/>
              <w:autoSpaceDN/>
              <w:adjustRightInd/>
              <w:jc w:val="center"/>
              <w:rPr>
                <w:color w:val="000000"/>
                <w:sz w:val="22"/>
                <w:szCs w:val="22"/>
              </w:rPr>
            </w:pPr>
            <w:r w:rsidRPr="00B4062F">
              <w:rPr>
                <w:color w:val="000000"/>
                <w:sz w:val="22"/>
                <w:szCs w:val="22"/>
              </w:rPr>
              <w:t>Expected Response Rate</w:t>
            </w:r>
            <w:r>
              <w:rPr>
                <w:rStyle w:val="FootnoteReference"/>
                <w:color w:val="000000"/>
                <w:sz w:val="22"/>
                <w:szCs w:val="22"/>
              </w:rPr>
              <w:footnoteReference w:id="11"/>
            </w:r>
          </w:p>
        </w:tc>
        <w:tc>
          <w:tcPr>
            <w:tcW w:w="1440" w:type="dxa"/>
            <w:tcBorders>
              <w:top w:val="single" w:sz="12" w:space="0" w:color="auto"/>
              <w:left w:val="nil"/>
              <w:bottom w:val="single" w:sz="12" w:space="0" w:color="auto"/>
              <w:right w:val="nil"/>
            </w:tcBorders>
            <w:shd w:val="clear" w:color="auto" w:fill="auto"/>
            <w:vAlign w:val="center"/>
            <w:hideMark/>
          </w:tcPr>
          <w:p w:rsidR="00D83844" w:rsidRPr="00B4062F" w:rsidRDefault="00D83844" w:rsidP="0088491D">
            <w:pPr>
              <w:widowControl/>
              <w:autoSpaceDE/>
              <w:autoSpaceDN/>
              <w:adjustRightInd/>
              <w:jc w:val="center"/>
              <w:rPr>
                <w:color w:val="000000"/>
                <w:sz w:val="22"/>
                <w:szCs w:val="22"/>
              </w:rPr>
            </w:pPr>
            <w:r w:rsidRPr="00B4062F">
              <w:rPr>
                <w:color w:val="000000"/>
                <w:sz w:val="22"/>
                <w:szCs w:val="22"/>
              </w:rPr>
              <w:t>Household Fishing Status</w:t>
            </w:r>
            <w:r w:rsidRPr="00B4062F">
              <w:rPr>
                <w:rStyle w:val="FootnoteReference"/>
                <w:color w:val="000000"/>
                <w:sz w:val="22"/>
                <w:szCs w:val="22"/>
              </w:rPr>
              <w:footnoteReference w:id="12"/>
            </w:r>
          </w:p>
        </w:tc>
        <w:tc>
          <w:tcPr>
            <w:tcW w:w="1350" w:type="dxa"/>
            <w:tcBorders>
              <w:top w:val="single" w:sz="12" w:space="0" w:color="auto"/>
              <w:left w:val="nil"/>
              <w:bottom w:val="single" w:sz="12" w:space="0" w:color="auto"/>
              <w:right w:val="nil"/>
            </w:tcBorders>
            <w:shd w:val="clear" w:color="auto" w:fill="auto"/>
            <w:vAlign w:val="center"/>
            <w:hideMark/>
          </w:tcPr>
          <w:p w:rsidR="00D83844" w:rsidRPr="00575B17" w:rsidRDefault="00D83844" w:rsidP="0088491D">
            <w:pPr>
              <w:widowControl/>
              <w:autoSpaceDE/>
              <w:autoSpaceDN/>
              <w:adjustRightInd/>
              <w:jc w:val="center"/>
              <w:rPr>
                <w:color w:val="000000"/>
                <w:sz w:val="22"/>
                <w:szCs w:val="22"/>
              </w:rPr>
            </w:pPr>
            <w:r w:rsidRPr="00575B17">
              <w:rPr>
                <w:color w:val="000000"/>
                <w:sz w:val="22"/>
                <w:szCs w:val="22"/>
              </w:rPr>
              <w:t>Wave A Estimated Completed Interviews</w:t>
            </w:r>
            <w:r w:rsidRPr="00575B17">
              <w:rPr>
                <w:rStyle w:val="FootnoteReference"/>
                <w:color w:val="000000"/>
                <w:sz w:val="22"/>
                <w:szCs w:val="22"/>
              </w:rPr>
              <w:footnoteReference w:id="13"/>
            </w:r>
          </w:p>
        </w:tc>
        <w:tc>
          <w:tcPr>
            <w:tcW w:w="1359" w:type="dxa"/>
            <w:tcBorders>
              <w:top w:val="single" w:sz="12" w:space="0" w:color="auto"/>
              <w:left w:val="nil"/>
              <w:bottom w:val="single" w:sz="12" w:space="0" w:color="auto"/>
              <w:right w:val="nil"/>
            </w:tcBorders>
            <w:shd w:val="clear" w:color="auto" w:fill="auto"/>
            <w:vAlign w:val="center"/>
            <w:hideMark/>
          </w:tcPr>
          <w:p w:rsidR="00D83844" w:rsidRPr="00575B17" w:rsidRDefault="00D83844" w:rsidP="0088491D">
            <w:pPr>
              <w:widowControl/>
              <w:autoSpaceDE/>
              <w:autoSpaceDN/>
              <w:adjustRightInd/>
              <w:jc w:val="center"/>
              <w:rPr>
                <w:color w:val="000000"/>
                <w:sz w:val="22"/>
                <w:szCs w:val="22"/>
              </w:rPr>
            </w:pPr>
            <w:r w:rsidRPr="00575B17">
              <w:rPr>
                <w:color w:val="000000"/>
                <w:sz w:val="22"/>
                <w:szCs w:val="22"/>
              </w:rPr>
              <w:t>Wave B Estimated Sample Size</w:t>
            </w:r>
            <w:r>
              <w:rPr>
                <w:rStyle w:val="FootnoteReference"/>
                <w:color w:val="000000"/>
                <w:sz w:val="22"/>
                <w:szCs w:val="22"/>
              </w:rPr>
              <w:footnoteReference w:id="14"/>
            </w:r>
          </w:p>
        </w:tc>
        <w:tc>
          <w:tcPr>
            <w:tcW w:w="1260" w:type="dxa"/>
            <w:tcBorders>
              <w:top w:val="single" w:sz="12" w:space="0" w:color="auto"/>
              <w:left w:val="nil"/>
              <w:bottom w:val="single" w:sz="12" w:space="0" w:color="auto"/>
              <w:right w:val="nil"/>
            </w:tcBorders>
            <w:shd w:val="clear" w:color="auto" w:fill="auto"/>
            <w:vAlign w:val="center"/>
            <w:hideMark/>
          </w:tcPr>
          <w:p w:rsidR="00D83844" w:rsidRPr="00575B17" w:rsidRDefault="00D83844" w:rsidP="0088491D">
            <w:pPr>
              <w:widowControl/>
              <w:autoSpaceDE/>
              <w:autoSpaceDN/>
              <w:adjustRightInd/>
              <w:jc w:val="center"/>
              <w:rPr>
                <w:color w:val="000000"/>
                <w:sz w:val="22"/>
                <w:szCs w:val="22"/>
              </w:rPr>
            </w:pPr>
            <w:r w:rsidRPr="00575B17">
              <w:rPr>
                <w:color w:val="000000"/>
                <w:sz w:val="22"/>
                <w:szCs w:val="22"/>
              </w:rPr>
              <w:t>Wave B Estimated Completed Interviews</w:t>
            </w:r>
          </w:p>
        </w:tc>
        <w:tc>
          <w:tcPr>
            <w:tcW w:w="1350" w:type="dxa"/>
            <w:tcBorders>
              <w:top w:val="single" w:sz="12" w:space="0" w:color="auto"/>
              <w:left w:val="nil"/>
              <w:bottom w:val="single" w:sz="12" w:space="0" w:color="auto"/>
              <w:right w:val="nil"/>
            </w:tcBorders>
            <w:shd w:val="clear" w:color="auto" w:fill="auto"/>
            <w:vAlign w:val="center"/>
            <w:hideMark/>
          </w:tcPr>
          <w:p w:rsidR="00D83844" w:rsidRPr="00575B17" w:rsidRDefault="00D83844" w:rsidP="0088491D">
            <w:pPr>
              <w:widowControl/>
              <w:autoSpaceDE/>
              <w:autoSpaceDN/>
              <w:adjustRightInd/>
              <w:jc w:val="center"/>
              <w:rPr>
                <w:color w:val="000000"/>
                <w:sz w:val="22"/>
                <w:szCs w:val="22"/>
              </w:rPr>
            </w:pPr>
            <w:r w:rsidRPr="00575B17">
              <w:rPr>
                <w:color w:val="000000"/>
                <w:sz w:val="22"/>
                <w:szCs w:val="22"/>
              </w:rPr>
              <w:t>Wave C Estimated Sample Size</w:t>
            </w:r>
          </w:p>
        </w:tc>
        <w:tc>
          <w:tcPr>
            <w:tcW w:w="1291" w:type="dxa"/>
            <w:tcBorders>
              <w:top w:val="single" w:sz="12" w:space="0" w:color="auto"/>
              <w:left w:val="nil"/>
              <w:bottom w:val="single" w:sz="12" w:space="0" w:color="auto"/>
              <w:right w:val="nil"/>
            </w:tcBorders>
            <w:shd w:val="clear" w:color="auto" w:fill="auto"/>
            <w:vAlign w:val="center"/>
            <w:hideMark/>
          </w:tcPr>
          <w:p w:rsidR="00D83844" w:rsidRPr="00575B17" w:rsidRDefault="00D83844" w:rsidP="0088491D">
            <w:pPr>
              <w:widowControl/>
              <w:autoSpaceDE/>
              <w:autoSpaceDN/>
              <w:adjustRightInd/>
              <w:jc w:val="center"/>
              <w:rPr>
                <w:color w:val="000000"/>
                <w:sz w:val="22"/>
                <w:szCs w:val="22"/>
              </w:rPr>
            </w:pPr>
            <w:r w:rsidRPr="00575B17">
              <w:rPr>
                <w:color w:val="000000"/>
                <w:sz w:val="22"/>
                <w:szCs w:val="22"/>
              </w:rPr>
              <w:t>Wave C Estimated Completed Interviews</w:t>
            </w:r>
          </w:p>
        </w:tc>
      </w:tr>
      <w:tr w:rsidR="00D83844" w:rsidRPr="003530A9" w:rsidTr="0088491D">
        <w:trPr>
          <w:trHeight w:val="150"/>
          <w:jc w:val="center"/>
        </w:trPr>
        <w:tc>
          <w:tcPr>
            <w:tcW w:w="738" w:type="dxa"/>
            <w:vMerge w:val="restart"/>
            <w:tcBorders>
              <w:top w:val="nil"/>
              <w:left w:val="nil"/>
              <w:bottom w:val="single" w:sz="4" w:space="0" w:color="000000"/>
              <w:right w:val="nil"/>
            </w:tcBorders>
            <w:shd w:val="clear" w:color="auto" w:fill="auto"/>
            <w:noWrap/>
            <w:vAlign w:val="center"/>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NC</w:t>
            </w:r>
          </w:p>
        </w:tc>
        <w:tc>
          <w:tcPr>
            <w:tcW w:w="1440" w:type="dxa"/>
            <w:vMerge w:val="restart"/>
            <w:tcBorders>
              <w:top w:val="nil"/>
              <w:left w:val="nil"/>
              <w:right w:val="nil"/>
            </w:tcBorders>
            <w:shd w:val="clear" w:color="auto" w:fill="auto"/>
            <w:noWrap/>
            <w:vAlign w:val="center"/>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159,743</w:t>
            </w:r>
          </w:p>
        </w:tc>
        <w:tc>
          <w:tcPr>
            <w:tcW w:w="990" w:type="dxa"/>
            <w:vMerge w:val="restart"/>
            <w:tcBorders>
              <w:top w:val="nil"/>
              <w:left w:val="nil"/>
              <w:right w:val="nil"/>
            </w:tcBorders>
            <w:shd w:val="clear" w:color="auto" w:fill="auto"/>
            <w:noWrap/>
            <w:vAlign w:val="center"/>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720</w:t>
            </w:r>
          </w:p>
        </w:tc>
        <w:tc>
          <w:tcPr>
            <w:tcW w:w="1103" w:type="dxa"/>
            <w:vMerge w:val="restart"/>
            <w:tcBorders>
              <w:top w:val="nil"/>
              <w:left w:val="nil"/>
              <w:bottom w:val="single" w:sz="4" w:space="0" w:color="000000"/>
              <w:right w:val="nil"/>
            </w:tcBorders>
            <w:shd w:val="clear" w:color="auto" w:fill="auto"/>
            <w:noWrap/>
            <w:vAlign w:val="center"/>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60%</w:t>
            </w:r>
          </w:p>
        </w:tc>
        <w:tc>
          <w:tcPr>
            <w:tcW w:w="1440" w:type="dxa"/>
            <w:tcBorders>
              <w:top w:val="nil"/>
              <w:left w:val="nil"/>
              <w:bottom w:val="nil"/>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current/likely</w:t>
            </w:r>
          </w:p>
        </w:tc>
        <w:tc>
          <w:tcPr>
            <w:tcW w:w="1350" w:type="dxa"/>
            <w:tcBorders>
              <w:top w:val="nil"/>
              <w:left w:val="nil"/>
              <w:bottom w:val="nil"/>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311</w:t>
            </w:r>
          </w:p>
        </w:tc>
        <w:tc>
          <w:tcPr>
            <w:tcW w:w="1359" w:type="dxa"/>
            <w:tcBorders>
              <w:top w:val="nil"/>
              <w:left w:val="nil"/>
              <w:bottom w:val="nil"/>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311</w:t>
            </w:r>
          </w:p>
        </w:tc>
        <w:tc>
          <w:tcPr>
            <w:tcW w:w="1260" w:type="dxa"/>
            <w:tcBorders>
              <w:top w:val="nil"/>
              <w:left w:val="nil"/>
              <w:bottom w:val="nil"/>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187</w:t>
            </w:r>
          </w:p>
        </w:tc>
        <w:tc>
          <w:tcPr>
            <w:tcW w:w="1350" w:type="dxa"/>
            <w:tcBorders>
              <w:top w:val="nil"/>
              <w:left w:val="nil"/>
              <w:bottom w:val="nil"/>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311</w:t>
            </w:r>
          </w:p>
        </w:tc>
        <w:tc>
          <w:tcPr>
            <w:tcW w:w="1291" w:type="dxa"/>
            <w:tcBorders>
              <w:top w:val="nil"/>
              <w:left w:val="nil"/>
              <w:bottom w:val="nil"/>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187</w:t>
            </w:r>
          </w:p>
        </w:tc>
      </w:tr>
      <w:tr w:rsidR="00D83844" w:rsidRPr="003530A9" w:rsidTr="0088491D">
        <w:trPr>
          <w:trHeight w:val="70"/>
          <w:jc w:val="center"/>
        </w:trPr>
        <w:tc>
          <w:tcPr>
            <w:tcW w:w="738" w:type="dxa"/>
            <w:vMerge/>
            <w:tcBorders>
              <w:top w:val="nil"/>
              <w:left w:val="nil"/>
              <w:bottom w:val="dashSmallGap" w:sz="4" w:space="0" w:color="auto"/>
              <w:right w:val="nil"/>
            </w:tcBorders>
            <w:vAlign w:val="center"/>
            <w:hideMark/>
          </w:tcPr>
          <w:p w:rsidR="00D83844" w:rsidRPr="003530A9" w:rsidRDefault="00D83844" w:rsidP="0088491D">
            <w:pPr>
              <w:widowControl/>
              <w:autoSpaceDE/>
              <w:autoSpaceDN/>
              <w:adjustRightInd/>
              <w:rPr>
                <w:color w:val="000000"/>
                <w:sz w:val="22"/>
                <w:szCs w:val="22"/>
              </w:rPr>
            </w:pPr>
          </w:p>
        </w:tc>
        <w:tc>
          <w:tcPr>
            <w:tcW w:w="1440" w:type="dxa"/>
            <w:vMerge/>
            <w:tcBorders>
              <w:left w:val="nil"/>
              <w:bottom w:val="dashSmallGap" w:sz="4" w:space="0" w:color="auto"/>
              <w:right w:val="nil"/>
            </w:tcBorders>
            <w:vAlign w:val="center"/>
            <w:hideMark/>
          </w:tcPr>
          <w:p w:rsidR="00D83844" w:rsidRPr="003530A9" w:rsidRDefault="00D83844" w:rsidP="0088491D">
            <w:pPr>
              <w:rPr>
                <w:color w:val="000000"/>
                <w:sz w:val="22"/>
                <w:szCs w:val="22"/>
              </w:rPr>
            </w:pPr>
          </w:p>
        </w:tc>
        <w:tc>
          <w:tcPr>
            <w:tcW w:w="990" w:type="dxa"/>
            <w:vMerge/>
            <w:tcBorders>
              <w:left w:val="nil"/>
              <w:bottom w:val="dashSmallGap" w:sz="4" w:space="0" w:color="auto"/>
              <w:right w:val="nil"/>
            </w:tcBorders>
            <w:vAlign w:val="center"/>
            <w:hideMark/>
          </w:tcPr>
          <w:p w:rsidR="00D83844" w:rsidRPr="003530A9" w:rsidRDefault="00D83844" w:rsidP="0088491D">
            <w:pPr>
              <w:jc w:val="center"/>
              <w:rPr>
                <w:color w:val="000000"/>
                <w:sz w:val="22"/>
                <w:szCs w:val="22"/>
              </w:rPr>
            </w:pPr>
          </w:p>
        </w:tc>
        <w:tc>
          <w:tcPr>
            <w:tcW w:w="1103" w:type="dxa"/>
            <w:vMerge/>
            <w:tcBorders>
              <w:top w:val="nil"/>
              <w:left w:val="nil"/>
              <w:bottom w:val="dashSmallGap" w:sz="4" w:space="0" w:color="auto"/>
              <w:right w:val="nil"/>
            </w:tcBorders>
            <w:vAlign w:val="center"/>
            <w:hideMark/>
          </w:tcPr>
          <w:p w:rsidR="00D83844" w:rsidRPr="003530A9" w:rsidRDefault="00D83844" w:rsidP="0088491D">
            <w:pPr>
              <w:widowControl/>
              <w:autoSpaceDE/>
              <w:autoSpaceDN/>
              <w:adjustRightInd/>
              <w:rPr>
                <w:color w:val="000000"/>
                <w:sz w:val="22"/>
                <w:szCs w:val="22"/>
              </w:rPr>
            </w:pPr>
          </w:p>
        </w:tc>
        <w:tc>
          <w:tcPr>
            <w:tcW w:w="1440" w:type="dxa"/>
            <w:tcBorders>
              <w:top w:val="nil"/>
              <w:left w:val="nil"/>
              <w:bottom w:val="dashSmallGap" w:sz="4"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unlikely</w:t>
            </w:r>
          </w:p>
        </w:tc>
        <w:tc>
          <w:tcPr>
            <w:tcW w:w="1350" w:type="dxa"/>
            <w:tcBorders>
              <w:top w:val="nil"/>
              <w:left w:val="nil"/>
              <w:bottom w:val="dashSmallGap" w:sz="4"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78</w:t>
            </w:r>
          </w:p>
        </w:tc>
        <w:tc>
          <w:tcPr>
            <w:tcW w:w="1359" w:type="dxa"/>
            <w:tcBorders>
              <w:top w:val="nil"/>
              <w:left w:val="nil"/>
              <w:bottom w:val="dashSmallGap" w:sz="4"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26</w:t>
            </w:r>
          </w:p>
        </w:tc>
        <w:tc>
          <w:tcPr>
            <w:tcW w:w="1260" w:type="dxa"/>
            <w:tcBorders>
              <w:top w:val="nil"/>
              <w:left w:val="nil"/>
              <w:bottom w:val="dashSmallGap" w:sz="4"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16</w:t>
            </w:r>
          </w:p>
        </w:tc>
        <w:tc>
          <w:tcPr>
            <w:tcW w:w="1350" w:type="dxa"/>
            <w:tcBorders>
              <w:top w:val="nil"/>
              <w:left w:val="nil"/>
              <w:bottom w:val="dashSmallGap" w:sz="4"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78</w:t>
            </w:r>
          </w:p>
        </w:tc>
        <w:tc>
          <w:tcPr>
            <w:tcW w:w="1291" w:type="dxa"/>
            <w:tcBorders>
              <w:top w:val="nil"/>
              <w:left w:val="nil"/>
              <w:bottom w:val="dashSmallGap" w:sz="4"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47</w:t>
            </w:r>
          </w:p>
        </w:tc>
      </w:tr>
      <w:tr w:rsidR="00D83844" w:rsidRPr="003530A9" w:rsidTr="0088491D">
        <w:trPr>
          <w:trHeight w:val="70"/>
          <w:jc w:val="center"/>
        </w:trPr>
        <w:tc>
          <w:tcPr>
            <w:tcW w:w="738" w:type="dxa"/>
            <w:tcBorders>
              <w:top w:val="dashSmallGap" w:sz="4" w:space="0" w:color="auto"/>
              <w:left w:val="nil"/>
              <w:bottom w:val="single" w:sz="12" w:space="0" w:color="auto"/>
              <w:right w:val="nil"/>
            </w:tcBorders>
            <w:shd w:val="clear" w:color="auto" w:fill="auto"/>
            <w:noWrap/>
            <w:vAlign w:val="bottom"/>
            <w:hideMark/>
          </w:tcPr>
          <w:p w:rsidR="00D83844" w:rsidRPr="003530A9" w:rsidRDefault="00D83844" w:rsidP="0088491D">
            <w:pPr>
              <w:jc w:val="center"/>
              <w:rPr>
                <w:color w:val="000000"/>
                <w:sz w:val="22"/>
                <w:szCs w:val="22"/>
              </w:rPr>
            </w:pPr>
            <w:r w:rsidRPr="003530A9">
              <w:rPr>
                <w:color w:val="000000"/>
                <w:sz w:val="22"/>
                <w:szCs w:val="22"/>
              </w:rPr>
              <w:t>Total</w:t>
            </w:r>
          </w:p>
        </w:tc>
        <w:tc>
          <w:tcPr>
            <w:tcW w:w="1440" w:type="dxa"/>
            <w:tcBorders>
              <w:top w:val="dashSmallGap" w:sz="4" w:space="0" w:color="auto"/>
              <w:left w:val="nil"/>
              <w:bottom w:val="single" w:sz="12" w:space="0" w:color="auto"/>
              <w:right w:val="nil"/>
            </w:tcBorders>
            <w:shd w:val="clear" w:color="auto" w:fill="auto"/>
            <w:noWrap/>
            <w:vAlign w:val="bottom"/>
            <w:hideMark/>
          </w:tcPr>
          <w:p w:rsidR="00D83844" w:rsidRPr="003530A9" w:rsidRDefault="00D83844" w:rsidP="0088491D">
            <w:pPr>
              <w:rPr>
                <w:color w:val="000000"/>
                <w:sz w:val="22"/>
                <w:szCs w:val="22"/>
              </w:rPr>
            </w:pPr>
          </w:p>
        </w:tc>
        <w:tc>
          <w:tcPr>
            <w:tcW w:w="990" w:type="dxa"/>
            <w:tcBorders>
              <w:top w:val="dashSmallGap" w:sz="4" w:space="0" w:color="auto"/>
              <w:left w:val="nil"/>
              <w:bottom w:val="single" w:sz="12" w:space="0" w:color="auto"/>
              <w:right w:val="nil"/>
            </w:tcBorders>
            <w:shd w:val="clear" w:color="auto" w:fill="auto"/>
            <w:noWrap/>
            <w:vAlign w:val="bottom"/>
            <w:hideMark/>
          </w:tcPr>
          <w:p w:rsidR="00D83844" w:rsidRPr="003530A9" w:rsidRDefault="00D83844" w:rsidP="0088491D">
            <w:pPr>
              <w:jc w:val="center"/>
              <w:rPr>
                <w:color w:val="000000"/>
                <w:sz w:val="22"/>
                <w:szCs w:val="22"/>
              </w:rPr>
            </w:pPr>
          </w:p>
        </w:tc>
        <w:tc>
          <w:tcPr>
            <w:tcW w:w="1103" w:type="dxa"/>
            <w:tcBorders>
              <w:top w:val="dashSmallGap" w:sz="4" w:space="0" w:color="auto"/>
              <w:left w:val="nil"/>
              <w:bottom w:val="single" w:sz="12"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 </w:t>
            </w:r>
          </w:p>
        </w:tc>
        <w:tc>
          <w:tcPr>
            <w:tcW w:w="1440" w:type="dxa"/>
            <w:tcBorders>
              <w:top w:val="dashSmallGap" w:sz="4" w:space="0" w:color="auto"/>
              <w:left w:val="nil"/>
              <w:bottom w:val="single" w:sz="12"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 </w:t>
            </w:r>
          </w:p>
        </w:tc>
        <w:tc>
          <w:tcPr>
            <w:tcW w:w="1350" w:type="dxa"/>
            <w:tcBorders>
              <w:top w:val="dashSmallGap" w:sz="4" w:space="0" w:color="auto"/>
              <w:left w:val="nil"/>
              <w:bottom w:val="single" w:sz="12"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389</w:t>
            </w:r>
          </w:p>
        </w:tc>
        <w:tc>
          <w:tcPr>
            <w:tcW w:w="1359" w:type="dxa"/>
            <w:tcBorders>
              <w:top w:val="dashSmallGap" w:sz="4" w:space="0" w:color="auto"/>
              <w:left w:val="nil"/>
              <w:bottom w:val="single" w:sz="12"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337</w:t>
            </w:r>
          </w:p>
        </w:tc>
        <w:tc>
          <w:tcPr>
            <w:tcW w:w="1260" w:type="dxa"/>
            <w:tcBorders>
              <w:top w:val="dashSmallGap" w:sz="4" w:space="0" w:color="auto"/>
              <w:left w:val="nil"/>
              <w:bottom w:val="single" w:sz="12"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202</w:t>
            </w:r>
          </w:p>
        </w:tc>
        <w:tc>
          <w:tcPr>
            <w:tcW w:w="1350" w:type="dxa"/>
            <w:tcBorders>
              <w:top w:val="dashSmallGap" w:sz="4" w:space="0" w:color="auto"/>
              <w:left w:val="nil"/>
              <w:bottom w:val="single" w:sz="12"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389</w:t>
            </w:r>
          </w:p>
        </w:tc>
        <w:tc>
          <w:tcPr>
            <w:tcW w:w="1291" w:type="dxa"/>
            <w:tcBorders>
              <w:top w:val="dashSmallGap" w:sz="4" w:space="0" w:color="auto"/>
              <w:left w:val="nil"/>
              <w:bottom w:val="single" w:sz="12" w:space="0" w:color="auto"/>
              <w:right w:val="nil"/>
            </w:tcBorders>
            <w:shd w:val="clear" w:color="auto" w:fill="auto"/>
            <w:noWrap/>
            <w:vAlign w:val="bottom"/>
            <w:hideMark/>
          </w:tcPr>
          <w:p w:rsidR="00D83844" w:rsidRPr="003530A9" w:rsidRDefault="00D83844" w:rsidP="0088491D">
            <w:pPr>
              <w:widowControl/>
              <w:autoSpaceDE/>
              <w:autoSpaceDN/>
              <w:adjustRightInd/>
              <w:jc w:val="center"/>
              <w:rPr>
                <w:color w:val="000000"/>
                <w:sz w:val="22"/>
                <w:szCs w:val="22"/>
              </w:rPr>
            </w:pPr>
            <w:r w:rsidRPr="003530A9">
              <w:rPr>
                <w:color w:val="000000"/>
                <w:sz w:val="22"/>
                <w:szCs w:val="22"/>
              </w:rPr>
              <w:t>234</w:t>
            </w:r>
          </w:p>
        </w:tc>
      </w:tr>
    </w:tbl>
    <w:p w:rsidR="00D83844" w:rsidRDefault="00D83844" w:rsidP="00D83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D10E1" w:rsidRDefault="009D10E1" w:rsidP="009D1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D10E1" w:rsidRPr="003530A9" w:rsidRDefault="009D10E1" w:rsidP="009D1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530A9">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D10E1" w:rsidRDefault="009D10E1" w:rsidP="00D83844">
      <w:pPr>
        <w:pStyle w:val="Default"/>
      </w:pPr>
    </w:p>
    <w:p w:rsidR="00D83844" w:rsidRDefault="00D83844" w:rsidP="00D83844">
      <w:pPr>
        <w:pStyle w:val="Default"/>
      </w:pPr>
      <w:r w:rsidRPr="003530A9">
        <w:t>2.1. Data Collection Procedures</w:t>
      </w:r>
    </w:p>
    <w:p w:rsidR="00D83844" w:rsidRDefault="00D83844" w:rsidP="00D83844">
      <w:pPr>
        <w:rPr>
          <w:sz w:val="24"/>
          <w:szCs w:val="24"/>
        </w:rPr>
      </w:pPr>
    </w:p>
    <w:p w:rsidR="00D83844" w:rsidRDefault="00D83844" w:rsidP="00D83844">
      <w:pPr>
        <w:rPr>
          <w:sz w:val="24"/>
          <w:szCs w:val="24"/>
        </w:rPr>
      </w:pPr>
      <w:r w:rsidRPr="003530A9">
        <w:rPr>
          <w:sz w:val="24"/>
          <w:szCs w:val="24"/>
        </w:rPr>
        <w:t xml:space="preserve">The MLSR is a self-administered mail survey.  The data collection procedures have been extensively tested through previous MRIP pilot studies (Andrews et al. 2010, Brick et al. 2012).  The surveys are administered for one fixed panel survey, which consists of three waves over a year at 4-month intervals.  </w:t>
      </w:r>
    </w:p>
    <w:p w:rsidR="00D83844" w:rsidRDefault="00D83844" w:rsidP="00D83844">
      <w:pPr>
        <w:rPr>
          <w:sz w:val="24"/>
          <w:szCs w:val="24"/>
        </w:rPr>
      </w:pPr>
    </w:p>
    <w:p w:rsidR="00D83844" w:rsidRPr="003530A9" w:rsidRDefault="00D83844" w:rsidP="009D10E1">
      <w:pPr>
        <w:rPr>
          <w:sz w:val="24"/>
          <w:szCs w:val="24"/>
        </w:rPr>
      </w:pPr>
      <w:r w:rsidRPr="003530A9">
        <w:rPr>
          <w:sz w:val="24"/>
          <w:szCs w:val="24"/>
        </w:rPr>
        <w:t>The data collection period for each wave begins one week prior to the end of the wave</w:t>
      </w:r>
      <w:r>
        <w:rPr>
          <w:sz w:val="24"/>
          <w:szCs w:val="24"/>
        </w:rPr>
        <w:t xml:space="preserve"> (e.g. target starting date for wave A is 8/25/2013)</w:t>
      </w:r>
      <w:r w:rsidRPr="003530A9">
        <w:rPr>
          <w:sz w:val="24"/>
          <w:szCs w:val="24"/>
        </w:rPr>
        <w:t xml:space="preserve"> with an initial survey mailing.  The timing of the initial mailing is such that materials are received prior to the end of the reference wave.  </w:t>
      </w:r>
    </w:p>
    <w:p w:rsidR="00D83844" w:rsidRPr="003530A9" w:rsidRDefault="00D83844" w:rsidP="00D83844">
      <w:pPr>
        <w:sectPr w:rsidR="00D83844" w:rsidRPr="003530A9" w:rsidSect="0088491D">
          <w:endnotePr>
            <w:numFmt w:val="decimal"/>
          </w:endnotePr>
          <w:type w:val="continuous"/>
          <w:pgSz w:w="15840" w:h="12240" w:orient="landscape"/>
          <w:pgMar w:top="1440" w:right="1440" w:bottom="1440" w:left="1080" w:header="720" w:footer="720" w:gutter="0"/>
          <w:cols w:space="720"/>
          <w:docGrid w:linePitch="272"/>
        </w:sectPr>
      </w:pPr>
    </w:p>
    <w:p w:rsidR="009D10E1" w:rsidRDefault="009D10E1" w:rsidP="009D10E1">
      <w:r w:rsidRPr="003530A9">
        <w:rPr>
          <w:sz w:val="24"/>
          <w:szCs w:val="24"/>
        </w:rPr>
        <w:lastRenderedPageBreak/>
        <w:t xml:space="preserve">The initial mailing is delivered by regular first class mail and includes a cover letter stating the purpose of the survey, a survey questionnaire and a post-paid return envelope and a prepaid cash incentive (as described in </w:t>
      </w:r>
      <w:r>
        <w:rPr>
          <w:sz w:val="24"/>
          <w:szCs w:val="24"/>
        </w:rPr>
        <w:t xml:space="preserve">Part A, Question </w:t>
      </w:r>
      <w:r w:rsidRPr="003530A9">
        <w:rPr>
          <w:sz w:val="24"/>
          <w:szCs w:val="24"/>
        </w:rPr>
        <w:t>9).</w:t>
      </w:r>
    </w:p>
    <w:p w:rsidR="009D10E1" w:rsidRDefault="009D10E1" w:rsidP="009D10E1"/>
    <w:p w:rsidR="009D10E1" w:rsidRPr="003530A9" w:rsidRDefault="009D10E1" w:rsidP="009D10E1">
      <w:pPr>
        <w:rPr>
          <w:sz w:val="24"/>
          <w:szCs w:val="24"/>
        </w:rPr>
      </w:pPr>
      <w:r w:rsidRPr="003530A9">
        <w:rPr>
          <w:sz w:val="24"/>
          <w:szCs w:val="24"/>
        </w:rPr>
        <w:t xml:space="preserve">One week following the initial mailing, a thank you/reminder postcard is sent via regular first class mail to remind sample units to complete and return the questionnaire.  </w:t>
      </w:r>
    </w:p>
    <w:p w:rsidR="009D10E1" w:rsidRDefault="009D10E1" w:rsidP="00D83844">
      <w:pPr>
        <w:rPr>
          <w:sz w:val="24"/>
          <w:szCs w:val="24"/>
        </w:rPr>
      </w:pPr>
    </w:p>
    <w:p w:rsidR="00D83844" w:rsidRDefault="00D83844" w:rsidP="00D83844">
      <w:pPr>
        <w:rPr>
          <w:sz w:val="24"/>
          <w:szCs w:val="24"/>
        </w:rPr>
      </w:pPr>
      <w:r w:rsidRPr="003530A9">
        <w:rPr>
          <w:sz w:val="24"/>
          <w:szCs w:val="24"/>
        </w:rPr>
        <w:t xml:space="preserve">Three weeks after the initial survey mailing, a follow-up mailing is delivered to all sample units that have not responded to the survey.  The follow-up mailing is delivered via first class mail and includes a nonresponse conversion letter, a second questionnaire and a post-paid return envelope. </w:t>
      </w:r>
    </w:p>
    <w:p w:rsidR="00D83844" w:rsidRDefault="00D83844" w:rsidP="00D83844">
      <w:pPr>
        <w:rPr>
          <w:sz w:val="24"/>
          <w:szCs w:val="24"/>
        </w:rPr>
      </w:pPr>
    </w:p>
    <w:p w:rsidR="0088491D" w:rsidRPr="0088491D" w:rsidRDefault="0088491D" w:rsidP="0088491D">
      <w:pPr>
        <w:shd w:val="clear" w:color="auto" w:fill="FFFFFF"/>
        <w:rPr>
          <w:color w:val="222222"/>
          <w:sz w:val="24"/>
          <w:szCs w:val="24"/>
        </w:rPr>
      </w:pPr>
      <w:r w:rsidRPr="0088491D">
        <w:rPr>
          <w:bCs/>
          <w:color w:val="222222"/>
          <w:sz w:val="24"/>
          <w:szCs w:val="24"/>
        </w:rPr>
        <w:t>The Wave B expected sample size is smalle</w:t>
      </w:r>
      <w:r>
        <w:rPr>
          <w:bCs/>
          <w:color w:val="222222"/>
          <w:sz w:val="24"/>
          <w:szCs w:val="24"/>
        </w:rPr>
        <w:t xml:space="preserve">r due to the subsampling of </w:t>
      </w:r>
      <w:r w:rsidRPr="0088491D">
        <w:rPr>
          <w:bCs/>
          <w:color w:val="222222"/>
          <w:sz w:val="24"/>
          <w:szCs w:val="24"/>
        </w:rPr>
        <w:t>those households classified as having unlikely saltwater participants based on the Wave A response</w:t>
      </w:r>
      <w:r>
        <w:rPr>
          <w:bCs/>
          <w:color w:val="222222"/>
          <w:sz w:val="24"/>
          <w:szCs w:val="24"/>
        </w:rPr>
        <w:t xml:space="preserve"> (</w:t>
      </w:r>
      <w:r w:rsidR="00FC3E5D">
        <w:rPr>
          <w:bCs/>
          <w:color w:val="222222"/>
          <w:sz w:val="24"/>
          <w:szCs w:val="24"/>
        </w:rPr>
        <w:t xml:space="preserve">see </w:t>
      </w:r>
      <w:r>
        <w:rPr>
          <w:bCs/>
          <w:color w:val="222222"/>
          <w:sz w:val="24"/>
          <w:szCs w:val="24"/>
        </w:rPr>
        <w:t>footnote 8 and 14)</w:t>
      </w:r>
      <w:r w:rsidRPr="0088491D">
        <w:rPr>
          <w:bCs/>
          <w:color w:val="222222"/>
          <w:sz w:val="24"/>
          <w:szCs w:val="24"/>
        </w:rPr>
        <w:t>.</w:t>
      </w:r>
      <w:r>
        <w:rPr>
          <w:bCs/>
          <w:color w:val="222222"/>
          <w:sz w:val="24"/>
          <w:szCs w:val="24"/>
        </w:rPr>
        <w:t xml:space="preserve"> </w:t>
      </w:r>
      <w:r w:rsidRPr="0088491D">
        <w:rPr>
          <w:bCs/>
          <w:color w:val="222222"/>
          <w:sz w:val="24"/>
          <w:szCs w:val="24"/>
        </w:rPr>
        <w:t xml:space="preserve"> The subsampling is a cost saving and burden reduction device. </w:t>
      </w:r>
      <w:r w:rsidR="002776B6">
        <w:rPr>
          <w:bCs/>
          <w:color w:val="222222"/>
          <w:sz w:val="24"/>
          <w:szCs w:val="24"/>
        </w:rPr>
        <w:t xml:space="preserve"> </w:t>
      </w:r>
      <w:r w:rsidRPr="0088491D">
        <w:rPr>
          <w:bCs/>
          <w:color w:val="222222"/>
          <w:sz w:val="24"/>
          <w:szCs w:val="24"/>
        </w:rPr>
        <w:t xml:space="preserve">The alternative that was considered, and is used in some other surveys, is to use the first wave response as definitive and exclude these households from both subsequent waves. </w:t>
      </w:r>
      <w:r>
        <w:rPr>
          <w:bCs/>
          <w:color w:val="222222"/>
          <w:sz w:val="24"/>
          <w:szCs w:val="24"/>
        </w:rPr>
        <w:t xml:space="preserve"> </w:t>
      </w:r>
      <w:r w:rsidRPr="0088491D">
        <w:rPr>
          <w:bCs/>
          <w:color w:val="222222"/>
          <w:sz w:val="24"/>
          <w:szCs w:val="24"/>
        </w:rPr>
        <w:t>In this investigation we felt it safer to subsample and recontact all of the unlikely households in Wave C. </w:t>
      </w:r>
    </w:p>
    <w:p w:rsidR="0088491D" w:rsidRDefault="0088491D" w:rsidP="00D83844">
      <w:pPr>
        <w:rPr>
          <w:sz w:val="24"/>
          <w:szCs w:val="24"/>
        </w:rPr>
      </w:pPr>
    </w:p>
    <w:p w:rsidR="00D83844" w:rsidRPr="003530A9" w:rsidRDefault="00D83844" w:rsidP="00D83844">
      <w:pPr>
        <w:rPr>
          <w:sz w:val="24"/>
          <w:szCs w:val="24"/>
        </w:rPr>
      </w:pPr>
      <w:r w:rsidRPr="003530A9">
        <w:rPr>
          <w:sz w:val="24"/>
          <w:szCs w:val="24"/>
        </w:rPr>
        <w:t>2.2. Estimation Procedures</w:t>
      </w:r>
    </w:p>
    <w:p w:rsidR="00D83844" w:rsidRPr="003530A9" w:rsidRDefault="00D83844" w:rsidP="00D83844">
      <w:pPr>
        <w:rPr>
          <w:sz w:val="24"/>
          <w:szCs w:val="24"/>
        </w:rPr>
      </w:pPr>
    </w:p>
    <w:p w:rsidR="00D83844" w:rsidRPr="003530A9" w:rsidRDefault="00D83844" w:rsidP="00D83844">
      <w:pPr>
        <w:rPr>
          <w:sz w:val="24"/>
          <w:szCs w:val="24"/>
        </w:rPr>
      </w:pPr>
      <w:r w:rsidRPr="003530A9">
        <w:rPr>
          <w:sz w:val="24"/>
          <w:szCs w:val="24"/>
        </w:rPr>
        <w:t>Final sample weights for the resident angler sample and the non-resident angler sample are calculated in stages.  In the first stage, base sample weights within each stratum are calculated as the inverse of the selection probability (</w:t>
      </w:r>
      <m:oMath>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i</m:t>
            </m:r>
          </m:sub>
        </m:sSub>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sz w:val="24"/>
                <w:szCs w:val="24"/>
              </w:rPr>
              <m:t>π</m:t>
            </m:r>
          </m:e>
          <m:sub>
            <m:r>
              <w:rPr>
                <w:rFonts w:ascii="Cambria Math" w:hAnsi="Cambria Math"/>
                <w:sz w:val="24"/>
                <w:szCs w:val="24"/>
              </w:rPr>
              <m:t>i</m:t>
            </m:r>
          </m:sub>
          <m:sup>
            <m:r>
              <w:rPr>
                <w:rFonts w:ascii="Cambria Math" w:hAnsi="Cambria Math"/>
                <w:sz w:val="24"/>
                <w:szCs w:val="24"/>
              </w:rPr>
              <m:t>-1</m:t>
            </m:r>
          </m:sup>
        </m:sSubSup>
      </m:oMath>
      <w:r w:rsidRPr="003530A9">
        <w:rPr>
          <w:sz w:val="24"/>
          <w:szCs w:val="24"/>
        </w:rPr>
        <w:t xml:space="preserve">, where </w:t>
      </w:r>
      <w:r w:rsidRPr="000F347D">
        <w:rPr>
          <w:i/>
          <w:sz w:val="24"/>
          <w:szCs w:val="24"/>
        </w:rPr>
        <w:t>π</w:t>
      </w:r>
      <w:r w:rsidRPr="000F347D">
        <w:rPr>
          <w:i/>
          <w:sz w:val="24"/>
          <w:szCs w:val="24"/>
          <w:vertAlign w:val="subscript"/>
        </w:rPr>
        <w:t xml:space="preserve">i </w:t>
      </w:r>
      <w:r w:rsidRPr="003530A9">
        <w:rPr>
          <w:sz w:val="24"/>
          <w:szCs w:val="24"/>
        </w:rPr>
        <w:t xml:space="preserve">is the probability of selecting unit </w:t>
      </w:r>
      <w:r w:rsidRPr="000F347D">
        <w:rPr>
          <w:i/>
          <w:sz w:val="24"/>
          <w:szCs w:val="24"/>
        </w:rPr>
        <w:t xml:space="preserve">i </w:t>
      </w:r>
      <w:r w:rsidRPr="003530A9">
        <w:rPr>
          <w:sz w:val="24"/>
          <w:szCs w:val="24"/>
        </w:rPr>
        <w:t xml:space="preserve">for the sample). For the resident sample, base weights for addresses that cannot be matched to an angler license database (sample units in the unmatched strata), are adjusted to account for subsampling by multiplying the base weight by the inverse of the subsampling rate.  </w:t>
      </w:r>
    </w:p>
    <w:p w:rsidR="00D83844" w:rsidRPr="003530A9" w:rsidRDefault="00D83844" w:rsidP="00D83844">
      <w:pPr>
        <w:rPr>
          <w:sz w:val="24"/>
          <w:szCs w:val="24"/>
        </w:rPr>
      </w:pPr>
    </w:p>
    <w:p w:rsidR="00D83844" w:rsidRPr="003530A9" w:rsidRDefault="00D83844" w:rsidP="00D83844">
      <w:pPr>
        <w:rPr>
          <w:sz w:val="24"/>
          <w:szCs w:val="24"/>
        </w:rPr>
      </w:pPr>
      <w:r w:rsidRPr="003530A9">
        <w:rPr>
          <w:sz w:val="24"/>
          <w:szCs w:val="24"/>
        </w:rPr>
        <w:t>In the second stage, base weights (or adjusted base weights in the unmatched strata) are adjusted to account for nonresponse.  Specifically, the weights of nonresponding units are increased by the inverse of the weighted response rate within nonresponse adjustment cells</w:t>
      </w:r>
    </w:p>
    <w:p w:rsidR="00D83844" w:rsidRPr="003530A9" w:rsidRDefault="00D83844" w:rsidP="00D83844">
      <w:pPr>
        <w:rPr>
          <w:sz w:val="24"/>
          <w:szCs w:val="24"/>
        </w:rPr>
      </w:pPr>
    </w:p>
    <w:p w:rsidR="00D83844" w:rsidRPr="003530A9" w:rsidRDefault="003A4BAE" w:rsidP="00D83844">
      <w:pPr>
        <w:rPr>
          <w:sz w:val="24"/>
          <w:szCs w:val="24"/>
        </w:rPr>
      </w:pPr>
      <m:oMathPara>
        <m:oMath>
          <m:sSubSup>
            <m:sSubSupPr>
              <m:ctrlPr>
                <w:rPr>
                  <w:rFonts w:ascii="Cambria Math" w:hAnsi="Cambria Math"/>
                  <w:i/>
                  <w:sz w:val="24"/>
                  <w:szCs w:val="24"/>
                </w:rPr>
              </m:ctrlPr>
            </m:sSubSupPr>
            <m:e>
              <m:r>
                <w:rPr>
                  <w:rFonts w:ascii="Cambria Math" w:hAnsi="Cambria Math"/>
                  <w:sz w:val="24"/>
                  <w:szCs w:val="24"/>
                </w:rPr>
                <m:t>ω</m:t>
              </m:r>
            </m:e>
            <m:sub>
              <m:r>
                <w:rPr>
                  <w:rFonts w:ascii="Cambria Math" w:hAnsi="Cambria Math"/>
                  <w:sz w:val="24"/>
                  <w:szCs w:val="24"/>
                </w:rPr>
                <m:t>ci</m:t>
              </m:r>
            </m:sub>
            <m:sup>
              <m:r>
                <w:rPr>
                  <w:rFonts w:ascii="Cambria Math" w:hAnsi="Cambria Math"/>
                  <w:sz w:val="24"/>
                  <w:szCs w:val="24"/>
                </w:rPr>
                <m:t>*</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ci</m:t>
              </m:r>
            </m:sub>
          </m:sSub>
          <m:sSubSup>
            <m:sSubSupPr>
              <m:ctrlPr>
                <w:rPr>
                  <w:rFonts w:ascii="Cambria Math" w:hAnsi="Cambria Math"/>
                  <w:i/>
                  <w:sz w:val="24"/>
                  <w:szCs w:val="24"/>
                </w:rPr>
              </m:ctrlPr>
            </m:sSubSupPr>
            <m:e>
              <m:acc>
                <m:accPr>
                  <m:ctrlPr>
                    <w:rPr>
                      <w:rFonts w:ascii="Cambria Math" w:hAnsi="Cambria Math"/>
                      <w:i/>
                      <w:sz w:val="24"/>
                      <w:szCs w:val="24"/>
                    </w:rPr>
                  </m:ctrlPr>
                </m:accPr>
                <m:e>
                  <m:r>
                    <w:rPr>
                      <w:rFonts w:ascii="Cambria Math" w:hAnsi="Cambria Math"/>
                      <w:sz w:val="24"/>
                      <w:szCs w:val="24"/>
                    </w:rPr>
                    <m:t>∅</m:t>
                  </m:r>
                </m:e>
              </m:acc>
            </m:e>
            <m:sub>
              <m:r>
                <w:rPr>
                  <w:rFonts w:ascii="Cambria Math" w:hAnsi="Cambria Math"/>
                  <w:sz w:val="24"/>
                  <w:szCs w:val="24"/>
                </w:rPr>
                <m:t>c</m:t>
              </m:r>
            </m:sub>
            <m:sup>
              <m:r>
                <w:rPr>
                  <w:rFonts w:ascii="Cambria Math" w:hAnsi="Cambria Math"/>
                  <w:sz w:val="24"/>
                  <w:szCs w:val="24"/>
                </w:rPr>
                <m:t>-1</m:t>
              </m:r>
            </m:sup>
          </m:sSubSup>
        </m:oMath>
      </m:oMathPara>
    </w:p>
    <w:p w:rsidR="00D83844" w:rsidRPr="003530A9" w:rsidRDefault="00D83844" w:rsidP="00D83844">
      <w:pPr>
        <w:rPr>
          <w:sz w:val="24"/>
          <w:szCs w:val="24"/>
        </w:rPr>
      </w:pPr>
    </w:p>
    <w:p w:rsidR="00D83844" w:rsidRPr="003530A9" w:rsidRDefault="00D83844" w:rsidP="00D83844">
      <w:pPr>
        <w:rPr>
          <w:sz w:val="24"/>
          <w:szCs w:val="24"/>
        </w:rPr>
      </w:pPr>
      <w:r w:rsidRPr="003530A9">
        <w:rPr>
          <w:sz w:val="24"/>
          <w:szCs w:val="24"/>
        </w:rPr>
        <w:t>where</w:t>
      </w:r>
    </w:p>
    <w:p w:rsidR="00D83844" w:rsidRPr="003530A9" w:rsidRDefault="00D83844" w:rsidP="00D83844">
      <w:pPr>
        <w:rPr>
          <w:sz w:val="24"/>
          <w:szCs w:val="24"/>
        </w:rPr>
      </w:pPr>
    </w:p>
    <w:p w:rsidR="00D83844" w:rsidRPr="003530A9" w:rsidRDefault="003A4BAE" w:rsidP="00D83844">
      <w:pPr>
        <w:rPr>
          <w:sz w:val="24"/>
          <w:szCs w:val="24"/>
        </w:rPr>
      </w:pPr>
      <m:oMathPara>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m:t>
                  </m:r>
                </m:e>
              </m:acc>
            </m:e>
            <m:sub>
              <m:r>
                <w:rPr>
                  <w:rFonts w:ascii="Cambria Math" w:hAnsi="Cambria Math"/>
                  <w:sz w:val="24"/>
                  <w:szCs w:val="24"/>
                </w:rPr>
                <m:t>c</m:t>
              </m:r>
            </m:sub>
          </m:sSub>
          <m:r>
            <w:rPr>
              <w:rFonts w:ascii="Cambria Math" w:hAnsi="Cambria Math"/>
              <w:sz w:val="24"/>
              <w:szCs w:val="24"/>
            </w:rPr>
            <m:t>=</m:t>
          </m:r>
          <m:nary>
            <m:naryPr>
              <m:chr m:val="∑"/>
              <m:limLoc m:val="subSup"/>
              <m:subHide m:val="1"/>
              <m:ctrlPr>
                <w:rPr>
                  <w:rFonts w:ascii="Cambria Math" w:hAnsi="Cambria Math"/>
                  <w:i/>
                  <w:sz w:val="24"/>
                  <w:szCs w:val="24"/>
                </w:rPr>
              </m:ctrlPr>
            </m:naryPr>
            <m:sub/>
            <m:sup>
              <m:r>
                <w:rPr>
                  <w:rFonts w:ascii="Cambria Math" w:hAnsi="Cambria Math"/>
                  <w:sz w:val="24"/>
                  <w:szCs w:val="24"/>
                </w:rPr>
                <m:t>r</m:t>
              </m:r>
            </m:sup>
            <m:e>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ci</m:t>
                  </m:r>
                </m:sub>
              </m:sSub>
              <m:r>
                <w:rPr>
                  <w:rFonts w:ascii="Cambria Math" w:hAnsi="Cambria Math"/>
                  <w:sz w:val="24"/>
                  <w:szCs w:val="24"/>
                </w:rPr>
                <m:t>/(</m:t>
              </m:r>
            </m:e>
          </m:nary>
          <m:nary>
            <m:naryPr>
              <m:chr m:val="∑"/>
              <m:limLoc m:val="subSup"/>
              <m:subHide m:val="1"/>
              <m:ctrlPr>
                <w:rPr>
                  <w:rFonts w:ascii="Cambria Math" w:hAnsi="Cambria Math"/>
                  <w:i/>
                  <w:sz w:val="24"/>
                  <w:szCs w:val="24"/>
                </w:rPr>
              </m:ctrlPr>
            </m:naryPr>
            <m:sub/>
            <m:sup>
              <m:r>
                <w:rPr>
                  <w:rFonts w:ascii="Cambria Math" w:hAnsi="Cambria Math"/>
                  <w:sz w:val="24"/>
                  <w:szCs w:val="24"/>
                </w:rPr>
                <m:t>r</m:t>
              </m:r>
            </m:sup>
            <m:e>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ci</m:t>
                  </m:r>
                </m:sub>
              </m:sSub>
              <m:r>
                <w:rPr>
                  <w:rFonts w:ascii="Cambria Math" w:hAnsi="Cambria Math"/>
                  <w:sz w:val="24"/>
                  <w:szCs w:val="24"/>
                </w:rPr>
                <m:t>+</m:t>
              </m:r>
              <m:nary>
                <m:naryPr>
                  <m:chr m:val="∑"/>
                  <m:limLoc m:val="subSup"/>
                  <m:subHide m:val="1"/>
                  <m:ctrlPr>
                    <w:rPr>
                      <w:rFonts w:ascii="Cambria Math" w:hAnsi="Cambria Math"/>
                      <w:i/>
                      <w:sz w:val="24"/>
                      <w:szCs w:val="24"/>
                    </w:rPr>
                  </m:ctrlPr>
                </m:naryP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ci</m:t>
                      </m:r>
                    </m:sub>
                  </m:sSub>
                </m:e>
              </m:nary>
            </m:e>
          </m:nary>
          <m:r>
            <w:rPr>
              <w:rFonts w:ascii="Cambria Math" w:hAnsi="Cambria Math"/>
              <w:sz w:val="24"/>
              <w:szCs w:val="24"/>
            </w:rPr>
            <m:t>)</m:t>
          </m:r>
        </m:oMath>
      </m:oMathPara>
    </w:p>
    <w:p w:rsidR="00D83844" w:rsidRPr="003530A9" w:rsidRDefault="00D83844" w:rsidP="00D83844">
      <w:pPr>
        <w:rPr>
          <w:sz w:val="24"/>
          <w:szCs w:val="24"/>
        </w:rPr>
      </w:pPr>
    </w:p>
    <w:p w:rsidR="00D83844" w:rsidRPr="003530A9" w:rsidRDefault="00D83844" w:rsidP="00D83844">
      <w:pPr>
        <w:rPr>
          <w:sz w:val="24"/>
          <w:szCs w:val="24"/>
        </w:rPr>
      </w:pPr>
      <w:r w:rsidRPr="003530A9">
        <w:rPr>
          <w:sz w:val="24"/>
          <w:szCs w:val="24"/>
        </w:rPr>
        <w:t xml:space="preserve">and </w:t>
      </w:r>
      <m:oMath>
        <m:nary>
          <m:naryPr>
            <m:chr m:val="∑"/>
            <m:limLoc m:val="undOvr"/>
            <m:subHide m:val="1"/>
            <m:ctrlPr>
              <w:rPr>
                <w:rFonts w:ascii="Cambria Math" w:hAnsi="Cambria Math"/>
                <w:i/>
                <w:sz w:val="24"/>
                <w:szCs w:val="24"/>
              </w:rPr>
            </m:ctrlPr>
          </m:naryPr>
          <m:sub/>
          <m:sup>
            <m:r>
              <w:rPr>
                <w:rFonts w:ascii="Cambria Math" w:hAnsi="Cambria Math"/>
                <w:sz w:val="24"/>
                <w:szCs w:val="24"/>
              </w:rPr>
              <m:t>r</m:t>
            </m:r>
          </m:sup>
          <m:e>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ci</m:t>
                </m:r>
              </m:sub>
            </m:sSub>
          </m:e>
        </m:nary>
      </m:oMath>
      <w:r w:rsidRPr="003530A9">
        <w:rPr>
          <w:sz w:val="24"/>
          <w:szCs w:val="24"/>
        </w:rPr>
        <w:t xml:space="preserve"> and </w:t>
      </w:r>
      <m:oMath>
        <m:nary>
          <m:naryPr>
            <m:chr m:val="∑"/>
            <m:limLoc m:val="undOvr"/>
            <m:subHide m:val="1"/>
            <m:ctrlPr>
              <w:rPr>
                <w:rFonts w:ascii="Cambria Math" w:hAnsi="Cambria Math"/>
                <w:i/>
                <w:sz w:val="24"/>
                <w:szCs w:val="24"/>
              </w:rPr>
            </m:ctrlPr>
          </m:naryP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ci</m:t>
                </m:r>
              </m:sub>
            </m:sSub>
          </m:e>
        </m:nary>
      </m:oMath>
      <w:r w:rsidRPr="003530A9">
        <w:rPr>
          <w:sz w:val="24"/>
          <w:szCs w:val="24"/>
        </w:rPr>
        <w:t xml:space="preserve"> are the sums of base weights in cell </w:t>
      </w:r>
      <w:r w:rsidRPr="003530A9">
        <w:rPr>
          <w:i/>
          <w:sz w:val="24"/>
          <w:szCs w:val="24"/>
        </w:rPr>
        <w:t>c</w:t>
      </w:r>
      <w:r w:rsidRPr="003530A9">
        <w:rPr>
          <w:sz w:val="24"/>
          <w:szCs w:val="24"/>
        </w:rPr>
        <w:t xml:space="preserve"> for respondents and nonrespondents, respectively.  In this case, a respondent is a sampled unit that has responded in the first wave and the third wave (so estimates of the full year can be made retrospectively from their responses). Additional definitions of response might be used for other analysis, but the basic procedures outlined above would also be used in these cases.</w:t>
      </w:r>
    </w:p>
    <w:p w:rsidR="00D83844" w:rsidRPr="003530A9" w:rsidRDefault="00D83844" w:rsidP="00D83844">
      <w:pPr>
        <w:rPr>
          <w:sz w:val="24"/>
          <w:szCs w:val="24"/>
        </w:rPr>
      </w:pPr>
    </w:p>
    <w:p w:rsidR="00D83844" w:rsidRPr="003530A9" w:rsidRDefault="00D83844" w:rsidP="00D83844">
      <w:pPr>
        <w:rPr>
          <w:sz w:val="24"/>
          <w:szCs w:val="24"/>
        </w:rPr>
      </w:pPr>
      <w:r w:rsidRPr="003530A9">
        <w:rPr>
          <w:sz w:val="24"/>
          <w:szCs w:val="24"/>
        </w:rPr>
        <w:t xml:space="preserve">In the resident sample, nonresponse adjustment cells will be defined by coastal/non-coastal stratum, matched/unmatched designation, and whether or not the address was successfully matched to a landline telephone number.  In the non-resident sample, adjustment cells will be at the stratum level (license state).  </w:t>
      </w:r>
    </w:p>
    <w:p w:rsidR="00D83844" w:rsidRPr="003530A9" w:rsidRDefault="00D83844" w:rsidP="00D83844">
      <w:pPr>
        <w:rPr>
          <w:sz w:val="24"/>
          <w:szCs w:val="24"/>
        </w:rPr>
      </w:pPr>
    </w:p>
    <w:p w:rsidR="00D83844" w:rsidRPr="003530A9" w:rsidRDefault="00D83844" w:rsidP="00D83844">
      <w:pPr>
        <w:rPr>
          <w:sz w:val="24"/>
          <w:szCs w:val="24"/>
        </w:rPr>
      </w:pPr>
      <w:r w:rsidRPr="003530A9">
        <w:rPr>
          <w:sz w:val="24"/>
          <w:szCs w:val="24"/>
        </w:rPr>
        <w:t>Estimates of total participation, as well as associated estimates of variance, are calculated in SAS Version 9.3 using the surveymeans procedure.  For a given coastal state, total participation is the sum of resident angler participation and nonresident angler participation, both of which are calculated as weighted sums</w:t>
      </w:r>
      <w:r>
        <w:rPr>
          <w:sz w:val="24"/>
          <w:szCs w:val="24"/>
        </w:rPr>
        <w:t>.</w:t>
      </w:r>
      <w:r w:rsidRPr="003530A9">
        <w:rPr>
          <w:sz w:val="24"/>
          <w:szCs w:val="24"/>
        </w:rPr>
        <w:t xml:space="preserve"> </w:t>
      </w:r>
    </w:p>
    <w:p w:rsidR="00D83844" w:rsidRPr="003530A9" w:rsidRDefault="00D83844" w:rsidP="00D83844">
      <w:pPr>
        <w:rPr>
          <w:sz w:val="24"/>
          <w:szCs w:val="24"/>
        </w:rPr>
      </w:pPr>
    </w:p>
    <w:p w:rsidR="00D83844" w:rsidRPr="003530A9" w:rsidRDefault="003A4BAE" w:rsidP="00D83844">
      <w:pPr>
        <w:rPr>
          <w:sz w:val="24"/>
          <w:szCs w:val="24"/>
          <w:vertAlign w:val="subscript"/>
        </w:rPr>
      </w:pPr>
      <m:oMathPara>
        <m:oMath>
          <m:acc>
            <m:accPr>
              <m:ctrlPr>
                <w:rPr>
                  <w:rFonts w:ascii="Cambria Math" w:hAnsi="Cambria Math"/>
                  <w:i/>
                  <w:sz w:val="24"/>
                  <w:szCs w:val="24"/>
                  <w:vertAlign w:val="subscript"/>
                </w:rPr>
              </m:ctrlPr>
            </m:accPr>
            <m:e>
              <m:r>
                <w:rPr>
                  <w:rFonts w:ascii="Cambria Math" w:hAnsi="Cambria Math"/>
                  <w:sz w:val="24"/>
                  <w:szCs w:val="24"/>
                  <w:vertAlign w:val="subscript"/>
                </w:rPr>
                <m:t>Y</m:t>
              </m:r>
            </m:e>
          </m:acc>
          <m:r>
            <w:rPr>
              <w:rFonts w:ascii="Cambria Math" w:hAnsi="Cambria Math"/>
              <w:sz w:val="24"/>
              <w:szCs w:val="24"/>
              <w:vertAlign w:val="subscript"/>
            </w:rPr>
            <m:t xml:space="preserve">= </m:t>
          </m:r>
          <m:nary>
            <m:naryPr>
              <m:chr m:val="∑"/>
              <m:limLoc m:val="undOvr"/>
              <m:ctrlPr>
                <w:rPr>
                  <w:rFonts w:ascii="Cambria Math" w:hAnsi="Cambria Math"/>
                  <w:i/>
                  <w:sz w:val="24"/>
                  <w:szCs w:val="24"/>
                  <w:vertAlign w:val="subscript"/>
                </w:rPr>
              </m:ctrlPr>
            </m:naryPr>
            <m:sub>
              <m:r>
                <w:rPr>
                  <w:rFonts w:ascii="Cambria Math" w:hAnsi="Cambria Math"/>
                  <w:sz w:val="24"/>
                  <w:szCs w:val="24"/>
                  <w:vertAlign w:val="subscript"/>
                </w:rPr>
                <m:t>h=</m:t>
              </m:r>
              <m:r>
                <w:rPr>
                  <w:rFonts w:ascii="Cambria Math" w:hAnsi="Cambria Math"/>
                  <w:sz w:val="24"/>
                  <w:szCs w:val="24"/>
                  <w:vertAlign w:val="subscript"/>
                </w:rPr>
                <m:t>1</m:t>
              </m:r>
            </m:sub>
            <m:sup>
              <m:r>
                <w:rPr>
                  <w:rFonts w:ascii="Cambria Math" w:hAnsi="Cambria Math"/>
                  <w:sz w:val="24"/>
                  <w:szCs w:val="24"/>
                  <w:vertAlign w:val="subscript"/>
                </w:rPr>
                <m:t>H</m:t>
              </m:r>
            </m:sup>
            <m:e>
              <m:nary>
                <m:naryPr>
                  <m:chr m:val="∑"/>
                  <m:limLoc m:val="undOvr"/>
                  <m:ctrlPr>
                    <w:rPr>
                      <w:rFonts w:ascii="Cambria Math" w:hAnsi="Cambria Math"/>
                      <w:i/>
                      <w:sz w:val="24"/>
                      <w:szCs w:val="24"/>
                      <w:vertAlign w:val="subscript"/>
                    </w:rPr>
                  </m:ctrlPr>
                </m:naryPr>
                <m:sub>
                  <m:r>
                    <w:rPr>
                      <w:rFonts w:ascii="Cambria Math" w:hAnsi="Cambria Math"/>
                      <w:sz w:val="24"/>
                      <w:szCs w:val="24"/>
                      <w:vertAlign w:val="subscript"/>
                    </w:rPr>
                    <m:t>i=1</m:t>
                  </m:r>
                </m:sub>
                <m:sup>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h</m:t>
                      </m:r>
                    </m:sub>
                  </m:sSub>
                </m:sup>
                <m:e>
                  <m:sSubSup>
                    <m:sSubSupPr>
                      <m:ctrlPr>
                        <w:rPr>
                          <w:rFonts w:ascii="Cambria Math" w:hAnsi="Cambria Math"/>
                          <w:i/>
                          <w:sz w:val="24"/>
                          <w:szCs w:val="24"/>
                          <w:vertAlign w:val="subscript"/>
                        </w:rPr>
                      </m:ctrlPr>
                    </m:sSubSupPr>
                    <m:e>
                      <m:r>
                        <w:rPr>
                          <w:rFonts w:ascii="Cambria Math" w:hAnsi="Cambria Math"/>
                          <w:sz w:val="24"/>
                          <w:szCs w:val="24"/>
                          <w:vertAlign w:val="subscript"/>
                        </w:rPr>
                        <m:t>ω</m:t>
                      </m:r>
                    </m:e>
                    <m:sub>
                      <m:r>
                        <w:rPr>
                          <w:rFonts w:ascii="Cambria Math" w:hAnsi="Cambria Math"/>
                          <w:sz w:val="24"/>
                          <w:szCs w:val="24"/>
                          <w:vertAlign w:val="subscript"/>
                        </w:rPr>
                        <m:t>hi</m:t>
                      </m:r>
                    </m:sub>
                    <m:sup>
                      <m:r>
                        <w:rPr>
                          <w:rFonts w:ascii="Cambria Math" w:hAnsi="Cambria Math"/>
                          <w:sz w:val="24"/>
                          <w:szCs w:val="24"/>
                          <w:vertAlign w:val="subscript"/>
                        </w:rPr>
                        <m:t>*</m:t>
                      </m:r>
                    </m:sup>
                  </m:sSubSup>
                  <m:sSub>
                    <m:sSubPr>
                      <m:ctrlPr>
                        <w:rPr>
                          <w:rFonts w:ascii="Cambria Math" w:hAnsi="Cambria Math"/>
                          <w:i/>
                          <w:sz w:val="24"/>
                          <w:szCs w:val="24"/>
                          <w:vertAlign w:val="subscript"/>
                        </w:rPr>
                      </m:ctrlPr>
                    </m:sSubPr>
                    <m:e>
                      <m:r>
                        <w:rPr>
                          <w:rFonts w:ascii="Cambria Math" w:hAnsi="Cambria Math"/>
                          <w:sz w:val="24"/>
                          <w:szCs w:val="24"/>
                          <w:vertAlign w:val="subscript"/>
                        </w:rPr>
                        <m:t>y</m:t>
                      </m:r>
                    </m:e>
                    <m:sub>
                      <m:r>
                        <w:rPr>
                          <w:rFonts w:ascii="Cambria Math" w:hAnsi="Cambria Math"/>
                          <w:sz w:val="24"/>
                          <w:szCs w:val="24"/>
                          <w:vertAlign w:val="subscript"/>
                        </w:rPr>
                        <m:t>hi</m:t>
                      </m:r>
                    </m:sub>
                  </m:sSub>
                </m:e>
              </m:nary>
            </m:e>
          </m:nary>
          <m:r>
            <w:rPr>
              <w:rFonts w:ascii="Cambria Math" w:hAnsi="Cambria Math"/>
              <w:sz w:val="24"/>
              <w:szCs w:val="24"/>
              <w:vertAlign w:val="subscript"/>
            </w:rPr>
            <m:t xml:space="preserve"> </m:t>
          </m:r>
        </m:oMath>
      </m:oMathPara>
    </w:p>
    <w:p w:rsidR="00D83844" w:rsidRPr="003530A9" w:rsidRDefault="00D83844" w:rsidP="00D83844">
      <w:pPr>
        <w:rPr>
          <w:sz w:val="24"/>
          <w:szCs w:val="24"/>
          <w:vertAlign w:val="subscript"/>
        </w:rPr>
      </w:pPr>
    </w:p>
    <w:p w:rsidR="00D83844" w:rsidRPr="003530A9" w:rsidRDefault="00D83844" w:rsidP="00D83844">
      <w:pPr>
        <w:rPr>
          <w:sz w:val="24"/>
          <w:szCs w:val="24"/>
        </w:rPr>
      </w:pPr>
      <w:r w:rsidRPr="003530A9">
        <w:rPr>
          <w:sz w:val="24"/>
          <w:szCs w:val="24"/>
        </w:rPr>
        <w:t xml:space="preserve">where </w:t>
      </w:r>
      <m:oMath>
        <m:sSubSup>
          <m:sSubSupPr>
            <m:ctrlPr>
              <w:rPr>
                <w:rFonts w:ascii="Cambria Math" w:hAnsi="Cambria Math"/>
                <w:i/>
                <w:sz w:val="24"/>
                <w:szCs w:val="24"/>
                <w:vertAlign w:val="subscript"/>
              </w:rPr>
            </m:ctrlPr>
          </m:sSubSupPr>
          <m:e>
            <m:r>
              <w:rPr>
                <w:rFonts w:ascii="Cambria Math" w:hAnsi="Cambria Math"/>
                <w:sz w:val="24"/>
                <w:szCs w:val="24"/>
                <w:vertAlign w:val="subscript"/>
              </w:rPr>
              <m:t>ω</m:t>
            </m:r>
          </m:e>
          <m:sub>
            <m:r>
              <w:rPr>
                <w:rFonts w:ascii="Cambria Math" w:hAnsi="Cambria Math"/>
                <w:sz w:val="24"/>
                <w:szCs w:val="24"/>
                <w:vertAlign w:val="subscript"/>
              </w:rPr>
              <m:t>hi</m:t>
            </m:r>
          </m:sub>
          <m:sup>
            <m:r>
              <w:rPr>
                <w:rFonts w:ascii="Cambria Math" w:hAnsi="Cambria Math"/>
                <w:sz w:val="24"/>
                <w:szCs w:val="24"/>
                <w:vertAlign w:val="subscript"/>
              </w:rPr>
              <m:t>*</m:t>
            </m:r>
          </m:sup>
        </m:sSubSup>
      </m:oMath>
      <w:r w:rsidRPr="003530A9">
        <w:rPr>
          <w:sz w:val="24"/>
          <w:szCs w:val="24"/>
          <w:vertAlign w:val="subscript"/>
        </w:rPr>
        <w:t xml:space="preserve"> </w:t>
      </w:r>
      <w:r w:rsidRPr="003530A9">
        <w:rPr>
          <w:sz w:val="24"/>
          <w:szCs w:val="24"/>
        </w:rPr>
        <w:t xml:space="preserve">is the final weight and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hi</m:t>
            </m:r>
          </m:sub>
        </m:sSub>
      </m:oMath>
      <w:r w:rsidRPr="003530A9">
        <w:rPr>
          <w:sz w:val="24"/>
          <w:szCs w:val="24"/>
        </w:rPr>
        <w:t xml:space="preserve"> is the number of participants for unit </w:t>
      </w:r>
      <w:r w:rsidRPr="003530A9">
        <w:rPr>
          <w:i/>
          <w:sz w:val="24"/>
          <w:szCs w:val="24"/>
        </w:rPr>
        <w:t>j</w:t>
      </w:r>
      <w:r w:rsidRPr="003530A9">
        <w:rPr>
          <w:sz w:val="24"/>
          <w:szCs w:val="24"/>
        </w:rPr>
        <w:t xml:space="preserve"> at address </w:t>
      </w:r>
      <w:r w:rsidRPr="003530A9">
        <w:rPr>
          <w:i/>
          <w:sz w:val="24"/>
          <w:szCs w:val="24"/>
        </w:rPr>
        <w:t>i</w:t>
      </w:r>
      <w:r w:rsidRPr="003530A9">
        <w:rPr>
          <w:sz w:val="24"/>
          <w:szCs w:val="24"/>
        </w:rPr>
        <w:t xml:space="preserve"> of stratum </w:t>
      </w:r>
      <w:r w:rsidRPr="003530A9">
        <w:rPr>
          <w:i/>
          <w:sz w:val="24"/>
          <w:szCs w:val="24"/>
        </w:rPr>
        <w:t>h</w:t>
      </w:r>
      <w:r w:rsidRPr="003530A9">
        <w:rPr>
          <w:sz w:val="24"/>
          <w:szCs w:val="24"/>
        </w:rPr>
        <w:t>.</w:t>
      </w:r>
    </w:p>
    <w:p w:rsidR="00D83844" w:rsidRPr="003530A9" w:rsidRDefault="00D83844" w:rsidP="00D83844">
      <w:pPr>
        <w:rPr>
          <w:sz w:val="24"/>
          <w:szCs w:val="24"/>
          <w:vertAlign w:val="subscript"/>
        </w:rPr>
      </w:pPr>
    </w:p>
    <w:p w:rsidR="009D10E1" w:rsidRPr="003530A9" w:rsidRDefault="009D10E1" w:rsidP="009D10E1">
      <w:pPr>
        <w:rPr>
          <w:sz w:val="24"/>
          <w:szCs w:val="24"/>
        </w:rPr>
      </w:pPr>
      <w:r w:rsidRPr="003530A9">
        <w:rPr>
          <w:sz w:val="24"/>
          <w:szCs w:val="24"/>
        </w:rPr>
        <w:t xml:space="preserve">Variance of the total effort estimate is estimated using the Taylor series method </w:t>
      </w:r>
    </w:p>
    <w:p w:rsidR="009D10E1" w:rsidRPr="003530A9" w:rsidRDefault="003A4BAE" w:rsidP="009D10E1">
      <w:pPr>
        <w:rPr>
          <w:sz w:val="24"/>
          <w:szCs w:val="24"/>
        </w:rPr>
      </w:pPr>
      <m:oMathPara>
        <m:oMath>
          <m:acc>
            <m:accPr>
              <m:ctrlPr>
                <w:rPr>
                  <w:rFonts w:ascii="Cambria Math" w:hAnsi="Cambria Math"/>
                  <w:i/>
                  <w:sz w:val="24"/>
                  <w:szCs w:val="24"/>
                </w:rPr>
              </m:ctrlPr>
            </m:accPr>
            <m:e>
              <m:r>
                <w:rPr>
                  <w:rFonts w:ascii="Cambria Math" w:hAnsi="Cambria Math"/>
                  <w:sz w:val="24"/>
                  <w:szCs w:val="24"/>
                </w:rPr>
                <m:t>V</m:t>
              </m:r>
            </m:e>
          </m:acc>
          <m:d>
            <m:dPr>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Y</m:t>
                  </m:r>
                </m:e>
              </m:acc>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h=</m:t>
              </m:r>
              <m:r>
                <w:rPr>
                  <w:rFonts w:ascii="Cambria Math" w:hAnsi="Cambria Math"/>
                  <w:sz w:val="24"/>
                  <w:szCs w:val="24"/>
                </w:rPr>
                <m:t>1</m:t>
              </m:r>
            </m:sub>
            <m:sup>
              <m:r>
                <w:rPr>
                  <w:rFonts w:ascii="Cambria Math" w:hAnsi="Cambria Math"/>
                  <w:sz w:val="24"/>
                  <w:szCs w:val="24"/>
                </w:rPr>
                <m:t>H</m:t>
              </m:r>
            </m:sup>
            <m:e>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h</m:t>
                  </m:r>
                </m:sub>
              </m:sSub>
              <m:r>
                <w:rPr>
                  <w:rFonts w:ascii="Cambria Math" w:hAnsi="Cambria Math"/>
                  <w:sz w:val="24"/>
                  <w:szCs w:val="24"/>
                </w:rPr>
                <m:t>(</m:t>
              </m:r>
              <m:acc>
                <m:accPr>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e>
          </m:nary>
        </m:oMath>
      </m:oMathPara>
    </w:p>
    <w:p w:rsidR="009D10E1" w:rsidRPr="003530A9" w:rsidRDefault="009D10E1" w:rsidP="009D10E1">
      <w:pPr>
        <w:rPr>
          <w:sz w:val="24"/>
          <w:szCs w:val="24"/>
        </w:rPr>
      </w:pPr>
    </w:p>
    <w:p w:rsidR="009D10E1" w:rsidRPr="003530A9" w:rsidRDefault="009D10E1" w:rsidP="009D10E1">
      <w:pPr>
        <w:rPr>
          <w:sz w:val="24"/>
          <w:szCs w:val="24"/>
        </w:rPr>
      </w:pPr>
      <w:r w:rsidRPr="003530A9">
        <w:rPr>
          <w:sz w:val="24"/>
          <w:szCs w:val="24"/>
        </w:rPr>
        <w:t>where</w:t>
      </w:r>
    </w:p>
    <w:p w:rsidR="009D10E1" w:rsidRPr="003530A9" w:rsidRDefault="009D10E1" w:rsidP="009D10E1">
      <w:pPr>
        <w:rPr>
          <w:sz w:val="24"/>
          <w:szCs w:val="24"/>
        </w:rPr>
      </w:pPr>
    </w:p>
    <w:p w:rsidR="009D10E1" w:rsidRPr="003530A9" w:rsidRDefault="003A4BAE" w:rsidP="009D10E1">
      <w:pPr>
        <w:rPr>
          <w:sz w:val="24"/>
          <w:szCs w:val="24"/>
        </w:rPr>
      </w:pPr>
      <m:oMathPara>
        <m:oMath>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V</m:t>
                  </m:r>
                </m:e>
              </m:acc>
            </m:e>
            <m:sub>
              <m:r>
                <w:rPr>
                  <w:rFonts w:ascii="Cambria Math" w:hAnsi="Cambria Math"/>
                  <w:sz w:val="24"/>
                  <w:szCs w:val="24"/>
                </w:rPr>
                <m:t>h</m:t>
              </m:r>
            </m:sub>
          </m:sSub>
          <m:d>
            <m:dPr>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Y</m:t>
                  </m:r>
                </m:e>
              </m:acc>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h</m:t>
                  </m:r>
                </m:sub>
              </m:sSub>
              <m:r>
                <w:rPr>
                  <w:rFonts w:ascii="Cambria Math" w:hAnsi="Cambria Math"/>
                  <w:sz w:val="24"/>
                  <w:szCs w:val="24"/>
                </w:rPr>
                <m:t>)</m:t>
              </m:r>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r>
                <w:rPr>
                  <w:rFonts w:ascii="Cambria Math" w:hAnsi="Cambria Math"/>
                  <w:sz w:val="24"/>
                  <w:szCs w:val="24"/>
                </w:rPr>
                <m:t>-1</m:t>
              </m:r>
            </m:den>
          </m:f>
          <m:nary>
            <m:naryPr>
              <m:chr m:val="∑"/>
              <m:limLoc m:val="undOvr"/>
              <m:ctrlPr>
                <w:rPr>
                  <w:rFonts w:ascii="Cambria Math" w:hAnsi="Cambria Math"/>
                  <w:i/>
                  <w:sz w:val="24"/>
                  <w:szCs w:val="24"/>
                </w:rPr>
              </m:ctrlPr>
            </m:naryPr>
            <m:sub>
              <m:r>
                <w:rPr>
                  <w:rFonts w:ascii="Cambria Math" w:hAnsi="Cambria Math"/>
                  <w:sz w:val="24"/>
                  <w:szCs w:val="24"/>
                </w:rPr>
                <m:t>i=1</m:t>
              </m:r>
            </m:sub>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sup>
            <m:e>
              <m:sSup>
                <m:sSupPr>
                  <m:ctrlPr>
                    <w:rPr>
                      <w:rFonts w:ascii="Cambria Math" w:hAnsi="Cambria Math"/>
                      <w:i/>
                      <w:sz w:val="24"/>
                      <w:szCs w:val="24"/>
                    </w:rPr>
                  </m:ctrlPr>
                </m:sSup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hi∙</m:t>
                      </m:r>
                    </m:sub>
                  </m:sSub>
                  <m:r>
                    <w:rPr>
                      <w:rFonts w:ascii="Cambria Math" w:hAns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h∙∙</m:t>
                      </m:r>
                    </m:sub>
                  </m:sSub>
                  <m:r>
                    <w:rPr>
                      <w:rFonts w:ascii="Cambria Math" w:hAnsi="Cambria Math"/>
                      <w:sz w:val="24"/>
                      <w:szCs w:val="24"/>
                    </w:rPr>
                    <m:t>)</m:t>
                  </m:r>
                </m:e>
                <m:sup>
                  <m:r>
                    <w:rPr>
                      <w:rFonts w:ascii="Cambria Math" w:hAnsi="Cambria Math"/>
                      <w:sz w:val="24"/>
                      <w:szCs w:val="24"/>
                    </w:rPr>
                    <m:t>2</m:t>
                  </m:r>
                </m:sup>
              </m:sSup>
            </m:e>
          </m:nary>
        </m:oMath>
      </m:oMathPara>
    </w:p>
    <w:p w:rsidR="009D10E1" w:rsidRPr="003530A9" w:rsidRDefault="009D10E1" w:rsidP="009D10E1">
      <w:pPr>
        <w:rPr>
          <w:sz w:val="24"/>
          <w:szCs w:val="24"/>
        </w:rPr>
      </w:pPr>
    </w:p>
    <w:p w:rsidR="009D10E1" w:rsidRPr="003530A9" w:rsidRDefault="009D10E1" w:rsidP="009D10E1">
      <w:pPr>
        <w:rPr>
          <w:sz w:val="24"/>
          <w:szCs w:val="24"/>
        </w:rPr>
      </w:pPr>
    </w:p>
    <w:p w:rsidR="009D10E1" w:rsidRPr="003530A9" w:rsidRDefault="003A4BAE" w:rsidP="009D10E1">
      <w:pPr>
        <w:rPr>
          <w:sz w:val="24"/>
          <w:szCs w:val="24"/>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hi∙</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j=1</m:t>
              </m:r>
            </m:sub>
            <m:sup>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hi</m:t>
                  </m:r>
                </m:sub>
              </m:sSub>
            </m:sup>
            <m:e>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hij</m:t>
                  </m:r>
                </m:sub>
                <m:sup>
                  <m:r>
                    <w:rPr>
                      <w:rFonts w:ascii="Cambria Math" w:hAnsi="Cambria Math"/>
                      <w:sz w:val="24"/>
                      <w:szCs w:val="24"/>
                    </w:rPr>
                    <m:t>*</m:t>
                  </m:r>
                </m:sup>
              </m:sSubSup>
            </m:e>
          </m:nary>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hij</m:t>
              </m:r>
            </m:sub>
          </m:sSub>
        </m:oMath>
      </m:oMathPara>
    </w:p>
    <w:p w:rsidR="009D10E1" w:rsidRPr="003530A9" w:rsidRDefault="009D10E1" w:rsidP="009D10E1">
      <w:pPr>
        <w:rPr>
          <w:sz w:val="24"/>
          <w:szCs w:val="24"/>
        </w:rPr>
      </w:pPr>
    </w:p>
    <w:p w:rsidR="009D10E1" w:rsidRPr="003530A9" w:rsidRDefault="009D10E1" w:rsidP="009D10E1">
      <w:pPr>
        <w:rPr>
          <w:sz w:val="24"/>
          <w:szCs w:val="24"/>
        </w:rPr>
      </w:pPr>
    </w:p>
    <w:p w:rsidR="009D10E1" w:rsidRPr="003530A9" w:rsidRDefault="003A4BAE" w:rsidP="009D10E1">
      <w:pPr>
        <w:rPr>
          <w:sz w:val="24"/>
          <w:szCs w:val="24"/>
        </w:rPr>
      </w:pPr>
      <m:oMathPara>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h∙∙</m:t>
              </m:r>
            </m:sub>
          </m:sSub>
          <m:r>
            <w:rPr>
              <w:rFonts w:ascii="Cambria Math" w:hAnsi="Cambria Math"/>
              <w:sz w:val="24"/>
              <w:szCs w:val="24"/>
            </w:rPr>
            <m:t>=</m:t>
          </m:r>
          <m:d>
            <m:dPr>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i=1</m:t>
                  </m:r>
                </m:sub>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sup>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hi∙</m:t>
                      </m:r>
                    </m:sub>
                  </m:sSub>
                </m:e>
              </m:nary>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oMath>
      </m:oMathPara>
    </w:p>
    <w:p w:rsidR="009D10E1" w:rsidRDefault="009D10E1">
      <w:pPr>
        <w:widowControl/>
        <w:autoSpaceDE/>
        <w:autoSpaceDN/>
        <w:adjustRightInd/>
        <w:spacing w:after="200" w:line="276" w:lineRule="auto"/>
        <w:rPr>
          <w:sz w:val="24"/>
          <w:szCs w:val="24"/>
        </w:rPr>
      </w:pPr>
    </w:p>
    <w:p w:rsidR="00AD3657" w:rsidRDefault="00114726" w:rsidP="00AD3657">
      <w:pPr>
        <w:rPr>
          <w:sz w:val="24"/>
          <w:szCs w:val="24"/>
        </w:rPr>
      </w:pPr>
      <w:r w:rsidRPr="003530A9">
        <w:rPr>
          <w:sz w:val="24"/>
          <w:szCs w:val="24"/>
        </w:rPr>
        <w:t>For estimating participation, we expect stratification to be more effective than simple random sampling due to the oversampling of coastal and licensed households.  Gains in efficiency will be offset somewhat by weighting effects, which will increase the variance of participation estimates.  Given these two factors, we expect a design effect of approximately 1.2</w:t>
      </w:r>
      <w:r>
        <w:rPr>
          <w:sz w:val="24"/>
          <w:szCs w:val="24"/>
        </w:rPr>
        <w:t xml:space="preserve"> (i.e., 20% increase in the variance)</w:t>
      </w:r>
      <w:r w:rsidRPr="003530A9">
        <w:rPr>
          <w:sz w:val="24"/>
          <w:szCs w:val="24"/>
        </w:rPr>
        <w:t xml:space="preserve">.  </w:t>
      </w:r>
    </w:p>
    <w:p w:rsidR="00AD3657" w:rsidRPr="0088491D" w:rsidRDefault="00AD3657" w:rsidP="00AD3657">
      <w:pPr>
        <w:shd w:val="clear" w:color="auto" w:fill="FFFFFF"/>
        <w:rPr>
          <w:color w:val="222222"/>
          <w:sz w:val="24"/>
          <w:szCs w:val="24"/>
        </w:rPr>
      </w:pPr>
      <w:r>
        <w:rPr>
          <w:bCs/>
          <w:color w:val="222222"/>
          <w:sz w:val="24"/>
          <w:szCs w:val="24"/>
        </w:rPr>
        <w:t>Any</w:t>
      </w:r>
      <w:r w:rsidRPr="0088491D">
        <w:rPr>
          <w:bCs/>
          <w:color w:val="222222"/>
          <w:sz w:val="24"/>
          <w:szCs w:val="24"/>
        </w:rPr>
        <w:t xml:space="preserve"> respondent who completes both Wave A and Wave C will be considered a complete because we have information on their annual fishing.</w:t>
      </w:r>
      <w:r>
        <w:rPr>
          <w:bCs/>
          <w:color w:val="222222"/>
          <w:sz w:val="24"/>
          <w:szCs w:val="24"/>
        </w:rPr>
        <w:t xml:space="preserve"> </w:t>
      </w:r>
      <w:r w:rsidRPr="0088491D">
        <w:rPr>
          <w:bCs/>
          <w:color w:val="222222"/>
          <w:sz w:val="24"/>
          <w:szCs w:val="24"/>
        </w:rPr>
        <w:t xml:space="preserve"> Note Wave C has a special instrument for those that do not complete Wave B. </w:t>
      </w:r>
      <w:r>
        <w:rPr>
          <w:bCs/>
          <w:color w:val="222222"/>
          <w:sz w:val="24"/>
          <w:szCs w:val="24"/>
        </w:rPr>
        <w:t xml:space="preserve"> </w:t>
      </w:r>
      <w:r w:rsidRPr="0088491D">
        <w:rPr>
          <w:bCs/>
          <w:color w:val="222222"/>
          <w:sz w:val="24"/>
          <w:szCs w:val="24"/>
        </w:rPr>
        <w:t xml:space="preserve">In addition, imputation of participation is planned for the </w:t>
      </w:r>
      <w:r>
        <w:rPr>
          <w:bCs/>
          <w:color w:val="222222"/>
          <w:sz w:val="24"/>
          <w:szCs w:val="24"/>
        </w:rPr>
        <w:t>MLSR</w:t>
      </w:r>
      <w:r w:rsidRPr="0088491D">
        <w:rPr>
          <w:bCs/>
          <w:color w:val="222222"/>
          <w:sz w:val="24"/>
          <w:szCs w:val="24"/>
        </w:rPr>
        <w:t xml:space="preserve"> for those who complete Wave A and do not complete subsequent waves. </w:t>
      </w:r>
      <w:r>
        <w:rPr>
          <w:bCs/>
          <w:color w:val="222222"/>
          <w:sz w:val="24"/>
          <w:szCs w:val="24"/>
        </w:rPr>
        <w:t xml:space="preserve"> </w:t>
      </w:r>
      <w:r w:rsidRPr="0088491D">
        <w:rPr>
          <w:bCs/>
          <w:color w:val="222222"/>
          <w:sz w:val="24"/>
          <w:szCs w:val="24"/>
        </w:rPr>
        <w:t xml:space="preserve">This is predicated on being able to produce imputations of participation that have reasonable error properties. </w:t>
      </w:r>
      <w:r>
        <w:rPr>
          <w:bCs/>
          <w:color w:val="222222"/>
          <w:sz w:val="24"/>
          <w:szCs w:val="24"/>
        </w:rPr>
        <w:t xml:space="preserve"> </w:t>
      </w:r>
      <w:r w:rsidRPr="0088491D">
        <w:rPr>
          <w:bCs/>
          <w:color w:val="222222"/>
          <w:sz w:val="24"/>
          <w:szCs w:val="24"/>
        </w:rPr>
        <w:t>The Wave A responses from those who participate in Wave C but not in Wave B are expected to provide reasonable donors for a hot de</w:t>
      </w:r>
      <w:r>
        <w:rPr>
          <w:bCs/>
          <w:color w:val="222222"/>
          <w:sz w:val="24"/>
          <w:szCs w:val="24"/>
        </w:rPr>
        <w:t xml:space="preserve">ck imputation for those who </w:t>
      </w:r>
      <w:r w:rsidRPr="0088491D">
        <w:rPr>
          <w:bCs/>
          <w:color w:val="222222"/>
          <w:sz w:val="24"/>
          <w:szCs w:val="24"/>
        </w:rPr>
        <w:t>did not report participation in Wave A (those are participants even without any later response).</w:t>
      </w:r>
      <w:r w:rsidRPr="0088491D">
        <w:rPr>
          <w:color w:val="222222"/>
          <w:sz w:val="24"/>
          <w:szCs w:val="24"/>
        </w:rPr>
        <w:t> </w:t>
      </w:r>
      <w:r>
        <w:rPr>
          <w:color w:val="222222"/>
          <w:sz w:val="24"/>
          <w:szCs w:val="24"/>
        </w:rPr>
        <w:t xml:space="preserve"> </w:t>
      </w:r>
      <w:r w:rsidRPr="0088491D">
        <w:rPr>
          <w:bCs/>
          <w:color w:val="222222"/>
          <w:sz w:val="24"/>
          <w:szCs w:val="24"/>
        </w:rPr>
        <w:t xml:space="preserve">As a result, we </w:t>
      </w:r>
      <w:r w:rsidRPr="0088491D">
        <w:rPr>
          <w:bCs/>
          <w:color w:val="222222"/>
          <w:sz w:val="24"/>
          <w:szCs w:val="24"/>
        </w:rPr>
        <w:lastRenderedPageBreak/>
        <w:t>expect the sample size used in the longitudinal file will equal the number who completed in Wave A</w:t>
      </w:r>
      <w:r w:rsidRPr="0088491D">
        <w:rPr>
          <w:color w:val="222222"/>
          <w:sz w:val="24"/>
          <w:szCs w:val="24"/>
        </w:rPr>
        <w:t>.</w:t>
      </w:r>
    </w:p>
    <w:p w:rsidR="00AD3657" w:rsidRDefault="00AD3657" w:rsidP="00AD3657">
      <w:pPr>
        <w:rPr>
          <w:sz w:val="24"/>
          <w:szCs w:val="24"/>
        </w:rPr>
      </w:pPr>
    </w:p>
    <w:p w:rsidR="00AD3657" w:rsidRPr="00ED09AA" w:rsidRDefault="00AD3657" w:rsidP="00AD3657">
      <w:pPr>
        <w:shd w:val="clear" w:color="auto" w:fill="FFFFFF"/>
        <w:rPr>
          <w:color w:val="222222"/>
          <w:sz w:val="24"/>
          <w:szCs w:val="24"/>
        </w:rPr>
      </w:pPr>
      <w:r w:rsidRPr="00ED09AA">
        <w:rPr>
          <w:bCs/>
          <w:color w:val="222222"/>
          <w:sz w:val="24"/>
          <w:szCs w:val="24"/>
        </w:rPr>
        <w:t>The</w:t>
      </w:r>
      <w:r>
        <w:rPr>
          <w:bCs/>
          <w:color w:val="222222"/>
          <w:sz w:val="24"/>
          <w:szCs w:val="24"/>
        </w:rPr>
        <w:t xml:space="preserve"> MLSR</w:t>
      </w:r>
      <w:r w:rsidRPr="00ED09AA">
        <w:rPr>
          <w:bCs/>
          <w:color w:val="222222"/>
          <w:sz w:val="24"/>
          <w:szCs w:val="24"/>
        </w:rPr>
        <w:t xml:space="preserve"> and the </w:t>
      </w:r>
      <w:r>
        <w:rPr>
          <w:bCs/>
          <w:color w:val="222222"/>
          <w:sz w:val="24"/>
          <w:szCs w:val="24"/>
        </w:rPr>
        <w:t>MFES</w:t>
      </w:r>
      <w:r w:rsidRPr="00ED09AA">
        <w:rPr>
          <w:bCs/>
          <w:color w:val="222222"/>
          <w:sz w:val="24"/>
          <w:szCs w:val="24"/>
        </w:rPr>
        <w:t xml:space="preserve"> samples are selected independently (although no households are in both) so the estimation procedures for each sample will be applied and then the estimated number of annual participants will be computed for each sample from its standard weight.</w:t>
      </w:r>
      <w:r>
        <w:rPr>
          <w:bCs/>
          <w:color w:val="222222"/>
          <w:sz w:val="24"/>
          <w:szCs w:val="24"/>
        </w:rPr>
        <w:t xml:space="preserve"> </w:t>
      </w:r>
      <w:r w:rsidRPr="00ED09AA">
        <w:rPr>
          <w:bCs/>
          <w:color w:val="222222"/>
          <w:sz w:val="24"/>
          <w:szCs w:val="24"/>
        </w:rPr>
        <w:t xml:space="preserve"> The prime analytic interest is in the difference in the estimated number of annual participants. </w:t>
      </w:r>
      <w:r>
        <w:rPr>
          <w:bCs/>
          <w:color w:val="222222"/>
          <w:sz w:val="24"/>
          <w:szCs w:val="24"/>
        </w:rPr>
        <w:t xml:space="preserve"> </w:t>
      </w:r>
      <w:r w:rsidRPr="00ED09AA">
        <w:rPr>
          <w:bCs/>
          <w:color w:val="222222"/>
          <w:sz w:val="24"/>
          <w:szCs w:val="24"/>
        </w:rPr>
        <w:t xml:space="preserve">Since the two samples are independent, the variance of the estimated difference in estimates of annual participation is simple to compute. </w:t>
      </w:r>
      <w:r>
        <w:rPr>
          <w:bCs/>
          <w:color w:val="222222"/>
          <w:sz w:val="24"/>
          <w:szCs w:val="24"/>
        </w:rPr>
        <w:t xml:space="preserve"> </w:t>
      </w:r>
      <w:r w:rsidRPr="00ED09AA">
        <w:rPr>
          <w:bCs/>
          <w:color w:val="222222"/>
          <w:sz w:val="24"/>
          <w:szCs w:val="24"/>
        </w:rPr>
        <w:t xml:space="preserve">The </w:t>
      </w:r>
      <w:r>
        <w:rPr>
          <w:bCs/>
          <w:color w:val="222222"/>
          <w:sz w:val="24"/>
          <w:szCs w:val="24"/>
        </w:rPr>
        <w:t>MFES</w:t>
      </w:r>
      <w:r w:rsidRPr="00ED09AA">
        <w:rPr>
          <w:bCs/>
          <w:color w:val="222222"/>
          <w:sz w:val="24"/>
          <w:szCs w:val="24"/>
        </w:rPr>
        <w:t xml:space="preserve"> also contains other reports of participation (in the last 2 months, in the last 4 months, and in the last 8 months) and these responses will be examined to determine if there is some way to reduce measurement error if any substantial error is found in the 12 month recall. </w:t>
      </w:r>
      <w:r>
        <w:rPr>
          <w:bCs/>
          <w:color w:val="222222"/>
          <w:sz w:val="24"/>
          <w:szCs w:val="24"/>
        </w:rPr>
        <w:t xml:space="preserve"> </w:t>
      </w:r>
      <w:r w:rsidRPr="00ED09AA">
        <w:rPr>
          <w:bCs/>
          <w:color w:val="222222"/>
          <w:sz w:val="24"/>
          <w:szCs w:val="24"/>
        </w:rPr>
        <w:t xml:space="preserve">The overall objective is to determine if there are ways to estimate annual participation in recreational saltwater fishing that do not require a separate, ongoing </w:t>
      </w:r>
      <w:r>
        <w:rPr>
          <w:bCs/>
          <w:color w:val="222222"/>
          <w:sz w:val="24"/>
          <w:szCs w:val="24"/>
        </w:rPr>
        <w:t>MLSR</w:t>
      </w:r>
      <w:r w:rsidRPr="00ED09AA">
        <w:rPr>
          <w:bCs/>
          <w:color w:val="222222"/>
          <w:sz w:val="24"/>
          <w:szCs w:val="24"/>
        </w:rPr>
        <w:t>.</w:t>
      </w:r>
    </w:p>
    <w:p w:rsidR="00AD3657" w:rsidRPr="003530A9" w:rsidRDefault="00AD3657" w:rsidP="00AD3657">
      <w:pPr>
        <w:rPr>
          <w:sz w:val="24"/>
          <w:szCs w:val="24"/>
        </w:rPr>
      </w:pPr>
    </w:p>
    <w:p w:rsidR="00AD3657" w:rsidRPr="00ED09AA" w:rsidRDefault="00AD3657" w:rsidP="00AD3657">
      <w:pPr>
        <w:shd w:val="clear" w:color="auto" w:fill="FFFFFF"/>
        <w:rPr>
          <w:color w:val="222222"/>
          <w:sz w:val="24"/>
          <w:szCs w:val="24"/>
        </w:rPr>
      </w:pPr>
      <w:r w:rsidRPr="00ED09AA">
        <w:rPr>
          <w:bCs/>
          <w:color w:val="222222"/>
          <w:sz w:val="24"/>
          <w:szCs w:val="24"/>
        </w:rPr>
        <w:t>The power for the comparison is largely a function of the size of the</w:t>
      </w:r>
      <w:r>
        <w:rPr>
          <w:bCs/>
          <w:color w:val="222222"/>
          <w:sz w:val="24"/>
          <w:szCs w:val="24"/>
        </w:rPr>
        <w:t xml:space="preserve"> MLSR</w:t>
      </w:r>
      <w:r w:rsidRPr="00ED09AA">
        <w:rPr>
          <w:bCs/>
          <w:color w:val="222222"/>
          <w:sz w:val="24"/>
          <w:szCs w:val="24"/>
        </w:rPr>
        <w:t xml:space="preserve"> sample. </w:t>
      </w:r>
      <w:r>
        <w:rPr>
          <w:bCs/>
          <w:color w:val="222222"/>
          <w:sz w:val="24"/>
          <w:szCs w:val="24"/>
        </w:rPr>
        <w:t xml:space="preserve"> </w:t>
      </w:r>
      <w:r w:rsidRPr="00ED09AA">
        <w:rPr>
          <w:bCs/>
          <w:color w:val="222222"/>
          <w:sz w:val="24"/>
          <w:szCs w:val="24"/>
        </w:rPr>
        <w:t xml:space="preserve">We anticipate the number of respondents will be 389 (this implies the data from the Wave A respondents can be imputed successfully if other waves are not obtained).  The number of respondents in North Carolina from the </w:t>
      </w:r>
      <w:r>
        <w:rPr>
          <w:bCs/>
          <w:color w:val="222222"/>
          <w:sz w:val="24"/>
          <w:szCs w:val="24"/>
        </w:rPr>
        <w:t>MFES</w:t>
      </w:r>
      <w:r w:rsidRPr="00ED09AA">
        <w:rPr>
          <w:bCs/>
          <w:color w:val="222222"/>
          <w:sz w:val="24"/>
          <w:szCs w:val="24"/>
        </w:rPr>
        <w:t xml:space="preserve"> survey for a wave is about 1,800. </w:t>
      </w:r>
      <w:r>
        <w:rPr>
          <w:bCs/>
          <w:color w:val="222222"/>
          <w:sz w:val="24"/>
          <w:szCs w:val="24"/>
        </w:rPr>
        <w:t xml:space="preserve"> </w:t>
      </w:r>
      <w:r w:rsidRPr="00ED09AA">
        <w:rPr>
          <w:bCs/>
          <w:color w:val="222222"/>
          <w:sz w:val="24"/>
          <w:szCs w:val="24"/>
        </w:rPr>
        <w:t>If the true percentage of adults who annually participate is 30%, then a difference of about 5 percentage points can be detected with a power of 80% and an alpha at .05.</w:t>
      </w:r>
    </w:p>
    <w:p w:rsidR="00AD3657" w:rsidRDefault="00AD3657" w:rsidP="00AD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AD3657" w:rsidRPr="003530A9" w:rsidRDefault="00AD3657" w:rsidP="00AD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530A9">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AD3657" w:rsidRPr="003530A9" w:rsidRDefault="00AD3657" w:rsidP="00AD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D3657" w:rsidRPr="003530A9" w:rsidRDefault="00AD3657" w:rsidP="00AD3657">
      <w:pPr>
        <w:pStyle w:val="L1-FlLSp12"/>
        <w:spacing w:line="240" w:lineRule="auto"/>
        <w:rPr>
          <w:rFonts w:ascii="Times New Roman" w:hAnsi="Times New Roman"/>
          <w:szCs w:val="24"/>
        </w:rPr>
      </w:pPr>
      <w:r w:rsidRPr="003530A9">
        <w:rPr>
          <w:rFonts w:ascii="Times New Roman" w:hAnsi="Times New Roman"/>
          <w:szCs w:val="24"/>
        </w:rPr>
        <w:t xml:space="preserve">The expected response rates for the resident and non-resident samples are 48% and 60%, respectively.  Previous MRIP pilot studies utilized similar data collection procedures and achieved similar response rates.  </w:t>
      </w:r>
    </w:p>
    <w:p w:rsidR="00AD3657" w:rsidRPr="003530A9" w:rsidRDefault="00AD3657" w:rsidP="00AD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D3657" w:rsidRPr="003530A9" w:rsidRDefault="00AD3657" w:rsidP="00AD3657">
      <w:pPr>
        <w:pStyle w:val="L1-FlLSp12"/>
        <w:spacing w:line="240" w:lineRule="auto"/>
        <w:rPr>
          <w:rFonts w:ascii="Times New Roman" w:hAnsi="Times New Roman"/>
          <w:szCs w:val="24"/>
        </w:rPr>
      </w:pPr>
      <w:r w:rsidRPr="003530A9">
        <w:rPr>
          <w:rFonts w:ascii="Times New Roman" w:hAnsi="Times New Roman"/>
          <w:szCs w:val="24"/>
        </w:rPr>
        <w:t xml:space="preserve">The expected response rates will be achieved by using standard mail survey protocols (Dillman et al, 2008).  An initial mailing will include an introductory letter stating the purpose of the survey, the survey questionnaire and a business reply envelope, and a prepaid cash incentive.  A thank-you/reminder postcard will be administered to all sample units one week following the initial mailing.  A final mailing, including a second questionnaire, a nonresponse conversion letter, and a business reply envelope will be sent to all nonrespondents three weeks after the initial mailing.  </w:t>
      </w:r>
    </w:p>
    <w:p w:rsidR="00AD3657" w:rsidRPr="003530A9" w:rsidRDefault="00AD3657" w:rsidP="00AD3657">
      <w:pPr>
        <w:pStyle w:val="L1-FlLSp12"/>
        <w:spacing w:line="240" w:lineRule="auto"/>
        <w:rPr>
          <w:rFonts w:ascii="Times New Roman" w:hAnsi="Times New Roman"/>
          <w:szCs w:val="24"/>
        </w:rPr>
      </w:pPr>
    </w:p>
    <w:p w:rsidR="00AD3657" w:rsidRPr="001D67D4" w:rsidRDefault="00AD3657" w:rsidP="00AD3657">
      <w:pPr>
        <w:pStyle w:val="L1-FlLSp12"/>
        <w:spacing w:line="240" w:lineRule="auto"/>
        <w:rPr>
          <w:rFonts w:ascii="Times New Roman" w:hAnsi="Times New Roman"/>
          <w:szCs w:val="24"/>
        </w:rPr>
      </w:pPr>
      <w:r w:rsidRPr="001D67D4">
        <w:rPr>
          <w:rFonts w:ascii="Times New Roman" w:hAnsi="Times New Roman"/>
          <w:szCs w:val="24"/>
        </w:rPr>
        <w:t>We will minimize nonresponse bias by using a questionnaire that maximizes responses by the entire sample population, including both anglers and non-anglers.  T</w:t>
      </w:r>
      <w:r w:rsidRPr="00371558">
        <w:rPr>
          <w:rFonts w:ascii="Times New Roman" w:hAnsi="Times New Roman"/>
          <w:szCs w:val="24"/>
        </w:rPr>
        <w:t xml:space="preserve">he </w:t>
      </w:r>
      <w:r>
        <w:rPr>
          <w:rFonts w:ascii="Times New Roman" w:hAnsi="Times New Roman"/>
          <w:szCs w:val="24"/>
        </w:rPr>
        <w:t xml:space="preserve">MLSR </w:t>
      </w:r>
      <w:r w:rsidRPr="00371558">
        <w:rPr>
          <w:rFonts w:ascii="Times New Roman" w:hAnsi="Times New Roman"/>
          <w:szCs w:val="24"/>
        </w:rPr>
        <w:t xml:space="preserve">questionnaires </w:t>
      </w:r>
      <w:r>
        <w:rPr>
          <w:rFonts w:ascii="Times New Roman" w:hAnsi="Times New Roman"/>
          <w:szCs w:val="24"/>
        </w:rPr>
        <w:t>are derived from</w:t>
      </w:r>
      <w:r w:rsidRPr="00371558">
        <w:rPr>
          <w:rFonts w:ascii="Times New Roman" w:hAnsi="Times New Roman"/>
          <w:szCs w:val="24"/>
        </w:rPr>
        <w:t xml:space="preserve"> the</w:t>
      </w:r>
      <w:r>
        <w:rPr>
          <w:rFonts w:ascii="Times New Roman" w:hAnsi="Times New Roman"/>
          <w:szCs w:val="24"/>
        </w:rPr>
        <w:t xml:space="preserve"> MFES</w:t>
      </w:r>
      <w:r w:rsidRPr="001D67D4">
        <w:rPr>
          <w:rFonts w:ascii="Times New Roman" w:hAnsi="Times New Roman"/>
          <w:szCs w:val="24"/>
        </w:rPr>
        <w:t xml:space="preserve"> questionnaires, which have been developed through field testing and cognitive interviews.</w:t>
      </w:r>
    </w:p>
    <w:p w:rsidR="00AD3657" w:rsidRPr="003530A9" w:rsidRDefault="00AD3657" w:rsidP="00AD3657">
      <w:pPr>
        <w:pStyle w:val="L1-FlLSp12"/>
        <w:spacing w:line="240" w:lineRule="auto"/>
        <w:rPr>
          <w:rFonts w:ascii="Times New Roman" w:hAnsi="Times New Roman"/>
          <w:szCs w:val="24"/>
        </w:rPr>
      </w:pPr>
    </w:p>
    <w:p w:rsidR="00AD3657" w:rsidRDefault="00AD3657" w:rsidP="00AD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530A9">
        <w:rPr>
          <w:sz w:val="24"/>
          <w:szCs w:val="24"/>
        </w:rPr>
        <w:t>The MLSR will interview members in the sampled household three times</w:t>
      </w:r>
      <w:r>
        <w:rPr>
          <w:sz w:val="24"/>
          <w:szCs w:val="24"/>
        </w:rPr>
        <w:t xml:space="preserve"> over the year at 4-month</w:t>
      </w:r>
      <w:r w:rsidRPr="003530A9">
        <w:rPr>
          <w:sz w:val="24"/>
          <w:szCs w:val="24"/>
        </w:rPr>
        <w:t xml:space="preserve"> interval</w:t>
      </w:r>
      <w:r>
        <w:rPr>
          <w:sz w:val="24"/>
          <w:szCs w:val="24"/>
        </w:rPr>
        <w:t>s</w:t>
      </w:r>
      <w:r w:rsidRPr="003530A9">
        <w:rPr>
          <w:sz w:val="24"/>
          <w:szCs w:val="24"/>
        </w:rPr>
        <w:t xml:space="preserve"> and ask about their fishing activities during the past four months.  We expect that errors in placing events in time will be reduced with the shorter recall period.</w:t>
      </w:r>
    </w:p>
    <w:p w:rsidR="00AD3657" w:rsidRDefault="00AD3657" w:rsidP="00AD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D3657" w:rsidRDefault="00AD3657" w:rsidP="00AD3657">
      <w:pPr>
        <w:pStyle w:val="L1-FlLSp12"/>
        <w:spacing w:line="240" w:lineRule="auto"/>
        <w:rPr>
          <w:rFonts w:ascii="Times New Roman" w:hAnsi="Times New Roman"/>
        </w:rPr>
      </w:pPr>
      <w:r>
        <w:rPr>
          <w:rFonts w:ascii="Times New Roman" w:hAnsi="Times New Roman"/>
        </w:rPr>
        <w:t xml:space="preserve">Nonresponse bias will be assessed by: </w:t>
      </w:r>
    </w:p>
    <w:p w:rsidR="00AD3657" w:rsidRPr="00712405" w:rsidRDefault="00AD3657" w:rsidP="00AD3657">
      <w:pPr>
        <w:pStyle w:val="L1-FlLSp12"/>
        <w:numPr>
          <w:ilvl w:val="0"/>
          <w:numId w:val="1"/>
        </w:numPr>
        <w:spacing w:line="240" w:lineRule="auto"/>
      </w:pPr>
      <w:r>
        <w:rPr>
          <w:rFonts w:ascii="Times New Roman" w:hAnsi="Times New Roman"/>
        </w:rPr>
        <w:t xml:space="preserve">Comparing early and late responders with respect to reported fishing activity.  This analysis will identify differences in respondents based upon the level of effort required to solicit a response.  Previous studies (Brick et al., 2012) demonstrated that early and late responders are similar in terms of reported recreational fishing activity,  </w:t>
      </w:r>
    </w:p>
    <w:p w:rsidR="00AD3657" w:rsidRPr="00712405" w:rsidRDefault="00AD3657" w:rsidP="00AD3657">
      <w:pPr>
        <w:pStyle w:val="L1-FlLSp12"/>
        <w:numPr>
          <w:ilvl w:val="0"/>
          <w:numId w:val="1"/>
        </w:numPr>
        <w:spacing w:line="240" w:lineRule="auto"/>
      </w:pPr>
      <w:r>
        <w:rPr>
          <w:rFonts w:ascii="Times New Roman" w:hAnsi="Times New Roman"/>
        </w:rPr>
        <w:t xml:space="preserve">Utilizing information from sample frame to define weighting classes for postsurvey weighting adjustments.  Weighting classes will be defined such that response rates and fishing activity are similar within classes.  Nonresponse bias will be measured by comparing unadjusted estimates to estimates that have been adjusted to account for differential nonresponse among weighting classes.  Previous studies identified differential nonresponse and reported fishing activity between households with and without licensed anglers and demonstrated that nonresponse weighting adjustment decreased estimates of fishing effort by 25% over unadjusted estimates (Andrews et al., 2010), and </w:t>
      </w:r>
    </w:p>
    <w:p w:rsidR="00AD3657" w:rsidRPr="00270985" w:rsidRDefault="00AD3657" w:rsidP="00AD3657">
      <w:pPr>
        <w:pStyle w:val="L1-FlLSp12"/>
        <w:numPr>
          <w:ilvl w:val="0"/>
          <w:numId w:val="1"/>
        </w:numPr>
        <w:spacing w:line="240" w:lineRule="auto"/>
        <w:rPr>
          <w:rFonts w:ascii="Times New Roman" w:hAnsi="Times New Roman"/>
          <w:szCs w:val="24"/>
        </w:rPr>
      </w:pPr>
      <w:r>
        <w:rPr>
          <w:rFonts w:ascii="Times New Roman" w:hAnsi="Times New Roman"/>
          <w:color w:val="222222"/>
          <w:szCs w:val="24"/>
          <w:shd w:val="clear" w:color="auto" w:fill="FFFFFF"/>
        </w:rPr>
        <w:t xml:space="preserve">Comparing the </w:t>
      </w:r>
      <w:r w:rsidRPr="00270985">
        <w:rPr>
          <w:rFonts w:ascii="Times New Roman" w:hAnsi="Times New Roman"/>
          <w:color w:val="222222"/>
          <w:szCs w:val="24"/>
          <w:shd w:val="clear" w:color="auto" w:fill="FFFFFF"/>
        </w:rPr>
        <w:t xml:space="preserve">response rates and survey measures among different demographic groups, and </w:t>
      </w:r>
      <w:r>
        <w:rPr>
          <w:rFonts w:ascii="Times New Roman" w:hAnsi="Times New Roman"/>
          <w:color w:val="222222"/>
          <w:szCs w:val="24"/>
          <w:shd w:val="clear" w:color="auto" w:fill="FFFFFF"/>
        </w:rPr>
        <w:t xml:space="preserve">post-stratifying the </w:t>
      </w:r>
      <w:r w:rsidRPr="00270985">
        <w:rPr>
          <w:rFonts w:ascii="Times New Roman" w:hAnsi="Times New Roman"/>
          <w:color w:val="222222"/>
          <w:szCs w:val="24"/>
          <w:shd w:val="clear" w:color="auto" w:fill="FFFFFF"/>
        </w:rPr>
        <w:t>survey weights such that weighted estimates of demographic characteristics (e.g. gender, race, ethnicity) conform to population totals for the state</w:t>
      </w:r>
      <w:r>
        <w:rPr>
          <w:rFonts w:ascii="Times New Roman" w:hAnsi="Times New Roman"/>
          <w:color w:val="222222"/>
          <w:szCs w:val="24"/>
          <w:shd w:val="clear" w:color="auto" w:fill="FFFFFF"/>
        </w:rPr>
        <w:t xml:space="preserve"> (Kalton and Flores-Cervantes, 2003)</w:t>
      </w:r>
      <w:r w:rsidRPr="00270985">
        <w:rPr>
          <w:rFonts w:ascii="Times New Roman" w:hAnsi="Times New Roman"/>
          <w:color w:val="222222"/>
          <w:szCs w:val="24"/>
          <w:shd w:val="clear" w:color="auto" w:fill="FFFFFF"/>
        </w:rPr>
        <w:t>.</w:t>
      </w:r>
    </w:p>
    <w:p w:rsidR="00AD3657" w:rsidRPr="003530A9" w:rsidRDefault="00AD3657" w:rsidP="00AD3657">
      <w:pPr>
        <w:pStyle w:val="L1-FlLSp12"/>
        <w:spacing w:line="240" w:lineRule="auto"/>
        <w:rPr>
          <w:rFonts w:ascii="Times New Roman" w:hAnsi="Times New Roman"/>
          <w:szCs w:val="24"/>
          <w:highlight w:val="yellow"/>
        </w:rPr>
      </w:pPr>
    </w:p>
    <w:p w:rsidR="00AD3657" w:rsidRPr="003530A9" w:rsidRDefault="00AD3657" w:rsidP="00AD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530A9">
        <w:rPr>
          <w:b/>
          <w:bCs/>
          <w:sz w:val="24"/>
          <w:szCs w:val="24"/>
        </w:rPr>
        <w:t>4.  Describe any tests of procedures or methods to be undertaken. Tests are encouraged as effective means to refine collections, but if ten or more test respondents are involved OMB must give prior approval.</w:t>
      </w:r>
    </w:p>
    <w:p w:rsidR="00AD3657" w:rsidRPr="003530A9" w:rsidRDefault="00AD3657" w:rsidP="00AD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D3657" w:rsidRPr="003530A9" w:rsidRDefault="00AD3657" w:rsidP="00AD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530A9">
        <w:rPr>
          <w:bCs/>
          <w:sz w:val="24"/>
          <w:szCs w:val="24"/>
        </w:rPr>
        <w:t>No additional testing is planned.</w:t>
      </w:r>
    </w:p>
    <w:p w:rsidR="00AD3657" w:rsidRPr="003530A9" w:rsidRDefault="00AD3657" w:rsidP="00AD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D3657" w:rsidRPr="003530A9" w:rsidRDefault="00AD3657" w:rsidP="00AD3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530A9">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AD3657" w:rsidRPr="003530A9" w:rsidRDefault="00AD3657" w:rsidP="00AD3657">
      <w:pPr>
        <w:rPr>
          <w:sz w:val="24"/>
          <w:szCs w:val="24"/>
        </w:rPr>
      </w:pPr>
    </w:p>
    <w:p w:rsidR="00AD3657" w:rsidRPr="003530A9" w:rsidRDefault="00AD3657" w:rsidP="00AD3657">
      <w:pPr>
        <w:pStyle w:val="Default"/>
      </w:pPr>
      <w:r w:rsidRPr="003530A9">
        <w:t>Statistical support was provided by the following:</w:t>
      </w:r>
    </w:p>
    <w:p w:rsidR="00AD3657" w:rsidRPr="003530A9" w:rsidRDefault="00AD3657" w:rsidP="00AD3657">
      <w:pPr>
        <w:pStyle w:val="Default"/>
      </w:pPr>
      <w:r w:rsidRPr="003530A9">
        <w:t>Dr. Jean Opsomer, Colorado State University, 970-491-3841</w:t>
      </w:r>
    </w:p>
    <w:p w:rsidR="00AD3657" w:rsidRPr="003530A9" w:rsidRDefault="00AD3657" w:rsidP="00AD3657">
      <w:pPr>
        <w:pStyle w:val="Default"/>
      </w:pPr>
      <w:r w:rsidRPr="003530A9">
        <w:t>Dr. J. Michael Brick, Westat, 301-294-2004</w:t>
      </w:r>
    </w:p>
    <w:p w:rsidR="00AD3657" w:rsidRPr="003530A9" w:rsidRDefault="00AD3657" w:rsidP="00AD3657">
      <w:pPr>
        <w:pStyle w:val="Default"/>
      </w:pPr>
      <w:r w:rsidRPr="003530A9">
        <w:t>Dr. Richard Aiken, U.S. Fish and Wildlife Service, 703-358-1839</w:t>
      </w:r>
    </w:p>
    <w:p w:rsidR="00AD3657" w:rsidRPr="003530A9" w:rsidRDefault="00AD3657" w:rsidP="00AD3657">
      <w:pPr>
        <w:pStyle w:val="Default"/>
      </w:pPr>
      <w:r w:rsidRPr="003530A9">
        <w:t xml:space="preserve">Dr. Han-Lin Lai, NOAA Fisheries Service, 425-415-0460 </w:t>
      </w:r>
    </w:p>
    <w:p w:rsidR="00AD3657" w:rsidRPr="003530A9" w:rsidRDefault="00AD3657" w:rsidP="00AD3657">
      <w:pPr>
        <w:pStyle w:val="Default"/>
      </w:pPr>
      <w:r w:rsidRPr="003530A9">
        <w:t>Dr. Jun Rossetti, ICFI, 301-427-8170</w:t>
      </w:r>
    </w:p>
    <w:p w:rsidR="00AD3657" w:rsidRPr="003530A9" w:rsidRDefault="00AD3657" w:rsidP="00AD3657">
      <w:pPr>
        <w:pStyle w:val="Default"/>
      </w:pPr>
    </w:p>
    <w:p w:rsidR="00AD3657" w:rsidRPr="003530A9" w:rsidRDefault="00AD3657" w:rsidP="00AD3657">
      <w:pPr>
        <w:pStyle w:val="CM23"/>
      </w:pPr>
      <w:r w:rsidRPr="003530A9">
        <w:t>Dr. David A. Van Voorhees, NOAA Fisheries Service, Office of Science and Technology, 301-427-8189 is the point-of-contact for the Agency.</w:t>
      </w:r>
    </w:p>
    <w:p w:rsidR="00AD3657" w:rsidRPr="003530A9" w:rsidRDefault="00AD3657" w:rsidP="00AD3657">
      <w:pPr>
        <w:rPr>
          <w:sz w:val="24"/>
          <w:szCs w:val="24"/>
        </w:rPr>
      </w:pPr>
    </w:p>
    <w:p w:rsidR="00AD3657" w:rsidRDefault="00AD3657" w:rsidP="00AD3657">
      <w:pPr>
        <w:widowControl/>
        <w:autoSpaceDE/>
        <w:autoSpaceDN/>
        <w:adjustRightInd/>
        <w:rPr>
          <w:sz w:val="24"/>
          <w:szCs w:val="24"/>
        </w:rPr>
      </w:pPr>
      <w:r>
        <w:rPr>
          <w:sz w:val="24"/>
          <w:szCs w:val="24"/>
        </w:rPr>
        <w:br w:type="page"/>
      </w:r>
    </w:p>
    <w:p w:rsidR="00AD3657" w:rsidRPr="00EF78F9" w:rsidRDefault="00AD3657" w:rsidP="00AD3657">
      <w:pPr>
        <w:rPr>
          <w:b/>
          <w:sz w:val="24"/>
          <w:szCs w:val="24"/>
        </w:rPr>
      </w:pPr>
      <w:r w:rsidRPr="00EF78F9">
        <w:rPr>
          <w:b/>
          <w:sz w:val="24"/>
          <w:szCs w:val="24"/>
        </w:rPr>
        <w:lastRenderedPageBreak/>
        <w:t>References</w:t>
      </w:r>
    </w:p>
    <w:p w:rsidR="00AD3657" w:rsidRPr="003530A9" w:rsidRDefault="00AD3657" w:rsidP="00AD3657">
      <w:pPr>
        <w:rPr>
          <w:sz w:val="24"/>
          <w:szCs w:val="24"/>
        </w:rPr>
      </w:pPr>
    </w:p>
    <w:p w:rsidR="00AD3657" w:rsidRPr="003530A9" w:rsidRDefault="00AD3657" w:rsidP="00AD3657">
      <w:pPr>
        <w:rPr>
          <w:sz w:val="24"/>
          <w:szCs w:val="24"/>
        </w:rPr>
      </w:pPr>
      <w:r w:rsidRPr="003530A9">
        <w:rPr>
          <w:sz w:val="24"/>
          <w:szCs w:val="24"/>
        </w:rPr>
        <w:t xml:space="preserve">Andrews, W.R., J.M. Brick, N.M. Mathiowetz, and L. Stokes (2010).  Pilot Test of a Dual Frame Two-Phase Mail Survey of Anglers in North Carolina.  Retrieved from </w:t>
      </w:r>
      <w:hyperlink r:id="rId10" w:history="1">
        <w:r w:rsidRPr="003530A9">
          <w:rPr>
            <w:rStyle w:val="Hyperlink"/>
            <w:sz w:val="24"/>
            <w:szCs w:val="24"/>
          </w:rPr>
          <w:t>http://www.countmyfish.noaa.gov/projects/downloads/Final_Report%20NC%202009%20Dual%20Frame%20Two%20Phase%20Experiment.pdf</w:t>
        </w:r>
      </w:hyperlink>
      <w:r w:rsidRPr="003530A9">
        <w:rPr>
          <w:sz w:val="24"/>
          <w:szCs w:val="24"/>
        </w:rPr>
        <w:t>.</w:t>
      </w:r>
    </w:p>
    <w:p w:rsidR="00AD3657" w:rsidRPr="003530A9" w:rsidRDefault="00AD3657" w:rsidP="00AD3657"/>
    <w:p w:rsidR="00AD3657" w:rsidRPr="003530A9" w:rsidRDefault="00AD3657" w:rsidP="00AD3657">
      <w:pPr>
        <w:rPr>
          <w:sz w:val="24"/>
          <w:szCs w:val="24"/>
        </w:rPr>
      </w:pPr>
      <w:r w:rsidRPr="003530A9">
        <w:rPr>
          <w:sz w:val="24"/>
          <w:szCs w:val="24"/>
        </w:rPr>
        <w:t xml:space="preserve">Brick. J.M., W.R. Andrews, and N.M. Mathiowetz (2012).  A Comparison of Recreational Fishing Effort Survey Designs.  Retrieved from </w:t>
      </w:r>
      <w:hyperlink r:id="rId11" w:history="1">
        <w:r w:rsidRPr="003530A9">
          <w:rPr>
            <w:rStyle w:val="Hyperlink"/>
            <w:sz w:val="24"/>
            <w:szCs w:val="24"/>
          </w:rPr>
          <w:t>https://www.st.nmfs.noaa.gov/mdms/public/finalReport.jsp?ReportID=362</w:t>
        </w:r>
      </w:hyperlink>
      <w:r w:rsidRPr="003530A9">
        <w:rPr>
          <w:sz w:val="24"/>
          <w:szCs w:val="24"/>
        </w:rPr>
        <w:t>.</w:t>
      </w:r>
    </w:p>
    <w:p w:rsidR="00AD3657" w:rsidRPr="003530A9" w:rsidRDefault="00AD3657" w:rsidP="00AD3657">
      <w:pPr>
        <w:pStyle w:val="Default"/>
      </w:pPr>
    </w:p>
    <w:p w:rsidR="00AD3657" w:rsidRPr="003530A9" w:rsidRDefault="00AD3657" w:rsidP="00AD3657">
      <w:pPr>
        <w:pStyle w:val="Default"/>
      </w:pPr>
      <w:r w:rsidRPr="003530A9">
        <w:t xml:space="preserve">Brick, J.M., D. Williams, and J.M. Montaquila (2011).  Address-Based Sampling for Subpopulation Surveys.  Public Opinion Quarterly 75: 409-428.  </w:t>
      </w:r>
    </w:p>
    <w:p w:rsidR="00AD3657" w:rsidRPr="003530A9" w:rsidRDefault="00AD3657" w:rsidP="00AD3657">
      <w:pPr>
        <w:pStyle w:val="FootnoteText"/>
        <w:spacing w:line="240" w:lineRule="auto"/>
        <w:rPr>
          <w:color w:val="222222"/>
          <w:sz w:val="24"/>
          <w:szCs w:val="24"/>
        </w:rPr>
      </w:pPr>
    </w:p>
    <w:p w:rsidR="00AD3657" w:rsidRPr="003530A9" w:rsidRDefault="00AD3657" w:rsidP="00AD3657">
      <w:pPr>
        <w:pStyle w:val="FootnoteText"/>
        <w:spacing w:line="240" w:lineRule="auto"/>
        <w:rPr>
          <w:sz w:val="24"/>
          <w:szCs w:val="24"/>
        </w:rPr>
      </w:pPr>
      <w:r w:rsidRPr="003530A9">
        <w:rPr>
          <w:color w:val="000000"/>
          <w:sz w:val="24"/>
          <w:szCs w:val="24"/>
        </w:rPr>
        <w:t>Chu, A., D. Eisenhower, M. Hay, D. Morganstein, J. Neter, and J. Waksberg (1992). Measuring the recall error in self-reported fishing and hunting activities,</w:t>
      </w:r>
      <w:r w:rsidRPr="003530A9">
        <w:rPr>
          <w:rStyle w:val="apple-converted-space"/>
          <w:color w:val="000000"/>
          <w:sz w:val="24"/>
          <w:szCs w:val="24"/>
        </w:rPr>
        <w:t> </w:t>
      </w:r>
      <w:r w:rsidRPr="003530A9">
        <w:rPr>
          <w:iCs/>
          <w:color w:val="000000"/>
          <w:sz w:val="24"/>
          <w:szCs w:val="24"/>
        </w:rPr>
        <w:t>Journal of Official Statistics</w:t>
      </w:r>
      <w:r w:rsidRPr="003530A9">
        <w:rPr>
          <w:color w:val="000000"/>
          <w:sz w:val="24"/>
          <w:szCs w:val="24"/>
        </w:rPr>
        <w:t>, 8, 19-39.</w:t>
      </w:r>
    </w:p>
    <w:p w:rsidR="00AD3657" w:rsidRPr="003530A9" w:rsidRDefault="00AD3657" w:rsidP="00AD3657">
      <w:pPr>
        <w:pStyle w:val="FootnoteText"/>
        <w:spacing w:line="240" w:lineRule="auto"/>
        <w:rPr>
          <w:color w:val="222222"/>
          <w:sz w:val="24"/>
          <w:szCs w:val="24"/>
        </w:rPr>
      </w:pPr>
    </w:p>
    <w:p w:rsidR="00AD3657" w:rsidRPr="003530A9" w:rsidRDefault="00AD3657" w:rsidP="00AD3657">
      <w:pPr>
        <w:pStyle w:val="FootnoteText"/>
        <w:spacing w:line="240" w:lineRule="auto"/>
        <w:rPr>
          <w:sz w:val="24"/>
          <w:szCs w:val="24"/>
        </w:rPr>
      </w:pPr>
      <w:r w:rsidRPr="003530A9">
        <w:rPr>
          <w:color w:val="222222"/>
          <w:sz w:val="24"/>
          <w:szCs w:val="24"/>
        </w:rPr>
        <w:t>Chu, A., D. Eisenhower, D. Morgenstein, and J. Waksberg (1989). </w:t>
      </w:r>
      <w:r w:rsidRPr="003530A9">
        <w:rPr>
          <w:rStyle w:val="apple-converted-space"/>
          <w:color w:val="222222"/>
          <w:sz w:val="24"/>
          <w:szCs w:val="24"/>
        </w:rPr>
        <w:t> </w:t>
      </w:r>
      <w:r w:rsidRPr="003530A9">
        <w:rPr>
          <w:i/>
          <w:color w:val="222222"/>
          <w:sz w:val="24"/>
          <w:szCs w:val="24"/>
        </w:rPr>
        <w:t>Investigation of Possible Recall/Reference Period Bias in National Surveys of Fishing, Hunting and Wildlife-Associated Recreation</w:t>
      </w:r>
      <w:r w:rsidRPr="003530A9">
        <w:rPr>
          <w:color w:val="222222"/>
          <w:sz w:val="24"/>
          <w:szCs w:val="24"/>
        </w:rPr>
        <w:t>.</w:t>
      </w:r>
      <w:r w:rsidRPr="003530A9">
        <w:rPr>
          <w:rStyle w:val="apple-converted-space"/>
          <w:color w:val="222222"/>
          <w:sz w:val="24"/>
          <w:szCs w:val="24"/>
        </w:rPr>
        <w:t> </w:t>
      </w:r>
      <w:r w:rsidRPr="003530A9">
        <w:rPr>
          <w:color w:val="222222"/>
          <w:sz w:val="24"/>
          <w:szCs w:val="24"/>
        </w:rPr>
        <w:t> 269 pp.</w:t>
      </w:r>
    </w:p>
    <w:p w:rsidR="00AD3657" w:rsidRPr="003530A9" w:rsidRDefault="00AD3657" w:rsidP="00AD3657">
      <w:pPr>
        <w:pStyle w:val="Default"/>
        <w:rPr>
          <w:b/>
        </w:rPr>
      </w:pPr>
    </w:p>
    <w:p w:rsidR="00AD3657" w:rsidRPr="003530A9" w:rsidRDefault="00AD3657" w:rsidP="00AD3657">
      <w:pPr>
        <w:rPr>
          <w:sz w:val="24"/>
          <w:szCs w:val="24"/>
        </w:rPr>
      </w:pPr>
      <w:r w:rsidRPr="003530A9">
        <w:rPr>
          <w:sz w:val="24"/>
          <w:szCs w:val="24"/>
        </w:rPr>
        <w:t>Church, A.H. (1993).  Estimating the Effect of Incentives on Mail Survey Response Rates: A Meta-Analysis.  Public Opinion Quarterly 57:62–79.</w:t>
      </w:r>
    </w:p>
    <w:p w:rsidR="00AD3657" w:rsidRPr="003530A9" w:rsidRDefault="00AD3657" w:rsidP="00AD3657">
      <w:pPr>
        <w:pStyle w:val="Default"/>
        <w:rPr>
          <w:b/>
        </w:rPr>
      </w:pPr>
    </w:p>
    <w:p w:rsidR="00AD3657" w:rsidRPr="003530A9" w:rsidRDefault="00AD3657" w:rsidP="00AD3657">
      <w:pPr>
        <w:rPr>
          <w:sz w:val="24"/>
          <w:szCs w:val="24"/>
        </w:rPr>
      </w:pPr>
      <w:r w:rsidRPr="003530A9">
        <w:rPr>
          <w:sz w:val="24"/>
          <w:szCs w:val="24"/>
        </w:rPr>
        <w:t xml:space="preserve">Dillman, D.A., J.D. Smyth, and L.M. Christian (2008). </w:t>
      </w:r>
      <w:r w:rsidRPr="003530A9">
        <w:rPr>
          <w:i/>
          <w:sz w:val="24"/>
          <w:szCs w:val="24"/>
        </w:rPr>
        <w:t>Internet, Mail, and Mixed-Mode Surveys: The Tailored Design Method</w:t>
      </w:r>
      <w:r w:rsidRPr="003530A9">
        <w:rPr>
          <w:sz w:val="24"/>
          <w:szCs w:val="24"/>
        </w:rPr>
        <w:t>. New York: Wiley and Sons.</w:t>
      </w:r>
    </w:p>
    <w:p w:rsidR="00AD3657" w:rsidRPr="003530A9" w:rsidRDefault="00AD3657" w:rsidP="00AD3657">
      <w:pPr>
        <w:pStyle w:val="Default"/>
        <w:rPr>
          <w:b/>
        </w:rPr>
      </w:pPr>
    </w:p>
    <w:p w:rsidR="00AD3657" w:rsidRPr="003530A9" w:rsidRDefault="00AD3657" w:rsidP="00AD3657">
      <w:pPr>
        <w:pStyle w:val="Default"/>
      </w:pPr>
      <w:r w:rsidRPr="003530A9">
        <w:t xml:space="preserve">Groves, R., M. Couper, S. Presser, E. Singer, R. Tourangeau, G. Acosta, and Nelson, L. (2006). Experiments in Producing Nonresponse Bias. </w:t>
      </w:r>
      <w:r w:rsidRPr="003530A9">
        <w:rPr>
          <w:iCs/>
        </w:rPr>
        <w:t>Public Opinion Quarterly</w:t>
      </w:r>
      <w:r w:rsidRPr="003530A9">
        <w:t xml:space="preserve"> 70: 720–736.</w:t>
      </w:r>
    </w:p>
    <w:p w:rsidR="00AD3657" w:rsidRPr="003530A9" w:rsidRDefault="00AD3657" w:rsidP="00AD3657">
      <w:pPr>
        <w:pStyle w:val="Default"/>
        <w:rPr>
          <w:b/>
        </w:rPr>
      </w:pPr>
    </w:p>
    <w:p w:rsidR="00AD3657" w:rsidRPr="00270985" w:rsidRDefault="00AD3657" w:rsidP="00AD3657">
      <w:pPr>
        <w:pStyle w:val="Default"/>
      </w:pPr>
      <w:r>
        <w:t xml:space="preserve">Kalton, G., and I. Flores-Cervantes (2003). </w:t>
      </w:r>
      <w:r>
        <w:rPr>
          <w:i/>
        </w:rPr>
        <w:t>Weighting Methods</w:t>
      </w:r>
      <w:r>
        <w:t>. Journal of Official Statistics 19(2):81-07.</w:t>
      </w:r>
    </w:p>
    <w:p w:rsidR="00AD3657" w:rsidRDefault="00AD3657" w:rsidP="00AD3657">
      <w:pPr>
        <w:pStyle w:val="Default"/>
      </w:pPr>
    </w:p>
    <w:p w:rsidR="00AD3657" w:rsidRPr="003530A9" w:rsidRDefault="00AD3657" w:rsidP="00AD3657">
      <w:pPr>
        <w:pStyle w:val="Default"/>
        <w:rPr>
          <w:b/>
          <w:bCs/>
        </w:rPr>
      </w:pPr>
      <w:r w:rsidRPr="003530A9">
        <w:t xml:space="preserve">Lohr, S. (2009). Multiple Frame Surveys. Chapter 4 in Pfeffermann, D. (Ed.) </w:t>
      </w:r>
      <w:r w:rsidRPr="003530A9">
        <w:rPr>
          <w:i/>
          <w:iCs/>
        </w:rPr>
        <w:t>Handbook of Statistics: Sample Surveys Design, Methods and Applications</w:t>
      </w:r>
      <w:r w:rsidRPr="003530A9">
        <w:rPr>
          <w:iCs/>
        </w:rPr>
        <w:t xml:space="preserve"> </w:t>
      </w:r>
      <w:r w:rsidRPr="003530A9">
        <w:t>(vol. 29A). Elsevier, Amsterdam</w:t>
      </w:r>
      <w:r w:rsidRPr="003530A9">
        <w:rPr>
          <w:b/>
          <w:bCs/>
        </w:rPr>
        <w:t>.</w:t>
      </w:r>
    </w:p>
    <w:p w:rsidR="00AD3657" w:rsidRPr="003530A9" w:rsidRDefault="00AD3657" w:rsidP="00AD3657">
      <w:pPr>
        <w:pStyle w:val="Default"/>
        <w:rPr>
          <w:b/>
        </w:rPr>
      </w:pPr>
    </w:p>
    <w:p w:rsidR="00AD3657" w:rsidRPr="003530A9" w:rsidRDefault="00AD3657" w:rsidP="00AD3657">
      <w:pPr>
        <w:pStyle w:val="Default"/>
      </w:pPr>
      <w:r w:rsidRPr="003530A9">
        <w:t xml:space="preserve">National Research Council (2006). </w:t>
      </w:r>
      <w:r w:rsidRPr="003530A9">
        <w:rPr>
          <w:i/>
          <w:iCs/>
        </w:rPr>
        <w:t>Review of Recreational Fisheries Survey Methods</w:t>
      </w:r>
      <w:r w:rsidRPr="003530A9">
        <w:t>. Washington, D.C.: National Academies Press.</w:t>
      </w:r>
    </w:p>
    <w:p w:rsidR="00AD3657" w:rsidRPr="003530A9" w:rsidRDefault="00AD3657" w:rsidP="00AD3657">
      <w:pPr>
        <w:pStyle w:val="Default"/>
        <w:rPr>
          <w:b/>
        </w:rPr>
      </w:pPr>
    </w:p>
    <w:p w:rsidR="00AD3657" w:rsidRPr="003530A9" w:rsidRDefault="00AD3657" w:rsidP="00AD3657">
      <w:pPr>
        <w:pStyle w:val="Default"/>
      </w:pPr>
      <w:r w:rsidRPr="003530A9">
        <w:t>Trussell, N. and P.J. Lavrakas (2004).  The influence of incremental increases in token cash incentives on mail survey response: Is there an optimal amount?  Public Opinion Quarterly 68: 349-367.</w:t>
      </w:r>
    </w:p>
    <w:p w:rsidR="00C36322" w:rsidRDefault="00C36322" w:rsidP="00AD3657">
      <w:pPr>
        <w:widowControl/>
        <w:autoSpaceDE/>
        <w:autoSpaceDN/>
        <w:adjustRightInd/>
        <w:spacing w:after="200" w:line="276" w:lineRule="auto"/>
      </w:pPr>
    </w:p>
    <w:sectPr w:rsidR="00C36322" w:rsidSect="0088491D">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AE" w:rsidRDefault="003A4BAE" w:rsidP="00D83844">
      <w:r>
        <w:separator/>
      </w:r>
    </w:p>
  </w:endnote>
  <w:endnote w:type="continuationSeparator" w:id="0">
    <w:p w:rsidR="003A4BAE" w:rsidRDefault="003A4BAE" w:rsidP="00D8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91D" w:rsidRDefault="0088491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34F82">
      <w:rPr>
        <w:rStyle w:val="PageNumber"/>
        <w:noProof/>
        <w:sz w:val="24"/>
        <w:szCs w:val="24"/>
      </w:rPr>
      <w:t>1</w:t>
    </w:r>
    <w:r>
      <w:rPr>
        <w:rStyle w:val="PageNumber"/>
        <w:sz w:val="24"/>
        <w:szCs w:val="24"/>
      </w:rPr>
      <w:fldChar w:fldCharType="end"/>
    </w:r>
  </w:p>
  <w:p w:rsidR="0088491D" w:rsidRDefault="00884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AE" w:rsidRDefault="003A4BAE" w:rsidP="00D83844">
      <w:r>
        <w:separator/>
      </w:r>
    </w:p>
  </w:footnote>
  <w:footnote w:type="continuationSeparator" w:id="0">
    <w:p w:rsidR="003A4BAE" w:rsidRDefault="003A4BAE" w:rsidP="00D83844">
      <w:r>
        <w:continuationSeparator/>
      </w:r>
    </w:p>
  </w:footnote>
  <w:footnote w:id="1">
    <w:p w:rsidR="0088491D" w:rsidRDefault="0088491D" w:rsidP="00D83844">
      <w:pPr>
        <w:pStyle w:val="FootnoteText"/>
        <w:spacing w:line="240" w:lineRule="auto"/>
      </w:pPr>
      <w:r>
        <w:rPr>
          <w:rStyle w:val="FootnoteReference"/>
        </w:rPr>
        <w:footnoteRef/>
      </w:r>
      <w:r>
        <w:t xml:space="preserve"> Estimated number of households in the matched stratum is based upon the number of unique addresses in state databases of licensed saltwater anglers as of 8/29/2012.  Estimated number of households in the unmatched stratum is the difference between the estimated number of total occupied housing units (Census 2010) and the number of unique addresses in the state license databases.</w:t>
      </w:r>
    </w:p>
  </w:footnote>
  <w:footnote w:id="2">
    <w:p w:rsidR="0088491D" w:rsidRDefault="0088491D" w:rsidP="00D83844">
      <w:pPr>
        <w:pStyle w:val="FootnoteText"/>
        <w:spacing w:line="240" w:lineRule="auto"/>
      </w:pPr>
      <w:r>
        <w:rPr>
          <w:rStyle w:val="FootnoteReference"/>
        </w:rPr>
        <w:footnoteRef/>
      </w:r>
      <w:r>
        <w:t xml:space="preserve"> Estimated amount of ABS sample required to achieve final sampling targets.</w:t>
      </w:r>
    </w:p>
  </w:footnote>
  <w:footnote w:id="3">
    <w:p w:rsidR="0088491D" w:rsidRDefault="0088491D" w:rsidP="00D83844">
      <w:pPr>
        <w:pStyle w:val="FootnoteText"/>
        <w:spacing w:line="240" w:lineRule="auto"/>
      </w:pPr>
      <w:r>
        <w:rPr>
          <w:rStyle w:val="FootnoteReference"/>
        </w:rPr>
        <w:footnoteRef/>
      </w:r>
      <w:r>
        <w:t xml:space="preserve"> Final ABS sample sizes after subsampling from the unmatched strata.  All matched addresses are retained in final sample.</w:t>
      </w:r>
    </w:p>
  </w:footnote>
  <w:footnote w:id="4">
    <w:p w:rsidR="0088491D" w:rsidRDefault="0088491D" w:rsidP="00D83844">
      <w:pPr>
        <w:pStyle w:val="FootnoteText"/>
        <w:spacing w:line="240" w:lineRule="auto"/>
      </w:pPr>
      <w:r>
        <w:rPr>
          <w:rStyle w:val="FootnoteReference"/>
        </w:rPr>
        <w:footnoteRef/>
      </w:r>
      <w:r>
        <w:t xml:space="preserve"> </w:t>
      </w:r>
      <w:r w:rsidRPr="005122FF">
        <w:t xml:space="preserve">Approximately 10% of addresses will be returned as invalid reducing the final sample size to </w:t>
      </w:r>
      <w:r>
        <w:t>10,152.</w:t>
      </w:r>
    </w:p>
  </w:footnote>
  <w:footnote w:id="5">
    <w:p w:rsidR="0088491D" w:rsidRDefault="0088491D" w:rsidP="00D83844">
      <w:pPr>
        <w:pStyle w:val="FootnoteText"/>
        <w:spacing w:line="240" w:lineRule="auto"/>
      </w:pPr>
      <w:r>
        <w:rPr>
          <w:rStyle w:val="FootnoteReference"/>
        </w:rPr>
        <w:footnoteRef/>
      </w:r>
      <w:r>
        <w:t xml:space="preserve"> Response rates estimated from previous MRIP pilot studies.</w:t>
      </w:r>
    </w:p>
  </w:footnote>
  <w:footnote w:id="6">
    <w:p w:rsidR="0088491D" w:rsidRDefault="0088491D" w:rsidP="00D83844">
      <w:pPr>
        <w:pStyle w:val="FootnoteText"/>
        <w:spacing w:line="240" w:lineRule="auto"/>
      </w:pPr>
      <w:r>
        <w:rPr>
          <w:rStyle w:val="FootnoteReference"/>
        </w:rPr>
        <w:footnoteRef/>
      </w:r>
      <w:r>
        <w:t xml:space="preserve"> Respondents in each geographic and license stratum are classified into current/likely or unlikely based on the wave A responses. </w:t>
      </w:r>
    </w:p>
  </w:footnote>
  <w:footnote w:id="7">
    <w:p w:rsidR="0088491D" w:rsidRDefault="0088491D" w:rsidP="00D83844">
      <w:pPr>
        <w:pStyle w:val="FootnoteText"/>
        <w:spacing w:line="240" w:lineRule="auto"/>
      </w:pPr>
      <w:r>
        <w:rPr>
          <w:rStyle w:val="FootnoteReference"/>
        </w:rPr>
        <w:footnoteRef/>
      </w:r>
      <w:r>
        <w:t xml:space="preserve"> Estimated numbers after classifying wave A respondents into current/likely or unlikely status (proportions are assumed to be 0.65 and 0.35, respectively).</w:t>
      </w:r>
    </w:p>
  </w:footnote>
  <w:footnote w:id="8">
    <w:p w:rsidR="0088491D" w:rsidRDefault="0088491D" w:rsidP="00D83844">
      <w:pPr>
        <w:pStyle w:val="FootnoteText"/>
        <w:spacing w:line="240" w:lineRule="auto"/>
      </w:pPr>
      <w:r>
        <w:rPr>
          <w:rStyle w:val="FootnoteReference"/>
        </w:rPr>
        <w:footnoteRef/>
      </w:r>
      <w:r>
        <w:t xml:space="preserve"> Samples classified as unlikely are sub-sampled at a rate of 0.33 for wave B</w:t>
      </w:r>
      <w:r w:rsidR="00FC3E5D">
        <w:t>, resulting smaller numbers of estimated sample size and completed interviews</w:t>
      </w:r>
      <w:r>
        <w:t>.</w:t>
      </w:r>
    </w:p>
  </w:footnote>
  <w:footnote w:id="9">
    <w:p w:rsidR="0088491D" w:rsidRDefault="0088491D" w:rsidP="00D83844">
      <w:pPr>
        <w:pStyle w:val="FootnoteText"/>
        <w:spacing w:line="240" w:lineRule="auto"/>
      </w:pPr>
      <w:r>
        <w:rPr>
          <w:rStyle w:val="FootnoteReference"/>
        </w:rPr>
        <w:footnoteRef/>
      </w:r>
      <w:r>
        <w:t xml:space="preserve"> Based upon participation estimates from the Marine Recreational Fisheries Statistics Survey.</w:t>
      </w:r>
    </w:p>
  </w:footnote>
  <w:footnote w:id="10">
    <w:p w:rsidR="0088491D" w:rsidRDefault="0088491D" w:rsidP="00D83844">
      <w:pPr>
        <w:pStyle w:val="FootnoteText"/>
        <w:spacing w:line="240" w:lineRule="auto"/>
      </w:pPr>
      <w:r>
        <w:rPr>
          <w:rStyle w:val="FootnoteReference"/>
        </w:rPr>
        <w:footnoteRef/>
      </w:r>
      <w:r>
        <w:t xml:space="preserve"> </w:t>
      </w:r>
      <w:r w:rsidRPr="005122FF">
        <w:t xml:space="preserve">Approximately 10% of addresses will be returned as invalid reducing the final sample size to </w:t>
      </w:r>
      <w:r>
        <w:t>648.</w:t>
      </w:r>
    </w:p>
  </w:footnote>
  <w:footnote w:id="11">
    <w:p w:rsidR="0088491D" w:rsidRDefault="0088491D" w:rsidP="00D83844">
      <w:pPr>
        <w:pStyle w:val="FootnoteText"/>
        <w:spacing w:line="240" w:lineRule="auto"/>
      </w:pPr>
      <w:r>
        <w:rPr>
          <w:rStyle w:val="FootnoteReference"/>
        </w:rPr>
        <w:footnoteRef/>
      </w:r>
      <w:r>
        <w:t xml:space="preserve"> Estimated from previous MRIP pilot studies.</w:t>
      </w:r>
    </w:p>
  </w:footnote>
  <w:footnote w:id="12">
    <w:p w:rsidR="0088491D" w:rsidRDefault="0088491D" w:rsidP="00D83844">
      <w:pPr>
        <w:pStyle w:val="FootnoteText"/>
        <w:spacing w:line="240" w:lineRule="auto"/>
      </w:pPr>
      <w:r>
        <w:rPr>
          <w:rStyle w:val="FootnoteReference"/>
        </w:rPr>
        <w:footnoteRef/>
      </w:r>
      <w:r>
        <w:t xml:space="preserve"> Respondents in each geographic and license stratum are classified into current/likely or unlikely based on the wave A responses.</w:t>
      </w:r>
    </w:p>
  </w:footnote>
  <w:footnote w:id="13">
    <w:p w:rsidR="0088491D" w:rsidRDefault="0088491D" w:rsidP="00D83844">
      <w:pPr>
        <w:pStyle w:val="FootnoteText"/>
        <w:spacing w:line="240" w:lineRule="auto"/>
      </w:pPr>
      <w:r>
        <w:rPr>
          <w:rStyle w:val="FootnoteReference"/>
        </w:rPr>
        <w:footnoteRef/>
      </w:r>
      <w:r>
        <w:t xml:space="preserve"> Estimated numbers after classifying wave A respondents into current/likely or unlikely status (proportions are assumed to be 0.80 and 0.20, respectively).</w:t>
      </w:r>
    </w:p>
  </w:footnote>
  <w:footnote w:id="14">
    <w:p w:rsidR="0088491D" w:rsidRDefault="0088491D" w:rsidP="00D83844">
      <w:pPr>
        <w:pStyle w:val="FootnoteText"/>
        <w:spacing w:line="240" w:lineRule="auto"/>
      </w:pPr>
      <w:r>
        <w:rPr>
          <w:rStyle w:val="FootnoteReference"/>
        </w:rPr>
        <w:footnoteRef/>
      </w:r>
      <w:r>
        <w:t xml:space="preserve"> Samples classified as unlikely are sub-sampled at a rate of 0.33 for wave B</w:t>
      </w:r>
      <w:r w:rsidR="00FC3E5D">
        <w:t>, resulting smaller numbers of estimated sample size and completed interviews</w:t>
      </w:r>
      <w:r>
        <w:t>.</w:t>
      </w:r>
    </w:p>
    <w:p w:rsidR="0088491D" w:rsidRDefault="0088491D" w:rsidP="00D8384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77180"/>
    <w:multiLevelType w:val="hybridMultilevel"/>
    <w:tmpl w:val="24A4F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44"/>
    <w:rsid w:val="000A4757"/>
    <w:rsid w:val="00111624"/>
    <w:rsid w:val="00114726"/>
    <w:rsid w:val="001528CC"/>
    <w:rsid w:val="002776B6"/>
    <w:rsid w:val="002D26BF"/>
    <w:rsid w:val="002E08C3"/>
    <w:rsid w:val="003A4BAE"/>
    <w:rsid w:val="003B60E7"/>
    <w:rsid w:val="00434F82"/>
    <w:rsid w:val="005E75DF"/>
    <w:rsid w:val="005F65F3"/>
    <w:rsid w:val="00601A06"/>
    <w:rsid w:val="00675154"/>
    <w:rsid w:val="007E4E59"/>
    <w:rsid w:val="00865480"/>
    <w:rsid w:val="0088491D"/>
    <w:rsid w:val="009860B0"/>
    <w:rsid w:val="009D10E1"/>
    <w:rsid w:val="00AD3657"/>
    <w:rsid w:val="00B94CBF"/>
    <w:rsid w:val="00C36322"/>
    <w:rsid w:val="00C67B38"/>
    <w:rsid w:val="00CC1976"/>
    <w:rsid w:val="00D54F16"/>
    <w:rsid w:val="00D83844"/>
    <w:rsid w:val="00E37B91"/>
    <w:rsid w:val="00EB2FD7"/>
    <w:rsid w:val="00ED09AA"/>
    <w:rsid w:val="00F05017"/>
    <w:rsid w:val="00FC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4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83844"/>
    <w:pPr>
      <w:tabs>
        <w:tab w:val="center" w:pos="4320"/>
        <w:tab w:val="right" w:pos="8640"/>
      </w:tabs>
    </w:pPr>
  </w:style>
  <w:style w:type="character" w:customStyle="1" w:styleId="FooterChar">
    <w:name w:val="Footer Char"/>
    <w:basedOn w:val="DefaultParagraphFont"/>
    <w:link w:val="Footer"/>
    <w:rsid w:val="00D83844"/>
    <w:rPr>
      <w:rFonts w:ascii="Times New Roman" w:eastAsia="Times New Roman" w:hAnsi="Times New Roman" w:cs="Times New Roman"/>
      <w:sz w:val="20"/>
      <w:szCs w:val="20"/>
    </w:rPr>
  </w:style>
  <w:style w:type="character" w:styleId="PageNumber">
    <w:name w:val="page number"/>
    <w:basedOn w:val="DefaultParagraphFont"/>
    <w:rsid w:val="00D83844"/>
  </w:style>
  <w:style w:type="character" w:styleId="Hyperlink">
    <w:name w:val="Hyperlink"/>
    <w:uiPriority w:val="99"/>
    <w:unhideWhenUsed/>
    <w:rsid w:val="00D83844"/>
    <w:rPr>
      <w:color w:val="0000FF"/>
      <w:u w:val="single"/>
    </w:rPr>
  </w:style>
  <w:style w:type="paragraph" w:customStyle="1" w:styleId="CM23">
    <w:name w:val="CM23"/>
    <w:basedOn w:val="Normal"/>
    <w:next w:val="Normal"/>
    <w:uiPriority w:val="99"/>
    <w:rsid w:val="00D83844"/>
    <w:pPr>
      <w:spacing w:after="275"/>
    </w:pPr>
    <w:rPr>
      <w:sz w:val="24"/>
      <w:szCs w:val="24"/>
    </w:rPr>
  </w:style>
  <w:style w:type="paragraph" w:customStyle="1" w:styleId="Default">
    <w:name w:val="Default"/>
    <w:uiPriority w:val="99"/>
    <w:rsid w:val="00D8384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rsid w:val="00D83844"/>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D83844"/>
    <w:rPr>
      <w:rFonts w:ascii="Times New Roman" w:eastAsia="Times New Roman" w:hAnsi="Times New Roman" w:cs="Times New Roman"/>
      <w:sz w:val="20"/>
      <w:szCs w:val="20"/>
    </w:rPr>
  </w:style>
  <w:style w:type="character" w:styleId="FootnoteReference">
    <w:name w:val="footnote reference"/>
    <w:uiPriority w:val="99"/>
    <w:rsid w:val="00D83844"/>
    <w:rPr>
      <w:rFonts w:cs="Times New Roman"/>
      <w:vertAlign w:val="superscript"/>
    </w:rPr>
  </w:style>
  <w:style w:type="paragraph" w:customStyle="1" w:styleId="L1-FlLSp12">
    <w:name w:val="L1-FlL Sp&amp;1/2"/>
    <w:basedOn w:val="Normal"/>
    <w:uiPriority w:val="99"/>
    <w:rsid w:val="00D83844"/>
    <w:pPr>
      <w:widowControl/>
      <w:tabs>
        <w:tab w:val="left" w:pos="1152"/>
      </w:tabs>
      <w:autoSpaceDE/>
      <w:autoSpaceDN/>
      <w:adjustRightInd/>
      <w:spacing w:line="360" w:lineRule="atLeast"/>
    </w:pPr>
    <w:rPr>
      <w:rFonts w:ascii="Garamond" w:hAnsi="Garamond"/>
      <w:sz w:val="24"/>
    </w:rPr>
  </w:style>
  <w:style w:type="character" w:customStyle="1" w:styleId="apple-converted-space">
    <w:name w:val="apple-converted-space"/>
    <w:rsid w:val="00D83844"/>
  </w:style>
  <w:style w:type="paragraph" w:styleId="BalloonText">
    <w:name w:val="Balloon Text"/>
    <w:basedOn w:val="Normal"/>
    <w:link w:val="BalloonTextChar"/>
    <w:uiPriority w:val="99"/>
    <w:semiHidden/>
    <w:unhideWhenUsed/>
    <w:rsid w:val="00D83844"/>
    <w:rPr>
      <w:rFonts w:ascii="Tahoma" w:hAnsi="Tahoma" w:cs="Tahoma"/>
      <w:sz w:val="16"/>
      <w:szCs w:val="16"/>
    </w:rPr>
  </w:style>
  <w:style w:type="character" w:customStyle="1" w:styleId="BalloonTextChar">
    <w:name w:val="Balloon Text Char"/>
    <w:basedOn w:val="DefaultParagraphFont"/>
    <w:link w:val="BalloonText"/>
    <w:uiPriority w:val="99"/>
    <w:semiHidden/>
    <w:rsid w:val="00D838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860B0"/>
    <w:rPr>
      <w:sz w:val="16"/>
      <w:szCs w:val="16"/>
    </w:rPr>
  </w:style>
  <w:style w:type="paragraph" w:styleId="CommentText">
    <w:name w:val="annotation text"/>
    <w:basedOn w:val="Normal"/>
    <w:link w:val="CommentTextChar"/>
    <w:uiPriority w:val="99"/>
    <w:semiHidden/>
    <w:unhideWhenUsed/>
    <w:rsid w:val="009860B0"/>
  </w:style>
  <w:style w:type="character" w:customStyle="1" w:styleId="CommentTextChar">
    <w:name w:val="Comment Text Char"/>
    <w:basedOn w:val="DefaultParagraphFont"/>
    <w:link w:val="CommentText"/>
    <w:uiPriority w:val="99"/>
    <w:semiHidden/>
    <w:rsid w:val="009860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60B0"/>
    <w:rPr>
      <w:b/>
      <w:bCs/>
    </w:rPr>
  </w:style>
  <w:style w:type="character" w:customStyle="1" w:styleId="CommentSubjectChar">
    <w:name w:val="Comment Subject Char"/>
    <w:basedOn w:val="CommentTextChar"/>
    <w:link w:val="CommentSubject"/>
    <w:uiPriority w:val="99"/>
    <w:semiHidden/>
    <w:rsid w:val="009860B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4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83844"/>
    <w:pPr>
      <w:tabs>
        <w:tab w:val="center" w:pos="4320"/>
        <w:tab w:val="right" w:pos="8640"/>
      </w:tabs>
    </w:pPr>
  </w:style>
  <w:style w:type="character" w:customStyle="1" w:styleId="FooterChar">
    <w:name w:val="Footer Char"/>
    <w:basedOn w:val="DefaultParagraphFont"/>
    <w:link w:val="Footer"/>
    <w:rsid w:val="00D83844"/>
    <w:rPr>
      <w:rFonts w:ascii="Times New Roman" w:eastAsia="Times New Roman" w:hAnsi="Times New Roman" w:cs="Times New Roman"/>
      <w:sz w:val="20"/>
      <w:szCs w:val="20"/>
    </w:rPr>
  </w:style>
  <w:style w:type="character" w:styleId="PageNumber">
    <w:name w:val="page number"/>
    <w:basedOn w:val="DefaultParagraphFont"/>
    <w:rsid w:val="00D83844"/>
  </w:style>
  <w:style w:type="character" w:styleId="Hyperlink">
    <w:name w:val="Hyperlink"/>
    <w:uiPriority w:val="99"/>
    <w:unhideWhenUsed/>
    <w:rsid w:val="00D83844"/>
    <w:rPr>
      <w:color w:val="0000FF"/>
      <w:u w:val="single"/>
    </w:rPr>
  </w:style>
  <w:style w:type="paragraph" w:customStyle="1" w:styleId="CM23">
    <w:name w:val="CM23"/>
    <w:basedOn w:val="Normal"/>
    <w:next w:val="Normal"/>
    <w:uiPriority w:val="99"/>
    <w:rsid w:val="00D83844"/>
    <w:pPr>
      <w:spacing w:after="275"/>
    </w:pPr>
    <w:rPr>
      <w:sz w:val="24"/>
      <w:szCs w:val="24"/>
    </w:rPr>
  </w:style>
  <w:style w:type="paragraph" w:customStyle="1" w:styleId="Default">
    <w:name w:val="Default"/>
    <w:uiPriority w:val="99"/>
    <w:rsid w:val="00D8384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rsid w:val="00D83844"/>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D83844"/>
    <w:rPr>
      <w:rFonts w:ascii="Times New Roman" w:eastAsia="Times New Roman" w:hAnsi="Times New Roman" w:cs="Times New Roman"/>
      <w:sz w:val="20"/>
      <w:szCs w:val="20"/>
    </w:rPr>
  </w:style>
  <w:style w:type="character" w:styleId="FootnoteReference">
    <w:name w:val="footnote reference"/>
    <w:uiPriority w:val="99"/>
    <w:rsid w:val="00D83844"/>
    <w:rPr>
      <w:rFonts w:cs="Times New Roman"/>
      <w:vertAlign w:val="superscript"/>
    </w:rPr>
  </w:style>
  <w:style w:type="paragraph" w:customStyle="1" w:styleId="L1-FlLSp12">
    <w:name w:val="L1-FlL Sp&amp;1/2"/>
    <w:basedOn w:val="Normal"/>
    <w:uiPriority w:val="99"/>
    <w:rsid w:val="00D83844"/>
    <w:pPr>
      <w:widowControl/>
      <w:tabs>
        <w:tab w:val="left" w:pos="1152"/>
      </w:tabs>
      <w:autoSpaceDE/>
      <w:autoSpaceDN/>
      <w:adjustRightInd/>
      <w:spacing w:line="360" w:lineRule="atLeast"/>
    </w:pPr>
    <w:rPr>
      <w:rFonts w:ascii="Garamond" w:hAnsi="Garamond"/>
      <w:sz w:val="24"/>
    </w:rPr>
  </w:style>
  <w:style w:type="character" w:customStyle="1" w:styleId="apple-converted-space">
    <w:name w:val="apple-converted-space"/>
    <w:rsid w:val="00D83844"/>
  </w:style>
  <w:style w:type="paragraph" w:styleId="BalloonText">
    <w:name w:val="Balloon Text"/>
    <w:basedOn w:val="Normal"/>
    <w:link w:val="BalloonTextChar"/>
    <w:uiPriority w:val="99"/>
    <w:semiHidden/>
    <w:unhideWhenUsed/>
    <w:rsid w:val="00D83844"/>
    <w:rPr>
      <w:rFonts w:ascii="Tahoma" w:hAnsi="Tahoma" w:cs="Tahoma"/>
      <w:sz w:val="16"/>
      <w:szCs w:val="16"/>
    </w:rPr>
  </w:style>
  <w:style w:type="character" w:customStyle="1" w:styleId="BalloonTextChar">
    <w:name w:val="Balloon Text Char"/>
    <w:basedOn w:val="DefaultParagraphFont"/>
    <w:link w:val="BalloonText"/>
    <w:uiPriority w:val="99"/>
    <w:semiHidden/>
    <w:rsid w:val="00D838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860B0"/>
    <w:rPr>
      <w:sz w:val="16"/>
      <w:szCs w:val="16"/>
    </w:rPr>
  </w:style>
  <w:style w:type="paragraph" w:styleId="CommentText">
    <w:name w:val="annotation text"/>
    <w:basedOn w:val="Normal"/>
    <w:link w:val="CommentTextChar"/>
    <w:uiPriority w:val="99"/>
    <w:semiHidden/>
    <w:unhideWhenUsed/>
    <w:rsid w:val="009860B0"/>
  </w:style>
  <w:style w:type="character" w:customStyle="1" w:styleId="CommentTextChar">
    <w:name w:val="Comment Text Char"/>
    <w:basedOn w:val="DefaultParagraphFont"/>
    <w:link w:val="CommentText"/>
    <w:uiPriority w:val="99"/>
    <w:semiHidden/>
    <w:rsid w:val="009860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60B0"/>
    <w:rPr>
      <w:b/>
      <w:bCs/>
    </w:rPr>
  </w:style>
  <w:style w:type="character" w:customStyle="1" w:styleId="CommentSubjectChar">
    <w:name w:val="Comment Subject Char"/>
    <w:basedOn w:val="CommentTextChar"/>
    <w:link w:val="CommentSubject"/>
    <w:uiPriority w:val="99"/>
    <w:semiHidden/>
    <w:rsid w:val="009860B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nmfs.noaa.gov/mdms/public/finalReport.jsp?ReportID=362" TargetMode="External"/><Relationship Id="rId5" Type="http://schemas.openxmlformats.org/officeDocument/2006/relationships/settings" Target="settings.xml"/><Relationship Id="rId10" Type="http://schemas.openxmlformats.org/officeDocument/2006/relationships/hyperlink" Target="http://www.countmyfish.noaa.gov/projects/downloads/Final_Report%20NC%202009%20Dual%20Frame%20Two%20Phase%20Experiment.pdf"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B897C-D04D-4388-8D5E-7DA98092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OMB author</cp:lastModifiedBy>
  <cp:revision>2</cp:revision>
  <cp:lastPrinted>2013-08-15T13:24:00Z</cp:lastPrinted>
  <dcterms:created xsi:type="dcterms:W3CDTF">2013-08-16T18:12:00Z</dcterms:created>
  <dcterms:modified xsi:type="dcterms:W3CDTF">2013-08-16T18:12:00Z</dcterms:modified>
</cp:coreProperties>
</file>