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3530A9" w:rsidRDefault="00EF78F9" w:rsidP="003530A9">
      <w:pPr>
        <w:jc w:val="center"/>
        <w:rPr>
          <w:b/>
          <w:bCs/>
          <w:sz w:val="24"/>
          <w:szCs w:val="24"/>
        </w:rPr>
      </w:pPr>
      <w:r w:rsidRPr="003530A9">
        <w:rPr>
          <w:b/>
          <w:bCs/>
          <w:sz w:val="24"/>
          <w:szCs w:val="24"/>
        </w:rPr>
        <w:t>SUPPORTING STATEMENT</w:t>
      </w:r>
    </w:p>
    <w:p w:rsidR="00D34AB8" w:rsidRPr="003530A9" w:rsidRDefault="00EF78F9" w:rsidP="003530A9">
      <w:pPr>
        <w:jc w:val="center"/>
        <w:rPr>
          <w:b/>
          <w:color w:val="222222"/>
          <w:sz w:val="24"/>
          <w:szCs w:val="24"/>
          <w:shd w:val="clear" w:color="auto" w:fill="FFFFFF"/>
        </w:rPr>
      </w:pPr>
      <w:r w:rsidRPr="003530A9">
        <w:rPr>
          <w:b/>
          <w:bCs/>
          <w:sz w:val="24"/>
          <w:szCs w:val="24"/>
        </w:rPr>
        <w:t xml:space="preserve">MARINE RECREATIONAL INFORMATION PROGRAM </w:t>
      </w:r>
      <w:r w:rsidRPr="003530A9">
        <w:rPr>
          <w:b/>
          <w:color w:val="222222"/>
          <w:sz w:val="24"/>
          <w:szCs w:val="24"/>
          <w:shd w:val="clear" w:color="auto" w:fill="FFFFFF"/>
        </w:rPr>
        <w:t>LONGITUDINAL SURVEY OF RECREATIONAL FISHING PARTICIPATION</w:t>
      </w:r>
    </w:p>
    <w:p w:rsidR="004F26E9" w:rsidRPr="003530A9" w:rsidRDefault="00EF78F9" w:rsidP="003530A9">
      <w:pPr>
        <w:jc w:val="center"/>
        <w:rPr>
          <w:sz w:val="24"/>
          <w:szCs w:val="24"/>
        </w:rPr>
      </w:pPr>
      <w:r w:rsidRPr="003530A9">
        <w:rPr>
          <w:b/>
          <w:bCs/>
          <w:sz w:val="24"/>
          <w:szCs w:val="24"/>
        </w:rPr>
        <w:t>OMB CONTROL NO. 0648-XXXX</w:t>
      </w:r>
    </w:p>
    <w:p w:rsidR="004F26E9" w:rsidRPr="003530A9" w:rsidRDefault="004F26E9" w:rsidP="003530A9">
      <w:pPr>
        <w:rPr>
          <w:sz w:val="24"/>
          <w:szCs w:val="24"/>
        </w:rPr>
      </w:pPr>
    </w:p>
    <w:p w:rsidR="004F26E9" w:rsidRPr="003530A9" w:rsidRDefault="00EF78F9" w:rsidP="003530A9">
      <w:pPr>
        <w:tabs>
          <w:tab w:val="left" w:pos="720"/>
        </w:tabs>
        <w:ind w:left="720" w:hanging="720"/>
        <w:rPr>
          <w:sz w:val="24"/>
          <w:szCs w:val="24"/>
        </w:rPr>
      </w:pPr>
      <w:r>
        <w:rPr>
          <w:b/>
          <w:bCs/>
          <w:sz w:val="24"/>
          <w:szCs w:val="24"/>
        </w:rPr>
        <w:t>A.</w:t>
      </w:r>
      <w:r w:rsidR="004F26E9" w:rsidRPr="003530A9">
        <w:rPr>
          <w:b/>
          <w:bCs/>
          <w:sz w:val="24"/>
          <w:szCs w:val="24"/>
        </w:rPr>
        <w:tab/>
        <w:t>JUSTIFICATION</w:t>
      </w:r>
    </w:p>
    <w:p w:rsidR="00C04920" w:rsidRDefault="00C04920" w:rsidP="003530A9">
      <w:pPr>
        <w:rPr>
          <w:sz w:val="24"/>
          <w:szCs w:val="24"/>
        </w:rPr>
      </w:pPr>
    </w:p>
    <w:p w:rsidR="003530A9" w:rsidRPr="00093E43" w:rsidRDefault="003530A9" w:rsidP="003530A9">
      <w:pPr>
        <w:pStyle w:val="Default"/>
      </w:pPr>
      <w:r>
        <w:t>This request is for a new information collection.</w:t>
      </w:r>
    </w:p>
    <w:p w:rsidR="00EF78F9" w:rsidRDefault="00EF78F9" w:rsidP="003530A9">
      <w:pPr>
        <w:rPr>
          <w:sz w:val="24"/>
          <w:szCs w:val="24"/>
        </w:rPr>
      </w:pPr>
    </w:p>
    <w:p w:rsidR="004F26E9" w:rsidRPr="003530A9" w:rsidRDefault="004F26E9" w:rsidP="003530A9">
      <w:pPr>
        <w:rPr>
          <w:sz w:val="24"/>
          <w:szCs w:val="24"/>
        </w:rPr>
      </w:pPr>
      <w:r w:rsidRPr="003530A9">
        <w:rPr>
          <w:b/>
          <w:bCs/>
          <w:sz w:val="24"/>
          <w:szCs w:val="24"/>
        </w:rPr>
        <w:t xml:space="preserve">1.  </w:t>
      </w:r>
      <w:r w:rsidRPr="003530A9">
        <w:rPr>
          <w:b/>
          <w:bCs/>
          <w:sz w:val="24"/>
          <w:szCs w:val="24"/>
          <w:u w:val="single"/>
        </w:rPr>
        <w:t>Explain the circumstances that make the collection of information necessary.</w:t>
      </w:r>
    </w:p>
    <w:p w:rsidR="004F26E9" w:rsidRPr="003530A9" w:rsidRDefault="004F26E9" w:rsidP="003530A9">
      <w:pPr>
        <w:rPr>
          <w:sz w:val="24"/>
          <w:szCs w:val="24"/>
        </w:rPr>
      </w:pPr>
    </w:p>
    <w:p w:rsidR="007F3467" w:rsidRPr="003530A9" w:rsidRDefault="007F3467" w:rsidP="003530A9">
      <w:pPr>
        <w:rPr>
          <w:sz w:val="24"/>
          <w:szCs w:val="24"/>
        </w:rPr>
      </w:pPr>
      <w:r w:rsidRPr="003530A9">
        <w:rPr>
          <w:sz w:val="24"/>
          <w:szCs w:val="24"/>
        </w:rPr>
        <w:t>Collection of recreational fisheries catch</w:t>
      </w:r>
      <w:r w:rsidR="00B02C7C" w:rsidRPr="003530A9">
        <w:rPr>
          <w:sz w:val="24"/>
          <w:szCs w:val="24"/>
        </w:rPr>
        <w:t>,</w:t>
      </w:r>
      <w:r w:rsidRPr="003530A9">
        <w:rPr>
          <w:sz w:val="24"/>
          <w:szCs w:val="24"/>
        </w:rPr>
        <w:t xml:space="preserve"> effort </w:t>
      </w:r>
      <w:r w:rsidR="00B02C7C" w:rsidRPr="003530A9">
        <w:rPr>
          <w:sz w:val="24"/>
          <w:szCs w:val="24"/>
        </w:rPr>
        <w:t xml:space="preserve">and participation </w:t>
      </w:r>
      <w:r w:rsidRPr="003530A9">
        <w:rPr>
          <w:sz w:val="24"/>
          <w:szCs w:val="24"/>
        </w:rPr>
        <w:t xml:space="preserve">data is necessary to fulfill statutory requirements of Section 303 of the </w:t>
      </w:r>
      <w:hyperlink r:id="rId9" w:history="1">
        <w:r w:rsidRPr="003530A9">
          <w:rPr>
            <w:rStyle w:val="Hyperlink"/>
            <w:sz w:val="24"/>
            <w:szCs w:val="24"/>
          </w:rPr>
          <w:t>Magnuson-Stevens Fishery Conservation and Management Act</w:t>
        </w:r>
      </w:hyperlink>
      <w:r w:rsidRPr="003530A9">
        <w:rPr>
          <w:sz w:val="24"/>
          <w:szCs w:val="24"/>
        </w:rPr>
        <w:t xml:space="preserve"> </w:t>
      </w:r>
      <w:r w:rsidR="00A06C2B">
        <w:rPr>
          <w:sz w:val="24"/>
          <w:szCs w:val="24"/>
        </w:rPr>
        <w:t>(MSA)</w:t>
      </w:r>
      <w:r w:rsidRPr="003530A9">
        <w:rPr>
          <w:sz w:val="24"/>
          <w:szCs w:val="24"/>
        </w:rPr>
        <w:t xml:space="preserve">(16 U.S.C. 1852 </w:t>
      </w:r>
      <w:r w:rsidRPr="003530A9">
        <w:rPr>
          <w:sz w:val="24"/>
          <w:szCs w:val="24"/>
          <w:u w:val="single"/>
        </w:rPr>
        <w:t>et</w:t>
      </w:r>
      <w:r w:rsidRPr="003530A9">
        <w:rPr>
          <w:sz w:val="24"/>
          <w:szCs w:val="24"/>
        </w:rPr>
        <w:t xml:space="preserve">. </w:t>
      </w:r>
      <w:r w:rsidRPr="003530A9">
        <w:rPr>
          <w:sz w:val="24"/>
          <w:szCs w:val="24"/>
          <w:u w:val="single"/>
        </w:rPr>
        <w:t>seq</w:t>
      </w:r>
      <w:r w:rsidRPr="003530A9">
        <w:rPr>
          <w:sz w:val="24"/>
          <w:szCs w:val="24"/>
        </w:rPr>
        <w:t xml:space="preserve">.) and to comply with </w:t>
      </w:r>
      <w:hyperlink r:id="rId10" w:history="1">
        <w:r w:rsidRPr="003530A9">
          <w:rPr>
            <w:rStyle w:val="Hyperlink"/>
            <w:sz w:val="24"/>
            <w:szCs w:val="24"/>
          </w:rPr>
          <w:t>Executive Order 12962</w:t>
        </w:r>
      </w:hyperlink>
      <w:r w:rsidRPr="003530A9">
        <w:rPr>
          <w:sz w:val="24"/>
          <w:szCs w:val="24"/>
        </w:rPr>
        <w:t xml:space="preserve"> on Recreational Fisheries. Section 303 (a) of the </w:t>
      </w:r>
      <w:r w:rsidR="00A06C2B">
        <w:rPr>
          <w:sz w:val="24"/>
          <w:szCs w:val="24"/>
        </w:rPr>
        <w:t>MSA</w:t>
      </w:r>
      <w:r w:rsidR="00822422">
        <w:rPr>
          <w:sz w:val="24"/>
          <w:szCs w:val="24"/>
        </w:rPr>
        <w:t xml:space="preserve"> </w:t>
      </w:r>
      <w:r w:rsidRPr="003530A9">
        <w:rPr>
          <w:sz w:val="24"/>
          <w:szCs w:val="24"/>
        </w:rPr>
        <w:t>specifies data and analyses to be included in Fishery Management Plans (FMPs), as well as pertinent data that shall be submitted to the Secretar</w:t>
      </w:r>
      <w:r w:rsidR="00EF78F9">
        <w:rPr>
          <w:sz w:val="24"/>
          <w:szCs w:val="24"/>
        </w:rPr>
        <w:t>y of Commerce under the plan.</w:t>
      </w:r>
    </w:p>
    <w:p w:rsidR="007F3467" w:rsidRPr="003530A9" w:rsidRDefault="007F3467" w:rsidP="003530A9">
      <w:pPr>
        <w:rPr>
          <w:sz w:val="24"/>
          <w:szCs w:val="24"/>
        </w:rPr>
      </w:pPr>
    </w:p>
    <w:p w:rsidR="007F3467" w:rsidRPr="003530A9" w:rsidRDefault="007F3467" w:rsidP="003530A9">
      <w:pPr>
        <w:rPr>
          <w:sz w:val="24"/>
          <w:szCs w:val="24"/>
        </w:rPr>
      </w:pPr>
      <w:r w:rsidRPr="003530A9">
        <w:rPr>
          <w:sz w:val="24"/>
          <w:szCs w:val="24"/>
        </w:rPr>
        <w:t xml:space="preserve">Traditionally, the Marine Recreational Fisheries Statistics Survey (MRFSS) estimator of the number of anglers </w:t>
      </w:r>
      <w:r w:rsidR="00B02C7C" w:rsidRPr="003530A9">
        <w:rPr>
          <w:sz w:val="24"/>
          <w:szCs w:val="24"/>
        </w:rPr>
        <w:t xml:space="preserve">who participate </w:t>
      </w:r>
      <w:r w:rsidR="00C93C4B" w:rsidRPr="003530A9">
        <w:rPr>
          <w:sz w:val="24"/>
          <w:szCs w:val="24"/>
        </w:rPr>
        <w:t>in marine recreational fishing</w:t>
      </w:r>
      <w:r w:rsidR="00DA7FF3" w:rsidRPr="003530A9">
        <w:rPr>
          <w:sz w:val="24"/>
          <w:szCs w:val="24"/>
        </w:rPr>
        <w:t xml:space="preserve"> (participation</w:t>
      </w:r>
      <w:r w:rsidRPr="003530A9">
        <w:rPr>
          <w:sz w:val="24"/>
          <w:szCs w:val="24"/>
        </w:rPr>
        <w:t xml:space="preserve">) is </w:t>
      </w:r>
      <w:r w:rsidR="00B02C7C" w:rsidRPr="003530A9">
        <w:rPr>
          <w:sz w:val="24"/>
          <w:szCs w:val="24"/>
        </w:rPr>
        <w:t xml:space="preserve">derived from the estimate of total </w:t>
      </w:r>
      <w:r w:rsidRPr="003530A9">
        <w:rPr>
          <w:sz w:val="24"/>
          <w:szCs w:val="24"/>
        </w:rPr>
        <w:t xml:space="preserve">fishing </w:t>
      </w:r>
      <w:r w:rsidR="00703CA6" w:rsidRPr="003530A9">
        <w:rPr>
          <w:sz w:val="24"/>
          <w:szCs w:val="24"/>
        </w:rPr>
        <w:t xml:space="preserve">days </w:t>
      </w:r>
      <w:r w:rsidR="00DA7FF3" w:rsidRPr="003530A9">
        <w:rPr>
          <w:sz w:val="24"/>
          <w:szCs w:val="24"/>
        </w:rPr>
        <w:t>(effort)</w:t>
      </w:r>
      <w:r w:rsidR="00B02C7C" w:rsidRPr="003530A9">
        <w:rPr>
          <w:sz w:val="24"/>
          <w:szCs w:val="24"/>
        </w:rPr>
        <w:t>,</w:t>
      </w:r>
      <w:r w:rsidRPr="003530A9">
        <w:rPr>
          <w:sz w:val="24"/>
          <w:szCs w:val="24"/>
        </w:rPr>
        <w:t xml:space="preserve"> </w:t>
      </w:r>
      <w:r w:rsidR="00B02C7C" w:rsidRPr="003530A9">
        <w:rPr>
          <w:sz w:val="24"/>
          <w:szCs w:val="24"/>
        </w:rPr>
        <w:t xml:space="preserve">which is estimated from the Coastal Household Telephone Survey or CHTS (OMB Control No. 0648-0052) </w:t>
      </w:r>
      <w:r w:rsidRPr="003530A9">
        <w:rPr>
          <w:sz w:val="24"/>
          <w:szCs w:val="24"/>
        </w:rPr>
        <w:t xml:space="preserve">and of </w:t>
      </w:r>
      <w:r w:rsidR="00B02C7C" w:rsidRPr="003530A9">
        <w:rPr>
          <w:sz w:val="24"/>
          <w:szCs w:val="24"/>
        </w:rPr>
        <w:t xml:space="preserve">estimate of </w:t>
      </w:r>
      <w:r w:rsidR="00DA7FF3" w:rsidRPr="003530A9">
        <w:rPr>
          <w:sz w:val="24"/>
          <w:szCs w:val="24"/>
        </w:rPr>
        <w:t xml:space="preserve">mean </w:t>
      </w:r>
      <w:r w:rsidR="00B02C7C" w:rsidRPr="003530A9">
        <w:rPr>
          <w:sz w:val="24"/>
          <w:szCs w:val="24"/>
        </w:rPr>
        <w:t xml:space="preserve">annual </w:t>
      </w:r>
      <w:r w:rsidR="00DA7FF3" w:rsidRPr="003530A9">
        <w:rPr>
          <w:sz w:val="24"/>
          <w:szCs w:val="24"/>
        </w:rPr>
        <w:t xml:space="preserve">number of </w:t>
      </w:r>
      <w:r w:rsidR="00703CA6" w:rsidRPr="003530A9">
        <w:rPr>
          <w:sz w:val="24"/>
          <w:szCs w:val="24"/>
        </w:rPr>
        <w:t xml:space="preserve">fishing </w:t>
      </w:r>
      <w:r w:rsidR="00DA7FF3" w:rsidRPr="003530A9">
        <w:rPr>
          <w:sz w:val="24"/>
          <w:szCs w:val="24"/>
        </w:rPr>
        <w:t>days per angler (</w:t>
      </w:r>
      <w:r w:rsidRPr="003530A9">
        <w:rPr>
          <w:sz w:val="24"/>
          <w:szCs w:val="24"/>
        </w:rPr>
        <w:t>avidity</w:t>
      </w:r>
      <w:r w:rsidR="00C93C4B" w:rsidRPr="003530A9">
        <w:rPr>
          <w:sz w:val="24"/>
          <w:szCs w:val="24"/>
        </w:rPr>
        <w:t>)</w:t>
      </w:r>
      <w:r w:rsidR="00B02C7C" w:rsidRPr="003530A9">
        <w:rPr>
          <w:sz w:val="24"/>
          <w:szCs w:val="24"/>
        </w:rPr>
        <w:t xml:space="preserve">, which is estimated from the Access Point Angler Intercept Survey or APAIS (previously OMB Control No. 0648-0052, currently </w:t>
      </w:r>
      <w:r w:rsidR="00C6654B" w:rsidRPr="003530A9">
        <w:rPr>
          <w:sz w:val="24"/>
          <w:szCs w:val="24"/>
        </w:rPr>
        <w:t>OMB Control No.</w:t>
      </w:r>
      <w:r w:rsidR="00C6654B">
        <w:rPr>
          <w:sz w:val="24"/>
          <w:szCs w:val="24"/>
        </w:rPr>
        <w:t xml:space="preserve"> </w:t>
      </w:r>
      <w:r w:rsidR="00B02C7C" w:rsidRPr="003530A9">
        <w:rPr>
          <w:sz w:val="24"/>
          <w:szCs w:val="24"/>
        </w:rPr>
        <w:t>0648-0659)</w:t>
      </w:r>
      <w:r w:rsidRPr="003530A9">
        <w:rPr>
          <w:sz w:val="24"/>
          <w:szCs w:val="24"/>
        </w:rPr>
        <w:t>.</w:t>
      </w:r>
      <w:r w:rsidR="0023019D" w:rsidRPr="003530A9">
        <w:rPr>
          <w:sz w:val="24"/>
          <w:szCs w:val="24"/>
        </w:rPr>
        <w:t xml:space="preserve">  The number of participants is </w:t>
      </w:r>
      <w:r w:rsidR="00DA7FF3" w:rsidRPr="003530A9">
        <w:rPr>
          <w:sz w:val="24"/>
          <w:szCs w:val="24"/>
        </w:rPr>
        <w:t>obtained</w:t>
      </w:r>
      <w:r w:rsidR="0023019D" w:rsidRPr="003530A9">
        <w:rPr>
          <w:sz w:val="24"/>
          <w:szCs w:val="24"/>
        </w:rPr>
        <w:t xml:space="preserve"> by dividing the </w:t>
      </w:r>
      <w:r w:rsidR="00B02C7C" w:rsidRPr="003530A9">
        <w:rPr>
          <w:sz w:val="24"/>
          <w:szCs w:val="24"/>
        </w:rPr>
        <w:t xml:space="preserve">estimate of effort by the estimated </w:t>
      </w:r>
      <w:r w:rsidR="0023019D" w:rsidRPr="003530A9">
        <w:rPr>
          <w:sz w:val="24"/>
          <w:szCs w:val="24"/>
        </w:rPr>
        <w:t>avidity.</w:t>
      </w:r>
    </w:p>
    <w:p w:rsidR="007F3467" w:rsidRPr="003530A9" w:rsidRDefault="007F3467" w:rsidP="003530A9">
      <w:pPr>
        <w:rPr>
          <w:sz w:val="24"/>
          <w:szCs w:val="24"/>
        </w:rPr>
      </w:pPr>
    </w:p>
    <w:p w:rsidR="007F3467" w:rsidRPr="003530A9" w:rsidRDefault="00B02C7C" w:rsidP="003530A9">
      <w:pPr>
        <w:rPr>
          <w:sz w:val="24"/>
          <w:szCs w:val="24"/>
        </w:rPr>
      </w:pPr>
      <w:r w:rsidRPr="003530A9">
        <w:rPr>
          <w:sz w:val="24"/>
          <w:szCs w:val="24"/>
        </w:rPr>
        <w:t xml:space="preserve">A review of recreational fishing data collection methods </w:t>
      </w:r>
      <w:r w:rsidR="007F3467" w:rsidRPr="003530A9">
        <w:rPr>
          <w:sz w:val="24"/>
          <w:szCs w:val="24"/>
        </w:rPr>
        <w:t xml:space="preserve">by the National Research Council (NRC) of the National Academies of Science stressed the importance of testing the various assumptions that are made in the current estimation procedures used for the MRFSS.  The </w:t>
      </w:r>
      <w:r w:rsidR="0021425B" w:rsidRPr="003530A9">
        <w:rPr>
          <w:sz w:val="24"/>
          <w:szCs w:val="24"/>
        </w:rPr>
        <w:t xml:space="preserve">NRC </w:t>
      </w:r>
      <w:r w:rsidRPr="003530A9">
        <w:rPr>
          <w:sz w:val="24"/>
          <w:szCs w:val="24"/>
        </w:rPr>
        <w:t xml:space="preserve">review </w:t>
      </w:r>
      <w:r w:rsidR="007F3467" w:rsidRPr="003530A9">
        <w:rPr>
          <w:sz w:val="24"/>
          <w:szCs w:val="24"/>
        </w:rPr>
        <w:t>concluded that “unknown biases in the estimators from these surveys arise from relia</w:t>
      </w:r>
      <w:r w:rsidR="00C93C4B" w:rsidRPr="003530A9">
        <w:rPr>
          <w:sz w:val="24"/>
          <w:szCs w:val="24"/>
        </w:rPr>
        <w:t>nce on unverified assumptions</w:t>
      </w:r>
      <w:r w:rsidR="00642B04" w:rsidRPr="003530A9">
        <w:rPr>
          <w:sz w:val="24"/>
          <w:szCs w:val="24"/>
        </w:rPr>
        <w:t>,” and that “u</w:t>
      </w:r>
      <w:r w:rsidR="007F3467" w:rsidRPr="003530A9">
        <w:rPr>
          <w:sz w:val="24"/>
          <w:szCs w:val="24"/>
        </w:rPr>
        <w:t>nless these assumptions are tested and the degree and direction of bias reliably estimated, the extent to which the biases affect final estimates will remain unknown</w:t>
      </w:r>
      <w:r w:rsidR="00642B04" w:rsidRPr="003530A9">
        <w:rPr>
          <w:sz w:val="24"/>
          <w:szCs w:val="24"/>
        </w:rPr>
        <w:t>.</w:t>
      </w:r>
      <w:r w:rsidR="007F3467" w:rsidRPr="003530A9">
        <w:rPr>
          <w:sz w:val="24"/>
          <w:szCs w:val="24"/>
        </w:rPr>
        <w:t>”</w:t>
      </w:r>
      <w:r w:rsidR="0021425B" w:rsidRPr="003530A9">
        <w:rPr>
          <w:sz w:val="24"/>
          <w:szCs w:val="24"/>
        </w:rPr>
        <w:t xml:space="preserve"> </w:t>
      </w:r>
      <w:r w:rsidR="00642B04" w:rsidRPr="003530A9">
        <w:rPr>
          <w:sz w:val="24"/>
          <w:szCs w:val="24"/>
        </w:rPr>
        <w:t xml:space="preserve"> T</w:t>
      </w:r>
      <w:r w:rsidR="002900F6" w:rsidRPr="003530A9">
        <w:rPr>
          <w:sz w:val="24"/>
          <w:szCs w:val="24"/>
        </w:rPr>
        <w:t>he r</w:t>
      </w:r>
      <w:r w:rsidR="007F3467" w:rsidRPr="003530A9">
        <w:rPr>
          <w:sz w:val="24"/>
          <w:szCs w:val="24"/>
        </w:rPr>
        <w:t>eport also stated that “it is impossible to assess the adequacy of recreational fishing surveys, particularly those associated with the MRFSS, when potential biases exist</w:t>
      </w:r>
      <w:r w:rsidR="000903F8" w:rsidRPr="003530A9">
        <w:rPr>
          <w:sz w:val="24"/>
          <w:szCs w:val="24"/>
        </w:rPr>
        <w:t>”</w:t>
      </w:r>
      <w:r w:rsidR="00642B04" w:rsidRPr="003530A9">
        <w:rPr>
          <w:sz w:val="24"/>
          <w:szCs w:val="24"/>
        </w:rPr>
        <w:t xml:space="preserve"> (NRC, 2006).</w:t>
      </w:r>
    </w:p>
    <w:p w:rsidR="007F3467" w:rsidRPr="003530A9" w:rsidRDefault="007F3467" w:rsidP="003530A9">
      <w:pPr>
        <w:rPr>
          <w:sz w:val="24"/>
          <w:szCs w:val="24"/>
        </w:rPr>
      </w:pPr>
    </w:p>
    <w:p w:rsidR="004F26E9" w:rsidRPr="003530A9" w:rsidRDefault="00545AD7" w:rsidP="003530A9">
      <w:pPr>
        <w:rPr>
          <w:sz w:val="24"/>
          <w:szCs w:val="24"/>
        </w:rPr>
      </w:pPr>
      <w:r w:rsidRPr="003530A9">
        <w:rPr>
          <w:sz w:val="24"/>
          <w:szCs w:val="24"/>
        </w:rPr>
        <w:t>The National Marine Fisheries Service (</w:t>
      </w:r>
      <w:r w:rsidR="007F3467" w:rsidRPr="003530A9">
        <w:rPr>
          <w:sz w:val="24"/>
          <w:szCs w:val="24"/>
        </w:rPr>
        <w:t>NMFS</w:t>
      </w:r>
      <w:r w:rsidRPr="003530A9">
        <w:rPr>
          <w:sz w:val="24"/>
          <w:szCs w:val="24"/>
        </w:rPr>
        <w:t>)</w:t>
      </w:r>
      <w:r w:rsidR="007F3467" w:rsidRPr="003530A9">
        <w:rPr>
          <w:sz w:val="24"/>
          <w:szCs w:val="24"/>
        </w:rPr>
        <w:t xml:space="preserve"> has addressed the concerns by implementing the Marine Recreational Information Program (MRIP) and developing and testing alternative survey designs.  Over the past several years, under OMB Control No</w:t>
      </w:r>
      <w:r w:rsidR="00BF0057" w:rsidRPr="003530A9">
        <w:rPr>
          <w:sz w:val="24"/>
          <w:szCs w:val="24"/>
        </w:rPr>
        <w:t>s</w:t>
      </w:r>
      <w:r w:rsidR="007F3467" w:rsidRPr="003530A9">
        <w:rPr>
          <w:sz w:val="24"/>
          <w:szCs w:val="24"/>
        </w:rPr>
        <w:t>. 0648-0052</w:t>
      </w:r>
      <w:r w:rsidR="00BF0057" w:rsidRPr="003530A9">
        <w:rPr>
          <w:sz w:val="24"/>
          <w:szCs w:val="24"/>
        </w:rPr>
        <w:t>, 0648-0652, and 0648-0659,</w:t>
      </w:r>
      <w:r w:rsidR="007F3467" w:rsidRPr="003530A9">
        <w:rPr>
          <w:sz w:val="24"/>
          <w:szCs w:val="24"/>
        </w:rPr>
        <w:t xml:space="preserve"> NMFS has tested alternatives to the MRFSS C</w:t>
      </w:r>
      <w:r w:rsidR="00DA7FF3" w:rsidRPr="003530A9">
        <w:rPr>
          <w:sz w:val="24"/>
          <w:szCs w:val="24"/>
        </w:rPr>
        <w:t xml:space="preserve">oastal </w:t>
      </w:r>
      <w:r w:rsidR="007F3467" w:rsidRPr="003530A9">
        <w:rPr>
          <w:sz w:val="24"/>
          <w:szCs w:val="24"/>
        </w:rPr>
        <w:t>H</w:t>
      </w:r>
      <w:r w:rsidR="00DA7FF3" w:rsidRPr="003530A9">
        <w:rPr>
          <w:sz w:val="24"/>
          <w:szCs w:val="24"/>
        </w:rPr>
        <w:t xml:space="preserve">ousehold </w:t>
      </w:r>
      <w:r w:rsidR="007F3467" w:rsidRPr="003530A9">
        <w:rPr>
          <w:sz w:val="24"/>
          <w:szCs w:val="24"/>
        </w:rPr>
        <w:t>T</w:t>
      </w:r>
      <w:r w:rsidR="00DA7FF3" w:rsidRPr="003530A9">
        <w:rPr>
          <w:sz w:val="24"/>
          <w:szCs w:val="24"/>
        </w:rPr>
        <w:t xml:space="preserve">elephone </w:t>
      </w:r>
      <w:r w:rsidR="007F3467" w:rsidRPr="003530A9">
        <w:rPr>
          <w:sz w:val="24"/>
          <w:szCs w:val="24"/>
        </w:rPr>
        <w:t>S</w:t>
      </w:r>
      <w:r w:rsidR="00DA7FF3" w:rsidRPr="003530A9">
        <w:rPr>
          <w:sz w:val="24"/>
          <w:szCs w:val="24"/>
        </w:rPr>
        <w:t>urvey (CHTS)</w:t>
      </w:r>
      <w:r w:rsidR="007F3467" w:rsidRPr="003530A9">
        <w:rPr>
          <w:sz w:val="24"/>
          <w:szCs w:val="24"/>
        </w:rPr>
        <w:t xml:space="preserve"> and </w:t>
      </w:r>
      <w:r w:rsidR="00E07A8D" w:rsidRPr="003530A9">
        <w:rPr>
          <w:sz w:val="24"/>
          <w:szCs w:val="24"/>
        </w:rPr>
        <w:t>Access Point Angler Intercept Survey (</w:t>
      </w:r>
      <w:r w:rsidR="007F3467" w:rsidRPr="003530A9">
        <w:rPr>
          <w:sz w:val="24"/>
          <w:szCs w:val="24"/>
        </w:rPr>
        <w:t>APAIS</w:t>
      </w:r>
      <w:r w:rsidR="00E07A8D" w:rsidRPr="003530A9">
        <w:rPr>
          <w:sz w:val="24"/>
          <w:szCs w:val="24"/>
        </w:rPr>
        <w:t>)</w:t>
      </w:r>
      <w:r w:rsidR="007F3467" w:rsidRPr="003530A9">
        <w:rPr>
          <w:sz w:val="24"/>
          <w:szCs w:val="24"/>
        </w:rPr>
        <w:t xml:space="preserve"> with a goal of developing and implementing more accurate and efficient survey designs of recreational fishing activity.  </w:t>
      </w:r>
    </w:p>
    <w:p w:rsidR="008B3503" w:rsidRPr="003530A9" w:rsidRDefault="008B3503" w:rsidP="003530A9">
      <w:pPr>
        <w:rPr>
          <w:sz w:val="24"/>
          <w:szCs w:val="24"/>
        </w:rPr>
      </w:pPr>
    </w:p>
    <w:p w:rsidR="003530A9" w:rsidRDefault="00984E10" w:rsidP="003530A9">
      <w:pPr>
        <w:rPr>
          <w:sz w:val="24"/>
          <w:szCs w:val="24"/>
        </w:rPr>
      </w:pPr>
      <w:r w:rsidRPr="003530A9">
        <w:rPr>
          <w:sz w:val="24"/>
          <w:szCs w:val="24"/>
        </w:rPr>
        <w:t xml:space="preserve">The MRIP Fishing Effort Survey (MFES, OMB Control No. 0648-0652), which is being tested in MA, NY, NC and FL as an alternative to the CHTS, collects information that can be used to estimate participation.  Specifically, the instrument asks respondents whether or not they </w:t>
      </w:r>
      <w:r w:rsidRPr="003530A9">
        <w:rPr>
          <w:sz w:val="24"/>
          <w:szCs w:val="24"/>
        </w:rPr>
        <w:lastRenderedPageBreak/>
        <w:t>participated in recreational saltwater fishing during portions of the previous year</w:t>
      </w:r>
      <w:r w:rsidR="00BE733C" w:rsidRPr="003530A9">
        <w:rPr>
          <w:rStyle w:val="FootnoteReference"/>
          <w:sz w:val="24"/>
          <w:szCs w:val="24"/>
        </w:rPr>
        <w:footnoteReference w:id="1"/>
      </w:r>
      <w:r w:rsidRPr="003530A9">
        <w:rPr>
          <w:sz w:val="24"/>
          <w:szCs w:val="24"/>
        </w:rPr>
        <w:t xml:space="preserve">.  </w:t>
      </w:r>
      <w:r w:rsidR="000031AE" w:rsidRPr="003530A9">
        <w:rPr>
          <w:sz w:val="24"/>
          <w:szCs w:val="24"/>
        </w:rPr>
        <w:t xml:space="preserve">Recall </w:t>
      </w:r>
      <w:r w:rsidR="0085461C" w:rsidRPr="003530A9">
        <w:rPr>
          <w:sz w:val="24"/>
          <w:szCs w:val="24"/>
        </w:rPr>
        <w:t>error</w:t>
      </w:r>
      <w:r w:rsidR="000031AE" w:rsidRPr="003530A9">
        <w:rPr>
          <w:sz w:val="24"/>
          <w:szCs w:val="24"/>
        </w:rPr>
        <w:t xml:space="preserve"> is a concern with this type of data collection,</w:t>
      </w:r>
      <w:r w:rsidR="002428A4" w:rsidRPr="003530A9">
        <w:rPr>
          <w:sz w:val="24"/>
          <w:szCs w:val="24"/>
        </w:rPr>
        <w:t xml:space="preserve"> especially </w:t>
      </w:r>
      <w:r w:rsidR="00880B85" w:rsidRPr="003530A9">
        <w:rPr>
          <w:sz w:val="24"/>
          <w:szCs w:val="24"/>
        </w:rPr>
        <w:t>when</w:t>
      </w:r>
      <w:r w:rsidR="002428A4" w:rsidRPr="003530A9">
        <w:rPr>
          <w:sz w:val="24"/>
          <w:szCs w:val="24"/>
        </w:rPr>
        <w:t xml:space="preserve"> the recall period is as long as one year (Chu et al. 1989, Chu et al. 1992) as </w:t>
      </w:r>
      <w:r w:rsidR="0085461C" w:rsidRPr="003530A9">
        <w:rPr>
          <w:sz w:val="24"/>
          <w:szCs w:val="24"/>
        </w:rPr>
        <w:t xml:space="preserve">is </w:t>
      </w:r>
      <w:r w:rsidR="002428A4" w:rsidRPr="003530A9">
        <w:rPr>
          <w:sz w:val="24"/>
          <w:szCs w:val="24"/>
        </w:rPr>
        <w:t xml:space="preserve">the case with </w:t>
      </w:r>
      <w:r w:rsidRPr="003530A9">
        <w:rPr>
          <w:sz w:val="24"/>
          <w:szCs w:val="24"/>
        </w:rPr>
        <w:t>APAIS</w:t>
      </w:r>
      <w:r w:rsidR="008B3503" w:rsidRPr="003530A9">
        <w:rPr>
          <w:sz w:val="24"/>
          <w:szCs w:val="24"/>
        </w:rPr>
        <w:t xml:space="preserve"> and MFES</w:t>
      </w:r>
      <w:r w:rsidR="00880B85" w:rsidRPr="003530A9">
        <w:rPr>
          <w:sz w:val="24"/>
          <w:szCs w:val="24"/>
        </w:rPr>
        <w:t xml:space="preserve">. </w:t>
      </w:r>
      <w:r w:rsidR="00681E69" w:rsidRPr="003530A9">
        <w:rPr>
          <w:sz w:val="24"/>
          <w:szCs w:val="24"/>
        </w:rPr>
        <w:t xml:space="preserve"> </w:t>
      </w:r>
      <w:r w:rsidRPr="003530A9">
        <w:rPr>
          <w:sz w:val="24"/>
          <w:szCs w:val="24"/>
        </w:rPr>
        <w:t xml:space="preserve">To </w:t>
      </w:r>
      <w:r w:rsidR="0085461C" w:rsidRPr="003530A9">
        <w:rPr>
          <w:sz w:val="24"/>
          <w:szCs w:val="24"/>
        </w:rPr>
        <w:t>minimize the</w:t>
      </w:r>
      <w:r w:rsidR="000031AE" w:rsidRPr="003530A9">
        <w:rPr>
          <w:sz w:val="24"/>
          <w:szCs w:val="24"/>
        </w:rPr>
        <w:t xml:space="preserve"> potential for this type of</w:t>
      </w:r>
      <w:r w:rsidRPr="003530A9">
        <w:rPr>
          <w:sz w:val="24"/>
          <w:szCs w:val="24"/>
        </w:rPr>
        <w:t xml:space="preserve"> measurement error, </w:t>
      </w:r>
      <w:r w:rsidR="002428A4" w:rsidRPr="003530A9">
        <w:rPr>
          <w:sz w:val="24"/>
          <w:szCs w:val="24"/>
        </w:rPr>
        <w:t xml:space="preserve">many surveys </w:t>
      </w:r>
      <w:r w:rsidR="00067D8D" w:rsidRPr="003530A9">
        <w:rPr>
          <w:sz w:val="24"/>
          <w:szCs w:val="24"/>
        </w:rPr>
        <w:t>(e.g., the National Survey of Fishing, Hunting, and Wildlife-Associated Recreation</w:t>
      </w:r>
      <w:r w:rsidR="00283041" w:rsidRPr="003530A9">
        <w:rPr>
          <w:sz w:val="24"/>
          <w:szCs w:val="24"/>
        </w:rPr>
        <w:t xml:space="preserve"> by U.S. Fish and Wildlife Service</w:t>
      </w:r>
      <w:r w:rsidR="00375F2E" w:rsidRPr="003530A9">
        <w:rPr>
          <w:sz w:val="24"/>
          <w:szCs w:val="24"/>
        </w:rPr>
        <w:t>,</w:t>
      </w:r>
      <w:r w:rsidR="00375F2E" w:rsidRPr="003530A9">
        <w:rPr>
          <w:sz w:val="24"/>
          <w:szCs w:val="24"/>
          <w:shd w:val="clear" w:color="auto" w:fill="FFFFFF"/>
        </w:rPr>
        <w:t xml:space="preserve"> Survey of Income and Program Participation by the Census Bureau, Consumer Expenditure Survey by Bureau of Labor Statistics, and National Crime Victimization Survey by Bureau of Justice</w:t>
      </w:r>
      <w:r w:rsidR="00067D8D" w:rsidRPr="003530A9">
        <w:rPr>
          <w:sz w:val="24"/>
          <w:szCs w:val="24"/>
        </w:rPr>
        <w:t xml:space="preserve">) </w:t>
      </w:r>
      <w:r w:rsidR="002428A4" w:rsidRPr="003530A9">
        <w:rPr>
          <w:sz w:val="24"/>
          <w:szCs w:val="24"/>
        </w:rPr>
        <w:t xml:space="preserve">ask respondents to report about </w:t>
      </w:r>
      <w:r w:rsidRPr="003530A9">
        <w:rPr>
          <w:sz w:val="24"/>
          <w:szCs w:val="24"/>
        </w:rPr>
        <w:t xml:space="preserve">behaviors for </w:t>
      </w:r>
      <w:r w:rsidR="002428A4" w:rsidRPr="003530A9">
        <w:rPr>
          <w:sz w:val="24"/>
          <w:szCs w:val="24"/>
        </w:rPr>
        <w:t>shorter recall periods, but go back to the same respondents repeatedly in a panel design (</w:t>
      </w:r>
      <w:r w:rsidR="008B3503" w:rsidRPr="003530A9">
        <w:rPr>
          <w:sz w:val="24"/>
          <w:szCs w:val="24"/>
        </w:rPr>
        <w:t xml:space="preserve">or </w:t>
      </w:r>
      <w:r w:rsidR="00294C43" w:rsidRPr="003530A9">
        <w:rPr>
          <w:sz w:val="24"/>
          <w:szCs w:val="24"/>
        </w:rPr>
        <w:t>longitudinal survey</w:t>
      </w:r>
      <w:r w:rsidR="00E07A8D" w:rsidRPr="003530A9">
        <w:rPr>
          <w:sz w:val="24"/>
          <w:szCs w:val="24"/>
        </w:rPr>
        <w:t xml:space="preserve"> design</w:t>
      </w:r>
      <w:r w:rsidR="00294C43" w:rsidRPr="003530A9">
        <w:rPr>
          <w:sz w:val="24"/>
          <w:szCs w:val="24"/>
        </w:rPr>
        <w:t>)</w:t>
      </w:r>
      <w:r w:rsidR="002428A4" w:rsidRPr="003530A9">
        <w:rPr>
          <w:sz w:val="24"/>
          <w:szCs w:val="24"/>
        </w:rPr>
        <w:t xml:space="preserve">.  The repeated contacts </w:t>
      </w:r>
      <w:r w:rsidRPr="003530A9">
        <w:rPr>
          <w:sz w:val="24"/>
          <w:szCs w:val="24"/>
        </w:rPr>
        <w:t>over</w:t>
      </w:r>
      <w:r w:rsidR="002428A4" w:rsidRPr="003530A9">
        <w:rPr>
          <w:sz w:val="24"/>
          <w:szCs w:val="24"/>
        </w:rPr>
        <w:t xml:space="preserve"> shorter intervals reduce potential errors in placing events in time,</w:t>
      </w:r>
      <w:r w:rsidR="00E07A8D" w:rsidRPr="003530A9">
        <w:rPr>
          <w:sz w:val="24"/>
          <w:szCs w:val="24"/>
        </w:rPr>
        <w:t xml:space="preserve"> </w:t>
      </w:r>
      <w:r w:rsidR="002428A4" w:rsidRPr="003530A9">
        <w:rPr>
          <w:sz w:val="24"/>
          <w:szCs w:val="24"/>
        </w:rPr>
        <w:t xml:space="preserve">but </w:t>
      </w:r>
      <w:r w:rsidRPr="003530A9">
        <w:rPr>
          <w:sz w:val="24"/>
          <w:szCs w:val="24"/>
        </w:rPr>
        <w:t xml:space="preserve">may require </w:t>
      </w:r>
      <w:r w:rsidR="002428A4" w:rsidRPr="003530A9">
        <w:rPr>
          <w:sz w:val="24"/>
          <w:szCs w:val="24"/>
        </w:rPr>
        <w:t xml:space="preserve">greater costs. </w:t>
      </w:r>
    </w:p>
    <w:p w:rsidR="003530A9" w:rsidRDefault="003530A9" w:rsidP="003530A9">
      <w:pPr>
        <w:rPr>
          <w:sz w:val="24"/>
          <w:szCs w:val="24"/>
        </w:rPr>
      </w:pPr>
    </w:p>
    <w:p w:rsidR="003530A9" w:rsidRPr="003530A9" w:rsidRDefault="003530A9" w:rsidP="003530A9">
      <w:pPr>
        <w:rPr>
          <w:sz w:val="24"/>
          <w:szCs w:val="24"/>
        </w:rPr>
      </w:pPr>
      <w:r w:rsidRPr="003530A9">
        <w:rPr>
          <w:sz w:val="24"/>
          <w:szCs w:val="24"/>
        </w:rPr>
        <w:t>A longitudinal study is being implemented to assess recall error in participation estimates derived from the MFES</w:t>
      </w:r>
      <w:r>
        <w:rPr>
          <w:sz w:val="24"/>
          <w:szCs w:val="24"/>
        </w:rPr>
        <w:t xml:space="preserve">.  </w:t>
      </w:r>
      <w:r w:rsidRPr="003530A9">
        <w:rPr>
          <w:sz w:val="24"/>
          <w:szCs w:val="24"/>
        </w:rPr>
        <w:t xml:space="preserve">The longitudinal survey is intended to produce a reliable estimate of fishing participation that can be used to assess the magnitude of error in the participation estimates obtained from the MFES and possibly to adjust for that bias.  Thus, the overall approach for this methodological investigation involves conducting a longitudinal survey concurrently with the MFES.  The longitudinal survey will provide a benchmark to assess the accuracy of participation estimates generated from the MFES, which is a relatively cost-effective method for collecting participation data.  </w:t>
      </w:r>
      <w:r w:rsidRPr="003530A9">
        <w:rPr>
          <w:i/>
          <w:sz w:val="24"/>
          <w:szCs w:val="24"/>
        </w:rPr>
        <w:t>This request is to conduct a longitudinal survey to collect recreational fishing participation data that enable us to assess the measurement errors associated with reporting participation.</w:t>
      </w:r>
    </w:p>
    <w:p w:rsidR="00BF7BEA" w:rsidRPr="003530A9" w:rsidRDefault="00BF7BEA" w:rsidP="003530A9">
      <w:pPr>
        <w:rPr>
          <w:sz w:val="24"/>
          <w:szCs w:val="24"/>
        </w:rPr>
      </w:pPr>
    </w:p>
    <w:p w:rsidR="002A53E0" w:rsidRPr="003530A9" w:rsidRDefault="002A53E0" w:rsidP="003530A9">
      <w:pPr>
        <w:rPr>
          <w:b/>
          <w:sz w:val="24"/>
          <w:szCs w:val="24"/>
        </w:rPr>
      </w:pPr>
      <w:r w:rsidRPr="003530A9">
        <w:rPr>
          <w:b/>
          <w:sz w:val="24"/>
          <w:szCs w:val="24"/>
        </w:rPr>
        <w:t>Longitudinal Survey</w:t>
      </w:r>
    </w:p>
    <w:p w:rsidR="00B412B0" w:rsidRPr="003530A9" w:rsidRDefault="002A53E0" w:rsidP="003530A9">
      <w:pPr>
        <w:rPr>
          <w:sz w:val="24"/>
          <w:szCs w:val="24"/>
        </w:rPr>
      </w:pPr>
      <w:r w:rsidRPr="003530A9">
        <w:rPr>
          <w:sz w:val="24"/>
          <w:szCs w:val="24"/>
        </w:rPr>
        <w:t xml:space="preserve">The </w:t>
      </w:r>
      <w:r w:rsidR="00B07B7E" w:rsidRPr="003530A9">
        <w:rPr>
          <w:sz w:val="24"/>
          <w:szCs w:val="24"/>
        </w:rPr>
        <w:t xml:space="preserve">MRIP </w:t>
      </w:r>
      <w:r w:rsidR="0021425B" w:rsidRPr="003530A9">
        <w:rPr>
          <w:sz w:val="24"/>
          <w:szCs w:val="24"/>
        </w:rPr>
        <w:t>L</w:t>
      </w:r>
      <w:r w:rsidRPr="003530A9">
        <w:rPr>
          <w:sz w:val="24"/>
          <w:szCs w:val="24"/>
        </w:rPr>
        <w:t xml:space="preserve">ongitudinal </w:t>
      </w:r>
      <w:r w:rsidR="0021425B" w:rsidRPr="003530A9">
        <w:rPr>
          <w:sz w:val="24"/>
          <w:szCs w:val="24"/>
        </w:rPr>
        <w:t>S</w:t>
      </w:r>
      <w:r w:rsidRPr="003530A9">
        <w:rPr>
          <w:sz w:val="24"/>
          <w:szCs w:val="24"/>
        </w:rPr>
        <w:t>urvey</w:t>
      </w:r>
      <w:r w:rsidR="00B07B7E" w:rsidRPr="003530A9">
        <w:rPr>
          <w:sz w:val="24"/>
          <w:szCs w:val="24"/>
        </w:rPr>
        <w:t xml:space="preserve"> of </w:t>
      </w:r>
      <w:r w:rsidR="0021425B" w:rsidRPr="003530A9">
        <w:rPr>
          <w:sz w:val="24"/>
          <w:szCs w:val="24"/>
        </w:rPr>
        <w:t>R</w:t>
      </w:r>
      <w:r w:rsidR="00B07B7E" w:rsidRPr="003530A9">
        <w:rPr>
          <w:sz w:val="24"/>
          <w:szCs w:val="24"/>
        </w:rPr>
        <w:t xml:space="preserve">ecreational </w:t>
      </w:r>
      <w:r w:rsidR="0021425B" w:rsidRPr="003530A9">
        <w:rPr>
          <w:sz w:val="24"/>
          <w:szCs w:val="24"/>
        </w:rPr>
        <w:t>F</w:t>
      </w:r>
      <w:r w:rsidR="00B07B7E" w:rsidRPr="003530A9">
        <w:rPr>
          <w:sz w:val="24"/>
          <w:szCs w:val="24"/>
        </w:rPr>
        <w:t xml:space="preserve">ishing </w:t>
      </w:r>
      <w:r w:rsidR="0021425B" w:rsidRPr="003530A9">
        <w:rPr>
          <w:sz w:val="24"/>
          <w:szCs w:val="24"/>
        </w:rPr>
        <w:t>P</w:t>
      </w:r>
      <w:r w:rsidR="00B07B7E" w:rsidRPr="003530A9">
        <w:rPr>
          <w:sz w:val="24"/>
          <w:szCs w:val="24"/>
        </w:rPr>
        <w:t>articipation (MLSR)</w:t>
      </w:r>
      <w:r w:rsidR="0013782B" w:rsidRPr="003530A9">
        <w:rPr>
          <w:sz w:val="24"/>
          <w:szCs w:val="24"/>
        </w:rPr>
        <w:t xml:space="preserve"> </w:t>
      </w:r>
      <w:r w:rsidR="003972AD" w:rsidRPr="003530A9">
        <w:rPr>
          <w:sz w:val="24"/>
          <w:szCs w:val="24"/>
        </w:rPr>
        <w:t>is a fixed panel</w:t>
      </w:r>
      <w:r w:rsidR="00541F39">
        <w:rPr>
          <w:sz w:val="24"/>
          <w:szCs w:val="24"/>
        </w:rPr>
        <w:t>, self-administered mail</w:t>
      </w:r>
      <w:r w:rsidR="003972AD" w:rsidRPr="003530A9">
        <w:rPr>
          <w:sz w:val="24"/>
          <w:szCs w:val="24"/>
        </w:rPr>
        <w:t xml:space="preserve"> survey that </w:t>
      </w:r>
      <w:r w:rsidR="0013782B" w:rsidRPr="003530A9">
        <w:rPr>
          <w:sz w:val="24"/>
          <w:szCs w:val="24"/>
        </w:rPr>
        <w:t>will be conducted in North Carolina</w:t>
      </w:r>
      <w:r w:rsidR="003972AD" w:rsidRPr="003530A9">
        <w:rPr>
          <w:sz w:val="24"/>
          <w:szCs w:val="24"/>
        </w:rPr>
        <w:t xml:space="preserve">.  </w:t>
      </w:r>
      <w:r w:rsidR="0015150A" w:rsidRPr="003530A9">
        <w:rPr>
          <w:sz w:val="24"/>
          <w:szCs w:val="24"/>
        </w:rPr>
        <w:t>North Carolina residents and anglers will be sampled from residential address frames (the Unite</w:t>
      </w:r>
      <w:r w:rsidR="00A06C2B">
        <w:rPr>
          <w:sz w:val="24"/>
          <w:szCs w:val="24"/>
        </w:rPr>
        <w:t>d</w:t>
      </w:r>
      <w:r w:rsidR="0015150A" w:rsidRPr="003530A9">
        <w:rPr>
          <w:sz w:val="24"/>
          <w:szCs w:val="24"/>
        </w:rPr>
        <w:t xml:space="preserve"> States Postal Service </w:t>
      </w:r>
      <w:r w:rsidR="00A06C2B">
        <w:rPr>
          <w:sz w:val="24"/>
          <w:szCs w:val="24"/>
        </w:rPr>
        <w:t xml:space="preserve">Computerized </w:t>
      </w:r>
      <w:r w:rsidR="0015150A" w:rsidRPr="003530A9">
        <w:rPr>
          <w:sz w:val="24"/>
          <w:szCs w:val="24"/>
        </w:rPr>
        <w:t>Delivery Sequence File</w:t>
      </w:r>
      <w:r w:rsidR="00A06C2B">
        <w:rPr>
          <w:sz w:val="24"/>
          <w:szCs w:val="24"/>
        </w:rPr>
        <w:t xml:space="preserve"> (CDS)</w:t>
      </w:r>
      <w:r w:rsidR="0015150A" w:rsidRPr="003530A9">
        <w:rPr>
          <w:sz w:val="24"/>
          <w:szCs w:val="24"/>
        </w:rPr>
        <w:t>) and a frame derived from a database of anglers licensed to participate in saltwater fishing in North Carolina.  Sampling from the two frames will be independent; residents of North Carolina will be sampled from the address frame, and non-resident anglers (individuals licensed to fish in North Carolina but resid</w:t>
      </w:r>
      <w:r w:rsidR="00226807" w:rsidRPr="003530A9">
        <w:rPr>
          <w:sz w:val="24"/>
          <w:szCs w:val="24"/>
        </w:rPr>
        <w:t>ing</w:t>
      </w:r>
      <w:r w:rsidR="0015150A" w:rsidRPr="003530A9">
        <w:rPr>
          <w:sz w:val="24"/>
          <w:szCs w:val="24"/>
        </w:rPr>
        <w:t xml:space="preserve"> in a different state) will be sampled from the </w:t>
      </w:r>
      <w:r w:rsidR="00B412B0">
        <w:rPr>
          <w:sz w:val="24"/>
          <w:szCs w:val="24"/>
        </w:rPr>
        <w:t xml:space="preserve">state </w:t>
      </w:r>
      <w:r w:rsidR="00EF78F9">
        <w:rPr>
          <w:sz w:val="24"/>
          <w:szCs w:val="24"/>
        </w:rPr>
        <w:t>license frame.</w:t>
      </w:r>
    </w:p>
    <w:p w:rsidR="0015150A" w:rsidRPr="003530A9" w:rsidRDefault="0015150A" w:rsidP="003530A9">
      <w:pPr>
        <w:rPr>
          <w:sz w:val="24"/>
          <w:szCs w:val="24"/>
        </w:rPr>
      </w:pPr>
    </w:p>
    <w:p w:rsidR="002A53E0" w:rsidRDefault="0013782B" w:rsidP="003530A9">
      <w:pPr>
        <w:rPr>
          <w:sz w:val="24"/>
          <w:szCs w:val="24"/>
        </w:rPr>
      </w:pPr>
      <w:r w:rsidRPr="003530A9">
        <w:rPr>
          <w:sz w:val="24"/>
          <w:szCs w:val="24"/>
        </w:rPr>
        <w:t xml:space="preserve">An adult will be </w:t>
      </w:r>
      <w:r w:rsidR="002A53E0" w:rsidRPr="003530A9">
        <w:rPr>
          <w:sz w:val="24"/>
          <w:szCs w:val="24"/>
        </w:rPr>
        <w:t>interview</w:t>
      </w:r>
      <w:r w:rsidRPr="003530A9">
        <w:rPr>
          <w:sz w:val="24"/>
          <w:szCs w:val="24"/>
        </w:rPr>
        <w:t>ed</w:t>
      </w:r>
      <w:r w:rsidR="002A53E0" w:rsidRPr="003530A9">
        <w:rPr>
          <w:sz w:val="24"/>
          <w:szCs w:val="24"/>
        </w:rPr>
        <w:t xml:space="preserve"> </w:t>
      </w:r>
      <w:r w:rsidRPr="003530A9">
        <w:rPr>
          <w:sz w:val="24"/>
          <w:szCs w:val="24"/>
        </w:rPr>
        <w:t>i</w:t>
      </w:r>
      <w:r w:rsidR="002A53E0" w:rsidRPr="003530A9">
        <w:rPr>
          <w:sz w:val="24"/>
          <w:szCs w:val="24"/>
        </w:rPr>
        <w:t xml:space="preserve">n sampled households </w:t>
      </w:r>
      <w:r w:rsidR="003972AD" w:rsidRPr="003530A9">
        <w:rPr>
          <w:sz w:val="24"/>
          <w:szCs w:val="24"/>
        </w:rPr>
        <w:t xml:space="preserve">up to </w:t>
      </w:r>
      <w:r w:rsidR="002A53E0" w:rsidRPr="003530A9">
        <w:rPr>
          <w:sz w:val="24"/>
          <w:szCs w:val="24"/>
        </w:rPr>
        <w:t xml:space="preserve">three times over </w:t>
      </w:r>
      <w:r w:rsidR="00C93C4B" w:rsidRPr="003530A9">
        <w:rPr>
          <w:sz w:val="24"/>
          <w:szCs w:val="24"/>
        </w:rPr>
        <w:t>a</w:t>
      </w:r>
      <w:r w:rsidR="002A53E0" w:rsidRPr="003530A9">
        <w:rPr>
          <w:sz w:val="24"/>
          <w:szCs w:val="24"/>
        </w:rPr>
        <w:t xml:space="preserve"> year</w:t>
      </w:r>
      <w:r w:rsidR="00C93C4B" w:rsidRPr="003530A9">
        <w:rPr>
          <w:sz w:val="24"/>
          <w:szCs w:val="24"/>
        </w:rPr>
        <w:t xml:space="preserve"> (four-month reference waves)</w:t>
      </w:r>
      <w:r w:rsidR="003972AD" w:rsidRPr="003530A9">
        <w:rPr>
          <w:sz w:val="24"/>
          <w:szCs w:val="24"/>
        </w:rPr>
        <w:t xml:space="preserve">, beginning with the </w:t>
      </w:r>
      <w:r w:rsidR="00DE62CB">
        <w:rPr>
          <w:sz w:val="24"/>
          <w:szCs w:val="24"/>
        </w:rPr>
        <w:t xml:space="preserve">last week of the </w:t>
      </w:r>
      <w:r w:rsidR="003972AD" w:rsidRPr="003530A9">
        <w:rPr>
          <w:sz w:val="24"/>
          <w:szCs w:val="24"/>
        </w:rPr>
        <w:t xml:space="preserve">May-August wave of 2013 </w:t>
      </w:r>
      <w:r w:rsidR="00C93C4B" w:rsidRPr="003530A9">
        <w:rPr>
          <w:sz w:val="24"/>
          <w:szCs w:val="24"/>
        </w:rPr>
        <w:t xml:space="preserve">(wave A) </w:t>
      </w:r>
      <w:r w:rsidR="003972AD" w:rsidRPr="003530A9">
        <w:rPr>
          <w:sz w:val="24"/>
          <w:szCs w:val="24"/>
        </w:rPr>
        <w:t>and continuing through the January-April wave of 2014</w:t>
      </w:r>
      <w:r w:rsidR="00C93C4B" w:rsidRPr="003530A9">
        <w:rPr>
          <w:sz w:val="24"/>
          <w:szCs w:val="24"/>
        </w:rPr>
        <w:t xml:space="preserve"> (wave C)</w:t>
      </w:r>
      <w:r w:rsidR="003972AD" w:rsidRPr="003530A9">
        <w:rPr>
          <w:sz w:val="24"/>
          <w:szCs w:val="24"/>
        </w:rPr>
        <w:t xml:space="preserve">.  </w:t>
      </w:r>
      <w:r w:rsidR="002A53E0" w:rsidRPr="003530A9">
        <w:rPr>
          <w:sz w:val="24"/>
          <w:szCs w:val="24"/>
        </w:rPr>
        <w:t xml:space="preserve">The </w:t>
      </w:r>
      <w:r w:rsidR="0015150A" w:rsidRPr="003530A9">
        <w:rPr>
          <w:sz w:val="24"/>
          <w:szCs w:val="24"/>
        </w:rPr>
        <w:t xml:space="preserve">initial </w:t>
      </w:r>
      <w:r w:rsidR="002A53E0" w:rsidRPr="003530A9">
        <w:rPr>
          <w:sz w:val="24"/>
          <w:szCs w:val="24"/>
        </w:rPr>
        <w:t xml:space="preserve">mail questionnaire will have questions that </w:t>
      </w:r>
      <w:r w:rsidR="00740DBB" w:rsidRPr="003530A9">
        <w:rPr>
          <w:sz w:val="24"/>
          <w:szCs w:val="24"/>
        </w:rPr>
        <w:t xml:space="preserve">ask </w:t>
      </w:r>
      <w:r w:rsidR="00B07B7E" w:rsidRPr="003530A9">
        <w:rPr>
          <w:sz w:val="24"/>
          <w:szCs w:val="24"/>
        </w:rPr>
        <w:t xml:space="preserve">the total number of </w:t>
      </w:r>
      <w:r w:rsidR="002A53E0" w:rsidRPr="003530A9">
        <w:rPr>
          <w:sz w:val="24"/>
          <w:szCs w:val="24"/>
        </w:rPr>
        <w:t xml:space="preserve">trips </w:t>
      </w:r>
      <w:r w:rsidR="00226807" w:rsidRPr="003530A9">
        <w:rPr>
          <w:sz w:val="24"/>
          <w:szCs w:val="24"/>
        </w:rPr>
        <w:t>taken</w:t>
      </w:r>
      <w:r w:rsidR="002A53E0" w:rsidRPr="003530A9">
        <w:rPr>
          <w:sz w:val="24"/>
          <w:szCs w:val="24"/>
        </w:rPr>
        <w:t xml:space="preserve"> </w:t>
      </w:r>
      <w:r w:rsidR="00044F94" w:rsidRPr="003530A9">
        <w:rPr>
          <w:sz w:val="24"/>
          <w:szCs w:val="24"/>
        </w:rPr>
        <w:t xml:space="preserve">during the previous </w:t>
      </w:r>
      <w:r w:rsidR="00226807" w:rsidRPr="003530A9">
        <w:rPr>
          <w:sz w:val="24"/>
          <w:szCs w:val="24"/>
        </w:rPr>
        <w:t>12 months</w:t>
      </w:r>
      <w:r w:rsidR="00740DBB" w:rsidRPr="003530A9">
        <w:rPr>
          <w:sz w:val="24"/>
          <w:szCs w:val="24"/>
        </w:rPr>
        <w:t xml:space="preserve"> </w:t>
      </w:r>
      <w:r w:rsidR="002A53E0" w:rsidRPr="003530A9">
        <w:rPr>
          <w:sz w:val="24"/>
          <w:szCs w:val="24"/>
        </w:rPr>
        <w:t xml:space="preserve">by </w:t>
      </w:r>
      <w:r w:rsidR="00946EBE" w:rsidRPr="003530A9">
        <w:rPr>
          <w:sz w:val="24"/>
          <w:szCs w:val="24"/>
        </w:rPr>
        <w:t xml:space="preserve">fishing </w:t>
      </w:r>
      <w:r w:rsidR="002A53E0" w:rsidRPr="003530A9">
        <w:rPr>
          <w:sz w:val="24"/>
          <w:szCs w:val="24"/>
        </w:rPr>
        <w:t xml:space="preserve">mode (shore or boat).  The instrument will also have questions that can be used to classify the adults into one of 3 categories of anglers: </w:t>
      </w:r>
      <w:r w:rsidR="002A53E0" w:rsidRPr="003530A9">
        <w:rPr>
          <w:i/>
          <w:sz w:val="24"/>
          <w:szCs w:val="24"/>
        </w:rPr>
        <w:t>current</w:t>
      </w:r>
      <w:r w:rsidR="002A53E0" w:rsidRPr="003530A9">
        <w:rPr>
          <w:sz w:val="24"/>
          <w:szCs w:val="24"/>
        </w:rPr>
        <w:t xml:space="preserve"> – have participated in the last 4 months; </w:t>
      </w:r>
      <w:r w:rsidR="002A53E0" w:rsidRPr="003530A9">
        <w:rPr>
          <w:i/>
          <w:sz w:val="24"/>
          <w:szCs w:val="24"/>
        </w:rPr>
        <w:t>likely</w:t>
      </w:r>
      <w:r w:rsidR="002A53E0" w:rsidRPr="003530A9">
        <w:rPr>
          <w:sz w:val="24"/>
          <w:szCs w:val="24"/>
        </w:rPr>
        <w:t xml:space="preserve"> – have not participated in the last 4 months, but have in the last 12 months or are likely to do so in the next 12 months; and, </w:t>
      </w:r>
      <w:r w:rsidR="002A53E0" w:rsidRPr="003530A9">
        <w:rPr>
          <w:i/>
          <w:sz w:val="24"/>
          <w:szCs w:val="24"/>
        </w:rPr>
        <w:t>unlikely</w:t>
      </w:r>
      <w:r w:rsidR="002A53E0" w:rsidRPr="003530A9">
        <w:rPr>
          <w:sz w:val="24"/>
          <w:szCs w:val="24"/>
        </w:rPr>
        <w:t xml:space="preserve"> – have not participated and unlikely to participate in the next 12 months.  Following the initial survey, we plan to survey the current and likely participants two more times at 4 month intervals and include questions about trips they took since the previous interview. </w:t>
      </w:r>
      <w:r w:rsidR="00B07B7E" w:rsidRPr="003530A9">
        <w:rPr>
          <w:sz w:val="24"/>
          <w:szCs w:val="24"/>
        </w:rPr>
        <w:t xml:space="preserve"> We plan to </w:t>
      </w:r>
      <w:r w:rsidR="002A53E0" w:rsidRPr="003530A9">
        <w:rPr>
          <w:sz w:val="24"/>
          <w:szCs w:val="24"/>
        </w:rPr>
        <w:t>sub-sample</w:t>
      </w:r>
      <w:r w:rsidR="00642B04" w:rsidRPr="003530A9">
        <w:rPr>
          <w:sz w:val="24"/>
          <w:szCs w:val="24"/>
        </w:rPr>
        <w:t xml:space="preserve"> unlikely participants </w:t>
      </w:r>
      <w:r w:rsidR="0015150A" w:rsidRPr="003530A9">
        <w:rPr>
          <w:sz w:val="24"/>
          <w:szCs w:val="24"/>
        </w:rPr>
        <w:t xml:space="preserve">during </w:t>
      </w:r>
      <w:r w:rsidR="00642B04" w:rsidRPr="003530A9">
        <w:rPr>
          <w:sz w:val="24"/>
          <w:szCs w:val="24"/>
        </w:rPr>
        <w:t xml:space="preserve">the second </w:t>
      </w:r>
      <w:r w:rsidR="00711D88" w:rsidRPr="003530A9">
        <w:rPr>
          <w:sz w:val="24"/>
          <w:szCs w:val="24"/>
        </w:rPr>
        <w:t>wave</w:t>
      </w:r>
      <w:r w:rsidR="00642B04" w:rsidRPr="003530A9">
        <w:rPr>
          <w:sz w:val="24"/>
          <w:szCs w:val="24"/>
        </w:rPr>
        <w:t xml:space="preserve">, </w:t>
      </w:r>
      <w:r w:rsidR="0015150A" w:rsidRPr="003530A9">
        <w:rPr>
          <w:sz w:val="24"/>
          <w:szCs w:val="24"/>
        </w:rPr>
        <w:t xml:space="preserve">and re-interview </w:t>
      </w:r>
      <w:r w:rsidR="0021425B" w:rsidRPr="003530A9">
        <w:rPr>
          <w:sz w:val="24"/>
          <w:szCs w:val="24"/>
        </w:rPr>
        <w:t xml:space="preserve">all of </w:t>
      </w:r>
      <w:r w:rsidR="00642B04" w:rsidRPr="003530A9">
        <w:rPr>
          <w:sz w:val="24"/>
          <w:szCs w:val="24"/>
        </w:rPr>
        <w:t xml:space="preserve">the </w:t>
      </w:r>
      <w:r w:rsidR="00B07B7E" w:rsidRPr="003530A9">
        <w:rPr>
          <w:sz w:val="24"/>
          <w:szCs w:val="24"/>
        </w:rPr>
        <w:t xml:space="preserve">unlikely participants </w:t>
      </w:r>
      <w:r w:rsidR="0015150A" w:rsidRPr="003530A9">
        <w:rPr>
          <w:sz w:val="24"/>
          <w:szCs w:val="24"/>
        </w:rPr>
        <w:t xml:space="preserve">during </w:t>
      </w:r>
      <w:r w:rsidR="00B07B7E" w:rsidRPr="003530A9">
        <w:rPr>
          <w:sz w:val="24"/>
          <w:szCs w:val="24"/>
        </w:rPr>
        <w:t xml:space="preserve">the </w:t>
      </w:r>
      <w:r w:rsidR="0015150A" w:rsidRPr="003530A9">
        <w:rPr>
          <w:sz w:val="24"/>
          <w:szCs w:val="24"/>
        </w:rPr>
        <w:t xml:space="preserve">final </w:t>
      </w:r>
      <w:r w:rsidR="00711D88" w:rsidRPr="003530A9">
        <w:rPr>
          <w:sz w:val="24"/>
          <w:szCs w:val="24"/>
        </w:rPr>
        <w:t>wave</w:t>
      </w:r>
      <w:r w:rsidR="002A53E0" w:rsidRPr="003530A9">
        <w:rPr>
          <w:sz w:val="24"/>
          <w:szCs w:val="24"/>
        </w:rPr>
        <w:t xml:space="preserve">.  </w:t>
      </w:r>
      <w:r w:rsidR="00BF7BEA" w:rsidRPr="003530A9">
        <w:rPr>
          <w:sz w:val="24"/>
          <w:szCs w:val="24"/>
        </w:rPr>
        <w:t xml:space="preserve"> </w:t>
      </w:r>
    </w:p>
    <w:p w:rsidR="002A53E0" w:rsidRPr="003530A9" w:rsidRDefault="0015150A" w:rsidP="003530A9">
      <w:pPr>
        <w:rPr>
          <w:sz w:val="24"/>
          <w:szCs w:val="24"/>
        </w:rPr>
      </w:pPr>
      <w:r w:rsidRPr="003530A9">
        <w:rPr>
          <w:sz w:val="24"/>
          <w:szCs w:val="24"/>
        </w:rPr>
        <w:lastRenderedPageBreak/>
        <w:t>Residential addresses within North Carolina will be selected from the CDS</w:t>
      </w:r>
      <w:r w:rsidR="006E3758">
        <w:rPr>
          <w:sz w:val="24"/>
          <w:szCs w:val="24"/>
        </w:rPr>
        <w:t xml:space="preserve"> </w:t>
      </w:r>
      <w:r w:rsidR="006E3758" w:rsidRPr="003530A9">
        <w:rPr>
          <w:sz w:val="24"/>
          <w:szCs w:val="24"/>
        </w:rPr>
        <w:t>(address-based sample or ABS)</w:t>
      </w:r>
      <w:r w:rsidRPr="003530A9">
        <w:rPr>
          <w:sz w:val="24"/>
          <w:szCs w:val="24"/>
        </w:rPr>
        <w:t>, and the sample will be augmented by matching addresses to the North Carolina database of licensed saltwater anglers.</w:t>
      </w:r>
      <w:r w:rsidR="002A53E0" w:rsidRPr="003530A9">
        <w:rPr>
          <w:sz w:val="24"/>
          <w:szCs w:val="24"/>
        </w:rPr>
        <w:t xml:space="preserve">  </w:t>
      </w:r>
      <w:r w:rsidRPr="003530A9">
        <w:rPr>
          <w:sz w:val="24"/>
          <w:szCs w:val="24"/>
        </w:rPr>
        <w:t>This effectively stratifies</w:t>
      </w:r>
      <w:r w:rsidR="002A53E0" w:rsidRPr="003530A9">
        <w:rPr>
          <w:sz w:val="24"/>
          <w:szCs w:val="24"/>
        </w:rPr>
        <w:t xml:space="preserve"> ABS sample into strata </w:t>
      </w:r>
      <w:r w:rsidRPr="003530A9">
        <w:rPr>
          <w:sz w:val="24"/>
          <w:szCs w:val="24"/>
        </w:rPr>
        <w:t xml:space="preserve">(matched and unmatched) that </w:t>
      </w:r>
      <w:r w:rsidR="002A53E0" w:rsidRPr="003530A9">
        <w:rPr>
          <w:sz w:val="24"/>
          <w:szCs w:val="24"/>
        </w:rPr>
        <w:t xml:space="preserve">can be sampled at different rates.  For example, the matched stratum, which is expected to be more productive in terms of identifying anglers, can be sampled at a higher rate than the unmatched strata.  This type of stratification is expected to improve the efficiency of data collection and maintain the coverage of the ABS frame, two concerns identified by the NRC Review.  </w:t>
      </w:r>
    </w:p>
    <w:p w:rsidR="0015150A" w:rsidRPr="003530A9" w:rsidRDefault="0015150A" w:rsidP="003530A9">
      <w:pPr>
        <w:rPr>
          <w:sz w:val="24"/>
          <w:szCs w:val="24"/>
        </w:rPr>
      </w:pPr>
    </w:p>
    <w:p w:rsidR="002A53E0" w:rsidRPr="003530A9" w:rsidRDefault="0015150A" w:rsidP="003530A9">
      <w:pPr>
        <w:rPr>
          <w:sz w:val="24"/>
          <w:szCs w:val="24"/>
        </w:rPr>
      </w:pPr>
      <w:r w:rsidRPr="003530A9">
        <w:rPr>
          <w:sz w:val="24"/>
          <w:szCs w:val="24"/>
        </w:rPr>
        <w:t xml:space="preserve">Nonresident anglers will be sampled in a single phase from the North Carolina database of licensed saltwater anglers.  </w:t>
      </w:r>
      <w:r w:rsidR="002A53E0" w:rsidRPr="003530A9">
        <w:rPr>
          <w:sz w:val="24"/>
          <w:szCs w:val="24"/>
        </w:rPr>
        <w:t xml:space="preserve">An </w:t>
      </w:r>
      <w:r w:rsidR="00541F39">
        <w:rPr>
          <w:sz w:val="24"/>
          <w:szCs w:val="24"/>
        </w:rPr>
        <w:t>ABS</w:t>
      </w:r>
      <w:r w:rsidR="002A53E0" w:rsidRPr="003530A9">
        <w:rPr>
          <w:sz w:val="24"/>
          <w:szCs w:val="24"/>
        </w:rPr>
        <w:t xml:space="preserve"> approach would be especially inefficient for sampling nonresident anglers due to the low proportion of nonresident anglers among the general population.  </w:t>
      </w:r>
    </w:p>
    <w:p w:rsidR="00F76690" w:rsidRPr="003530A9" w:rsidRDefault="00F76690" w:rsidP="003530A9">
      <w:pPr>
        <w:rPr>
          <w:sz w:val="24"/>
          <w:szCs w:val="24"/>
        </w:rPr>
      </w:pPr>
    </w:p>
    <w:p w:rsidR="001E2168" w:rsidRPr="003530A9" w:rsidRDefault="001E2168" w:rsidP="003530A9">
      <w:pPr>
        <w:rPr>
          <w:sz w:val="24"/>
          <w:szCs w:val="24"/>
        </w:rPr>
      </w:pPr>
      <w:r w:rsidRPr="003530A9">
        <w:rPr>
          <w:sz w:val="24"/>
          <w:szCs w:val="24"/>
        </w:rPr>
        <w:t>This information collection will fulfill statutory requirements of Section 401 of the Magnuson-Stevens Fishery Conservation and Management Reauthorization Act. Section 401 (g) requires that the Secretary of Commerce, “establish a program to improve the quality and accuracy of information generated by the Marine Recreational Fishery Statistics Survey”. MSA further specifies that future surveys should, “target anglers registered or licensed at the State or Federal level to collect participation and effort data”, and that the program, “to the maximum extent feasible implement the recommendations of the National Research Council [(NRC)]”.</w:t>
      </w:r>
    </w:p>
    <w:p w:rsidR="007F3467" w:rsidRPr="003530A9" w:rsidRDefault="007F3467" w:rsidP="003530A9">
      <w:pPr>
        <w:rPr>
          <w:sz w:val="24"/>
          <w:szCs w:val="24"/>
        </w:rPr>
      </w:pPr>
    </w:p>
    <w:p w:rsidR="004F26E9" w:rsidRPr="003530A9" w:rsidRDefault="004F26E9" w:rsidP="003530A9">
      <w:pPr>
        <w:rPr>
          <w:b/>
          <w:bCs/>
          <w:sz w:val="24"/>
          <w:szCs w:val="24"/>
        </w:rPr>
      </w:pPr>
      <w:r w:rsidRPr="003530A9">
        <w:rPr>
          <w:b/>
          <w:bCs/>
          <w:sz w:val="24"/>
          <w:szCs w:val="24"/>
        </w:rPr>
        <w:t xml:space="preserve">2.  </w:t>
      </w:r>
      <w:r w:rsidRPr="003530A9">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3530A9">
        <w:rPr>
          <w:b/>
          <w:bCs/>
          <w:sz w:val="24"/>
          <w:szCs w:val="24"/>
        </w:rPr>
        <w:t xml:space="preserve">. </w:t>
      </w:r>
    </w:p>
    <w:p w:rsidR="006034F7" w:rsidRPr="003530A9" w:rsidRDefault="006034F7" w:rsidP="003530A9">
      <w:pPr>
        <w:rPr>
          <w:b/>
          <w:bCs/>
          <w:sz w:val="24"/>
          <w:szCs w:val="24"/>
        </w:rPr>
      </w:pPr>
    </w:p>
    <w:p w:rsidR="006034F7" w:rsidRPr="003530A9" w:rsidRDefault="006034F7" w:rsidP="003530A9">
      <w:pPr>
        <w:pStyle w:val="CM23"/>
        <w:spacing w:after="0"/>
        <w:ind w:right="533"/>
      </w:pPr>
      <w:r w:rsidRPr="003530A9">
        <w:t xml:space="preserve">Marine recreational participation estimates are used on an ongoing basis by NMFS, regional fishery management councils, interstate marine fisheries commissions and state natural resource agencies in developing, implementing and monitoring fishery management programs, per statutory requirements of the </w:t>
      </w:r>
      <w:r w:rsidR="00A06C2B">
        <w:t>MSA</w:t>
      </w:r>
      <w:r w:rsidRPr="003530A9">
        <w:t>.  Participation statistics are fundamental for assessing the influence of</w:t>
      </w:r>
      <w:r w:rsidR="000E27FF" w:rsidRPr="003530A9">
        <w:t xml:space="preserve"> human dimension </w:t>
      </w:r>
      <w:r w:rsidRPr="003530A9">
        <w:t>on any fish stock</w:t>
      </w:r>
      <w:r w:rsidR="00610D0C" w:rsidRPr="003530A9">
        <w:t xml:space="preserve"> and</w:t>
      </w:r>
      <w:r w:rsidRPr="003530A9">
        <w:t xml:space="preserve"> </w:t>
      </w:r>
      <w:r w:rsidR="00610D0C" w:rsidRPr="003530A9">
        <w:t>assessing the economic impact of recreational fisheries.</w:t>
      </w:r>
      <w:r w:rsidR="00D91378" w:rsidRPr="003530A9">
        <w:t xml:space="preserve"> </w:t>
      </w:r>
    </w:p>
    <w:p w:rsidR="006034F7" w:rsidRPr="003530A9" w:rsidRDefault="006034F7" w:rsidP="003530A9">
      <w:pPr>
        <w:rPr>
          <w:sz w:val="24"/>
          <w:szCs w:val="24"/>
        </w:rPr>
      </w:pPr>
    </w:p>
    <w:p w:rsidR="000E27FF" w:rsidRPr="003530A9" w:rsidRDefault="000E27FF" w:rsidP="003530A9">
      <w:pPr>
        <w:pStyle w:val="Default"/>
      </w:pPr>
      <w:r w:rsidRPr="003530A9">
        <w:t>Information collected through the MLSR will be used to assess the effectiveness of the MFES for collecting recreational fishing participation data and subsequently the properties of recreational fishing participation estimates</w:t>
      </w:r>
      <w:r w:rsidR="00D91378" w:rsidRPr="003530A9">
        <w:t xml:space="preserve"> obtained from the MFES</w:t>
      </w:r>
      <w:r w:rsidRPr="003530A9">
        <w:t xml:space="preserve">.  </w:t>
      </w:r>
    </w:p>
    <w:p w:rsidR="0033050E" w:rsidRPr="003530A9" w:rsidRDefault="0033050E" w:rsidP="003530A9">
      <w:pPr>
        <w:pStyle w:val="Default"/>
      </w:pPr>
    </w:p>
    <w:p w:rsidR="006E2214" w:rsidRPr="003530A9" w:rsidRDefault="0033050E" w:rsidP="003530A9">
      <w:pPr>
        <w:pStyle w:val="Default"/>
      </w:pPr>
      <w:r w:rsidRPr="003530A9">
        <w:t>The questionnaire</w:t>
      </w:r>
      <w:r w:rsidR="00067D8D" w:rsidRPr="003530A9">
        <w:t>s</w:t>
      </w:r>
      <w:r w:rsidRPr="003530A9">
        <w:t xml:space="preserve"> for the </w:t>
      </w:r>
      <w:r w:rsidR="00DE461D" w:rsidRPr="003530A9">
        <w:t>r</w:t>
      </w:r>
      <w:r w:rsidR="00044F94" w:rsidRPr="003530A9">
        <w:t xml:space="preserve">esident and </w:t>
      </w:r>
      <w:r w:rsidR="00DE461D" w:rsidRPr="003530A9">
        <w:t>n</w:t>
      </w:r>
      <w:r w:rsidR="00044F94" w:rsidRPr="003530A9">
        <w:t>on-</w:t>
      </w:r>
      <w:r w:rsidR="00DE461D" w:rsidRPr="003530A9">
        <w:t>r</w:t>
      </w:r>
      <w:r w:rsidR="00044F94" w:rsidRPr="003530A9">
        <w:t xml:space="preserve">esident </w:t>
      </w:r>
      <w:r w:rsidR="00946EBE" w:rsidRPr="003530A9">
        <w:t>sample</w:t>
      </w:r>
      <w:r w:rsidR="00067D8D" w:rsidRPr="003530A9">
        <w:t>s</w:t>
      </w:r>
      <w:r w:rsidR="00DE461D" w:rsidRPr="003530A9">
        <w:t xml:space="preserve"> will </w:t>
      </w:r>
      <w:r w:rsidRPr="003530A9">
        <w:t>be the same</w:t>
      </w:r>
      <w:r w:rsidR="00DE461D" w:rsidRPr="003530A9">
        <w:t xml:space="preserve">.  The questionnaire </w:t>
      </w:r>
      <w:r w:rsidR="00226807" w:rsidRPr="003530A9">
        <w:t xml:space="preserve">for each wave </w:t>
      </w:r>
      <w:r w:rsidR="009A4E04" w:rsidRPr="003530A9">
        <w:t xml:space="preserve">will be slightly different.  </w:t>
      </w:r>
      <w:r w:rsidR="00B16BDF" w:rsidRPr="003530A9">
        <w:t>The initial wave (w</w:t>
      </w:r>
      <w:r w:rsidR="009A4E04" w:rsidRPr="003530A9">
        <w:t>ave A</w:t>
      </w:r>
      <w:r w:rsidR="00B16BDF" w:rsidRPr="003530A9">
        <w:t>)</w:t>
      </w:r>
      <w:r w:rsidR="009A4E04" w:rsidRPr="003530A9">
        <w:t xml:space="preserve"> questionnaire will include questions that </w:t>
      </w:r>
      <w:r w:rsidR="00B16BDF" w:rsidRPr="003530A9">
        <w:t xml:space="preserve">identify individual members within the household (name, age and </w:t>
      </w:r>
      <w:r w:rsidR="00D60894" w:rsidRPr="003530A9">
        <w:t xml:space="preserve">gender).  </w:t>
      </w:r>
      <w:r w:rsidR="00226807" w:rsidRPr="003530A9">
        <w:t>This</w:t>
      </w:r>
      <w:r w:rsidR="00D60894" w:rsidRPr="003530A9">
        <w:t xml:space="preserve"> information will be pre-filled in the wave B and C questionnaire</w:t>
      </w:r>
      <w:r w:rsidR="00067D8D" w:rsidRPr="003530A9">
        <w:t>s</w:t>
      </w:r>
      <w:r w:rsidR="00D60894" w:rsidRPr="003530A9">
        <w:t xml:space="preserve"> </w:t>
      </w:r>
      <w:r w:rsidR="00226807" w:rsidRPr="003530A9">
        <w:t>to en</w:t>
      </w:r>
      <w:r w:rsidR="00D60894" w:rsidRPr="003530A9">
        <w:t>sure that the same household members will be responding across the waves</w:t>
      </w:r>
      <w:r w:rsidR="00226807" w:rsidRPr="003530A9">
        <w:t xml:space="preserve"> and will be identified correctly</w:t>
      </w:r>
      <w:r w:rsidR="00D60894" w:rsidRPr="003530A9">
        <w:t xml:space="preserve">.  </w:t>
      </w:r>
      <w:r w:rsidR="006E2214" w:rsidRPr="003530A9">
        <w:t xml:space="preserve">The wave C questionnaire will collect additional demographic information (race and ethnicity).  </w:t>
      </w:r>
      <w:r w:rsidR="00EA14D3" w:rsidRPr="003530A9">
        <w:t>These questions are included in</w:t>
      </w:r>
      <w:r w:rsidR="00AD4C8D" w:rsidRPr="003530A9">
        <w:t xml:space="preserve"> the</w:t>
      </w:r>
      <w:r w:rsidR="006E2214" w:rsidRPr="003530A9">
        <w:t xml:space="preserve"> wave C questionnaire </w:t>
      </w:r>
      <w:r w:rsidR="00AD4C8D" w:rsidRPr="003530A9">
        <w:t>because</w:t>
      </w:r>
      <w:r w:rsidR="00A73EE8" w:rsidRPr="003530A9">
        <w:t xml:space="preserve"> </w:t>
      </w:r>
      <w:r w:rsidR="006E2214" w:rsidRPr="003530A9">
        <w:t xml:space="preserve">only </w:t>
      </w:r>
      <w:r w:rsidR="00A73EE8" w:rsidRPr="003530A9">
        <w:t>individuals</w:t>
      </w:r>
      <w:r w:rsidR="006E2214" w:rsidRPr="003530A9">
        <w:t xml:space="preserve"> that </w:t>
      </w:r>
      <w:r w:rsidR="00EA14D3" w:rsidRPr="003530A9">
        <w:t>participate in all waves of the survey will be included</w:t>
      </w:r>
      <w:r w:rsidR="006E2214" w:rsidRPr="003530A9">
        <w:t xml:space="preserve"> in the analysis.</w:t>
      </w:r>
      <w:r w:rsidR="00EA14D3" w:rsidRPr="003530A9">
        <w:t xml:space="preserve">  Limiting these questions to the final wave will minimize burden by limiting the number of individuals that receive the full suite of questions.</w:t>
      </w:r>
      <w:r w:rsidR="006E2214" w:rsidRPr="003530A9">
        <w:t xml:space="preserve">  </w:t>
      </w:r>
    </w:p>
    <w:p w:rsidR="00B219AA" w:rsidRPr="003530A9" w:rsidRDefault="00B219AA" w:rsidP="003530A9">
      <w:pPr>
        <w:pStyle w:val="Default"/>
      </w:pPr>
      <w:r w:rsidRPr="003530A9">
        <w:lastRenderedPageBreak/>
        <w:t>Specific data elements that will be collected in the questionnaire include:</w:t>
      </w:r>
    </w:p>
    <w:p w:rsidR="00B219AA" w:rsidRPr="003530A9" w:rsidRDefault="00B219AA" w:rsidP="003530A9">
      <w:pPr>
        <w:pStyle w:val="Default"/>
        <w:numPr>
          <w:ilvl w:val="0"/>
          <w:numId w:val="2"/>
        </w:numPr>
      </w:pPr>
      <w:r w:rsidRPr="003530A9">
        <w:t xml:space="preserve">Questions about weather and visitation to coastal areas are included to engage non-anglers and potentially reduce nonresponse bias, </w:t>
      </w:r>
    </w:p>
    <w:p w:rsidR="00B219AA" w:rsidRPr="003530A9" w:rsidRDefault="00B219AA" w:rsidP="003530A9">
      <w:pPr>
        <w:pStyle w:val="Default"/>
        <w:numPr>
          <w:ilvl w:val="0"/>
          <w:numId w:val="2"/>
        </w:numPr>
      </w:pPr>
      <w:r w:rsidRPr="003530A9">
        <w:t xml:space="preserve">A question about the likelihood of participating </w:t>
      </w:r>
      <w:r w:rsidR="00946EBE" w:rsidRPr="003530A9">
        <w:t xml:space="preserve">in </w:t>
      </w:r>
      <w:r w:rsidRPr="003530A9">
        <w:t xml:space="preserve">recreational saltwater fishing during the next 12 months </w:t>
      </w:r>
      <w:r w:rsidR="00A06C2B">
        <w:t>is</w:t>
      </w:r>
      <w:r w:rsidR="00A06C2B" w:rsidRPr="003530A9">
        <w:t xml:space="preserve"> </w:t>
      </w:r>
      <w:r w:rsidR="00226807" w:rsidRPr="003530A9">
        <w:t xml:space="preserve">included for classification of </w:t>
      </w:r>
      <w:r w:rsidR="00D60894" w:rsidRPr="003530A9">
        <w:t>angler</w:t>
      </w:r>
      <w:r w:rsidRPr="003530A9">
        <w:t xml:space="preserve"> status, </w:t>
      </w:r>
    </w:p>
    <w:p w:rsidR="00B219AA" w:rsidRPr="003530A9" w:rsidRDefault="00B219AA" w:rsidP="003530A9">
      <w:pPr>
        <w:pStyle w:val="Default"/>
        <w:numPr>
          <w:ilvl w:val="0"/>
          <w:numId w:val="2"/>
        </w:numPr>
      </w:pPr>
      <w:r w:rsidRPr="003530A9">
        <w:t xml:space="preserve">Type of household telephone service is used to assess gains in coverage over </w:t>
      </w:r>
      <w:r w:rsidR="00946EBE" w:rsidRPr="003530A9">
        <w:t>ongoing telephone surveys of recreational fishing activity,</w:t>
      </w:r>
    </w:p>
    <w:p w:rsidR="00B219AA" w:rsidRPr="003530A9" w:rsidRDefault="00B219AA" w:rsidP="003530A9">
      <w:pPr>
        <w:pStyle w:val="Default"/>
        <w:numPr>
          <w:ilvl w:val="0"/>
          <w:numId w:val="2"/>
        </w:numPr>
      </w:pPr>
      <w:r w:rsidRPr="003530A9">
        <w:t>The type of household unit (rented or owned) is used for nonresponse weighting adjustment and/or post-stratification,</w:t>
      </w:r>
    </w:p>
    <w:p w:rsidR="00B219AA" w:rsidRPr="003530A9" w:rsidRDefault="00B219AA" w:rsidP="003530A9">
      <w:pPr>
        <w:pStyle w:val="Default"/>
        <w:numPr>
          <w:ilvl w:val="0"/>
          <w:numId w:val="2"/>
        </w:numPr>
      </w:pPr>
      <w:r w:rsidRPr="003530A9">
        <w:t>Total number of household residents</w:t>
      </w:r>
      <w:r w:rsidR="00D60894" w:rsidRPr="003530A9">
        <w:t xml:space="preserve"> is used to assess the proportion of household members responded</w:t>
      </w:r>
      <w:r w:rsidRPr="003530A9">
        <w:t>,</w:t>
      </w:r>
    </w:p>
    <w:p w:rsidR="00D73CAE" w:rsidRPr="003530A9" w:rsidRDefault="00B219AA" w:rsidP="003530A9">
      <w:pPr>
        <w:pStyle w:val="Default"/>
        <w:numPr>
          <w:ilvl w:val="0"/>
          <w:numId w:val="2"/>
        </w:numPr>
      </w:pPr>
      <w:r w:rsidRPr="003530A9">
        <w:t xml:space="preserve">Name of household members are used </w:t>
      </w:r>
      <w:r w:rsidR="00226807" w:rsidRPr="003530A9">
        <w:t>to ensure that the same household members will be responding across the waves and will be identified correctly</w:t>
      </w:r>
      <w:r w:rsidR="00D73CAE" w:rsidRPr="003530A9">
        <w:t>,</w:t>
      </w:r>
    </w:p>
    <w:p w:rsidR="00DE461D" w:rsidRPr="003530A9" w:rsidRDefault="00B219AA" w:rsidP="003530A9">
      <w:pPr>
        <w:pStyle w:val="Default"/>
        <w:numPr>
          <w:ilvl w:val="0"/>
          <w:numId w:val="2"/>
        </w:numPr>
      </w:pPr>
      <w:r w:rsidRPr="003530A9">
        <w:t>Demographic information of househ</w:t>
      </w:r>
      <w:r w:rsidR="00DE461D" w:rsidRPr="003530A9">
        <w:t>old residents, including gender</w:t>
      </w:r>
      <w:r w:rsidR="00D60894" w:rsidRPr="003530A9">
        <w:t xml:space="preserve">, </w:t>
      </w:r>
      <w:r w:rsidRPr="003530A9">
        <w:t xml:space="preserve">age </w:t>
      </w:r>
      <w:r w:rsidR="00D60894" w:rsidRPr="003530A9">
        <w:t>(wave A only)</w:t>
      </w:r>
      <w:r w:rsidR="00946EBE" w:rsidRPr="003530A9">
        <w:t>, race</w:t>
      </w:r>
      <w:r w:rsidR="00D60894" w:rsidRPr="003530A9">
        <w:t xml:space="preserve"> and ethnicity (wave C only) are</w:t>
      </w:r>
      <w:r w:rsidR="00DE461D" w:rsidRPr="003530A9">
        <w:t xml:space="preserve"> used </w:t>
      </w:r>
      <w:r w:rsidR="00226807" w:rsidRPr="003530A9">
        <w:t>to ensure that the same household members will be responding across the waves and will be identified correctly</w:t>
      </w:r>
      <w:r w:rsidR="00D73CAE" w:rsidRPr="003530A9">
        <w:t xml:space="preserve"> </w:t>
      </w:r>
      <w:r w:rsidR="00DE461D" w:rsidRPr="003530A9">
        <w:t>and also used for nonresponse weighting adjustment and/or post-stratification of estimates</w:t>
      </w:r>
      <w:r w:rsidR="00226807" w:rsidRPr="003530A9">
        <w:t>,</w:t>
      </w:r>
      <w:r w:rsidR="00DE461D" w:rsidRPr="003530A9">
        <w:t xml:space="preserve"> </w:t>
      </w:r>
    </w:p>
    <w:p w:rsidR="00C57B9A" w:rsidRPr="003530A9" w:rsidRDefault="00334DF5" w:rsidP="003530A9">
      <w:pPr>
        <w:pStyle w:val="Default"/>
        <w:numPr>
          <w:ilvl w:val="0"/>
          <w:numId w:val="2"/>
        </w:numPr>
      </w:pPr>
      <w:r w:rsidRPr="003530A9">
        <w:t>In waves B and C, a</w:t>
      </w:r>
      <w:r w:rsidR="006E2214" w:rsidRPr="003530A9">
        <w:t xml:space="preserve"> q</w:t>
      </w:r>
      <w:r w:rsidR="00C57B9A" w:rsidRPr="003530A9">
        <w:t>uestion</w:t>
      </w:r>
      <w:r w:rsidR="00283041" w:rsidRPr="003530A9">
        <w:t xml:space="preserve"> that identifies</w:t>
      </w:r>
      <w:r w:rsidR="00C57B9A" w:rsidRPr="003530A9">
        <w:t xml:space="preserve"> household members who responded in wave A, but no longer reside in the household will be asked </w:t>
      </w:r>
      <w:r w:rsidRPr="003530A9">
        <w:t>to monitor migration from the sample</w:t>
      </w:r>
      <w:r w:rsidR="00C57B9A" w:rsidRPr="003530A9">
        <w:t>,</w:t>
      </w:r>
    </w:p>
    <w:p w:rsidR="00C57B9A" w:rsidRPr="00CE43EE" w:rsidRDefault="00C57B9A" w:rsidP="003530A9">
      <w:pPr>
        <w:pStyle w:val="Default"/>
        <w:numPr>
          <w:ilvl w:val="0"/>
          <w:numId w:val="2"/>
        </w:numPr>
      </w:pPr>
      <w:r w:rsidRPr="00CE43EE">
        <w:t>The number of recreational fishing trips</w:t>
      </w:r>
      <w:r w:rsidR="0019563C" w:rsidRPr="00CE43EE">
        <w:t xml:space="preserve"> taken on privately owned boats</w:t>
      </w:r>
      <w:r w:rsidRPr="00CE43EE">
        <w:t xml:space="preserve"> and number of shore fishing trips taken during the past 12 months (asked in 4-month reference periods to assist recall) will be used to estimate participation and avidity.</w:t>
      </w:r>
    </w:p>
    <w:p w:rsidR="0096765F" w:rsidRPr="003530A9" w:rsidRDefault="0096765F" w:rsidP="003530A9">
      <w:pPr>
        <w:pStyle w:val="CM22"/>
        <w:spacing w:after="0"/>
      </w:pPr>
    </w:p>
    <w:p w:rsidR="000C2029" w:rsidRPr="003530A9" w:rsidRDefault="00A06C2B" w:rsidP="003530A9">
      <w:pPr>
        <w:pStyle w:val="CM22"/>
        <w:spacing w:after="0"/>
      </w:pPr>
      <w:r>
        <w:t xml:space="preserve">NMFS </w:t>
      </w:r>
      <w:r w:rsidR="000C2029" w:rsidRPr="003530A9">
        <w:t xml:space="preserve">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survey results will be used in scientific, technical and general information publications.  Should </w:t>
      </w:r>
      <w:r>
        <w:t>NMFS</w:t>
      </w:r>
      <w:r w:rsidR="000C2029" w:rsidRPr="003530A9">
        <w:t xml:space="preserve"> decide to disseminate the information, it will be subject to the quality control measures and pre-dissemination review pursuant to </w:t>
      </w:r>
      <w:hyperlink r:id="rId11" w:history="1">
        <w:r w:rsidR="000C2029" w:rsidRPr="003530A9">
          <w:rPr>
            <w:rStyle w:val="Hyperlink"/>
          </w:rPr>
          <w:t>Section 515 of Public Law 106-554</w:t>
        </w:r>
      </w:hyperlink>
      <w:r w:rsidR="000C2029" w:rsidRPr="003530A9">
        <w:t xml:space="preserve">.  </w:t>
      </w:r>
    </w:p>
    <w:p w:rsidR="000C2029" w:rsidRPr="003530A9" w:rsidRDefault="000C2029" w:rsidP="003530A9">
      <w:pPr>
        <w:pStyle w:val="Default"/>
      </w:pPr>
    </w:p>
    <w:p w:rsidR="004F26E9" w:rsidRPr="003530A9" w:rsidRDefault="004F26E9" w:rsidP="003530A9">
      <w:pPr>
        <w:rPr>
          <w:sz w:val="24"/>
          <w:szCs w:val="24"/>
        </w:rPr>
      </w:pPr>
      <w:r w:rsidRPr="003530A9">
        <w:rPr>
          <w:b/>
          <w:bCs/>
          <w:sz w:val="24"/>
          <w:szCs w:val="24"/>
        </w:rPr>
        <w:t xml:space="preserve">3.  </w:t>
      </w:r>
      <w:r w:rsidRPr="003530A9">
        <w:rPr>
          <w:b/>
          <w:bCs/>
          <w:sz w:val="24"/>
          <w:szCs w:val="24"/>
          <w:u w:val="single"/>
        </w:rPr>
        <w:t>Describe whether, and to what extent, the collection of information involves the use of automated, electronic, mechanical, or other technological techniques or other forms of information technology</w:t>
      </w:r>
      <w:r w:rsidRPr="003530A9">
        <w:rPr>
          <w:b/>
          <w:bCs/>
          <w:sz w:val="24"/>
          <w:szCs w:val="24"/>
        </w:rPr>
        <w:t>.</w:t>
      </w:r>
    </w:p>
    <w:p w:rsidR="004F26E9" w:rsidRPr="003530A9" w:rsidRDefault="004F26E9" w:rsidP="003530A9">
      <w:pPr>
        <w:rPr>
          <w:sz w:val="24"/>
          <w:szCs w:val="24"/>
        </w:rPr>
      </w:pPr>
    </w:p>
    <w:p w:rsidR="004F26E9" w:rsidRPr="003530A9" w:rsidRDefault="001E2168" w:rsidP="003530A9">
      <w:pPr>
        <w:pStyle w:val="CM23"/>
        <w:ind w:right="130"/>
      </w:pPr>
      <w:r w:rsidRPr="003530A9">
        <w:t>The su</w:t>
      </w:r>
      <w:r w:rsidR="00BE0787">
        <w:t>rveys will be conducted by mail</w:t>
      </w:r>
      <w:r w:rsidRPr="003530A9">
        <w:t>.  Survey responses for mail surveys will be automatically captured through optical character recognition (OCR), which will greatly increase the accuracy and efficiency of data collection.</w:t>
      </w:r>
    </w:p>
    <w:p w:rsidR="004F26E9" w:rsidRPr="003530A9" w:rsidRDefault="004F26E9" w:rsidP="003530A9">
      <w:pPr>
        <w:rPr>
          <w:sz w:val="24"/>
          <w:szCs w:val="24"/>
        </w:rPr>
      </w:pPr>
      <w:r w:rsidRPr="003530A9">
        <w:rPr>
          <w:b/>
          <w:bCs/>
          <w:sz w:val="24"/>
          <w:szCs w:val="24"/>
        </w:rPr>
        <w:t xml:space="preserve">4.  </w:t>
      </w:r>
      <w:r w:rsidRPr="003530A9">
        <w:rPr>
          <w:b/>
          <w:bCs/>
          <w:sz w:val="24"/>
          <w:szCs w:val="24"/>
          <w:u w:val="single"/>
        </w:rPr>
        <w:t>Describe efforts to identify duplication</w:t>
      </w:r>
      <w:r w:rsidRPr="003530A9">
        <w:rPr>
          <w:b/>
          <w:bCs/>
          <w:sz w:val="24"/>
          <w:szCs w:val="24"/>
        </w:rPr>
        <w:t>.</w:t>
      </w:r>
    </w:p>
    <w:p w:rsidR="00B45558" w:rsidRPr="003530A9" w:rsidRDefault="00B45558" w:rsidP="003530A9">
      <w:pPr>
        <w:pStyle w:val="Default"/>
      </w:pPr>
    </w:p>
    <w:p w:rsidR="003274F6" w:rsidRPr="003530A9" w:rsidRDefault="00B45558" w:rsidP="003530A9">
      <w:pPr>
        <w:rPr>
          <w:sz w:val="24"/>
          <w:szCs w:val="24"/>
        </w:rPr>
      </w:pPr>
      <w:r w:rsidRPr="003530A9">
        <w:rPr>
          <w:sz w:val="24"/>
          <w:szCs w:val="24"/>
        </w:rPr>
        <w:t xml:space="preserve">NMFS collaborates with state natural resource agencies and regional interstate fisheries commissions on the Atlantic and Gulf coasts to ensure that recreational fisheries data collections are not duplicative.  </w:t>
      </w:r>
      <w:r w:rsidR="003274F6" w:rsidRPr="003530A9">
        <w:rPr>
          <w:sz w:val="24"/>
          <w:szCs w:val="24"/>
        </w:rPr>
        <w:t xml:space="preserve">The MFES (OMB Control No. 0648-0652), which is </w:t>
      </w:r>
      <w:r w:rsidR="00334DF5" w:rsidRPr="003530A9">
        <w:rPr>
          <w:sz w:val="24"/>
          <w:szCs w:val="24"/>
        </w:rPr>
        <w:t xml:space="preserve">currently </w:t>
      </w:r>
      <w:r w:rsidR="003274F6" w:rsidRPr="003530A9">
        <w:rPr>
          <w:sz w:val="24"/>
          <w:szCs w:val="24"/>
        </w:rPr>
        <w:t xml:space="preserve">being tested, collects information that can be used to estimate annual participation.  To assess the magnitude </w:t>
      </w:r>
      <w:r w:rsidR="003274F6" w:rsidRPr="003530A9">
        <w:rPr>
          <w:sz w:val="24"/>
          <w:szCs w:val="24"/>
        </w:rPr>
        <w:lastRenderedPageBreak/>
        <w:t xml:space="preserve">of error in the participation estimates obtained from the MFES and possibly to adjust for that bias, it is ideal to conduct the MLSR concurrently with the MFES.  </w:t>
      </w:r>
      <w:r w:rsidR="00BA3609" w:rsidRPr="003530A9">
        <w:rPr>
          <w:sz w:val="24"/>
          <w:szCs w:val="24"/>
        </w:rPr>
        <w:t xml:space="preserve">Every five years, </w:t>
      </w:r>
      <w:r w:rsidR="00294C43" w:rsidRPr="003530A9">
        <w:rPr>
          <w:sz w:val="24"/>
          <w:szCs w:val="24"/>
        </w:rPr>
        <w:t xml:space="preserve">the Fish and Wildlife Service of the U.S. Department of the Interior </w:t>
      </w:r>
      <w:r w:rsidR="00F76690" w:rsidRPr="003530A9">
        <w:rPr>
          <w:sz w:val="24"/>
          <w:szCs w:val="24"/>
        </w:rPr>
        <w:t>conduct</w:t>
      </w:r>
      <w:r w:rsidR="00294C43" w:rsidRPr="003530A9">
        <w:rPr>
          <w:sz w:val="24"/>
          <w:szCs w:val="24"/>
        </w:rPr>
        <w:t>s</w:t>
      </w:r>
      <w:r w:rsidR="00F76690" w:rsidRPr="003530A9">
        <w:rPr>
          <w:sz w:val="24"/>
          <w:szCs w:val="24"/>
        </w:rPr>
        <w:t xml:space="preserve"> </w:t>
      </w:r>
      <w:r w:rsidR="00294C43" w:rsidRPr="003530A9">
        <w:rPr>
          <w:sz w:val="24"/>
          <w:szCs w:val="24"/>
        </w:rPr>
        <w:t xml:space="preserve">the National Survey of Fishing, Hunting, and Wildlife-Associated Recreation </w:t>
      </w:r>
      <w:r w:rsidR="00F76690" w:rsidRPr="003530A9">
        <w:rPr>
          <w:sz w:val="24"/>
          <w:szCs w:val="24"/>
        </w:rPr>
        <w:t>(</w:t>
      </w:r>
      <w:r w:rsidR="00294C43" w:rsidRPr="003530A9">
        <w:rPr>
          <w:sz w:val="24"/>
          <w:szCs w:val="24"/>
        </w:rPr>
        <w:t xml:space="preserve">FHWAR, </w:t>
      </w:r>
      <w:r w:rsidR="00BA3609" w:rsidRPr="003530A9">
        <w:rPr>
          <w:sz w:val="24"/>
          <w:szCs w:val="24"/>
        </w:rPr>
        <w:t xml:space="preserve">OMB Control No. 1018-0088).  This survey </w:t>
      </w:r>
      <w:r w:rsidR="001F5304" w:rsidRPr="003530A9">
        <w:rPr>
          <w:sz w:val="24"/>
          <w:szCs w:val="24"/>
        </w:rPr>
        <w:t xml:space="preserve">interviews respondents up to three times over a year </w:t>
      </w:r>
      <w:r w:rsidR="00E8123B" w:rsidRPr="003530A9">
        <w:rPr>
          <w:sz w:val="24"/>
          <w:szCs w:val="24"/>
        </w:rPr>
        <w:t xml:space="preserve">and collects information about annual recreational saltwater fishing activity including participation within the context of additional recreation activities.  </w:t>
      </w:r>
      <w:r w:rsidR="003748FE" w:rsidRPr="003530A9">
        <w:rPr>
          <w:sz w:val="24"/>
          <w:szCs w:val="24"/>
        </w:rPr>
        <w:t>T</w:t>
      </w:r>
      <w:r w:rsidR="00527EBB" w:rsidRPr="003530A9">
        <w:rPr>
          <w:sz w:val="24"/>
          <w:szCs w:val="24"/>
        </w:rPr>
        <w:t xml:space="preserve">he next </w:t>
      </w:r>
      <w:r w:rsidR="003748FE" w:rsidRPr="003530A9">
        <w:rPr>
          <w:sz w:val="24"/>
          <w:szCs w:val="24"/>
        </w:rPr>
        <w:t>FHWAR</w:t>
      </w:r>
      <w:r w:rsidR="00527EBB" w:rsidRPr="003530A9">
        <w:rPr>
          <w:sz w:val="24"/>
          <w:szCs w:val="24"/>
        </w:rPr>
        <w:t xml:space="preserve"> will not be conducted </w:t>
      </w:r>
      <w:r w:rsidR="00C16C8C" w:rsidRPr="003530A9">
        <w:rPr>
          <w:sz w:val="24"/>
          <w:szCs w:val="24"/>
        </w:rPr>
        <w:t>until</w:t>
      </w:r>
      <w:r w:rsidR="00527EBB" w:rsidRPr="003530A9">
        <w:rPr>
          <w:sz w:val="24"/>
          <w:szCs w:val="24"/>
        </w:rPr>
        <w:t xml:space="preserve"> 2016 and </w:t>
      </w:r>
      <w:r w:rsidR="00642B04" w:rsidRPr="003530A9">
        <w:rPr>
          <w:sz w:val="24"/>
          <w:szCs w:val="24"/>
        </w:rPr>
        <w:t xml:space="preserve">the </w:t>
      </w:r>
      <w:r w:rsidR="00527EBB" w:rsidRPr="003530A9">
        <w:rPr>
          <w:sz w:val="24"/>
          <w:szCs w:val="24"/>
        </w:rPr>
        <w:t xml:space="preserve">MLSR </w:t>
      </w:r>
      <w:r w:rsidR="00642B04" w:rsidRPr="003530A9">
        <w:rPr>
          <w:sz w:val="24"/>
          <w:szCs w:val="24"/>
        </w:rPr>
        <w:t xml:space="preserve">will </w:t>
      </w:r>
      <w:r w:rsidR="00527EBB" w:rsidRPr="003530A9">
        <w:rPr>
          <w:sz w:val="24"/>
          <w:szCs w:val="24"/>
        </w:rPr>
        <w:t xml:space="preserve">utilize the ABS and License frames for selecting units, will be done by mail and will be self-administered, differing from the FHWAR in those dimensions. </w:t>
      </w:r>
    </w:p>
    <w:p w:rsidR="004F26E9" w:rsidRPr="003530A9" w:rsidRDefault="004F26E9" w:rsidP="003530A9">
      <w:pPr>
        <w:rPr>
          <w:sz w:val="24"/>
          <w:szCs w:val="24"/>
        </w:rPr>
      </w:pPr>
    </w:p>
    <w:p w:rsidR="004F26E9" w:rsidRPr="003530A9" w:rsidRDefault="004F26E9" w:rsidP="003530A9">
      <w:pPr>
        <w:rPr>
          <w:sz w:val="24"/>
          <w:szCs w:val="24"/>
        </w:rPr>
      </w:pPr>
      <w:r w:rsidRPr="003530A9">
        <w:rPr>
          <w:b/>
          <w:bCs/>
          <w:sz w:val="24"/>
          <w:szCs w:val="24"/>
        </w:rPr>
        <w:t xml:space="preserve">5.  </w:t>
      </w:r>
      <w:r w:rsidRPr="003530A9">
        <w:rPr>
          <w:b/>
          <w:bCs/>
          <w:sz w:val="24"/>
          <w:szCs w:val="24"/>
          <w:u w:val="single"/>
        </w:rPr>
        <w:t>If the collection of information involves small businesses or other small entities, describe the methods used to minimize burden</w:t>
      </w:r>
      <w:r w:rsidRPr="003530A9">
        <w:rPr>
          <w:b/>
          <w:bCs/>
          <w:sz w:val="24"/>
          <w:szCs w:val="24"/>
        </w:rPr>
        <w:t>.</w:t>
      </w:r>
      <w:r w:rsidRPr="003530A9">
        <w:rPr>
          <w:sz w:val="24"/>
          <w:szCs w:val="24"/>
        </w:rPr>
        <w:t xml:space="preserve"> </w:t>
      </w:r>
    </w:p>
    <w:p w:rsidR="004F26E9" w:rsidRPr="003530A9" w:rsidRDefault="004F26E9" w:rsidP="003530A9">
      <w:pPr>
        <w:rPr>
          <w:sz w:val="24"/>
          <w:szCs w:val="24"/>
        </w:rPr>
      </w:pPr>
    </w:p>
    <w:p w:rsidR="004F26E9" w:rsidRPr="003530A9" w:rsidRDefault="001E2168" w:rsidP="003530A9">
      <w:pPr>
        <w:pStyle w:val="CM22"/>
        <w:spacing w:after="0"/>
      </w:pPr>
      <w:r w:rsidRPr="003530A9">
        <w:t xml:space="preserve">No small businesses will be impacted by this </w:t>
      </w:r>
      <w:r w:rsidR="00A07822">
        <w:t>information collection</w:t>
      </w:r>
      <w:bookmarkStart w:id="0" w:name="_GoBack"/>
      <w:bookmarkEnd w:id="0"/>
      <w:r w:rsidRPr="003530A9">
        <w:t>.</w:t>
      </w:r>
    </w:p>
    <w:p w:rsidR="00545AD7" w:rsidRPr="003530A9" w:rsidRDefault="00545AD7" w:rsidP="003530A9"/>
    <w:p w:rsidR="004F26E9" w:rsidRPr="003530A9" w:rsidRDefault="004F26E9" w:rsidP="003530A9">
      <w:pPr>
        <w:rPr>
          <w:sz w:val="24"/>
          <w:szCs w:val="24"/>
        </w:rPr>
      </w:pPr>
      <w:r w:rsidRPr="003530A9">
        <w:rPr>
          <w:b/>
          <w:bCs/>
          <w:sz w:val="24"/>
          <w:szCs w:val="24"/>
        </w:rPr>
        <w:t xml:space="preserve">6.  </w:t>
      </w:r>
      <w:r w:rsidRPr="003530A9">
        <w:rPr>
          <w:b/>
          <w:bCs/>
          <w:sz w:val="24"/>
          <w:szCs w:val="24"/>
          <w:u w:val="single"/>
        </w:rPr>
        <w:t>Describe the consequences to the Federal program or policy activities if the collection is not conducted or is conducted less frequently</w:t>
      </w:r>
      <w:r w:rsidRPr="003530A9">
        <w:rPr>
          <w:b/>
          <w:bCs/>
          <w:sz w:val="24"/>
          <w:szCs w:val="24"/>
        </w:rPr>
        <w:t>.</w:t>
      </w:r>
      <w:r w:rsidRPr="003530A9">
        <w:rPr>
          <w:sz w:val="24"/>
          <w:szCs w:val="24"/>
        </w:rPr>
        <w:t xml:space="preserve"> </w:t>
      </w:r>
    </w:p>
    <w:p w:rsidR="00BF4D41" w:rsidRDefault="00BF4D41" w:rsidP="003530A9">
      <w:pPr>
        <w:rPr>
          <w:sz w:val="24"/>
          <w:szCs w:val="24"/>
        </w:rPr>
      </w:pPr>
    </w:p>
    <w:p w:rsidR="00870DDE" w:rsidRPr="003530A9" w:rsidRDefault="00B97EA8" w:rsidP="00870DDE">
      <w:pPr>
        <w:rPr>
          <w:sz w:val="24"/>
          <w:szCs w:val="24"/>
        </w:rPr>
      </w:pPr>
      <w:r>
        <w:rPr>
          <w:sz w:val="24"/>
          <w:szCs w:val="24"/>
        </w:rPr>
        <w:t xml:space="preserve">The MFES is a cost effective alternative for collecting recreational fishing participation data.  </w:t>
      </w:r>
      <w:r w:rsidR="00870DDE" w:rsidRPr="003530A9">
        <w:rPr>
          <w:sz w:val="24"/>
          <w:szCs w:val="24"/>
        </w:rPr>
        <w:t xml:space="preserve">If the MLSR were not conducted, the effectiveness of the MFES for collecting </w:t>
      </w:r>
      <w:r>
        <w:rPr>
          <w:sz w:val="24"/>
          <w:szCs w:val="24"/>
        </w:rPr>
        <w:t>such</w:t>
      </w:r>
      <w:r w:rsidR="00870DDE" w:rsidRPr="003530A9">
        <w:rPr>
          <w:sz w:val="24"/>
          <w:szCs w:val="24"/>
        </w:rPr>
        <w:t xml:space="preserve"> data and the bias in the participation estimates </w:t>
      </w:r>
      <w:r w:rsidR="00870DDE">
        <w:rPr>
          <w:sz w:val="24"/>
          <w:szCs w:val="24"/>
        </w:rPr>
        <w:t>would be</w:t>
      </w:r>
      <w:r w:rsidR="00870DDE" w:rsidRPr="003530A9">
        <w:rPr>
          <w:sz w:val="24"/>
          <w:szCs w:val="24"/>
        </w:rPr>
        <w:t xml:space="preserve"> unknown.  Consequently, the possibility of </w:t>
      </w:r>
      <w:r w:rsidR="00163D46">
        <w:rPr>
          <w:sz w:val="24"/>
          <w:szCs w:val="24"/>
        </w:rPr>
        <w:t>utilizing the MFES</w:t>
      </w:r>
      <w:r w:rsidR="00870DDE" w:rsidRPr="003530A9">
        <w:rPr>
          <w:sz w:val="24"/>
          <w:szCs w:val="24"/>
        </w:rPr>
        <w:t xml:space="preserve"> to obtain accurate and reliable </w:t>
      </w:r>
      <w:r w:rsidR="00163D46">
        <w:rPr>
          <w:sz w:val="24"/>
          <w:szCs w:val="24"/>
        </w:rPr>
        <w:t xml:space="preserve">participation </w:t>
      </w:r>
      <w:r w:rsidR="00870DDE" w:rsidRPr="003530A9">
        <w:rPr>
          <w:sz w:val="24"/>
          <w:szCs w:val="24"/>
        </w:rPr>
        <w:t xml:space="preserve">estimates </w:t>
      </w:r>
      <w:r w:rsidR="00FB21E2">
        <w:rPr>
          <w:sz w:val="24"/>
          <w:szCs w:val="24"/>
        </w:rPr>
        <w:t>could not</w:t>
      </w:r>
      <w:r w:rsidR="00870DDE" w:rsidRPr="003530A9">
        <w:rPr>
          <w:sz w:val="24"/>
          <w:szCs w:val="24"/>
        </w:rPr>
        <w:t xml:space="preserve"> be evaluated.</w:t>
      </w:r>
    </w:p>
    <w:p w:rsidR="00870DDE" w:rsidRPr="003530A9" w:rsidRDefault="00870DDE" w:rsidP="003530A9">
      <w:pPr>
        <w:rPr>
          <w:sz w:val="24"/>
          <w:szCs w:val="24"/>
        </w:rPr>
      </w:pPr>
    </w:p>
    <w:p w:rsidR="004F26E9" w:rsidRPr="003530A9" w:rsidRDefault="004F26E9" w:rsidP="003530A9">
      <w:pPr>
        <w:rPr>
          <w:sz w:val="24"/>
          <w:szCs w:val="24"/>
        </w:rPr>
      </w:pPr>
      <w:r w:rsidRPr="003530A9">
        <w:rPr>
          <w:b/>
          <w:bCs/>
          <w:sz w:val="24"/>
          <w:szCs w:val="24"/>
        </w:rPr>
        <w:t xml:space="preserve">7.  </w:t>
      </w:r>
      <w:r w:rsidRPr="003530A9">
        <w:rPr>
          <w:b/>
          <w:bCs/>
          <w:sz w:val="24"/>
          <w:szCs w:val="24"/>
          <w:u w:val="single"/>
        </w:rPr>
        <w:t>Explain any special circumstances that require the collection to be conducted in a manner inconsistent with OMB guidelines</w:t>
      </w:r>
      <w:r w:rsidRPr="003530A9">
        <w:rPr>
          <w:b/>
          <w:bCs/>
          <w:sz w:val="24"/>
          <w:szCs w:val="24"/>
        </w:rPr>
        <w:t xml:space="preserve">. </w:t>
      </w:r>
    </w:p>
    <w:p w:rsidR="004F26E9" w:rsidRPr="003530A9" w:rsidRDefault="004F26E9" w:rsidP="003530A9">
      <w:pPr>
        <w:rPr>
          <w:sz w:val="24"/>
          <w:szCs w:val="24"/>
        </w:rPr>
      </w:pPr>
    </w:p>
    <w:p w:rsidR="00FF12DD" w:rsidRPr="003530A9" w:rsidRDefault="00FF12DD" w:rsidP="003530A9">
      <w:pPr>
        <w:pStyle w:val="CM22"/>
        <w:spacing w:after="0"/>
      </w:pPr>
      <w:r w:rsidRPr="003530A9">
        <w:t xml:space="preserve">The collection is consistent with OMB guidelines. </w:t>
      </w:r>
    </w:p>
    <w:p w:rsidR="004D6912" w:rsidRPr="003530A9" w:rsidRDefault="004D6912" w:rsidP="003530A9"/>
    <w:p w:rsidR="004F26E9" w:rsidRPr="003530A9" w:rsidRDefault="004F26E9" w:rsidP="003530A9">
      <w:pPr>
        <w:rPr>
          <w:sz w:val="24"/>
          <w:szCs w:val="24"/>
        </w:rPr>
      </w:pPr>
      <w:r w:rsidRPr="003530A9">
        <w:rPr>
          <w:b/>
          <w:bCs/>
          <w:sz w:val="24"/>
          <w:szCs w:val="24"/>
        </w:rPr>
        <w:t xml:space="preserve">8.  </w:t>
      </w:r>
      <w:r w:rsidRPr="003530A9">
        <w:rPr>
          <w:b/>
          <w:bCs/>
          <w:sz w:val="24"/>
          <w:szCs w:val="24"/>
          <w:u w:val="single"/>
        </w:rPr>
        <w:t xml:space="preserve">Provide </w:t>
      </w:r>
      <w:r w:rsidR="00107F5D" w:rsidRPr="003530A9">
        <w:rPr>
          <w:b/>
          <w:bCs/>
          <w:sz w:val="24"/>
          <w:szCs w:val="24"/>
          <w:u w:val="single"/>
        </w:rPr>
        <w:t>information on</w:t>
      </w:r>
      <w:r w:rsidRPr="003530A9">
        <w:rPr>
          <w:b/>
          <w:bCs/>
          <w:sz w:val="24"/>
          <w:szCs w:val="24"/>
          <w:u w:val="single"/>
        </w:rPr>
        <w:t xml:space="preserve"> the PRA Federal Register </w:t>
      </w:r>
      <w:r w:rsidR="001E6F72" w:rsidRPr="003530A9">
        <w:rPr>
          <w:b/>
          <w:bCs/>
          <w:sz w:val="24"/>
          <w:szCs w:val="24"/>
          <w:u w:val="single"/>
        </w:rPr>
        <w:t>N</w:t>
      </w:r>
      <w:r w:rsidRPr="003530A9">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3530A9">
        <w:rPr>
          <w:b/>
          <w:bCs/>
          <w:sz w:val="24"/>
          <w:szCs w:val="24"/>
        </w:rPr>
        <w:t>.</w:t>
      </w:r>
      <w:r w:rsidRPr="003530A9">
        <w:rPr>
          <w:sz w:val="24"/>
          <w:szCs w:val="24"/>
        </w:rPr>
        <w:t xml:space="preserve">  </w:t>
      </w:r>
      <w:r w:rsidRPr="003530A9">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3530A9">
        <w:rPr>
          <w:b/>
          <w:bCs/>
          <w:sz w:val="24"/>
          <w:szCs w:val="24"/>
        </w:rPr>
        <w:t>.</w:t>
      </w:r>
    </w:p>
    <w:p w:rsidR="004F26E9" w:rsidRPr="003530A9" w:rsidRDefault="004F26E9" w:rsidP="003530A9">
      <w:pPr>
        <w:rPr>
          <w:sz w:val="24"/>
          <w:szCs w:val="24"/>
        </w:rPr>
      </w:pPr>
    </w:p>
    <w:p w:rsidR="004F26E9" w:rsidRPr="003530A9" w:rsidRDefault="001E6F72" w:rsidP="003530A9">
      <w:pPr>
        <w:rPr>
          <w:sz w:val="24"/>
          <w:szCs w:val="24"/>
        </w:rPr>
      </w:pPr>
      <w:r w:rsidRPr="003530A9">
        <w:rPr>
          <w:sz w:val="24"/>
          <w:szCs w:val="24"/>
        </w:rPr>
        <w:t xml:space="preserve">A </w:t>
      </w:r>
      <w:r w:rsidRPr="003530A9">
        <w:rPr>
          <w:sz w:val="24"/>
          <w:szCs w:val="24"/>
          <w:u w:val="single"/>
        </w:rPr>
        <w:t>Federal Register</w:t>
      </w:r>
      <w:r w:rsidRPr="003530A9">
        <w:rPr>
          <w:sz w:val="24"/>
          <w:szCs w:val="24"/>
        </w:rPr>
        <w:t xml:space="preserve"> Notice published on </w:t>
      </w:r>
      <w:r w:rsidR="00FF12DD" w:rsidRPr="003530A9">
        <w:rPr>
          <w:sz w:val="24"/>
          <w:szCs w:val="24"/>
        </w:rPr>
        <w:t xml:space="preserve">January </w:t>
      </w:r>
      <w:r w:rsidR="00F35F8E" w:rsidRPr="003530A9">
        <w:rPr>
          <w:sz w:val="24"/>
          <w:szCs w:val="24"/>
        </w:rPr>
        <w:t>29</w:t>
      </w:r>
      <w:r w:rsidR="00FF12DD" w:rsidRPr="003530A9">
        <w:rPr>
          <w:sz w:val="24"/>
          <w:szCs w:val="24"/>
        </w:rPr>
        <w:t xml:space="preserve">, </w:t>
      </w:r>
      <w:r w:rsidR="00B80EBE" w:rsidRPr="003530A9">
        <w:rPr>
          <w:sz w:val="24"/>
          <w:szCs w:val="24"/>
        </w:rPr>
        <w:t xml:space="preserve">2013 </w:t>
      </w:r>
      <w:r w:rsidRPr="003530A9">
        <w:rPr>
          <w:sz w:val="24"/>
          <w:szCs w:val="24"/>
        </w:rPr>
        <w:t>(7</w:t>
      </w:r>
      <w:r w:rsidR="00F35F8E" w:rsidRPr="003530A9">
        <w:rPr>
          <w:sz w:val="24"/>
          <w:szCs w:val="24"/>
        </w:rPr>
        <w:t>8</w:t>
      </w:r>
      <w:r w:rsidRPr="003530A9">
        <w:rPr>
          <w:sz w:val="24"/>
          <w:szCs w:val="24"/>
        </w:rPr>
        <w:t xml:space="preserve"> FR </w:t>
      </w:r>
      <w:r w:rsidR="00F35F8E" w:rsidRPr="003530A9">
        <w:rPr>
          <w:sz w:val="24"/>
          <w:szCs w:val="24"/>
        </w:rPr>
        <w:t>6070</w:t>
      </w:r>
      <w:r w:rsidRPr="003530A9">
        <w:rPr>
          <w:sz w:val="24"/>
          <w:szCs w:val="24"/>
        </w:rPr>
        <w:t>) solicited public comments. No comments were received.</w:t>
      </w:r>
    </w:p>
    <w:p w:rsidR="00FF12DD" w:rsidRPr="003530A9" w:rsidRDefault="00FF12DD" w:rsidP="003530A9">
      <w:pPr>
        <w:rPr>
          <w:sz w:val="24"/>
          <w:szCs w:val="24"/>
        </w:rPr>
      </w:pPr>
    </w:p>
    <w:p w:rsidR="001A5EEF" w:rsidRPr="003530A9" w:rsidRDefault="00CE62E8" w:rsidP="003530A9">
      <w:pPr>
        <w:pStyle w:val="Default"/>
      </w:pPr>
      <w:r w:rsidRPr="003530A9">
        <w:t>MRIP is a collaborative effort among government agencies, independent scientists, recreational fishing groups and conservation organizations to ensure scientifically rigorous collection of appropriate information that meets manager and stakeholder needs.  Subsequently, NMFS staff maintain</w:t>
      </w:r>
      <w:r w:rsidR="00703CA6" w:rsidRPr="003530A9">
        <w:t>s</w:t>
      </w:r>
      <w:r w:rsidRPr="003530A9">
        <w:t xml:space="preserve"> regular communication with customers, through workshops, workgroup meetings and one-on-one consultations, to ensure that needs for recreational fishing statistics are being met.  </w:t>
      </w:r>
      <w:r w:rsidR="00334DF5" w:rsidRPr="003530A9">
        <w:t>The</w:t>
      </w:r>
      <w:r w:rsidR="001A5EEF" w:rsidRPr="003530A9">
        <w:t xml:space="preserve"> project team</w:t>
      </w:r>
      <w:r w:rsidR="00CA6DD8" w:rsidRPr="003530A9">
        <w:t xml:space="preserve"> </w:t>
      </w:r>
      <w:r w:rsidR="001A5EEF" w:rsidRPr="003530A9">
        <w:t xml:space="preserve">for </w:t>
      </w:r>
      <w:r w:rsidR="00F32A61" w:rsidRPr="003530A9">
        <w:t xml:space="preserve">the MLSR </w:t>
      </w:r>
      <w:r w:rsidR="00CA6DD8" w:rsidRPr="003530A9">
        <w:t>include</w:t>
      </w:r>
      <w:r w:rsidR="00A15C4E" w:rsidRPr="003530A9">
        <w:t>s</w:t>
      </w:r>
      <w:r w:rsidR="001A5EEF" w:rsidRPr="003530A9">
        <w:t xml:space="preserve"> expert consultants and representative</w:t>
      </w:r>
      <w:r w:rsidR="00334DF5" w:rsidRPr="003530A9">
        <w:t>s</w:t>
      </w:r>
      <w:r w:rsidR="001A5EEF" w:rsidRPr="003530A9">
        <w:t xml:space="preserve"> from the NOAA </w:t>
      </w:r>
      <w:r w:rsidR="00334DF5" w:rsidRPr="003530A9">
        <w:t>F</w:t>
      </w:r>
      <w:r w:rsidR="001A5EEF" w:rsidRPr="003530A9">
        <w:t>isheries Service, the U.S. Fish &amp; Wildlife Service, the U.S. Census Bureau</w:t>
      </w:r>
      <w:r w:rsidR="00CA6DD8" w:rsidRPr="003530A9">
        <w:t xml:space="preserve">, and </w:t>
      </w:r>
      <w:r w:rsidR="00334DF5" w:rsidRPr="003530A9">
        <w:t>state natural resource agencies</w:t>
      </w:r>
      <w:r w:rsidR="001A5EEF" w:rsidRPr="003530A9">
        <w:t xml:space="preserve">.  In addition, the questionnaires for the MLSR are derived </w:t>
      </w:r>
      <w:r w:rsidR="00E124DA" w:rsidRPr="003530A9">
        <w:t xml:space="preserve">from </w:t>
      </w:r>
      <w:r w:rsidR="001A5EEF" w:rsidRPr="003530A9">
        <w:t>the MFES questionnaires</w:t>
      </w:r>
      <w:r w:rsidR="00F32A61" w:rsidRPr="003530A9">
        <w:t>,</w:t>
      </w:r>
      <w:r w:rsidR="001A5EEF" w:rsidRPr="003530A9">
        <w:t xml:space="preserve"> which have been developed through field </w:t>
      </w:r>
      <w:r w:rsidR="00CA6DD8" w:rsidRPr="003530A9">
        <w:t>testing</w:t>
      </w:r>
      <w:r w:rsidR="001A5EEF" w:rsidRPr="003530A9">
        <w:t xml:space="preserve"> and cognitive interviews.</w:t>
      </w:r>
    </w:p>
    <w:p w:rsidR="004F26E9" w:rsidRPr="003530A9" w:rsidRDefault="004F26E9" w:rsidP="003530A9">
      <w:pPr>
        <w:rPr>
          <w:sz w:val="24"/>
          <w:szCs w:val="24"/>
        </w:rPr>
      </w:pPr>
      <w:r w:rsidRPr="003530A9">
        <w:rPr>
          <w:b/>
          <w:bCs/>
          <w:sz w:val="24"/>
          <w:szCs w:val="24"/>
        </w:rPr>
        <w:lastRenderedPageBreak/>
        <w:t xml:space="preserve">9.  </w:t>
      </w:r>
      <w:r w:rsidRPr="003530A9">
        <w:rPr>
          <w:b/>
          <w:bCs/>
          <w:sz w:val="24"/>
          <w:szCs w:val="24"/>
          <w:u w:val="single"/>
        </w:rPr>
        <w:t>Explain any decisions to provide payments or gifts to respondents, other than remuneration of contractors or grantees</w:t>
      </w:r>
      <w:r w:rsidRPr="003530A9">
        <w:rPr>
          <w:b/>
          <w:bCs/>
          <w:sz w:val="24"/>
          <w:szCs w:val="24"/>
        </w:rPr>
        <w:t>.</w:t>
      </w:r>
    </w:p>
    <w:p w:rsidR="004F26E9" w:rsidRPr="003530A9" w:rsidRDefault="004F26E9" w:rsidP="003530A9">
      <w:pPr>
        <w:rPr>
          <w:sz w:val="24"/>
          <w:szCs w:val="24"/>
        </w:rPr>
      </w:pPr>
    </w:p>
    <w:p w:rsidR="00AF1E87" w:rsidRPr="003530A9" w:rsidRDefault="00AF1E87" w:rsidP="003530A9">
      <w:pPr>
        <w:pStyle w:val="Default"/>
      </w:pPr>
      <w:r w:rsidRPr="003530A9">
        <w:t xml:space="preserve">The benefits of prepaid cash incentives on improving survey response rates are well documented.  Dillman (2009) describes a small, prepaid cash incentive as a “token of appreciation” that encourages response and brings attention to the survey request.  In addition to improving response rates, incentives may reduce nonresponse bias by encouraging participation from individuals with little or no interest in the survey topic (Groves et al., 2006).        </w:t>
      </w:r>
    </w:p>
    <w:p w:rsidR="00AF1E87" w:rsidRPr="003530A9" w:rsidRDefault="00AF1E87" w:rsidP="003530A9">
      <w:pPr>
        <w:pStyle w:val="Default"/>
      </w:pPr>
    </w:p>
    <w:p w:rsidR="00AF1E87" w:rsidRPr="003530A9" w:rsidRDefault="00AF1E87" w:rsidP="003530A9">
      <w:pPr>
        <w:pStyle w:val="Default"/>
      </w:pPr>
      <w:r w:rsidRPr="003530A9">
        <w:t xml:space="preserve">Church (1993) presents a meta-analysis of 38 experimental studies testing the impact of cash incentives on mail survey response rates.  The incentives, which ranged from $0.01 to $5.00 increased response rates over control groups by an average of 19.1%.  </w:t>
      </w:r>
    </w:p>
    <w:p w:rsidR="00AF1E87" w:rsidRPr="003530A9" w:rsidRDefault="00AF1E87" w:rsidP="003530A9">
      <w:pPr>
        <w:pStyle w:val="Default"/>
      </w:pPr>
    </w:p>
    <w:p w:rsidR="00AF1E87" w:rsidRPr="003530A9" w:rsidRDefault="00AF1E87" w:rsidP="003530A9">
      <w:pPr>
        <w:pStyle w:val="Default"/>
      </w:pPr>
      <w:r w:rsidRPr="003530A9">
        <w:t xml:space="preserve">More recently, Trussell and Lavrakas (2004) reported that providing an incentive of at least $1.00 increased response rates and cooperation rates to the second phase of a two-phase, mixed-mode (RDD/mail diary) survey, and that incremental increases in incentive amounts up to $10.00 increased response rates in a linear fashion.  These conclusions were consistent even for individuals who initially refused to participate in the second phase of the study.  </w:t>
      </w:r>
    </w:p>
    <w:p w:rsidR="00EF78F9" w:rsidRDefault="00EF78F9" w:rsidP="003530A9">
      <w:pPr>
        <w:pStyle w:val="Default"/>
      </w:pPr>
    </w:p>
    <w:p w:rsidR="00AF1E87" w:rsidRPr="003530A9" w:rsidRDefault="00AF1E87" w:rsidP="003530A9">
      <w:pPr>
        <w:pStyle w:val="Default"/>
      </w:pPr>
      <w:r w:rsidRPr="003530A9">
        <w:t xml:space="preserve">Similarly, Brick et al. (2011) concluded that a prepaid cash incentive of $15.00 significantly increased response rates to the second phase of a national, two-phase mail survey, and that response rates for a $5.00 incentive treatment, while not significantly different from either a control group or the $15.00 experimental treatment, were in the expected direction.  In addition, the effect of the incentives was most pronounced for the initial mailing, which could result in decreased costs for follow-up mailings.  </w:t>
      </w:r>
    </w:p>
    <w:p w:rsidR="00AF1E87" w:rsidRPr="003530A9" w:rsidRDefault="00AF1E87" w:rsidP="003530A9">
      <w:pPr>
        <w:pStyle w:val="Default"/>
      </w:pPr>
    </w:p>
    <w:p w:rsidR="0048440D" w:rsidRPr="003530A9" w:rsidRDefault="0048440D" w:rsidP="003530A9">
      <w:pPr>
        <w:pStyle w:val="Default"/>
      </w:pPr>
      <w:r w:rsidRPr="003530A9">
        <w:t xml:space="preserve">The preliminary analysis </w:t>
      </w:r>
      <w:r w:rsidR="005D6C5B" w:rsidRPr="003530A9">
        <w:t xml:space="preserve">of </w:t>
      </w:r>
      <w:r w:rsidR="00E3398E" w:rsidRPr="003530A9">
        <w:t xml:space="preserve">the </w:t>
      </w:r>
      <w:r w:rsidRPr="003530A9">
        <w:t>MEFS incentive experiment that test</w:t>
      </w:r>
      <w:r w:rsidR="00E3398E" w:rsidRPr="003530A9">
        <w:t>s</w:t>
      </w:r>
      <w:r w:rsidRPr="003530A9">
        <w:t xml:space="preserve"> the incentive treatment groups of $1, $2, and $5, as well as a non-incentive control group</w:t>
      </w:r>
      <w:r w:rsidR="00E3398E" w:rsidRPr="003530A9">
        <w:t>,</w:t>
      </w:r>
      <w:r w:rsidRPr="003530A9">
        <w:t xml:space="preserve"> also indicated a clear response propensity towards higher dollar amounts.  There is less variation between the $2 and $5 amounts than between the other amounts</w:t>
      </w:r>
      <w:r w:rsidR="00B72CE3" w:rsidRPr="003530A9">
        <w:t xml:space="preserve"> (Table 1)</w:t>
      </w:r>
      <w:r w:rsidRPr="003530A9">
        <w:t xml:space="preserve">, indicating the $2 incentive is probably a more cost effective approach.  </w:t>
      </w:r>
      <w:r w:rsidR="00C351A4" w:rsidRPr="003530A9">
        <w:t>Prepaid cash incentives</w:t>
      </w:r>
      <w:r w:rsidR="00EA2373" w:rsidRPr="003530A9">
        <w:t xml:space="preserve"> </w:t>
      </w:r>
      <w:r w:rsidRPr="003530A9">
        <w:t xml:space="preserve">of $2 </w:t>
      </w:r>
      <w:r w:rsidR="00EA2373" w:rsidRPr="003530A9">
        <w:t>will be included</w:t>
      </w:r>
      <w:r w:rsidRPr="003530A9">
        <w:t xml:space="preserve"> in the MSLR survey mailings for waves. </w:t>
      </w:r>
      <w:r w:rsidR="00EA2373" w:rsidRPr="003530A9">
        <w:t xml:space="preserve"> </w:t>
      </w:r>
    </w:p>
    <w:p w:rsidR="00AF1E87" w:rsidRPr="003530A9" w:rsidRDefault="00AF1E87" w:rsidP="003530A9">
      <w:pPr>
        <w:pStyle w:val="Default"/>
      </w:pPr>
    </w:p>
    <w:p w:rsidR="005D6C5B" w:rsidRPr="003530A9" w:rsidRDefault="00AF1E87" w:rsidP="003530A9">
      <w:pPr>
        <w:pStyle w:val="Default"/>
        <w:rPr>
          <w:b/>
        </w:rPr>
      </w:pPr>
      <w:r w:rsidRPr="003530A9">
        <w:rPr>
          <w:b/>
        </w:rPr>
        <w:t xml:space="preserve">Table 1. </w:t>
      </w:r>
      <w:r w:rsidR="005D6C5B" w:rsidRPr="003530A9">
        <w:rPr>
          <w:b/>
        </w:rPr>
        <w:t xml:space="preserve">Results from the preliminary analysis of MEFS incentive experiment. </w:t>
      </w:r>
    </w:p>
    <w:tbl>
      <w:tblPr>
        <w:tblW w:w="6874" w:type="dxa"/>
        <w:jc w:val="center"/>
        <w:tblInd w:w="93" w:type="dxa"/>
        <w:tblLook w:val="04A0" w:firstRow="1" w:lastRow="0" w:firstColumn="1" w:lastColumn="0" w:noHBand="0" w:noVBand="1"/>
      </w:tblPr>
      <w:tblGrid>
        <w:gridCol w:w="2189"/>
        <w:gridCol w:w="1648"/>
        <w:gridCol w:w="3037"/>
      </w:tblGrid>
      <w:tr w:rsidR="005D6C5B" w:rsidRPr="00F7355A" w:rsidTr="00F7355A">
        <w:trPr>
          <w:trHeight w:val="69"/>
          <w:jc w:val="center"/>
        </w:trPr>
        <w:tc>
          <w:tcPr>
            <w:tcW w:w="2189" w:type="dxa"/>
            <w:tcBorders>
              <w:top w:val="single" w:sz="12" w:space="0" w:color="auto"/>
              <w:left w:val="nil"/>
              <w:bottom w:val="single" w:sz="12" w:space="0" w:color="auto"/>
              <w:right w:val="nil"/>
            </w:tcBorders>
            <w:shd w:val="clear" w:color="auto" w:fill="auto"/>
            <w:vAlign w:val="bottom"/>
            <w:hideMark/>
          </w:tcPr>
          <w:p w:rsidR="005D6C5B" w:rsidRPr="00F7355A" w:rsidRDefault="005D6C5B" w:rsidP="003530A9">
            <w:pPr>
              <w:jc w:val="center"/>
              <w:rPr>
                <w:b/>
                <w:color w:val="000000"/>
              </w:rPr>
            </w:pPr>
            <w:r w:rsidRPr="00F7355A">
              <w:rPr>
                <w:b/>
                <w:color w:val="000000"/>
                <w:sz w:val="22"/>
                <w:szCs w:val="22"/>
              </w:rPr>
              <w:t>Incentive Treatment</w:t>
            </w:r>
          </w:p>
        </w:tc>
        <w:tc>
          <w:tcPr>
            <w:tcW w:w="1648" w:type="dxa"/>
            <w:tcBorders>
              <w:top w:val="single" w:sz="12" w:space="0" w:color="auto"/>
              <w:left w:val="nil"/>
              <w:bottom w:val="single" w:sz="12" w:space="0" w:color="auto"/>
              <w:right w:val="nil"/>
            </w:tcBorders>
            <w:shd w:val="clear" w:color="auto" w:fill="auto"/>
            <w:vAlign w:val="bottom"/>
            <w:hideMark/>
          </w:tcPr>
          <w:p w:rsidR="005D6C5B" w:rsidRPr="00F7355A" w:rsidRDefault="005D6C5B" w:rsidP="003530A9">
            <w:pPr>
              <w:jc w:val="center"/>
              <w:rPr>
                <w:b/>
                <w:color w:val="000000"/>
              </w:rPr>
            </w:pPr>
            <w:r w:rsidRPr="00F7355A">
              <w:rPr>
                <w:b/>
                <w:color w:val="000000"/>
                <w:sz w:val="22"/>
                <w:szCs w:val="22"/>
              </w:rPr>
              <w:t>Sample Size</w:t>
            </w:r>
          </w:p>
        </w:tc>
        <w:tc>
          <w:tcPr>
            <w:tcW w:w="3037" w:type="dxa"/>
            <w:tcBorders>
              <w:top w:val="single" w:sz="12" w:space="0" w:color="auto"/>
              <w:left w:val="nil"/>
              <w:bottom w:val="single" w:sz="12" w:space="0" w:color="auto"/>
              <w:right w:val="nil"/>
            </w:tcBorders>
            <w:shd w:val="clear" w:color="auto" w:fill="auto"/>
            <w:vAlign w:val="bottom"/>
            <w:hideMark/>
          </w:tcPr>
          <w:p w:rsidR="005D6C5B" w:rsidRPr="00F7355A" w:rsidRDefault="005D6C5B" w:rsidP="003530A9">
            <w:pPr>
              <w:jc w:val="center"/>
              <w:rPr>
                <w:b/>
                <w:color w:val="000000"/>
              </w:rPr>
            </w:pPr>
            <w:r w:rsidRPr="00F7355A">
              <w:rPr>
                <w:b/>
                <w:color w:val="000000"/>
                <w:sz w:val="22"/>
                <w:szCs w:val="22"/>
              </w:rPr>
              <w:t xml:space="preserve">Number of Complete Samples </w:t>
            </w:r>
          </w:p>
        </w:tc>
      </w:tr>
      <w:tr w:rsidR="005D6C5B" w:rsidRPr="003530A9" w:rsidTr="00F7355A">
        <w:trPr>
          <w:trHeight w:val="60"/>
          <w:jc w:val="center"/>
        </w:trPr>
        <w:tc>
          <w:tcPr>
            <w:tcW w:w="2189" w:type="dxa"/>
            <w:tcBorders>
              <w:top w:val="nil"/>
              <w:left w:val="nil"/>
              <w:bottom w:val="nil"/>
              <w:right w:val="nil"/>
            </w:tcBorders>
            <w:shd w:val="clear" w:color="auto" w:fill="auto"/>
            <w:noWrap/>
            <w:vAlign w:val="bottom"/>
            <w:hideMark/>
          </w:tcPr>
          <w:p w:rsidR="005D6C5B" w:rsidRPr="003530A9" w:rsidRDefault="005D6C5B" w:rsidP="003530A9">
            <w:pPr>
              <w:jc w:val="center"/>
              <w:rPr>
                <w:color w:val="000000"/>
              </w:rPr>
            </w:pPr>
            <w:r w:rsidRPr="003530A9">
              <w:rPr>
                <w:color w:val="000000"/>
                <w:sz w:val="22"/>
                <w:szCs w:val="22"/>
              </w:rPr>
              <w:t>$0 (Control)</w:t>
            </w:r>
          </w:p>
        </w:tc>
        <w:tc>
          <w:tcPr>
            <w:tcW w:w="1648" w:type="dxa"/>
            <w:tcBorders>
              <w:top w:val="nil"/>
              <w:left w:val="nil"/>
              <w:bottom w:val="nil"/>
              <w:right w:val="nil"/>
            </w:tcBorders>
            <w:shd w:val="clear" w:color="auto" w:fill="auto"/>
            <w:noWrap/>
            <w:vAlign w:val="bottom"/>
            <w:hideMark/>
          </w:tcPr>
          <w:p w:rsidR="005D6C5B" w:rsidRPr="003530A9" w:rsidRDefault="005D6C5B" w:rsidP="003530A9">
            <w:pPr>
              <w:jc w:val="center"/>
              <w:rPr>
                <w:color w:val="000000"/>
              </w:rPr>
            </w:pPr>
            <w:r w:rsidRPr="003530A9">
              <w:rPr>
                <w:color w:val="000000"/>
                <w:sz w:val="22"/>
                <w:szCs w:val="22"/>
              </w:rPr>
              <w:t>5,132</w:t>
            </w:r>
          </w:p>
        </w:tc>
        <w:tc>
          <w:tcPr>
            <w:tcW w:w="3037" w:type="dxa"/>
            <w:tcBorders>
              <w:top w:val="nil"/>
              <w:left w:val="nil"/>
              <w:bottom w:val="nil"/>
              <w:right w:val="nil"/>
            </w:tcBorders>
            <w:shd w:val="clear" w:color="auto" w:fill="auto"/>
            <w:noWrap/>
            <w:vAlign w:val="bottom"/>
            <w:hideMark/>
          </w:tcPr>
          <w:p w:rsidR="005D6C5B" w:rsidRPr="003530A9" w:rsidRDefault="005D6C5B" w:rsidP="003530A9">
            <w:pPr>
              <w:jc w:val="center"/>
              <w:rPr>
                <w:color w:val="000000"/>
                <w:sz w:val="22"/>
                <w:szCs w:val="22"/>
              </w:rPr>
            </w:pPr>
            <w:r w:rsidRPr="003530A9">
              <w:rPr>
                <w:color w:val="000000"/>
                <w:sz w:val="22"/>
                <w:szCs w:val="22"/>
              </w:rPr>
              <w:t>1,160 (22.60%)</w:t>
            </w:r>
          </w:p>
        </w:tc>
      </w:tr>
      <w:tr w:rsidR="005D6C5B" w:rsidRPr="003530A9" w:rsidTr="00F7355A">
        <w:trPr>
          <w:trHeight w:val="70"/>
          <w:jc w:val="center"/>
        </w:trPr>
        <w:tc>
          <w:tcPr>
            <w:tcW w:w="2189" w:type="dxa"/>
            <w:tcBorders>
              <w:top w:val="nil"/>
              <w:left w:val="nil"/>
              <w:bottom w:val="nil"/>
              <w:right w:val="nil"/>
            </w:tcBorders>
            <w:shd w:val="clear" w:color="auto" w:fill="auto"/>
            <w:noWrap/>
            <w:vAlign w:val="bottom"/>
            <w:hideMark/>
          </w:tcPr>
          <w:p w:rsidR="005D6C5B" w:rsidRPr="003530A9" w:rsidRDefault="005D6C5B" w:rsidP="003530A9">
            <w:pPr>
              <w:jc w:val="center"/>
              <w:rPr>
                <w:color w:val="000000"/>
              </w:rPr>
            </w:pPr>
            <w:r w:rsidRPr="003530A9">
              <w:rPr>
                <w:color w:val="000000"/>
                <w:sz w:val="22"/>
                <w:szCs w:val="22"/>
              </w:rPr>
              <w:t xml:space="preserve">$1 </w:t>
            </w:r>
          </w:p>
        </w:tc>
        <w:tc>
          <w:tcPr>
            <w:tcW w:w="1648" w:type="dxa"/>
            <w:tcBorders>
              <w:top w:val="nil"/>
              <w:left w:val="nil"/>
              <w:bottom w:val="nil"/>
              <w:right w:val="nil"/>
            </w:tcBorders>
            <w:shd w:val="clear" w:color="auto" w:fill="auto"/>
            <w:noWrap/>
            <w:vAlign w:val="bottom"/>
            <w:hideMark/>
          </w:tcPr>
          <w:p w:rsidR="005D6C5B" w:rsidRPr="003530A9" w:rsidRDefault="005D6C5B" w:rsidP="003530A9">
            <w:pPr>
              <w:jc w:val="center"/>
              <w:rPr>
                <w:color w:val="000000"/>
              </w:rPr>
            </w:pPr>
            <w:r w:rsidRPr="003530A9">
              <w:rPr>
                <w:color w:val="000000"/>
                <w:sz w:val="22"/>
                <w:szCs w:val="22"/>
              </w:rPr>
              <w:t>5,132</w:t>
            </w:r>
          </w:p>
        </w:tc>
        <w:tc>
          <w:tcPr>
            <w:tcW w:w="3037" w:type="dxa"/>
            <w:tcBorders>
              <w:top w:val="nil"/>
              <w:left w:val="nil"/>
              <w:bottom w:val="nil"/>
              <w:right w:val="nil"/>
            </w:tcBorders>
            <w:shd w:val="clear" w:color="auto" w:fill="auto"/>
            <w:noWrap/>
            <w:vAlign w:val="bottom"/>
            <w:hideMark/>
          </w:tcPr>
          <w:p w:rsidR="005D6C5B" w:rsidRPr="003530A9" w:rsidRDefault="005D6C5B" w:rsidP="003530A9">
            <w:pPr>
              <w:jc w:val="center"/>
              <w:rPr>
                <w:color w:val="000000"/>
                <w:sz w:val="22"/>
                <w:szCs w:val="22"/>
              </w:rPr>
            </w:pPr>
            <w:r w:rsidRPr="003530A9">
              <w:rPr>
                <w:color w:val="000000"/>
                <w:sz w:val="22"/>
                <w:szCs w:val="22"/>
              </w:rPr>
              <w:t>1,637 (31.90%)</w:t>
            </w:r>
          </w:p>
        </w:tc>
      </w:tr>
      <w:tr w:rsidR="005D6C5B" w:rsidRPr="003530A9" w:rsidTr="00F7355A">
        <w:trPr>
          <w:trHeight w:val="70"/>
          <w:jc w:val="center"/>
        </w:trPr>
        <w:tc>
          <w:tcPr>
            <w:tcW w:w="2189" w:type="dxa"/>
            <w:tcBorders>
              <w:top w:val="nil"/>
              <w:left w:val="nil"/>
              <w:bottom w:val="nil"/>
              <w:right w:val="nil"/>
            </w:tcBorders>
            <w:shd w:val="clear" w:color="auto" w:fill="auto"/>
            <w:noWrap/>
            <w:vAlign w:val="bottom"/>
            <w:hideMark/>
          </w:tcPr>
          <w:p w:rsidR="005D6C5B" w:rsidRPr="003530A9" w:rsidRDefault="005D6C5B" w:rsidP="003530A9">
            <w:pPr>
              <w:jc w:val="center"/>
              <w:rPr>
                <w:color w:val="000000"/>
              </w:rPr>
            </w:pPr>
            <w:r w:rsidRPr="003530A9">
              <w:rPr>
                <w:color w:val="000000"/>
                <w:sz w:val="22"/>
                <w:szCs w:val="22"/>
              </w:rPr>
              <w:t xml:space="preserve">$2 </w:t>
            </w:r>
          </w:p>
        </w:tc>
        <w:tc>
          <w:tcPr>
            <w:tcW w:w="1648" w:type="dxa"/>
            <w:tcBorders>
              <w:top w:val="nil"/>
              <w:left w:val="nil"/>
              <w:bottom w:val="nil"/>
              <w:right w:val="nil"/>
            </w:tcBorders>
            <w:shd w:val="clear" w:color="auto" w:fill="auto"/>
            <w:noWrap/>
            <w:vAlign w:val="bottom"/>
            <w:hideMark/>
          </w:tcPr>
          <w:p w:rsidR="005D6C5B" w:rsidRPr="003530A9" w:rsidRDefault="005D6C5B" w:rsidP="003530A9">
            <w:pPr>
              <w:jc w:val="center"/>
              <w:rPr>
                <w:color w:val="000000"/>
              </w:rPr>
            </w:pPr>
            <w:r w:rsidRPr="003530A9">
              <w:rPr>
                <w:color w:val="000000"/>
                <w:sz w:val="22"/>
                <w:szCs w:val="22"/>
              </w:rPr>
              <w:t>5,132</w:t>
            </w:r>
          </w:p>
        </w:tc>
        <w:tc>
          <w:tcPr>
            <w:tcW w:w="3037" w:type="dxa"/>
            <w:tcBorders>
              <w:top w:val="nil"/>
              <w:left w:val="nil"/>
              <w:bottom w:val="nil"/>
              <w:right w:val="nil"/>
            </w:tcBorders>
            <w:shd w:val="clear" w:color="auto" w:fill="auto"/>
            <w:noWrap/>
            <w:vAlign w:val="bottom"/>
            <w:hideMark/>
          </w:tcPr>
          <w:p w:rsidR="005D6C5B" w:rsidRPr="003530A9" w:rsidRDefault="005D6C5B" w:rsidP="003530A9">
            <w:pPr>
              <w:jc w:val="center"/>
              <w:rPr>
                <w:color w:val="000000"/>
                <w:sz w:val="22"/>
                <w:szCs w:val="22"/>
              </w:rPr>
            </w:pPr>
            <w:r w:rsidRPr="003530A9">
              <w:rPr>
                <w:color w:val="000000"/>
                <w:sz w:val="22"/>
                <w:szCs w:val="22"/>
              </w:rPr>
              <w:t>1,873 (36.50%)</w:t>
            </w:r>
          </w:p>
        </w:tc>
      </w:tr>
      <w:tr w:rsidR="005D6C5B" w:rsidRPr="003530A9" w:rsidTr="00F7355A">
        <w:trPr>
          <w:trHeight w:val="70"/>
          <w:jc w:val="center"/>
        </w:trPr>
        <w:tc>
          <w:tcPr>
            <w:tcW w:w="2189" w:type="dxa"/>
            <w:tcBorders>
              <w:top w:val="nil"/>
              <w:left w:val="nil"/>
              <w:bottom w:val="single" w:sz="12" w:space="0" w:color="auto"/>
              <w:right w:val="nil"/>
            </w:tcBorders>
            <w:shd w:val="clear" w:color="auto" w:fill="auto"/>
            <w:noWrap/>
            <w:vAlign w:val="bottom"/>
            <w:hideMark/>
          </w:tcPr>
          <w:p w:rsidR="005D6C5B" w:rsidRPr="003530A9" w:rsidRDefault="005D6C5B" w:rsidP="003530A9">
            <w:pPr>
              <w:jc w:val="center"/>
              <w:rPr>
                <w:color w:val="000000"/>
              </w:rPr>
            </w:pPr>
            <w:r w:rsidRPr="003530A9">
              <w:rPr>
                <w:color w:val="000000"/>
                <w:sz w:val="22"/>
                <w:szCs w:val="22"/>
              </w:rPr>
              <w:t xml:space="preserve">$5 </w:t>
            </w:r>
          </w:p>
        </w:tc>
        <w:tc>
          <w:tcPr>
            <w:tcW w:w="1648" w:type="dxa"/>
            <w:tcBorders>
              <w:top w:val="nil"/>
              <w:left w:val="nil"/>
              <w:bottom w:val="single" w:sz="12" w:space="0" w:color="auto"/>
              <w:right w:val="nil"/>
            </w:tcBorders>
            <w:shd w:val="clear" w:color="auto" w:fill="auto"/>
            <w:noWrap/>
            <w:vAlign w:val="bottom"/>
            <w:hideMark/>
          </w:tcPr>
          <w:p w:rsidR="005D6C5B" w:rsidRPr="003530A9" w:rsidRDefault="005D6C5B" w:rsidP="003530A9">
            <w:pPr>
              <w:jc w:val="center"/>
              <w:rPr>
                <w:color w:val="000000"/>
              </w:rPr>
            </w:pPr>
            <w:r w:rsidRPr="003530A9">
              <w:rPr>
                <w:color w:val="000000"/>
                <w:sz w:val="22"/>
                <w:szCs w:val="22"/>
              </w:rPr>
              <w:t>5,132</w:t>
            </w:r>
          </w:p>
        </w:tc>
        <w:tc>
          <w:tcPr>
            <w:tcW w:w="3037" w:type="dxa"/>
            <w:tcBorders>
              <w:top w:val="nil"/>
              <w:left w:val="nil"/>
              <w:bottom w:val="single" w:sz="12" w:space="0" w:color="auto"/>
              <w:right w:val="nil"/>
            </w:tcBorders>
            <w:shd w:val="clear" w:color="auto" w:fill="auto"/>
            <w:noWrap/>
            <w:vAlign w:val="bottom"/>
            <w:hideMark/>
          </w:tcPr>
          <w:p w:rsidR="005D6C5B" w:rsidRPr="003530A9" w:rsidRDefault="005D6C5B" w:rsidP="003530A9">
            <w:pPr>
              <w:jc w:val="center"/>
              <w:rPr>
                <w:color w:val="000000"/>
                <w:sz w:val="22"/>
                <w:szCs w:val="22"/>
              </w:rPr>
            </w:pPr>
            <w:r w:rsidRPr="003530A9">
              <w:rPr>
                <w:color w:val="000000"/>
                <w:sz w:val="22"/>
                <w:szCs w:val="22"/>
              </w:rPr>
              <w:t> 2,045 (39.85%)</w:t>
            </w:r>
          </w:p>
        </w:tc>
      </w:tr>
    </w:tbl>
    <w:p w:rsidR="00AF1E87" w:rsidRPr="003530A9" w:rsidRDefault="00AF1E87" w:rsidP="003530A9">
      <w:pPr>
        <w:rPr>
          <w:sz w:val="24"/>
          <w:szCs w:val="24"/>
        </w:rPr>
      </w:pPr>
    </w:p>
    <w:p w:rsidR="004F26E9" w:rsidRPr="003530A9" w:rsidRDefault="004F26E9" w:rsidP="003530A9">
      <w:pPr>
        <w:rPr>
          <w:sz w:val="24"/>
          <w:szCs w:val="24"/>
        </w:rPr>
      </w:pPr>
      <w:r w:rsidRPr="003530A9">
        <w:rPr>
          <w:b/>
          <w:bCs/>
          <w:sz w:val="24"/>
          <w:szCs w:val="24"/>
        </w:rPr>
        <w:t xml:space="preserve">10.  </w:t>
      </w:r>
      <w:r w:rsidRPr="003530A9">
        <w:rPr>
          <w:b/>
          <w:bCs/>
          <w:sz w:val="24"/>
          <w:szCs w:val="24"/>
          <w:u w:val="single"/>
        </w:rPr>
        <w:t>Describe any assurance of confidentiality provided to respondents and the basis for assurance in statute, regulation, or agency policy</w:t>
      </w:r>
      <w:r w:rsidRPr="003530A9">
        <w:rPr>
          <w:b/>
          <w:bCs/>
          <w:sz w:val="24"/>
          <w:szCs w:val="24"/>
        </w:rPr>
        <w:t>.</w:t>
      </w:r>
    </w:p>
    <w:p w:rsidR="004F26E9" w:rsidRPr="003530A9" w:rsidRDefault="004F26E9" w:rsidP="003530A9">
      <w:pPr>
        <w:rPr>
          <w:sz w:val="24"/>
          <w:szCs w:val="24"/>
        </w:rPr>
      </w:pPr>
    </w:p>
    <w:p w:rsidR="00CE62E8" w:rsidRPr="003530A9" w:rsidRDefault="00CE62E8" w:rsidP="003530A9">
      <w:pPr>
        <w:pStyle w:val="CM23"/>
      </w:pPr>
      <w:r w:rsidRPr="003530A9">
        <w:t xml:space="preserve">As stated on the instruments, responses are kept confidential as required by section 402(b) of the Magnuson-Stevens and </w:t>
      </w:r>
      <w:hyperlink r:id="rId12" w:history="1">
        <w:r w:rsidRPr="003530A9">
          <w:rPr>
            <w:rStyle w:val="Hyperlink"/>
          </w:rPr>
          <w:t>NOAA Administrative Order 216-100</w:t>
        </w:r>
      </w:hyperlink>
      <w:r w:rsidRPr="003530A9">
        <w:t xml:space="preserve">, Confidentiality of Fisheries Statistics, and will not be released for public use except in aggregate statistical form without identification as to its source.  Section 402(b) stipulates that data required to be submitted under </w:t>
      </w:r>
      <w:r w:rsidR="006677D1">
        <w:t>a</w:t>
      </w:r>
      <w:r w:rsidR="00FB21E2">
        <w:t>ny</w:t>
      </w:r>
      <w:r w:rsidR="006677D1">
        <w:t xml:space="preserve"> Fishery Management Plan (</w:t>
      </w:r>
      <w:r w:rsidRPr="003530A9">
        <w:t>FMP</w:t>
      </w:r>
      <w:r w:rsidR="006677D1">
        <w:t>)</w:t>
      </w:r>
      <w:r w:rsidRPr="003530A9">
        <w:t xml:space="preserve"> shall be confidential and shall not be released except to </w:t>
      </w:r>
      <w:r w:rsidRPr="003530A9">
        <w:lastRenderedPageBreak/>
        <w:t xml:space="preserve">Federal employees and Council staff responsible for FMP monitoring and development or when required under court order. Data such as personal addresses and phone numbers will remain confidential. </w:t>
      </w:r>
    </w:p>
    <w:p w:rsidR="004F26E9" w:rsidRPr="003530A9" w:rsidRDefault="004F26E9" w:rsidP="003530A9">
      <w:pPr>
        <w:rPr>
          <w:b/>
          <w:bCs/>
          <w:sz w:val="24"/>
          <w:szCs w:val="24"/>
        </w:rPr>
      </w:pPr>
      <w:r w:rsidRPr="003530A9">
        <w:rPr>
          <w:b/>
          <w:bCs/>
          <w:sz w:val="24"/>
          <w:szCs w:val="24"/>
        </w:rPr>
        <w:t xml:space="preserve">11.  </w:t>
      </w:r>
      <w:r w:rsidRPr="003530A9">
        <w:rPr>
          <w:b/>
          <w:bCs/>
          <w:sz w:val="24"/>
          <w:szCs w:val="24"/>
          <w:u w:val="single"/>
        </w:rPr>
        <w:t>Provide additional justification for any questions of a sensitive nature, such as sexual behavior and attitudes, religious beliefs, and other matters that are commonly considered private</w:t>
      </w:r>
      <w:r w:rsidRPr="003530A9">
        <w:rPr>
          <w:b/>
          <w:bCs/>
          <w:sz w:val="24"/>
          <w:szCs w:val="24"/>
        </w:rPr>
        <w:t>.</w:t>
      </w:r>
    </w:p>
    <w:p w:rsidR="00DA2CEA" w:rsidRPr="003530A9" w:rsidRDefault="00DA2CEA" w:rsidP="003530A9">
      <w:pPr>
        <w:rPr>
          <w:sz w:val="24"/>
          <w:szCs w:val="24"/>
        </w:rPr>
      </w:pPr>
    </w:p>
    <w:p w:rsidR="00923EA6" w:rsidRPr="003530A9" w:rsidRDefault="00CE62E8" w:rsidP="003530A9">
      <w:pPr>
        <w:pStyle w:val="CM22"/>
        <w:spacing w:after="0"/>
      </w:pPr>
      <w:r w:rsidRPr="003530A9">
        <w:t xml:space="preserve">No sensitive questions are asked. </w:t>
      </w:r>
    </w:p>
    <w:p w:rsidR="00DA2CEA" w:rsidRPr="003530A9" w:rsidRDefault="00DA2CEA" w:rsidP="003530A9"/>
    <w:p w:rsidR="00923EA6" w:rsidRPr="002F0498" w:rsidRDefault="004F26E9" w:rsidP="003530A9">
      <w:pPr>
        <w:pStyle w:val="CM22"/>
        <w:spacing w:after="0"/>
        <w:rPr>
          <w:b/>
          <w:bCs/>
        </w:rPr>
      </w:pPr>
      <w:r w:rsidRPr="002F0498">
        <w:rPr>
          <w:b/>
          <w:bCs/>
        </w:rPr>
        <w:t xml:space="preserve">12.  </w:t>
      </w:r>
      <w:r w:rsidRPr="002F0498">
        <w:rPr>
          <w:b/>
          <w:bCs/>
          <w:u w:val="single"/>
        </w:rPr>
        <w:t>Provide an estimate in hours of the burden of the collection of information</w:t>
      </w:r>
      <w:r w:rsidRPr="002F0498">
        <w:rPr>
          <w:b/>
          <w:bCs/>
        </w:rPr>
        <w:t>.</w:t>
      </w:r>
    </w:p>
    <w:p w:rsidR="00923EA6" w:rsidRPr="002F0498" w:rsidRDefault="00923EA6" w:rsidP="003530A9"/>
    <w:p w:rsidR="004D6912" w:rsidRPr="003530A9" w:rsidRDefault="00CE62E8" w:rsidP="003530A9">
      <w:pPr>
        <w:pStyle w:val="CM22"/>
        <w:spacing w:after="0"/>
      </w:pPr>
      <w:r w:rsidRPr="002F0498">
        <w:t xml:space="preserve">The estimated response burden per survey activity and the total response burden are shown in </w:t>
      </w:r>
      <w:r w:rsidR="006677D1" w:rsidRPr="002F0498">
        <w:t>T</w:t>
      </w:r>
      <w:r w:rsidRPr="002F0498">
        <w:t xml:space="preserve">able </w:t>
      </w:r>
      <w:r w:rsidR="001151B3" w:rsidRPr="002F0498">
        <w:t>2</w:t>
      </w:r>
      <w:r w:rsidRPr="002F0498">
        <w:t>. The expected number of respondents and number of responses are based on the results of previous MRIP pilot studies.</w:t>
      </w:r>
      <w:r w:rsidR="004D6912" w:rsidRPr="002F0498">
        <w:t xml:space="preserve">  A total of 1,59</w:t>
      </w:r>
      <w:r w:rsidR="00575B17" w:rsidRPr="002F0498">
        <w:t>4</w:t>
      </w:r>
      <w:r w:rsidR="00C65F64">
        <w:t xml:space="preserve"> (</w:t>
      </w:r>
      <w:r w:rsidR="00C65F64" w:rsidRPr="00C65F64">
        <w:rPr>
          <w:i/>
        </w:rPr>
        <w:t>rounded down to 1,593 in ROCIS)</w:t>
      </w:r>
      <w:r w:rsidR="00C65F64">
        <w:t>.</w:t>
      </w:r>
      <w:r w:rsidR="004D6912" w:rsidRPr="002F0498">
        <w:t xml:space="preserve"> burden hours are anticipated</w:t>
      </w:r>
      <w:r w:rsidR="00700E50" w:rsidRPr="002F0498">
        <w:t xml:space="preserve">. </w:t>
      </w:r>
      <w:r w:rsidR="004D6912" w:rsidRPr="002F0498">
        <w:t xml:space="preserve"> </w:t>
      </w:r>
      <w:r w:rsidR="00B97EA8" w:rsidRPr="002F0498">
        <w:t>An hourly rate of $22.77 is based on the average for all civilian workers from the January 2011 National Compensation Survey (</w:t>
      </w:r>
      <w:hyperlink r:id="rId13" w:history="1">
        <w:r w:rsidR="00B97EA8" w:rsidRPr="002F0498">
          <w:rPr>
            <w:rStyle w:val="Hyperlink"/>
          </w:rPr>
          <w:t>http://www.bls.gov/ncs/ocs/sp/nctb1477.pdf</w:t>
        </w:r>
      </w:hyperlink>
      <w:r w:rsidR="00B97EA8" w:rsidRPr="002F0498">
        <w:t xml:space="preserve">).  There are no other costs to respondent.  </w:t>
      </w:r>
      <w:r w:rsidR="00501FB4">
        <w:t xml:space="preserve">Labor costs to respondents will be </w:t>
      </w:r>
      <w:r w:rsidR="00B97EA8" w:rsidRPr="002F0498">
        <w:t>approximately $36,</w:t>
      </w:r>
      <w:r w:rsidR="00575B17" w:rsidRPr="002F0498">
        <w:t>2</w:t>
      </w:r>
      <w:r w:rsidR="00DA0375" w:rsidRPr="002F0498">
        <w:t>95</w:t>
      </w:r>
      <w:r w:rsidR="00B97EA8" w:rsidRPr="002F0498">
        <w:t>.</w:t>
      </w:r>
      <w:r w:rsidR="00D67E1D">
        <w:t xml:space="preserve"> </w:t>
      </w:r>
    </w:p>
    <w:p w:rsidR="004F26E9" w:rsidRPr="003530A9" w:rsidRDefault="004F26E9" w:rsidP="003530A9">
      <w:pPr>
        <w:rPr>
          <w:sz w:val="24"/>
          <w:szCs w:val="24"/>
        </w:rPr>
      </w:pPr>
    </w:p>
    <w:p w:rsidR="00D67E1D" w:rsidRPr="003530A9" w:rsidRDefault="00D67E1D" w:rsidP="00D67E1D">
      <w:pPr>
        <w:pStyle w:val="Default"/>
        <w:rPr>
          <w:b/>
        </w:rPr>
      </w:pPr>
      <w:r w:rsidRPr="003530A9">
        <w:rPr>
          <w:b/>
        </w:rPr>
        <w:t>Table 2. Estimated response burden for the MRIP Longitudinal Survey of Recreational Fishing Effort Participation.</w:t>
      </w:r>
    </w:p>
    <w:tbl>
      <w:tblPr>
        <w:tblW w:w="8894" w:type="dxa"/>
        <w:jc w:val="center"/>
        <w:tblInd w:w="93" w:type="dxa"/>
        <w:tblLayout w:type="fixed"/>
        <w:tblLook w:val="04A0" w:firstRow="1" w:lastRow="0" w:firstColumn="1" w:lastColumn="0" w:noHBand="0" w:noVBand="1"/>
      </w:tblPr>
      <w:tblGrid>
        <w:gridCol w:w="1896"/>
        <w:gridCol w:w="913"/>
        <w:gridCol w:w="1098"/>
        <w:gridCol w:w="1505"/>
        <w:gridCol w:w="1260"/>
        <w:gridCol w:w="1170"/>
        <w:gridCol w:w="1052"/>
      </w:tblGrid>
      <w:tr w:rsidR="00D67E1D" w:rsidRPr="00F7355A" w:rsidTr="00FB21E2">
        <w:trPr>
          <w:trHeight w:val="528"/>
          <w:jc w:val="center"/>
        </w:trPr>
        <w:tc>
          <w:tcPr>
            <w:tcW w:w="1896" w:type="dxa"/>
            <w:tcBorders>
              <w:top w:val="single" w:sz="12" w:space="0" w:color="auto"/>
              <w:left w:val="nil"/>
              <w:bottom w:val="single" w:sz="12" w:space="0" w:color="auto"/>
              <w:right w:val="nil"/>
            </w:tcBorders>
            <w:shd w:val="clear" w:color="auto" w:fill="auto"/>
            <w:noWrap/>
            <w:vAlign w:val="bottom"/>
            <w:hideMark/>
          </w:tcPr>
          <w:p w:rsidR="00D67E1D" w:rsidRPr="00F7355A" w:rsidRDefault="00D67E1D" w:rsidP="00FB21E2">
            <w:pPr>
              <w:spacing w:after="240"/>
              <w:jc w:val="center"/>
              <w:rPr>
                <w:b/>
                <w:color w:val="000000"/>
                <w:sz w:val="22"/>
                <w:szCs w:val="22"/>
              </w:rPr>
            </w:pPr>
            <w:r w:rsidRPr="00F7355A">
              <w:rPr>
                <w:b/>
                <w:color w:val="000000"/>
                <w:sz w:val="22"/>
                <w:szCs w:val="22"/>
              </w:rPr>
              <w:t>Stratum</w:t>
            </w:r>
          </w:p>
        </w:tc>
        <w:tc>
          <w:tcPr>
            <w:tcW w:w="913" w:type="dxa"/>
            <w:tcBorders>
              <w:top w:val="single" w:sz="12" w:space="0" w:color="auto"/>
              <w:left w:val="nil"/>
              <w:bottom w:val="single" w:sz="12" w:space="0" w:color="auto"/>
              <w:right w:val="nil"/>
            </w:tcBorders>
            <w:shd w:val="clear" w:color="auto" w:fill="auto"/>
            <w:vAlign w:val="bottom"/>
            <w:hideMark/>
          </w:tcPr>
          <w:p w:rsidR="00D67E1D" w:rsidRPr="00F7355A" w:rsidRDefault="00D67E1D" w:rsidP="00FB21E2">
            <w:pPr>
              <w:spacing w:after="240"/>
              <w:jc w:val="center"/>
              <w:rPr>
                <w:b/>
                <w:bCs/>
                <w:color w:val="000000"/>
                <w:sz w:val="22"/>
                <w:szCs w:val="22"/>
              </w:rPr>
            </w:pPr>
            <w:r w:rsidRPr="00F7355A">
              <w:rPr>
                <w:b/>
                <w:bCs/>
                <w:color w:val="000000"/>
                <w:sz w:val="22"/>
                <w:szCs w:val="22"/>
              </w:rPr>
              <w:t>Sample Size</w:t>
            </w:r>
          </w:p>
        </w:tc>
        <w:tc>
          <w:tcPr>
            <w:tcW w:w="1098" w:type="dxa"/>
            <w:tcBorders>
              <w:top w:val="single" w:sz="12" w:space="0" w:color="auto"/>
              <w:left w:val="nil"/>
              <w:bottom w:val="single" w:sz="12" w:space="0" w:color="auto"/>
              <w:right w:val="nil"/>
            </w:tcBorders>
            <w:shd w:val="clear" w:color="auto" w:fill="auto"/>
            <w:vAlign w:val="bottom"/>
            <w:hideMark/>
          </w:tcPr>
          <w:p w:rsidR="00D67E1D" w:rsidRPr="00F7355A" w:rsidRDefault="00D67E1D" w:rsidP="00FB21E2">
            <w:pPr>
              <w:jc w:val="center"/>
              <w:rPr>
                <w:b/>
                <w:bCs/>
                <w:color w:val="000000"/>
                <w:sz w:val="22"/>
                <w:szCs w:val="22"/>
              </w:rPr>
            </w:pPr>
            <w:r w:rsidRPr="00F7355A">
              <w:rPr>
                <w:b/>
                <w:bCs/>
                <w:color w:val="000000"/>
                <w:sz w:val="22"/>
                <w:szCs w:val="22"/>
              </w:rPr>
              <w:t>Expected Response Rate</w:t>
            </w:r>
          </w:p>
        </w:tc>
        <w:tc>
          <w:tcPr>
            <w:tcW w:w="1505" w:type="dxa"/>
            <w:tcBorders>
              <w:top w:val="single" w:sz="12" w:space="0" w:color="auto"/>
              <w:left w:val="nil"/>
              <w:bottom w:val="single" w:sz="12" w:space="0" w:color="auto"/>
              <w:right w:val="nil"/>
            </w:tcBorders>
            <w:shd w:val="clear" w:color="auto" w:fill="auto"/>
            <w:vAlign w:val="bottom"/>
            <w:hideMark/>
          </w:tcPr>
          <w:p w:rsidR="00D67E1D" w:rsidRPr="00F7355A" w:rsidRDefault="00D67E1D" w:rsidP="00FB21E2">
            <w:pPr>
              <w:jc w:val="center"/>
              <w:rPr>
                <w:b/>
                <w:bCs/>
                <w:color w:val="000000"/>
                <w:sz w:val="22"/>
                <w:szCs w:val="22"/>
              </w:rPr>
            </w:pPr>
            <w:r w:rsidRPr="00F7355A">
              <w:rPr>
                <w:b/>
                <w:bCs/>
                <w:color w:val="000000"/>
                <w:sz w:val="22"/>
                <w:szCs w:val="22"/>
              </w:rPr>
              <w:t>Estimated Number of Respondents</w:t>
            </w:r>
          </w:p>
        </w:tc>
        <w:tc>
          <w:tcPr>
            <w:tcW w:w="1260" w:type="dxa"/>
            <w:tcBorders>
              <w:top w:val="single" w:sz="12" w:space="0" w:color="auto"/>
              <w:left w:val="nil"/>
              <w:bottom w:val="single" w:sz="12" w:space="0" w:color="auto"/>
              <w:right w:val="nil"/>
            </w:tcBorders>
            <w:shd w:val="clear" w:color="auto" w:fill="auto"/>
            <w:vAlign w:val="bottom"/>
            <w:hideMark/>
          </w:tcPr>
          <w:p w:rsidR="00D67E1D" w:rsidRPr="00F7355A" w:rsidRDefault="00D67E1D" w:rsidP="00FB21E2">
            <w:pPr>
              <w:jc w:val="center"/>
              <w:rPr>
                <w:b/>
                <w:bCs/>
                <w:color w:val="000000"/>
                <w:sz w:val="22"/>
                <w:szCs w:val="22"/>
              </w:rPr>
            </w:pPr>
            <w:r w:rsidRPr="00F7355A">
              <w:rPr>
                <w:b/>
                <w:bCs/>
                <w:color w:val="000000"/>
                <w:sz w:val="22"/>
                <w:szCs w:val="22"/>
              </w:rPr>
              <w:t>Estimated Number of Responses</w:t>
            </w:r>
            <w:r w:rsidRPr="00F7355A">
              <w:rPr>
                <w:rStyle w:val="FootnoteReference"/>
                <w:b/>
                <w:bCs/>
                <w:color w:val="000000"/>
                <w:sz w:val="22"/>
                <w:szCs w:val="22"/>
              </w:rPr>
              <w:footnoteReference w:id="2"/>
            </w:r>
          </w:p>
        </w:tc>
        <w:tc>
          <w:tcPr>
            <w:tcW w:w="1170" w:type="dxa"/>
            <w:tcBorders>
              <w:top w:val="single" w:sz="12" w:space="0" w:color="auto"/>
              <w:left w:val="nil"/>
              <w:bottom w:val="single" w:sz="12" w:space="0" w:color="auto"/>
              <w:right w:val="nil"/>
            </w:tcBorders>
            <w:shd w:val="clear" w:color="auto" w:fill="auto"/>
            <w:vAlign w:val="bottom"/>
            <w:hideMark/>
          </w:tcPr>
          <w:p w:rsidR="00D67E1D" w:rsidRPr="00F7355A" w:rsidRDefault="00D67E1D" w:rsidP="00FB21E2">
            <w:pPr>
              <w:jc w:val="center"/>
              <w:rPr>
                <w:b/>
                <w:bCs/>
                <w:color w:val="000000"/>
                <w:sz w:val="22"/>
                <w:szCs w:val="22"/>
              </w:rPr>
            </w:pPr>
            <w:r w:rsidRPr="00F7355A">
              <w:rPr>
                <w:b/>
                <w:bCs/>
                <w:color w:val="000000"/>
                <w:sz w:val="22"/>
                <w:szCs w:val="22"/>
              </w:rPr>
              <w:t>Minutes per Response</w:t>
            </w:r>
          </w:p>
        </w:tc>
        <w:tc>
          <w:tcPr>
            <w:tcW w:w="1052" w:type="dxa"/>
            <w:tcBorders>
              <w:top w:val="single" w:sz="12" w:space="0" w:color="auto"/>
              <w:left w:val="nil"/>
              <w:bottom w:val="single" w:sz="12" w:space="0" w:color="auto"/>
              <w:right w:val="nil"/>
            </w:tcBorders>
            <w:shd w:val="clear" w:color="auto" w:fill="auto"/>
            <w:vAlign w:val="bottom"/>
            <w:hideMark/>
          </w:tcPr>
          <w:p w:rsidR="00D67E1D" w:rsidRPr="00F7355A" w:rsidRDefault="00D67E1D" w:rsidP="00FB21E2">
            <w:pPr>
              <w:jc w:val="center"/>
              <w:rPr>
                <w:b/>
                <w:bCs/>
                <w:color w:val="000000"/>
                <w:sz w:val="22"/>
                <w:szCs w:val="22"/>
              </w:rPr>
            </w:pPr>
            <w:r w:rsidRPr="00F7355A">
              <w:rPr>
                <w:b/>
                <w:bCs/>
                <w:color w:val="000000"/>
                <w:sz w:val="22"/>
                <w:szCs w:val="22"/>
              </w:rPr>
              <w:t>Total Time (Hours)</w:t>
            </w:r>
          </w:p>
        </w:tc>
      </w:tr>
      <w:tr w:rsidR="00D67E1D" w:rsidRPr="003530A9" w:rsidTr="00FB21E2">
        <w:trPr>
          <w:trHeight w:val="96"/>
          <w:jc w:val="center"/>
        </w:trPr>
        <w:tc>
          <w:tcPr>
            <w:tcW w:w="1896" w:type="dxa"/>
            <w:tcBorders>
              <w:top w:val="nil"/>
              <w:left w:val="nil"/>
              <w:bottom w:val="nil"/>
              <w:right w:val="nil"/>
            </w:tcBorders>
            <w:shd w:val="clear" w:color="auto" w:fill="auto"/>
            <w:noWrap/>
            <w:vAlign w:val="bottom"/>
            <w:hideMark/>
          </w:tcPr>
          <w:p w:rsidR="00D67E1D" w:rsidRPr="003530A9" w:rsidRDefault="00D67E1D" w:rsidP="00FB21E2">
            <w:pPr>
              <w:rPr>
                <w:color w:val="000000"/>
                <w:sz w:val="22"/>
                <w:szCs w:val="22"/>
              </w:rPr>
            </w:pPr>
            <w:r w:rsidRPr="003530A9">
              <w:rPr>
                <w:color w:val="000000"/>
                <w:sz w:val="22"/>
                <w:szCs w:val="22"/>
              </w:rPr>
              <w:t>Study total</w:t>
            </w:r>
          </w:p>
        </w:tc>
        <w:tc>
          <w:tcPr>
            <w:tcW w:w="913" w:type="dxa"/>
            <w:tcBorders>
              <w:top w:val="nil"/>
              <w:left w:val="nil"/>
              <w:bottom w:val="nil"/>
              <w:right w:val="nil"/>
            </w:tcBorders>
            <w:shd w:val="clear" w:color="auto" w:fill="auto"/>
            <w:vAlign w:val="bottom"/>
            <w:hideMark/>
          </w:tcPr>
          <w:p w:rsidR="00D67E1D" w:rsidRPr="003530A9" w:rsidRDefault="00D67E1D" w:rsidP="00FB21E2">
            <w:pPr>
              <w:jc w:val="center"/>
              <w:rPr>
                <w:color w:val="000000"/>
                <w:sz w:val="22"/>
                <w:szCs w:val="22"/>
              </w:rPr>
            </w:pPr>
            <w:r w:rsidRPr="003530A9">
              <w:rPr>
                <w:color w:val="000000"/>
                <w:sz w:val="22"/>
                <w:szCs w:val="22"/>
              </w:rPr>
              <w:t>12,000</w:t>
            </w:r>
          </w:p>
        </w:tc>
        <w:tc>
          <w:tcPr>
            <w:tcW w:w="1098" w:type="dxa"/>
            <w:tcBorders>
              <w:top w:val="nil"/>
              <w:left w:val="nil"/>
              <w:bottom w:val="nil"/>
              <w:right w:val="nil"/>
            </w:tcBorders>
            <w:shd w:val="clear" w:color="auto" w:fill="auto"/>
            <w:vAlign w:val="bottom"/>
            <w:hideMark/>
          </w:tcPr>
          <w:p w:rsidR="00D67E1D" w:rsidRPr="003530A9" w:rsidRDefault="00D67E1D" w:rsidP="00FB21E2">
            <w:pPr>
              <w:jc w:val="center"/>
              <w:rPr>
                <w:color w:val="000000"/>
                <w:sz w:val="22"/>
                <w:szCs w:val="22"/>
              </w:rPr>
            </w:pPr>
          </w:p>
        </w:tc>
        <w:tc>
          <w:tcPr>
            <w:tcW w:w="1505" w:type="dxa"/>
            <w:tcBorders>
              <w:top w:val="nil"/>
              <w:left w:val="nil"/>
              <w:bottom w:val="nil"/>
              <w:right w:val="nil"/>
            </w:tcBorders>
            <w:shd w:val="clear" w:color="auto" w:fill="auto"/>
            <w:vAlign w:val="bottom"/>
            <w:hideMark/>
          </w:tcPr>
          <w:p w:rsidR="00D67E1D" w:rsidRPr="003530A9" w:rsidRDefault="00D67E1D" w:rsidP="00FB21E2">
            <w:pPr>
              <w:jc w:val="center"/>
              <w:rPr>
                <w:color w:val="000000"/>
                <w:sz w:val="22"/>
                <w:szCs w:val="22"/>
              </w:rPr>
            </w:pPr>
            <w:r w:rsidRPr="003530A9">
              <w:rPr>
                <w:color w:val="000000"/>
                <w:sz w:val="22"/>
                <w:szCs w:val="22"/>
              </w:rPr>
              <w:t>5,131</w:t>
            </w:r>
          </w:p>
        </w:tc>
        <w:tc>
          <w:tcPr>
            <w:tcW w:w="1260" w:type="dxa"/>
            <w:tcBorders>
              <w:top w:val="nil"/>
              <w:left w:val="nil"/>
              <w:bottom w:val="nil"/>
              <w:right w:val="nil"/>
            </w:tcBorders>
            <w:shd w:val="clear" w:color="auto" w:fill="auto"/>
            <w:vAlign w:val="bottom"/>
            <w:hideMark/>
          </w:tcPr>
          <w:p w:rsidR="00D67E1D" w:rsidRPr="003530A9" w:rsidRDefault="00D67E1D" w:rsidP="00FB21E2">
            <w:pPr>
              <w:jc w:val="center"/>
              <w:rPr>
                <w:color w:val="000000"/>
                <w:sz w:val="22"/>
                <w:szCs w:val="22"/>
              </w:rPr>
            </w:pPr>
            <w:r w:rsidRPr="003530A9">
              <w:rPr>
                <w:color w:val="000000"/>
                <w:sz w:val="22"/>
                <w:szCs w:val="22"/>
              </w:rPr>
              <w:t>9,5</w:t>
            </w:r>
            <w:r>
              <w:rPr>
                <w:color w:val="000000"/>
                <w:sz w:val="22"/>
                <w:szCs w:val="22"/>
              </w:rPr>
              <w:t>58</w:t>
            </w:r>
          </w:p>
        </w:tc>
        <w:tc>
          <w:tcPr>
            <w:tcW w:w="1170" w:type="dxa"/>
            <w:tcBorders>
              <w:top w:val="nil"/>
              <w:left w:val="nil"/>
              <w:bottom w:val="nil"/>
              <w:right w:val="nil"/>
            </w:tcBorders>
            <w:shd w:val="clear" w:color="auto" w:fill="auto"/>
            <w:vAlign w:val="bottom"/>
            <w:hideMark/>
          </w:tcPr>
          <w:p w:rsidR="00D67E1D" w:rsidRPr="003530A9" w:rsidRDefault="00D67E1D" w:rsidP="00FB21E2">
            <w:pPr>
              <w:jc w:val="center"/>
              <w:rPr>
                <w:color w:val="000000"/>
                <w:sz w:val="22"/>
                <w:szCs w:val="22"/>
              </w:rPr>
            </w:pPr>
          </w:p>
        </w:tc>
        <w:tc>
          <w:tcPr>
            <w:tcW w:w="1052" w:type="dxa"/>
            <w:tcBorders>
              <w:top w:val="nil"/>
              <w:left w:val="nil"/>
              <w:bottom w:val="nil"/>
              <w:right w:val="nil"/>
            </w:tcBorders>
            <w:shd w:val="clear" w:color="auto" w:fill="auto"/>
            <w:vAlign w:val="bottom"/>
            <w:hideMark/>
          </w:tcPr>
          <w:p w:rsidR="00D67E1D" w:rsidRPr="003530A9" w:rsidRDefault="00D67E1D" w:rsidP="00FB21E2">
            <w:pPr>
              <w:jc w:val="center"/>
              <w:rPr>
                <w:color w:val="000000"/>
                <w:sz w:val="22"/>
                <w:szCs w:val="22"/>
              </w:rPr>
            </w:pPr>
            <w:r w:rsidRPr="003530A9">
              <w:rPr>
                <w:color w:val="000000"/>
                <w:sz w:val="22"/>
                <w:szCs w:val="22"/>
              </w:rPr>
              <w:t>1,59</w:t>
            </w:r>
            <w:r>
              <w:rPr>
                <w:color w:val="000000"/>
                <w:sz w:val="22"/>
                <w:szCs w:val="22"/>
              </w:rPr>
              <w:t>4</w:t>
            </w:r>
          </w:p>
        </w:tc>
      </w:tr>
      <w:tr w:rsidR="00D67E1D" w:rsidRPr="003530A9" w:rsidTr="00FB21E2">
        <w:trPr>
          <w:trHeight w:val="126"/>
          <w:jc w:val="center"/>
        </w:trPr>
        <w:tc>
          <w:tcPr>
            <w:tcW w:w="1896" w:type="dxa"/>
            <w:tcBorders>
              <w:top w:val="nil"/>
              <w:left w:val="nil"/>
              <w:bottom w:val="nil"/>
              <w:right w:val="nil"/>
            </w:tcBorders>
            <w:shd w:val="clear" w:color="auto" w:fill="auto"/>
            <w:vAlign w:val="bottom"/>
            <w:hideMark/>
          </w:tcPr>
          <w:p w:rsidR="00D67E1D" w:rsidRPr="003530A9" w:rsidRDefault="00D67E1D" w:rsidP="00FB21E2">
            <w:pPr>
              <w:rPr>
                <w:color w:val="000000"/>
                <w:sz w:val="22"/>
                <w:szCs w:val="22"/>
              </w:rPr>
            </w:pPr>
            <w:r w:rsidRPr="003530A9">
              <w:rPr>
                <w:color w:val="000000"/>
                <w:sz w:val="22"/>
                <w:szCs w:val="22"/>
              </w:rPr>
              <w:t>Resident angler</w:t>
            </w:r>
            <w:r>
              <w:rPr>
                <w:rStyle w:val="FootnoteReference"/>
                <w:color w:val="000000"/>
                <w:sz w:val="22"/>
                <w:szCs w:val="22"/>
              </w:rPr>
              <w:footnoteReference w:id="3"/>
            </w:r>
          </w:p>
        </w:tc>
        <w:tc>
          <w:tcPr>
            <w:tcW w:w="913" w:type="dxa"/>
            <w:tcBorders>
              <w:top w:val="nil"/>
              <w:left w:val="nil"/>
              <w:bottom w:val="nil"/>
              <w:right w:val="nil"/>
            </w:tcBorders>
            <w:shd w:val="clear" w:color="auto" w:fill="auto"/>
            <w:noWrap/>
            <w:vAlign w:val="bottom"/>
            <w:hideMark/>
          </w:tcPr>
          <w:p w:rsidR="00D67E1D" w:rsidRPr="003530A9" w:rsidRDefault="00D67E1D" w:rsidP="00FB21E2">
            <w:pPr>
              <w:jc w:val="center"/>
              <w:rPr>
                <w:color w:val="000000"/>
                <w:sz w:val="22"/>
                <w:szCs w:val="22"/>
              </w:rPr>
            </w:pPr>
            <w:r w:rsidRPr="003530A9">
              <w:rPr>
                <w:color w:val="000000"/>
                <w:sz w:val="22"/>
                <w:szCs w:val="22"/>
              </w:rPr>
              <w:t>11,280</w:t>
            </w:r>
            <w:r w:rsidRPr="003530A9">
              <w:rPr>
                <w:rStyle w:val="FootnoteReference"/>
                <w:color w:val="000000"/>
                <w:sz w:val="22"/>
                <w:szCs w:val="22"/>
              </w:rPr>
              <w:footnoteReference w:id="4"/>
            </w:r>
          </w:p>
        </w:tc>
        <w:tc>
          <w:tcPr>
            <w:tcW w:w="1098" w:type="dxa"/>
            <w:tcBorders>
              <w:top w:val="nil"/>
              <w:left w:val="nil"/>
              <w:bottom w:val="nil"/>
              <w:right w:val="nil"/>
            </w:tcBorders>
            <w:shd w:val="clear" w:color="auto" w:fill="auto"/>
            <w:noWrap/>
            <w:vAlign w:val="bottom"/>
            <w:hideMark/>
          </w:tcPr>
          <w:p w:rsidR="00D67E1D" w:rsidRPr="003530A9" w:rsidRDefault="00D67E1D" w:rsidP="00FB21E2">
            <w:pPr>
              <w:jc w:val="center"/>
              <w:rPr>
                <w:color w:val="000000"/>
                <w:sz w:val="22"/>
                <w:szCs w:val="22"/>
              </w:rPr>
            </w:pPr>
            <w:r w:rsidRPr="003530A9">
              <w:rPr>
                <w:color w:val="000000"/>
                <w:sz w:val="22"/>
                <w:szCs w:val="22"/>
              </w:rPr>
              <w:t>48%</w:t>
            </w:r>
            <w:r w:rsidRPr="00D67E1D">
              <w:rPr>
                <w:rStyle w:val="FootnoteReference"/>
                <w:bCs/>
                <w:color w:val="000000"/>
                <w:sz w:val="22"/>
                <w:szCs w:val="22"/>
              </w:rPr>
              <w:footnoteReference w:id="5"/>
            </w:r>
          </w:p>
        </w:tc>
        <w:tc>
          <w:tcPr>
            <w:tcW w:w="1505" w:type="dxa"/>
            <w:tcBorders>
              <w:top w:val="nil"/>
              <w:left w:val="nil"/>
              <w:bottom w:val="nil"/>
              <w:right w:val="nil"/>
            </w:tcBorders>
            <w:shd w:val="clear" w:color="auto" w:fill="auto"/>
            <w:noWrap/>
            <w:vAlign w:val="bottom"/>
            <w:hideMark/>
          </w:tcPr>
          <w:p w:rsidR="00D67E1D" w:rsidRPr="003530A9" w:rsidRDefault="00D67E1D" w:rsidP="00FB21E2">
            <w:pPr>
              <w:jc w:val="center"/>
              <w:rPr>
                <w:color w:val="000000"/>
                <w:sz w:val="22"/>
                <w:szCs w:val="22"/>
              </w:rPr>
            </w:pPr>
            <w:r w:rsidRPr="003530A9">
              <w:rPr>
                <w:color w:val="000000"/>
                <w:sz w:val="22"/>
                <w:szCs w:val="22"/>
              </w:rPr>
              <w:t>4,742</w:t>
            </w:r>
            <w:r>
              <w:rPr>
                <w:rStyle w:val="FootnoteReference"/>
                <w:b/>
                <w:bCs/>
                <w:color w:val="000000"/>
                <w:sz w:val="22"/>
                <w:szCs w:val="22"/>
              </w:rPr>
              <w:footnoteReference w:id="6"/>
            </w:r>
          </w:p>
        </w:tc>
        <w:tc>
          <w:tcPr>
            <w:tcW w:w="1260" w:type="dxa"/>
            <w:tcBorders>
              <w:top w:val="nil"/>
              <w:left w:val="nil"/>
              <w:bottom w:val="nil"/>
              <w:right w:val="nil"/>
            </w:tcBorders>
            <w:shd w:val="clear" w:color="auto" w:fill="auto"/>
            <w:noWrap/>
            <w:vAlign w:val="bottom"/>
            <w:hideMark/>
          </w:tcPr>
          <w:p w:rsidR="00D67E1D" w:rsidRPr="003530A9" w:rsidRDefault="00D67E1D" w:rsidP="00FB21E2">
            <w:pPr>
              <w:jc w:val="center"/>
              <w:rPr>
                <w:color w:val="000000"/>
                <w:sz w:val="22"/>
                <w:szCs w:val="22"/>
              </w:rPr>
            </w:pPr>
            <w:r w:rsidRPr="003530A9">
              <w:rPr>
                <w:color w:val="000000"/>
                <w:sz w:val="22"/>
                <w:szCs w:val="22"/>
              </w:rPr>
              <w:t>8,7</w:t>
            </w:r>
            <w:r>
              <w:rPr>
                <w:color w:val="000000"/>
                <w:sz w:val="22"/>
                <w:szCs w:val="22"/>
              </w:rPr>
              <w:t>33</w:t>
            </w:r>
            <w:r>
              <w:rPr>
                <w:rStyle w:val="FootnoteReference"/>
                <w:color w:val="000000"/>
                <w:sz w:val="22"/>
                <w:szCs w:val="22"/>
              </w:rPr>
              <w:footnoteReference w:id="7"/>
            </w:r>
          </w:p>
        </w:tc>
        <w:tc>
          <w:tcPr>
            <w:tcW w:w="1170" w:type="dxa"/>
            <w:tcBorders>
              <w:top w:val="nil"/>
              <w:left w:val="nil"/>
              <w:bottom w:val="nil"/>
              <w:right w:val="nil"/>
            </w:tcBorders>
            <w:shd w:val="clear" w:color="auto" w:fill="auto"/>
            <w:noWrap/>
            <w:vAlign w:val="bottom"/>
            <w:hideMark/>
          </w:tcPr>
          <w:p w:rsidR="00D67E1D" w:rsidRPr="003530A9" w:rsidRDefault="00D67E1D" w:rsidP="00FB21E2">
            <w:pPr>
              <w:jc w:val="center"/>
              <w:rPr>
                <w:color w:val="000000"/>
                <w:sz w:val="22"/>
                <w:szCs w:val="22"/>
              </w:rPr>
            </w:pPr>
            <w:r w:rsidRPr="003530A9">
              <w:rPr>
                <w:color w:val="000000"/>
                <w:sz w:val="22"/>
                <w:szCs w:val="22"/>
              </w:rPr>
              <w:t>10</w:t>
            </w:r>
          </w:p>
        </w:tc>
        <w:tc>
          <w:tcPr>
            <w:tcW w:w="1052" w:type="dxa"/>
            <w:tcBorders>
              <w:top w:val="nil"/>
              <w:left w:val="nil"/>
              <w:bottom w:val="nil"/>
              <w:right w:val="nil"/>
            </w:tcBorders>
            <w:shd w:val="clear" w:color="auto" w:fill="auto"/>
            <w:noWrap/>
            <w:vAlign w:val="bottom"/>
            <w:hideMark/>
          </w:tcPr>
          <w:p w:rsidR="00D67E1D" w:rsidRPr="003530A9" w:rsidRDefault="00D67E1D" w:rsidP="00FB21E2">
            <w:pPr>
              <w:jc w:val="center"/>
              <w:rPr>
                <w:color w:val="000000"/>
                <w:sz w:val="22"/>
                <w:szCs w:val="22"/>
              </w:rPr>
            </w:pPr>
            <w:r w:rsidRPr="003530A9">
              <w:rPr>
                <w:color w:val="000000"/>
                <w:sz w:val="22"/>
                <w:szCs w:val="22"/>
              </w:rPr>
              <w:t>1,45</w:t>
            </w:r>
            <w:r>
              <w:rPr>
                <w:color w:val="000000"/>
                <w:sz w:val="22"/>
                <w:szCs w:val="22"/>
              </w:rPr>
              <w:t>6</w:t>
            </w:r>
          </w:p>
        </w:tc>
      </w:tr>
      <w:tr w:rsidR="00D67E1D" w:rsidRPr="003530A9" w:rsidTr="00FB21E2">
        <w:trPr>
          <w:trHeight w:val="144"/>
          <w:jc w:val="center"/>
        </w:trPr>
        <w:tc>
          <w:tcPr>
            <w:tcW w:w="1896" w:type="dxa"/>
            <w:tcBorders>
              <w:top w:val="nil"/>
              <w:left w:val="nil"/>
              <w:bottom w:val="single" w:sz="12" w:space="0" w:color="auto"/>
              <w:right w:val="nil"/>
            </w:tcBorders>
            <w:shd w:val="clear" w:color="auto" w:fill="auto"/>
            <w:noWrap/>
            <w:vAlign w:val="bottom"/>
          </w:tcPr>
          <w:p w:rsidR="00D67E1D" w:rsidRPr="003530A9" w:rsidRDefault="00D67E1D" w:rsidP="00FB21E2">
            <w:pPr>
              <w:rPr>
                <w:color w:val="000000"/>
                <w:sz w:val="22"/>
                <w:szCs w:val="22"/>
              </w:rPr>
            </w:pPr>
            <w:r w:rsidRPr="003530A9">
              <w:rPr>
                <w:color w:val="000000"/>
                <w:sz w:val="22"/>
                <w:szCs w:val="22"/>
              </w:rPr>
              <w:t>Nonresident angler</w:t>
            </w:r>
          </w:p>
        </w:tc>
        <w:tc>
          <w:tcPr>
            <w:tcW w:w="913" w:type="dxa"/>
            <w:tcBorders>
              <w:top w:val="nil"/>
              <w:left w:val="nil"/>
              <w:bottom w:val="single" w:sz="12" w:space="0" w:color="auto"/>
              <w:right w:val="nil"/>
            </w:tcBorders>
            <w:shd w:val="clear" w:color="auto" w:fill="auto"/>
            <w:noWrap/>
            <w:vAlign w:val="bottom"/>
          </w:tcPr>
          <w:p w:rsidR="00D67E1D" w:rsidRPr="003530A9" w:rsidRDefault="00D67E1D" w:rsidP="00FB21E2">
            <w:pPr>
              <w:jc w:val="center"/>
              <w:rPr>
                <w:color w:val="000000"/>
                <w:sz w:val="22"/>
                <w:szCs w:val="22"/>
                <w:highlight w:val="yellow"/>
              </w:rPr>
            </w:pPr>
            <w:r w:rsidRPr="003530A9">
              <w:rPr>
                <w:color w:val="000000"/>
                <w:sz w:val="22"/>
                <w:szCs w:val="22"/>
              </w:rPr>
              <w:t>720</w:t>
            </w:r>
            <w:r w:rsidRPr="003530A9">
              <w:rPr>
                <w:rStyle w:val="FootnoteReference"/>
                <w:color w:val="000000"/>
                <w:sz w:val="22"/>
                <w:szCs w:val="22"/>
              </w:rPr>
              <w:footnoteReference w:id="8"/>
            </w:r>
          </w:p>
        </w:tc>
        <w:tc>
          <w:tcPr>
            <w:tcW w:w="1098" w:type="dxa"/>
            <w:tcBorders>
              <w:top w:val="nil"/>
              <w:left w:val="nil"/>
              <w:bottom w:val="single" w:sz="12" w:space="0" w:color="auto"/>
              <w:right w:val="nil"/>
            </w:tcBorders>
            <w:shd w:val="clear" w:color="auto" w:fill="auto"/>
            <w:noWrap/>
            <w:vAlign w:val="bottom"/>
          </w:tcPr>
          <w:p w:rsidR="00D67E1D" w:rsidRPr="003530A9" w:rsidRDefault="00D67E1D" w:rsidP="00FB21E2">
            <w:pPr>
              <w:jc w:val="center"/>
              <w:rPr>
                <w:color w:val="000000"/>
                <w:sz w:val="22"/>
                <w:szCs w:val="22"/>
              </w:rPr>
            </w:pPr>
            <w:r w:rsidRPr="003530A9">
              <w:rPr>
                <w:color w:val="000000"/>
                <w:sz w:val="22"/>
                <w:szCs w:val="22"/>
              </w:rPr>
              <w:t>60%</w:t>
            </w:r>
          </w:p>
        </w:tc>
        <w:tc>
          <w:tcPr>
            <w:tcW w:w="1505" w:type="dxa"/>
            <w:tcBorders>
              <w:top w:val="nil"/>
              <w:left w:val="nil"/>
              <w:bottom w:val="single" w:sz="12" w:space="0" w:color="auto"/>
              <w:right w:val="nil"/>
            </w:tcBorders>
            <w:shd w:val="clear" w:color="auto" w:fill="auto"/>
            <w:noWrap/>
            <w:vAlign w:val="bottom"/>
          </w:tcPr>
          <w:p w:rsidR="00D67E1D" w:rsidRPr="003530A9" w:rsidRDefault="00D67E1D" w:rsidP="00FB21E2">
            <w:pPr>
              <w:jc w:val="center"/>
              <w:rPr>
                <w:color w:val="000000"/>
                <w:sz w:val="22"/>
                <w:szCs w:val="22"/>
              </w:rPr>
            </w:pPr>
            <w:r w:rsidRPr="003530A9">
              <w:rPr>
                <w:color w:val="000000"/>
                <w:sz w:val="22"/>
                <w:szCs w:val="22"/>
              </w:rPr>
              <w:t>389</w:t>
            </w:r>
          </w:p>
        </w:tc>
        <w:tc>
          <w:tcPr>
            <w:tcW w:w="1260" w:type="dxa"/>
            <w:tcBorders>
              <w:top w:val="nil"/>
              <w:left w:val="nil"/>
              <w:bottom w:val="single" w:sz="12" w:space="0" w:color="auto"/>
              <w:right w:val="nil"/>
            </w:tcBorders>
            <w:shd w:val="clear" w:color="auto" w:fill="auto"/>
            <w:noWrap/>
            <w:vAlign w:val="bottom"/>
          </w:tcPr>
          <w:p w:rsidR="00D67E1D" w:rsidRPr="003530A9" w:rsidRDefault="00D67E1D" w:rsidP="00FB21E2">
            <w:pPr>
              <w:jc w:val="center"/>
              <w:rPr>
                <w:color w:val="000000"/>
                <w:sz w:val="22"/>
                <w:szCs w:val="22"/>
              </w:rPr>
            </w:pPr>
            <w:r w:rsidRPr="003530A9">
              <w:rPr>
                <w:color w:val="000000"/>
                <w:sz w:val="22"/>
                <w:szCs w:val="22"/>
              </w:rPr>
              <w:t>825</w:t>
            </w:r>
          </w:p>
        </w:tc>
        <w:tc>
          <w:tcPr>
            <w:tcW w:w="1170" w:type="dxa"/>
            <w:tcBorders>
              <w:top w:val="nil"/>
              <w:left w:val="nil"/>
              <w:bottom w:val="single" w:sz="12" w:space="0" w:color="auto"/>
              <w:right w:val="nil"/>
            </w:tcBorders>
            <w:shd w:val="clear" w:color="auto" w:fill="auto"/>
            <w:noWrap/>
            <w:vAlign w:val="bottom"/>
          </w:tcPr>
          <w:p w:rsidR="00D67E1D" w:rsidRPr="003530A9" w:rsidRDefault="00D67E1D" w:rsidP="00FB21E2">
            <w:pPr>
              <w:jc w:val="center"/>
              <w:rPr>
                <w:color w:val="000000"/>
                <w:sz w:val="22"/>
                <w:szCs w:val="22"/>
              </w:rPr>
            </w:pPr>
            <w:r w:rsidRPr="003530A9">
              <w:rPr>
                <w:color w:val="000000"/>
                <w:sz w:val="22"/>
                <w:szCs w:val="22"/>
              </w:rPr>
              <w:t>10</w:t>
            </w:r>
          </w:p>
        </w:tc>
        <w:tc>
          <w:tcPr>
            <w:tcW w:w="1052" w:type="dxa"/>
            <w:tcBorders>
              <w:top w:val="nil"/>
              <w:left w:val="nil"/>
              <w:bottom w:val="single" w:sz="12" w:space="0" w:color="auto"/>
              <w:right w:val="nil"/>
            </w:tcBorders>
            <w:shd w:val="clear" w:color="auto" w:fill="auto"/>
            <w:noWrap/>
            <w:vAlign w:val="bottom"/>
          </w:tcPr>
          <w:p w:rsidR="00D67E1D" w:rsidRPr="003530A9" w:rsidRDefault="00D67E1D" w:rsidP="00FB21E2">
            <w:pPr>
              <w:jc w:val="center"/>
              <w:rPr>
                <w:color w:val="000000"/>
                <w:sz w:val="22"/>
                <w:szCs w:val="22"/>
              </w:rPr>
            </w:pPr>
            <w:r w:rsidRPr="003530A9">
              <w:rPr>
                <w:color w:val="000000"/>
                <w:sz w:val="22"/>
                <w:szCs w:val="22"/>
              </w:rPr>
              <w:t>138</w:t>
            </w:r>
          </w:p>
        </w:tc>
      </w:tr>
    </w:tbl>
    <w:p w:rsidR="00A15C4E" w:rsidRPr="003530A9" w:rsidRDefault="00A15C4E" w:rsidP="003530A9">
      <w:pPr>
        <w:pStyle w:val="Default"/>
        <w:rPr>
          <w:b/>
        </w:rPr>
      </w:pPr>
    </w:p>
    <w:p w:rsidR="004F26E9" w:rsidRPr="003530A9" w:rsidRDefault="004F26E9" w:rsidP="003530A9">
      <w:pPr>
        <w:rPr>
          <w:sz w:val="24"/>
          <w:szCs w:val="24"/>
        </w:rPr>
      </w:pPr>
      <w:r w:rsidRPr="003530A9">
        <w:rPr>
          <w:b/>
          <w:bCs/>
          <w:sz w:val="24"/>
          <w:szCs w:val="24"/>
        </w:rPr>
        <w:t xml:space="preserve">13.  </w:t>
      </w:r>
      <w:r w:rsidRPr="003530A9">
        <w:rPr>
          <w:b/>
          <w:bCs/>
          <w:sz w:val="24"/>
          <w:szCs w:val="24"/>
          <w:u w:val="single"/>
        </w:rPr>
        <w:t xml:space="preserve">Provide an estimate of the total annual cost burden to the respondents or record-keepers resulting from the collection (excluding the value of the burden hours in </w:t>
      </w:r>
      <w:r w:rsidR="00725C5C" w:rsidRPr="003530A9">
        <w:rPr>
          <w:b/>
          <w:bCs/>
          <w:sz w:val="24"/>
          <w:szCs w:val="24"/>
          <w:u w:val="single"/>
        </w:rPr>
        <w:t xml:space="preserve">Question </w:t>
      </w:r>
      <w:r w:rsidRPr="003530A9">
        <w:rPr>
          <w:b/>
          <w:bCs/>
          <w:sz w:val="24"/>
          <w:szCs w:val="24"/>
          <w:u w:val="single"/>
        </w:rPr>
        <w:t>12 above)</w:t>
      </w:r>
      <w:r w:rsidRPr="003530A9">
        <w:rPr>
          <w:b/>
          <w:bCs/>
          <w:sz w:val="24"/>
          <w:szCs w:val="24"/>
        </w:rPr>
        <w:t>.</w:t>
      </w:r>
    </w:p>
    <w:p w:rsidR="004F26E9" w:rsidRPr="003530A9" w:rsidRDefault="004F26E9" w:rsidP="003530A9">
      <w:pPr>
        <w:rPr>
          <w:sz w:val="24"/>
          <w:szCs w:val="24"/>
        </w:rPr>
      </w:pPr>
    </w:p>
    <w:p w:rsidR="000B556F" w:rsidRPr="005122FF" w:rsidRDefault="00923EA6" w:rsidP="000B556F">
      <w:pPr>
        <w:pStyle w:val="P1-StandPara"/>
        <w:spacing w:line="240" w:lineRule="auto"/>
        <w:ind w:firstLine="0"/>
      </w:pPr>
      <w:r w:rsidRPr="003530A9">
        <w:t xml:space="preserve">These data collections will incur no cost burden on respondents beyond the costs of response time. </w:t>
      </w:r>
    </w:p>
    <w:p w:rsidR="004F26E9" w:rsidRPr="003530A9" w:rsidRDefault="00923EA6" w:rsidP="0073147F">
      <w:pPr>
        <w:pStyle w:val="CM4"/>
        <w:spacing w:line="240" w:lineRule="auto"/>
        <w:ind w:right="533"/>
      </w:pPr>
      <w:r w:rsidRPr="003530A9">
        <w:t xml:space="preserve"> </w:t>
      </w:r>
    </w:p>
    <w:p w:rsidR="004F26E9" w:rsidRPr="003530A9" w:rsidRDefault="004F26E9" w:rsidP="003530A9">
      <w:pPr>
        <w:rPr>
          <w:sz w:val="24"/>
          <w:szCs w:val="24"/>
        </w:rPr>
      </w:pPr>
      <w:r w:rsidRPr="003530A9">
        <w:rPr>
          <w:b/>
          <w:bCs/>
          <w:sz w:val="24"/>
          <w:szCs w:val="24"/>
        </w:rPr>
        <w:t xml:space="preserve">14.  </w:t>
      </w:r>
      <w:r w:rsidRPr="003530A9">
        <w:rPr>
          <w:b/>
          <w:bCs/>
          <w:sz w:val="24"/>
          <w:szCs w:val="24"/>
          <w:u w:val="single"/>
        </w:rPr>
        <w:t>Provide estimates of annualized cost to the Federal government</w:t>
      </w:r>
      <w:r w:rsidRPr="003530A9">
        <w:rPr>
          <w:b/>
          <w:bCs/>
          <w:sz w:val="24"/>
          <w:szCs w:val="24"/>
        </w:rPr>
        <w:t>.</w:t>
      </w:r>
    </w:p>
    <w:p w:rsidR="004F26E9" w:rsidRPr="003530A9" w:rsidRDefault="004F26E9" w:rsidP="003530A9">
      <w:pPr>
        <w:rPr>
          <w:sz w:val="24"/>
          <w:szCs w:val="24"/>
        </w:rPr>
      </w:pPr>
    </w:p>
    <w:p w:rsidR="00923EA6" w:rsidRPr="003530A9" w:rsidRDefault="00923EA6" w:rsidP="003530A9">
      <w:pPr>
        <w:pStyle w:val="CM22"/>
        <w:keepNext/>
        <w:widowControl/>
        <w:spacing w:after="0"/>
        <w:ind w:right="375"/>
      </w:pPr>
      <w:r w:rsidRPr="003530A9">
        <w:t>Annual cost to the Federal government is approximately $</w:t>
      </w:r>
      <w:r w:rsidR="00CE3889" w:rsidRPr="003530A9">
        <w:t>234,29</w:t>
      </w:r>
      <w:r w:rsidR="00F5584F">
        <w:t>8</w:t>
      </w:r>
      <w:r w:rsidRPr="003530A9">
        <w:t>: $</w:t>
      </w:r>
      <w:r w:rsidR="00566BFE" w:rsidRPr="003530A9">
        <w:t>184,29</w:t>
      </w:r>
      <w:r w:rsidR="00F5584F">
        <w:t>8</w:t>
      </w:r>
      <w:r w:rsidRPr="003530A9">
        <w:t xml:space="preserve"> in data collection costs and $</w:t>
      </w:r>
      <w:r w:rsidR="005E2854" w:rsidRPr="003530A9">
        <w:t>5</w:t>
      </w:r>
      <w:r w:rsidRPr="003530A9">
        <w:t xml:space="preserve">0,000 in professional staff, overhead and computing costs. </w:t>
      </w:r>
    </w:p>
    <w:p w:rsidR="00923EA6" w:rsidRPr="003530A9" w:rsidRDefault="00923EA6" w:rsidP="003530A9"/>
    <w:p w:rsidR="004F26E9" w:rsidRPr="003530A9" w:rsidRDefault="004F26E9" w:rsidP="003530A9">
      <w:pPr>
        <w:pStyle w:val="CM22"/>
        <w:keepNext/>
        <w:widowControl/>
        <w:spacing w:after="0"/>
        <w:ind w:right="375"/>
        <w:rPr>
          <w:b/>
          <w:bCs/>
        </w:rPr>
      </w:pPr>
      <w:r w:rsidRPr="003530A9">
        <w:rPr>
          <w:b/>
          <w:bCs/>
        </w:rPr>
        <w:lastRenderedPageBreak/>
        <w:t xml:space="preserve">15.  </w:t>
      </w:r>
      <w:r w:rsidRPr="003530A9">
        <w:rPr>
          <w:b/>
          <w:bCs/>
          <w:u w:val="single"/>
        </w:rPr>
        <w:t>Explain the reasons for any program changes or adjustments</w:t>
      </w:r>
      <w:r w:rsidRPr="003530A9">
        <w:rPr>
          <w:b/>
          <w:bCs/>
        </w:rPr>
        <w:t>.</w:t>
      </w:r>
    </w:p>
    <w:p w:rsidR="00923EA6" w:rsidRPr="003530A9" w:rsidRDefault="00923EA6" w:rsidP="003530A9"/>
    <w:p w:rsidR="004F26E9" w:rsidRPr="003530A9" w:rsidRDefault="00923EA6" w:rsidP="003530A9">
      <w:pPr>
        <w:rPr>
          <w:sz w:val="24"/>
          <w:szCs w:val="24"/>
        </w:rPr>
      </w:pPr>
      <w:r w:rsidRPr="003530A9">
        <w:rPr>
          <w:sz w:val="24"/>
          <w:szCs w:val="24"/>
        </w:rPr>
        <w:t>This is a new program</w:t>
      </w:r>
      <w:r w:rsidR="00C351A4" w:rsidRPr="003530A9">
        <w:rPr>
          <w:sz w:val="24"/>
          <w:szCs w:val="24"/>
        </w:rPr>
        <w:t>.</w:t>
      </w:r>
    </w:p>
    <w:p w:rsidR="004F26E9" w:rsidRPr="003530A9" w:rsidRDefault="004F26E9" w:rsidP="003530A9">
      <w:pPr>
        <w:rPr>
          <w:sz w:val="24"/>
          <w:szCs w:val="24"/>
        </w:rPr>
      </w:pPr>
    </w:p>
    <w:p w:rsidR="004F26E9" w:rsidRPr="003530A9" w:rsidRDefault="004F26E9" w:rsidP="003530A9">
      <w:pPr>
        <w:rPr>
          <w:b/>
          <w:bCs/>
          <w:sz w:val="24"/>
          <w:szCs w:val="24"/>
        </w:rPr>
      </w:pPr>
      <w:r w:rsidRPr="003530A9">
        <w:rPr>
          <w:b/>
          <w:bCs/>
          <w:sz w:val="24"/>
          <w:szCs w:val="24"/>
        </w:rPr>
        <w:t xml:space="preserve">16.  </w:t>
      </w:r>
      <w:r w:rsidRPr="003530A9">
        <w:rPr>
          <w:b/>
          <w:bCs/>
          <w:sz w:val="24"/>
          <w:szCs w:val="24"/>
          <w:u w:val="single"/>
        </w:rPr>
        <w:t>For collections whose results will be published, outline the plans for tabulation and publication</w:t>
      </w:r>
      <w:r w:rsidRPr="003530A9">
        <w:rPr>
          <w:b/>
          <w:bCs/>
          <w:sz w:val="24"/>
          <w:szCs w:val="24"/>
        </w:rPr>
        <w:t>.</w:t>
      </w:r>
    </w:p>
    <w:p w:rsidR="00DA2CEA" w:rsidRPr="003530A9" w:rsidRDefault="00DA2CEA" w:rsidP="003530A9">
      <w:pPr>
        <w:rPr>
          <w:b/>
          <w:bCs/>
          <w:sz w:val="24"/>
          <w:szCs w:val="24"/>
        </w:rPr>
      </w:pPr>
    </w:p>
    <w:p w:rsidR="00960733" w:rsidRPr="003530A9" w:rsidRDefault="00960733" w:rsidP="003530A9">
      <w:pPr>
        <w:pStyle w:val="CM23"/>
        <w:spacing w:after="0"/>
        <w:ind w:right="130"/>
      </w:pPr>
      <w:r w:rsidRPr="003530A9">
        <w:t xml:space="preserve">All data collected and analyzed will be included in table format available on the Web page of the Fisheries Statistics Division, Office of Science and Technology, National Marine Fisheries Service. The Web site address is </w:t>
      </w:r>
      <w:hyperlink r:id="rId14" w:history="1">
        <w:r w:rsidRPr="003530A9">
          <w:rPr>
            <w:rStyle w:val="Hyperlink"/>
          </w:rPr>
          <w:t>http://www.st.nmfs.gov/st1/recreational</w:t>
        </w:r>
      </w:hyperlink>
      <w:r w:rsidRPr="003530A9">
        <w:t xml:space="preserve">.  Findings from the study will be </w:t>
      </w:r>
      <w:r w:rsidR="00D73CAE" w:rsidRPr="003530A9">
        <w:t xml:space="preserve">considered </w:t>
      </w:r>
      <w:r w:rsidR="00E3398E" w:rsidRPr="003530A9">
        <w:t>for</w:t>
      </w:r>
      <w:r w:rsidR="00D73CAE" w:rsidRPr="003530A9">
        <w:t xml:space="preserve"> </w:t>
      </w:r>
      <w:r w:rsidRPr="003530A9">
        <w:t>present</w:t>
      </w:r>
      <w:r w:rsidR="00E3398E" w:rsidRPr="003530A9">
        <w:t>ation</w:t>
      </w:r>
      <w:r w:rsidRPr="003530A9">
        <w:t xml:space="preserve"> at appropriate profession</w:t>
      </w:r>
      <w:r w:rsidR="00E3398E" w:rsidRPr="003530A9">
        <w:t>al</w:t>
      </w:r>
      <w:r w:rsidRPr="003530A9">
        <w:t xml:space="preserve"> meetings (e.g. American Fisheries Society, Joint Statistical Meetings) and </w:t>
      </w:r>
      <w:r w:rsidR="000A5451" w:rsidRPr="003530A9">
        <w:t>submission</w:t>
      </w:r>
      <w:r w:rsidR="00F25FC7" w:rsidRPr="003530A9">
        <w:t xml:space="preserve"> </w:t>
      </w:r>
      <w:r w:rsidRPr="003530A9">
        <w:t xml:space="preserve">for publication in appropriate statistical or fisheries peer-reviewed journals.  </w:t>
      </w:r>
    </w:p>
    <w:p w:rsidR="004F26E9" w:rsidRPr="003530A9" w:rsidRDefault="004F26E9" w:rsidP="003530A9">
      <w:pPr>
        <w:rPr>
          <w:sz w:val="24"/>
          <w:szCs w:val="24"/>
        </w:rPr>
      </w:pPr>
    </w:p>
    <w:p w:rsidR="004F26E9" w:rsidRPr="003530A9" w:rsidRDefault="004F26E9" w:rsidP="003530A9">
      <w:pPr>
        <w:rPr>
          <w:sz w:val="24"/>
          <w:szCs w:val="24"/>
        </w:rPr>
      </w:pPr>
      <w:r w:rsidRPr="003530A9">
        <w:rPr>
          <w:b/>
          <w:bCs/>
          <w:sz w:val="24"/>
          <w:szCs w:val="24"/>
        </w:rPr>
        <w:t xml:space="preserve">17.  </w:t>
      </w:r>
      <w:r w:rsidRPr="003530A9">
        <w:rPr>
          <w:b/>
          <w:bCs/>
          <w:sz w:val="24"/>
          <w:szCs w:val="24"/>
          <w:u w:val="single"/>
        </w:rPr>
        <w:t>If seeking approval to not display the expiration date for OMB approval of the information collection, explain the reasons why display would be inappropriate</w:t>
      </w:r>
      <w:r w:rsidRPr="003530A9">
        <w:rPr>
          <w:b/>
          <w:bCs/>
          <w:sz w:val="24"/>
          <w:szCs w:val="24"/>
        </w:rPr>
        <w:t>.</w:t>
      </w:r>
    </w:p>
    <w:p w:rsidR="004F26E9" w:rsidRPr="003530A9" w:rsidRDefault="004F26E9" w:rsidP="003530A9">
      <w:pPr>
        <w:rPr>
          <w:sz w:val="24"/>
          <w:szCs w:val="24"/>
        </w:rPr>
      </w:pPr>
    </w:p>
    <w:p w:rsidR="004F26E9" w:rsidRPr="003530A9" w:rsidRDefault="00923EA6" w:rsidP="003530A9">
      <w:pPr>
        <w:pStyle w:val="CM23"/>
      </w:pPr>
      <w:r w:rsidRPr="003530A9">
        <w:t xml:space="preserve">Not Applicable. </w:t>
      </w:r>
    </w:p>
    <w:p w:rsidR="004F26E9" w:rsidRPr="003530A9" w:rsidRDefault="004F26E9" w:rsidP="003530A9">
      <w:pPr>
        <w:rPr>
          <w:b/>
          <w:bCs/>
          <w:sz w:val="24"/>
          <w:szCs w:val="24"/>
        </w:rPr>
      </w:pPr>
      <w:r w:rsidRPr="003530A9">
        <w:rPr>
          <w:b/>
          <w:bCs/>
          <w:sz w:val="24"/>
          <w:szCs w:val="24"/>
        </w:rPr>
        <w:t xml:space="preserve">18.  </w:t>
      </w:r>
      <w:r w:rsidRPr="003530A9">
        <w:rPr>
          <w:b/>
          <w:bCs/>
          <w:sz w:val="24"/>
          <w:szCs w:val="24"/>
          <w:u w:val="single"/>
        </w:rPr>
        <w:t>Explain each</w:t>
      </w:r>
      <w:r w:rsidR="00A52249" w:rsidRPr="003530A9">
        <w:rPr>
          <w:b/>
          <w:bCs/>
          <w:sz w:val="24"/>
          <w:szCs w:val="24"/>
          <w:u w:val="single"/>
        </w:rPr>
        <w:t xml:space="preserve"> exception to the certification </w:t>
      </w:r>
      <w:r w:rsidRPr="003530A9">
        <w:rPr>
          <w:b/>
          <w:bCs/>
          <w:sz w:val="24"/>
          <w:szCs w:val="24"/>
          <w:u w:val="single"/>
        </w:rPr>
        <w:t>statement</w:t>
      </w:r>
      <w:r w:rsidRPr="003530A9">
        <w:rPr>
          <w:b/>
          <w:bCs/>
          <w:sz w:val="24"/>
          <w:szCs w:val="24"/>
        </w:rPr>
        <w:t>.</w:t>
      </w:r>
    </w:p>
    <w:p w:rsidR="004F26E9" w:rsidRPr="003530A9" w:rsidRDefault="004F26E9" w:rsidP="003530A9">
      <w:pPr>
        <w:rPr>
          <w:sz w:val="24"/>
          <w:szCs w:val="24"/>
        </w:rPr>
      </w:pPr>
    </w:p>
    <w:p w:rsidR="00EF78F9" w:rsidRDefault="00923EA6" w:rsidP="00C65F64">
      <w:pPr>
        <w:pStyle w:val="CM23"/>
      </w:pPr>
      <w:r w:rsidRPr="003530A9">
        <w:t>Not Applicable.</w:t>
      </w:r>
      <w:r w:rsidR="00C65F64">
        <w:t xml:space="preserve">   </w:t>
      </w:r>
    </w:p>
    <w:sectPr w:rsidR="00EF78F9" w:rsidSect="00C65F64">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774" w:rsidRDefault="00A27774">
      <w:r>
        <w:separator/>
      </w:r>
    </w:p>
  </w:endnote>
  <w:endnote w:type="continuationSeparator" w:id="0">
    <w:p w:rsidR="00A27774" w:rsidRDefault="00A2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774" w:rsidRDefault="00A27774">
      <w:r>
        <w:separator/>
      </w:r>
    </w:p>
  </w:footnote>
  <w:footnote w:type="continuationSeparator" w:id="0">
    <w:p w:rsidR="00A27774" w:rsidRDefault="00A27774">
      <w:r>
        <w:continuationSeparator/>
      </w:r>
    </w:p>
  </w:footnote>
  <w:footnote w:id="1">
    <w:p w:rsidR="0024537B" w:rsidRDefault="0024537B" w:rsidP="0096765F">
      <w:pPr>
        <w:pStyle w:val="FootnoteText"/>
        <w:spacing w:line="240" w:lineRule="auto"/>
      </w:pPr>
      <w:r>
        <w:rPr>
          <w:rStyle w:val="FootnoteReference"/>
        </w:rPr>
        <w:footnoteRef/>
      </w:r>
      <w:r>
        <w:t xml:space="preserve"> The primary purpose of the MFES is to estimate fishing effort (number of angler trips) during two-month reference waves.  </w:t>
      </w:r>
    </w:p>
  </w:footnote>
  <w:footnote w:id="2">
    <w:p w:rsidR="0024537B" w:rsidRPr="006F7A8E" w:rsidRDefault="0024537B" w:rsidP="00D67E1D">
      <w:pPr>
        <w:pStyle w:val="FootnoteText"/>
        <w:spacing w:line="240" w:lineRule="auto"/>
      </w:pPr>
      <w:r>
        <w:rPr>
          <w:rStyle w:val="FootnoteReference"/>
        </w:rPr>
        <w:footnoteRef/>
      </w:r>
      <w:r>
        <w:t xml:space="preserve"> Initial sample is re-contacted for the second and third waves and those classified as </w:t>
      </w:r>
      <w:r w:rsidRPr="006F7A8E">
        <w:rPr>
          <w:i/>
        </w:rPr>
        <w:t>unlikely</w:t>
      </w:r>
      <w:r>
        <w:t xml:space="preserve"> are sub-sampled for the second wave.</w:t>
      </w:r>
    </w:p>
  </w:footnote>
  <w:footnote w:id="3">
    <w:p w:rsidR="0024537B" w:rsidRDefault="0024537B" w:rsidP="00D67E1D">
      <w:pPr>
        <w:pStyle w:val="FootnoteText"/>
        <w:spacing w:line="240" w:lineRule="auto"/>
      </w:pPr>
      <w:r>
        <w:rPr>
          <w:rStyle w:val="FootnoteReference"/>
        </w:rPr>
        <w:footnoteRef/>
      </w:r>
      <w:r>
        <w:t xml:space="preserve"> See Part B Table 1 for expected response rate, estimated number of respondents and estimated number of responses in each geographic and license stratum.</w:t>
      </w:r>
    </w:p>
  </w:footnote>
  <w:footnote w:id="4">
    <w:p w:rsidR="0024537B" w:rsidRDefault="0024537B" w:rsidP="00D67E1D">
      <w:pPr>
        <w:pStyle w:val="FootnoteText"/>
        <w:spacing w:line="240" w:lineRule="auto"/>
      </w:pPr>
      <w:r>
        <w:rPr>
          <w:rStyle w:val="FootnoteReference"/>
        </w:rPr>
        <w:footnoteRef/>
      </w:r>
      <w:r>
        <w:t xml:space="preserve"> </w:t>
      </w:r>
      <w:r w:rsidRPr="005122FF">
        <w:t xml:space="preserve">Approximately 10% of addresses will be returned as invalid reducing the final sample size to </w:t>
      </w:r>
      <w:r>
        <w:t>10,152.</w:t>
      </w:r>
    </w:p>
  </w:footnote>
  <w:footnote w:id="5">
    <w:p w:rsidR="0024537B" w:rsidRDefault="0024537B" w:rsidP="00D67E1D">
      <w:pPr>
        <w:pStyle w:val="FootnoteText"/>
        <w:spacing w:line="240" w:lineRule="auto"/>
      </w:pPr>
      <w:r>
        <w:rPr>
          <w:rStyle w:val="FootnoteReference"/>
        </w:rPr>
        <w:footnoteRef/>
      </w:r>
      <w:r>
        <w:t xml:space="preserve"> Average expected response rate across all geographic and license strata within resident angler stratum.</w:t>
      </w:r>
    </w:p>
  </w:footnote>
  <w:footnote w:id="6">
    <w:p w:rsidR="0024537B" w:rsidRDefault="0024537B" w:rsidP="00D67E1D">
      <w:pPr>
        <w:pStyle w:val="FootnoteText"/>
        <w:spacing w:line="240" w:lineRule="auto"/>
      </w:pPr>
      <w:r>
        <w:rPr>
          <w:rStyle w:val="FootnoteReference"/>
        </w:rPr>
        <w:footnoteRef/>
      </w:r>
      <w:r>
        <w:t xml:space="preserve"> Sum of estimated numbers of respondents across all geographic and license strata within resident angler stratum.</w:t>
      </w:r>
    </w:p>
  </w:footnote>
  <w:footnote w:id="7">
    <w:p w:rsidR="0024537B" w:rsidRDefault="0024537B" w:rsidP="00D67E1D">
      <w:pPr>
        <w:pStyle w:val="FootnoteText"/>
        <w:spacing w:line="240" w:lineRule="auto"/>
      </w:pPr>
      <w:r>
        <w:rPr>
          <w:rStyle w:val="FootnoteReference"/>
        </w:rPr>
        <w:footnoteRef/>
      </w:r>
      <w:r>
        <w:t xml:space="preserve"> Sum of estimated numbers of responses across all geographic and license strata within resident angler stratum.</w:t>
      </w:r>
    </w:p>
  </w:footnote>
  <w:footnote w:id="8">
    <w:p w:rsidR="0024537B" w:rsidRDefault="0024537B" w:rsidP="00D67E1D">
      <w:pPr>
        <w:pStyle w:val="FootnoteText"/>
        <w:spacing w:line="240" w:lineRule="auto"/>
      </w:pPr>
      <w:r>
        <w:rPr>
          <w:rStyle w:val="FootnoteReference"/>
        </w:rPr>
        <w:footnoteRef/>
      </w:r>
      <w:r>
        <w:t xml:space="preserve"> </w:t>
      </w:r>
      <w:r w:rsidRPr="005122FF">
        <w:t xml:space="preserve">Approximately 10% of addresses will be returned as invalid reducing the final sample size to </w:t>
      </w:r>
      <w:r>
        <w:t>648.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5C77180"/>
    <w:multiLevelType w:val="hybridMultilevel"/>
    <w:tmpl w:val="24A4F2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5B4535"/>
    <w:multiLevelType w:val="hybridMultilevel"/>
    <w:tmpl w:val="AA203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C56AC8"/>
    <w:multiLevelType w:val="hybridMultilevel"/>
    <w:tmpl w:val="ECC86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31AE"/>
    <w:rsid w:val="00004C54"/>
    <w:rsid w:val="000147FC"/>
    <w:rsid w:val="00023620"/>
    <w:rsid w:val="0003331F"/>
    <w:rsid w:val="00044F94"/>
    <w:rsid w:val="00046E70"/>
    <w:rsid w:val="000528A5"/>
    <w:rsid w:val="00055181"/>
    <w:rsid w:val="00063B1B"/>
    <w:rsid w:val="00067D8D"/>
    <w:rsid w:val="00084BAF"/>
    <w:rsid w:val="000903F8"/>
    <w:rsid w:val="00090C70"/>
    <w:rsid w:val="0009166A"/>
    <w:rsid w:val="000925E0"/>
    <w:rsid w:val="000A5451"/>
    <w:rsid w:val="000B0DB0"/>
    <w:rsid w:val="000B1155"/>
    <w:rsid w:val="000B1AEB"/>
    <w:rsid w:val="000B556F"/>
    <w:rsid w:val="000C12C1"/>
    <w:rsid w:val="000C2029"/>
    <w:rsid w:val="000D0353"/>
    <w:rsid w:val="000D0625"/>
    <w:rsid w:val="000D14B9"/>
    <w:rsid w:val="000E1997"/>
    <w:rsid w:val="000E27FF"/>
    <w:rsid w:val="000E79DD"/>
    <w:rsid w:val="000F2A01"/>
    <w:rsid w:val="000F347D"/>
    <w:rsid w:val="00107F5D"/>
    <w:rsid w:val="001105DC"/>
    <w:rsid w:val="00114995"/>
    <w:rsid w:val="001151B3"/>
    <w:rsid w:val="0013782B"/>
    <w:rsid w:val="00137CAB"/>
    <w:rsid w:val="00146B82"/>
    <w:rsid w:val="00146C7D"/>
    <w:rsid w:val="0015150A"/>
    <w:rsid w:val="00163D46"/>
    <w:rsid w:val="00171AD1"/>
    <w:rsid w:val="00181138"/>
    <w:rsid w:val="00187DD9"/>
    <w:rsid w:val="00193557"/>
    <w:rsid w:val="0019563C"/>
    <w:rsid w:val="001A14D4"/>
    <w:rsid w:val="001A5EEF"/>
    <w:rsid w:val="001A68BE"/>
    <w:rsid w:val="001B5C41"/>
    <w:rsid w:val="001C2945"/>
    <w:rsid w:val="001C363B"/>
    <w:rsid w:val="001C6265"/>
    <w:rsid w:val="001D4856"/>
    <w:rsid w:val="001D67D4"/>
    <w:rsid w:val="001E2168"/>
    <w:rsid w:val="001E6CEC"/>
    <w:rsid w:val="001E6F72"/>
    <w:rsid w:val="001F5304"/>
    <w:rsid w:val="0021425B"/>
    <w:rsid w:val="00226807"/>
    <w:rsid w:val="00227F6F"/>
    <w:rsid w:val="0023019D"/>
    <w:rsid w:val="002325E7"/>
    <w:rsid w:val="002354F6"/>
    <w:rsid w:val="002428A4"/>
    <w:rsid w:val="0024537B"/>
    <w:rsid w:val="002521E5"/>
    <w:rsid w:val="00270985"/>
    <w:rsid w:val="00270A59"/>
    <w:rsid w:val="0027232D"/>
    <w:rsid w:val="002724E8"/>
    <w:rsid w:val="00273EAB"/>
    <w:rsid w:val="0027722E"/>
    <w:rsid w:val="00283041"/>
    <w:rsid w:val="00287906"/>
    <w:rsid w:val="002900F6"/>
    <w:rsid w:val="00294BA4"/>
    <w:rsid w:val="00294C43"/>
    <w:rsid w:val="002A3352"/>
    <w:rsid w:val="002A53E0"/>
    <w:rsid w:val="002C3D8B"/>
    <w:rsid w:val="002D4D5D"/>
    <w:rsid w:val="002E1A62"/>
    <w:rsid w:val="002E24FA"/>
    <w:rsid w:val="002F0498"/>
    <w:rsid w:val="002F30DD"/>
    <w:rsid w:val="002F5825"/>
    <w:rsid w:val="002F6CE6"/>
    <w:rsid w:val="002F7C71"/>
    <w:rsid w:val="00300E79"/>
    <w:rsid w:val="00305AE1"/>
    <w:rsid w:val="003079DD"/>
    <w:rsid w:val="0031631D"/>
    <w:rsid w:val="00324B24"/>
    <w:rsid w:val="003250CD"/>
    <w:rsid w:val="003274F6"/>
    <w:rsid w:val="00327C66"/>
    <w:rsid w:val="0033050E"/>
    <w:rsid w:val="00334DF5"/>
    <w:rsid w:val="00336272"/>
    <w:rsid w:val="00344BE3"/>
    <w:rsid w:val="00350AF8"/>
    <w:rsid w:val="00352FE2"/>
    <w:rsid w:val="003530A9"/>
    <w:rsid w:val="00366CDD"/>
    <w:rsid w:val="003679AC"/>
    <w:rsid w:val="00371558"/>
    <w:rsid w:val="00371CF8"/>
    <w:rsid w:val="003748FE"/>
    <w:rsid w:val="00375F2E"/>
    <w:rsid w:val="00390B9B"/>
    <w:rsid w:val="003938BA"/>
    <w:rsid w:val="003972AD"/>
    <w:rsid w:val="00397C89"/>
    <w:rsid w:val="003C69CF"/>
    <w:rsid w:val="003F5B43"/>
    <w:rsid w:val="004055ED"/>
    <w:rsid w:val="004138F4"/>
    <w:rsid w:val="00413C12"/>
    <w:rsid w:val="00413CF8"/>
    <w:rsid w:val="00413F9B"/>
    <w:rsid w:val="00430B4E"/>
    <w:rsid w:val="004324A4"/>
    <w:rsid w:val="00435816"/>
    <w:rsid w:val="00445418"/>
    <w:rsid w:val="00447AC1"/>
    <w:rsid w:val="004502AD"/>
    <w:rsid w:val="00450CEA"/>
    <w:rsid w:val="00456D15"/>
    <w:rsid w:val="00460310"/>
    <w:rsid w:val="00461796"/>
    <w:rsid w:val="00464763"/>
    <w:rsid w:val="00477B1B"/>
    <w:rsid w:val="0048079B"/>
    <w:rsid w:val="00480F49"/>
    <w:rsid w:val="0048440D"/>
    <w:rsid w:val="004852BB"/>
    <w:rsid w:val="00492367"/>
    <w:rsid w:val="00494E50"/>
    <w:rsid w:val="004A761D"/>
    <w:rsid w:val="004B388C"/>
    <w:rsid w:val="004B4A84"/>
    <w:rsid w:val="004C761E"/>
    <w:rsid w:val="004D6912"/>
    <w:rsid w:val="004E20C2"/>
    <w:rsid w:val="004E25B0"/>
    <w:rsid w:val="004E3C8F"/>
    <w:rsid w:val="004F26E9"/>
    <w:rsid w:val="00501FB4"/>
    <w:rsid w:val="0051172B"/>
    <w:rsid w:val="00511749"/>
    <w:rsid w:val="00512378"/>
    <w:rsid w:val="0051478B"/>
    <w:rsid w:val="00520D92"/>
    <w:rsid w:val="00527EBB"/>
    <w:rsid w:val="00532DD5"/>
    <w:rsid w:val="00535442"/>
    <w:rsid w:val="00540C35"/>
    <w:rsid w:val="00541100"/>
    <w:rsid w:val="00541F39"/>
    <w:rsid w:val="00545AD7"/>
    <w:rsid w:val="0054612E"/>
    <w:rsid w:val="0055025A"/>
    <w:rsid w:val="00560E75"/>
    <w:rsid w:val="00563DC5"/>
    <w:rsid w:val="00565553"/>
    <w:rsid w:val="00566BFE"/>
    <w:rsid w:val="005708AC"/>
    <w:rsid w:val="00575B17"/>
    <w:rsid w:val="00580FA5"/>
    <w:rsid w:val="005873DF"/>
    <w:rsid w:val="005940EE"/>
    <w:rsid w:val="005C19C1"/>
    <w:rsid w:val="005C6BA1"/>
    <w:rsid w:val="005D6C5B"/>
    <w:rsid w:val="005E2854"/>
    <w:rsid w:val="005E573A"/>
    <w:rsid w:val="005E7DC5"/>
    <w:rsid w:val="005F7E14"/>
    <w:rsid w:val="006009CC"/>
    <w:rsid w:val="006034F7"/>
    <w:rsid w:val="00610D0C"/>
    <w:rsid w:val="006173F2"/>
    <w:rsid w:val="006319BF"/>
    <w:rsid w:val="00640EF9"/>
    <w:rsid w:val="00642B04"/>
    <w:rsid w:val="006552CA"/>
    <w:rsid w:val="00665B37"/>
    <w:rsid w:val="006677D1"/>
    <w:rsid w:val="006728F1"/>
    <w:rsid w:val="00676E11"/>
    <w:rsid w:val="00677712"/>
    <w:rsid w:val="00681E69"/>
    <w:rsid w:val="00683AF9"/>
    <w:rsid w:val="00690654"/>
    <w:rsid w:val="0069469A"/>
    <w:rsid w:val="006A2DEC"/>
    <w:rsid w:val="006A73FD"/>
    <w:rsid w:val="006B0F45"/>
    <w:rsid w:val="006B4392"/>
    <w:rsid w:val="006B7BB3"/>
    <w:rsid w:val="006D01AE"/>
    <w:rsid w:val="006D1BCF"/>
    <w:rsid w:val="006D231E"/>
    <w:rsid w:val="006D5F73"/>
    <w:rsid w:val="006E0D6B"/>
    <w:rsid w:val="006E2214"/>
    <w:rsid w:val="006E3758"/>
    <w:rsid w:val="006F0FC4"/>
    <w:rsid w:val="006F3C43"/>
    <w:rsid w:val="006F7A8E"/>
    <w:rsid w:val="00700E50"/>
    <w:rsid w:val="00703CA6"/>
    <w:rsid w:val="00711D88"/>
    <w:rsid w:val="00712405"/>
    <w:rsid w:val="00725C5C"/>
    <w:rsid w:val="00725DAD"/>
    <w:rsid w:val="00727B88"/>
    <w:rsid w:val="0073147F"/>
    <w:rsid w:val="0073393B"/>
    <w:rsid w:val="00740DBB"/>
    <w:rsid w:val="00750B0A"/>
    <w:rsid w:val="007541ED"/>
    <w:rsid w:val="0075689A"/>
    <w:rsid w:val="00765E2B"/>
    <w:rsid w:val="00767969"/>
    <w:rsid w:val="00774796"/>
    <w:rsid w:val="00790B96"/>
    <w:rsid w:val="00795555"/>
    <w:rsid w:val="007B08DB"/>
    <w:rsid w:val="007C0570"/>
    <w:rsid w:val="007C2387"/>
    <w:rsid w:val="007C4E0D"/>
    <w:rsid w:val="007D6D18"/>
    <w:rsid w:val="007F3467"/>
    <w:rsid w:val="0080387B"/>
    <w:rsid w:val="008039FC"/>
    <w:rsid w:val="00814FA9"/>
    <w:rsid w:val="00816317"/>
    <w:rsid w:val="00817F0A"/>
    <w:rsid w:val="00822252"/>
    <w:rsid w:val="00822422"/>
    <w:rsid w:val="008444FD"/>
    <w:rsid w:val="00853BA9"/>
    <w:rsid w:val="0085461C"/>
    <w:rsid w:val="008612B7"/>
    <w:rsid w:val="00862E9F"/>
    <w:rsid w:val="008655F4"/>
    <w:rsid w:val="00870DDE"/>
    <w:rsid w:val="00877BF5"/>
    <w:rsid w:val="00880B85"/>
    <w:rsid w:val="008840CD"/>
    <w:rsid w:val="008A4D2A"/>
    <w:rsid w:val="008A5D3C"/>
    <w:rsid w:val="008B179F"/>
    <w:rsid w:val="008B3503"/>
    <w:rsid w:val="008D2F6E"/>
    <w:rsid w:val="008E6843"/>
    <w:rsid w:val="008F3DED"/>
    <w:rsid w:val="00901B13"/>
    <w:rsid w:val="00916089"/>
    <w:rsid w:val="0091679B"/>
    <w:rsid w:val="0092083E"/>
    <w:rsid w:val="00923EA6"/>
    <w:rsid w:val="00936A03"/>
    <w:rsid w:val="009417CC"/>
    <w:rsid w:val="00944D49"/>
    <w:rsid w:val="00946EBE"/>
    <w:rsid w:val="009525D7"/>
    <w:rsid w:val="00960733"/>
    <w:rsid w:val="00960795"/>
    <w:rsid w:val="0096765F"/>
    <w:rsid w:val="009762A8"/>
    <w:rsid w:val="00984E10"/>
    <w:rsid w:val="00997687"/>
    <w:rsid w:val="009A0EC2"/>
    <w:rsid w:val="009A152B"/>
    <w:rsid w:val="009A4E04"/>
    <w:rsid w:val="009C0EAF"/>
    <w:rsid w:val="009C139F"/>
    <w:rsid w:val="009D0D31"/>
    <w:rsid w:val="009E5049"/>
    <w:rsid w:val="00A03194"/>
    <w:rsid w:val="00A06C2B"/>
    <w:rsid w:val="00A07822"/>
    <w:rsid w:val="00A12B79"/>
    <w:rsid w:val="00A15C4E"/>
    <w:rsid w:val="00A16CD5"/>
    <w:rsid w:val="00A20B48"/>
    <w:rsid w:val="00A27774"/>
    <w:rsid w:val="00A41155"/>
    <w:rsid w:val="00A41E21"/>
    <w:rsid w:val="00A50E96"/>
    <w:rsid w:val="00A52249"/>
    <w:rsid w:val="00A614A5"/>
    <w:rsid w:val="00A631C2"/>
    <w:rsid w:val="00A73EE8"/>
    <w:rsid w:val="00A75896"/>
    <w:rsid w:val="00A812D1"/>
    <w:rsid w:val="00A95A06"/>
    <w:rsid w:val="00A97B11"/>
    <w:rsid w:val="00AA1208"/>
    <w:rsid w:val="00AA4EC1"/>
    <w:rsid w:val="00AB7413"/>
    <w:rsid w:val="00AC3C15"/>
    <w:rsid w:val="00AD1F6F"/>
    <w:rsid w:val="00AD4C8D"/>
    <w:rsid w:val="00AE6D1F"/>
    <w:rsid w:val="00AF1E87"/>
    <w:rsid w:val="00AF4EEE"/>
    <w:rsid w:val="00B02C7C"/>
    <w:rsid w:val="00B05AB6"/>
    <w:rsid w:val="00B06343"/>
    <w:rsid w:val="00B07519"/>
    <w:rsid w:val="00B07B7E"/>
    <w:rsid w:val="00B16BDF"/>
    <w:rsid w:val="00B219AA"/>
    <w:rsid w:val="00B2492B"/>
    <w:rsid w:val="00B26EE6"/>
    <w:rsid w:val="00B3028B"/>
    <w:rsid w:val="00B364A2"/>
    <w:rsid w:val="00B4062F"/>
    <w:rsid w:val="00B412B0"/>
    <w:rsid w:val="00B45558"/>
    <w:rsid w:val="00B61F1D"/>
    <w:rsid w:val="00B6659C"/>
    <w:rsid w:val="00B72CE3"/>
    <w:rsid w:val="00B80EBE"/>
    <w:rsid w:val="00B86405"/>
    <w:rsid w:val="00B97EA8"/>
    <w:rsid w:val="00BA3609"/>
    <w:rsid w:val="00BB65D3"/>
    <w:rsid w:val="00BB7AEB"/>
    <w:rsid w:val="00BC55C8"/>
    <w:rsid w:val="00BC566C"/>
    <w:rsid w:val="00BC6D12"/>
    <w:rsid w:val="00BD496F"/>
    <w:rsid w:val="00BD55CB"/>
    <w:rsid w:val="00BE0787"/>
    <w:rsid w:val="00BE7292"/>
    <w:rsid w:val="00BE733C"/>
    <w:rsid w:val="00BF0057"/>
    <w:rsid w:val="00BF4D41"/>
    <w:rsid w:val="00BF7BEA"/>
    <w:rsid w:val="00C01DDA"/>
    <w:rsid w:val="00C04920"/>
    <w:rsid w:val="00C16C8C"/>
    <w:rsid w:val="00C224E2"/>
    <w:rsid w:val="00C351A4"/>
    <w:rsid w:val="00C4148F"/>
    <w:rsid w:val="00C445E9"/>
    <w:rsid w:val="00C56CED"/>
    <w:rsid w:val="00C57B9A"/>
    <w:rsid w:val="00C65F64"/>
    <w:rsid w:val="00C6654B"/>
    <w:rsid w:val="00C811B4"/>
    <w:rsid w:val="00C8166B"/>
    <w:rsid w:val="00C91F2E"/>
    <w:rsid w:val="00C93C4B"/>
    <w:rsid w:val="00CA0045"/>
    <w:rsid w:val="00CA6DD8"/>
    <w:rsid w:val="00CB1ADA"/>
    <w:rsid w:val="00CD2C4B"/>
    <w:rsid w:val="00CD3561"/>
    <w:rsid w:val="00CE156F"/>
    <w:rsid w:val="00CE1E61"/>
    <w:rsid w:val="00CE3889"/>
    <w:rsid w:val="00CE3EE1"/>
    <w:rsid w:val="00CE43EE"/>
    <w:rsid w:val="00CE62E8"/>
    <w:rsid w:val="00CE71C1"/>
    <w:rsid w:val="00CF0D1A"/>
    <w:rsid w:val="00CF742B"/>
    <w:rsid w:val="00D01B1B"/>
    <w:rsid w:val="00D04B29"/>
    <w:rsid w:val="00D10F70"/>
    <w:rsid w:val="00D17E2A"/>
    <w:rsid w:val="00D33502"/>
    <w:rsid w:val="00D34AB8"/>
    <w:rsid w:val="00D460F9"/>
    <w:rsid w:val="00D56507"/>
    <w:rsid w:val="00D57B3C"/>
    <w:rsid w:val="00D60894"/>
    <w:rsid w:val="00D67E1D"/>
    <w:rsid w:val="00D67F61"/>
    <w:rsid w:val="00D73CAE"/>
    <w:rsid w:val="00D75C04"/>
    <w:rsid w:val="00D8221D"/>
    <w:rsid w:val="00D84636"/>
    <w:rsid w:val="00D87517"/>
    <w:rsid w:val="00D91378"/>
    <w:rsid w:val="00DA0375"/>
    <w:rsid w:val="00DA2CEA"/>
    <w:rsid w:val="00DA4745"/>
    <w:rsid w:val="00DA7FF3"/>
    <w:rsid w:val="00DD2E39"/>
    <w:rsid w:val="00DD3581"/>
    <w:rsid w:val="00DD584E"/>
    <w:rsid w:val="00DD7BEA"/>
    <w:rsid w:val="00DE0C93"/>
    <w:rsid w:val="00DE445C"/>
    <w:rsid w:val="00DE461D"/>
    <w:rsid w:val="00DE62CB"/>
    <w:rsid w:val="00E051B3"/>
    <w:rsid w:val="00E07A8D"/>
    <w:rsid w:val="00E124DA"/>
    <w:rsid w:val="00E166E6"/>
    <w:rsid w:val="00E22D2E"/>
    <w:rsid w:val="00E26A1C"/>
    <w:rsid w:val="00E26ADE"/>
    <w:rsid w:val="00E26E99"/>
    <w:rsid w:val="00E31D9B"/>
    <w:rsid w:val="00E3398E"/>
    <w:rsid w:val="00E5024E"/>
    <w:rsid w:val="00E51C4A"/>
    <w:rsid w:val="00E60055"/>
    <w:rsid w:val="00E8123B"/>
    <w:rsid w:val="00E92016"/>
    <w:rsid w:val="00E9252A"/>
    <w:rsid w:val="00EA14D3"/>
    <w:rsid w:val="00EA1D16"/>
    <w:rsid w:val="00EA2373"/>
    <w:rsid w:val="00EA5EE4"/>
    <w:rsid w:val="00EB19AE"/>
    <w:rsid w:val="00EB3C9B"/>
    <w:rsid w:val="00ED3609"/>
    <w:rsid w:val="00EE1678"/>
    <w:rsid w:val="00EF1912"/>
    <w:rsid w:val="00EF78F9"/>
    <w:rsid w:val="00F02428"/>
    <w:rsid w:val="00F16837"/>
    <w:rsid w:val="00F16BFA"/>
    <w:rsid w:val="00F24813"/>
    <w:rsid w:val="00F25FC7"/>
    <w:rsid w:val="00F26915"/>
    <w:rsid w:val="00F32A61"/>
    <w:rsid w:val="00F34F09"/>
    <w:rsid w:val="00F35F8E"/>
    <w:rsid w:val="00F40B32"/>
    <w:rsid w:val="00F44E33"/>
    <w:rsid w:val="00F5584F"/>
    <w:rsid w:val="00F5630D"/>
    <w:rsid w:val="00F6301E"/>
    <w:rsid w:val="00F7355A"/>
    <w:rsid w:val="00F75E4A"/>
    <w:rsid w:val="00F76690"/>
    <w:rsid w:val="00F85566"/>
    <w:rsid w:val="00FA5B35"/>
    <w:rsid w:val="00FB21E2"/>
    <w:rsid w:val="00FB3DF3"/>
    <w:rsid w:val="00FD4FF0"/>
    <w:rsid w:val="00FD5F65"/>
    <w:rsid w:val="00FE5CD5"/>
    <w:rsid w:val="00FF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uiPriority w:val="99"/>
    <w:rsid w:val="007F3467"/>
    <w:rPr>
      <w:rFonts w:cs="Times New Roman"/>
      <w:sz w:val="16"/>
      <w:szCs w:val="16"/>
    </w:rPr>
  </w:style>
  <w:style w:type="paragraph" w:styleId="CommentText">
    <w:name w:val="annotation text"/>
    <w:basedOn w:val="Normal"/>
    <w:link w:val="CommentTextChar"/>
    <w:uiPriority w:val="99"/>
    <w:rsid w:val="007F3467"/>
    <w:pPr>
      <w:widowControl/>
      <w:autoSpaceDE/>
      <w:autoSpaceDN/>
      <w:adjustRightInd/>
      <w:spacing w:line="360" w:lineRule="auto"/>
    </w:pPr>
  </w:style>
  <w:style w:type="character" w:customStyle="1" w:styleId="CommentTextChar">
    <w:name w:val="Comment Text Char"/>
    <w:basedOn w:val="DefaultParagraphFont"/>
    <w:link w:val="CommentText"/>
    <w:uiPriority w:val="99"/>
    <w:rsid w:val="007F3467"/>
  </w:style>
  <w:style w:type="character" w:styleId="Hyperlink">
    <w:name w:val="Hyperlink"/>
    <w:uiPriority w:val="99"/>
    <w:unhideWhenUsed/>
    <w:rsid w:val="007F3467"/>
    <w:rPr>
      <w:color w:val="0000FF"/>
      <w:u w:val="single"/>
    </w:rPr>
  </w:style>
  <w:style w:type="paragraph" w:styleId="BalloonText">
    <w:name w:val="Balloon Text"/>
    <w:basedOn w:val="Normal"/>
    <w:link w:val="BalloonTextChar"/>
    <w:rsid w:val="007F3467"/>
    <w:rPr>
      <w:rFonts w:ascii="Tahoma" w:hAnsi="Tahoma" w:cs="Tahoma"/>
      <w:sz w:val="16"/>
      <w:szCs w:val="16"/>
    </w:rPr>
  </w:style>
  <w:style w:type="character" w:customStyle="1" w:styleId="BalloonTextChar">
    <w:name w:val="Balloon Text Char"/>
    <w:link w:val="BalloonText"/>
    <w:rsid w:val="007F3467"/>
    <w:rPr>
      <w:rFonts w:ascii="Tahoma" w:hAnsi="Tahoma" w:cs="Tahoma"/>
      <w:sz w:val="16"/>
      <w:szCs w:val="16"/>
    </w:rPr>
  </w:style>
  <w:style w:type="paragraph" w:customStyle="1" w:styleId="CM23">
    <w:name w:val="CM23"/>
    <w:basedOn w:val="Normal"/>
    <w:next w:val="Normal"/>
    <w:uiPriority w:val="99"/>
    <w:rsid w:val="001E2168"/>
    <w:pPr>
      <w:spacing w:after="275"/>
    </w:pPr>
    <w:rPr>
      <w:sz w:val="24"/>
      <w:szCs w:val="24"/>
    </w:rPr>
  </w:style>
  <w:style w:type="paragraph" w:customStyle="1" w:styleId="CM22">
    <w:name w:val="CM22"/>
    <w:basedOn w:val="Normal"/>
    <w:next w:val="Normal"/>
    <w:uiPriority w:val="99"/>
    <w:rsid w:val="001E2168"/>
    <w:pPr>
      <w:spacing w:after="563"/>
    </w:pPr>
    <w:rPr>
      <w:sz w:val="24"/>
      <w:szCs w:val="24"/>
    </w:rPr>
  </w:style>
  <w:style w:type="paragraph" w:customStyle="1" w:styleId="Default">
    <w:name w:val="Default"/>
    <w:uiPriority w:val="99"/>
    <w:rsid w:val="00CE62E8"/>
    <w:pPr>
      <w:widowControl w:val="0"/>
      <w:autoSpaceDE w:val="0"/>
      <w:autoSpaceDN w:val="0"/>
      <w:adjustRightInd w:val="0"/>
    </w:pPr>
    <w:rPr>
      <w:color w:val="000000"/>
      <w:sz w:val="24"/>
      <w:szCs w:val="24"/>
    </w:rPr>
  </w:style>
  <w:style w:type="paragraph" w:customStyle="1" w:styleId="P1-StandPara">
    <w:name w:val="P1-Stand Para"/>
    <w:basedOn w:val="Normal"/>
    <w:uiPriority w:val="99"/>
    <w:rsid w:val="00CE62E8"/>
    <w:pPr>
      <w:widowControl/>
      <w:autoSpaceDE/>
      <w:autoSpaceDN/>
      <w:adjustRightInd/>
      <w:spacing w:line="360" w:lineRule="atLeast"/>
      <w:ind w:firstLine="1152"/>
    </w:pPr>
    <w:rPr>
      <w:rFonts w:ascii="Garamond" w:hAnsi="Garamond"/>
      <w:sz w:val="24"/>
    </w:rPr>
  </w:style>
  <w:style w:type="paragraph" w:styleId="FootnoteText">
    <w:name w:val="footnote text"/>
    <w:basedOn w:val="Normal"/>
    <w:link w:val="FootnoteTextChar"/>
    <w:uiPriority w:val="99"/>
    <w:rsid w:val="00CE62E8"/>
    <w:pPr>
      <w:widowControl/>
      <w:autoSpaceDE/>
      <w:autoSpaceDN/>
      <w:adjustRightInd/>
      <w:spacing w:line="360" w:lineRule="auto"/>
    </w:pPr>
  </w:style>
  <w:style w:type="character" w:customStyle="1" w:styleId="FootnoteTextChar">
    <w:name w:val="Footnote Text Char"/>
    <w:basedOn w:val="DefaultParagraphFont"/>
    <w:link w:val="FootnoteText"/>
    <w:uiPriority w:val="99"/>
    <w:rsid w:val="00CE62E8"/>
  </w:style>
  <w:style w:type="character" w:styleId="FootnoteReference">
    <w:name w:val="footnote reference"/>
    <w:uiPriority w:val="99"/>
    <w:rsid w:val="00CE62E8"/>
    <w:rPr>
      <w:rFonts w:cs="Times New Roman"/>
      <w:vertAlign w:val="superscript"/>
    </w:rPr>
  </w:style>
  <w:style w:type="paragraph" w:customStyle="1" w:styleId="CM4">
    <w:name w:val="CM4"/>
    <w:basedOn w:val="Default"/>
    <w:next w:val="Default"/>
    <w:uiPriority w:val="99"/>
    <w:rsid w:val="00923EA6"/>
    <w:pPr>
      <w:spacing w:line="280" w:lineRule="atLeast"/>
    </w:pPr>
    <w:rPr>
      <w:color w:val="auto"/>
    </w:rPr>
  </w:style>
  <w:style w:type="paragraph" w:styleId="CommentSubject">
    <w:name w:val="annotation subject"/>
    <w:basedOn w:val="CommentText"/>
    <w:next w:val="CommentText"/>
    <w:link w:val="CommentSubjectChar"/>
    <w:rsid w:val="00923EA6"/>
    <w:pPr>
      <w:widowControl w:val="0"/>
      <w:autoSpaceDE w:val="0"/>
      <w:autoSpaceDN w:val="0"/>
      <w:adjustRightInd w:val="0"/>
      <w:spacing w:line="240" w:lineRule="auto"/>
    </w:pPr>
    <w:rPr>
      <w:b/>
      <w:bCs/>
    </w:rPr>
  </w:style>
  <w:style w:type="character" w:customStyle="1" w:styleId="CommentSubjectChar">
    <w:name w:val="Comment Subject Char"/>
    <w:link w:val="CommentSubject"/>
    <w:rsid w:val="00923EA6"/>
    <w:rPr>
      <w:b/>
      <w:bCs/>
    </w:rPr>
  </w:style>
  <w:style w:type="paragraph" w:customStyle="1" w:styleId="L1-FlLSp12">
    <w:name w:val="L1-FlL Sp&amp;1/2"/>
    <w:basedOn w:val="Normal"/>
    <w:uiPriority w:val="99"/>
    <w:rsid w:val="00853BA9"/>
    <w:pPr>
      <w:widowControl/>
      <w:tabs>
        <w:tab w:val="left" w:pos="1152"/>
      </w:tabs>
      <w:autoSpaceDE/>
      <w:autoSpaceDN/>
      <w:adjustRightInd/>
      <w:spacing w:line="360" w:lineRule="atLeast"/>
    </w:pPr>
    <w:rPr>
      <w:rFonts w:ascii="Garamond" w:hAnsi="Garamond"/>
      <w:sz w:val="24"/>
    </w:rPr>
  </w:style>
  <w:style w:type="paragraph" w:styleId="NoSpacing">
    <w:name w:val="No Spacing"/>
    <w:uiPriority w:val="1"/>
    <w:qFormat/>
    <w:rsid w:val="00B6659C"/>
    <w:rPr>
      <w:rFonts w:ascii="Calibri" w:hAnsi="Calibri"/>
      <w:sz w:val="22"/>
      <w:szCs w:val="22"/>
    </w:rPr>
  </w:style>
  <w:style w:type="character" w:customStyle="1" w:styleId="apple-converted-space">
    <w:name w:val="apple-converted-space"/>
    <w:rsid w:val="00B6659C"/>
  </w:style>
  <w:style w:type="paragraph" w:styleId="ListParagraph">
    <w:name w:val="List Paragraph"/>
    <w:basedOn w:val="Normal"/>
    <w:uiPriority w:val="34"/>
    <w:qFormat/>
    <w:rsid w:val="001D4856"/>
    <w:pPr>
      <w:widowControl/>
      <w:autoSpaceDE/>
      <w:autoSpaceDN/>
      <w:adjustRightInd/>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D34AB8"/>
    <w:rPr>
      <w:color w:val="800080" w:themeColor="followedHyperlink"/>
      <w:u w:val="single"/>
    </w:rPr>
  </w:style>
  <w:style w:type="paragraph" w:styleId="EndnoteText">
    <w:name w:val="endnote text"/>
    <w:basedOn w:val="Normal"/>
    <w:link w:val="EndnoteTextChar"/>
    <w:rsid w:val="006F7A8E"/>
  </w:style>
  <w:style w:type="character" w:customStyle="1" w:styleId="EndnoteTextChar">
    <w:name w:val="Endnote Text Char"/>
    <w:basedOn w:val="DefaultParagraphFont"/>
    <w:link w:val="EndnoteText"/>
    <w:rsid w:val="006F7A8E"/>
  </w:style>
  <w:style w:type="character" w:styleId="EndnoteReference">
    <w:name w:val="endnote reference"/>
    <w:basedOn w:val="DefaultParagraphFont"/>
    <w:rsid w:val="006F7A8E"/>
    <w:rPr>
      <w:vertAlign w:val="superscript"/>
    </w:rPr>
  </w:style>
  <w:style w:type="paragraph" w:styleId="HTMLPreformatted">
    <w:name w:val="HTML Preformatted"/>
    <w:basedOn w:val="Normal"/>
    <w:link w:val="HTMLPreformattedChar"/>
    <w:uiPriority w:val="99"/>
    <w:unhideWhenUsed/>
    <w:rsid w:val="00327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3274F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uiPriority w:val="99"/>
    <w:rsid w:val="007F3467"/>
    <w:rPr>
      <w:rFonts w:cs="Times New Roman"/>
      <w:sz w:val="16"/>
      <w:szCs w:val="16"/>
    </w:rPr>
  </w:style>
  <w:style w:type="paragraph" w:styleId="CommentText">
    <w:name w:val="annotation text"/>
    <w:basedOn w:val="Normal"/>
    <w:link w:val="CommentTextChar"/>
    <w:uiPriority w:val="99"/>
    <w:rsid w:val="007F3467"/>
    <w:pPr>
      <w:widowControl/>
      <w:autoSpaceDE/>
      <w:autoSpaceDN/>
      <w:adjustRightInd/>
      <w:spacing w:line="360" w:lineRule="auto"/>
    </w:pPr>
  </w:style>
  <w:style w:type="character" w:customStyle="1" w:styleId="CommentTextChar">
    <w:name w:val="Comment Text Char"/>
    <w:basedOn w:val="DefaultParagraphFont"/>
    <w:link w:val="CommentText"/>
    <w:uiPriority w:val="99"/>
    <w:rsid w:val="007F3467"/>
  </w:style>
  <w:style w:type="character" w:styleId="Hyperlink">
    <w:name w:val="Hyperlink"/>
    <w:uiPriority w:val="99"/>
    <w:unhideWhenUsed/>
    <w:rsid w:val="007F3467"/>
    <w:rPr>
      <w:color w:val="0000FF"/>
      <w:u w:val="single"/>
    </w:rPr>
  </w:style>
  <w:style w:type="paragraph" w:styleId="BalloonText">
    <w:name w:val="Balloon Text"/>
    <w:basedOn w:val="Normal"/>
    <w:link w:val="BalloonTextChar"/>
    <w:rsid w:val="007F3467"/>
    <w:rPr>
      <w:rFonts w:ascii="Tahoma" w:hAnsi="Tahoma" w:cs="Tahoma"/>
      <w:sz w:val="16"/>
      <w:szCs w:val="16"/>
    </w:rPr>
  </w:style>
  <w:style w:type="character" w:customStyle="1" w:styleId="BalloonTextChar">
    <w:name w:val="Balloon Text Char"/>
    <w:link w:val="BalloonText"/>
    <w:rsid w:val="007F3467"/>
    <w:rPr>
      <w:rFonts w:ascii="Tahoma" w:hAnsi="Tahoma" w:cs="Tahoma"/>
      <w:sz w:val="16"/>
      <w:szCs w:val="16"/>
    </w:rPr>
  </w:style>
  <w:style w:type="paragraph" w:customStyle="1" w:styleId="CM23">
    <w:name w:val="CM23"/>
    <w:basedOn w:val="Normal"/>
    <w:next w:val="Normal"/>
    <w:uiPriority w:val="99"/>
    <w:rsid w:val="001E2168"/>
    <w:pPr>
      <w:spacing w:after="275"/>
    </w:pPr>
    <w:rPr>
      <w:sz w:val="24"/>
      <w:szCs w:val="24"/>
    </w:rPr>
  </w:style>
  <w:style w:type="paragraph" w:customStyle="1" w:styleId="CM22">
    <w:name w:val="CM22"/>
    <w:basedOn w:val="Normal"/>
    <w:next w:val="Normal"/>
    <w:uiPriority w:val="99"/>
    <w:rsid w:val="001E2168"/>
    <w:pPr>
      <w:spacing w:after="563"/>
    </w:pPr>
    <w:rPr>
      <w:sz w:val="24"/>
      <w:szCs w:val="24"/>
    </w:rPr>
  </w:style>
  <w:style w:type="paragraph" w:customStyle="1" w:styleId="Default">
    <w:name w:val="Default"/>
    <w:uiPriority w:val="99"/>
    <w:rsid w:val="00CE62E8"/>
    <w:pPr>
      <w:widowControl w:val="0"/>
      <w:autoSpaceDE w:val="0"/>
      <w:autoSpaceDN w:val="0"/>
      <w:adjustRightInd w:val="0"/>
    </w:pPr>
    <w:rPr>
      <w:color w:val="000000"/>
      <w:sz w:val="24"/>
      <w:szCs w:val="24"/>
    </w:rPr>
  </w:style>
  <w:style w:type="paragraph" w:customStyle="1" w:styleId="P1-StandPara">
    <w:name w:val="P1-Stand Para"/>
    <w:basedOn w:val="Normal"/>
    <w:uiPriority w:val="99"/>
    <w:rsid w:val="00CE62E8"/>
    <w:pPr>
      <w:widowControl/>
      <w:autoSpaceDE/>
      <w:autoSpaceDN/>
      <w:adjustRightInd/>
      <w:spacing w:line="360" w:lineRule="atLeast"/>
      <w:ind w:firstLine="1152"/>
    </w:pPr>
    <w:rPr>
      <w:rFonts w:ascii="Garamond" w:hAnsi="Garamond"/>
      <w:sz w:val="24"/>
    </w:rPr>
  </w:style>
  <w:style w:type="paragraph" w:styleId="FootnoteText">
    <w:name w:val="footnote text"/>
    <w:basedOn w:val="Normal"/>
    <w:link w:val="FootnoteTextChar"/>
    <w:uiPriority w:val="99"/>
    <w:rsid w:val="00CE62E8"/>
    <w:pPr>
      <w:widowControl/>
      <w:autoSpaceDE/>
      <w:autoSpaceDN/>
      <w:adjustRightInd/>
      <w:spacing w:line="360" w:lineRule="auto"/>
    </w:pPr>
  </w:style>
  <w:style w:type="character" w:customStyle="1" w:styleId="FootnoteTextChar">
    <w:name w:val="Footnote Text Char"/>
    <w:basedOn w:val="DefaultParagraphFont"/>
    <w:link w:val="FootnoteText"/>
    <w:uiPriority w:val="99"/>
    <w:rsid w:val="00CE62E8"/>
  </w:style>
  <w:style w:type="character" w:styleId="FootnoteReference">
    <w:name w:val="footnote reference"/>
    <w:uiPriority w:val="99"/>
    <w:rsid w:val="00CE62E8"/>
    <w:rPr>
      <w:rFonts w:cs="Times New Roman"/>
      <w:vertAlign w:val="superscript"/>
    </w:rPr>
  </w:style>
  <w:style w:type="paragraph" w:customStyle="1" w:styleId="CM4">
    <w:name w:val="CM4"/>
    <w:basedOn w:val="Default"/>
    <w:next w:val="Default"/>
    <w:uiPriority w:val="99"/>
    <w:rsid w:val="00923EA6"/>
    <w:pPr>
      <w:spacing w:line="280" w:lineRule="atLeast"/>
    </w:pPr>
    <w:rPr>
      <w:color w:val="auto"/>
    </w:rPr>
  </w:style>
  <w:style w:type="paragraph" w:styleId="CommentSubject">
    <w:name w:val="annotation subject"/>
    <w:basedOn w:val="CommentText"/>
    <w:next w:val="CommentText"/>
    <w:link w:val="CommentSubjectChar"/>
    <w:rsid w:val="00923EA6"/>
    <w:pPr>
      <w:widowControl w:val="0"/>
      <w:autoSpaceDE w:val="0"/>
      <w:autoSpaceDN w:val="0"/>
      <w:adjustRightInd w:val="0"/>
      <w:spacing w:line="240" w:lineRule="auto"/>
    </w:pPr>
    <w:rPr>
      <w:b/>
      <w:bCs/>
    </w:rPr>
  </w:style>
  <w:style w:type="character" w:customStyle="1" w:styleId="CommentSubjectChar">
    <w:name w:val="Comment Subject Char"/>
    <w:link w:val="CommentSubject"/>
    <w:rsid w:val="00923EA6"/>
    <w:rPr>
      <w:b/>
      <w:bCs/>
    </w:rPr>
  </w:style>
  <w:style w:type="paragraph" w:customStyle="1" w:styleId="L1-FlLSp12">
    <w:name w:val="L1-FlL Sp&amp;1/2"/>
    <w:basedOn w:val="Normal"/>
    <w:uiPriority w:val="99"/>
    <w:rsid w:val="00853BA9"/>
    <w:pPr>
      <w:widowControl/>
      <w:tabs>
        <w:tab w:val="left" w:pos="1152"/>
      </w:tabs>
      <w:autoSpaceDE/>
      <w:autoSpaceDN/>
      <w:adjustRightInd/>
      <w:spacing w:line="360" w:lineRule="atLeast"/>
    </w:pPr>
    <w:rPr>
      <w:rFonts w:ascii="Garamond" w:hAnsi="Garamond"/>
      <w:sz w:val="24"/>
    </w:rPr>
  </w:style>
  <w:style w:type="paragraph" w:styleId="NoSpacing">
    <w:name w:val="No Spacing"/>
    <w:uiPriority w:val="1"/>
    <w:qFormat/>
    <w:rsid w:val="00B6659C"/>
    <w:rPr>
      <w:rFonts w:ascii="Calibri" w:hAnsi="Calibri"/>
      <w:sz w:val="22"/>
      <w:szCs w:val="22"/>
    </w:rPr>
  </w:style>
  <w:style w:type="character" w:customStyle="1" w:styleId="apple-converted-space">
    <w:name w:val="apple-converted-space"/>
    <w:rsid w:val="00B6659C"/>
  </w:style>
  <w:style w:type="paragraph" w:styleId="ListParagraph">
    <w:name w:val="List Paragraph"/>
    <w:basedOn w:val="Normal"/>
    <w:uiPriority w:val="34"/>
    <w:qFormat/>
    <w:rsid w:val="001D4856"/>
    <w:pPr>
      <w:widowControl/>
      <w:autoSpaceDE/>
      <w:autoSpaceDN/>
      <w:adjustRightInd/>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D34AB8"/>
    <w:rPr>
      <w:color w:val="800080" w:themeColor="followedHyperlink"/>
      <w:u w:val="single"/>
    </w:rPr>
  </w:style>
  <w:style w:type="paragraph" w:styleId="EndnoteText">
    <w:name w:val="endnote text"/>
    <w:basedOn w:val="Normal"/>
    <w:link w:val="EndnoteTextChar"/>
    <w:rsid w:val="006F7A8E"/>
  </w:style>
  <w:style w:type="character" w:customStyle="1" w:styleId="EndnoteTextChar">
    <w:name w:val="Endnote Text Char"/>
    <w:basedOn w:val="DefaultParagraphFont"/>
    <w:link w:val="EndnoteText"/>
    <w:rsid w:val="006F7A8E"/>
  </w:style>
  <w:style w:type="character" w:styleId="EndnoteReference">
    <w:name w:val="endnote reference"/>
    <w:basedOn w:val="DefaultParagraphFont"/>
    <w:rsid w:val="006F7A8E"/>
    <w:rPr>
      <w:vertAlign w:val="superscript"/>
    </w:rPr>
  </w:style>
  <w:style w:type="paragraph" w:styleId="HTMLPreformatted">
    <w:name w:val="HTML Preformatted"/>
    <w:basedOn w:val="Normal"/>
    <w:link w:val="HTMLPreformattedChar"/>
    <w:uiPriority w:val="99"/>
    <w:unhideWhenUsed/>
    <w:rsid w:val="00327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3274F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0422">
      <w:bodyDiv w:val="1"/>
      <w:marLeft w:val="0"/>
      <w:marRight w:val="0"/>
      <w:marTop w:val="0"/>
      <w:marBottom w:val="0"/>
      <w:divBdr>
        <w:top w:val="none" w:sz="0" w:space="0" w:color="auto"/>
        <w:left w:val="none" w:sz="0" w:space="0" w:color="auto"/>
        <w:bottom w:val="none" w:sz="0" w:space="0" w:color="auto"/>
        <w:right w:val="none" w:sz="0" w:space="0" w:color="auto"/>
      </w:divBdr>
    </w:div>
    <w:div w:id="93745308">
      <w:bodyDiv w:val="1"/>
      <w:marLeft w:val="0"/>
      <w:marRight w:val="0"/>
      <w:marTop w:val="0"/>
      <w:marBottom w:val="0"/>
      <w:divBdr>
        <w:top w:val="none" w:sz="0" w:space="0" w:color="auto"/>
        <w:left w:val="none" w:sz="0" w:space="0" w:color="auto"/>
        <w:bottom w:val="none" w:sz="0" w:space="0" w:color="auto"/>
        <w:right w:val="none" w:sz="0" w:space="0" w:color="auto"/>
      </w:divBdr>
    </w:div>
    <w:div w:id="276914304">
      <w:bodyDiv w:val="1"/>
      <w:marLeft w:val="0"/>
      <w:marRight w:val="0"/>
      <w:marTop w:val="0"/>
      <w:marBottom w:val="0"/>
      <w:divBdr>
        <w:top w:val="none" w:sz="0" w:space="0" w:color="auto"/>
        <w:left w:val="none" w:sz="0" w:space="0" w:color="auto"/>
        <w:bottom w:val="none" w:sz="0" w:space="0" w:color="auto"/>
        <w:right w:val="none" w:sz="0" w:space="0" w:color="auto"/>
      </w:divBdr>
    </w:div>
    <w:div w:id="417874325">
      <w:bodyDiv w:val="1"/>
      <w:marLeft w:val="0"/>
      <w:marRight w:val="0"/>
      <w:marTop w:val="0"/>
      <w:marBottom w:val="0"/>
      <w:divBdr>
        <w:top w:val="none" w:sz="0" w:space="0" w:color="auto"/>
        <w:left w:val="none" w:sz="0" w:space="0" w:color="auto"/>
        <w:bottom w:val="none" w:sz="0" w:space="0" w:color="auto"/>
        <w:right w:val="none" w:sz="0" w:space="0" w:color="auto"/>
      </w:divBdr>
    </w:div>
    <w:div w:id="495345259">
      <w:bodyDiv w:val="1"/>
      <w:marLeft w:val="0"/>
      <w:marRight w:val="0"/>
      <w:marTop w:val="0"/>
      <w:marBottom w:val="0"/>
      <w:divBdr>
        <w:top w:val="none" w:sz="0" w:space="0" w:color="auto"/>
        <w:left w:val="none" w:sz="0" w:space="0" w:color="auto"/>
        <w:bottom w:val="none" w:sz="0" w:space="0" w:color="auto"/>
        <w:right w:val="none" w:sz="0" w:space="0" w:color="auto"/>
      </w:divBdr>
    </w:div>
    <w:div w:id="596256413">
      <w:bodyDiv w:val="1"/>
      <w:marLeft w:val="0"/>
      <w:marRight w:val="0"/>
      <w:marTop w:val="0"/>
      <w:marBottom w:val="0"/>
      <w:divBdr>
        <w:top w:val="none" w:sz="0" w:space="0" w:color="auto"/>
        <w:left w:val="none" w:sz="0" w:space="0" w:color="auto"/>
        <w:bottom w:val="none" w:sz="0" w:space="0" w:color="auto"/>
        <w:right w:val="none" w:sz="0" w:space="0" w:color="auto"/>
      </w:divBdr>
    </w:div>
    <w:div w:id="739014660">
      <w:bodyDiv w:val="1"/>
      <w:marLeft w:val="0"/>
      <w:marRight w:val="0"/>
      <w:marTop w:val="0"/>
      <w:marBottom w:val="0"/>
      <w:divBdr>
        <w:top w:val="none" w:sz="0" w:space="0" w:color="auto"/>
        <w:left w:val="none" w:sz="0" w:space="0" w:color="auto"/>
        <w:bottom w:val="none" w:sz="0" w:space="0" w:color="auto"/>
        <w:right w:val="none" w:sz="0" w:space="0" w:color="auto"/>
      </w:divBdr>
    </w:div>
    <w:div w:id="1310209148">
      <w:bodyDiv w:val="1"/>
      <w:marLeft w:val="0"/>
      <w:marRight w:val="0"/>
      <w:marTop w:val="0"/>
      <w:marBottom w:val="0"/>
      <w:divBdr>
        <w:top w:val="none" w:sz="0" w:space="0" w:color="auto"/>
        <w:left w:val="none" w:sz="0" w:space="0" w:color="auto"/>
        <w:bottom w:val="none" w:sz="0" w:space="0" w:color="auto"/>
        <w:right w:val="none" w:sz="0" w:space="0" w:color="auto"/>
      </w:divBdr>
    </w:div>
    <w:div w:id="1351839933">
      <w:bodyDiv w:val="1"/>
      <w:marLeft w:val="0"/>
      <w:marRight w:val="0"/>
      <w:marTop w:val="0"/>
      <w:marBottom w:val="0"/>
      <w:divBdr>
        <w:top w:val="none" w:sz="0" w:space="0" w:color="auto"/>
        <w:left w:val="none" w:sz="0" w:space="0" w:color="auto"/>
        <w:bottom w:val="none" w:sz="0" w:space="0" w:color="auto"/>
        <w:right w:val="none" w:sz="0" w:space="0" w:color="auto"/>
      </w:divBdr>
    </w:div>
    <w:div w:id="1505900159">
      <w:bodyDiv w:val="1"/>
      <w:marLeft w:val="0"/>
      <w:marRight w:val="0"/>
      <w:marTop w:val="0"/>
      <w:marBottom w:val="0"/>
      <w:divBdr>
        <w:top w:val="none" w:sz="0" w:space="0" w:color="auto"/>
        <w:left w:val="none" w:sz="0" w:space="0" w:color="auto"/>
        <w:bottom w:val="none" w:sz="0" w:space="0" w:color="auto"/>
        <w:right w:val="none" w:sz="0" w:space="0" w:color="auto"/>
      </w:divBdr>
    </w:div>
    <w:div w:id="1627395158">
      <w:bodyDiv w:val="1"/>
      <w:marLeft w:val="0"/>
      <w:marRight w:val="0"/>
      <w:marTop w:val="0"/>
      <w:marBottom w:val="0"/>
      <w:divBdr>
        <w:top w:val="none" w:sz="0" w:space="0" w:color="auto"/>
        <w:left w:val="none" w:sz="0" w:space="0" w:color="auto"/>
        <w:bottom w:val="none" w:sz="0" w:space="0" w:color="auto"/>
        <w:right w:val="none" w:sz="0" w:space="0" w:color="auto"/>
      </w:divBdr>
    </w:div>
    <w:div w:id="1712614346">
      <w:bodyDiv w:val="1"/>
      <w:marLeft w:val="0"/>
      <w:marRight w:val="0"/>
      <w:marTop w:val="0"/>
      <w:marBottom w:val="0"/>
      <w:divBdr>
        <w:top w:val="none" w:sz="0" w:space="0" w:color="auto"/>
        <w:left w:val="none" w:sz="0" w:space="0" w:color="auto"/>
        <w:bottom w:val="none" w:sz="0" w:space="0" w:color="auto"/>
        <w:right w:val="none" w:sz="0" w:space="0" w:color="auto"/>
      </w:divBdr>
    </w:div>
    <w:div w:id="186686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cs/ocs/sp/nctb1477.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ater.epa.gov/lawsregs/guidance/wetlands/eo12962.cfm"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st.nmfs.gov/st1/recre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8B804-4778-4D5B-B0C9-DDE0AA88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3499</Words>
  <Characters>19947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23400</CharactersWithSpaces>
  <SharedDoc>false</SharedDoc>
  <HLinks>
    <vt:vector size="24" baseType="variant">
      <vt:variant>
        <vt:i4>6422644</vt:i4>
      </vt:variant>
      <vt:variant>
        <vt:i4>13</vt:i4>
      </vt:variant>
      <vt:variant>
        <vt:i4>0</vt:i4>
      </vt:variant>
      <vt:variant>
        <vt:i4>5</vt:i4>
      </vt:variant>
      <vt:variant>
        <vt:lpwstr>http://www.bls.gov/ncs/ocs/sp/nctb1477.pdf</vt:lpwstr>
      </vt:variant>
      <vt:variant>
        <vt:lpwstr/>
      </vt:variant>
      <vt:variant>
        <vt:i4>7798847</vt:i4>
      </vt:variant>
      <vt:variant>
        <vt:i4>10</vt:i4>
      </vt:variant>
      <vt:variant>
        <vt:i4>0</vt:i4>
      </vt:variant>
      <vt:variant>
        <vt:i4>5</vt:i4>
      </vt:variant>
      <vt:variant>
        <vt:lpwstr>http://www.corporateservices.noaa.gov/ames/administrative_orders/chapter_216/216-100.html</vt:lpwstr>
      </vt:variant>
      <vt:variant>
        <vt:lpwstr/>
      </vt:variant>
      <vt:variant>
        <vt:i4>8257586</vt:i4>
      </vt:variant>
      <vt:variant>
        <vt:i4>3</vt:i4>
      </vt:variant>
      <vt:variant>
        <vt:i4>0</vt:i4>
      </vt:variant>
      <vt:variant>
        <vt:i4>5</vt:i4>
      </vt:variant>
      <vt:variant>
        <vt:lpwstr>http://water.epa.gov/lawsregs/guidance/wetlands/eo12962.cfm</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20</cp:revision>
  <cp:lastPrinted>2013-05-06T13:58:00Z</cp:lastPrinted>
  <dcterms:created xsi:type="dcterms:W3CDTF">2013-05-06T13:59:00Z</dcterms:created>
  <dcterms:modified xsi:type="dcterms:W3CDTF">2013-07-08T17:56:00Z</dcterms:modified>
</cp:coreProperties>
</file>