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C7" w:rsidRDefault="00B861C7" w:rsidP="00B861C7">
      <w:pPr>
        <w:suppressAutoHyphens/>
        <w:rPr>
          <w:rFonts w:ascii="Times New Roman" w:hAnsi="Times New Roman"/>
        </w:rPr>
      </w:pPr>
      <w:r>
        <w:rPr>
          <w:rFonts w:ascii="Times New Roman" w:hAnsi="Times New Roman"/>
        </w:rPr>
        <w:t>SUPPORTING STATEMENT FOR NEW AND REVISED INFORMATION COLLECTIONS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B861C7" w:rsidRDefault="00B861C7" w:rsidP="00B861C7">
      <w:pPr>
        <w:suppressAutoHyphens/>
        <w:rPr>
          <w:rFonts w:ascii="Times New Roman" w:hAnsi="Times New Roman"/>
        </w:rPr>
      </w:pPr>
    </w:p>
    <w:p w:rsidR="00B861C7" w:rsidRDefault="00B861C7" w:rsidP="00B861C7">
      <w:pPr>
        <w:tabs>
          <w:tab w:val="center" w:pos="4680"/>
        </w:tabs>
        <w:suppressAutoHyphens/>
        <w:rPr>
          <w:rFonts w:ascii="Times New Roman" w:hAnsi="Times New Roman"/>
        </w:rPr>
      </w:pPr>
      <w:r>
        <w:rPr>
          <w:rFonts w:ascii="Times New Roman" w:hAnsi="Times New Roman"/>
        </w:rPr>
        <w:tab/>
        <w:t>OMB CONTROL NUMBER 3038-0067</w:t>
      </w:r>
    </w:p>
    <w:p w:rsidR="00B861C7" w:rsidRDefault="00B861C7" w:rsidP="00B861C7">
      <w:pPr>
        <w:tabs>
          <w:tab w:val="center" w:pos="4680"/>
        </w:tabs>
        <w:suppressAutoHyphens/>
        <w:rPr>
          <w:rFonts w:ascii="Times New Roman" w:hAnsi="Times New Roman"/>
        </w:rPr>
      </w:pPr>
      <w:r>
        <w:rPr>
          <w:rFonts w:ascii="Times New Roman" w:hAnsi="Times New Roman"/>
        </w:rPr>
        <w:tab/>
        <w:t>Red Flag Rule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s>
        <w:suppressAutoHyphens/>
        <w:rPr>
          <w:rFonts w:ascii="Times New Roman" w:hAnsi="Times New Roman"/>
        </w:rPr>
      </w:pPr>
      <w:r>
        <w:rPr>
          <w:rFonts w:ascii="Times New Roman" w:hAnsi="Times New Roman"/>
          <w:u w:val="single"/>
        </w:rPr>
        <w:t>Justification</w:t>
      </w:r>
    </w:p>
    <w:p w:rsidR="00B861C7" w:rsidRDefault="00B861C7" w:rsidP="00B861C7">
      <w:pPr>
        <w:tabs>
          <w:tab w:val="left" w:pos="-720"/>
        </w:tabs>
        <w:suppressAutoHyphens/>
        <w:rPr>
          <w:rFonts w:ascii="Times New Roman" w:hAnsi="Times New Roman"/>
        </w:rPr>
      </w:pPr>
    </w:p>
    <w:p w:rsidR="00B861C7" w:rsidRDefault="00B861C7" w:rsidP="00B861C7">
      <w:pPr>
        <w:numPr>
          <w:ilvl w:val="0"/>
          <w:numId w:val="1"/>
        </w:numPr>
        <w:tabs>
          <w:tab w:val="left" w:pos="-720"/>
          <w:tab w:val="left" w:pos="0"/>
        </w:tabs>
        <w:suppressAutoHyphens/>
        <w:rPr>
          <w:rFonts w:ascii="Times New Roman" w:hAnsi="Times New Roman"/>
        </w:rPr>
      </w:pPr>
      <w:r>
        <w:rPr>
          <w:rFonts w:ascii="Times New Roman" w:hAnsi="Times New Roman"/>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00B861C7" w:rsidRDefault="00B861C7" w:rsidP="00B861C7">
      <w:pPr>
        <w:tabs>
          <w:tab w:val="left" w:pos="-720"/>
          <w:tab w:val="left" w:pos="0"/>
        </w:tabs>
        <w:suppressAutoHyphens/>
        <w:ind w:left="720"/>
        <w:rPr>
          <w:rFonts w:ascii="Times New Roman" w:hAnsi="Times New Roman"/>
          <w:u w:val="single"/>
        </w:rPr>
      </w:pPr>
    </w:p>
    <w:p w:rsidR="00B861C7" w:rsidRDefault="00B861C7" w:rsidP="00B861C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Pr>
          <w:rFonts w:ascii="Times New Roman" w:hAnsi="Times New Roman"/>
          <w:szCs w:val="24"/>
        </w:rPr>
        <w:tab/>
      </w:r>
      <w:r w:rsidRPr="00C77592">
        <w:rPr>
          <w:rFonts w:ascii="Times New Roman" w:hAnsi="Times New Roman"/>
          <w:szCs w:val="24"/>
        </w:rPr>
        <w:t xml:space="preserve">On July 21, 2010, President Obama signed into law the Dodd-Frank Wall Street Reform and Consumer Protection Act (“Dodd-Frank Act”).  Title X of the Dodd-Frank Act, which is titled the Consumer Financial Protection Act of 2010 (“CFP Act”), established a Bureau of Consumer Financial Protection within the Federal Reserve System and gave this new agency certain rulemaking, enforcement, and supervisory powers over many consumer financial products and services, as well as the entities that sell them.  In addition, Title X amended a number of other federal consumer protection laws enacted prior to the Dodd-Frank Act, including the </w:t>
      </w:r>
      <w:r w:rsidR="00AE7F8C">
        <w:rPr>
          <w:rFonts w:ascii="Times New Roman" w:hAnsi="Times New Roman"/>
          <w:szCs w:val="24"/>
        </w:rPr>
        <w:t>Fair Credit Reporting Act (“</w:t>
      </w:r>
      <w:r w:rsidRPr="00C77592">
        <w:rPr>
          <w:rFonts w:ascii="Times New Roman" w:hAnsi="Times New Roman"/>
          <w:szCs w:val="24"/>
        </w:rPr>
        <w:t>FCRA</w:t>
      </w:r>
      <w:r w:rsidR="00AE7F8C">
        <w:rPr>
          <w:rFonts w:ascii="Times New Roman" w:hAnsi="Times New Roman"/>
          <w:szCs w:val="24"/>
        </w:rPr>
        <w:t>”)</w:t>
      </w:r>
      <w:r w:rsidRPr="00C77592">
        <w:rPr>
          <w:rFonts w:ascii="Times New Roman" w:hAnsi="Times New Roman"/>
          <w:szCs w:val="24"/>
        </w:rPr>
        <w:t>.</w:t>
      </w:r>
    </w:p>
    <w:p w:rsidR="008058CC" w:rsidRPr="00C77592" w:rsidRDefault="008058CC" w:rsidP="00B861C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B861C7" w:rsidRDefault="00B861C7" w:rsidP="00B861C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C77592">
        <w:rPr>
          <w:rFonts w:ascii="Times New Roman" w:hAnsi="Times New Roman"/>
          <w:szCs w:val="24"/>
        </w:rPr>
        <w:tab/>
        <w:t xml:space="preserve">Within Title X, section 1088(a)(8),(10) of the Dodd-Frank Act amended the FCRA by adding the </w:t>
      </w:r>
      <w:r w:rsidR="00AE7F8C" w:rsidRPr="00C77592">
        <w:rPr>
          <w:rFonts w:ascii="Times New Roman" w:hAnsi="Times New Roman"/>
          <w:szCs w:val="24"/>
        </w:rPr>
        <w:t>Commodity Futures Trading Commission (“CFTC”) and the Securities and Exchange Commission (“SEC,” together wi</w:t>
      </w:r>
      <w:r w:rsidR="00AE7F8C">
        <w:rPr>
          <w:rFonts w:ascii="Times New Roman" w:hAnsi="Times New Roman"/>
          <w:szCs w:val="24"/>
        </w:rPr>
        <w:t>th the CFTC, the “Commissions”)</w:t>
      </w:r>
      <w:r w:rsidRPr="00C77592">
        <w:rPr>
          <w:rFonts w:ascii="Times New Roman" w:hAnsi="Times New Roman"/>
          <w:szCs w:val="24"/>
        </w:rPr>
        <w:t xml:space="preserve"> to the list of federal agencies required to jointly prescribe and enforce identity theft red flags rules and guidelines and card issuer rules.  Thus, the Dodd</w:t>
      </w:r>
      <w:r w:rsidRPr="00C77592">
        <w:rPr>
          <w:rFonts w:ascii="Times New Roman" w:hAnsi="Times New Roman"/>
          <w:szCs w:val="24"/>
        </w:rPr>
        <w:noBreakHyphen/>
        <w:t>Frank Act provides for the transfer of rulemaking responsibility and enforcement authority to the CFTC and SEC with respect to the entities under their respective jurisdiction</w:t>
      </w:r>
      <w:r w:rsidR="004F2E44">
        <w:rPr>
          <w:rFonts w:ascii="Times New Roman" w:hAnsi="Times New Roman"/>
          <w:szCs w:val="24"/>
        </w:rPr>
        <w:t>.</w:t>
      </w:r>
      <w:r w:rsidR="004A4824">
        <w:rPr>
          <w:rFonts w:ascii="Times New Roman" w:hAnsi="Times New Roman"/>
          <w:szCs w:val="24"/>
        </w:rPr>
        <w:t xml:space="preserve"> </w:t>
      </w:r>
    </w:p>
    <w:p w:rsidR="004A4824" w:rsidRDefault="004A4824" w:rsidP="00B861C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613A58" w:rsidRPr="00613A58" w:rsidRDefault="00B861C7" w:rsidP="00613A5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Pr>
          <w:rFonts w:ascii="Times New Roman" w:hAnsi="Times New Roman"/>
          <w:szCs w:val="24"/>
        </w:rPr>
        <w:tab/>
      </w:r>
      <w:r w:rsidR="004A4824">
        <w:rPr>
          <w:rFonts w:ascii="Times New Roman" w:hAnsi="Times New Roman"/>
          <w:szCs w:val="24"/>
        </w:rPr>
        <w:t>Accordingly, t</w:t>
      </w:r>
      <w:r w:rsidRPr="00C77592">
        <w:rPr>
          <w:rFonts w:ascii="Times New Roman" w:hAnsi="Times New Roman"/>
          <w:szCs w:val="24"/>
        </w:rPr>
        <w:t xml:space="preserve">he </w:t>
      </w:r>
      <w:r w:rsidR="00AE7F8C" w:rsidRPr="00C77592">
        <w:rPr>
          <w:rFonts w:ascii="Times New Roman" w:hAnsi="Times New Roman"/>
          <w:szCs w:val="24"/>
        </w:rPr>
        <w:t xml:space="preserve">Commissions </w:t>
      </w:r>
      <w:r w:rsidRPr="00C77592">
        <w:rPr>
          <w:rFonts w:ascii="Times New Roman" w:hAnsi="Times New Roman"/>
          <w:szCs w:val="24"/>
        </w:rPr>
        <w:t xml:space="preserve">are </w:t>
      </w:r>
      <w:r w:rsidR="00AB5B83">
        <w:rPr>
          <w:rFonts w:ascii="Times New Roman" w:hAnsi="Times New Roman"/>
          <w:szCs w:val="24"/>
        </w:rPr>
        <w:t xml:space="preserve">now </w:t>
      </w:r>
      <w:r w:rsidRPr="00C77592">
        <w:rPr>
          <w:rFonts w:ascii="Times New Roman" w:hAnsi="Times New Roman"/>
          <w:szCs w:val="24"/>
        </w:rPr>
        <w:t xml:space="preserve">jointly issuing </w:t>
      </w:r>
      <w:r w:rsidR="003C67D1">
        <w:rPr>
          <w:rFonts w:ascii="Times New Roman" w:hAnsi="Times New Roman"/>
          <w:szCs w:val="24"/>
        </w:rPr>
        <w:t>final</w:t>
      </w:r>
      <w:r w:rsidRPr="00C77592">
        <w:rPr>
          <w:rFonts w:ascii="Times New Roman" w:hAnsi="Times New Roman"/>
          <w:szCs w:val="24"/>
        </w:rPr>
        <w:t xml:space="preserve"> rules and guidelines to implement new statutory provisions enacted by Title X of the Dodd-Frank Wall Street Reform and Consumer Protection Act.  These provisions amend section 615(e) of the </w:t>
      </w:r>
      <w:r w:rsidR="003C67D1" w:rsidRPr="00C77592">
        <w:rPr>
          <w:rFonts w:ascii="Times New Roman" w:hAnsi="Times New Roman"/>
          <w:szCs w:val="24"/>
        </w:rPr>
        <w:t>FCRA</w:t>
      </w:r>
      <w:r w:rsidRPr="00C77592">
        <w:rPr>
          <w:rFonts w:ascii="Times New Roman" w:hAnsi="Times New Roman"/>
          <w:szCs w:val="24"/>
        </w:rPr>
        <w:t xml:space="preserve"> and direct the Commissions to prescribe rules requiring entities that are subject to the Commissions’ jurisdiction to address identity theft in two ways.  First, the </w:t>
      </w:r>
      <w:r w:rsidR="003C67D1">
        <w:rPr>
          <w:rFonts w:ascii="Times New Roman" w:hAnsi="Times New Roman"/>
          <w:szCs w:val="24"/>
        </w:rPr>
        <w:t>final</w:t>
      </w:r>
      <w:r w:rsidRPr="00C77592">
        <w:rPr>
          <w:rFonts w:ascii="Times New Roman" w:hAnsi="Times New Roman"/>
          <w:szCs w:val="24"/>
        </w:rPr>
        <w:t xml:space="preserve"> rules and guidelines require financial institutions and creditors to </w:t>
      </w:r>
      <w:r w:rsidRPr="00C77592">
        <w:rPr>
          <w:rFonts w:ascii="Times New Roman" w:hAnsi="Times New Roman"/>
          <w:szCs w:val="22"/>
        </w:rPr>
        <w:t xml:space="preserve">develop and implement a written identity theft prevention program that is designed to detect, prevent, and mitigate identity theft </w:t>
      </w:r>
      <w:r w:rsidRPr="00C77592">
        <w:rPr>
          <w:rFonts w:ascii="Times New Roman" w:hAnsi="Times New Roman"/>
          <w:szCs w:val="24"/>
        </w:rPr>
        <w:t xml:space="preserve">in connection with certain existing accounts or the opening of new accounts.  The Commissions also are </w:t>
      </w:r>
      <w:r w:rsidR="0027256B">
        <w:rPr>
          <w:rFonts w:ascii="Times New Roman" w:hAnsi="Times New Roman"/>
          <w:szCs w:val="24"/>
        </w:rPr>
        <w:t>issuing</w:t>
      </w:r>
      <w:r w:rsidRPr="00C77592">
        <w:rPr>
          <w:rFonts w:ascii="Times New Roman" w:hAnsi="Times New Roman"/>
          <w:szCs w:val="24"/>
        </w:rPr>
        <w:t xml:space="preserve"> guidelines to assist entities in the formulation and maintenance of a program that would satisfy the requirements of the </w:t>
      </w:r>
      <w:r w:rsidR="0027256B">
        <w:rPr>
          <w:rFonts w:ascii="Times New Roman" w:hAnsi="Times New Roman"/>
          <w:szCs w:val="24"/>
        </w:rPr>
        <w:t>final</w:t>
      </w:r>
      <w:r w:rsidRPr="00C77592">
        <w:rPr>
          <w:rFonts w:ascii="Times New Roman" w:hAnsi="Times New Roman"/>
          <w:szCs w:val="24"/>
        </w:rPr>
        <w:t xml:space="preserve"> rules.  Second, the </w:t>
      </w:r>
      <w:r w:rsidR="00AB5B83">
        <w:rPr>
          <w:rFonts w:ascii="Times New Roman" w:hAnsi="Times New Roman"/>
          <w:szCs w:val="24"/>
        </w:rPr>
        <w:t>final</w:t>
      </w:r>
      <w:r w:rsidRPr="00C77592">
        <w:rPr>
          <w:rFonts w:ascii="Times New Roman" w:hAnsi="Times New Roman"/>
          <w:szCs w:val="24"/>
        </w:rPr>
        <w:t xml:space="preserve"> rules establish special requirements for any credit and debit card issuers that are subject to the Commissions’ jurisdiction, to assess the validity of notifications of changes of address under certain circumstances.</w:t>
      </w:r>
      <w:r>
        <w:rPr>
          <w:rFonts w:ascii="Times New Roman" w:hAnsi="Times New Roman"/>
        </w:rPr>
        <w:t xml:space="preserve"> </w:t>
      </w:r>
      <w:r w:rsidR="00613A58">
        <w:rPr>
          <w:rFonts w:ascii="Times New Roman" w:hAnsi="Times New Roman"/>
        </w:rPr>
        <w:t xml:space="preserve"> </w:t>
      </w:r>
      <w:r w:rsidR="00613A58" w:rsidRPr="00613A58">
        <w:rPr>
          <w:rFonts w:ascii="Times New Roman" w:hAnsi="Times New Roman"/>
          <w:w w:val="112"/>
          <w:szCs w:val="24"/>
        </w:rPr>
        <w:t>Because</w:t>
      </w:r>
      <w:r w:rsidR="00613A58" w:rsidRPr="00613A58">
        <w:rPr>
          <w:rFonts w:ascii="Times New Roman" w:hAnsi="Times New Roman"/>
          <w:spacing w:val="-7"/>
          <w:w w:val="112"/>
          <w:szCs w:val="24"/>
        </w:rPr>
        <w:t xml:space="preserve"> </w:t>
      </w:r>
      <w:r w:rsidR="00613A58" w:rsidRPr="00613A58">
        <w:rPr>
          <w:rFonts w:ascii="Times New Roman" w:hAnsi="Times New Roman"/>
          <w:w w:val="112"/>
          <w:szCs w:val="24"/>
        </w:rPr>
        <w:t>compliance</w:t>
      </w:r>
      <w:r w:rsidR="00613A58" w:rsidRPr="00613A58">
        <w:rPr>
          <w:rFonts w:ascii="Times New Roman" w:hAnsi="Times New Roman"/>
          <w:spacing w:val="23"/>
          <w:w w:val="112"/>
          <w:szCs w:val="24"/>
        </w:rPr>
        <w:t xml:space="preserve"> </w:t>
      </w:r>
      <w:r w:rsidR="00613A58" w:rsidRPr="00613A58">
        <w:rPr>
          <w:rFonts w:ascii="Times New Roman" w:hAnsi="Times New Roman"/>
          <w:w w:val="118"/>
          <w:szCs w:val="24"/>
        </w:rPr>
        <w:t>with identity</w:t>
      </w:r>
      <w:r w:rsidR="00613A58" w:rsidRPr="00613A58">
        <w:rPr>
          <w:rFonts w:ascii="Times New Roman" w:hAnsi="Times New Roman"/>
          <w:spacing w:val="-4"/>
          <w:w w:val="118"/>
          <w:szCs w:val="24"/>
        </w:rPr>
        <w:t xml:space="preserve"> </w:t>
      </w:r>
      <w:r w:rsidR="00613A58" w:rsidRPr="00613A58">
        <w:rPr>
          <w:rFonts w:ascii="Times New Roman" w:hAnsi="Times New Roman"/>
          <w:szCs w:val="24"/>
        </w:rPr>
        <w:t>theft</w:t>
      </w:r>
      <w:r w:rsidR="00613A58" w:rsidRPr="00613A58">
        <w:rPr>
          <w:rFonts w:ascii="Times New Roman" w:hAnsi="Times New Roman"/>
          <w:spacing w:val="8"/>
          <w:szCs w:val="24"/>
        </w:rPr>
        <w:t xml:space="preserve"> </w:t>
      </w:r>
      <w:r w:rsidR="00613A58" w:rsidRPr="00613A58">
        <w:rPr>
          <w:rFonts w:ascii="Times New Roman" w:hAnsi="Times New Roman"/>
          <w:szCs w:val="24"/>
        </w:rPr>
        <w:t>red</w:t>
      </w:r>
      <w:r w:rsidR="00613A58" w:rsidRPr="00613A58">
        <w:rPr>
          <w:rFonts w:ascii="Times New Roman" w:hAnsi="Times New Roman"/>
          <w:spacing w:val="43"/>
          <w:szCs w:val="24"/>
        </w:rPr>
        <w:t xml:space="preserve"> </w:t>
      </w:r>
      <w:r w:rsidR="00613A58" w:rsidRPr="00613A58">
        <w:rPr>
          <w:rFonts w:ascii="Times New Roman" w:hAnsi="Times New Roman"/>
          <w:szCs w:val="24"/>
        </w:rPr>
        <w:t>flags</w:t>
      </w:r>
      <w:r w:rsidR="00613A58" w:rsidRPr="00613A58">
        <w:rPr>
          <w:rFonts w:ascii="Times New Roman" w:hAnsi="Times New Roman"/>
          <w:spacing w:val="32"/>
          <w:szCs w:val="24"/>
        </w:rPr>
        <w:t xml:space="preserve"> </w:t>
      </w:r>
      <w:r w:rsidR="00613A58" w:rsidRPr="00613A58">
        <w:rPr>
          <w:rFonts w:ascii="Times New Roman" w:hAnsi="Times New Roman"/>
          <w:w w:val="115"/>
          <w:szCs w:val="24"/>
        </w:rPr>
        <w:t>rules</w:t>
      </w:r>
      <w:r w:rsidR="00613A58" w:rsidRPr="00613A58">
        <w:rPr>
          <w:rFonts w:ascii="Times New Roman" w:hAnsi="Times New Roman"/>
          <w:spacing w:val="4"/>
          <w:w w:val="115"/>
          <w:szCs w:val="24"/>
        </w:rPr>
        <w:t xml:space="preserve"> </w:t>
      </w:r>
      <w:r w:rsidR="00613A58" w:rsidRPr="00613A58">
        <w:rPr>
          <w:rFonts w:ascii="Times New Roman" w:hAnsi="Times New Roman"/>
          <w:w w:val="115"/>
          <w:szCs w:val="24"/>
        </w:rPr>
        <w:t xml:space="preserve">jointly </w:t>
      </w:r>
      <w:r w:rsidR="00613A58" w:rsidRPr="00613A58">
        <w:rPr>
          <w:rFonts w:ascii="Times New Roman" w:hAnsi="Times New Roman"/>
          <w:w w:val="117"/>
          <w:szCs w:val="24"/>
        </w:rPr>
        <w:t>adopted</w:t>
      </w:r>
      <w:r w:rsidR="00613A58" w:rsidRPr="00613A58">
        <w:rPr>
          <w:rFonts w:ascii="Times New Roman" w:hAnsi="Times New Roman"/>
          <w:spacing w:val="-4"/>
          <w:w w:val="117"/>
          <w:szCs w:val="24"/>
        </w:rPr>
        <w:t xml:space="preserve"> </w:t>
      </w:r>
      <w:r w:rsidR="00613A58" w:rsidRPr="00613A58">
        <w:rPr>
          <w:rFonts w:ascii="Times New Roman" w:hAnsi="Times New Roman"/>
          <w:szCs w:val="24"/>
        </w:rPr>
        <w:t>by</w:t>
      </w:r>
      <w:r w:rsidR="00613A58" w:rsidRPr="00613A58">
        <w:rPr>
          <w:rFonts w:ascii="Times New Roman" w:hAnsi="Times New Roman"/>
          <w:spacing w:val="24"/>
          <w:szCs w:val="24"/>
        </w:rPr>
        <w:t xml:space="preserve"> </w:t>
      </w:r>
      <w:r w:rsidR="00613A58" w:rsidRPr="00613A58">
        <w:rPr>
          <w:rFonts w:ascii="Times New Roman" w:hAnsi="Times New Roman"/>
          <w:szCs w:val="24"/>
        </w:rPr>
        <w:t>the</w:t>
      </w:r>
      <w:r w:rsidR="00613A58" w:rsidRPr="00613A58">
        <w:rPr>
          <w:rFonts w:ascii="Times New Roman" w:hAnsi="Times New Roman"/>
          <w:spacing w:val="44"/>
          <w:szCs w:val="24"/>
        </w:rPr>
        <w:t xml:space="preserve"> </w:t>
      </w:r>
      <w:r w:rsidR="00613A58" w:rsidRPr="00613A58">
        <w:rPr>
          <w:rFonts w:ascii="Times New Roman" w:hAnsi="Times New Roman"/>
          <w:szCs w:val="24"/>
        </w:rPr>
        <w:t>FTC</w:t>
      </w:r>
      <w:r w:rsidR="00613A58" w:rsidRPr="00613A58">
        <w:rPr>
          <w:rFonts w:ascii="Times New Roman" w:hAnsi="Times New Roman"/>
          <w:spacing w:val="24"/>
          <w:szCs w:val="24"/>
        </w:rPr>
        <w:t xml:space="preserve"> </w:t>
      </w:r>
      <w:r w:rsidR="00613A58" w:rsidRPr="00613A58">
        <w:rPr>
          <w:rFonts w:ascii="Times New Roman" w:hAnsi="Times New Roman"/>
          <w:w w:val="118"/>
          <w:szCs w:val="24"/>
        </w:rPr>
        <w:t>with</w:t>
      </w:r>
      <w:r w:rsidR="00613A58" w:rsidRPr="00613A58">
        <w:rPr>
          <w:rFonts w:ascii="Times New Roman" w:hAnsi="Times New Roman"/>
          <w:spacing w:val="-4"/>
          <w:w w:val="118"/>
          <w:szCs w:val="24"/>
        </w:rPr>
        <w:t xml:space="preserve"> </w:t>
      </w:r>
      <w:r w:rsidR="00613A58" w:rsidRPr="00613A58">
        <w:rPr>
          <w:rFonts w:ascii="Times New Roman" w:hAnsi="Times New Roman"/>
          <w:szCs w:val="24"/>
        </w:rPr>
        <w:t>the</w:t>
      </w:r>
      <w:r w:rsidR="00613A58" w:rsidRPr="00613A58">
        <w:rPr>
          <w:rFonts w:ascii="Times New Roman" w:hAnsi="Times New Roman"/>
          <w:spacing w:val="44"/>
          <w:szCs w:val="24"/>
        </w:rPr>
        <w:t xml:space="preserve"> </w:t>
      </w:r>
      <w:r w:rsidR="00613A58" w:rsidRPr="00613A58">
        <w:rPr>
          <w:rFonts w:ascii="Times New Roman" w:hAnsi="Times New Roman"/>
          <w:w w:val="111"/>
          <w:szCs w:val="24"/>
        </w:rPr>
        <w:t xml:space="preserve">Agencies </w:t>
      </w:r>
      <w:r w:rsidR="00613A58" w:rsidRPr="00613A58">
        <w:rPr>
          <w:rFonts w:ascii="Times New Roman" w:hAnsi="Times New Roman"/>
          <w:szCs w:val="24"/>
        </w:rPr>
        <w:t>may</w:t>
      </w:r>
      <w:r w:rsidR="00613A58" w:rsidRPr="00613A58">
        <w:rPr>
          <w:rFonts w:ascii="Times New Roman" w:hAnsi="Times New Roman"/>
          <w:spacing w:val="41"/>
          <w:szCs w:val="24"/>
        </w:rPr>
        <w:t xml:space="preserve"> </w:t>
      </w:r>
      <w:r w:rsidR="00613A58" w:rsidRPr="00613A58">
        <w:rPr>
          <w:rFonts w:ascii="Times New Roman" w:hAnsi="Times New Roman"/>
          <w:szCs w:val="24"/>
        </w:rPr>
        <w:t xml:space="preserve">have </w:t>
      </w:r>
      <w:r w:rsidR="00613A58" w:rsidRPr="00613A58">
        <w:rPr>
          <w:rFonts w:ascii="Times New Roman" w:hAnsi="Times New Roman"/>
          <w:w w:val="115"/>
          <w:szCs w:val="24"/>
        </w:rPr>
        <w:t>occurred,</w:t>
      </w:r>
      <w:r w:rsidR="00613A58" w:rsidRPr="00613A58">
        <w:rPr>
          <w:rFonts w:ascii="Times New Roman" w:hAnsi="Times New Roman"/>
          <w:spacing w:val="-3"/>
          <w:w w:val="115"/>
          <w:szCs w:val="24"/>
        </w:rPr>
        <w:t xml:space="preserve"> </w:t>
      </w:r>
      <w:r w:rsidR="00613A58" w:rsidRPr="00613A58">
        <w:rPr>
          <w:rFonts w:ascii="Times New Roman" w:hAnsi="Times New Roman"/>
          <w:szCs w:val="24"/>
        </w:rPr>
        <w:t>the</w:t>
      </w:r>
      <w:r w:rsidR="00613A58" w:rsidRPr="00613A58">
        <w:rPr>
          <w:rFonts w:ascii="Times New Roman" w:hAnsi="Times New Roman"/>
          <w:spacing w:val="44"/>
          <w:szCs w:val="24"/>
        </w:rPr>
        <w:t xml:space="preserve"> </w:t>
      </w:r>
      <w:r w:rsidR="00613A58" w:rsidRPr="00613A58">
        <w:rPr>
          <w:rFonts w:ascii="Times New Roman" w:hAnsi="Times New Roman"/>
          <w:szCs w:val="24"/>
        </w:rPr>
        <w:t>CFTC</w:t>
      </w:r>
      <w:r w:rsidR="00613A58" w:rsidRPr="00613A58">
        <w:rPr>
          <w:rFonts w:ascii="Times New Roman" w:hAnsi="Times New Roman"/>
          <w:spacing w:val="22"/>
          <w:szCs w:val="24"/>
        </w:rPr>
        <w:t xml:space="preserve"> </w:t>
      </w:r>
      <w:r w:rsidR="00613A58" w:rsidRPr="00613A58">
        <w:rPr>
          <w:rFonts w:ascii="Times New Roman" w:hAnsi="Times New Roman"/>
          <w:w w:val="114"/>
          <w:szCs w:val="24"/>
        </w:rPr>
        <w:t xml:space="preserve">estimates </w:t>
      </w:r>
      <w:r w:rsidR="00613A58" w:rsidRPr="00613A58">
        <w:rPr>
          <w:rFonts w:ascii="Times New Roman" w:hAnsi="Times New Roman"/>
          <w:szCs w:val="24"/>
        </w:rPr>
        <w:t>the</w:t>
      </w:r>
      <w:r w:rsidR="00613A58" w:rsidRPr="00613A58">
        <w:rPr>
          <w:rFonts w:ascii="Times New Roman" w:hAnsi="Times New Roman"/>
          <w:spacing w:val="44"/>
          <w:szCs w:val="24"/>
        </w:rPr>
        <w:t xml:space="preserve"> </w:t>
      </w:r>
      <w:r w:rsidR="00613A58" w:rsidRPr="00613A58">
        <w:rPr>
          <w:rFonts w:ascii="Times New Roman" w:hAnsi="Times New Roman"/>
          <w:szCs w:val="24"/>
        </w:rPr>
        <w:t>time</w:t>
      </w:r>
      <w:r w:rsidR="00613A58" w:rsidRPr="00613A58">
        <w:rPr>
          <w:rFonts w:ascii="Times New Roman" w:hAnsi="Times New Roman"/>
          <w:spacing w:val="7"/>
          <w:szCs w:val="24"/>
        </w:rPr>
        <w:t xml:space="preserve"> </w:t>
      </w:r>
      <w:r w:rsidR="00613A58" w:rsidRPr="00613A58">
        <w:rPr>
          <w:rFonts w:ascii="Times New Roman" w:hAnsi="Times New Roman"/>
          <w:szCs w:val="24"/>
        </w:rPr>
        <w:t>and cost</w:t>
      </w:r>
      <w:r w:rsidR="00613A58" w:rsidRPr="00613A58">
        <w:rPr>
          <w:rFonts w:ascii="Times New Roman" w:hAnsi="Times New Roman"/>
          <w:spacing w:val="42"/>
          <w:szCs w:val="24"/>
        </w:rPr>
        <w:t xml:space="preserve"> </w:t>
      </w:r>
      <w:r w:rsidR="00613A58" w:rsidRPr="00613A58">
        <w:rPr>
          <w:rFonts w:ascii="Times New Roman" w:hAnsi="Times New Roman"/>
          <w:w w:val="117"/>
          <w:szCs w:val="24"/>
        </w:rPr>
        <w:t>burdens</w:t>
      </w:r>
      <w:r w:rsidR="00613A58" w:rsidRPr="00613A58">
        <w:rPr>
          <w:rFonts w:ascii="Times New Roman" w:hAnsi="Times New Roman"/>
          <w:spacing w:val="-4"/>
          <w:w w:val="117"/>
          <w:szCs w:val="24"/>
        </w:rPr>
        <w:t xml:space="preserve"> </w:t>
      </w:r>
      <w:r w:rsidR="00613A58" w:rsidRPr="00613A58">
        <w:rPr>
          <w:rFonts w:ascii="Times New Roman" w:hAnsi="Times New Roman"/>
          <w:szCs w:val="24"/>
        </w:rPr>
        <w:t>of</w:t>
      </w:r>
      <w:r w:rsidR="00613A58" w:rsidRPr="00613A58">
        <w:rPr>
          <w:rFonts w:ascii="Times New Roman" w:hAnsi="Times New Roman"/>
          <w:spacing w:val="13"/>
          <w:szCs w:val="24"/>
        </w:rPr>
        <w:t xml:space="preserve"> </w:t>
      </w:r>
      <w:r w:rsidR="00613A58" w:rsidRPr="00613A58">
        <w:rPr>
          <w:rFonts w:ascii="Times New Roman" w:hAnsi="Times New Roman"/>
          <w:w w:val="114"/>
          <w:szCs w:val="24"/>
        </w:rPr>
        <w:t xml:space="preserve">complying </w:t>
      </w:r>
      <w:r w:rsidR="00613A58" w:rsidRPr="00613A58">
        <w:rPr>
          <w:rFonts w:ascii="Times New Roman" w:hAnsi="Times New Roman"/>
          <w:w w:val="118"/>
          <w:szCs w:val="24"/>
        </w:rPr>
        <w:t>with</w:t>
      </w:r>
      <w:r w:rsidR="00613A58" w:rsidRPr="00613A58">
        <w:rPr>
          <w:rFonts w:ascii="Times New Roman" w:hAnsi="Times New Roman"/>
          <w:spacing w:val="-4"/>
          <w:w w:val="118"/>
          <w:szCs w:val="24"/>
        </w:rPr>
        <w:t xml:space="preserve"> </w:t>
      </w:r>
      <w:r w:rsidR="00613A58" w:rsidRPr="00613A58">
        <w:rPr>
          <w:rFonts w:ascii="Times New Roman" w:hAnsi="Times New Roman"/>
          <w:szCs w:val="24"/>
        </w:rPr>
        <w:t>part</w:t>
      </w:r>
      <w:r w:rsidR="00613A58" w:rsidRPr="00613A58">
        <w:rPr>
          <w:rFonts w:ascii="Times New Roman" w:hAnsi="Times New Roman"/>
          <w:spacing w:val="7"/>
          <w:szCs w:val="24"/>
        </w:rPr>
        <w:t xml:space="preserve"> </w:t>
      </w:r>
      <w:r w:rsidR="00613A58" w:rsidRPr="00613A58">
        <w:rPr>
          <w:rFonts w:ascii="Times New Roman" w:hAnsi="Times New Roman"/>
          <w:szCs w:val="24"/>
        </w:rPr>
        <w:t>162</w:t>
      </w:r>
      <w:r w:rsidR="00613A58" w:rsidRPr="00613A58">
        <w:rPr>
          <w:rFonts w:ascii="Times New Roman" w:hAnsi="Times New Roman"/>
          <w:spacing w:val="34"/>
          <w:szCs w:val="24"/>
        </w:rPr>
        <w:t xml:space="preserve"> </w:t>
      </w:r>
      <w:r w:rsidR="00613A58" w:rsidRPr="00613A58">
        <w:rPr>
          <w:rFonts w:ascii="Times New Roman" w:hAnsi="Times New Roman"/>
          <w:szCs w:val="24"/>
        </w:rPr>
        <w:t>to</w:t>
      </w:r>
      <w:r w:rsidR="00613A58" w:rsidRPr="00613A58">
        <w:rPr>
          <w:rFonts w:ascii="Times New Roman" w:hAnsi="Times New Roman"/>
          <w:spacing w:val="24"/>
          <w:szCs w:val="24"/>
        </w:rPr>
        <w:t xml:space="preserve"> </w:t>
      </w:r>
      <w:r w:rsidR="00613A58" w:rsidRPr="00613A58">
        <w:rPr>
          <w:rFonts w:ascii="Times New Roman" w:hAnsi="Times New Roman"/>
          <w:szCs w:val="24"/>
        </w:rPr>
        <w:t>be</w:t>
      </w:r>
      <w:r w:rsidR="00613A58" w:rsidRPr="00613A58">
        <w:rPr>
          <w:rFonts w:ascii="Times New Roman" w:hAnsi="Times New Roman"/>
          <w:spacing w:val="23"/>
          <w:szCs w:val="24"/>
        </w:rPr>
        <w:t xml:space="preserve"> </w:t>
      </w:r>
      <w:r w:rsidR="00613A58" w:rsidRPr="00613A58">
        <w:rPr>
          <w:rFonts w:ascii="Times New Roman" w:hAnsi="Times New Roman"/>
          <w:szCs w:val="24"/>
        </w:rPr>
        <w:t xml:space="preserve">both </w:t>
      </w:r>
      <w:r w:rsidR="00613A58" w:rsidRPr="00613A58">
        <w:rPr>
          <w:rFonts w:ascii="Times New Roman" w:hAnsi="Times New Roman"/>
          <w:w w:val="114"/>
          <w:szCs w:val="24"/>
        </w:rPr>
        <w:t>one-time</w:t>
      </w:r>
      <w:r w:rsidR="00613A58" w:rsidRPr="00613A58">
        <w:rPr>
          <w:rFonts w:ascii="Times New Roman" w:hAnsi="Times New Roman"/>
          <w:spacing w:val="-2"/>
          <w:w w:val="114"/>
          <w:szCs w:val="24"/>
        </w:rPr>
        <w:t xml:space="preserve"> </w:t>
      </w:r>
      <w:r w:rsidR="00613A58" w:rsidRPr="00613A58">
        <w:rPr>
          <w:rFonts w:ascii="Times New Roman" w:hAnsi="Times New Roman"/>
          <w:w w:val="119"/>
          <w:szCs w:val="24"/>
        </w:rPr>
        <w:t xml:space="preserve">and </w:t>
      </w:r>
      <w:r w:rsidR="00613A58" w:rsidRPr="00613A58">
        <w:rPr>
          <w:rFonts w:ascii="Times New Roman" w:hAnsi="Times New Roman"/>
          <w:w w:val="113"/>
          <w:szCs w:val="24"/>
        </w:rPr>
        <w:t>ongoing</w:t>
      </w:r>
      <w:r w:rsidR="00613A58" w:rsidRPr="00613A58">
        <w:rPr>
          <w:rFonts w:ascii="Times New Roman" w:hAnsi="Times New Roman"/>
          <w:spacing w:val="-14"/>
          <w:w w:val="113"/>
          <w:szCs w:val="24"/>
        </w:rPr>
        <w:t xml:space="preserve"> </w:t>
      </w:r>
      <w:r w:rsidR="00613A58" w:rsidRPr="00613A58">
        <w:rPr>
          <w:rFonts w:ascii="Times New Roman" w:hAnsi="Times New Roman"/>
          <w:w w:val="113"/>
          <w:szCs w:val="24"/>
        </w:rPr>
        <w:t>burdens.</w:t>
      </w:r>
      <w:r w:rsidR="00613A58" w:rsidRPr="00613A58">
        <w:rPr>
          <w:rFonts w:ascii="Times New Roman" w:hAnsi="Times New Roman"/>
          <w:spacing w:val="23"/>
          <w:w w:val="113"/>
          <w:szCs w:val="24"/>
        </w:rPr>
        <w:t xml:space="preserve"> </w:t>
      </w:r>
      <w:r w:rsidR="009C7F2A">
        <w:rPr>
          <w:rFonts w:ascii="Times New Roman" w:hAnsi="Times New Roman"/>
          <w:spacing w:val="23"/>
          <w:w w:val="113"/>
          <w:szCs w:val="24"/>
        </w:rPr>
        <w:t xml:space="preserve"> </w:t>
      </w:r>
      <w:bookmarkStart w:id="0" w:name="_GoBack"/>
      <w:bookmarkEnd w:id="0"/>
      <w:r w:rsidR="009C7F2A">
        <w:rPr>
          <w:rFonts w:ascii="Times New Roman" w:hAnsi="Times New Roman"/>
          <w:w w:val="113"/>
          <w:szCs w:val="24"/>
        </w:rPr>
        <w:t>No on-going reporting requirements are being imposed.  H</w:t>
      </w:r>
      <w:r w:rsidR="00613A58" w:rsidRPr="00613A58">
        <w:rPr>
          <w:rFonts w:ascii="Times New Roman" w:hAnsi="Times New Roman"/>
          <w:w w:val="113"/>
          <w:szCs w:val="24"/>
        </w:rPr>
        <w:t>owever,</w:t>
      </w:r>
      <w:r w:rsidR="00613A58" w:rsidRPr="00613A58">
        <w:rPr>
          <w:rFonts w:ascii="Times New Roman" w:hAnsi="Times New Roman"/>
          <w:spacing w:val="-9"/>
          <w:w w:val="113"/>
          <w:szCs w:val="24"/>
        </w:rPr>
        <w:t xml:space="preserve"> </w:t>
      </w:r>
      <w:r w:rsidR="00613A58" w:rsidRPr="00613A58">
        <w:rPr>
          <w:rFonts w:ascii="Times New Roman" w:hAnsi="Times New Roman"/>
          <w:szCs w:val="24"/>
        </w:rPr>
        <w:t>any</w:t>
      </w:r>
      <w:r w:rsidR="00613A58" w:rsidRPr="00613A58">
        <w:rPr>
          <w:rFonts w:ascii="Times New Roman" w:hAnsi="Times New Roman"/>
          <w:spacing w:val="43"/>
          <w:szCs w:val="24"/>
        </w:rPr>
        <w:t xml:space="preserve"> </w:t>
      </w:r>
      <w:r w:rsidR="00613A58" w:rsidRPr="00613A58">
        <w:rPr>
          <w:rFonts w:ascii="Times New Roman" w:hAnsi="Times New Roman"/>
          <w:w w:val="118"/>
          <w:szCs w:val="24"/>
        </w:rPr>
        <w:t>initial</w:t>
      </w:r>
      <w:r w:rsidR="00613A58">
        <w:rPr>
          <w:rFonts w:ascii="Times New Roman" w:hAnsi="Times New Roman"/>
          <w:w w:val="118"/>
          <w:szCs w:val="24"/>
        </w:rPr>
        <w:t xml:space="preserve"> </w:t>
      </w:r>
      <w:r w:rsidR="00613A58" w:rsidRPr="00613A58">
        <w:rPr>
          <w:rFonts w:ascii="Times New Roman" w:hAnsi="Times New Roman"/>
          <w:szCs w:val="24"/>
        </w:rPr>
        <w:t>or</w:t>
      </w:r>
      <w:r w:rsidR="00613A58" w:rsidRPr="00613A58">
        <w:rPr>
          <w:rFonts w:ascii="Times New Roman" w:hAnsi="Times New Roman"/>
          <w:spacing w:val="23"/>
          <w:szCs w:val="24"/>
        </w:rPr>
        <w:t xml:space="preserve"> </w:t>
      </w:r>
      <w:r w:rsidR="00613A58" w:rsidRPr="00613A58">
        <w:rPr>
          <w:rFonts w:ascii="Times New Roman" w:hAnsi="Times New Roman"/>
          <w:w w:val="115"/>
          <w:szCs w:val="24"/>
        </w:rPr>
        <w:t>one-time</w:t>
      </w:r>
      <w:r w:rsidR="00613A58" w:rsidRPr="00613A58">
        <w:rPr>
          <w:rFonts w:ascii="Times New Roman" w:hAnsi="Times New Roman"/>
          <w:spacing w:val="-9"/>
          <w:w w:val="115"/>
          <w:szCs w:val="24"/>
        </w:rPr>
        <w:t xml:space="preserve"> </w:t>
      </w:r>
      <w:r w:rsidR="00613A58" w:rsidRPr="00613A58">
        <w:rPr>
          <w:rFonts w:ascii="Times New Roman" w:hAnsi="Times New Roman"/>
          <w:w w:val="115"/>
          <w:szCs w:val="24"/>
        </w:rPr>
        <w:t>burdens</w:t>
      </w:r>
      <w:r w:rsidR="00613A58" w:rsidRPr="00613A58">
        <w:rPr>
          <w:rFonts w:ascii="Times New Roman" w:hAnsi="Times New Roman"/>
          <w:spacing w:val="9"/>
          <w:w w:val="115"/>
          <w:szCs w:val="24"/>
        </w:rPr>
        <w:t xml:space="preserve"> </w:t>
      </w:r>
      <w:r w:rsidR="00613A58" w:rsidRPr="00613A58">
        <w:rPr>
          <w:rFonts w:ascii="Times New Roman" w:hAnsi="Times New Roman"/>
          <w:w w:val="115"/>
          <w:szCs w:val="24"/>
        </w:rPr>
        <w:t>associated</w:t>
      </w:r>
      <w:r w:rsidR="00613A58" w:rsidRPr="00613A58">
        <w:rPr>
          <w:rFonts w:ascii="Times New Roman" w:hAnsi="Times New Roman"/>
          <w:spacing w:val="-10"/>
          <w:w w:val="115"/>
          <w:szCs w:val="24"/>
        </w:rPr>
        <w:t xml:space="preserve"> </w:t>
      </w:r>
      <w:r w:rsidR="00613A58" w:rsidRPr="00613A58">
        <w:rPr>
          <w:rFonts w:ascii="Times New Roman" w:hAnsi="Times New Roman"/>
          <w:w w:val="118"/>
          <w:szCs w:val="24"/>
        </w:rPr>
        <w:t xml:space="preserve">with </w:t>
      </w:r>
      <w:r w:rsidR="00613A58" w:rsidRPr="00613A58">
        <w:rPr>
          <w:rFonts w:ascii="Times New Roman" w:hAnsi="Times New Roman"/>
          <w:w w:val="116"/>
          <w:szCs w:val="24"/>
        </w:rPr>
        <w:t>compliance</w:t>
      </w:r>
      <w:r w:rsidR="00613A58" w:rsidRPr="00613A58">
        <w:rPr>
          <w:rFonts w:ascii="Times New Roman" w:hAnsi="Times New Roman"/>
          <w:spacing w:val="-12"/>
          <w:w w:val="116"/>
          <w:szCs w:val="24"/>
        </w:rPr>
        <w:t xml:space="preserve"> </w:t>
      </w:r>
      <w:r w:rsidR="00613A58" w:rsidRPr="00613A58">
        <w:rPr>
          <w:rFonts w:ascii="Times New Roman" w:hAnsi="Times New Roman"/>
          <w:w w:val="116"/>
          <w:szCs w:val="24"/>
        </w:rPr>
        <w:t>with</w:t>
      </w:r>
      <w:r w:rsidR="00613A58" w:rsidRPr="00613A58">
        <w:rPr>
          <w:rFonts w:ascii="Times New Roman" w:hAnsi="Times New Roman"/>
          <w:spacing w:val="3"/>
          <w:w w:val="116"/>
          <w:szCs w:val="24"/>
        </w:rPr>
        <w:t xml:space="preserve"> </w:t>
      </w:r>
      <w:r w:rsidR="00613A58" w:rsidRPr="00613A58">
        <w:rPr>
          <w:rFonts w:ascii="Times New Roman" w:hAnsi="Times New Roman"/>
          <w:szCs w:val="24"/>
        </w:rPr>
        <w:t>part</w:t>
      </w:r>
      <w:r w:rsidR="00613A58" w:rsidRPr="00613A58">
        <w:rPr>
          <w:rFonts w:ascii="Times New Roman" w:hAnsi="Times New Roman"/>
          <w:spacing w:val="7"/>
          <w:szCs w:val="24"/>
        </w:rPr>
        <w:t xml:space="preserve"> </w:t>
      </w:r>
      <w:r w:rsidR="00613A58" w:rsidRPr="00613A58">
        <w:rPr>
          <w:rFonts w:ascii="Times New Roman" w:hAnsi="Times New Roman"/>
          <w:szCs w:val="24"/>
        </w:rPr>
        <w:t>162</w:t>
      </w:r>
      <w:r w:rsidR="00613A58" w:rsidRPr="00613A58">
        <w:rPr>
          <w:rFonts w:ascii="Times New Roman" w:hAnsi="Times New Roman"/>
          <w:spacing w:val="34"/>
          <w:szCs w:val="24"/>
        </w:rPr>
        <w:t xml:space="preserve"> </w:t>
      </w:r>
      <w:r w:rsidR="00613A58" w:rsidRPr="00613A58">
        <w:rPr>
          <w:rFonts w:ascii="Times New Roman" w:hAnsi="Times New Roman"/>
          <w:w w:val="117"/>
          <w:szCs w:val="24"/>
        </w:rPr>
        <w:t>would</w:t>
      </w:r>
      <w:r w:rsidR="00613A58" w:rsidRPr="00613A58">
        <w:rPr>
          <w:rFonts w:ascii="Times New Roman" w:hAnsi="Times New Roman"/>
          <w:spacing w:val="-4"/>
          <w:w w:val="117"/>
          <w:szCs w:val="24"/>
        </w:rPr>
        <w:t xml:space="preserve"> </w:t>
      </w:r>
      <w:r w:rsidR="00613A58" w:rsidRPr="00613A58">
        <w:rPr>
          <w:rFonts w:ascii="Times New Roman" w:hAnsi="Times New Roman"/>
          <w:w w:val="117"/>
          <w:szCs w:val="24"/>
        </w:rPr>
        <w:t xml:space="preserve">apply </w:t>
      </w:r>
      <w:r w:rsidR="00613A58" w:rsidRPr="00613A58">
        <w:rPr>
          <w:rFonts w:ascii="Times New Roman" w:hAnsi="Times New Roman"/>
          <w:szCs w:val="24"/>
        </w:rPr>
        <w:t>only</w:t>
      </w:r>
      <w:r w:rsidR="00613A58" w:rsidRPr="00613A58">
        <w:rPr>
          <w:rFonts w:ascii="Times New Roman" w:hAnsi="Times New Roman"/>
          <w:spacing w:val="7"/>
          <w:szCs w:val="24"/>
        </w:rPr>
        <w:t xml:space="preserve"> </w:t>
      </w:r>
      <w:r w:rsidR="00613A58" w:rsidRPr="00613A58">
        <w:rPr>
          <w:rFonts w:ascii="Times New Roman" w:hAnsi="Times New Roman"/>
          <w:szCs w:val="24"/>
        </w:rPr>
        <w:t>to</w:t>
      </w:r>
      <w:r w:rsidR="00613A58" w:rsidRPr="00613A58">
        <w:rPr>
          <w:rFonts w:ascii="Times New Roman" w:hAnsi="Times New Roman"/>
          <w:spacing w:val="24"/>
          <w:szCs w:val="24"/>
        </w:rPr>
        <w:t xml:space="preserve"> </w:t>
      </w:r>
      <w:r w:rsidR="00613A58" w:rsidRPr="00613A58">
        <w:rPr>
          <w:rFonts w:ascii="Times New Roman" w:hAnsi="Times New Roman"/>
          <w:w w:val="114"/>
          <w:szCs w:val="24"/>
        </w:rPr>
        <w:t>newly-formed</w:t>
      </w:r>
      <w:r w:rsidR="00613A58" w:rsidRPr="00613A58">
        <w:rPr>
          <w:rFonts w:ascii="Times New Roman" w:hAnsi="Times New Roman"/>
          <w:spacing w:val="-13"/>
          <w:w w:val="114"/>
          <w:szCs w:val="24"/>
        </w:rPr>
        <w:t xml:space="preserve"> </w:t>
      </w:r>
      <w:r w:rsidR="00613A58" w:rsidRPr="00613A58">
        <w:rPr>
          <w:rFonts w:ascii="Times New Roman" w:hAnsi="Times New Roman"/>
          <w:w w:val="114"/>
          <w:szCs w:val="24"/>
        </w:rPr>
        <w:t>entities,</w:t>
      </w:r>
      <w:r w:rsidR="00613A58" w:rsidRPr="00613A58">
        <w:rPr>
          <w:rFonts w:ascii="Times New Roman" w:hAnsi="Times New Roman"/>
          <w:spacing w:val="9"/>
          <w:w w:val="114"/>
          <w:szCs w:val="24"/>
        </w:rPr>
        <w:t xml:space="preserve"> </w:t>
      </w:r>
      <w:r w:rsidR="00613A58" w:rsidRPr="00613A58">
        <w:rPr>
          <w:rFonts w:ascii="Times New Roman" w:hAnsi="Times New Roman"/>
          <w:szCs w:val="24"/>
        </w:rPr>
        <w:t xml:space="preserve">and </w:t>
      </w:r>
      <w:r w:rsidR="00613A58" w:rsidRPr="00613A58">
        <w:rPr>
          <w:rFonts w:ascii="Times New Roman" w:hAnsi="Times New Roman"/>
          <w:w w:val="118"/>
          <w:szCs w:val="24"/>
        </w:rPr>
        <w:t xml:space="preserve">the </w:t>
      </w:r>
      <w:r w:rsidR="00613A58" w:rsidRPr="00613A58">
        <w:rPr>
          <w:rFonts w:ascii="Times New Roman" w:hAnsi="Times New Roman"/>
          <w:w w:val="114"/>
          <w:szCs w:val="24"/>
        </w:rPr>
        <w:t>ongoing</w:t>
      </w:r>
      <w:r w:rsidR="00613A58" w:rsidRPr="00613A58">
        <w:rPr>
          <w:rFonts w:ascii="Times New Roman" w:hAnsi="Times New Roman"/>
          <w:spacing w:val="-20"/>
          <w:w w:val="114"/>
          <w:szCs w:val="24"/>
        </w:rPr>
        <w:t xml:space="preserve"> </w:t>
      </w:r>
      <w:r w:rsidR="00613A58" w:rsidRPr="00613A58">
        <w:rPr>
          <w:rFonts w:ascii="Times New Roman" w:hAnsi="Times New Roman"/>
          <w:w w:val="114"/>
          <w:szCs w:val="24"/>
        </w:rPr>
        <w:t>burden</w:t>
      </w:r>
      <w:r w:rsidR="00613A58" w:rsidRPr="00613A58">
        <w:rPr>
          <w:rFonts w:ascii="Times New Roman" w:hAnsi="Times New Roman"/>
          <w:spacing w:val="18"/>
          <w:w w:val="114"/>
          <w:szCs w:val="24"/>
        </w:rPr>
        <w:t xml:space="preserve"> </w:t>
      </w:r>
      <w:r w:rsidR="00613A58" w:rsidRPr="00613A58">
        <w:rPr>
          <w:rFonts w:ascii="Times New Roman" w:hAnsi="Times New Roman"/>
          <w:szCs w:val="24"/>
        </w:rPr>
        <w:t>to</w:t>
      </w:r>
      <w:r w:rsidR="00613A58" w:rsidRPr="00613A58">
        <w:rPr>
          <w:rFonts w:ascii="Times New Roman" w:hAnsi="Times New Roman"/>
          <w:spacing w:val="24"/>
          <w:szCs w:val="24"/>
        </w:rPr>
        <w:t xml:space="preserve"> </w:t>
      </w:r>
      <w:r w:rsidR="00613A58" w:rsidRPr="00613A58">
        <w:rPr>
          <w:rFonts w:ascii="Times New Roman" w:hAnsi="Times New Roman"/>
          <w:szCs w:val="24"/>
        </w:rPr>
        <w:t>all</w:t>
      </w:r>
      <w:r w:rsidR="00613A58" w:rsidRPr="00613A58">
        <w:rPr>
          <w:rFonts w:ascii="Times New Roman" w:hAnsi="Times New Roman"/>
          <w:spacing w:val="33"/>
          <w:szCs w:val="24"/>
        </w:rPr>
        <w:t xml:space="preserve"> </w:t>
      </w:r>
      <w:r w:rsidR="00613A58" w:rsidRPr="00613A58">
        <w:rPr>
          <w:rFonts w:ascii="Times New Roman" w:hAnsi="Times New Roman"/>
          <w:w w:val="110"/>
          <w:szCs w:val="24"/>
        </w:rPr>
        <w:t xml:space="preserve">CFTC-regulated </w:t>
      </w:r>
      <w:r w:rsidR="00613A58" w:rsidRPr="00613A58">
        <w:rPr>
          <w:rFonts w:ascii="Times New Roman" w:hAnsi="Times New Roman"/>
          <w:w w:val="116"/>
          <w:szCs w:val="24"/>
        </w:rPr>
        <w:t>entities.</w:t>
      </w:r>
    </w:p>
    <w:p w:rsidR="00613A58" w:rsidRDefault="00613A58" w:rsidP="00B861C7">
      <w:pPr>
        <w:tabs>
          <w:tab w:val="left" w:pos="-720"/>
        </w:tabs>
        <w:suppressAutoHyphens/>
        <w:rPr>
          <w:rFonts w:ascii="Times New Roman" w:hAnsi="Times New Roman"/>
        </w:rPr>
      </w:pPr>
    </w:p>
    <w:p w:rsidR="00B861C7" w:rsidRDefault="00B861C7" w:rsidP="00B861C7">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 xml:space="preserve">Indicate how, by whom, and for what purpose the </w:t>
      </w:r>
      <w:r w:rsidR="006074AF">
        <w:rPr>
          <w:rFonts w:ascii="Times New Roman" w:hAnsi="Times New Roman"/>
          <w:u w:val="single"/>
        </w:rPr>
        <w:t xml:space="preserve">data </w:t>
      </w:r>
      <w:r>
        <w:rPr>
          <w:rFonts w:ascii="Times New Roman" w:hAnsi="Times New Roman"/>
          <w:u w:val="single"/>
        </w:rPr>
        <w:t>would be used.  Except for a new collection, indicate the actual use the agency has made of the information received from the current collection</w:t>
      </w:r>
      <w:r>
        <w:rPr>
          <w:rFonts w:ascii="Times New Roman" w:hAnsi="Times New Roman"/>
        </w:rPr>
        <w:t>.</w:t>
      </w:r>
    </w:p>
    <w:p w:rsidR="008058CC" w:rsidRDefault="00B861C7" w:rsidP="00B861C7">
      <w:pPr>
        <w:tabs>
          <w:tab w:val="left" w:pos="-720"/>
        </w:tabs>
        <w:suppressAutoHyphens/>
        <w:rPr>
          <w:rFonts w:ascii="Times New Roman" w:hAnsi="Times New Roman"/>
        </w:rPr>
      </w:pPr>
      <w:r>
        <w:rPr>
          <w:rFonts w:ascii="Times New Roman" w:hAnsi="Times New Roman"/>
        </w:rPr>
        <w:tab/>
      </w:r>
    </w:p>
    <w:p w:rsidR="00B861C7" w:rsidRDefault="008058CC" w:rsidP="00AF795A">
      <w:pPr>
        <w:tabs>
          <w:tab w:val="left" w:pos="-720"/>
        </w:tabs>
        <w:suppressAutoHyphens/>
        <w:rPr>
          <w:rFonts w:ascii="Times New Roman" w:hAnsi="Times New Roman"/>
          <w:szCs w:val="24"/>
        </w:rPr>
      </w:pPr>
      <w:r>
        <w:rPr>
          <w:rFonts w:ascii="Times New Roman" w:hAnsi="Times New Roman"/>
        </w:rPr>
        <w:lastRenderedPageBreak/>
        <w:tab/>
      </w:r>
      <w:r w:rsidR="00B861C7" w:rsidRPr="002A7328">
        <w:rPr>
          <w:rFonts w:ascii="Times New Roman" w:hAnsi="Times New Roman"/>
          <w:szCs w:val="24"/>
        </w:rPr>
        <w:t>Under part 162, subpart C, CFTC regulated entities – which presently would include approximately 26</w:t>
      </w:r>
      <w:r w:rsidR="00A25A5E">
        <w:rPr>
          <w:rFonts w:ascii="Times New Roman" w:hAnsi="Times New Roman"/>
          <w:szCs w:val="24"/>
        </w:rPr>
        <w:t>0</w:t>
      </w:r>
      <w:r w:rsidR="00B861C7" w:rsidRPr="002A7328">
        <w:rPr>
          <w:rFonts w:ascii="Times New Roman" w:hAnsi="Times New Roman"/>
          <w:szCs w:val="24"/>
        </w:rPr>
        <w:t xml:space="preserve"> CFTC registrants plus 125 new CFTC registrants pursuant to Title VII of the Dodd-Frank Act – may be required to design, develop and implement reasonable policies and procedures to identify relevant red flags, and potentially notifying cardholders of identity theft risks.  In addition, CFTC-regulated entities </w:t>
      </w:r>
      <w:r w:rsidR="00AB5B83">
        <w:rPr>
          <w:rFonts w:ascii="Times New Roman" w:hAnsi="Times New Roman"/>
          <w:szCs w:val="24"/>
        </w:rPr>
        <w:t>are</w:t>
      </w:r>
      <w:r w:rsidR="00B861C7" w:rsidRPr="002A7328">
        <w:rPr>
          <w:rFonts w:ascii="Times New Roman" w:hAnsi="Times New Roman"/>
          <w:szCs w:val="24"/>
        </w:rPr>
        <w:t xml:space="preserve"> required to: (i) collect information and keep records for the purpose of ensuring that their Programs met requirements to detect, prevent, and mitigate identity theft in connection with the opening of a covered account or any existing covered account; (ii) develop and implement reasonable policies and procedures to identify, detect and respond to relevant red flags, as well as periodic reports related to the Program; and (iii) from time to time, notify cardholders of possible identity theft with respect to their accounts, as well as assess the validity of those accounts.</w:t>
      </w:r>
    </w:p>
    <w:p w:rsidR="004712BC" w:rsidRDefault="004712BC" w:rsidP="00AF795A">
      <w:pPr>
        <w:tabs>
          <w:tab w:val="left" w:pos="-720"/>
        </w:tabs>
        <w:suppressAutoHyphens/>
        <w:rPr>
          <w:rFonts w:ascii="Times New Roman" w:hAnsi="Times New Roman"/>
        </w:rPr>
      </w:pPr>
    </w:p>
    <w:p w:rsidR="00480CF3" w:rsidRPr="00480CF3" w:rsidRDefault="00D326D0" w:rsidP="00480CF3">
      <w:pPr>
        <w:tabs>
          <w:tab w:val="left" w:pos="-720"/>
        </w:tabs>
        <w:suppressAutoHyphens/>
        <w:rPr>
          <w:rFonts w:ascii="Times New Roman" w:hAnsi="Times New Roman"/>
        </w:rPr>
      </w:pPr>
      <w:r>
        <w:rPr>
          <w:rFonts w:ascii="Times New Roman" w:hAnsi="Times New Roman"/>
        </w:rPr>
        <w:tab/>
        <w:t xml:space="preserve">The OMB Notice of Action dated September 25, 2012, requested that the CFTC itemize what information will be collected and maintained for purposes of detecting, preventing, and mitigating identity theft for established and new covered accounts.  </w:t>
      </w:r>
      <w:r w:rsidR="008F53B7">
        <w:rPr>
          <w:rFonts w:ascii="Times New Roman" w:hAnsi="Times New Roman"/>
        </w:rPr>
        <w:t>The f</w:t>
      </w:r>
      <w:r>
        <w:rPr>
          <w:rFonts w:ascii="Times New Roman" w:hAnsi="Times New Roman"/>
        </w:rPr>
        <w:t xml:space="preserve">inal rule </w:t>
      </w:r>
      <w:r w:rsidR="00A67B44">
        <w:rPr>
          <w:rFonts w:ascii="Times New Roman" w:hAnsi="Times New Roman"/>
        </w:rPr>
        <w:t xml:space="preserve">does not delineate lists of required items </w:t>
      </w:r>
      <w:r w:rsidR="00D631BA">
        <w:rPr>
          <w:rFonts w:ascii="Times New Roman" w:hAnsi="Times New Roman"/>
        </w:rPr>
        <w:t xml:space="preserve">that must be maintained </w:t>
      </w:r>
      <w:r w:rsidR="00A67B44">
        <w:rPr>
          <w:rFonts w:ascii="Times New Roman" w:hAnsi="Times New Roman"/>
        </w:rPr>
        <w:t xml:space="preserve">for an identity theft program, but rather </w:t>
      </w:r>
      <w:r w:rsidR="008F53B7">
        <w:rPr>
          <w:rFonts w:ascii="Times New Roman" w:hAnsi="Times New Roman"/>
        </w:rPr>
        <w:t xml:space="preserve">offers guidelines on developing </w:t>
      </w:r>
      <w:r w:rsidR="00A67B44">
        <w:rPr>
          <w:rFonts w:ascii="Times New Roman" w:hAnsi="Times New Roman"/>
        </w:rPr>
        <w:t xml:space="preserve">appropriate industry-specific </w:t>
      </w:r>
      <w:r w:rsidR="008F53B7">
        <w:rPr>
          <w:rFonts w:ascii="Times New Roman" w:hAnsi="Times New Roman"/>
        </w:rPr>
        <w:t>programs</w:t>
      </w:r>
      <w:r w:rsidR="00A67B44">
        <w:rPr>
          <w:rFonts w:ascii="Times New Roman" w:hAnsi="Times New Roman"/>
        </w:rPr>
        <w:t>.  The final rule</w:t>
      </w:r>
      <w:r w:rsidR="008F53B7">
        <w:rPr>
          <w:rFonts w:ascii="Times New Roman" w:hAnsi="Times New Roman"/>
        </w:rPr>
        <w:t xml:space="preserve"> leaves to each financial institution or creditor that offers or maintains one or more covered accounts, the flexibility to develop and implement appropriate programs</w:t>
      </w:r>
      <w:r w:rsidR="00D631BA">
        <w:rPr>
          <w:rFonts w:ascii="Times New Roman" w:hAnsi="Times New Roman"/>
        </w:rPr>
        <w:t xml:space="preserve"> that are designed to detect, prevent, and mitigate identity theft</w:t>
      </w:r>
      <w:r w:rsidR="008F53B7">
        <w:rPr>
          <w:rFonts w:ascii="Times New Roman" w:hAnsi="Times New Roman"/>
        </w:rPr>
        <w:t xml:space="preserve">.  </w:t>
      </w:r>
      <w:r w:rsidR="00D631BA">
        <w:rPr>
          <w:rFonts w:ascii="Times New Roman" w:hAnsi="Times New Roman"/>
        </w:rPr>
        <w:t>Each</w:t>
      </w:r>
      <w:r w:rsidR="00A67B44">
        <w:rPr>
          <w:rFonts w:ascii="Times New Roman" w:hAnsi="Times New Roman"/>
        </w:rPr>
        <w:t xml:space="preserve"> program must adhere to the requirements of f</w:t>
      </w:r>
      <w:r w:rsidR="008F53B7">
        <w:rPr>
          <w:rFonts w:ascii="Times New Roman" w:hAnsi="Times New Roman"/>
        </w:rPr>
        <w:t>inal rule 162.30(d)</w:t>
      </w:r>
      <w:r w:rsidR="00DF165C">
        <w:rPr>
          <w:rStyle w:val="FootnoteReference"/>
          <w:rFonts w:ascii="Times New Roman" w:hAnsi="Times New Roman"/>
        </w:rPr>
        <w:footnoteReference w:id="1"/>
      </w:r>
      <w:r w:rsidR="008F53B7">
        <w:rPr>
          <w:rFonts w:ascii="Times New Roman" w:hAnsi="Times New Roman"/>
        </w:rPr>
        <w:t xml:space="preserve"> </w:t>
      </w:r>
      <w:r w:rsidR="00A67B44">
        <w:rPr>
          <w:rFonts w:ascii="Times New Roman" w:hAnsi="Times New Roman"/>
        </w:rPr>
        <w:t xml:space="preserve">in meeting the complexity and scope of its coverage. </w:t>
      </w:r>
      <w:r w:rsidR="008F53B7">
        <w:rPr>
          <w:rFonts w:ascii="Times New Roman" w:hAnsi="Times New Roman"/>
        </w:rPr>
        <w:t xml:space="preserve"> </w:t>
      </w:r>
      <w:r w:rsidR="006074AF">
        <w:rPr>
          <w:rFonts w:ascii="Times New Roman" w:hAnsi="Times New Roman"/>
        </w:rPr>
        <w:t>Moreover, t</w:t>
      </w:r>
      <w:r w:rsidR="006074AF" w:rsidRPr="006074AF">
        <w:rPr>
          <w:rFonts w:ascii="Times New Roman" w:hAnsi="Times New Roman"/>
        </w:rPr>
        <w:t>he burden estimates assume that CFTC-regulated entities already comply with the identity theft red flags rules and guidelines jointly adopted by the FTC with the Agencies, as of December 31, 2010.</w:t>
      </w:r>
      <w:r w:rsidR="00307EF3">
        <w:rPr>
          <w:rStyle w:val="FootnoteReference"/>
          <w:rFonts w:ascii="Times New Roman" w:hAnsi="Times New Roman"/>
        </w:rPr>
        <w:footnoteReference w:id="2"/>
      </w:r>
      <w:r w:rsidR="006074AF" w:rsidRPr="006074AF">
        <w:rPr>
          <w:rFonts w:ascii="Times New Roman" w:hAnsi="Times New Roman"/>
        </w:rPr>
        <w:t xml:space="preserve">  Consequently, these entities may already have in place many of the customary protections addressing identity theft and changes of address required by these regulations.</w:t>
      </w:r>
      <w:r w:rsidR="00480CF3" w:rsidRPr="00480CF3">
        <w:t xml:space="preserve"> </w:t>
      </w:r>
      <w:r w:rsidR="00480CF3" w:rsidRPr="00480CF3">
        <w:rPr>
          <w:rFonts w:ascii="Times New Roman" w:hAnsi="Times New Roman"/>
        </w:rPr>
        <w:t xml:space="preserve">The </w:t>
      </w:r>
      <w:r w:rsidR="00480CF3">
        <w:rPr>
          <w:rFonts w:ascii="Times New Roman" w:hAnsi="Times New Roman"/>
        </w:rPr>
        <w:t xml:space="preserve">burden </w:t>
      </w:r>
      <w:r w:rsidR="00480CF3" w:rsidRPr="00480CF3">
        <w:rPr>
          <w:rFonts w:ascii="Times New Roman" w:hAnsi="Times New Roman"/>
        </w:rPr>
        <w:t xml:space="preserve">hours and costs </w:t>
      </w:r>
      <w:r w:rsidR="00480CF3">
        <w:rPr>
          <w:rFonts w:ascii="Times New Roman" w:hAnsi="Times New Roman"/>
        </w:rPr>
        <w:t>are being</w:t>
      </w:r>
      <w:r w:rsidR="00480CF3" w:rsidRPr="00480CF3">
        <w:rPr>
          <w:rFonts w:ascii="Times New Roman" w:hAnsi="Times New Roman"/>
        </w:rPr>
        <w:t xml:space="preserve"> transferred from the Agenc</w:t>
      </w:r>
      <w:r w:rsidR="00480CF3">
        <w:rPr>
          <w:rFonts w:ascii="Times New Roman" w:hAnsi="Times New Roman"/>
        </w:rPr>
        <w:t xml:space="preserve">ies’ PRA allotment to the CFTC and the CFTC has </w:t>
      </w:r>
      <w:r w:rsidR="00A155B0">
        <w:rPr>
          <w:rFonts w:ascii="Times New Roman" w:hAnsi="Times New Roman"/>
        </w:rPr>
        <w:t xml:space="preserve">submitted new Collection Number 3038-0067 to account for the transferred burden hours and costs to the CFTC.  </w:t>
      </w:r>
      <w:r w:rsidR="00A155B0" w:rsidRPr="00A155B0">
        <w:rPr>
          <w:rFonts w:ascii="Times New Roman" w:hAnsi="Times New Roman"/>
        </w:rPr>
        <w:t xml:space="preserve">However, any initial or one-time burdens associated with compliance with proposed part 162 would apply only to newly formed entities, and the ongoing burden to all CFTC-regulated entities. </w:t>
      </w:r>
      <w:r w:rsidR="00A155B0">
        <w:rPr>
          <w:rFonts w:ascii="Times New Roman" w:hAnsi="Times New Roman"/>
        </w:rPr>
        <w:t xml:space="preserve"> </w:t>
      </w:r>
      <w:r w:rsidR="00480CF3" w:rsidRPr="00480CF3">
        <w:rPr>
          <w:rFonts w:ascii="Times New Roman" w:hAnsi="Times New Roman"/>
        </w:rPr>
        <w:t>These existing costs related to proposed § 162.30 would include, for newly formed CFTC-regulated entities, the one-time cost for financial institutions and creditors to conduct initial assessments of covered accounts, create a Program, obtain board approval of the Program, and train staff.</w:t>
      </w:r>
      <w:r w:rsidR="00A155B0">
        <w:rPr>
          <w:rFonts w:ascii="Times New Roman" w:hAnsi="Times New Roman"/>
        </w:rPr>
        <w:t xml:space="preserve"> </w:t>
      </w:r>
      <w:r w:rsidR="00480CF3" w:rsidRPr="00480CF3">
        <w:rPr>
          <w:rFonts w:ascii="Times New Roman" w:hAnsi="Times New Roman"/>
        </w:rPr>
        <w:t xml:space="preserve"> The existing costs would also include the ongoing cost to periodically review and update the program, report periodically on the Program, and conduct periodic assessments of covered accounts.</w:t>
      </w:r>
    </w:p>
    <w:p w:rsidR="006074AF" w:rsidRPr="006074AF" w:rsidRDefault="006074AF" w:rsidP="006074AF">
      <w:pPr>
        <w:tabs>
          <w:tab w:val="left" w:pos="-720"/>
        </w:tabs>
        <w:suppressAutoHyphens/>
        <w:rPr>
          <w:rFonts w:ascii="Times New Roman" w:hAnsi="Times New Roman"/>
        </w:rPr>
      </w:pPr>
    </w:p>
    <w:p w:rsidR="00A67B44" w:rsidRDefault="00A67B44" w:rsidP="00A67B44">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114F1" w:rsidRDefault="002114F1" w:rsidP="00B861C7">
      <w:pPr>
        <w:tabs>
          <w:tab w:val="left" w:pos="-720"/>
          <w:tab w:val="left" w:pos="0"/>
        </w:tabs>
        <w:suppressAutoHyphens/>
        <w:ind w:left="720" w:hanging="720"/>
        <w:rPr>
          <w:rFonts w:ascii="Times New Roman" w:hAnsi="Times New Roman"/>
        </w:rPr>
      </w:pPr>
    </w:p>
    <w:p w:rsidR="002114F1" w:rsidRDefault="002114F1" w:rsidP="00B861C7">
      <w:pPr>
        <w:tabs>
          <w:tab w:val="left" w:pos="-720"/>
          <w:tab w:val="left" w:pos="0"/>
        </w:tabs>
        <w:suppressAutoHyphens/>
        <w:ind w:left="720" w:hanging="720"/>
        <w:rPr>
          <w:rFonts w:ascii="Times New Roman" w:hAnsi="Times New Roman"/>
        </w:rPr>
      </w:pPr>
      <w:r>
        <w:rPr>
          <w:rFonts w:ascii="Times New Roman" w:hAnsi="Times New Roman"/>
        </w:rPr>
        <w:tab/>
        <w:t>Electronic filing or submission is acceptable for the information collections required by this rule.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B861C7" w:rsidRDefault="00B861C7" w:rsidP="00B861C7">
      <w:pPr>
        <w:tabs>
          <w:tab w:val="left" w:pos="-720"/>
        </w:tabs>
        <w:suppressAutoHyphens/>
        <w:rPr>
          <w:rFonts w:ascii="Times New Roman" w:hAnsi="Times New Roman"/>
        </w:rPr>
      </w:pPr>
    </w:p>
    <w:p w:rsidR="00FF7575" w:rsidRDefault="00FF7575" w:rsidP="00B861C7">
      <w:pPr>
        <w:tabs>
          <w:tab w:val="left" w:pos="-720"/>
        </w:tabs>
        <w:suppressAutoHyphens/>
        <w:rPr>
          <w:rFonts w:ascii="Times New Roman" w:hAnsi="Times New Roman"/>
        </w:rPr>
      </w:pPr>
      <w:r>
        <w:rPr>
          <w:rFonts w:ascii="Times New Roman" w:hAnsi="Times New Roman"/>
        </w:rPr>
        <w:tab/>
        <w:t>The rules apply to entities over which the Commission has been granted enforcement authority under the FCRA.</w:t>
      </w:r>
      <w:r w:rsidR="00391644">
        <w:rPr>
          <w:rFonts w:ascii="Times New Roman" w:hAnsi="Times New Roman"/>
        </w:rPr>
        <w:t xml:space="preserve">  </w:t>
      </w:r>
    </w:p>
    <w:p w:rsidR="00DE4A13" w:rsidRDefault="00DE4A13" w:rsidP="00B861C7">
      <w:pPr>
        <w:tabs>
          <w:tab w:val="left" w:pos="-720"/>
        </w:tabs>
        <w:suppressAutoHyphens/>
        <w:rPr>
          <w:rFonts w:ascii="Times New Roman" w:hAnsi="Times New Roman"/>
        </w:rPr>
      </w:pPr>
    </w:p>
    <w:p w:rsidR="00DE4A13" w:rsidRDefault="00DE4A13" w:rsidP="00B861C7">
      <w:pPr>
        <w:tabs>
          <w:tab w:val="left" w:pos="-720"/>
        </w:tabs>
        <w:suppressAutoHyphens/>
        <w:rPr>
          <w:rFonts w:ascii="Times New Roman" w:hAnsi="Times New Roman"/>
        </w:rPr>
      </w:pPr>
      <w:r>
        <w:rPr>
          <w:rFonts w:ascii="Times New Roman" w:hAnsi="Times New Roman"/>
        </w:rPr>
        <w:tab/>
      </w:r>
      <w:r w:rsidR="008058CC">
        <w:rPr>
          <w:rFonts w:ascii="Times New Roman" w:hAnsi="Times New Roman"/>
        </w:rPr>
        <w:t>T</w:t>
      </w:r>
      <w:r>
        <w:rPr>
          <w:rFonts w:ascii="Times New Roman" w:hAnsi="Times New Roman"/>
        </w:rPr>
        <w:t xml:space="preserve">he Commission’s </w:t>
      </w:r>
      <w:r w:rsidR="00AB5B83">
        <w:rPr>
          <w:rFonts w:ascii="Times New Roman" w:hAnsi="Times New Roman"/>
        </w:rPr>
        <w:t>final rules</w:t>
      </w:r>
      <w:r>
        <w:rPr>
          <w:rFonts w:ascii="Times New Roman" w:hAnsi="Times New Roman"/>
        </w:rPr>
        <w:t xml:space="preserve"> will not duplicate requirements imposed by other agencies, such as substantially similar F</w:t>
      </w:r>
      <w:r w:rsidR="0025045B">
        <w:rPr>
          <w:rFonts w:ascii="Times New Roman" w:hAnsi="Times New Roman"/>
        </w:rPr>
        <w:t>TC and the “Agencies”</w:t>
      </w:r>
      <w:r>
        <w:rPr>
          <w:rFonts w:ascii="Times New Roman" w:hAnsi="Times New Roman"/>
        </w:rPr>
        <w:t xml:space="preserve"> regulations issued in 2007</w:t>
      </w:r>
      <w:r w:rsidR="0025045B">
        <w:rPr>
          <w:rFonts w:ascii="Times New Roman" w:hAnsi="Times New Roman"/>
        </w:rPr>
        <w:t xml:space="preserve">.  These </w:t>
      </w:r>
      <w:r w:rsidR="00AB5B83">
        <w:rPr>
          <w:rFonts w:ascii="Times New Roman" w:hAnsi="Times New Roman"/>
        </w:rPr>
        <w:t>final</w:t>
      </w:r>
      <w:r w:rsidR="0025045B">
        <w:rPr>
          <w:rFonts w:ascii="Times New Roman" w:hAnsi="Times New Roman"/>
        </w:rPr>
        <w:t xml:space="preserve"> rules may be merged into existing identity theft prevention or privacy programs already in existence with regulated entities.</w:t>
      </w:r>
    </w:p>
    <w:p w:rsidR="008058CC" w:rsidRDefault="008058CC" w:rsidP="00B861C7">
      <w:pPr>
        <w:tabs>
          <w:tab w:val="left" w:pos="-720"/>
        </w:tabs>
        <w:suppressAutoHyphens/>
        <w:rPr>
          <w:rFonts w:ascii="Times New Roman" w:hAnsi="Times New Roman"/>
        </w:rPr>
      </w:pPr>
    </w:p>
    <w:p w:rsidR="008058CC" w:rsidRPr="008058CC" w:rsidRDefault="008058CC" w:rsidP="00AF795A">
      <w:pPr>
        <w:tabs>
          <w:tab w:val="left" w:pos="720"/>
        </w:tabs>
        <w:autoSpaceDE w:val="0"/>
        <w:autoSpaceDN w:val="0"/>
        <w:adjustRightInd w:val="0"/>
        <w:rPr>
          <w:rFonts w:ascii="Times New Roman" w:hAnsi="Times New Roman"/>
        </w:rPr>
      </w:pPr>
      <w:r>
        <w:rPr>
          <w:rFonts w:ascii="Times New Roman" w:hAnsi="Times New Roman"/>
        </w:rPr>
        <w:tab/>
      </w:r>
      <w:r w:rsidRPr="008058CC">
        <w:rPr>
          <w:rFonts w:ascii="Times New Roman" w:hAnsi="Times New Roman"/>
        </w:rPr>
        <w:t xml:space="preserve"> </w:t>
      </w:r>
      <w:r w:rsidRPr="008058CC">
        <w:rPr>
          <w:rFonts w:ascii="Times New Roman" w:hAnsi="Times New Roman"/>
          <w:szCs w:val="24"/>
        </w:rPr>
        <w:t xml:space="preserve">These burden estimates assume that CFTC-regulated entities already comply with the identity theft red flags rules and guidelines jointly adopted by the FTC with the Agencies, as of December 31, 2010.  Consequently, these entities may already have in place many of the customary protections addressing identity theft and changes of address </w:t>
      </w:r>
      <w:r w:rsidR="00AB5B83">
        <w:rPr>
          <w:rFonts w:ascii="Times New Roman" w:hAnsi="Times New Roman"/>
          <w:szCs w:val="24"/>
        </w:rPr>
        <w:t>required</w:t>
      </w:r>
      <w:r w:rsidRPr="008058CC">
        <w:rPr>
          <w:rFonts w:ascii="Times New Roman" w:hAnsi="Times New Roman"/>
          <w:szCs w:val="24"/>
        </w:rPr>
        <w:t xml:space="preserve"> by these regulations.</w:t>
      </w:r>
    </w:p>
    <w:p w:rsidR="00391644" w:rsidRDefault="00391644"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B861C7" w:rsidRDefault="00B861C7" w:rsidP="00B861C7">
      <w:pPr>
        <w:tabs>
          <w:tab w:val="left" w:pos="-720"/>
        </w:tabs>
        <w:suppressAutoHyphens/>
        <w:rPr>
          <w:rFonts w:ascii="Times New Roman" w:hAnsi="Times New Roman"/>
        </w:rPr>
      </w:pPr>
    </w:p>
    <w:p w:rsidR="00391644" w:rsidRDefault="00391644" w:rsidP="00B861C7">
      <w:pPr>
        <w:tabs>
          <w:tab w:val="left" w:pos="-720"/>
        </w:tabs>
        <w:suppressAutoHyphens/>
        <w:rPr>
          <w:rFonts w:ascii="Times New Roman" w:hAnsi="Times New Roman"/>
        </w:rPr>
      </w:pPr>
      <w:r>
        <w:rPr>
          <w:rFonts w:ascii="Times New Roman" w:hAnsi="Times New Roman"/>
        </w:rPr>
        <w:tab/>
        <w:t>The information collection requirements of the new Identity Theft Red Flags rule apply to all CFTC-covered entities, including</w:t>
      </w:r>
      <w:r w:rsidR="00A87D65">
        <w:rPr>
          <w:rFonts w:ascii="Times New Roman" w:hAnsi="Times New Roman"/>
        </w:rPr>
        <w:t xml:space="preserve"> small entities. However, because the Commission believes that the new rules impose minimal burdens, no significant burden would be imposed on small entities.</w:t>
      </w:r>
    </w:p>
    <w:p w:rsidR="00A87D65" w:rsidRDefault="00A87D65"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B861C7" w:rsidRDefault="00B861C7" w:rsidP="00B861C7">
      <w:pPr>
        <w:tabs>
          <w:tab w:val="left" w:pos="-720"/>
        </w:tabs>
        <w:suppressAutoHyphens/>
        <w:rPr>
          <w:rFonts w:ascii="Times New Roman" w:hAnsi="Times New Roman"/>
        </w:rPr>
      </w:pPr>
    </w:p>
    <w:p w:rsidR="00A87D65" w:rsidRDefault="00A87D65" w:rsidP="00B861C7">
      <w:pPr>
        <w:tabs>
          <w:tab w:val="left" w:pos="-720"/>
        </w:tabs>
        <w:suppressAutoHyphens/>
        <w:rPr>
          <w:rFonts w:ascii="Times New Roman" w:hAnsi="Times New Roman"/>
        </w:rPr>
      </w:pPr>
      <w:r>
        <w:rPr>
          <w:rFonts w:ascii="Times New Roman" w:hAnsi="Times New Roman"/>
        </w:rPr>
        <w:tab/>
        <w:t xml:space="preserve">Less frequent collection would not be consistent with the intent of the rules, which is to require financial institutions and creditors to have reasonable policies and procedures to respond appropriately to any red flags that are detected.  The </w:t>
      </w:r>
      <w:r w:rsidR="00AB5B83">
        <w:rPr>
          <w:rFonts w:ascii="Times New Roman" w:hAnsi="Times New Roman"/>
        </w:rPr>
        <w:t xml:space="preserve">final </w:t>
      </w:r>
      <w:r>
        <w:rPr>
          <w:rFonts w:ascii="Times New Roman" w:hAnsi="Times New Roman"/>
        </w:rPr>
        <w:t xml:space="preserve">rule would require financial institutions and creditors to have reasonable policies and </w:t>
      </w:r>
      <w:r w:rsidR="006E4A44">
        <w:rPr>
          <w:rFonts w:ascii="Times New Roman" w:hAnsi="Times New Roman"/>
        </w:rPr>
        <w:t>procedures</w:t>
      </w:r>
      <w:r>
        <w:rPr>
          <w:rFonts w:ascii="Times New Roman" w:hAnsi="Times New Roman"/>
        </w:rPr>
        <w:t xml:space="preserve"> to ensure that the program is updated periodically, to reflect changes in risks to customers</w:t>
      </w:r>
      <w:r w:rsidR="006E4A44">
        <w:rPr>
          <w:rFonts w:ascii="Times New Roman" w:hAnsi="Times New Roman"/>
        </w:rPr>
        <w:t xml:space="preserve">, and assure the safety and soundness of the financial institutions and creditors. </w:t>
      </w:r>
    </w:p>
    <w:p w:rsidR="00A87D65" w:rsidRDefault="00A87D65" w:rsidP="00B861C7">
      <w:pPr>
        <w:tabs>
          <w:tab w:val="left" w:pos="-720"/>
        </w:tabs>
        <w:suppressAutoHyphens/>
        <w:rPr>
          <w:rFonts w:ascii="Times New Roman" w:hAnsi="Times New Roman"/>
        </w:rPr>
      </w:pPr>
    </w:p>
    <w:p w:rsidR="00B861C7" w:rsidRDefault="00B861C7" w:rsidP="00B861C7">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report information to the agency more often than quarterly;</w:t>
      </w:r>
    </w:p>
    <w:p w:rsidR="006E4A44" w:rsidRDefault="006E4A44" w:rsidP="00B861C7">
      <w:pPr>
        <w:tabs>
          <w:tab w:val="left" w:pos="-720"/>
          <w:tab w:val="left" w:pos="0"/>
          <w:tab w:val="left" w:pos="720"/>
        </w:tabs>
        <w:suppressAutoHyphens/>
        <w:ind w:left="1440" w:hanging="1440"/>
        <w:rPr>
          <w:rFonts w:ascii="Times New Roman" w:hAnsi="Times New Roman"/>
          <w:u w:val="single"/>
        </w:rPr>
      </w:pPr>
    </w:p>
    <w:p w:rsidR="006E4A44" w:rsidRP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u w:val="single"/>
        </w:rPr>
        <w:t xml:space="preserve"> </w:t>
      </w:r>
      <w:r>
        <w:rPr>
          <w:rFonts w:ascii="Times New Roman" w:hAnsi="Times New Roman"/>
        </w:rPr>
        <w:tab/>
        <w:t>See response to Question 6, above.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B861C7" w:rsidRDefault="00B861C7" w:rsidP="00B861C7">
      <w:pPr>
        <w:tabs>
          <w:tab w:val="left" w:pos="-720"/>
        </w:tabs>
        <w:suppressAutoHyphens/>
        <w:rPr>
          <w:rFonts w:ascii="Times New Roman" w:hAnsi="Times New Roman"/>
        </w:rPr>
      </w:pPr>
    </w:p>
    <w:p w:rsidR="006E4A44" w:rsidRDefault="006E4A44" w:rsidP="00B861C7">
      <w:pPr>
        <w:tabs>
          <w:tab w:val="left" w:pos="-720"/>
        </w:tabs>
        <w:suppressAutoHyphens/>
        <w:rPr>
          <w:rFonts w:ascii="Times New Roman" w:hAnsi="Times New Roman"/>
        </w:rPr>
      </w:pPr>
      <w:r>
        <w:rPr>
          <w:rFonts w:ascii="Times New Roman" w:hAnsi="Times New Roman"/>
        </w:rPr>
        <w:tab/>
        <w:t>This question does not apply.</w:t>
      </w:r>
    </w:p>
    <w:p w:rsidR="006E4A44" w:rsidRDefault="006E4A44"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6E4A44" w:rsidRDefault="006E4A44" w:rsidP="00B861C7">
      <w:pPr>
        <w:tabs>
          <w:tab w:val="left" w:pos="-720"/>
          <w:tab w:val="left" w:pos="0"/>
          <w:tab w:val="left" w:pos="720"/>
        </w:tabs>
        <w:suppressAutoHyphens/>
        <w:ind w:left="1440" w:hanging="1440"/>
        <w:rPr>
          <w:rFonts w:ascii="Times New Roman" w:hAnsi="Times New Roman"/>
        </w:rPr>
      </w:pPr>
    </w:p>
    <w:p w:rsid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There is no such requirement.</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6E4A44" w:rsidRDefault="006E4A44" w:rsidP="00B861C7">
      <w:pPr>
        <w:tabs>
          <w:tab w:val="left" w:pos="-720"/>
          <w:tab w:val="left" w:pos="0"/>
          <w:tab w:val="left" w:pos="720"/>
        </w:tabs>
        <w:suppressAutoHyphens/>
        <w:ind w:left="1440" w:hanging="1440"/>
        <w:rPr>
          <w:rFonts w:ascii="Times New Roman" w:hAnsi="Times New Roman"/>
        </w:rPr>
      </w:pPr>
    </w:p>
    <w:p w:rsid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For enforcement purposes, Commission Rule 1.31 requires that:</w:t>
      </w:r>
    </w:p>
    <w:p w:rsidR="006E4A44" w:rsidRDefault="006E4A44" w:rsidP="00B861C7">
      <w:pPr>
        <w:tabs>
          <w:tab w:val="left" w:pos="-720"/>
          <w:tab w:val="left" w:pos="0"/>
          <w:tab w:val="left" w:pos="720"/>
        </w:tabs>
        <w:suppressAutoHyphens/>
        <w:ind w:left="1440" w:hanging="1440"/>
        <w:rPr>
          <w:rFonts w:ascii="Times New Roman" w:hAnsi="Times New Roman"/>
        </w:rPr>
      </w:pPr>
    </w:p>
    <w:p w:rsid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“All books and records required to be kept by the (Commodity Exchange) Act or by these regulations shall be kept for a period of five years from the date thereof and shall be readily accessible during the first two years of the five year period.  All such books and records shall be open to inspection by any representative of the Commission or the U.S. Department of Justice.”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 xml:space="preserve">; </w:t>
      </w:r>
    </w:p>
    <w:p w:rsidR="006E4A44" w:rsidRDefault="006E4A44" w:rsidP="00B861C7">
      <w:pPr>
        <w:tabs>
          <w:tab w:val="left" w:pos="-720"/>
          <w:tab w:val="left" w:pos="0"/>
          <w:tab w:val="left" w:pos="720"/>
        </w:tabs>
        <w:suppressAutoHyphens/>
        <w:ind w:left="1440" w:hanging="1440"/>
        <w:rPr>
          <w:rFonts w:ascii="Times New Roman" w:hAnsi="Times New Roman"/>
        </w:rPr>
      </w:pPr>
    </w:p>
    <w:p w:rsid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1B5968">
        <w:rPr>
          <w:rFonts w:ascii="Times New Roman" w:hAnsi="Times New Roman"/>
        </w:rPr>
        <w:t>The rule does not involve statistical surveys.</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1B5968" w:rsidRDefault="001B5968" w:rsidP="00B861C7">
      <w:pPr>
        <w:tabs>
          <w:tab w:val="left" w:pos="-720"/>
          <w:tab w:val="left" w:pos="0"/>
          <w:tab w:val="left" w:pos="720"/>
        </w:tabs>
        <w:suppressAutoHyphens/>
        <w:ind w:left="1440" w:hanging="1440"/>
        <w:rPr>
          <w:rFonts w:ascii="Times New Roman" w:hAnsi="Times New Roman"/>
        </w:rPr>
      </w:pPr>
    </w:p>
    <w:p w:rsidR="001B5968" w:rsidRDefault="001B5968"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The rule does not involve the use of statistical data.</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1B5968" w:rsidRDefault="001B5968" w:rsidP="00B861C7">
      <w:pPr>
        <w:tabs>
          <w:tab w:val="left" w:pos="-720"/>
          <w:tab w:val="left" w:pos="0"/>
          <w:tab w:val="left" w:pos="720"/>
        </w:tabs>
        <w:suppressAutoHyphens/>
        <w:ind w:left="1440" w:hanging="1440"/>
        <w:rPr>
          <w:rFonts w:ascii="Times New Roman" w:hAnsi="Times New Roman"/>
          <w:u w:val="single"/>
        </w:rPr>
      </w:pPr>
    </w:p>
    <w:p w:rsidR="001B5968" w:rsidRPr="001B5968" w:rsidRDefault="001B5968"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The rule does not involve pledges of confidentiality.</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B861C7" w:rsidRDefault="00B861C7" w:rsidP="00B861C7">
      <w:pPr>
        <w:tabs>
          <w:tab w:val="left" w:pos="-720"/>
        </w:tabs>
        <w:suppressAutoHyphens/>
        <w:rPr>
          <w:rFonts w:ascii="Times New Roman" w:hAnsi="Times New Roman"/>
        </w:rPr>
      </w:pPr>
    </w:p>
    <w:p w:rsidR="001B5968" w:rsidRDefault="001B5968" w:rsidP="00B861C7">
      <w:pPr>
        <w:tabs>
          <w:tab w:val="left" w:pos="-720"/>
        </w:tabs>
        <w:suppressAutoHyphens/>
        <w:rPr>
          <w:rFonts w:ascii="Times New Roman" w:hAnsi="Times New Roman"/>
        </w:rPr>
      </w:pPr>
      <w:r>
        <w:rPr>
          <w:rFonts w:ascii="Times New Roman" w:hAnsi="Times New Roman"/>
        </w:rPr>
        <w:tab/>
        <w:t>The rule does not involve submission of proprietary trade secrets or other such information to the Commission.</w:t>
      </w:r>
    </w:p>
    <w:p w:rsidR="001B5968" w:rsidRDefault="001B5968"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861C7" w:rsidRDefault="00B861C7" w:rsidP="00B861C7">
      <w:pPr>
        <w:tabs>
          <w:tab w:val="left" w:pos="-720"/>
        </w:tabs>
        <w:suppressAutoHyphens/>
        <w:rPr>
          <w:rFonts w:ascii="Times New Roman" w:hAnsi="Times New Roman"/>
        </w:rPr>
      </w:pPr>
    </w:p>
    <w:p w:rsidR="002B741B" w:rsidRDefault="002B741B" w:rsidP="00B861C7">
      <w:pPr>
        <w:tabs>
          <w:tab w:val="left" w:pos="-720"/>
        </w:tabs>
        <w:suppressAutoHyphens/>
        <w:rPr>
          <w:rFonts w:ascii="Times New Roman" w:hAnsi="Times New Roman"/>
        </w:rPr>
      </w:pPr>
      <w:r>
        <w:rPr>
          <w:rFonts w:ascii="Times New Roman" w:hAnsi="Times New Roman"/>
        </w:rPr>
        <w:tab/>
        <w:t>The proposed rule was published at 77 FR 13450, 03/06/12.</w:t>
      </w:r>
    </w:p>
    <w:p w:rsidR="004712BC" w:rsidRDefault="004712BC" w:rsidP="00B861C7">
      <w:pPr>
        <w:tabs>
          <w:tab w:val="left" w:pos="-720"/>
        </w:tabs>
        <w:suppressAutoHyphens/>
        <w:rPr>
          <w:rFonts w:ascii="Times New Roman" w:hAnsi="Times New Roman"/>
        </w:rPr>
      </w:pPr>
    </w:p>
    <w:p w:rsidR="007F4302" w:rsidRDefault="007F4302" w:rsidP="00B861C7">
      <w:pPr>
        <w:tabs>
          <w:tab w:val="left" w:pos="-720"/>
        </w:tabs>
        <w:suppressAutoHyphens/>
        <w:rPr>
          <w:rFonts w:ascii="Times New Roman" w:hAnsi="Times New Roman"/>
        </w:rPr>
      </w:pPr>
      <w:r>
        <w:rPr>
          <w:rFonts w:ascii="Times New Roman" w:hAnsi="Times New Roman"/>
        </w:rPr>
        <w:tab/>
        <w:t>The CFTC received 10 comment letters on the proposed rule.  Only two comments</w:t>
      </w:r>
      <w:r w:rsidR="005C5D20">
        <w:rPr>
          <w:rFonts w:ascii="Times New Roman" w:hAnsi="Times New Roman"/>
        </w:rPr>
        <w:t>, directed at both agencies,</w:t>
      </w:r>
      <w:r>
        <w:rPr>
          <w:rFonts w:ascii="Times New Roman" w:hAnsi="Times New Roman"/>
        </w:rPr>
        <w:t xml:space="preserve"> questioned the estimated costs and benefits of the proposed rule.</w:t>
      </w:r>
      <w:r w:rsidR="007F5A2B">
        <w:rPr>
          <w:rFonts w:ascii="Times New Roman" w:hAnsi="Times New Roman"/>
        </w:rPr>
        <w:t xml:space="preserve">  These comments were from the Options Clearing Corporation (“OCC”), and joint comments from the Financial Services Roundtable and Securities Industry and Financial Markets Association (“FSR/SIFMA).</w:t>
      </w:r>
    </w:p>
    <w:p w:rsidR="007F5A2B" w:rsidRDefault="007F5A2B" w:rsidP="00B861C7">
      <w:pPr>
        <w:tabs>
          <w:tab w:val="left" w:pos="-720"/>
        </w:tabs>
        <w:suppressAutoHyphens/>
        <w:rPr>
          <w:rFonts w:ascii="Times New Roman" w:hAnsi="Times New Roman"/>
        </w:rPr>
      </w:pPr>
    </w:p>
    <w:p w:rsidR="007F5A2B" w:rsidRDefault="007F5A2B" w:rsidP="00B861C7">
      <w:pPr>
        <w:tabs>
          <w:tab w:val="left" w:pos="-720"/>
        </w:tabs>
        <w:suppressAutoHyphens/>
        <w:rPr>
          <w:rFonts w:ascii="Times New Roman" w:hAnsi="Times New Roman"/>
        </w:rPr>
      </w:pPr>
      <w:r>
        <w:rPr>
          <w:rFonts w:ascii="Times New Roman" w:hAnsi="Times New Roman"/>
        </w:rPr>
        <w:tab/>
        <w:t xml:space="preserve">FSR/SIFMA maintained that the Commissions initial and ongoing compliance costs of the proposal were low and unrealistic.  It argued that an average of 2,000 hours of initial compliance burden was appropriate for large, complex financial institutions, </w:t>
      </w:r>
      <w:r w:rsidR="00A02DA0">
        <w:rPr>
          <w:rFonts w:ascii="Times New Roman" w:hAnsi="Times New Roman"/>
        </w:rPr>
        <w:t xml:space="preserve">that at least </w:t>
      </w:r>
      <w:r>
        <w:rPr>
          <w:rFonts w:ascii="Times New Roman" w:hAnsi="Times New Roman"/>
        </w:rPr>
        <w:t>400 hours of ongoing compliance costs annually</w:t>
      </w:r>
      <w:r w:rsidR="00A02DA0">
        <w:rPr>
          <w:rFonts w:ascii="Times New Roman" w:hAnsi="Times New Roman"/>
        </w:rPr>
        <w:t xml:space="preserve"> was appropriate, and that those hours would likely increase for institutions that conduct multiple lines of business, and that the proposal’s estimated compliance costs fail to consider the cost to third-party service providers that may be affected by the rule.</w:t>
      </w:r>
    </w:p>
    <w:p w:rsidR="00A02DA0" w:rsidRDefault="00A02DA0" w:rsidP="00B861C7">
      <w:pPr>
        <w:tabs>
          <w:tab w:val="left" w:pos="-720"/>
        </w:tabs>
        <w:suppressAutoHyphens/>
        <w:rPr>
          <w:rFonts w:ascii="Times New Roman" w:hAnsi="Times New Roman"/>
        </w:rPr>
      </w:pPr>
    </w:p>
    <w:p w:rsidR="00A02DA0" w:rsidRDefault="00A02DA0" w:rsidP="00B861C7">
      <w:pPr>
        <w:tabs>
          <w:tab w:val="left" w:pos="-720"/>
        </w:tabs>
        <w:suppressAutoHyphens/>
        <w:rPr>
          <w:rFonts w:ascii="Times New Roman" w:hAnsi="Times New Roman"/>
        </w:rPr>
      </w:pPr>
      <w:r>
        <w:rPr>
          <w:rFonts w:ascii="Times New Roman" w:hAnsi="Times New Roman"/>
        </w:rPr>
        <w:tab/>
        <w:t>The OCC maintained that an entity that maintains no accounts that carry a reasonable foreseeable risk of identity theft, would still incur compliance costs that exceed any consumer or supervisory benefit because it must periodically reassess whether it maintains any such accounts.</w:t>
      </w:r>
    </w:p>
    <w:p w:rsidR="00127840" w:rsidRDefault="00127840" w:rsidP="00B861C7">
      <w:pPr>
        <w:tabs>
          <w:tab w:val="left" w:pos="-720"/>
        </w:tabs>
        <w:suppressAutoHyphens/>
        <w:rPr>
          <w:rFonts w:ascii="Times New Roman" w:hAnsi="Times New Roman"/>
        </w:rPr>
      </w:pPr>
    </w:p>
    <w:p w:rsidR="00C60EC1" w:rsidRDefault="00127840" w:rsidP="00B861C7">
      <w:pPr>
        <w:tabs>
          <w:tab w:val="left" w:pos="-720"/>
        </w:tabs>
        <w:suppressAutoHyphens/>
        <w:rPr>
          <w:rFonts w:ascii="Times New Roman" w:hAnsi="Times New Roman"/>
        </w:rPr>
      </w:pPr>
      <w:r>
        <w:rPr>
          <w:rFonts w:ascii="Times New Roman" w:hAnsi="Times New Roman"/>
        </w:rPr>
        <w:tab/>
        <w:t xml:space="preserve">The CFTC has concluded that adjustments to the burden are not warranted.  The burden estimates assume that CFTC-regulated entities already comply with the identity theft red flags rules jointly adopted by the FTC with the Agencies, as of December 31, 2010.  Consequently, these entities may already have in place many of the customary protections </w:t>
      </w:r>
      <w:r w:rsidR="000A117E">
        <w:rPr>
          <w:rFonts w:ascii="Times New Roman" w:hAnsi="Times New Roman"/>
        </w:rPr>
        <w:t xml:space="preserve">for assessing and </w:t>
      </w:r>
      <w:r>
        <w:rPr>
          <w:rFonts w:ascii="Times New Roman" w:hAnsi="Times New Roman"/>
        </w:rPr>
        <w:t>addressing identity theft</w:t>
      </w:r>
      <w:r w:rsidR="000A117E">
        <w:rPr>
          <w:rFonts w:ascii="Times New Roman" w:hAnsi="Times New Roman"/>
        </w:rPr>
        <w:t xml:space="preserve"> as</w:t>
      </w:r>
      <w:r w:rsidR="00D464FA">
        <w:rPr>
          <w:rFonts w:ascii="Times New Roman" w:hAnsi="Times New Roman"/>
        </w:rPr>
        <w:t xml:space="preserve"> </w:t>
      </w:r>
      <w:r>
        <w:rPr>
          <w:rFonts w:ascii="Times New Roman" w:hAnsi="Times New Roman"/>
        </w:rPr>
        <w:t xml:space="preserve">required by these </w:t>
      </w:r>
      <w:r w:rsidR="00C60EC1">
        <w:rPr>
          <w:rFonts w:ascii="Times New Roman" w:hAnsi="Times New Roman"/>
        </w:rPr>
        <w:t>regulations</w:t>
      </w:r>
      <w:r>
        <w:rPr>
          <w:rFonts w:ascii="Times New Roman" w:hAnsi="Times New Roman"/>
        </w:rPr>
        <w:t>.</w:t>
      </w:r>
      <w:r w:rsidR="00C60EC1">
        <w:rPr>
          <w:rFonts w:ascii="Times New Roman" w:hAnsi="Times New Roman"/>
        </w:rPr>
        <w:t xml:space="preserve">  Also, any outsourcing to affiliate or third-party service providers is merely shifting burden from an entity that is directly subject to the rules to the service provider, but the total burden remains unchanged.</w:t>
      </w:r>
    </w:p>
    <w:p w:rsidR="00C60EC1" w:rsidRDefault="00C60EC1" w:rsidP="00B861C7">
      <w:pPr>
        <w:tabs>
          <w:tab w:val="left" w:pos="-720"/>
        </w:tabs>
        <w:suppressAutoHyphens/>
        <w:rPr>
          <w:rFonts w:ascii="Times New Roman" w:hAnsi="Times New Roman"/>
        </w:rPr>
      </w:pPr>
    </w:p>
    <w:p w:rsidR="00127840" w:rsidRDefault="00C60EC1" w:rsidP="00B861C7">
      <w:pPr>
        <w:tabs>
          <w:tab w:val="left" w:pos="-720"/>
        </w:tabs>
        <w:suppressAutoHyphens/>
        <w:rPr>
          <w:rFonts w:ascii="Times New Roman" w:hAnsi="Times New Roman"/>
        </w:rPr>
      </w:pPr>
      <w:r>
        <w:rPr>
          <w:rFonts w:ascii="Times New Roman" w:hAnsi="Times New Roman"/>
        </w:rPr>
        <w:tab/>
        <w:t xml:space="preserve">The final rules would also not have an effect on the OCC’s costs.  </w:t>
      </w:r>
      <w:r w:rsidR="002A2F53">
        <w:rPr>
          <w:rFonts w:ascii="Times New Roman" w:hAnsi="Times New Roman"/>
        </w:rPr>
        <w:t>To the extent that OCC should be complying with the identity theft red flags rules, t</w:t>
      </w:r>
      <w:r>
        <w:rPr>
          <w:rFonts w:ascii="Times New Roman" w:hAnsi="Times New Roman"/>
        </w:rPr>
        <w:t>he final rules do not contain any new requirements, nor expand the scope of the rules, thus the OCC should not incur any additional costs other than the costs incurred under the previous regulatory framework</w:t>
      </w:r>
      <w:r w:rsidR="004F2E44">
        <w:rPr>
          <w:rFonts w:ascii="Times New Roman" w:hAnsi="Times New Roman"/>
        </w:rPr>
        <w:t>.</w:t>
      </w:r>
      <w:r>
        <w:rPr>
          <w:rFonts w:ascii="Times New Roman" w:hAnsi="Times New Roman"/>
        </w:rPr>
        <w:t xml:space="preserve">  </w:t>
      </w:r>
    </w:p>
    <w:p w:rsidR="00127840" w:rsidRDefault="00127840" w:rsidP="00B861C7">
      <w:pPr>
        <w:tabs>
          <w:tab w:val="left" w:pos="-720"/>
        </w:tabs>
        <w:suppressAutoHyphens/>
        <w:rPr>
          <w:rFonts w:ascii="Times New Roman" w:hAnsi="Times New Roman"/>
        </w:rPr>
      </w:pPr>
    </w:p>
    <w:p w:rsidR="002B741B" w:rsidRDefault="002B741B"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861C7" w:rsidRDefault="00B861C7" w:rsidP="00B861C7">
      <w:pPr>
        <w:tabs>
          <w:tab w:val="left" w:pos="-720"/>
        </w:tabs>
        <w:suppressAutoHyphens/>
        <w:rPr>
          <w:rFonts w:ascii="Times New Roman" w:hAnsi="Times New Roman"/>
          <w:u w:val="single"/>
        </w:rPr>
      </w:pPr>
    </w:p>
    <w:p w:rsidR="00A50AC8" w:rsidRDefault="00DE4A13" w:rsidP="00B861C7">
      <w:pPr>
        <w:tabs>
          <w:tab w:val="left" w:pos="-720"/>
        </w:tabs>
        <w:suppressAutoHyphens/>
        <w:rPr>
          <w:rFonts w:ascii="Times New Roman" w:hAnsi="Times New Roman"/>
        </w:rPr>
      </w:pPr>
      <w:r w:rsidRPr="00DE4A13">
        <w:rPr>
          <w:rFonts w:ascii="Times New Roman" w:hAnsi="Times New Roman"/>
        </w:rPr>
        <w:tab/>
      </w:r>
      <w:r>
        <w:rPr>
          <w:rFonts w:ascii="Times New Roman" w:hAnsi="Times New Roman"/>
        </w:rPr>
        <w:t xml:space="preserve">The Commission’s new rule was </w:t>
      </w:r>
      <w:r w:rsidR="00012AD3">
        <w:rPr>
          <w:rFonts w:ascii="Times New Roman" w:hAnsi="Times New Roman"/>
        </w:rPr>
        <w:t xml:space="preserve">adopted </w:t>
      </w:r>
      <w:r>
        <w:rPr>
          <w:rFonts w:ascii="Times New Roman" w:hAnsi="Times New Roman"/>
        </w:rPr>
        <w:t>jointly with the SEC</w:t>
      </w:r>
      <w:r w:rsidR="00A50AC8">
        <w:rPr>
          <w:rFonts w:ascii="Times New Roman" w:hAnsi="Times New Roman"/>
        </w:rPr>
        <w:t xml:space="preserve">, </w:t>
      </w:r>
      <w:r w:rsidR="00012AD3">
        <w:rPr>
          <w:rFonts w:ascii="Times New Roman" w:hAnsi="Times New Roman"/>
        </w:rPr>
        <w:t>following</w:t>
      </w:r>
      <w:r w:rsidR="00A50AC8">
        <w:rPr>
          <w:rFonts w:ascii="Times New Roman" w:hAnsi="Times New Roman"/>
        </w:rPr>
        <w:t xml:space="preserve"> considerable consultation</w:t>
      </w:r>
      <w:r>
        <w:rPr>
          <w:rFonts w:ascii="Times New Roman" w:hAnsi="Times New Roman"/>
        </w:rPr>
        <w:t>.</w:t>
      </w:r>
      <w:r w:rsidR="0025045B">
        <w:rPr>
          <w:rFonts w:ascii="Times New Roman" w:hAnsi="Times New Roman"/>
        </w:rPr>
        <w:t xml:space="preserve">  </w:t>
      </w:r>
      <w:r w:rsidR="00A50AC8">
        <w:rPr>
          <w:rFonts w:ascii="Times New Roman" w:hAnsi="Times New Roman"/>
        </w:rPr>
        <w:t>The Agencies were also consulted regarding their substantially similar rules.  In addition, the Commission maintains ongoing, informal dialogue with the industry concerning various matters including paperwork burdens.</w:t>
      </w:r>
    </w:p>
    <w:p w:rsidR="00DE4A13" w:rsidRPr="00DE4A13" w:rsidRDefault="00A50AC8" w:rsidP="00B861C7">
      <w:pPr>
        <w:tabs>
          <w:tab w:val="left" w:pos="-720"/>
        </w:tabs>
        <w:suppressAutoHyphens/>
        <w:rPr>
          <w:rFonts w:ascii="Times New Roman" w:hAnsi="Times New Roman"/>
        </w:rPr>
      </w:pPr>
      <w:r>
        <w:rPr>
          <w:rFonts w:ascii="Times New Roman" w:hAnsi="Times New Roman"/>
        </w:rPr>
        <w:t xml:space="preserve"> </w:t>
      </w: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B861C7" w:rsidRDefault="00B861C7" w:rsidP="00B861C7">
      <w:pPr>
        <w:tabs>
          <w:tab w:val="left" w:pos="-720"/>
        </w:tabs>
        <w:suppressAutoHyphens/>
        <w:rPr>
          <w:rFonts w:ascii="Times New Roman" w:hAnsi="Times New Roman"/>
        </w:rPr>
      </w:pPr>
    </w:p>
    <w:p w:rsidR="00A50AC8" w:rsidRDefault="00A50AC8" w:rsidP="00B861C7">
      <w:pPr>
        <w:tabs>
          <w:tab w:val="left" w:pos="-720"/>
        </w:tabs>
        <w:suppressAutoHyphens/>
        <w:rPr>
          <w:rFonts w:ascii="Times New Roman" w:hAnsi="Times New Roman"/>
        </w:rPr>
      </w:pPr>
      <w:r>
        <w:rPr>
          <w:rFonts w:ascii="Times New Roman" w:hAnsi="Times New Roman"/>
        </w:rPr>
        <w:tab/>
        <w:t>No such circumstances are anticipated.</w:t>
      </w:r>
    </w:p>
    <w:p w:rsidR="00A50AC8" w:rsidRDefault="00A50AC8"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B861C7" w:rsidRDefault="00B861C7" w:rsidP="00B861C7">
      <w:pPr>
        <w:tabs>
          <w:tab w:val="left" w:pos="-720"/>
        </w:tabs>
        <w:suppressAutoHyphens/>
        <w:rPr>
          <w:rFonts w:ascii="Times New Roman" w:hAnsi="Times New Roman"/>
        </w:rPr>
      </w:pPr>
    </w:p>
    <w:p w:rsidR="00B861C7" w:rsidRDefault="00262E8C" w:rsidP="00B861C7">
      <w:pPr>
        <w:tabs>
          <w:tab w:val="left" w:pos="-720"/>
        </w:tabs>
        <w:suppressAutoHyphens/>
        <w:rPr>
          <w:rFonts w:ascii="Times New Roman" w:hAnsi="Times New Roman"/>
        </w:rPr>
      </w:pPr>
      <w:r>
        <w:rPr>
          <w:rFonts w:ascii="Times New Roman" w:hAnsi="Times New Roman"/>
        </w:rPr>
        <w:tab/>
      </w:r>
      <w:r w:rsidR="00A50AC8">
        <w:rPr>
          <w:rFonts w:ascii="Times New Roman" w:hAnsi="Times New Roman"/>
        </w:rPr>
        <w:t>The question does not apply.</w:t>
      </w:r>
    </w:p>
    <w:p w:rsidR="00A50AC8" w:rsidRDefault="00A50AC8"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B861C7" w:rsidRDefault="00B861C7" w:rsidP="00B861C7">
      <w:pPr>
        <w:tabs>
          <w:tab w:val="left" w:pos="-720"/>
        </w:tabs>
        <w:suppressAutoHyphens/>
        <w:rPr>
          <w:rFonts w:ascii="Times New Roman" w:hAnsi="Times New Roman"/>
        </w:rPr>
      </w:pPr>
      <w:r>
        <w:rPr>
          <w:rFonts w:ascii="Times New Roman" w:hAnsi="Times New Roman"/>
        </w:rPr>
        <w:tab/>
        <w:t xml:space="preserve">  </w:t>
      </w:r>
    </w:p>
    <w:p w:rsidR="009D4E29" w:rsidRDefault="009D4E29" w:rsidP="00B861C7">
      <w:pPr>
        <w:tabs>
          <w:tab w:val="left" w:pos="-720"/>
        </w:tabs>
        <w:suppressAutoHyphens/>
        <w:rPr>
          <w:rFonts w:ascii="Times New Roman" w:hAnsi="Times New Roman"/>
        </w:rPr>
      </w:pPr>
      <w:r>
        <w:rPr>
          <w:rFonts w:ascii="Times New Roman" w:hAnsi="Times New Roman"/>
        </w:rPr>
        <w:tab/>
        <w:t>The Commission will protect proprietary information according to the Freedom of Information Act and the regulations that the Commission has promulgated to protect the confidentiality of collected information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F23733" w:rsidRDefault="00F23733" w:rsidP="00B861C7">
      <w:pPr>
        <w:tabs>
          <w:tab w:val="left" w:pos="-720"/>
        </w:tabs>
        <w:suppressAutoHyphens/>
        <w:rPr>
          <w:rFonts w:ascii="Times New Roman" w:hAnsi="Times New Roman"/>
        </w:rPr>
      </w:pPr>
    </w:p>
    <w:p w:rsidR="00B861C7" w:rsidRDefault="00B861C7" w:rsidP="00B861C7">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B861C7" w:rsidRDefault="00F23733" w:rsidP="00B861C7">
      <w:pPr>
        <w:tabs>
          <w:tab w:val="left" w:pos="-720"/>
        </w:tabs>
        <w:suppressAutoHyphens/>
        <w:rPr>
          <w:rFonts w:ascii="Times New Roman" w:hAnsi="Times New Roman"/>
        </w:rPr>
      </w:pPr>
      <w:r>
        <w:rPr>
          <w:rFonts w:ascii="Times New Roman" w:hAnsi="Times New Roman"/>
        </w:rPr>
        <w:tab/>
      </w:r>
    </w:p>
    <w:p w:rsidR="00F23733" w:rsidRDefault="00F23733" w:rsidP="00F23733">
      <w:pPr>
        <w:tabs>
          <w:tab w:val="left" w:pos="-720"/>
        </w:tabs>
        <w:suppressAutoHyphens/>
        <w:rPr>
          <w:rFonts w:ascii="Times New Roman" w:hAnsi="Times New Roman"/>
        </w:rPr>
      </w:pPr>
      <w:r>
        <w:rPr>
          <w:rFonts w:ascii="Times New Roman" w:hAnsi="Times New Roman"/>
        </w:rPr>
        <w:tab/>
        <w:t>The question does not apply.</w:t>
      </w:r>
    </w:p>
    <w:p w:rsidR="00F23733" w:rsidRDefault="00F23733"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Provide estimates of annualized cost to respondents for the hours burdens for collections of information, identifying and using appropriate wage rate categories.  The cost of contracting </w:t>
      </w:r>
      <w:r w:rsidR="00E9312A">
        <w:rPr>
          <w:rFonts w:ascii="Times New Roman" w:hAnsi="Times New Roman"/>
        </w:rPr>
        <w:t>out</w:t>
      </w:r>
      <w:r>
        <w:rPr>
          <w:rFonts w:ascii="Times New Roman" w:hAnsi="Times New Roman"/>
        </w:rPr>
        <w:t xml:space="preserve"> or paying outside parties for information collection activities should not be included here.  Instead, this cost should be included in Item 13.</w:t>
      </w:r>
    </w:p>
    <w:p w:rsidR="008058CC" w:rsidRDefault="008058CC" w:rsidP="00B861C7">
      <w:pPr>
        <w:tabs>
          <w:tab w:val="left" w:pos="-720"/>
          <w:tab w:val="left" w:pos="0"/>
          <w:tab w:val="left" w:pos="720"/>
        </w:tabs>
        <w:suppressAutoHyphens/>
        <w:ind w:left="1440" w:hanging="1440"/>
        <w:rPr>
          <w:rFonts w:ascii="Times New Roman" w:hAnsi="Times New Roman"/>
        </w:rPr>
      </w:pPr>
    </w:p>
    <w:p w:rsidR="00A155B0" w:rsidRPr="00A155B0" w:rsidRDefault="003866B8" w:rsidP="00A155B0">
      <w:pPr>
        <w:tabs>
          <w:tab w:val="left" w:pos="720"/>
        </w:tabs>
        <w:autoSpaceDE w:val="0"/>
        <w:autoSpaceDN w:val="0"/>
        <w:adjustRightInd w:val="0"/>
        <w:ind w:firstLine="720"/>
        <w:rPr>
          <w:rFonts w:ascii="Times New Roman" w:hAnsi="Times New Roman"/>
          <w:szCs w:val="24"/>
        </w:rPr>
      </w:pPr>
      <w:r w:rsidRPr="008058CC">
        <w:rPr>
          <w:rFonts w:ascii="Times New Roman" w:hAnsi="Times New Roman"/>
          <w:szCs w:val="24"/>
        </w:rPr>
        <w:t>These burden estimates assume that CFTC-regulated entities already comply with the identity theft red flags rules and guidelines jointly adopted by the FTC with the Agencies, as of December 31, 2010.  Consequently, these entities may already have in place many of the customary protections addressing identi</w:t>
      </w:r>
      <w:r w:rsidR="00012AD3">
        <w:rPr>
          <w:rFonts w:ascii="Times New Roman" w:hAnsi="Times New Roman"/>
          <w:szCs w:val="24"/>
        </w:rPr>
        <w:t>ty theft and changes of address required</w:t>
      </w:r>
      <w:r w:rsidRPr="008058CC">
        <w:rPr>
          <w:rFonts w:ascii="Times New Roman" w:hAnsi="Times New Roman"/>
          <w:szCs w:val="24"/>
        </w:rPr>
        <w:t xml:space="preserve"> by these regulations.</w:t>
      </w:r>
      <w:r w:rsidR="00A155B0">
        <w:rPr>
          <w:rFonts w:ascii="Times New Roman" w:hAnsi="Times New Roman"/>
          <w:szCs w:val="24"/>
        </w:rPr>
        <w:t xml:space="preserve">  </w:t>
      </w:r>
      <w:r w:rsidR="00DD5029">
        <w:rPr>
          <w:rFonts w:ascii="Times New Roman" w:hAnsi="Times New Roman"/>
          <w:szCs w:val="24"/>
        </w:rPr>
        <w:t>While existing and new</w:t>
      </w:r>
      <w:r w:rsidR="00234AE4">
        <w:rPr>
          <w:rFonts w:ascii="Times New Roman" w:hAnsi="Times New Roman"/>
          <w:szCs w:val="24"/>
        </w:rPr>
        <w:t>ly</w:t>
      </w:r>
      <w:r w:rsidR="00DD5029">
        <w:rPr>
          <w:rFonts w:ascii="Times New Roman" w:hAnsi="Times New Roman"/>
          <w:szCs w:val="24"/>
        </w:rPr>
        <w:t xml:space="preserve"> formed entities would need to conduct an initial assessment to determine whether they </w:t>
      </w:r>
      <w:r w:rsidR="002A2F53">
        <w:rPr>
          <w:rFonts w:ascii="Times New Roman" w:hAnsi="Times New Roman"/>
          <w:szCs w:val="24"/>
        </w:rPr>
        <w:t xml:space="preserve">have covered accounts for which they would </w:t>
      </w:r>
      <w:r w:rsidR="00DD5029">
        <w:rPr>
          <w:rFonts w:ascii="Times New Roman" w:hAnsi="Times New Roman"/>
          <w:szCs w:val="24"/>
        </w:rPr>
        <w:t xml:space="preserve">need to develop a </w:t>
      </w:r>
      <w:r w:rsidR="002A2F53">
        <w:rPr>
          <w:rFonts w:ascii="Times New Roman" w:hAnsi="Times New Roman"/>
          <w:szCs w:val="24"/>
        </w:rPr>
        <w:t>Program, existing</w:t>
      </w:r>
      <w:r w:rsidR="002A2F53" w:rsidRPr="002A2F53">
        <w:rPr>
          <w:rFonts w:ascii="Times New Roman" w:hAnsi="Times New Roman"/>
          <w:szCs w:val="24"/>
        </w:rPr>
        <w:t xml:space="preserve"> entities may already have in place many of the customary protections for assessing and addressing identity theft </w:t>
      </w:r>
      <w:r w:rsidR="002A2F53">
        <w:rPr>
          <w:rFonts w:ascii="Times New Roman" w:hAnsi="Times New Roman"/>
          <w:szCs w:val="24"/>
        </w:rPr>
        <w:t>and would not incur an initial burden</w:t>
      </w:r>
      <w:r w:rsidR="002A2F53" w:rsidRPr="002A2F53">
        <w:rPr>
          <w:rFonts w:ascii="Times New Roman" w:hAnsi="Times New Roman"/>
          <w:szCs w:val="24"/>
        </w:rPr>
        <w:t xml:space="preserve">.  </w:t>
      </w:r>
      <w:r w:rsidR="002A2F53">
        <w:rPr>
          <w:rFonts w:ascii="Times New Roman" w:hAnsi="Times New Roman"/>
          <w:szCs w:val="24"/>
        </w:rPr>
        <w:t>A</w:t>
      </w:r>
      <w:r w:rsidR="00A155B0" w:rsidRPr="00A155B0">
        <w:rPr>
          <w:rFonts w:ascii="Times New Roman" w:hAnsi="Times New Roman"/>
          <w:szCs w:val="24"/>
        </w:rPr>
        <w:t>ny initial or one-time burdens associated with compliance with proposed part 162 would apply only to newly formed entities, and the ongoing burden to all CFTC-regulated entities.  These existing costs related to proposed § 162.30 would include, for newly formed CFTC-regulated entities, the one-time cost for financial institutions and creditors to conduct initial assessments of covered accounts, create a Program, obtain board approval of the Program, and train staff.  The existing costs would also include the ongoing cost to periodically review and update the program, report periodically on the Program, and conduct periodic assessments of covered accounts.</w:t>
      </w:r>
    </w:p>
    <w:p w:rsidR="00A155B0" w:rsidRPr="00A155B0" w:rsidRDefault="00A155B0" w:rsidP="00A155B0">
      <w:pPr>
        <w:tabs>
          <w:tab w:val="left" w:pos="720"/>
        </w:tabs>
        <w:autoSpaceDE w:val="0"/>
        <w:autoSpaceDN w:val="0"/>
        <w:adjustRightInd w:val="0"/>
        <w:ind w:firstLine="720"/>
        <w:rPr>
          <w:rFonts w:ascii="Times New Roman" w:hAnsi="Times New Roman"/>
          <w:szCs w:val="24"/>
        </w:rPr>
      </w:pPr>
    </w:p>
    <w:p w:rsidR="003866B8" w:rsidRDefault="003866B8" w:rsidP="00B861C7">
      <w:pPr>
        <w:tabs>
          <w:tab w:val="left" w:pos="-720"/>
          <w:tab w:val="left" w:pos="0"/>
          <w:tab w:val="left" w:pos="720"/>
        </w:tabs>
        <w:suppressAutoHyphens/>
        <w:ind w:left="1440" w:hanging="1440"/>
        <w:rPr>
          <w:rFonts w:ascii="Times New Roman" w:hAnsi="Times New Roman"/>
        </w:rPr>
      </w:pPr>
    </w:p>
    <w:p w:rsidR="003866B8" w:rsidRPr="003866B8" w:rsidRDefault="003866B8" w:rsidP="00B861C7">
      <w:pPr>
        <w:tabs>
          <w:tab w:val="left" w:pos="-720"/>
          <w:tab w:val="left" w:pos="0"/>
          <w:tab w:val="left" w:pos="720"/>
        </w:tabs>
        <w:suppressAutoHyphens/>
        <w:ind w:left="1440" w:hanging="1440"/>
        <w:rPr>
          <w:rFonts w:ascii="Times New Roman" w:hAnsi="Times New Roman"/>
          <w:i/>
        </w:rPr>
      </w:pPr>
      <w:r>
        <w:rPr>
          <w:rFonts w:ascii="Times New Roman" w:hAnsi="Times New Roman"/>
        </w:rPr>
        <w:tab/>
      </w:r>
      <w:r w:rsidRPr="003866B8">
        <w:rPr>
          <w:rFonts w:ascii="Times New Roman" w:hAnsi="Times New Roman"/>
          <w:i/>
        </w:rPr>
        <w:t>Initial Burden</w:t>
      </w:r>
    </w:p>
    <w:p w:rsidR="003866B8" w:rsidRDefault="003866B8" w:rsidP="00B861C7">
      <w:pPr>
        <w:tabs>
          <w:tab w:val="left" w:pos="-720"/>
          <w:tab w:val="left" w:pos="0"/>
          <w:tab w:val="left" w:pos="720"/>
        </w:tabs>
        <w:suppressAutoHyphens/>
        <w:ind w:left="1440" w:hanging="1440"/>
        <w:rPr>
          <w:rFonts w:ascii="Times New Roman" w:hAnsi="Times New Roman"/>
        </w:rPr>
      </w:pPr>
    </w:p>
    <w:p w:rsidR="003866B8" w:rsidRDefault="003866B8" w:rsidP="003866B8">
      <w:pPr>
        <w:tabs>
          <w:tab w:val="left" w:pos="720"/>
        </w:tabs>
        <w:autoSpaceDE w:val="0"/>
        <w:autoSpaceDN w:val="0"/>
        <w:adjustRightInd w:val="0"/>
        <w:rPr>
          <w:rFonts w:ascii="Times New Roman" w:hAnsi="Times New Roman"/>
          <w:szCs w:val="24"/>
        </w:rPr>
      </w:pPr>
      <w:r>
        <w:rPr>
          <w:rFonts w:ascii="Times New Roman" w:hAnsi="Times New Roman"/>
        </w:rPr>
        <w:tab/>
      </w:r>
      <w:r w:rsidRPr="003866B8">
        <w:rPr>
          <w:rFonts w:ascii="Times New Roman" w:hAnsi="Times New Roman"/>
          <w:szCs w:val="24"/>
        </w:rPr>
        <w:t xml:space="preserve">The CFTC estimates that the one-time burden of </w:t>
      </w:r>
      <w:r w:rsidR="00012AD3">
        <w:rPr>
          <w:rFonts w:ascii="Times New Roman" w:hAnsi="Times New Roman"/>
          <w:szCs w:val="24"/>
        </w:rPr>
        <w:t>compliance with</w:t>
      </w:r>
      <w:r w:rsidRPr="003866B8">
        <w:rPr>
          <w:rFonts w:ascii="Times New Roman" w:hAnsi="Times New Roman"/>
          <w:szCs w:val="24"/>
        </w:rPr>
        <w:t xml:space="preserve"> part 162 for its regulated entities with covered accounts would be: (i) 25 hours to develop and obtain board approval of a Program, (ii) 4 hours for staff training, and (iii) 2 hours to conduct an initial assessment of covered accounts, totaling 31 hours.  Of the 31 hours, the CFTC estimates that 15 hours would involve internal counsel, 14 hours expended by administrative assistants, and 2 hours by the board of directors in total, for those newly-regulated entities.</w:t>
      </w:r>
    </w:p>
    <w:p w:rsidR="002A2F53" w:rsidRPr="003866B8" w:rsidRDefault="002A2F53" w:rsidP="003866B8">
      <w:pPr>
        <w:tabs>
          <w:tab w:val="left" w:pos="720"/>
        </w:tabs>
        <w:autoSpaceDE w:val="0"/>
        <w:autoSpaceDN w:val="0"/>
        <w:adjustRightInd w:val="0"/>
        <w:rPr>
          <w:rFonts w:ascii="Times New Roman" w:hAnsi="Times New Roman"/>
          <w:szCs w:val="24"/>
        </w:rPr>
      </w:pPr>
    </w:p>
    <w:p w:rsidR="003866B8" w:rsidRDefault="003866B8" w:rsidP="003866B8">
      <w:pPr>
        <w:tabs>
          <w:tab w:val="left" w:pos="720"/>
        </w:tabs>
        <w:autoSpaceDE w:val="0"/>
        <w:autoSpaceDN w:val="0"/>
        <w:adjustRightInd w:val="0"/>
        <w:rPr>
          <w:rFonts w:ascii="Times New Roman" w:hAnsi="Times New Roman"/>
          <w:szCs w:val="24"/>
        </w:rPr>
      </w:pPr>
      <w:r w:rsidRPr="003866B8">
        <w:rPr>
          <w:rFonts w:ascii="Times New Roman" w:hAnsi="Times New Roman"/>
          <w:szCs w:val="24"/>
        </w:rPr>
        <w:tab/>
        <w:t xml:space="preserve">The CFTC estimates that approximately 702 </w:t>
      </w:r>
      <w:r w:rsidR="00D464FA">
        <w:rPr>
          <w:rFonts w:ascii="Times New Roman" w:hAnsi="Times New Roman"/>
          <w:szCs w:val="24"/>
        </w:rPr>
        <w:t xml:space="preserve">newly formed </w:t>
      </w:r>
      <w:r w:rsidRPr="003866B8">
        <w:rPr>
          <w:rFonts w:ascii="Times New Roman" w:hAnsi="Times New Roman"/>
          <w:szCs w:val="24"/>
        </w:rPr>
        <w:t xml:space="preserve">FCMs, </w:t>
      </w:r>
      <w:r w:rsidR="00234AE4">
        <w:rPr>
          <w:rFonts w:ascii="Times New Roman" w:hAnsi="Times New Roman"/>
          <w:szCs w:val="24"/>
        </w:rPr>
        <w:t xml:space="preserve">IBs, </w:t>
      </w:r>
      <w:r w:rsidRPr="003866B8">
        <w:rPr>
          <w:rFonts w:ascii="Times New Roman" w:hAnsi="Times New Roman"/>
          <w:szCs w:val="24"/>
        </w:rPr>
        <w:t xml:space="preserve">CTAs and CPOs </w:t>
      </w:r>
      <w:r w:rsidRPr="003866B8">
        <w:rPr>
          <w:rStyle w:val="FootnoteReference"/>
          <w:rFonts w:ascii="Times New Roman" w:hAnsi="Times New Roman"/>
          <w:szCs w:val="24"/>
        </w:rPr>
        <w:footnoteReference w:id="3"/>
      </w:r>
      <w:r w:rsidRPr="003866B8">
        <w:rPr>
          <w:rFonts w:ascii="Times New Roman" w:hAnsi="Times New Roman"/>
          <w:szCs w:val="24"/>
        </w:rPr>
        <w:t xml:space="preserve"> would need to conduct an initial assessment of covered accounts.  </w:t>
      </w:r>
      <w:r w:rsidR="00F677E2">
        <w:rPr>
          <w:rFonts w:ascii="Times New Roman" w:hAnsi="Times New Roman"/>
          <w:szCs w:val="24"/>
        </w:rPr>
        <w:t>Also, a</w:t>
      </w:r>
      <w:r w:rsidRPr="003866B8">
        <w:rPr>
          <w:rFonts w:ascii="Times New Roman" w:hAnsi="Times New Roman"/>
          <w:szCs w:val="24"/>
        </w:rPr>
        <w:t>s noted above, the CFTC estimates that approximately 125 newly registered SDs and MSPs would need to conduct an initial assessment of covered accounts.  The total number of newly registered CFTC registrants would be 827 entities.  Each of these 827 entities would need to conduct an initial assessment of covered accounts, for a total of 1,654 hours.</w:t>
      </w:r>
      <w:r w:rsidRPr="003866B8">
        <w:rPr>
          <w:rStyle w:val="FootnoteReference"/>
          <w:rFonts w:ascii="Times New Roman" w:hAnsi="Times New Roman"/>
          <w:szCs w:val="24"/>
        </w:rPr>
        <w:footnoteReference w:id="4"/>
      </w:r>
      <w:r w:rsidRPr="003866B8">
        <w:rPr>
          <w:rFonts w:ascii="Times New Roman" w:hAnsi="Times New Roman"/>
          <w:szCs w:val="24"/>
        </w:rPr>
        <w:t xml:space="preserve">  Of these 827 entities, CFTC staff estimates that approximately 179 of these entities may maintain covered accounts.  Accordingly, the CFTC estimates the one-time burden for these 179 entities to be 5,</w:t>
      </w:r>
      <w:r w:rsidR="00C6549F">
        <w:rPr>
          <w:rFonts w:ascii="Times New Roman" w:hAnsi="Times New Roman"/>
          <w:szCs w:val="24"/>
        </w:rPr>
        <w:t>191</w:t>
      </w:r>
      <w:r w:rsidRPr="003866B8">
        <w:rPr>
          <w:rFonts w:ascii="Times New Roman" w:hAnsi="Times New Roman"/>
          <w:szCs w:val="24"/>
        </w:rPr>
        <w:t xml:space="preserve"> hours,</w:t>
      </w:r>
      <w:r w:rsidRPr="003866B8">
        <w:rPr>
          <w:rStyle w:val="FootnoteReference"/>
          <w:rFonts w:ascii="Times New Roman" w:hAnsi="Times New Roman"/>
          <w:szCs w:val="24"/>
        </w:rPr>
        <w:footnoteReference w:id="5"/>
      </w:r>
      <w:r w:rsidRPr="003866B8">
        <w:rPr>
          <w:rFonts w:ascii="Times New Roman" w:hAnsi="Times New Roman"/>
          <w:szCs w:val="24"/>
        </w:rPr>
        <w:t xml:space="preserve"> for a total burden among newly registered entities of </w:t>
      </w:r>
      <w:r w:rsidR="00C6549F">
        <w:rPr>
          <w:rFonts w:ascii="Times New Roman" w:hAnsi="Times New Roman"/>
          <w:szCs w:val="24"/>
        </w:rPr>
        <w:t>6,845</w:t>
      </w:r>
      <w:r w:rsidRPr="003866B8">
        <w:rPr>
          <w:rFonts w:ascii="Times New Roman" w:hAnsi="Times New Roman"/>
          <w:szCs w:val="24"/>
        </w:rPr>
        <w:t xml:space="preserve"> hours.</w:t>
      </w:r>
      <w:r w:rsidRPr="003866B8">
        <w:rPr>
          <w:rStyle w:val="FootnoteReference"/>
          <w:rFonts w:ascii="Times New Roman" w:hAnsi="Times New Roman"/>
          <w:szCs w:val="24"/>
        </w:rPr>
        <w:footnoteReference w:id="6"/>
      </w:r>
    </w:p>
    <w:p w:rsidR="00475DE4" w:rsidRDefault="00475DE4" w:rsidP="003866B8">
      <w:pPr>
        <w:tabs>
          <w:tab w:val="left" w:pos="720"/>
        </w:tabs>
        <w:autoSpaceDE w:val="0"/>
        <w:autoSpaceDN w:val="0"/>
        <w:adjustRightInd w:val="0"/>
        <w:rPr>
          <w:rFonts w:ascii="Times New Roman" w:hAnsi="Times New Roman"/>
          <w:szCs w:val="24"/>
        </w:rPr>
      </w:pPr>
    </w:p>
    <w:p w:rsidR="00475DE4" w:rsidRDefault="00475DE4" w:rsidP="003866B8">
      <w:pPr>
        <w:tabs>
          <w:tab w:val="left" w:pos="720"/>
        </w:tabs>
        <w:autoSpaceDE w:val="0"/>
        <w:autoSpaceDN w:val="0"/>
        <w:adjustRightInd w:val="0"/>
        <w:rPr>
          <w:rFonts w:ascii="Times New Roman" w:hAnsi="Times New Roman"/>
          <w:szCs w:val="24"/>
        </w:rPr>
      </w:pPr>
      <w:r>
        <w:rPr>
          <w:rFonts w:ascii="Times New Roman" w:hAnsi="Times New Roman"/>
          <w:szCs w:val="24"/>
        </w:rPr>
        <w:tab/>
      </w:r>
      <w:r w:rsidRPr="00475DE4">
        <w:rPr>
          <w:rFonts w:ascii="Times New Roman" w:eastAsiaTheme="minorHAnsi" w:hAnsi="Times New Roman" w:cstheme="minorBidi"/>
          <w:szCs w:val="24"/>
        </w:rPr>
        <w:t>The CFTC estimates that approximately 3,071 entities may maintain covered accounts, and that they would be required to periodically review their accounts to determine if they comply with these rules, for a total of 6,142 hours for these entities.</w:t>
      </w:r>
      <w:r w:rsidRPr="00475DE4">
        <w:rPr>
          <w:rFonts w:ascii="Times New Roman" w:eastAsiaTheme="minorHAnsi" w:hAnsi="Times New Roman"/>
          <w:szCs w:val="24"/>
          <w:vertAlign w:val="superscript"/>
        </w:rPr>
        <w:footnoteReference w:id="7"/>
      </w:r>
      <w:r w:rsidRPr="00475DE4">
        <w:rPr>
          <w:rFonts w:ascii="Times New Roman" w:eastAsiaTheme="minorHAnsi" w:hAnsi="Times New Roman" w:cstheme="minorBidi"/>
          <w:szCs w:val="24"/>
        </w:rPr>
        <w:t xml:space="preserve">  Of these 3,071 entities, the CFTC estimates that approximately 385 </w:t>
      </w:r>
      <w:r w:rsidR="00F677E2">
        <w:rPr>
          <w:rFonts w:ascii="Times New Roman" w:eastAsiaTheme="minorHAnsi" w:hAnsi="Times New Roman" w:cstheme="minorBidi"/>
          <w:szCs w:val="24"/>
        </w:rPr>
        <w:t xml:space="preserve">would </w:t>
      </w:r>
      <w:r w:rsidRPr="00475DE4">
        <w:rPr>
          <w:rFonts w:ascii="Times New Roman" w:eastAsiaTheme="minorHAnsi" w:hAnsi="Times New Roman" w:cstheme="minorBidi"/>
          <w:szCs w:val="24"/>
        </w:rPr>
        <w:t>maintain covered accounts, and thus would need to incur the additional burdens related to complying with the rule, for a total of 2,310 hours.</w:t>
      </w:r>
      <w:r w:rsidRPr="00475DE4">
        <w:rPr>
          <w:rFonts w:ascii="Times New Roman" w:eastAsiaTheme="minorHAnsi" w:hAnsi="Times New Roman"/>
          <w:szCs w:val="24"/>
          <w:vertAlign w:val="superscript"/>
        </w:rPr>
        <w:footnoteReference w:id="8"/>
      </w:r>
      <w:r w:rsidRPr="00475DE4">
        <w:rPr>
          <w:rFonts w:ascii="Times New Roman" w:eastAsiaTheme="minorHAnsi" w:hAnsi="Times New Roman" w:cstheme="minorBidi"/>
          <w:szCs w:val="24"/>
        </w:rPr>
        <w:t xml:space="preserve">  The total ongoing burden for all CFTC registrants is 8,452 hours.</w:t>
      </w:r>
      <w:r w:rsidRPr="00475DE4">
        <w:rPr>
          <w:rFonts w:ascii="Times New Roman" w:eastAsiaTheme="minorHAnsi" w:hAnsi="Times New Roman"/>
          <w:szCs w:val="24"/>
          <w:vertAlign w:val="superscript"/>
        </w:rPr>
        <w:footnoteReference w:id="9"/>
      </w:r>
    </w:p>
    <w:p w:rsidR="002F358D" w:rsidRDefault="002F358D" w:rsidP="003866B8">
      <w:pPr>
        <w:tabs>
          <w:tab w:val="left" w:pos="720"/>
        </w:tabs>
        <w:autoSpaceDE w:val="0"/>
        <w:autoSpaceDN w:val="0"/>
        <w:adjustRightInd w:val="0"/>
        <w:rPr>
          <w:rFonts w:ascii="Times New Roman" w:hAnsi="Times New Roman"/>
          <w:szCs w:val="24"/>
        </w:rPr>
      </w:pPr>
    </w:p>
    <w:p w:rsidR="002F358D" w:rsidRDefault="002F358D" w:rsidP="003866B8">
      <w:pPr>
        <w:tabs>
          <w:tab w:val="left" w:pos="720"/>
        </w:tabs>
        <w:autoSpaceDE w:val="0"/>
        <w:autoSpaceDN w:val="0"/>
        <w:adjustRightInd w:val="0"/>
        <w:rPr>
          <w:rFonts w:ascii="Times New Roman" w:hAnsi="Times New Roman"/>
          <w:szCs w:val="24"/>
        </w:rPr>
      </w:pPr>
      <w:r w:rsidRPr="00C3633A">
        <w:rPr>
          <w:rFonts w:ascii="Times New Roman" w:hAnsi="Times New Roman"/>
          <w:i/>
          <w:szCs w:val="24"/>
        </w:rPr>
        <w:t>Initial</w:t>
      </w:r>
      <w:r w:rsidR="003C0F60">
        <w:rPr>
          <w:rFonts w:ascii="Times New Roman" w:hAnsi="Times New Roman"/>
          <w:i/>
          <w:szCs w:val="24"/>
        </w:rPr>
        <w:t xml:space="preserve"> Recordkeeping</w:t>
      </w:r>
      <w:r w:rsidR="007E6C4F">
        <w:rPr>
          <w:rFonts w:ascii="Times New Roman" w:hAnsi="Times New Roman"/>
          <w:i/>
          <w:szCs w:val="24"/>
        </w:rPr>
        <w:t xml:space="preserve"> </w:t>
      </w:r>
      <w:r w:rsidRPr="00C3633A">
        <w:rPr>
          <w:rFonts w:ascii="Times New Roman" w:hAnsi="Times New Roman"/>
          <w:i/>
          <w:szCs w:val="24"/>
        </w:rPr>
        <w:t>Burden</w:t>
      </w:r>
      <w:r>
        <w:rPr>
          <w:rFonts w:ascii="Times New Roman" w:hAnsi="Times New Roman"/>
          <w:szCs w:val="24"/>
        </w:rPr>
        <w:t>:</w:t>
      </w:r>
    </w:p>
    <w:p w:rsidR="002F358D" w:rsidRDefault="002F358D" w:rsidP="003866B8">
      <w:pPr>
        <w:tabs>
          <w:tab w:val="left" w:pos="720"/>
        </w:tabs>
        <w:autoSpaceDE w:val="0"/>
        <w:autoSpaceDN w:val="0"/>
        <w:adjustRightInd w:val="0"/>
        <w:rPr>
          <w:rFonts w:ascii="Times New Roman" w:hAnsi="Times New Roman"/>
          <w:szCs w:val="24"/>
        </w:rPr>
      </w:pPr>
    </w:p>
    <w:p w:rsidR="00622D9B" w:rsidRDefault="00622D9B" w:rsidP="002F358D">
      <w:pPr>
        <w:tabs>
          <w:tab w:val="left" w:pos="720"/>
        </w:tabs>
        <w:autoSpaceDE w:val="0"/>
        <w:autoSpaceDN w:val="0"/>
        <w:adjustRightInd w:val="0"/>
        <w:rPr>
          <w:rFonts w:ascii="Times New Roman" w:hAnsi="Times New Roman"/>
          <w:szCs w:val="24"/>
        </w:rPr>
      </w:pPr>
      <w:r>
        <w:rPr>
          <w:rFonts w:ascii="Times New Roman" w:hAnsi="Times New Roman"/>
          <w:szCs w:val="24"/>
        </w:rPr>
        <w:t>Initial assessment:</w:t>
      </w:r>
    </w:p>
    <w:p w:rsidR="00B861C7" w:rsidRDefault="00022018" w:rsidP="002F358D">
      <w:pPr>
        <w:tabs>
          <w:tab w:val="left" w:pos="720"/>
        </w:tabs>
        <w:autoSpaceDE w:val="0"/>
        <w:autoSpaceDN w:val="0"/>
        <w:adjustRightInd w:val="0"/>
        <w:rPr>
          <w:rFonts w:ascii="Times New Roman" w:hAnsi="Times New Roman"/>
          <w:szCs w:val="24"/>
        </w:rPr>
      </w:pPr>
      <w:r>
        <w:rPr>
          <w:rFonts w:ascii="Times New Roman" w:hAnsi="Times New Roman"/>
          <w:szCs w:val="24"/>
        </w:rPr>
        <w:t>Total n</w:t>
      </w:r>
      <w:r w:rsidR="002F358D">
        <w:rPr>
          <w:rFonts w:ascii="Times New Roman" w:hAnsi="Times New Roman"/>
          <w:szCs w:val="24"/>
        </w:rPr>
        <w:t>umber of e</w:t>
      </w:r>
      <w:r>
        <w:rPr>
          <w:rFonts w:ascii="Times New Roman" w:hAnsi="Times New Roman"/>
          <w:szCs w:val="24"/>
        </w:rPr>
        <w:t>n</w:t>
      </w:r>
      <w:r w:rsidR="002F358D">
        <w:rPr>
          <w:rFonts w:ascii="Times New Roman" w:hAnsi="Times New Roman"/>
          <w:szCs w:val="24"/>
        </w:rPr>
        <w:t>t</w:t>
      </w:r>
      <w:r>
        <w:rPr>
          <w:rFonts w:ascii="Times New Roman" w:hAnsi="Times New Roman"/>
          <w:szCs w:val="24"/>
        </w:rPr>
        <w:t>i</w:t>
      </w:r>
      <w:r w:rsidR="002F358D">
        <w:rPr>
          <w:rFonts w:ascii="Times New Roman" w:hAnsi="Times New Roman"/>
          <w:szCs w:val="24"/>
        </w:rPr>
        <w:t>t</w:t>
      </w:r>
      <w:r>
        <w:rPr>
          <w:rFonts w:ascii="Times New Roman" w:hAnsi="Times New Roman"/>
          <w:szCs w:val="24"/>
        </w:rPr>
        <w:t>ie</w:t>
      </w:r>
      <w:r w:rsidR="002F358D">
        <w:rPr>
          <w:rFonts w:ascii="Times New Roman" w:hAnsi="Times New Roman"/>
          <w:szCs w:val="24"/>
        </w:rPr>
        <w:t xml:space="preserve">s: </w:t>
      </w:r>
      <w:r>
        <w:rPr>
          <w:rFonts w:ascii="Times New Roman" w:hAnsi="Times New Roman"/>
          <w:szCs w:val="24"/>
        </w:rPr>
        <w:t>827</w:t>
      </w:r>
    </w:p>
    <w:p w:rsidR="00022018" w:rsidRDefault="00022018" w:rsidP="002F358D">
      <w:pPr>
        <w:tabs>
          <w:tab w:val="left" w:pos="720"/>
        </w:tabs>
        <w:autoSpaceDE w:val="0"/>
        <w:autoSpaceDN w:val="0"/>
        <w:adjustRightInd w:val="0"/>
        <w:rPr>
          <w:rFonts w:ascii="Times New Roman" w:hAnsi="Times New Roman"/>
          <w:szCs w:val="24"/>
        </w:rPr>
      </w:pPr>
      <w:r>
        <w:rPr>
          <w:rFonts w:ascii="Times New Roman" w:hAnsi="Times New Roman"/>
          <w:szCs w:val="24"/>
        </w:rPr>
        <w:t>Average number of annual responses by each entity: 1</w:t>
      </w:r>
    </w:p>
    <w:p w:rsidR="00022018" w:rsidRDefault="00022018" w:rsidP="002F358D">
      <w:pPr>
        <w:tabs>
          <w:tab w:val="left" w:pos="720"/>
        </w:tabs>
        <w:autoSpaceDE w:val="0"/>
        <w:autoSpaceDN w:val="0"/>
        <w:adjustRightInd w:val="0"/>
        <w:rPr>
          <w:rFonts w:ascii="Times New Roman" w:hAnsi="Times New Roman"/>
          <w:szCs w:val="24"/>
        </w:rPr>
      </w:pPr>
      <w:r>
        <w:rPr>
          <w:rFonts w:ascii="Times New Roman" w:hAnsi="Times New Roman"/>
          <w:szCs w:val="24"/>
        </w:rPr>
        <w:t>Estimated average hours per response: 2</w:t>
      </w:r>
    </w:p>
    <w:p w:rsidR="00022018" w:rsidRDefault="00022018" w:rsidP="002F358D">
      <w:pPr>
        <w:tabs>
          <w:tab w:val="left" w:pos="720"/>
        </w:tabs>
        <w:autoSpaceDE w:val="0"/>
        <w:autoSpaceDN w:val="0"/>
        <w:adjustRightInd w:val="0"/>
        <w:rPr>
          <w:rFonts w:ascii="Times New Roman" w:hAnsi="Times New Roman"/>
          <w:szCs w:val="24"/>
        </w:rPr>
      </w:pPr>
      <w:r>
        <w:rPr>
          <w:rFonts w:ascii="Times New Roman" w:hAnsi="Times New Roman"/>
          <w:szCs w:val="24"/>
        </w:rPr>
        <w:t>Frequency of collection: Annually</w:t>
      </w:r>
    </w:p>
    <w:p w:rsidR="00022018" w:rsidRDefault="009B0A56" w:rsidP="002F358D">
      <w:pPr>
        <w:tabs>
          <w:tab w:val="left" w:pos="720"/>
        </w:tabs>
        <w:autoSpaceDE w:val="0"/>
        <w:autoSpaceDN w:val="0"/>
        <w:adjustRightInd w:val="0"/>
        <w:rPr>
          <w:rFonts w:ascii="Times New Roman" w:hAnsi="Times New Roman"/>
          <w:szCs w:val="24"/>
        </w:rPr>
      </w:pPr>
      <w:r>
        <w:rPr>
          <w:rFonts w:ascii="Times New Roman" w:hAnsi="Times New Roman"/>
          <w:szCs w:val="24"/>
        </w:rPr>
        <w:t>Total</w:t>
      </w:r>
      <w:r w:rsidR="00022018">
        <w:rPr>
          <w:rFonts w:ascii="Times New Roman" w:hAnsi="Times New Roman"/>
          <w:szCs w:val="24"/>
        </w:rPr>
        <w:t xml:space="preserve"> annual burden: 827 entities x 1 response x 2 hours = 1,654 burden hours</w:t>
      </w:r>
    </w:p>
    <w:p w:rsidR="00022018" w:rsidRDefault="00022018" w:rsidP="00022018">
      <w:pPr>
        <w:tabs>
          <w:tab w:val="left" w:pos="720"/>
        </w:tabs>
        <w:autoSpaceDE w:val="0"/>
        <w:autoSpaceDN w:val="0"/>
        <w:adjustRightInd w:val="0"/>
        <w:rPr>
          <w:rFonts w:ascii="Times New Roman" w:hAnsi="Times New Roman"/>
          <w:szCs w:val="24"/>
        </w:rPr>
      </w:pPr>
    </w:p>
    <w:p w:rsidR="00622D9B" w:rsidRDefault="00622D9B" w:rsidP="00022018">
      <w:pPr>
        <w:tabs>
          <w:tab w:val="left" w:pos="720"/>
        </w:tabs>
        <w:autoSpaceDE w:val="0"/>
        <w:autoSpaceDN w:val="0"/>
        <w:adjustRightInd w:val="0"/>
        <w:rPr>
          <w:rFonts w:ascii="Times New Roman" w:hAnsi="Times New Roman"/>
          <w:szCs w:val="24"/>
        </w:rPr>
      </w:pPr>
      <w:r>
        <w:rPr>
          <w:rFonts w:ascii="Times New Roman" w:hAnsi="Times New Roman"/>
          <w:szCs w:val="24"/>
        </w:rPr>
        <w:t>Estimate for covered accounts:</w:t>
      </w:r>
    </w:p>
    <w:p w:rsidR="00022018" w:rsidRDefault="009B0A56" w:rsidP="00022018">
      <w:pPr>
        <w:tabs>
          <w:tab w:val="left" w:pos="720"/>
        </w:tabs>
        <w:autoSpaceDE w:val="0"/>
        <w:autoSpaceDN w:val="0"/>
        <w:adjustRightInd w:val="0"/>
        <w:rPr>
          <w:rFonts w:ascii="Times New Roman" w:hAnsi="Times New Roman"/>
          <w:szCs w:val="24"/>
        </w:rPr>
      </w:pPr>
      <w:r>
        <w:rPr>
          <w:rFonts w:ascii="Times New Roman" w:hAnsi="Times New Roman"/>
          <w:szCs w:val="24"/>
        </w:rPr>
        <w:t>Total n</w:t>
      </w:r>
      <w:r w:rsidR="00022018">
        <w:rPr>
          <w:rFonts w:ascii="Times New Roman" w:hAnsi="Times New Roman"/>
          <w:szCs w:val="24"/>
        </w:rPr>
        <w:t>umber of entities with covered accounts: 179</w:t>
      </w:r>
    </w:p>
    <w:p w:rsidR="00022018" w:rsidRDefault="00022018" w:rsidP="00022018">
      <w:pPr>
        <w:tabs>
          <w:tab w:val="left" w:pos="720"/>
        </w:tabs>
        <w:autoSpaceDE w:val="0"/>
        <w:autoSpaceDN w:val="0"/>
        <w:adjustRightInd w:val="0"/>
        <w:rPr>
          <w:rFonts w:ascii="Times New Roman" w:hAnsi="Times New Roman"/>
          <w:szCs w:val="24"/>
        </w:rPr>
      </w:pPr>
      <w:r>
        <w:rPr>
          <w:rFonts w:ascii="Times New Roman" w:hAnsi="Times New Roman"/>
          <w:szCs w:val="24"/>
        </w:rPr>
        <w:t>Average number of annual responses by each entity: 1</w:t>
      </w:r>
    </w:p>
    <w:p w:rsidR="00022018" w:rsidRDefault="00022018" w:rsidP="00022018">
      <w:pPr>
        <w:tabs>
          <w:tab w:val="left" w:pos="720"/>
        </w:tabs>
        <w:autoSpaceDE w:val="0"/>
        <w:autoSpaceDN w:val="0"/>
        <w:adjustRightInd w:val="0"/>
        <w:rPr>
          <w:rFonts w:ascii="Times New Roman" w:hAnsi="Times New Roman"/>
          <w:szCs w:val="24"/>
        </w:rPr>
      </w:pPr>
      <w:r>
        <w:rPr>
          <w:rFonts w:ascii="Times New Roman" w:hAnsi="Times New Roman"/>
          <w:szCs w:val="24"/>
        </w:rPr>
        <w:t xml:space="preserve">Estimated average hours per response: </w:t>
      </w:r>
      <w:r w:rsidR="002C389F">
        <w:rPr>
          <w:rFonts w:ascii="Times New Roman" w:hAnsi="Times New Roman"/>
          <w:szCs w:val="24"/>
        </w:rPr>
        <w:t>29</w:t>
      </w:r>
      <w:r w:rsidR="00475DE4">
        <w:rPr>
          <w:rStyle w:val="FootnoteReference"/>
          <w:rFonts w:ascii="Times New Roman" w:hAnsi="Times New Roman"/>
          <w:szCs w:val="24"/>
        </w:rPr>
        <w:footnoteReference w:id="10"/>
      </w:r>
    </w:p>
    <w:p w:rsidR="00022018" w:rsidRDefault="00022018" w:rsidP="00022018">
      <w:pPr>
        <w:tabs>
          <w:tab w:val="left" w:pos="720"/>
        </w:tabs>
        <w:autoSpaceDE w:val="0"/>
        <w:autoSpaceDN w:val="0"/>
        <w:adjustRightInd w:val="0"/>
        <w:rPr>
          <w:rFonts w:ascii="Times New Roman" w:hAnsi="Times New Roman"/>
          <w:szCs w:val="24"/>
        </w:rPr>
      </w:pPr>
      <w:r>
        <w:rPr>
          <w:rFonts w:ascii="Times New Roman" w:hAnsi="Times New Roman"/>
          <w:szCs w:val="24"/>
        </w:rPr>
        <w:t>Frequency of collection: Annually</w:t>
      </w:r>
    </w:p>
    <w:p w:rsidR="00022018" w:rsidRDefault="00022018" w:rsidP="00022018">
      <w:pPr>
        <w:tabs>
          <w:tab w:val="left" w:pos="720"/>
        </w:tabs>
        <w:autoSpaceDE w:val="0"/>
        <w:autoSpaceDN w:val="0"/>
        <w:adjustRightInd w:val="0"/>
        <w:rPr>
          <w:rFonts w:ascii="Times New Roman" w:hAnsi="Times New Roman"/>
          <w:szCs w:val="24"/>
        </w:rPr>
      </w:pPr>
      <w:r>
        <w:rPr>
          <w:rFonts w:ascii="Times New Roman" w:hAnsi="Times New Roman"/>
          <w:szCs w:val="24"/>
        </w:rPr>
        <w:t>Annual burden</w:t>
      </w:r>
      <w:r w:rsidR="009B0A56" w:rsidRPr="009B0A56">
        <w:rPr>
          <w:rFonts w:ascii="Times New Roman" w:hAnsi="Times New Roman"/>
          <w:szCs w:val="24"/>
        </w:rPr>
        <w:t xml:space="preserve"> </w:t>
      </w:r>
      <w:r w:rsidR="009B0A56">
        <w:rPr>
          <w:rFonts w:ascii="Times New Roman" w:hAnsi="Times New Roman"/>
          <w:szCs w:val="24"/>
        </w:rPr>
        <w:t>of entities with covered accounts</w:t>
      </w:r>
      <w:r>
        <w:rPr>
          <w:rFonts w:ascii="Times New Roman" w:hAnsi="Times New Roman"/>
          <w:szCs w:val="24"/>
        </w:rPr>
        <w:t xml:space="preserve">: </w:t>
      </w:r>
      <w:r w:rsidR="009B0A56">
        <w:rPr>
          <w:rFonts w:ascii="Times New Roman" w:hAnsi="Times New Roman"/>
          <w:szCs w:val="24"/>
        </w:rPr>
        <w:t>179</w:t>
      </w:r>
      <w:r>
        <w:rPr>
          <w:rFonts w:ascii="Times New Roman" w:hAnsi="Times New Roman"/>
          <w:szCs w:val="24"/>
        </w:rPr>
        <w:t xml:space="preserve"> entities x 1 response x </w:t>
      </w:r>
      <w:r w:rsidR="002C389F">
        <w:rPr>
          <w:rFonts w:ascii="Times New Roman" w:hAnsi="Times New Roman"/>
          <w:szCs w:val="24"/>
        </w:rPr>
        <w:t>29</w:t>
      </w:r>
      <w:r>
        <w:rPr>
          <w:rFonts w:ascii="Times New Roman" w:hAnsi="Times New Roman"/>
          <w:szCs w:val="24"/>
        </w:rPr>
        <w:t xml:space="preserve"> hours = </w:t>
      </w:r>
      <w:r w:rsidR="009B0A56">
        <w:rPr>
          <w:rFonts w:ascii="Times New Roman" w:hAnsi="Times New Roman"/>
          <w:szCs w:val="24"/>
        </w:rPr>
        <w:t>5</w:t>
      </w:r>
      <w:r>
        <w:rPr>
          <w:rFonts w:ascii="Times New Roman" w:hAnsi="Times New Roman"/>
          <w:szCs w:val="24"/>
        </w:rPr>
        <w:t>,</w:t>
      </w:r>
      <w:r w:rsidR="002C389F">
        <w:rPr>
          <w:rFonts w:ascii="Times New Roman" w:hAnsi="Times New Roman"/>
          <w:szCs w:val="24"/>
        </w:rPr>
        <w:t>191</w:t>
      </w:r>
      <w:r>
        <w:rPr>
          <w:rFonts w:ascii="Times New Roman" w:hAnsi="Times New Roman"/>
          <w:szCs w:val="24"/>
        </w:rPr>
        <w:t xml:space="preserve"> </w:t>
      </w:r>
      <w:r w:rsidR="009B0A56">
        <w:rPr>
          <w:rFonts w:ascii="Times New Roman" w:hAnsi="Times New Roman"/>
          <w:szCs w:val="24"/>
        </w:rPr>
        <w:tab/>
      </w:r>
      <w:r>
        <w:rPr>
          <w:rFonts w:ascii="Times New Roman" w:hAnsi="Times New Roman"/>
          <w:szCs w:val="24"/>
        </w:rPr>
        <w:t>burden hours</w:t>
      </w:r>
    </w:p>
    <w:p w:rsidR="009B0A56" w:rsidRDefault="009B0A56" w:rsidP="00022018">
      <w:pPr>
        <w:tabs>
          <w:tab w:val="left" w:pos="720"/>
        </w:tabs>
        <w:autoSpaceDE w:val="0"/>
        <w:autoSpaceDN w:val="0"/>
        <w:adjustRightInd w:val="0"/>
        <w:rPr>
          <w:rFonts w:ascii="Times New Roman" w:hAnsi="Times New Roman"/>
          <w:szCs w:val="24"/>
        </w:rPr>
      </w:pPr>
      <w:r>
        <w:rPr>
          <w:rFonts w:ascii="Times New Roman" w:hAnsi="Times New Roman"/>
          <w:szCs w:val="24"/>
        </w:rPr>
        <w:t>Total annual burden for newly re</w:t>
      </w:r>
      <w:r w:rsidR="00C67270">
        <w:rPr>
          <w:rFonts w:ascii="Times New Roman" w:hAnsi="Times New Roman"/>
          <w:szCs w:val="24"/>
        </w:rPr>
        <w:t xml:space="preserve">gistered entities: </w:t>
      </w:r>
      <w:r w:rsidR="002C389F">
        <w:rPr>
          <w:rFonts w:ascii="Times New Roman" w:hAnsi="Times New Roman"/>
          <w:szCs w:val="24"/>
        </w:rPr>
        <w:t>6,845</w:t>
      </w:r>
      <w:r w:rsidR="00C3633A">
        <w:rPr>
          <w:rFonts w:ascii="Times New Roman" w:hAnsi="Times New Roman"/>
          <w:szCs w:val="24"/>
        </w:rPr>
        <w:t>.</w:t>
      </w:r>
    </w:p>
    <w:p w:rsidR="00C3633A" w:rsidRDefault="00C3633A" w:rsidP="00022018">
      <w:pPr>
        <w:tabs>
          <w:tab w:val="left" w:pos="720"/>
        </w:tabs>
        <w:autoSpaceDE w:val="0"/>
        <w:autoSpaceDN w:val="0"/>
        <w:adjustRightInd w:val="0"/>
        <w:rPr>
          <w:rFonts w:ascii="Times New Roman" w:hAnsi="Times New Roman"/>
          <w:szCs w:val="24"/>
        </w:rPr>
      </w:pPr>
    </w:p>
    <w:p w:rsidR="00C3633A" w:rsidRDefault="00C3633A" w:rsidP="00022018">
      <w:pPr>
        <w:tabs>
          <w:tab w:val="left" w:pos="720"/>
        </w:tabs>
        <w:autoSpaceDE w:val="0"/>
        <w:autoSpaceDN w:val="0"/>
        <w:adjustRightInd w:val="0"/>
        <w:rPr>
          <w:rFonts w:ascii="Times New Roman" w:hAnsi="Times New Roman"/>
          <w:szCs w:val="24"/>
        </w:rPr>
      </w:pPr>
      <w:r w:rsidRPr="00C3633A">
        <w:rPr>
          <w:rFonts w:ascii="Times New Roman" w:hAnsi="Times New Roman"/>
          <w:i/>
          <w:szCs w:val="24"/>
        </w:rPr>
        <w:t>Ongoing</w:t>
      </w:r>
      <w:r w:rsidR="003C0F60">
        <w:rPr>
          <w:rFonts w:ascii="Times New Roman" w:hAnsi="Times New Roman"/>
          <w:i/>
          <w:szCs w:val="24"/>
        </w:rPr>
        <w:t xml:space="preserve"> Recordkeeping</w:t>
      </w:r>
      <w:r w:rsidRPr="00C3633A">
        <w:rPr>
          <w:rFonts w:ascii="Times New Roman" w:hAnsi="Times New Roman"/>
          <w:i/>
          <w:szCs w:val="24"/>
        </w:rPr>
        <w:t xml:space="preserve"> Burden</w:t>
      </w:r>
      <w:r>
        <w:rPr>
          <w:rFonts w:ascii="Times New Roman" w:hAnsi="Times New Roman"/>
          <w:szCs w:val="24"/>
        </w:rPr>
        <w:t>:</w:t>
      </w:r>
    </w:p>
    <w:p w:rsidR="00C3633A" w:rsidRDefault="00C3633A" w:rsidP="00022018">
      <w:pPr>
        <w:tabs>
          <w:tab w:val="left" w:pos="720"/>
        </w:tabs>
        <w:autoSpaceDE w:val="0"/>
        <w:autoSpaceDN w:val="0"/>
        <w:adjustRightInd w:val="0"/>
        <w:rPr>
          <w:rFonts w:ascii="Times New Roman" w:hAnsi="Times New Roman"/>
          <w:szCs w:val="24"/>
        </w:rPr>
      </w:pPr>
    </w:p>
    <w:p w:rsidR="007E6C4F" w:rsidRDefault="007E6C4F" w:rsidP="00022018">
      <w:pPr>
        <w:tabs>
          <w:tab w:val="left" w:pos="720"/>
        </w:tabs>
        <w:autoSpaceDE w:val="0"/>
        <w:autoSpaceDN w:val="0"/>
        <w:adjustRightInd w:val="0"/>
        <w:rPr>
          <w:rFonts w:ascii="Times New Roman" w:hAnsi="Times New Roman"/>
          <w:szCs w:val="24"/>
        </w:rPr>
      </w:pPr>
      <w:r>
        <w:rPr>
          <w:rFonts w:ascii="Times New Roman" w:hAnsi="Times New Roman"/>
          <w:szCs w:val="24"/>
        </w:rPr>
        <w:t xml:space="preserve">Total number of entities: </w:t>
      </w:r>
      <w:r w:rsidR="002C389F">
        <w:rPr>
          <w:rFonts w:ascii="Times New Roman" w:hAnsi="Times New Roman"/>
          <w:szCs w:val="24"/>
        </w:rPr>
        <w:t>3,071</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Average number of annual responses by each entity: 1</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Estimated average hours per response: 2</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 xml:space="preserve">Frequency of collection: </w:t>
      </w:r>
      <w:r w:rsidR="003C0F60">
        <w:rPr>
          <w:rFonts w:ascii="Times New Roman" w:hAnsi="Times New Roman"/>
          <w:szCs w:val="24"/>
        </w:rPr>
        <w:t>Periodically</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 xml:space="preserve">Total annual burden: </w:t>
      </w:r>
      <w:r w:rsidR="002C389F">
        <w:rPr>
          <w:rFonts w:ascii="Times New Roman" w:hAnsi="Times New Roman"/>
          <w:szCs w:val="24"/>
        </w:rPr>
        <w:t>3,071</w:t>
      </w:r>
      <w:r>
        <w:rPr>
          <w:rFonts w:ascii="Times New Roman" w:hAnsi="Times New Roman"/>
          <w:szCs w:val="24"/>
        </w:rPr>
        <w:t xml:space="preserve"> entities x 1 response x 2 hours = </w:t>
      </w:r>
      <w:r w:rsidR="002C389F">
        <w:rPr>
          <w:rFonts w:ascii="Times New Roman" w:hAnsi="Times New Roman"/>
          <w:szCs w:val="24"/>
        </w:rPr>
        <w:t>6,142</w:t>
      </w:r>
      <w:r>
        <w:rPr>
          <w:rFonts w:ascii="Times New Roman" w:hAnsi="Times New Roman"/>
          <w:szCs w:val="24"/>
        </w:rPr>
        <w:t xml:space="preserve"> burden hours</w:t>
      </w:r>
    </w:p>
    <w:p w:rsidR="00EB3C5F" w:rsidRDefault="00EB3C5F" w:rsidP="00EB3C5F">
      <w:pPr>
        <w:tabs>
          <w:tab w:val="left" w:pos="720"/>
        </w:tabs>
        <w:autoSpaceDE w:val="0"/>
        <w:autoSpaceDN w:val="0"/>
        <w:adjustRightInd w:val="0"/>
        <w:rPr>
          <w:rFonts w:ascii="Times New Roman" w:hAnsi="Times New Roman"/>
          <w:szCs w:val="24"/>
        </w:rPr>
      </w:pP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 xml:space="preserve">Total number of entities with covered accounts: </w:t>
      </w:r>
      <w:r w:rsidR="002C389F">
        <w:rPr>
          <w:rFonts w:ascii="Times New Roman" w:hAnsi="Times New Roman"/>
          <w:szCs w:val="24"/>
        </w:rPr>
        <w:t>385</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Average number of annual responses by each entity: 1</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Estimated average hours per response: 6</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 xml:space="preserve">Frequency of collection: </w:t>
      </w:r>
      <w:r w:rsidR="003C0F60">
        <w:rPr>
          <w:rFonts w:ascii="Times New Roman" w:hAnsi="Times New Roman"/>
          <w:szCs w:val="24"/>
        </w:rPr>
        <w:t>Periodically</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Annual burden</w:t>
      </w:r>
      <w:r w:rsidRPr="009B0A56">
        <w:rPr>
          <w:rFonts w:ascii="Times New Roman" w:hAnsi="Times New Roman"/>
          <w:szCs w:val="24"/>
        </w:rPr>
        <w:t xml:space="preserve"> </w:t>
      </w:r>
      <w:r>
        <w:rPr>
          <w:rFonts w:ascii="Times New Roman" w:hAnsi="Times New Roman"/>
          <w:szCs w:val="24"/>
        </w:rPr>
        <w:t xml:space="preserve">of entities with covered accounts: </w:t>
      </w:r>
      <w:r w:rsidR="002C389F">
        <w:rPr>
          <w:rFonts w:ascii="Times New Roman" w:hAnsi="Times New Roman"/>
          <w:szCs w:val="24"/>
        </w:rPr>
        <w:t>385</w:t>
      </w:r>
      <w:r>
        <w:rPr>
          <w:rFonts w:ascii="Times New Roman" w:hAnsi="Times New Roman"/>
          <w:szCs w:val="24"/>
        </w:rPr>
        <w:t xml:space="preserve"> entities x 1 response x 6 hours = 2,</w:t>
      </w:r>
      <w:r w:rsidR="002C389F">
        <w:rPr>
          <w:rFonts w:ascii="Times New Roman" w:hAnsi="Times New Roman"/>
          <w:szCs w:val="24"/>
        </w:rPr>
        <w:t>310</w:t>
      </w:r>
      <w:r>
        <w:rPr>
          <w:rFonts w:ascii="Times New Roman" w:hAnsi="Times New Roman"/>
          <w:szCs w:val="24"/>
        </w:rPr>
        <w:tab/>
        <w:t>burden hours</w:t>
      </w:r>
    </w:p>
    <w:p w:rsidR="007E6C4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Total annual burden for newly registered entities:</w:t>
      </w:r>
      <w:r w:rsidR="00143AC7">
        <w:rPr>
          <w:rFonts w:ascii="Times New Roman" w:hAnsi="Times New Roman"/>
          <w:szCs w:val="24"/>
        </w:rPr>
        <w:t xml:space="preserve"> 6,</w:t>
      </w:r>
      <w:r w:rsidR="002C389F">
        <w:rPr>
          <w:rFonts w:ascii="Times New Roman" w:hAnsi="Times New Roman"/>
          <w:szCs w:val="24"/>
        </w:rPr>
        <w:t>142</w:t>
      </w:r>
      <w:r w:rsidR="00143AC7">
        <w:rPr>
          <w:rFonts w:ascii="Times New Roman" w:hAnsi="Times New Roman"/>
          <w:szCs w:val="24"/>
        </w:rPr>
        <w:t xml:space="preserve"> hours + 2,3</w:t>
      </w:r>
      <w:r w:rsidR="002C389F">
        <w:rPr>
          <w:rFonts w:ascii="Times New Roman" w:hAnsi="Times New Roman"/>
          <w:szCs w:val="24"/>
        </w:rPr>
        <w:t>10</w:t>
      </w:r>
      <w:r w:rsidR="00143AC7">
        <w:rPr>
          <w:rFonts w:ascii="Times New Roman" w:hAnsi="Times New Roman"/>
          <w:szCs w:val="24"/>
        </w:rPr>
        <w:t xml:space="preserve"> hours = 8,</w:t>
      </w:r>
      <w:r w:rsidR="002C389F">
        <w:rPr>
          <w:rFonts w:ascii="Times New Roman" w:hAnsi="Times New Roman"/>
          <w:szCs w:val="24"/>
        </w:rPr>
        <w:t>452</w:t>
      </w:r>
    </w:p>
    <w:p w:rsidR="007E6C4F" w:rsidRDefault="007E6C4F" w:rsidP="00022018">
      <w:pPr>
        <w:tabs>
          <w:tab w:val="left" w:pos="720"/>
        </w:tabs>
        <w:autoSpaceDE w:val="0"/>
        <w:autoSpaceDN w:val="0"/>
        <w:adjustRightInd w:val="0"/>
        <w:rPr>
          <w:rFonts w:ascii="Times New Roman" w:hAnsi="Times New Roman"/>
          <w:szCs w:val="24"/>
        </w:rPr>
      </w:pPr>
    </w:p>
    <w:p w:rsidR="00C3633A" w:rsidRDefault="00C85E73" w:rsidP="00022018">
      <w:pPr>
        <w:tabs>
          <w:tab w:val="left" w:pos="720"/>
        </w:tabs>
        <w:autoSpaceDE w:val="0"/>
        <w:autoSpaceDN w:val="0"/>
        <w:adjustRightInd w:val="0"/>
        <w:rPr>
          <w:rFonts w:ascii="Times New Roman" w:hAnsi="Times New Roman"/>
          <w:szCs w:val="24"/>
        </w:rPr>
      </w:pPr>
      <w:r>
        <w:rPr>
          <w:rFonts w:ascii="Times New Roman" w:hAnsi="Times New Roman"/>
          <w:szCs w:val="24"/>
        </w:rPr>
        <w:t xml:space="preserve"> </w:t>
      </w:r>
    </w:p>
    <w:p w:rsidR="009B0A56" w:rsidRDefault="009B0A56" w:rsidP="00022018">
      <w:pPr>
        <w:tabs>
          <w:tab w:val="left" w:pos="720"/>
        </w:tabs>
        <w:autoSpaceDE w:val="0"/>
        <w:autoSpaceDN w:val="0"/>
        <w:adjustRightInd w:val="0"/>
        <w:rPr>
          <w:rFonts w:ascii="Times New Roman" w:hAnsi="Times New Roman"/>
          <w:szCs w:val="24"/>
        </w:rPr>
      </w:pPr>
    </w:p>
    <w:p w:rsidR="00022018" w:rsidRDefault="00022018" w:rsidP="00022018">
      <w:pPr>
        <w:tabs>
          <w:tab w:val="left" w:pos="720"/>
        </w:tabs>
        <w:autoSpaceDE w:val="0"/>
        <w:autoSpaceDN w:val="0"/>
        <w:adjustRightInd w:val="0"/>
        <w:rPr>
          <w:rFonts w:ascii="Times New Roman" w:hAnsi="Times New Roman"/>
          <w:szCs w:val="24"/>
        </w:rPr>
      </w:pPr>
    </w:p>
    <w:p w:rsidR="00022018" w:rsidRDefault="00022018" w:rsidP="002F358D">
      <w:pPr>
        <w:tabs>
          <w:tab w:val="left" w:pos="720"/>
        </w:tabs>
        <w:autoSpaceDE w:val="0"/>
        <w:autoSpaceDN w:val="0"/>
        <w:adjustRightInd w:val="0"/>
        <w:rPr>
          <w:rFonts w:ascii="Times New Roman" w:hAnsi="Times New Roman"/>
          <w:szCs w:val="24"/>
        </w:rPr>
      </w:pPr>
    </w:p>
    <w:p w:rsidR="00022018" w:rsidRDefault="00022018" w:rsidP="002F358D">
      <w:pPr>
        <w:tabs>
          <w:tab w:val="left" w:pos="720"/>
        </w:tabs>
        <w:autoSpaceDE w:val="0"/>
        <w:autoSpaceDN w:val="0"/>
        <w:adjustRightInd w:val="0"/>
        <w:rPr>
          <w:rFonts w:ascii="Times New Roman" w:hAnsi="Times New Roman"/>
        </w:rPr>
      </w:pPr>
    </w:p>
    <w:p w:rsidR="002F358D" w:rsidRDefault="002F358D" w:rsidP="00B861C7">
      <w:pPr>
        <w:tabs>
          <w:tab w:val="left" w:pos="-720"/>
        </w:tabs>
        <w:suppressAutoHyphens/>
        <w:rPr>
          <w:rFonts w:ascii="Times New Roman" w:hAnsi="Times New Roman"/>
        </w:rPr>
      </w:pPr>
    </w:p>
    <w:p w:rsidR="003866B8" w:rsidRDefault="003866B8"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recordkeepers resulting </w:t>
      </w:r>
      <w:r w:rsidR="00C67270">
        <w:rPr>
          <w:rFonts w:ascii="Times New Roman" w:hAnsi="Times New Roman"/>
          <w:u w:val="single"/>
        </w:rPr>
        <w:t>from</w:t>
      </w:r>
      <w:r>
        <w:rPr>
          <w:rFonts w:ascii="Times New Roman" w:hAnsi="Times New Roman"/>
          <w:u w:val="single"/>
        </w:rPr>
        <w:t xml:space="preserve"> the collection of information.  (Do not include the cost of any hour burden shown in Items 12 and 14)</w:t>
      </w:r>
      <w:r>
        <w:rPr>
          <w:rFonts w:ascii="Times New Roman" w:hAnsi="Times New Roman"/>
        </w:rPr>
        <w:t>.</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861C7" w:rsidRDefault="00B861C7" w:rsidP="00B861C7">
      <w:pPr>
        <w:tabs>
          <w:tab w:val="left" w:pos="-720"/>
        </w:tabs>
        <w:suppressAutoHyphens/>
        <w:rPr>
          <w:rFonts w:ascii="Times New Roman" w:hAnsi="Times New Roman"/>
        </w:rPr>
      </w:pPr>
    </w:p>
    <w:p w:rsidR="00924B5D" w:rsidRPr="008058CC" w:rsidRDefault="00924B5D" w:rsidP="00924B5D">
      <w:pPr>
        <w:tabs>
          <w:tab w:val="left" w:pos="720"/>
        </w:tabs>
        <w:autoSpaceDE w:val="0"/>
        <w:autoSpaceDN w:val="0"/>
        <w:adjustRightInd w:val="0"/>
        <w:ind w:firstLine="720"/>
        <w:rPr>
          <w:rFonts w:ascii="Times New Roman" w:hAnsi="Times New Roman"/>
          <w:szCs w:val="24"/>
        </w:rPr>
      </w:pPr>
      <w:r>
        <w:rPr>
          <w:rFonts w:ascii="Times New Roman" w:hAnsi="Times New Roman"/>
        </w:rPr>
        <w:t>The information collection required by the regulations would not involve any capital or start-up capital, operations or maintenance costs as the Commission anticipates that the</w:t>
      </w:r>
      <w:r>
        <w:rPr>
          <w:rFonts w:ascii="Times New Roman" w:hAnsi="Times New Roman"/>
          <w:szCs w:val="24"/>
        </w:rPr>
        <w:t xml:space="preserve"> </w:t>
      </w:r>
      <w:r w:rsidRPr="008058CC">
        <w:rPr>
          <w:rFonts w:ascii="Times New Roman" w:hAnsi="Times New Roman"/>
          <w:szCs w:val="24"/>
        </w:rPr>
        <w:t>CFTC-regulated entities already comply with the identity theft red flags rules and guidelines jointly adopted by the FTC with the Agencies, as of December 31, 2010.  Consequently, these entities may already have in place many of the customary protections addressing identi</w:t>
      </w:r>
      <w:r w:rsidR="00012AD3">
        <w:rPr>
          <w:rFonts w:ascii="Times New Roman" w:hAnsi="Times New Roman"/>
          <w:szCs w:val="24"/>
        </w:rPr>
        <w:t>ty theft and changes of address required</w:t>
      </w:r>
      <w:r w:rsidRPr="008058CC">
        <w:rPr>
          <w:rFonts w:ascii="Times New Roman" w:hAnsi="Times New Roman"/>
          <w:szCs w:val="24"/>
        </w:rPr>
        <w:t xml:space="preserve"> by these regulations.</w:t>
      </w:r>
    </w:p>
    <w:p w:rsidR="003C0F60" w:rsidRDefault="003C0F60" w:rsidP="00B861C7">
      <w:pPr>
        <w:tabs>
          <w:tab w:val="left" w:pos="-720"/>
        </w:tabs>
        <w:suppressAutoHyphens/>
        <w:rPr>
          <w:rFonts w:ascii="Times New Roman" w:hAnsi="Times New Roman"/>
        </w:rPr>
      </w:pPr>
    </w:p>
    <w:p w:rsidR="00B861C7" w:rsidRDefault="00B861C7" w:rsidP="00B861C7">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B861C7" w:rsidRDefault="00B861C7" w:rsidP="00B861C7">
      <w:pPr>
        <w:tabs>
          <w:tab w:val="left" w:pos="-720"/>
        </w:tabs>
        <w:suppressAutoHyphens/>
        <w:rPr>
          <w:rFonts w:ascii="Times New Roman" w:hAnsi="Times New Roman"/>
        </w:rPr>
      </w:pPr>
    </w:p>
    <w:p w:rsidR="00924B5D" w:rsidRDefault="00AE0DEE" w:rsidP="00924B5D">
      <w:pPr>
        <w:tabs>
          <w:tab w:val="left" w:pos="-720"/>
        </w:tabs>
        <w:spacing w:after="240"/>
        <w:jc w:val="both"/>
        <w:rPr>
          <w:rFonts w:ascii="Times New Roman" w:hAnsi="Times New Roman"/>
        </w:rPr>
      </w:pPr>
      <w:r>
        <w:rPr>
          <w:rFonts w:ascii="Times New Roman" w:hAnsi="Times New Roman"/>
        </w:rPr>
        <w:tab/>
      </w:r>
      <w:r w:rsidR="00924B5D">
        <w:rPr>
          <w:rFonts w:ascii="Times New Roman" w:hAnsi="Times New Roman"/>
        </w:rPr>
        <w:t>The regulation does not impose any regular reporting requirements</w:t>
      </w:r>
      <w:r w:rsidR="00475DE4">
        <w:rPr>
          <w:rFonts w:ascii="Times New Roman" w:hAnsi="Times New Roman"/>
        </w:rPr>
        <w:t>; only periodic reports are required</w:t>
      </w:r>
      <w:r w:rsidR="00924B5D">
        <w:rPr>
          <w:rFonts w:ascii="Times New Roman" w:hAnsi="Times New Roman"/>
        </w:rPr>
        <w:t>.  Accordingly, it does not anticipate that the requirements would impose any additional costs to the Federal Government.</w:t>
      </w:r>
    </w:p>
    <w:p w:rsidR="00924B5D" w:rsidRDefault="00924B5D"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B861C7" w:rsidRDefault="00B861C7" w:rsidP="00B861C7">
      <w:pPr>
        <w:tabs>
          <w:tab w:val="left" w:pos="-720"/>
        </w:tabs>
        <w:suppressAutoHyphens/>
        <w:rPr>
          <w:rFonts w:ascii="Times New Roman" w:hAnsi="Times New Roman"/>
        </w:rPr>
      </w:pPr>
    </w:p>
    <w:p w:rsidR="00924B5D" w:rsidRDefault="00AE0DEE" w:rsidP="00924B5D">
      <w:pPr>
        <w:tabs>
          <w:tab w:val="left" w:pos="-720"/>
        </w:tabs>
        <w:spacing w:after="240"/>
        <w:jc w:val="both"/>
        <w:rPr>
          <w:rFonts w:ascii="Times New Roman" w:hAnsi="Times New Roman"/>
        </w:rPr>
      </w:pPr>
      <w:r>
        <w:rPr>
          <w:rFonts w:ascii="Times New Roman" w:hAnsi="Times New Roman"/>
        </w:rPr>
        <w:tab/>
      </w:r>
      <w:r w:rsidR="00924B5D">
        <w:rPr>
          <w:rFonts w:ascii="Times New Roman" w:hAnsi="Times New Roman"/>
        </w:rPr>
        <w:t xml:space="preserve">The program changes or adjustments are required by the Dodd-Frank Wall Street Reform and Consumer Protection Act, which established a new regulatory scheme.  </w:t>
      </w: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B861C7" w:rsidRDefault="00B861C7" w:rsidP="00B861C7">
      <w:pPr>
        <w:tabs>
          <w:tab w:val="left" w:pos="-720"/>
        </w:tabs>
        <w:suppressAutoHyphens/>
        <w:rPr>
          <w:rFonts w:ascii="Times New Roman" w:hAnsi="Times New Roman"/>
        </w:rPr>
      </w:pPr>
    </w:p>
    <w:p w:rsidR="00924B5D" w:rsidRDefault="00AE0DEE" w:rsidP="00924B5D">
      <w:pPr>
        <w:tabs>
          <w:tab w:val="left" w:pos="-720"/>
        </w:tabs>
        <w:spacing w:after="240"/>
        <w:jc w:val="both"/>
        <w:rPr>
          <w:rFonts w:ascii="Times New Roman" w:hAnsi="Times New Roman"/>
        </w:rPr>
      </w:pPr>
      <w:r>
        <w:rPr>
          <w:rFonts w:ascii="Times New Roman" w:hAnsi="Times New Roman"/>
        </w:rPr>
        <w:tab/>
      </w:r>
      <w:r w:rsidR="00924B5D">
        <w:rPr>
          <w:rFonts w:ascii="Times New Roman" w:hAnsi="Times New Roman"/>
        </w:rPr>
        <w:t>This question does not apply.</w:t>
      </w: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B861C7" w:rsidRDefault="00B861C7" w:rsidP="00B861C7">
      <w:pPr>
        <w:tabs>
          <w:tab w:val="left" w:pos="-720"/>
        </w:tabs>
        <w:suppressAutoHyphens/>
        <w:rPr>
          <w:rFonts w:ascii="Times New Roman" w:hAnsi="Times New Roman"/>
        </w:rPr>
      </w:pPr>
    </w:p>
    <w:p w:rsidR="00924B5D" w:rsidRDefault="00AE0DEE" w:rsidP="00924B5D">
      <w:pPr>
        <w:tabs>
          <w:tab w:val="left" w:pos="-720"/>
        </w:tabs>
        <w:spacing w:after="240"/>
        <w:jc w:val="both"/>
        <w:rPr>
          <w:rFonts w:ascii="Times New Roman" w:hAnsi="Times New Roman"/>
        </w:rPr>
      </w:pPr>
      <w:r>
        <w:rPr>
          <w:rFonts w:ascii="Times New Roman" w:hAnsi="Times New Roman"/>
        </w:rPr>
        <w:tab/>
      </w:r>
      <w:r w:rsidR="00924B5D">
        <w:rPr>
          <w:rFonts w:ascii="Times New Roman" w:hAnsi="Times New Roman"/>
        </w:rPr>
        <w:t>This question does not apply.</w:t>
      </w: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B861C7" w:rsidRDefault="00B861C7" w:rsidP="00B861C7">
      <w:pPr>
        <w:tabs>
          <w:tab w:val="left" w:pos="-720"/>
        </w:tabs>
        <w:suppressAutoHyphens/>
        <w:rPr>
          <w:rFonts w:ascii="Times New Roman" w:hAnsi="Times New Roman"/>
        </w:rPr>
      </w:pPr>
    </w:p>
    <w:p w:rsidR="00924B5D" w:rsidRDefault="00924B5D" w:rsidP="00AF795A">
      <w:pPr>
        <w:tabs>
          <w:tab w:val="left" w:pos="-720"/>
        </w:tabs>
        <w:spacing w:after="240"/>
        <w:ind w:firstLine="720"/>
        <w:jc w:val="both"/>
        <w:rPr>
          <w:rFonts w:ascii="Times New Roman" w:hAnsi="Times New Roman"/>
        </w:rPr>
      </w:pPr>
      <w:r>
        <w:rPr>
          <w:rFonts w:ascii="Times New Roman" w:hAnsi="Times New Roman"/>
        </w:rPr>
        <w:t>This question does not apply.</w:t>
      </w:r>
    </w:p>
    <w:p w:rsidR="00B861C7" w:rsidRDefault="00B861C7" w:rsidP="00B861C7">
      <w:pPr>
        <w:tabs>
          <w:tab w:val="left" w:pos="-720"/>
        </w:tabs>
        <w:suppressAutoHyphens/>
      </w:pPr>
      <w:r>
        <w:rPr>
          <w:rFonts w:ascii="Times New Roman" w:hAnsi="Times New Roman"/>
        </w:rPr>
        <w:tab/>
      </w:r>
    </w:p>
    <w:p w:rsidR="00585718" w:rsidRDefault="00585718"/>
    <w:sectPr w:rsidR="0058571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40B" w:rsidRDefault="00FC540B" w:rsidP="0025045B">
      <w:r>
        <w:separator/>
      </w:r>
    </w:p>
  </w:endnote>
  <w:endnote w:type="continuationSeparator" w:id="0">
    <w:p w:rsidR="00FC540B" w:rsidRDefault="00FC540B" w:rsidP="0025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40B" w:rsidRDefault="00FC540B" w:rsidP="0025045B">
      <w:r>
        <w:separator/>
      </w:r>
    </w:p>
  </w:footnote>
  <w:footnote w:type="continuationSeparator" w:id="0">
    <w:p w:rsidR="00FC540B" w:rsidRDefault="00FC540B" w:rsidP="0025045B">
      <w:r>
        <w:continuationSeparator/>
      </w:r>
    </w:p>
  </w:footnote>
  <w:footnote w:id="1">
    <w:p w:rsidR="00DF165C" w:rsidRPr="006476FF" w:rsidRDefault="00DF165C">
      <w:pPr>
        <w:pStyle w:val="FootnoteText"/>
        <w:rPr>
          <w:rFonts w:ascii="Times New Roman" w:hAnsi="Times New Roman"/>
          <w:sz w:val="24"/>
          <w:szCs w:val="24"/>
        </w:rPr>
      </w:pPr>
      <w:r>
        <w:rPr>
          <w:rStyle w:val="FootnoteReference"/>
        </w:rPr>
        <w:footnoteRef/>
      </w:r>
      <w:r>
        <w:t xml:space="preserve"> </w:t>
      </w:r>
      <w:r w:rsidRPr="006476FF">
        <w:rPr>
          <w:rFonts w:ascii="Times New Roman" w:hAnsi="Times New Roman"/>
          <w:sz w:val="24"/>
          <w:szCs w:val="24"/>
        </w:rPr>
        <w:t>Section 162.30(d) provides,”</w:t>
      </w:r>
      <w:r w:rsidRPr="006476FF">
        <w:rPr>
          <w:rFonts w:ascii="Times New Roman" w:hAnsi="Times New Roman"/>
          <w:i/>
          <w:sz w:val="24"/>
          <w:szCs w:val="24"/>
        </w:rPr>
        <w:t>Establishment of an Identity Theft Prevention Program</w:t>
      </w:r>
      <w:r w:rsidRPr="006476FF">
        <w:rPr>
          <w:rFonts w:ascii="Times New Roman" w:hAnsi="Times New Roman"/>
          <w:sz w:val="24"/>
          <w:szCs w:val="24"/>
        </w:rPr>
        <w:t>–(1) Program requirement. Each financial institution or creditor that offers or maintains one or more covered accounts must develop and implement a written Identity Theft Prevention Program that is designed to detect, prevent, and mitigate identity theft in connection with the opening of a covered account or any existing covered account. The Identity Theft Prevention Program must be appropriate to the size and complexity of the financial institution or creditor and the nature and scope of its activities.”</w:t>
      </w:r>
    </w:p>
  </w:footnote>
  <w:footnote w:id="2">
    <w:p w:rsidR="003670A8" w:rsidRPr="0025045B" w:rsidRDefault="00307EF3" w:rsidP="003670A8">
      <w:pPr>
        <w:pStyle w:val="FootnoteText"/>
        <w:rPr>
          <w:rFonts w:ascii="Times New Roman" w:hAnsi="Times New Roman"/>
          <w:sz w:val="24"/>
          <w:szCs w:val="24"/>
        </w:rPr>
      </w:pPr>
      <w:r>
        <w:rPr>
          <w:rStyle w:val="FootnoteReference"/>
        </w:rPr>
        <w:footnoteRef/>
      </w:r>
      <w:r>
        <w:t xml:space="preserve"> </w:t>
      </w:r>
      <w:r w:rsidR="003670A8">
        <w:t xml:space="preserve">The FCRA </w:t>
      </w:r>
      <w:r w:rsidR="003670A8" w:rsidRPr="003670A8">
        <w:rPr>
          <w:rFonts w:ascii="Times New Roman" w:hAnsi="Times New Roman"/>
          <w:sz w:val="24"/>
          <w:szCs w:val="24"/>
        </w:rPr>
        <w:t>required several federal agencies to issue joint rules and guidelines regarding the detection, prevention, and mitigation of identity theft for entities that are subject to their respective enforcement authorities (also known as the “identity theft red flags rules”).  Those agencies are the Office of the Comptroller of the Currency, the Board of Governors of the Federal Reserve System, the Federal Deposit Insurance Corporation (“FDIC”), the Office of Thrift Supervision, the National Credit Union Administration (“NCUA”), and the Federal Trade Commission (“FTC”) (together, the “Agencies”).</w:t>
      </w:r>
      <w:r w:rsidR="003670A8">
        <w:rPr>
          <w:rFonts w:ascii="Times New Roman" w:hAnsi="Times New Roman"/>
          <w:sz w:val="24"/>
          <w:szCs w:val="24"/>
        </w:rPr>
        <w:t xml:space="preserve">  </w:t>
      </w:r>
      <w:r w:rsidR="003670A8" w:rsidRPr="0025045B">
        <w:rPr>
          <w:rFonts w:ascii="Times New Roman" w:hAnsi="Times New Roman"/>
          <w:i/>
          <w:sz w:val="24"/>
          <w:szCs w:val="24"/>
        </w:rPr>
        <w:t>See Identity Theft Red Flags and Address Discrepancies Under the Fair and Accurate Credit Transactions Act of 2003, 72 FR 63718 (Nov. 9, 2007)(“2007 Adopting Release”)</w:t>
      </w:r>
      <w:r w:rsidR="003670A8" w:rsidRPr="0025045B">
        <w:rPr>
          <w:rFonts w:ascii="Times New Roman" w:hAnsi="Times New Roman"/>
          <w:sz w:val="24"/>
          <w:szCs w:val="24"/>
        </w:rPr>
        <w:t>.</w:t>
      </w:r>
    </w:p>
    <w:p w:rsidR="00307EF3" w:rsidRDefault="00307EF3">
      <w:pPr>
        <w:pStyle w:val="FootnoteText"/>
      </w:pPr>
    </w:p>
  </w:footnote>
  <w:footnote w:id="3">
    <w:p w:rsidR="003C0F60" w:rsidRPr="003866B8" w:rsidRDefault="003C0F60" w:rsidP="003866B8">
      <w:pPr>
        <w:pStyle w:val="FootnoteText"/>
        <w:rPr>
          <w:rFonts w:ascii="Times New Roman" w:hAnsi="Times New Roman"/>
          <w:sz w:val="24"/>
          <w:szCs w:val="24"/>
        </w:rPr>
      </w:pPr>
      <w:r>
        <w:rPr>
          <w:rStyle w:val="FootnoteReference"/>
        </w:rPr>
        <w:footnoteRef/>
      </w:r>
      <w:r>
        <w:t xml:space="preserve"> </w:t>
      </w:r>
      <w:r>
        <w:tab/>
      </w:r>
      <w:r w:rsidRPr="003866B8">
        <w:rPr>
          <w:rFonts w:ascii="Times New Roman" w:hAnsi="Times New Roman"/>
          <w:sz w:val="24"/>
          <w:szCs w:val="24"/>
        </w:rPr>
        <w:t>Based on a review of new registrations typically filed with the CFTC each year, CFTC staff estimates that approximately, 7 FCMs, 225 IBs, 400 CTAs, and 140 CPOs are newly formed each year, for a total of 772 entities.  CFTC staff also has observed that approximately 50 percent</w:t>
      </w:r>
      <w:r w:rsidR="003E3E7A">
        <w:rPr>
          <w:rFonts w:ascii="Times New Roman" w:hAnsi="Times New Roman"/>
          <w:sz w:val="24"/>
          <w:szCs w:val="24"/>
        </w:rPr>
        <w:t xml:space="preserve">—or 70—of </w:t>
      </w:r>
      <w:r w:rsidRPr="003866B8">
        <w:rPr>
          <w:rFonts w:ascii="Times New Roman" w:hAnsi="Times New Roman"/>
          <w:sz w:val="24"/>
          <w:szCs w:val="24"/>
        </w:rPr>
        <w:t>all CPOs are duly registered as CTAs.  Based on this observation, CFTC has determined that the total number of newly formed financial institutions and creditors is 702 (772 – 70 CPOs that are also registered as CTAs).  With respect to RFEDs, CFTC staff has observed that all entities registering as RFEDs also register as FCMs.  Each of these 702 financial institutions or creditors would bear the initial one-tim</w:t>
      </w:r>
      <w:r w:rsidR="00012AD3">
        <w:rPr>
          <w:rFonts w:ascii="Times New Roman" w:hAnsi="Times New Roman"/>
          <w:sz w:val="24"/>
          <w:szCs w:val="24"/>
        </w:rPr>
        <w:t>e burden of compliance with the final</w:t>
      </w:r>
      <w:r w:rsidRPr="003866B8">
        <w:rPr>
          <w:rFonts w:ascii="Times New Roman" w:hAnsi="Times New Roman"/>
          <w:sz w:val="24"/>
          <w:szCs w:val="24"/>
        </w:rPr>
        <w:t xml:space="preserve"> identity theft rules and guidelines and </w:t>
      </w:r>
      <w:r w:rsidR="00012AD3">
        <w:rPr>
          <w:rFonts w:ascii="Times New Roman" w:hAnsi="Times New Roman"/>
          <w:sz w:val="24"/>
          <w:szCs w:val="24"/>
        </w:rPr>
        <w:t>final</w:t>
      </w:r>
      <w:r w:rsidRPr="003866B8">
        <w:rPr>
          <w:rFonts w:ascii="Times New Roman" w:hAnsi="Times New Roman"/>
          <w:sz w:val="24"/>
          <w:szCs w:val="24"/>
        </w:rPr>
        <w:t xml:space="preserve"> card issuer rules.</w:t>
      </w:r>
    </w:p>
    <w:p w:rsidR="003C0F60" w:rsidRPr="003866B8" w:rsidRDefault="007B2565" w:rsidP="003866B8">
      <w:pPr>
        <w:pStyle w:val="FootnoteText"/>
        <w:rPr>
          <w:rFonts w:ascii="Times New Roman" w:hAnsi="Times New Roman"/>
          <w:sz w:val="24"/>
          <w:szCs w:val="24"/>
        </w:rPr>
      </w:pPr>
      <w:r>
        <w:rPr>
          <w:rFonts w:ascii="Times New Roman" w:hAnsi="Times New Roman"/>
          <w:sz w:val="24"/>
          <w:szCs w:val="24"/>
        </w:rPr>
        <w:t>[</w:t>
      </w:r>
      <w:r w:rsidR="00E951A9">
        <w:rPr>
          <w:rFonts w:ascii="Times New Roman" w:hAnsi="Times New Roman"/>
          <w:sz w:val="24"/>
          <w:szCs w:val="24"/>
        </w:rPr>
        <w:t xml:space="preserve"> </w:t>
      </w:r>
      <w:r w:rsidR="003C0F60" w:rsidRPr="003866B8">
        <w:rPr>
          <w:rFonts w:ascii="Times New Roman" w:hAnsi="Times New Roman"/>
          <w:sz w:val="24"/>
          <w:szCs w:val="24"/>
        </w:rPr>
        <w:t>Of the total 702 newly formed entities, staff estimates that all of the FCMs are likely to carry covered accounts, 10 percent of CTAs and CPOs are likely to carry covered accounts, and none of the IBs are likely to carry covered accounts, for a total of 54 newly formed financial institutions or creditors carrying covered accounts that would be required to conduct an initial one-time burden of compliance with subpart C or Part 162.</w:t>
      </w:r>
    </w:p>
  </w:footnote>
  <w:footnote w:id="4">
    <w:p w:rsidR="003C0F60" w:rsidRPr="00BF6331" w:rsidRDefault="003C0F60" w:rsidP="003866B8">
      <w:pPr>
        <w:pStyle w:val="FootnoteText"/>
        <w:rPr>
          <w:rFonts w:ascii="Times New Roman" w:hAnsi="Times New Roman"/>
          <w:sz w:val="24"/>
          <w:szCs w:val="24"/>
        </w:rPr>
      </w:pPr>
      <w:r w:rsidRPr="00BF6331">
        <w:rPr>
          <w:rStyle w:val="FootnoteReference"/>
          <w:rFonts w:ascii="Times New Roman" w:hAnsi="Times New Roman"/>
          <w:sz w:val="24"/>
          <w:szCs w:val="24"/>
        </w:rPr>
        <w:footnoteRef/>
      </w:r>
      <w:r w:rsidRPr="00BF6331">
        <w:rPr>
          <w:rFonts w:ascii="Times New Roman" w:hAnsi="Times New Roman"/>
          <w:sz w:val="24"/>
          <w:szCs w:val="24"/>
        </w:rPr>
        <w:t xml:space="preserve"> This estimate is based on the following calculation:  827 entities x 2 hours = 1,654 hours.</w:t>
      </w:r>
    </w:p>
  </w:footnote>
  <w:footnote w:id="5">
    <w:p w:rsidR="003C0F60" w:rsidRPr="00BF6331" w:rsidRDefault="003C0F60" w:rsidP="003866B8">
      <w:pPr>
        <w:pStyle w:val="FootnoteText"/>
        <w:rPr>
          <w:rFonts w:ascii="Times New Roman" w:hAnsi="Times New Roman"/>
          <w:sz w:val="24"/>
          <w:szCs w:val="24"/>
        </w:rPr>
      </w:pPr>
      <w:r w:rsidRPr="00BF6331">
        <w:rPr>
          <w:rStyle w:val="FootnoteReference"/>
          <w:rFonts w:ascii="Times New Roman" w:hAnsi="Times New Roman"/>
          <w:sz w:val="24"/>
          <w:szCs w:val="24"/>
        </w:rPr>
        <w:footnoteRef/>
      </w:r>
      <w:r w:rsidRPr="00BF6331">
        <w:rPr>
          <w:rFonts w:ascii="Times New Roman" w:hAnsi="Times New Roman"/>
          <w:sz w:val="24"/>
          <w:szCs w:val="24"/>
        </w:rPr>
        <w:t xml:space="preserve"> This estimate is based on the following calculation: 179 entities x </w:t>
      </w:r>
      <w:r w:rsidR="00C6549F">
        <w:rPr>
          <w:rFonts w:ascii="Times New Roman" w:hAnsi="Times New Roman"/>
          <w:sz w:val="24"/>
          <w:szCs w:val="24"/>
        </w:rPr>
        <w:t>29</w:t>
      </w:r>
      <w:r w:rsidRPr="00BF6331">
        <w:rPr>
          <w:rFonts w:ascii="Times New Roman" w:hAnsi="Times New Roman"/>
          <w:sz w:val="24"/>
          <w:szCs w:val="24"/>
        </w:rPr>
        <w:t xml:space="preserve"> hours = </w:t>
      </w:r>
      <w:r w:rsidR="00C6549F">
        <w:rPr>
          <w:rFonts w:ascii="Times New Roman" w:hAnsi="Times New Roman"/>
          <w:sz w:val="24"/>
          <w:szCs w:val="24"/>
        </w:rPr>
        <w:t>5,191</w:t>
      </w:r>
      <w:r w:rsidRPr="00BF6331">
        <w:rPr>
          <w:rFonts w:ascii="Times New Roman" w:hAnsi="Times New Roman"/>
          <w:sz w:val="24"/>
          <w:szCs w:val="24"/>
        </w:rPr>
        <w:t xml:space="preserve"> hours.</w:t>
      </w:r>
    </w:p>
  </w:footnote>
  <w:footnote w:id="6">
    <w:p w:rsidR="003C0F60" w:rsidRPr="00BF6331" w:rsidRDefault="003C0F60" w:rsidP="003866B8">
      <w:pPr>
        <w:pStyle w:val="FootnoteText"/>
        <w:rPr>
          <w:rFonts w:ascii="Times New Roman" w:hAnsi="Times New Roman"/>
          <w:sz w:val="24"/>
          <w:szCs w:val="24"/>
        </w:rPr>
      </w:pPr>
      <w:r w:rsidRPr="00BF6331">
        <w:rPr>
          <w:rStyle w:val="FootnoteReference"/>
          <w:rFonts w:ascii="Times New Roman" w:hAnsi="Times New Roman"/>
          <w:sz w:val="24"/>
          <w:szCs w:val="24"/>
        </w:rPr>
        <w:footnoteRef/>
      </w:r>
      <w:r w:rsidRPr="00BF6331">
        <w:rPr>
          <w:rFonts w:ascii="Times New Roman" w:hAnsi="Times New Roman"/>
          <w:sz w:val="24"/>
          <w:szCs w:val="24"/>
        </w:rPr>
        <w:t xml:space="preserve"> This estimate is based on the following calculation: 1,654 hours for all newly registered CFTC registrants + </w:t>
      </w:r>
      <w:r>
        <w:rPr>
          <w:rFonts w:ascii="Times New Roman" w:hAnsi="Times New Roman"/>
          <w:sz w:val="24"/>
          <w:szCs w:val="24"/>
        </w:rPr>
        <w:t>5</w:t>
      </w:r>
      <w:r w:rsidRPr="00BF6331">
        <w:rPr>
          <w:rFonts w:ascii="Times New Roman" w:hAnsi="Times New Roman"/>
          <w:sz w:val="24"/>
          <w:szCs w:val="24"/>
        </w:rPr>
        <w:t>,</w:t>
      </w:r>
      <w:r w:rsidR="00C6549F">
        <w:rPr>
          <w:rFonts w:ascii="Times New Roman" w:hAnsi="Times New Roman"/>
          <w:sz w:val="24"/>
          <w:szCs w:val="24"/>
        </w:rPr>
        <w:t>191</w:t>
      </w:r>
      <w:r w:rsidRPr="00BF6331">
        <w:rPr>
          <w:rFonts w:ascii="Times New Roman" w:hAnsi="Times New Roman"/>
          <w:sz w:val="24"/>
          <w:szCs w:val="24"/>
        </w:rPr>
        <w:t xml:space="preserve"> hours for the one-time burden of newly registered entities with covered accounts</w:t>
      </w:r>
      <w:r w:rsidR="00C6549F">
        <w:rPr>
          <w:rFonts w:ascii="Times New Roman" w:hAnsi="Times New Roman"/>
          <w:sz w:val="24"/>
          <w:szCs w:val="24"/>
        </w:rPr>
        <w:t>, for a total of 6,845 hours</w:t>
      </w:r>
      <w:r w:rsidRPr="00BF6331">
        <w:rPr>
          <w:rFonts w:ascii="Times New Roman" w:hAnsi="Times New Roman"/>
          <w:sz w:val="24"/>
          <w:szCs w:val="24"/>
        </w:rPr>
        <w:t>.</w:t>
      </w:r>
    </w:p>
  </w:footnote>
  <w:footnote w:id="7">
    <w:p w:rsidR="00475DE4" w:rsidRPr="006476FF" w:rsidRDefault="00475DE4" w:rsidP="00475DE4">
      <w:pPr>
        <w:pStyle w:val="FootnoteText"/>
        <w:rPr>
          <w:rFonts w:ascii="Times New Roman" w:hAnsi="Times New Roman"/>
          <w:sz w:val="24"/>
          <w:szCs w:val="24"/>
        </w:rPr>
      </w:pPr>
      <w:r w:rsidRPr="00DC7810">
        <w:rPr>
          <w:rStyle w:val="FootnoteReference"/>
          <w:szCs w:val="22"/>
        </w:rPr>
        <w:footnoteRef/>
      </w:r>
      <w:r w:rsidRPr="00DC7810">
        <w:rPr>
          <w:szCs w:val="22"/>
        </w:rPr>
        <w:t xml:space="preserve"> </w:t>
      </w:r>
      <w:r w:rsidRPr="00DC7810">
        <w:rPr>
          <w:szCs w:val="22"/>
        </w:rPr>
        <w:tab/>
      </w:r>
      <w:r w:rsidRPr="006476FF">
        <w:rPr>
          <w:rFonts w:ascii="Times New Roman" w:hAnsi="Times New Roman"/>
          <w:sz w:val="24"/>
          <w:szCs w:val="24"/>
        </w:rPr>
        <w:t xml:space="preserve">This estimate is based on the following calculation:  3,071 entities x 2 hours = 6,142 hours. (The Proposing Release contained an arithmetic error in the calculation for the total ongoing burden for all CFTC registrants.  The total number of hours was erroneously calculated to total 76,498 hours rather than 6,498.  </w:t>
      </w:r>
      <w:r w:rsidRPr="006476FF">
        <w:rPr>
          <w:rFonts w:ascii="Times New Roman" w:hAnsi="Times New Roman"/>
          <w:i/>
          <w:sz w:val="24"/>
          <w:szCs w:val="24"/>
        </w:rPr>
        <w:t>See</w:t>
      </w:r>
      <w:r w:rsidRPr="006476FF">
        <w:rPr>
          <w:rFonts w:ascii="Times New Roman" w:hAnsi="Times New Roman"/>
          <w:sz w:val="24"/>
          <w:szCs w:val="24"/>
        </w:rPr>
        <w:t xml:space="preserve"> 77 FR 13450, 13467.)</w:t>
      </w:r>
    </w:p>
  </w:footnote>
  <w:footnote w:id="8">
    <w:p w:rsidR="00475DE4" w:rsidRPr="006476FF" w:rsidRDefault="00475DE4" w:rsidP="00475DE4">
      <w:pPr>
        <w:pStyle w:val="FootnoteText"/>
        <w:rPr>
          <w:rFonts w:ascii="Times New Roman" w:hAnsi="Times New Roman"/>
          <w:sz w:val="24"/>
          <w:szCs w:val="24"/>
        </w:rPr>
      </w:pPr>
      <w:r w:rsidRPr="006476FF">
        <w:rPr>
          <w:rStyle w:val="FootnoteReference"/>
          <w:rFonts w:ascii="Times New Roman" w:hAnsi="Times New Roman"/>
          <w:sz w:val="24"/>
          <w:szCs w:val="24"/>
        </w:rPr>
        <w:footnoteRef/>
      </w:r>
      <w:r w:rsidRPr="006476FF">
        <w:rPr>
          <w:rFonts w:ascii="Times New Roman" w:hAnsi="Times New Roman"/>
          <w:sz w:val="24"/>
          <w:szCs w:val="24"/>
        </w:rPr>
        <w:t xml:space="preserve"> </w:t>
      </w:r>
      <w:r w:rsidRPr="006476FF">
        <w:rPr>
          <w:rFonts w:ascii="Times New Roman" w:hAnsi="Times New Roman"/>
          <w:sz w:val="24"/>
          <w:szCs w:val="24"/>
        </w:rPr>
        <w:tab/>
        <w:t>This estimate is based on the following calculation:  385 entities x 6 hours = 2,310 hours.</w:t>
      </w:r>
    </w:p>
  </w:footnote>
  <w:footnote w:id="9">
    <w:p w:rsidR="00475DE4" w:rsidRPr="006476FF" w:rsidRDefault="00475DE4" w:rsidP="00475DE4">
      <w:pPr>
        <w:pStyle w:val="FootnoteText"/>
        <w:rPr>
          <w:rFonts w:ascii="Times New Roman" w:hAnsi="Times New Roman"/>
          <w:sz w:val="24"/>
          <w:szCs w:val="24"/>
        </w:rPr>
      </w:pPr>
      <w:r w:rsidRPr="006476FF">
        <w:rPr>
          <w:rStyle w:val="FootnoteReference"/>
          <w:rFonts w:ascii="Times New Roman" w:hAnsi="Times New Roman"/>
          <w:sz w:val="24"/>
          <w:szCs w:val="24"/>
        </w:rPr>
        <w:footnoteRef/>
      </w:r>
      <w:r w:rsidRPr="006476FF">
        <w:rPr>
          <w:rFonts w:ascii="Times New Roman" w:hAnsi="Times New Roman"/>
          <w:sz w:val="24"/>
          <w:szCs w:val="24"/>
        </w:rPr>
        <w:t xml:space="preserve"> </w:t>
      </w:r>
      <w:r w:rsidRPr="006476FF">
        <w:rPr>
          <w:rFonts w:ascii="Times New Roman" w:hAnsi="Times New Roman"/>
          <w:sz w:val="24"/>
          <w:szCs w:val="24"/>
        </w:rPr>
        <w:tab/>
        <w:t>This estimate is based on the following calculation:  6,142 hours + 2,310 hours = 8,452 hours.</w:t>
      </w:r>
    </w:p>
  </w:footnote>
  <w:footnote w:id="10">
    <w:p w:rsidR="00475DE4" w:rsidRPr="006476FF" w:rsidRDefault="00475DE4">
      <w:pPr>
        <w:pStyle w:val="FootnoteText"/>
        <w:rPr>
          <w:rFonts w:ascii="Times New Roman" w:hAnsi="Times New Roman"/>
          <w:sz w:val="24"/>
          <w:szCs w:val="24"/>
        </w:rPr>
      </w:pPr>
      <w:r w:rsidRPr="006476FF">
        <w:rPr>
          <w:rStyle w:val="FootnoteReference"/>
          <w:rFonts w:ascii="Times New Roman" w:hAnsi="Times New Roman"/>
          <w:sz w:val="24"/>
          <w:szCs w:val="24"/>
        </w:rPr>
        <w:footnoteRef/>
      </w:r>
      <w:r w:rsidRPr="006476FF">
        <w:rPr>
          <w:rFonts w:ascii="Times New Roman" w:hAnsi="Times New Roman"/>
          <w:sz w:val="24"/>
          <w:szCs w:val="24"/>
        </w:rPr>
        <w:t xml:space="preserve"> The total burden—5,191—is divided by the 179 estimated entities, to equal 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5383D"/>
    <w:multiLevelType w:val="hybridMultilevel"/>
    <w:tmpl w:val="A94C4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C7"/>
    <w:rsid w:val="00012AD3"/>
    <w:rsid w:val="00022018"/>
    <w:rsid w:val="000420DD"/>
    <w:rsid w:val="0004213B"/>
    <w:rsid w:val="000576BF"/>
    <w:rsid w:val="00072761"/>
    <w:rsid w:val="000803D6"/>
    <w:rsid w:val="000A117E"/>
    <w:rsid w:val="000D2798"/>
    <w:rsid w:val="000F2579"/>
    <w:rsid w:val="00127840"/>
    <w:rsid w:val="00142747"/>
    <w:rsid w:val="00143AC7"/>
    <w:rsid w:val="001B5968"/>
    <w:rsid w:val="001F3182"/>
    <w:rsid w:val="002114F1"/>
    <w:rsid w:val="00234AE4"/>
    <w:rsid w:val="0025045B"/>
    <w:rsid w:val="00262E8C"/>
    <w:rsid w:val="0027256B"/>
    <w:rsid w:val="00296C63"/>
    <w:rsid w:val="002A2F53"/>
    <w:rsid w:val="002B741B"/>
    <w:rsid w:val="002C389F"/>
    <w:rsid w:val="002F358D"/>
    <w:rsid w:val="002F7B46"/>
    <w:rsid w:val="00307E70"/>
    <w:rsid w:val="00307EF3"/>
    <w:rsid w:val="00364EF5"/>
    <w:rsid w:val="003670A8"/>
    <w:rsid w:val="003866B8"/>
    <w:rsid w:val="00391644"/>
    <w:rsid w:val="003C0F60"/>
    <w:rsid w:val="003C67D1"/>
    <w:rsid w:val="003E3E7A"/>
    <w:rsid w:val="004712BC"/>
    <w:rsid w:val="00475DE4"/>
    <w:rsid w:val="00480CF3"/>
    <w:rsid w:val="004A4824"/>
    <w:rsid w:val="004F2E44"/>
    <w:rsid w:val="00547D49"/>
    <w:rsid w:val="00556319"/>
    <w:rsid w:val="005812CB"/>
    <w:rsid w:val="00585718"/>
    <w:rsid w:val="00595C7E"/>
    <w:rsid w:val="005C5D20"/>
    <w:rsid w:val="005F59EE"/>
    <w:rsid w:val="006074AF"/>
    <w:rsid w:val="00607D38"/>
    <w:rsid w:val="00612323"/>
    <w:rsid w:val="00613A58"/>
    <w:rsid w:val="00622D9B"/>
    <w:rsid w:val="006243BC"/>
    <w:rsid w:val="0063622E"/>
    <w:rsid w:val="006476FF"/>
    <w:rsid w:val="00667CD6"/>
    <w:rsid w:val="006E4A44"/>
    <w:rsid w:val="007029A9"/>
    <w:rsid w:val="0072663B"/>
    <w:rsid w:val="007B2565"/>
    <w:rsid w:val="007E6C4F"/>
    <w:rsid w:val="007F24BA"/>
    <w:rsid w:val="007F4302"/>
    <w:rsid w:val="007F5A2B"/>
    <w:rsid w:val="008058CC"/>
    <w:rsid w:val="00841A38"/>
    <w:rsid w:val="008F53B7"/>
    <w:rsid w:val="00906776"/>
    <w:rsid w:val="00924B5D"/>
    <w:rsid w:val="009309EC"/>
    <w:rsid w:val="009B0A56"/>
    <w:rsid w:val="009C7767"/>
    <w:rsid w:val="009C7F2A"/>
    <w:rsid w:val="009D4E29"/>
    <w:rsid w:val="00A02DA0"/>
    <w:rsid w:val="00A03E99"/>
    <w:rsid w:val="00A148BB"/>
    <w:rsid w:val="00A155B0"/>
    <w:rsid w:val="00A25A5E"/>
    <w:rsid w:val="00A50AC8"/>
    <w:rsid w:val="00A67B44"/>
    <w:rsid w:val="00A87D65"/>
    <w:rsid w:val="00AB5B83"/>
    <w:rsid w:val="00AD0EAD"/>
    <w:rsid w:val="00AE0DEE"/>
    <w:rsid w:val="00AE7F8C"/>
    <w:rsid w:val="00AF795A"/>
    <w:rsid w:val="00B40EB1"/>
    <w:rsid w:val="00B8590B"/>
    <w:rsid w:val="00B861C7"/>
    <w:rsid w:val="00B90256"/>
    <w:rsid w:val="00B91704"/>
    <w:rsid w:val="00BC5D5B"/>
    <w:rsid w:val="00BD1BCA"/>
    <w:rsid w:val="00BE5C1E"/>
    <w:rsid w:val="00BE6AC8"/>
    <w:rsid w:val="00BE7F0E"/>
    <w:rsid w:val="00BF3EEA"/>
    <w:rsid w:val="00BF6331"/>
    <w:rsid w:val="00C056A1"/>
    <w:rsid w:val="00C23A3C"/>
    <w:rsid w:val="00C3633A"/>
    <w:rsid w:val="00C37A86"/>
    <w:rsid w:val="00C5026F"/>
    <w:rsid w:val="00C56036"/>
    <w:rsid w:val="00C60EC1"/>
    <w:rsid w:val="00C6549F"/>
    <w:rsid w:val="00C67270"/>
    <w:rsid w:val="00C825A0"/>
    <w:rsid w:val="00C85E73"/>
    <w:rsid w:val="00CD54B8"/>
    <w:rsid w:val="00D27AE8"/>
    <w:rsid w:val="00D326D0"/>
    <w:rsid w:val="00D464FA"/>
    <w:rsid w:val="00D631BA"/>
    <w:rsid w:val="00DB1AD1"/>
    <w:rsid w:val="00DB7297"/>
    <w:rsid w:val="00DD5029"/>
    <w:rsid w:val="00DE4A13"/>
    <w:rsid w:val="00DF165C"/>
    <w:rsid w:val="00E87F90"/>
    <w:rsid w:val="00E9312A"/>
    <w:rsid w:val="00E951A9"/>
    <w:rsid w:val="00EB3C5F"/>
    <w:rsid w:val="00F23733"/>
    <w:rsid w:val="00F378A6"/>
    <w:rsid w:val="00F677E2"/>
    <w:rsid w:val="00FC540B"/>
    <w:rsid w:val="00FF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1C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4F1"/>
    <w:pPr>
      <w:ind w:left="720"/>
      <w:contextualSpacing/>
    </w:p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nhideWhenUsed/>
    <w:rsid w:val="0025045B"/>
    <w:rPr>
      <w:sz w:val="20"/>
    </w:rPr>
  </w:style>
  <w:style w:type="character" w:customStyle="1" w:styleId="FootnoteTextChar">
    <w:name w:val="Footnote Text Char"/>
    <w:aliases w:val="fn Char,ft Char,Footnote Text Char Char Char Char Char Char Char Char Char Char Char Char Char Char Char Char Char Char,Footnote Text Char1 Char"/>
    <w:basedOn w:val="DefaultParagraphFont"/>
    <w:link w:val="FootnoteText"/>
    <w:rsid w:val="0025045B"/>
    <w:rPr>
      <w:rFonts w:ascii="Courier" w:eastAsia="Times New Roman" w:hAnsi="Courier" w:cs="Times New Roman"/>
      <w:sz w:val="20"/>
      <w:szCs w:val="20"/>
    </w:rPr>
  </w:style>
  <w:style w:type="character" w:styleId="FootnoteReference">
    <w:name w:val="footnote reference"/>
    <w:aliases w:val="fr,Style 19,Style 16"/>
    <w:basedOn w:val="DefaultParagraphFont"/>
    <w:unhideWhenUsed/>
    <w:rsid w:val="0025045B"/>
    <w:rPr>
      <w:vertAlign w:val="superscript"/>
    </w:rPr>
  </w:style>
  <w:style w:type="paragraph" w:styleId="BalloonText">
    <w:name w:val="Balloon Text"/>
    <w:basedOn w:val="Normal"/>
    <w:link w:val="BalloonTextChar"/>
    <w:uiPriority w:val="99"/>
    <w:semiHidden/>
    <w:unhideWhenUsed/>
    <w:rsid w:val="00A25A5E"/>
    <w:rPr>
      <w:rFonts w:ascii="Tahoma" w:hAnsi="Tahoma" w:cs="Tahoma"/>
      <w:sz w:val="16"/>
      <w:szCs w:val="16"/>
    </w:rPr>
  </w:style>
  <w:style w:type="character" w:customStyle="1" w:styleId="BalloonTextChar">
    <w:name w:val="Balloon Text Char"/>
    <w:basedOn w:val="DefaultParagraphFont"/>
    <w:link w:val="BalloonText"/>
    <w:uiPriority w:val="99"/>
    <w:semiHidden/>
    <w:rsid w:val="00A25A5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074AF"/>
    <w:rPr>
      <w:sz w:val="16"/>
      <w:szCs w:val="16"/>
    </w:rPr>
  </w:style>
  <w:style w:type="paragraph" w:styleId="CommentText">
    <w:name w:val="annotation text"/>
    <w:basedOn w:val="Normal"/>
    <w:link w:val="CommentTextChar"/>
    <w:uiPriority w:val="99"/>
    <w:semiHidden/>
    <w:unhideWhenUsed/>
    <w:rsid w:val="006074AF"/>
    <w:rPr>
      <w:sz w:val="20"/>
    </w:rPr>
  </w:style>
  <w:style w:type="character" w:customStyle="1" w:styleId="CommentTextChar">
    <w:name w:val="Comment Text Char"/>
    <w:basedOn w:val="DefaultParagraphFont"/>
    <w:link w:val="CommentText"/>
    <w:uiPriority w:val="99"/>
    <w:semiHidden/>
    <w:rsid w:val="006074A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074AF"/>
    <w:rPr>
      <w:b/>
      <w:bCs/>
    </w:rPr>
  </w:style>
  <w:style w:type="character" w:customStyle="1" w:styleId="CommentSubjectChar">
    <w:name w:val="Comment Subject Char"/>
    <w:basedOn w:val="CommentTextChar"/>
    <w:link w:val="CommentSubject"/>
    <w:uiPriority w:val="99"/>
    <w:semiHidden/>
    <w:rsid w:val="006074AF"/>
    <w:rPr>
      <w:rFonts w:ascii="Courier" w:eastAsia="Times New Roman" w:hAnsi="Courier" w:cs="Times New Roman"/>
      <w:b/>
      <w:bCs/>
      <w:sz w:val="20"/>
      <w:szCs w:val="20"/>
    </w:rPr>
  </w:style>
  <w:style w:type="paragraph" w:styleId="Revision">
    <w:name w:val="Revision"/>
    <w:hidden/>
    <w:uiPriority w:val="99"/>
    <w:semiHidden/>
    <w:rsid w:val="00BD1BCA"/>
    <w:pPr>
      <w:spacing w:after="0" w:line="240" w:lineRule="auto"/>
    </w:pPr>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1C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4F1"/>
    <w:pPr>
      <w:ind w:left="720"/>
      <w:contextualSpacing/>
    </w:p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nhideWhenUsed/>
    <w:rsid w:val="0025045B"/>
    <w:rPr>
      <w:sz w:val="20"/>
    </w:rPr>
  </w:style>
  <w:style w:type="character" w:customStyle="1" w:styleId="FootnoteTextChar">
    <w:name w:val="Footnote Text Char"/>
    <w:aliases w:val="fn Char,ft Char,Footnote Text Char Char Char Char Char Char Char Char Char Char Char Char Char Char Char Char Char Char,Footnote Text Char1 Char"/>
    <w:basedOn w:val="DefaultParagraphFont"/>
    <w:link w:val="FootnoteText"/>
    <w:rsid w:val="0025045B"/>
    <w:rPr>
      <w:rFonts w:ascii="Courier" w:eastAsia="Times New Roman" w:hAnsi="Courier" w:cs="Times New Roman"/>
      <w:sz w:val="20"/>
      <w:szCs w:val="20"/>
    </w:rPr>
  </w:style>
  <w:style w:type="character" w:styleId="FootnoteReference">
    <w:name w:val="footnote reference"/>
    <w:aliases w:val="fr,Style 19,Style 16"/>
    <w:basedOn w:val="DefaultParagraphFont"/>
    <w:unhideWhenUsed/>
    <w:rsid w:val="0025045B"/>
    <w:rPr>
      <w:vertAlign w:val="superscript"/>
    </w:rPr>
  </w:style>
  <w:style w:type="paragraph" w:styleId="BalloonText">
    <w:name w:val="Balloon Text"/>
    <w:basedOn w:val="Normal"/>
    <w:link w:val="BalloonTextChar"/>
    <w:uiPriority w:val="99"/>
    <w:semiHidden/>
    <w:unhideWhenUsed/>
    <w:rsid w:val="00A25A5E"/>
    <w:rPr>
      <w:rFonts w:ascii="Tahoma" w:hAnsi="Tahoma" w:cs="Tahoma"/>
      <w:sz w:val="16"/>
      <w:szCs w:val="16"/>
    </w:rPr>
  </w:style>
  <w:style w:type="character" w:customStyle="1" w:styleId="BalloonTextChar">
    <w:name w:val="Balloon Text Char"/>
    <w:basedOn w:val="DefaultParagraphFont"/>
    <w:link w:val="BalloonText"/>
    <w:uiPriority w:val="99"/>
    <w:semiHidden/>
    <w:rsid w:val="00A25A5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074AF"/>
    <w:rPr>
      <w:sz w:val="16"/>
      <w:szCs w:val="16"/>
    </w:rPr>
  </w:style>
  <w:style w:type="paragraph" w:styleId="CommentText">
    <w:name w:val="annotation text"/>
    <w:basedOn w:val="Normal"/>
    <w:link w:val="CommentTextChar"/>
    <w:uiPriority w:val="99"/>
    <w:semiHidden/>
    <w:unhideWhenUsed/>
    <w:rsid w:val="006074AF"/>
    <w:rPr>
      <w:sz w:val="20"/>
    </w:rPr>
  </w:style>
  <w:style w:type="character" w:customStyle="1" w:styleId="CommentTextChar">
    <w:name w:val="Comment Text Char"/>
    <w:basedOn w:val="DefaultParagraphFont"/>
    <w:link w:val="CommentText"/>
    <w:uiPriority w:val="99"/>
    <w:semiHidden/>
    <w:rsid w:val="006074A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074AF"/>
    <w:rPr>
      <w:b/>
      <w:bCs/>
    </w:rPr>
  </w:style>
  <w:style w:type="character" w:customStyle="1" w:styleId="CommentSubjectChar">
    <w:name w:val="Comment Subject Char"/>
    <w:basedOn w:val="CommentTextChar"/>
    <w:link w:val="CommentSubject"/>
    <w:uiPriority w:val="99"/>
    <w:semiHidden/>
    <w:rsid w:val="006074AF"/>
    <w:rPr>
      <w:rFonts w:ascii="Courier" w:eastAsia="Times New Roman" w:hAnsi="Courier" w:cs="Times New Roman"/>
      <w:b/>
      <w:bCs/>
      <w:sz w:val="20"/>
      <w:szCs w:val="20"/>
    </w:rPr>
  </w:style>
  <w:style w:type="paragraph" w:styleId="Revision">
    <w:name w:val="Revision"/>
    <w:hidden/>
    <w:uiPriority w:val="99"/>
    <w:semiHidden/>
    <w:rsid w:val="00BD1BCA"/>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1B9A4-BE00-491F-B371-C29AAED3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3959</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GSCOTT</dc:creator>
  <cp:lastModifiedBy>GScott</cp:lastModifiedBy>
  <cp:revision>2</cp:revision>
  <cp:lastPrinted>2013-04-09T16:48:00Z</cp:lastPrinted>
  <dcterms:created xsi:type="dcterms:W3CDTF">2013-09-24T21:22:00Z</dcterms:created>
  <dcterms:modified xsi:type="dcterms:W3CDTF">2013-09-24T21:22:00Z</dcterms:modified>
</cp:coreProperties>
</file>