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D0D" w:rsidRDefault="00230D0D" w:rsidP="00230D0D">
      <w:pPr>
        <w:pStyle w:val="Title"/>
      </w:pPr>
      <w:bookmarkStart w:id="0" w:name="_GoBack"/>
      <w:bookmarkEnd w:id="0"/>
      <w:r>
        <w:t>Paperwork Reduction Act Submission</w:t>
      </w:r>
    </w:p>
    <w:p w:rsidR="00230D0D" w:rsidRDefault="00230D0D" w:rsidP="00230D0D">
      <w:pPr>
        <w:pBdr>
          <w:top w:val="single" w:sz="6" w:space="4" w:color="auto"/>
        </w:pBdr>
        <w:spacing w:after="120"/>
        <w:ind w:left="-120"/>
        <w:jc w:val="both"/>
        <w:rPr>
          <w:color w:val="000000"/>
          <w:sz w:val="18"/>
        </w:rPr>
      </w:pPr>
      <w:r>
        <w:rPr>
          <w:color w:val="000000"/>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r w:rsidR="00770F4D">
        <w:rPr>
          <w:color w:val="000000"/>
          <w:sz w:val="18"/>
        </w:rPr>
        <w:t>, Washington</w:t>
      </w:r>
      <w:r>
        <w:rPr>
          <w:color w:val="000000"/>
          <w:sz w:val="18"/>
        </w:rPr>
        <w:t xml:space="preserve">,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r>
        <w:rPr>
          <w:color w:val="000000"/>
          <w:sz w:val="18"/>
        </w:rPr>
        <w:t>.</w:t>
      </w:r>
    </w:p>
    <w:tbl>
      <w:tblPr>
        <w:tblW w:w="0" w:type="auto"/>
        <w:tblLayout w:type="fixed"/>
        <w:tblLook w:val="0000" w:firstRow="0" w:lastRow="0" w:firstColumn="0" w:lastColumn="0" w:noHBand="0" w:noVBand="0"/>
      </w:tblPr>
      <w:tblGrid>
        <w:gridCol w:w="5508"/>
        <w:gridCol w:w="1920"/>
        <w:gridCol w:w="1800"/>
        <w:gridCol w:w="1788"/>
      </w:tblGrid>
      <w:tr w:rsidR="00230D0D" w:rsidTr="00B40DAC">
        <w:tc>
          <w:tcPr>
            <w:tcW w:w="7428" w:type="dxa"/>
            <w:gridSpan w:val="2"/>
            <w:tcBorders>
              <w:top w:val="single" w:sz="6" w:space="0" w:color="auto"/>
            </w:tcBorders>
          </w:tcPr>
          <w:p w:rsidR="00230D0D" w:rsidRDefault="00230D0D" w:rsidP="00B40DAC">
            <w:pPr>
              <w:rPr>
                <w:rFonts w:ascii="Helvetica" w:hAnsi="Helvetica"/>
                <w:color w:val="000000"/>
                <w:sz w:val="14"/>
              </w:rPr>
            </w:pPr>
            <w:r>
              <w:rPr>
                <w:rFonts w:ascii="Helvetica" w:hAnsi="Helvetica"/>
                <w:color w:val="000000"/>
                <w:sz w:val="16"/>
              </w:rPr>
              <w:t>1</w:t>
            </w:r>
            <w:r>
              <w:rPr>
                <w:rFonts w:ascii="Helvetica" w:hAnsi="Helvetica"/>
                <w:color w:val="000000"/>
                <w:sz w:val="14"/>
              </w:rPr>
              <w:t>. Agency/Subagency Originating Request:</w:t>
            </w:r>
          </w:p>
          <w:p w:rsidR="00230D0D" w:rsidRDefault="00230D0D" w:rsidP="00B40DAC">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230D0D" w:rsidRDefault="00230D0D" w:rsidP="00B40DAC">
            <w:pPr>
              <w:spacing w:before="40" w:after="40"/>
              <w:ind w:left="120"/>
              <w:rPr>
                <w:rFonts w:ascii="Helvetica" w:hAnsi="Helvetica"/>
                <w:color w:val="000000"/>
                <w:sz w:val="18"/>
              </w:rPr>
            </w:pPr>
            <w:r>
              <w:rPr>
                <w:rFonts w:ascii="Helvetica" w:hAnsi="Helvetica"/>
                <w:color w:val="000000"/>
                <w:sz w:val="18"/>
              </w:rPr>
              <w:t>Community Planning and Development</w:t>
            </w:r>
          </w:p>
          <w:p w:rsidR="00230D0D" w:rsidRDefault="00230D0D" w:rsidP="00B40DAC">
            <w:pPr>
              <w:spacing w:before="40" w:after="40"/>
              <w:ind w:left="120"/>
              <w:rPr>
                <w:rFonts w:ascii="Helvetica" w:hAnsi="Helvetica"/>
                <w:color w:val="000000"/>
                <w:sz w:val="16"/>
              </w:rPr>
            </w:pPr>
          </w:p>
        </w:tc>
        <w:tc>
          <w:tcPr>
            <w:tcW w:w="1800" w:type="dxa"/>
            <w:tcBorders>
              <w:top w:val="single" w:sz="6" w:space="0" w:color="auto"/>
              <w:left w:val="single" w:sz="6" w:space="0" w:color="auto"/>
            </w:tcBorders>
          </w:tcPr>
          <w:p w:rsidR="00230D0D" w:rsidRDefault="00230D0D" w:rsidP="00B40DAC">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230D0D" w:rsidRDefault="00230D0D" w:rsidP="00B40DAC">
            <w:pPr>
              <w:spacing w:before="40" w:after="40"/>
              <w:ind w:left="132"/>
              <w:rPr>
                <w:rFonts w:ascii="Helvetica" w:hAnsi="Helvetica"/>
                <w:color w:val="000000"/>
                <w:sz w:val="16"/>
              </w:rPr>
            </w:pPr>
            <w:r>
              <w:rPr>
                <w:rFonts w:ascii="Helvetica" w:hAnsi="Helvetica"/>
                <w:color w:val="000000"/>
                <w:sz w:val="16"/>
              </w:rPr>
              <w:t>a.</w:t>
            </w:r>
            <w:r>
              <w:rPr>
                <w:rFonts w:ascii="Helvetica" w:hAnsi="Helvetica"/>
                <w:b/>
                <w:bCs/>
                <w:color w:val="000000"/>
                <w:sz w:val="18"/>
              </w:rPr>
              <w:t xml:space="preserve"> </w:t>
            </w:r>
          </w:p>
          <w:p w:rsidR="00230D0D" w:rsidRDefault="00230D0D" w:rsidP="00B40DAC">
            <w:pPr>
              <w:ind w:left="-120"/>
              <w:rPr>
                <w:rFonts w:ascii="Helvetica" w:hAnsi="Helvetica"/>
                <w:color w:val="000000"/>
                <w:sz w:val="16"/>
              </w:rPr>
            </w:pPr>
          </w:p>
        </w:tc>
        <w:tc>
          <w:tcPr>
            <w:tcW w:w="1788" w:type="dxa"/>
            <w:tcBorders>
              <w:top w:val="single" w:sz="6" w:space="0" w:color="auto"/>
            </w:tcBorders>
          </w:tcPr>
          <w:p w:rsidR="00230D0D" w:rsidRDefault="00230D0D" w:rsidP="00B40DAC">
            <w:pPr>
              <w:spacing w:before="120"/>
              <w:rPr>
                <w:rFonts w:ascii="Helvetica" w:hAnsi="Helvetica"/>
                <w:color w:val="000000"/>
                <w:sz w:val="18"/>
              </w:rPr>
            </w:pPr>
            <w:r>
              <w:rPr>
                <w:rFonts w:ascii="Helvetica" w:hAnsi="Helvetica"/>
                <w:color w:val="000000"/>
                <w:sz w:val="16"/>
              </w:rPr>
              <w:t xml:space="preserve">b.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8"/>
              </w:rPr>
              <w:t>None</w:t>
            </w:r>
          </w:p>
          <w:p w:rsidR="00230D0D" w:rsidRDefault="00230D0D" w:rsidP="00B40DAC">
            <w:pPr>
              <w:spacing w:before="40" w:after="40"/>
              <w:ind w:left="252"/>
              <w:rPr>
                <w:rFonts w:ascii="Helvetica" w:hAnsi="Helvetica"/>
                <w:color w:val="000000"/>
              </w:rPr>
            </w:pPr>
            <w:r>
              <w:rPr>
                <w:rFonts w:ascii="Helvetica" w:hAnsi="Helvetica"/>
                <w:color w:val="000000"/>
                <w:sz w:val="16"/>
              </w:rPr>
              <w:t xml:space="preserve"> </w:t>
            </w:r>
            <w:r>
              <w:rPr>
                <w:rFonts w:ascii="Helvetica" w:hAnsi="Helvetica"/>
                <w:b/>
                <w:color w:val="000000"/>
              </w:rPr>
              <w:fldChar w:fldCharType="begin">
                <w:ffData>
                  <w:name w:val="Text3"/>
                  <w:enabled/>
                  <w:calcOnExit w:val="0"/>
                  <w:textInput/>
                </w:ffData>
              </w:fldChar>
            </w:r>
            <w:bookmarkStart w:id="1" w:name="Text3"/>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color w:val="000000"/>
              </w:rPr>
              <w:fldChar w:fldCharType="end"/>
            </w:r>
            <w:bookmarkEnd w:id="1"/>
          </w:p>
        </w:tc>
      </w:tr>
      <w:tr w:rsidR="00230D0D" w:rsidTr="00B40DAC">
        <w:tc>
          <w:tcPr>
            <w:tcW w:w="5508" w:type="dxa"/>
            <w:tcBorders>
              <w:top w:val="single" w:sz="6" w:space="0" w:color="auto"/>
            </w:tcBorders>
          </w:tcPr>
          <w:p w:rsidR="00230D0D" w:rsidRDefault="00230D0D" w:rsidP="00B40DAC">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230D0D" w:rsidRDefault="00230D0D" w:rsidP="00B40DAC">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t>X</w:t>
            </w:r>
            <w:r>
              <w:rPr>
                <w:rFonts w:ascii="Helvetica" w:hAnsi="Helvetica"/>
                <w:b/>
                <w:color w:val="000000"/>
              </w:rPr>
              <w:t xml:space="preserve">  </w:t>
            </w:r>
            <w:r>
              <w:rPr>
                <w:rFonts w:ascii="Helvetica" w:hAnsi="Helvetica"/>
                <w:color w:val="000000"/>
                <w:sz w:val="16"/>
              </w:rPr>
              <w:t xml:space="preserve">New Collection </w:t>
            </w:r>
          </w:p>
          <w:p w:rsidR="00230D0D" w:rsidRDefault="00230D0D" w:rsidP="00B40DAC">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Revision of a currently approved collection</w:t>
            </w:r>
          </w:p>
          <w:p w:rsidR="00230D0D" w:rsidRDefault="00230D0D" w:rsidP="00B40DAC">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sz w:val="18"/>
              </w:rPr>
              <w:t xml:space="preserve"> </w:t>
            </w:r>
            <w:r>
              <w:rPr>
                <w:rFonts w:ascii="Helvetica" w:hAnsi="Helvetica"/>
                <w:b/>
                <w:color w:val="000000"/>
              </w:rPr>
              <w:t xml:space="preserve"> </w:t>
            </w:r>
            <w:r>
              <w:rPr>
                <w:rFonts w:ascii="Helvetica" w:hAnsi="Helvetica"/>
                <w:color w:val="000000"/>
                <w:sz w:val="16"/>
              </w:rPr>
              <w:t>Extension of a currently approved collection</w:t>
            </w:r>
          </w:p>
          <w:p w:rsidR="00230D0D" w:rsidRDefault="00230D0D" w:rsidP="00B40DAC">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Reinstatement, </w:t>
            </w:r>
            <w:r>
              <w:rPr>
                <w:rFonts w:ascii="Helvetica" w:hAnsi="Helvetica"/>
                <w:b/>
                <w:color w:val="000000"/>
                <w:sz w:val="16"/>
              </w:rPr>
              <w:t>without change</w:t>
            </w:r>
            <w:r>
              <w:rPr>
                <w:rFonts w:ascii="Helvetica" w:hAnsi="Helvetica"/>
                <w:color w:val="000000"/>
                <w:sz w:val="16"/>
              </w:rPr>
              <w:t xml:space="preserve">, of previously approved </w:t>
            </w:r>
          </w:p>
          <w:p w:rsidR="00230D0D" w:rsidRDefault="00230D0D" w:rsidP="00B40DAC">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230D0D" w:rsidRDefault="00230D0D" w:rsidP="00B40DAC">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Reinstatement, </w:t>
            </w:r>
            <w:r>
              <w:rPr>
                <w:rFonts w:ascii="Helvetica" w:hAnsi="Helvetica"/>
                <w:b/>
                <w:color w:val="000000"/>
                <w:sz w:val="16"/>
              </w:rPr>
              <w:t>with change</w:t>
            </w:r>
            <w:r>
              <w:rPr>
                <w:rFonts w:ascii="Helvetica" w:hAnsi="Helvetica"/>
                <w:color w:val="000000"/>
                <w:sz w:val="16"/>
              </w:rPr>
              <w:t xml:space="preserve">, of previously approved collection </w:t>
            </w:r>
          </w:p>
          <w:p w:rsidR="00230D0D" w:rsidRDefault="00230D0D" w:rsidP="00B40DAC">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230D0D" w:rsidRDefault="00230D0D" w:rsidP="00B40DAC">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Existing collection in use without an OMB control number</w:t>
            </w:r>
          </w:p>
          <w:p w:rsidR="00230D0D" w:rsidRDefault="00230D0D" w:rsidP="00B40DAC">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230D0D" w:rsidRDefault="00230D0D" w:rsidP="00B40DAC">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p w:rsidR="00230D0D" w:rsidRDefault="00230D0D" w:rsidP="00B40DAC">
            <w:pPr>
              <w:numPr>
                <w:ilvl w:val="0"/>
                <w:numId w:val="2"/>
              </w:numPr>
              <w:tabs>
                <w:tab w:val="left" w:pos="492"/>
                <w:tab w:val="left" w:pos="732"/>
              </w:tabs>
              <w:rPr>
                <w:rFonts w:ascii="Helvetica" w:hAnsi="Helvetica"/>
                <w:color w:val="000000"/>
                <w:sz w:val="16"/>
              </w:rPr>
            </w:pPr>
            <w:r>
              <w:rPr>
                <w:rFonts w:ascii="Helvetica" w:hAnsi="Helvetica"/>
                <w:b/>
                <w:color w:val="000000"/>
                <w:sz w:val="18"/>
              </w:rPr>
              <w:t xml:space="preserve">X </w:t>
            </w:r>
            <w:r>
              <w:rPr>
                <w:rFonts w:ascii="Helvetica" w:hAnsi="Helvetica"/>
                <w:b/>
                <w:color w:val="000000"/>
              </w:rPr>
              <w:t xml:space="preserve"> </w:t>
            </w:r>
            <w:r>
              <w:rPr>
                <w:rFonts w:ascii="Helvetica" w:hAnsi="Helvetica"/>
                <w:color w:val="000000"/>
                <w:sz w:val="16"/>
              </w:rPr>
              <w:t>Regular</w:t>
            </w:r>
          </w:p>
          <w:p w:rsidR="00230D0D" w:rsidRDefault="00230D0D" w:rsidP="00B40DAC">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Emergency - Approval requested by  </w:t>
            </w:r>
          </w:p>
          <w:p w:rsidR="00230D0D" w:rsidRDefault="00230D0D" w:rsidP="00B40DAC">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sz w:val="18"/>
              </w:rPr>
              <w:t xml:space="preserve"> </w:t>
            </w:r>
            <w:r>
              <w:rPr>
                <w:rFonts w:ascii="Helvetica" w:hAnsi="Helvetica"/>
                <w:b/>
                <w:color w:val="000000"/>
              </w:rPr>
              <w:t xml:space="preserve"> </w:t>
            </w:r>
            <w:r>
              <w:rPr>
                <w:rFonts w:ascii="Helvetica" w:hAnsi="Helvetica"/>
                <w:color w:val="000000"/>
                <w:sz w:val="16"/>
              </w:rPr>
              <w:t>Delegated</w:t>
            </w:r>
          </w:p>
          <w:p w:rsidR="00230D0D" w:rsidRDefault="00230D0D" w:rsidP="00B40DAC">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230D0D" w:rsidRDefault="00230D0D" w:rsidP="00B40DAC">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No</w:t>
            </w:r>
          </w:p>
          <w:p w:rsidR="00230D0D" w:rsidRDefault="00230D0D" w:rsidP="00B40DAC">
            <w:pPr>
              <w:tabs>
                <w:tab w:val="left" w:pos="240"/>
              </w:tabs>
              <w:spacing w:before="120"/>
              <w:rPr>
                <w:rFonts w:ascii="Helvetica" w:hAnsi="Helvetica"/>
                <w:color w:val="000000"/>
                <w:sz w:val="16"/>
              </w:rPr>
            </w:pPr>
            <w:r>
              <w:rPr>
                <w:rFonts w:ascii="Helvetica" w:hAnsi="Helvetica"/>
                <w:color w:val="000000"/>
                <w:sz w:val="16"/>
              </w:rPr>
              <w:t>6.</w:t>
            </w:r>
            <w:r>
              <w:rPr>
                <w:rFonts w:ascii="Helvetica" w:hAnsi="Helvetica"/>
                <w:color w:val="000000"/>
                <w:sz w:val="16"/>
              </w:rPr>
              <w:tab/>
            </w:r>
            <w:r>
              <w:rPr>
                <w:rFonts w:ascii="Helvetica" w:hAnsi="Helvetica"/>
                <w:color w:val="000000"/>
                <w:sz w:val="14"/>
              </w:rPr>
              <w:t>Requested expiration date:</w:t>
            </w:r>
          </w:p>
          <w:p w:rsidR="00230D0D" w:rsidRDefault="00230D0D" w:rsidP="00B40DAC">
            <w:pPr>
              <w:tabs>
                <w:tab w:val="left" w:pos="240"/>
                <w:tab w:val="left" w:pos="3132"/>
              </w:tabs>
              <w:ind w:left="252"/>
              <w:rPr>
                <w:rFonts w:ascii="Helvetica" w:hAnsi="Helvetica"/>
                <w:color w:val="000000"/>
                <w:sz w:val="16"/>
              </w:rPr>
            </w:pPr>
            <w:r>
              <w:rPr>
                <w:rFonts w:ascii="Helvetica" w:hAnsi="Helvetica"/>
                <w:color w:val="000000"/>
                <w:sz w:val="16"/>
              </w:rPr>
              <w:t xml:space="preserve">a.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Three years from approval date  </w:t>
            </w:r>
            <w:r>
              <w:rPr>
                <w:rFonts w:ascii="Helvetica" w:hAnsi="Helvetica"/>
                <w:color w:val="000000"/>
                <w:sz w:val="16"/>
              </w:rPr>
              <w:tab/>
              <w:t xml:space="preserve">b.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Other (specify)</w:t>
            </w:r>
          </w:p>
          <w:p w:rsidR="00230D0D" w:rsidRDefault="00230D0D" w:rsidP="00B40DAC">
            <w:pPr>
              <w:tabs>
                <w:tab w:val="left" w:pos="3252"/>
              </w:tabs>
              <w:spacing w:after="60"/>
              <w:rPr>
                <w:rFonts w:ascii="Helvetica" w:hAnsi="Helvetica"/>
                <w:color w:val="000000"/>
                <w:sz w:val="16"/>
              </w:rPr>
            </w:pPr>
            <w:r>
              <w:rPr>
                <w:rFonts w:ascii="Helvetica" w:hAnsi="Helvetica"/>
                <w:color w:val="000000"/>
                <w:sz w:val="18"/>
              </w:rPr>
              <w:tab/>
              <w:t xml:space="preserve"> </w:t>
            </w:r>
            <w:r>
              <w:rPr>
                <w:rFonts w:ascii="Helvetica" w:hAnsi="Helvetica"/>
                <w:color w:val="000000"/>
                <w:sz w:val="18"/>
              </w:rPr>
              <w:fldChar w:fldCharType="begin">
                <w:ffData>
                  <w:name w:val="Text5"/>
                  <w:enabled/>
                  <w:calcOnExit w:val="0"/>
                  <w:textInput/>
                </w:ffData>
              </w:fldChar>
            </w:r>
            <w:bookmarkStart w:id="2" w:name="Text5"/>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bookmarkEnd w:id="2"/>
          </w:p>
        </w:tc>
      </w:tr>
    </w:tbl>
    <w:p w:rsidR="00230D0D" w:rsidRDefault="00230D0D" w:rsidP="00230D0D">
      <w:pPr>
        <w:pBdr>
          <w:top w:val="single" w:sz="6" w:space="0" w:color="auto"/>
        </w:pBdr>
        <w:tabs>
          <w:tab w:val="left" w:pos="240"/>
        </w:tabs>
        <w:ind w:right="-120"/>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230D0D" w:rsidRDefault="00230D0D" w:rsidP="00230D0D">
      <w:pPr>
        <w:tabs>
          <w:tab w:val="left" w:pos="240"/>
        </w:tabs>
        <w:spacing w:after="40"/>
        <w:ind w:left="120" w:right="-120"/>
        <w:rPr>
          <w:rFonts w:ascii="Helvetica" w:hAnsi="Helvetica"/>
          <w:color w:val="000000"/>
          <w:sz w:val="18"/>
        </w:rPr>
      </w:pPr>
      <w:r>
        <w:rPr>
          <w:rFonts w:ascii="Helvetica" w:hAnsi="Helvetica"/>
          <w:b/>
          <w:color w:val="000000"/>
          <w:sz w:val="18"/>
        </w:rPr>
        <w:t>Application for OneCPD Technical Assistance and Capacity Building Program NOFA</w:t>
      </w:r>
    </w:p>
    <w:p w:rsidR="00230D0D" w:rsidRDefault="00230D0D" w:rsidP="00230D0D">
      <w:pPr>
        <w:tabs>
          <w:tab w:val="left" w:pos="240"/>
        </w:tabs>
        <w:spacing w:after="40"/>
        <w:ind w:left="120" w:right="-120"/>
        <w:rPr>
          <w:rFonts w:ascii="Helvetica" w:hAnsi="Helvetica"/>
          <w:color w:val="000000"/>
          <w:sz w:val="18"/>
        </w:rPr>
      </w:pPr>
    </w:p>
    <w:p w:rsidR="00230D0D" w:rsidRDefault="00230D0D" w:rsidP="00230D0D">
      <w:pPr>
        <w:pBdr>
          <w:top w:val="single" w:sz="6" w:space="0" w:color="auto"/>
        </w:pBdr>
        <w:tabs>
          <w:tab w:val="left" w:pos="240"/>
        </w:tabs>
        <w:spacing w:line="180" w:lineRule="exact"/>
        <w:ind w:right="-120"/>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230D0D" w:rsidRDefault="00230D0D" w:rsidP="00230D0D">
      <w:pPr>
        <w:spacing w:after="40"/>
        <w:ind w:left="120" w:right="-120"/>
        <w:rPr>
          <w:rFonts w:ascii="Helvetica" w:hAnsi="Helvetica"/>
          <w:color w:val="000000"/>
          <w:sz w:val="18"/>
        </w:rPr>
      </w:pPr>
      <w:r>
        <w:rPr>
          <w:rFonts w:ascii="Helvetica" w:hAnsi="Helvetica"/>
          <w:color w:val="000000"/>
          <w:sz w:val="18"/>
        </w:rPr>
        <w:t>SF-424, HUD-424-CB, HUD-424-CBW, SF-424 Supplement; SF-LLL, HUD-2880, SF-425; HUD-40040; HUD-40044</w:t>
      </w:r>
    </w:p>
    <w:p w:rsidR="00230D0D" w:rsidRDefault="00230D0D" w:rsidP="00230D0D">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230D0D" w:rsidRDefault="00230D0D" w:rsidP="00230D0D">
      <w:pPr>
        <w:spacing w:after="40"/>
        <w:ind w:left="120" w:right="-120"/>
        <w:rPr>
          <w:rFonts w:ascii="Helvetica" w:hAnsi="Helvetica"/>
          <w:color w:val="000000"/>
          <w:sz w:val="18"/>
        </w:rPr>
      </w:pPr>
      <w:r>
        <w:rPr>
          <w:rFonts w:ascii="Helvetica" w:hAnsi="Helvetica"/>
          <w:color w:val="000000"/>
          <w:sz w:val="18"/>
        </w:rPr>
        <w:t>Housing, technical assistance, capacity building, Transformation Initiative, OneCPD</w:t>
      </w:r>
    </w:p>
    <w:p w:rsidR="00230D0D" w:rsidRDefault="00230D0D" w:rsidP="00230D0D">
      <w:pPr>
        <w:spacing w:after="40"/>
        <w:ind w:left="120" w:right="-120"/>
        <w:rPr>
          <w:rFonts w:ascii="Helvetica" w:hAnsi="Helvetica"/>
          <w:color w:val="000000"/>
          <w:sz w:val="18"/>
        </w:rPr>
      </w:pPr>
    </w:p>
    <w:p w:rsidR="00230D0D" w:rsidRDefault="00230D0D" w:rsidP="00230D0D">
      <w:pPr>
        <w:pBdr>
          <w:top w:val="single" w:sz="6" w:space="0" w:color="auto"/>
        </w:pBdr>
        <w:tabs>
          <w:tab w:val="left" w:pos="240"/>
        </w:tabs>
        <w:ind w:right="-120"/>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230D0D" w:rsidRDefault="00230D0D" w:rsidP="00230D0D">
      <w:pPr>
        <w:tabs>
          <w:tab w:val="left" w:pos="240"/>
        </w:tabs>
        <w:spacing w:after="60"/>
        <w:ind w:left="120" w:right="-120"/>
        <w:rPr>
          <w:color w:val="000000"/>
          <w:sz w:val="22"/>
        </w:rPr>
      </w:pPr>
      <w:r>
        <w:rPr>
          <w:color w:val="000000"/>
          <w:sz w:val="22"/>
        </w:rPr>
        <w:t>Application for technical assistance funds with which CPD grantees will engage providers to supply expertise to shape their resources into effective, coordinated, neighborhood and community development strategies to revitalize and physically, socially and economically strengthen their communities.  These actions reduce burden because information will be collected using forms instead of narrative.</w:t>
      </w:r>
    </w:p>
    <w:p w:rsidR="00230D0D" w:rsidRDefault="00230D0D" w:rsidP="00230D0D">
      <w:pPr>
        <w:tabs>
          <w:tab w:val="left" w:pos="240"/>
        </w:tabs>
        <w:spacing w:after="60"/>
        <w:ind w:left="120" w:right="-120"/>
        <w:rPr>
          <w:rFonts w:ascii="Helvetica" w:hAnsi="Helvetica"/>
          <w:color w:val="000000"/>
          <w:sz w:val="16"/>
        </w:rPr>
      </w:pPr>
    </w:p>
    <w:tbl>
      <w:tblPr>
        <w:tblW w:w="0" w:type="auto"/>
        <w:tblLayout w:type="fixed"/>
        <w:tblLook w:val="0000" w:firstRow="0" w:lastRow="0" w:firstColumn="0" w:lastColumn="0" w:noHBand="0" w:noVBand="0"/>
      </w:tblPr>
      <w:tblGrid>
        <w:gridCol w:w="4908"/>
        <w:gridCol w:w="720"/>
        <w:gridCol w:w="5388"/>
      </w:tblGrid>
      <w:tr w:rsidR="00230D0D" w:rsidTr="00B40DAC">
        <w:trPr>
          <w:trHeight w:val="1129"/>
        </w:trPr>
        <w:tc>
          <w:tcPr>
            <w:tcW w:w="5628" w:type="dxa"/>
            <w:gridSpan w:val="2"/>
            <w:tcBorders>
              <w:top w:val="single" w:sz="6" w:space="0" w:color="auto"/>
              <w:right w:val="single" w:sz="6" w:space="0" w:color="auto"/>
            </w:tcBorders>
          </w:tcPr>
          <w:p w:rsidR="00230D0D" w:rsidRDefault="00230D0D" w:rsidP="00B40DAC">
            <w:pPr>
              <w:keepLines/>
              <w:tabs>
                <w:tab w:val="left" w:pos="240"/>
              </w:tabs>
              <w:rPr>
                <w:rFonts w:ascii="Helvetica" w:hAnsi="Helvetica"/>
                <w:color w:val="000000"/>
                <w:sz w:val="14"/>
              </w:rPr>
            </w:pPr>
            <w:r>
              <w:rPr>
                <w:rFonts w:ascii="Helvetica" w:hAnsi="Helvetica"/>
                <w:color w:val="000000"/>
                <w:sz w:val="16"/>
              </w:rPr>
              <w:t xml:space="preserve">11. </w:t>
            </w:r>
            <w:r>
              <w:rPr>
                <w:rFonts w:ascii="Helvetica" w:hAnsi="Helvetica"/>
                <w:color w:val="000000"/>
                <w:sz w:val="14"/>
              </w:rPr>
              <w:t>Affected public:  (mark primary with “P” and all others that apply with “X”)</w:t>
            </w:r>
          </w:p>
          <w:p w:rsidR="00230D0D" w:rsidRDefault="00230D0D" w:rsidP="00B40DAC">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a.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Individuals or households</w:t>
            </w:r>
            <w:r>
              <w:rPr>
                <w:rFonts w:ascii="Helvetica" w:hAnsi="Helvetica"/>
                <w:color w:val="000000"/>
                <w:sz w:val="16"/>
              </w:rPr>
              <w:tab/>
              <w:t xml:space="preserve">e.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Farms</w:t>
            </w:r>
          </w:p>
          <w:p w:rsidR="00230D0D" w:rsidRDefault="00230D0D" w:rsidP="00B40DAC">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t>X</w:t>
            </w:r>
            <w:r>
              <w:rPr>
                <w:rFonts w:ascii="Helvetica" w:hAnsi="Helvetica"/>
                <w:b/>
                <w:color w:val="000000"/>
                <w:sz w:val="18"/>
              </w:rPr>
              <w:tab/>
            </w:r>
            <w:r>
              <w:rPr>
                <w:rFonts w:ascii="Helvetica" w:hAnsi="Helvetica"/>
                <w:color w:val="000000"/>
                <w:sz w:val="16"/>
              </w:rPr>
              <w:t>Business or other for-profit</w:t>
            </w:r>
            <w:r>
              <w:rPr>
                <w:rFonts w:ascii="Helvetica" w:hAnsi="Helvetica"/>
                <w:color w:val="000000"/>
                <w:sz w:val="16"/>
              </w:rPr>
              <w:tab/>
              <w:t xml:space="preserve">f.  </w:t>
            </w:r>
            <w:r>
              <w:rPr>
                <w:rFonts w:ascii="Helvetica" w:hAnsi="Helvetica"/>
                <w:b/>
                <w:color w:val="000000"/>
                <w:sz w:val="18"/>
              </w:rPr>
              <w:fldChar w:fldCharType="begin">
                <w:ffData>
                  <w:name w:val="Text17"/>
                  <w:enabled/>
                  <w:calcOnExit w:val="0"/>
                  <w:textInput>
                    <w:maxLength w:val="1"/>
                  </w:textInput>
                </w:ffData>
              </w:fldChar>
            </w:r>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r>
              <w:rPr>
                <w:rFonts w:ascii="Helvetica" w:hAnsi="Helvetica"/>
                <w:b/>
                <w:color w:val="000000"/>
                <w:sz w:val="18"/>
              </w:rPr>
              <w:tab/>
            </w:r>
            <w:r>
              <w:rPr>
                <w:rFonts w:ascii="Helvetica" w:hAnsi="Helvetica"/>
                <w:color w:val="000000"/>
                <w:sz w:val="16"/>
              </w:rPr>
              <w:t>Federal Government</w:t>
            </w:r>
          </w:p>
          <w:p w:rsidR="00230D0D" w:rsidRDefault="00230D0D" w:rsidP="00B40DAC">
            <w:pPr>
              <w:keepLines/>
              <w:tabs>
                <w:tab w:val="left" w:pos="240"/>
                <w:tab w:val="left" w:pos="480"/>
                <w:tab w:val="left" w:pos="2640"/>
                <w:tab w:val="left" w:pos="3000"/>
              </w:tabs>
              <w:ind w:left="120" w:right="-108"/>
              <w:rPr>
                <w:rFonts w:ascii="Helvetica" w:hAnsi="Helvetica"/>
                <w:color w:val="000000"/>
                <w:sz w:val="16"/>
              </w:rPr>
            </w:pPr>
            <w:r>
              <w:rPr>
                <w:rFonts w:ascii="Helvetica" w:hAnsi="Helvetica"/>
                <w:color w:val="000000"/>
                <w:sz w:val="16"/>
              </w:rPr>
              <w:t xml:space="preserve">c. </w:t>
            </w:r>
            <w:r>
              <w:rPr>
                <w:rFonts w:ascii="Helvetica" w:hAnsi="Helvetica"/>
                <w:b/>
                <w:color w:val="000000"/>
                <w:sz w:val="18"/>
              </w:rPr>
              <w:t>P</w:t>
            </w:r>
            <w:r>
              <w:rPr>
                <w:rFonts w:ascii="Helvetica" w:hAnsi="Helvetica"/>
                <w:b/>
                <w:color w:val="000000"/>
                <w:sz w:val="18"/>
              </w:rPr>
              <w:tab/>
            </w:r>
            <w:r>
              <w:rPr>
                <w:rFonts w:ascii="Helvetica" w:hAnsi="Helvetica"/>
                <w:color w:val="000000"/>
                <w:sz w:val="16"/>
              </w:rPr>
              <w:t>Not-for-profit institutions</w:t>
            </w:r>
            <w:r>
              <w:rPr>
                <w:rFonts w:ascii="Helvetica" w:hAnsi="Helvetica"/>
                <w:color w:val="000000"/>
                <w:sz w:val="16"/>
              </w:rPr>
              <w:tab/>
              <w:t xml:space="preserve">g. </w:t>
            </w:r>
            <w:r>
              <w:rPr>
                <w:rFonts w:ascii="Helvetica" w:hAnsi="Helvetica"/>
                <w:b/>
                <w:color w:val="000000"/>
                <w:sz w:val="18"/>
              </w:rPr>
              <w:t>X</w:t>
            </w:r>
            <w:r>
              <w:rPr>
                <w:rFonts w:ascii="Helvetica" w:hAnsi="Helvetica"/>
                <w:b/>
                <w:color w:val="000000"/>
                <w:sz w:val="18"/>
              </w:rPr>
              <w:tab/>
            </w:r>
            <w:r>
              <w:rPr>
                <w:rFonts w:ascii="Helvetica" w:hAnsi="Helvetica"/>
                <w:color w:val="000000"/>
                <w:sz w:val="16"/>
              </w:rPr>
              <w:t>State, Local or Tribal Government</w:t>
            </w:r>
          </w:p>
        </w:tc>
        <w:tc>
          <w:tcPr>
            <w:tcW w:w="5388" w:type="dxa"/>
            <w:tcBorders>
              <w:top w:val="single" w:sz="6" w:space="0" w:color="auto"/>
              <w:left w:val="nil"/>
            </w:tcBorders>
          </w:tcPr>
          <w:p w:rsidR="00230D0D" w:rsidRDefault="00230D0D" w:rsidP="00B40DAC">
            <w:pPr>
              <w:tabs>
                <w:tab w:val="left" w:pos="240"/>
              </w:tabs>
              <w:ind w:right="-120"/>
              <w:rPr>
                <w:rFonts w:ascii="Helvetica" w:hAnsi="Helvetica"/>
                <w:color w:val="000000"/>
                <w:sz w:val="14"/>
              </w:rPr>
            </w:pPr>
            <w:r>
              <w:rPr>
                <w:rFonts w:ascii="Helvetica" w:hAnsi="Helvetica"/>
                <w:color w:val="000000"/>
                <w:sz w:val="16"/>
              </w:rPr>
              <w:t xml:space="preserve">12. </w:t>
            </w:r>
            <w:r>
              <w:rPr>
                <w:rFonts w:ascii="Helvetica" w:hAnsi="Helvetica"/>
                <w:color w:val="000000"/>
                <w:sz w:val="14"/>
              </w:rPr>
              <w:t>Obligation to respond:  (mark primary with “P” and all others that apply with “X”)</w:t>
            </w:r>
          </w:p>
          <w:p w:rsidR="00230D0D" w:rsidRDefault="00230D0D" w:rsidP="00B40DAC">
            <w:pPr>
              <w:tabs>
                <w:tab w:val="left" w:pos="492"/>
                <w:tab w:val="left" w:pos="2520"/>
              </w:tabs>
              <w:ind w:left="120"/>
              <w:rPr>
                <w:rFonts w:ascii="Helvetica" w:hAnsi="Helvetica"/>
                <w:color w:val="000000"/>
                <w:sz w:val="16"/>
              </w:rPr>
            </w:pPr>
            <w:r>
              <w:rPr>
                <w:rFonts w:ascii="Helvetica" w:hAnsi="Helvetica"/>
                <w:color w:val="000000"/>
                <w:sz w:val="16"/>
              </w:rPr>
              <w:t>a.</w:t>
            </w:r>
            <w:r>
              <w:rPr>
                <w:rFonts w:ascii="Helvetica" w:hAnsi="Helvetica"/>
                <w:color w:val="000000"/>
                <w:sz w:val="14"/>
              </w:rPr>
              <w:t xml:space="preserve"> </w:t>
            </w:r>
            <w:r>
              <w:rPr>
                <w:rFonts w:ascii="Helvetica" w:hAnsi="Helvetica"/>
                <w:b/>
                <w:color w:val="000000"/>
                <w:sz w:val="18"/>
              </w:rPr>
              <w:fldChar w:fldCharType="begin">
                <w:ffData>
                  <w:name w:val="Text25"/>
                  <w:enabled/>
                  <w:calcOnExit w:val="0"/>
                  <w:textInput>
                    <w:maxLength w:val="1"/>
                  </w:textInput>
                </w:ffData>
              </w:fldChar>
            </w:r>
            <w:bookmarkStart w:id="3" w:name="Text25"/>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bookmarkEnd w:id="3"/>
            <w:r>
              <w:rPr>
                <w:rFonts w:ascii="Helvetica" w:hAnsi="Helvetica"/>
                <w:color w:val="000000"/>
                <w:sz w:val="14"/>
              </w:rPr>
              <w:tab/>
            </w:r>
            <w:r>
              <w:rPr>
                <w:rFonts w:ascii="Helvetica" w:hAnsi="Helvetica"/>
                <w:color w:val="000000"/>
                <w:sz w:val="16"/>
              </w:rPr>
              <w:t>Voluntary</w:t>
            </w:r>
          </w:p>
          <w:p w:rsidR="00230D0D" w:rsidRDefault="00230D0D" w:rsidP="00B40DAC">
            <w:pPr>
              <w:tabs>
                <w:tab w:val="left" w:pos="492"/>
                <w:tab w:val="left" w:pos="2520"/>
              </w:tabs>
              <w:ind w:left="120"/>
              <w:rPr>
                <w:rFonts w:ascii="Helvetica" w:hAnsi="Helvetica"/>
                <w:color w:val="000000"/>
                <w:sz w:val="16"/>
              </w:rPr>
            </w:pPr>
            <w:r>
              <w:rPr>
                <w:rFonts w:ascii="Helvetica" w:hAnsi="Helvetica"/>
                <w:color w:val="000000"/>
                <w:sz w:val="16"/>
              </w:rPr>
              <w:t xml:space="preserve">b. </w:t>
            </w:r>
            <w:r>
              <w:rPr>
                <w:rFonts w:ascii="Helvetica" w:hAnsi="Helvetica"/>
                <w:b/>
                <w:color w:val="000000"/>
                <w:sz w:val="18"/>
              </w:rPr>
              <w:t>P</w:t>
            </w:r>
            <w:r>
              <w:rPr>
                <w:rFonts w:ascii="Helvetica" w:hAnsi="Helvetica"/>
                <w:color w:val="000000"/>
                <w:sz w:val="16"/>
              </w:rPr>
              <w:tab/>
              <w:t>Required to obtain or retain benefits</w:t>
            </w:r>
          </w:p>
          <w:p w:rsidR="00230D0D" w:rsidRDefault="00230D0D" w:rsidP="00B40DAC">
            <w:pPr>
              <w:tabs>
                <w:tab w:val="left" w:pos="492"/>
              </w:tabs>
              <w:spacing w:after="60"/>
              <w:ind w:left="120"/>
              <w:rPr>
                <w:rFonts w:ascii="Helvetica" w:hAnsi="Helvetica"/>
                <w:color w:val="000000"/>
                <w:sz w:val="16"/>
              </w:rPr>
            </w:pPr>
            <w:r>
              <w:rPr>
                <w:rFonts w:ascii="Helvetica" w:hAnsi="Helvetica"/>
                <w:color w:val="000000"/>
                <w:sz w:val="16"/>
              </w:rPr>
              <w:t xml:space="preserve">c. </w:t>
            </w:r>
            <w:r>
              <w:rPr>
                <w:rFonts w:ascii="Helvetica" w:hAnsi="Helvetica"/>
                <w:b/>
                <w:color w:val="000000"/>
                <w:sz w:val="18"/>
              </w:rPr>
              <w:fldChar w:fldCharType="begin">
                <w:ffData>
                  <w:name w:val="Text27"/>
                  <w:enabled/>
                  <w:calcOnExit w:val="0"/>
                  <w:textInput>
                    <w:maxLength w:val="1"/>
                  </w:textInput>
                </w:ffData>
              </w:fldChar>
            </w:r>
            <w:bookmarkStart w:id="4" w:name="Text27"/>
            <w:r>
              <w:rPr>
                <w:rFonts w:ascii="Helvetica" w:hAnsi="Helvetica"/>
                <w:b/>
                <w:color w:val="000000"/>
                <w:sz w:val="18"/>
              </w:rPr>
              <w:instrText xml:space="preserve"> FORMTEXT </w:instrText>
            </w:r>
            <w:r>
              <w:rPr>
                <w:rFonts w:ascii="Helvetica" w:hAnsi="Helvetica"/>
                <w:b/>
                <w:color w:val="000000"/>
                <w:sz w:val="18"/>
              </w:rPr>
            </w:r>
            <w:r>
              <w:rPr>
                <w:rFonts w:ascii="Helvetica" w:hAnsi="Helvetica"/>
                <w:b/>
                <w:color w:val="000000"/>
                <w:sz w:val="18"/>
              </w:rPr>
              <w:fldChar w:fldCharType="separate"/>
            </w:r>
            <w:r>
              <w:rPr>
                <w:rFonts w:ascii="Helvetica" w:hAnsi="Helvetica"/>
                <w:b/>
                <w:noProof/>
                <w:color w:val="000000"/>
                <w:sz w:val="18"/>
              </w:rPr>
              <w:t> </w:t>
            </w:r>
            <w:r>
              <w:rPr>
                <w:rFonts w:ascii="Helvetica" w:hAnsi="Helvetica"/>
                <w:b/>
                <w:color w:val="000000"/>
                <w:sz w:val="18"/>
              </w:rPr>
              <w:fldChar w:fldCharType="end"/>
            </w:r>
            <w:bookmarkEnd w:id="4"/>
            <w:r>
              <w:rPr>
                <w:rFonts w:ascii="Helvetica" w:hAnsi="Helvetica"/>
                <w:color w:val="000000"/>
                <w:sz w:val="16"/>
              </w:rPr>
              <w:tab/>
              <w:t>Mandatory</w:t>
            </w:r>
          </w:p>
        </w:tc>
      </w:tr>
      <w:tr w:rsidR="00230D0D" w:rsidTr="00B40DAC">
        <w:trPr>
          <w:trHeight w:val="2146"/>
        </w:trPr>
        <w:tc>
          <w:tcPr>
            <w:tcW w:w="5628" w:type="dxa"/>
            <w:gridSpan w:val="2"/>
            <w:tcBorders>
              <w:top w:val="single" w:sz="6" w:space="0" w:color="auto"/>
              <w:right w:val="single" w:sz="6" w:space="0" w:color="auto"/>
            </w:tcBorders>
          </w:tcPr>
          <w:p w:rsidR="00230D0D" w:rsidRDefault="00230D0D" w:rsidP="00B40DAC">
            <w:pPr>
              <w:keepLines/>
              <w:tabs>
                <w:tab w:val="left" w:pos="240"/>
              </w:tabs>
              <w:rPr>
                <w:rFonts w:ascii="Helvetica" w:hAnsi="Helvetica"/>
                <w:color w:val="000000"/>
                <w:sz w:val="14"/>
              </w:rPr>
            </w:pPr>
            <w:r>
              <w:rPr>
                <w:rFonts w:ascii="Helvetica" w:hAnsi="Helvetica"/>
                <w:color w:val="000000"/>
                <w:sz w:val="16"/>
              </w:rPr>
              <w:t xml:space="preserve">13. </w:t>
            </w:r>
            <w:r>
              <w:rPr>
                <w:rFonts w:ascii="Helvetica" w:hAnsi="Helvetica"/>
                <w:color w:val="000000"/>
                <w:sz w:val="14"/>
              </w:rPr>
              <w:t>Annual reporting and recordkeeping hour burden:</w:t>
            </w:r>
          </w:p>
          <w:p w:rsidR="00230D0D" w:rsidRDefault="00BE6263" w:rsidP="00B40DAC">
            <w:pPr>
              <w:keepLines/>
              <w:tabs>
                <w:tab w:val="left" w:pos="240"/>
                <w:tab w:val="right" w:pos="5040"/>
              </w:tabs>
              <w:ind w:left="120"/>
              <w:rPr>
                <w:rFonts w:ascii="Helvetica" w:hAnsi="Helvetica"/>
                <w:color w:val="000000"/>
                <w:sz w:val="16"/>
              </w:rPr>
            </w:pPr>
            <w:r>
              <w:rPr>
                <w:rFonts w:ascii="Helvetica" w:hAnsi="Helvetica"/>
                <w:color w:val="000000"/>
                <w:sz w:val="16"/>
              </w:rPr>
              <w:t>a. Number of respondents</w:t>
            </w:r>
            <w:r>
              <w:rPr>
                <w:rFonts w:ascii="Helvetica" w:hAnsi="Helvetica"/>
                <w:color w:val="000000"/>
                <w:sz w:val="16"/>
              </w:rPr>
              <w:tab/>
              <w:t>95</w:t>
            </w:r>
          </w:p>
          <w:p w:rsidR="00230D0D" w:rsidRDefault="00BE6263" w:rsidP="00B40DAC">
            <w:pPr>
              <w:keepLines/>
              <w:tabs>
                <w:tab w:val="left" w:pos="240"/>
                <w:tab w:val="right" w:pos="5040"/>
              </w:tabs>
              <w:ind w:left="120"/>
              <w:rPr>
                <w:rFonts w:ascii="Helvetica" w:hAnsi="Helvetica"/>
                <w:color w:val="000000"/>
                <w:sz w:val="16"/>
              </w:rPr>
            </w:pPr>
            <w:r>
              <w:rPr>
                <w:rFonts w:ascii="Helvetica" w:hAnsi="Helvetica"/>
                <w:color w:val="000000"/>
                <w:sz w:val="16"/>
              </w:rPr>
              <w:t>b. Total annual responses</w:t>
            </w:r>
            <w:r>
              <w:rPr>
                <w:rFonts w:ascii="Helvetica" w:hAnsi="Helvetica"/>
                <w:color w:val="000000"/>
                <w:sz w:val="16"/>
              </w:rPr>
              <w:tab/>
              <w:t>425</w:t>
            </w:r>
          </w:p>
          <w:p w:rsidR="00230D0D" w:rsidRDefault="00230D0D" w:rsidP="00B40DAC">
            <w:pPr>
              <w:keepLines/>
              <w:numPr>
                <w:ilvl w:val="12"/>
                <w:numId w:val="0"/>
              </w:numPr>
              <w:tabs>
                <w:tab w:val="left" w:pos="600"/>
                <w:tab w:val="right" w:pos="5040"/>
              </w:tabs>
              <w:ind w:left="360"/>
              <w:rPr>
                <w:rFonts w:ascii="Helvetica" w:hAnsi="Helvetica"/>
                <w:color w:val="000000"/>
                <w:sz w:val="16"/>
              </w:rPr>
            </w:pPr>
            <w:r>
              <w:rPr>
                <w:rFonts w:ascii="Helvetica" w:hAnsi="Helvetica"/>
                <w:color w:val="000000"/>
                <w:sz w:val="16"/>
              </w:rPr>
              <w:t xml:space="preserve">Percentage of these responses collected electronically </w:t>
            </w:r>
            <w:r>
              <w:rPr>
                <w:rFonts w:ascii="Helvetica" w:hAnsi="Helvetica"/>
                <w:color w:val="000000"/>
                <w:sz w:val="16"/>
              </w:rPr>
              <w:tab/>
            </w:r>
            <w:r>
              <w:rPr>
                <w:rFonts w:ascii="Helvetica" w:hAnsi="Helvetica"/>
                <w:color w:val="000000"/>
                <w:sz w:val="18"/>
              </w:rPr>
              <w:t>100%</w:t>
            </w:r>
          </w:p>
          <w:p w:rsidR="00230D0D" w:rsidRDefault="00230D0D" w:rsidP="00B40DAC">
            <w:pPr>
              <w:keepLines/>
              <w:numPr>
                <w:ilvl w:val="12"/>
                <w:numId w:val="0"/>
              </w:numPr>
              <w:tabs>
                <w:tab w:val="left" w:pos="240"/>
                <w:tab w:val="right" w:pos="5040"/>
              </w:tabs>
              <w:ind w:left="480" w:hanging="360"/>
              <w:rPr>
                <w:rFonts w:ascii="Helvetica" w:hAnsi="Helvetica"/>
                <w:color w:val="000000"/>
                <w:sz w:val="16"/>
              </w:rPr>
            </w:pPr>
            <w:r>
              <w:rPr>
                <w:rFonts w:ascii="Helvetica" w:hAnsi="Helvetica"/>
                <w:color w:val="000000"/>
                <w:sz w:val="16"/>
              </w:rPr>
              <w:t>c. Total annual hours requested</w:t>
            </w:r>
            <w:r>
              <w:rPr>
                <w:rFonts w:ascii="Helvetica" w:hAnsi="Helvetica"/>
                <w:color w:val="000000"/>
                <w:sz w:val="16"/>
              </w:rPr>
              <w:tab/>
            </w:r>
            <w:r w:rsidR="00770F4D">
              <w:rPr>
                <w:rFonts w:ascii="Helvetica" w:hAnsi="Helvetica"/>
                <w:color w:val="000000"/>
                <w:sz w:val="16"/>
              </w:rPr>
              <w:t>5,050</w:t>
            </w:r>
          </w:p>
          <w:p w:rsidR="00230D0D" w:rsidRDefault="00230D0D" w:rsidP="00B40DAC">
            <w:pPr>
              <w:keepLines/>
              <w:numPr>
                <w:ilvl w:val="12"/>
                <w:numId w:val="0"/>
              </w:numPr>
              <w:tabs>
                <w:tab w:val="left" w:pos="240"/>
                <w:tab w:val="right" w:pos="5040"/>
              </w:tabs>
              <w:ind w:left="480" w:hanging="360"/>
              <w:rPr>
                <w:rFonts w:ascii="Helvetica" w:hAnsi="Helvetica"/>
                <w:color w:val="000000"/>
                <w:sz w:val="16"/>
              </w:rPr>
            </w:pPr>
            <w:r>
              <w:rPr>
                <w:rFonts w:ascii="Helvetica" w:hAnsi="Helvetica"/>
                <w:color w:val="000000"/>
                <w:sz w:val="16"/>
              </w:rPr>
              <w:t>d. Current OMB inventory</w:t>
            </w:r>
            <w:r>
              <w:rPr>
                <w:rFonts w:ascii="Helvetica" w:hAnsi="Helvetica"/>
                <w:color w:val="000000"/>
                <w:sz w:val="16"/>
              </w:rPr>
              <w:tab/>
              <w:t>0</w:t>
            </w:r>
          </w:p>
          <w:p w:rsidR="00230D0D" w:rsidRDefault="00230D0D" w:rsidP="00B40DAC">
            <w:pPr>
              <w:keepLines/>
              <w:tabs>
                <w:tab w:val="left" w:pos="240"/>
                <w:tab w:val="right" w:pos="5040"/>
              </w:tabs>
              <w:ind w:left="120"/>
              <w:rPr>
                <w:rFonts w:ascii="Helvetica" w:hAnsi="Helvetica"/>
                <w:color w:val="000000"/>
                <w:sz w:val="16"/>
              </w:rPr>
            </w:pPr>
            <w:r>
              <w:rPr>
                <w:rFonts w:ascii="Helvetica" w:hAnsi="Helvetica"/>
                <w:color w:val="000000"/>
                <w:sz w:val="16"/>
              </w:rPr>
              <w:t>e. Difference (+,-)</w:t>
            </w:r>
            <w:r>
              <w:rPr>
                <w:rFonts w:ascii="Helvetica" w:hAnsi="Helvetica"/>
                <w:color w:val="000000"/>
                <w:sz w:val="16"/>
              </w:rPr>
              <w:tab/>
            </w:r>
            <w:r w:rsidR="00770F4D">
              <w:rPr>
                <w:rFonts w:ascii="Helvetica" w:hAnsi="Helvetica"/>
                <w:color w:val="000000"/>
                <w:sz w:val="16"/>
              </w:rPr>
              <w:t>5,050</w:t>
            </w:r>
          </w:p>
          <w:p w:rsidR="00230D0D" w:rsidRDefault="00230D0D" w:rsidP="00B40DAC">
            <w:pPr>
              <w:keepLines/>
              <w:numPr>
                <w:ilvl w:val="12"/>
                <w:numId w:val="0"/>
              </w:numPr>
              <w:tabs>
                <w:tab w:val="left" w:pos="240"/>
                <w:tab w:val="right" w:pos="4800"/>
              </w:tabs>
              <w:ind w:left="480" w:hanging="360"/>
              <w:rPr>
                <w:rFonts w:ascii="Helvetica" w:hAnsi="Helvetica"/>
                <w:color w:val="000000"/>
                <w:sz w:val="16"/>
              </w:rPr>
            </w:pPr>
            <w:r>
              <w:rPr>
                <w:rFonts w:ascii="Helvetica" w:hAnsi="Helvetica"/>
                <w:color w:val="000000"/>
                <w:sz w:val="16"/>
              </w:rPr>
              <w:t>f. Explanation of difference:</w:t>
            </w:r>
          </w:p>
          <w:p w:rsidR="00230D0D" w:rsidRDefault="00230D0D" w:rsidP="00B40DAC">
            <w:pPr>
              <w:keepLines/>
              <w:numPr>
                <w:ilvl w:val="12"/>
                <w:numId w:val="0"/>
              </w:numPr>
              <w:tabs>
                <w:tab w:val="left" w:pos="240"/>
                <w:tab w:val="right" w:pos="5040"/>
              </w:tabs>
              <w:ind w:left="600" w:hanging="360"/>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sidR="00770F4D">
              <w:rPr>
                <w:rFonts w:ascii="Helvetica" w:hAnsi="Helvetica"/>
                <w:color w:val="000000"/>
                <w:sz w:val="18"/>
              </w:rPr>
              <w:t>5,050</w:t>
            </w:r>
          </w:p>
          <w:p w:rsidR="00230D0D" w:rsidRDefault="00230D0D" w:rsidP="00770F4D">
            <w:pPr>
              <w:keepLines/>
              <w:numPr>
                <w:ilvl w:val="12"/>
                <w:numId w:val="0"/>
              </w:numPr>
              <w:tabs>
                <w:tab w:val="left" w:pos="240"/>
                <w:tab w:val="right" w:pos="5040"/>
              </w:tabs>
              <w:spacing w:after="60"/>
              <w:ind w:left="600" w:hanging="360"/>
              <w:rPr>
                <w:rFonts w:ascii="Helvetica" w:hAnsi="Helvetica"/>
                <w:color w:val="000000"/>
                <w:sz w:val="16"/>
              </w:rPr>
            </w:pPr>
            <w:r>
              <w:rPr>
                <w:rFonts w:ascii="Helvetica" w:hAnsi="Helvetica"/>
                <w:color w:val="000000"/>
                <w:sz w:val="16"/>
              </w:rPr>
              <w:t>2. Adjustment:</w:t>
            </w:r>
            <w:r>
              <w:rPr>
                <w:rFonts w:ascii="Helvetica" w:hAnsi="Helvetica"/>
                <w:color w:val="000000"/>
                <w:sz w:val="16"/>
              </w:rPr>
              <w:tab/>
            </w:r>
          </w:p>
        </w:tc>
        <w:tc>
          <w:tcPr>
            <w:tcW w:w="5388" w:type="dxa"/>
            <w:tcBorders>
              <w:top w:val="single" w:sz="6" w:space="0" w:color="auto"/>
              <w:left w:val="nil"/>
            </w:tcBorders>
          </w:tcPr>
          <w:p w:rsidR="00230D0D" w:rsidRDefault="00230D0D" w:rsidP="00B40DAC">
            <w:pPr>
              <w:tabs>
                <w:tab w:val="left" w:pos="240"/>
              </w:tabs>
              <w:rPr>
                <w:rFonts w:ascii="Helvetica" w:hAnsi="Helvetica"/>
                <w:color w:val="000000"/>
                <w:sz w:val="14"/>
              </w:rPr>
            </w:pPr>
            <w:r>
              <w:rPr>
                <w:rFonts w:ascii="Helvetica" w:hAnsi="Helvetica"/>
                <w:color w:val="000000"/>
                <w:sz w:val="16"/>
              </w:rPr>
              <w:t xml:space="preserve">14. </w:t>
            </w:r>
            <w:r>
              <w:rPr>
                <w:rFonts w:ascii="Helvetica" w:hAnsi="Helvetica"/>
                <w:color w:val="000000"/>
                <w:sz w:val="14"/>
              </w:rPr>
              <w:t>Annual reporting and recordkeeping cost burden: (in thousands of dollars)</w:t>
            </w:r>
          </w:p>
          <w:p w:rsidR="00230D0D" w:rsidRDefault="00230D0D" w:rsidP="00B40DAC">
            <w:pPr>
              <w:tabs>
                <w:tab w:val="left" w:pos="240"/>
              </w:tabs>
              <w:rPr>
                <w:rFonts w:ascii="Helvetica" w:hAnsi="Helvetica"/>
                <w:color w:val="000000"/>
                <w:sz w:val="14"/>
              </w:rPr>
            </w:pPr>
            <w:r>
              <w:rPr>
                <w:rFonts w:ascii="Helvetica" w:hAnsi="Helvetica"/>
                <w:color w:val="000000"/>
                <w:sz w:val="14"/>
              </w:rPr>
              <w:tab/>
              <w:t>Do not include costs based on the hours in item 13.</w:t>
            </w:r>
          </w:p>
          <w:p w:rsidR="00230D0D" w:rsidRDefault="00230D0D" w:rsidP="00B40DAC">
            <w:pPr>
              <w:tabs>
                <w:tab w:val="left" w:pos="240"/>
                <w:tab w:val="right" w:pos="4800"/>
              </w:tabs>
              <w:ind w:left="120"/>
              <w:rPr>
                <w:rFonts w:ascii="Helvetica" w:hAnsi="Helvetica"/>
                <w:color w:val="000000"/>
                <w:sz w:val="16"/>
              </w:rPr>
            </w:pPr>
            <w:r>
              <w:rPr>
                <w:rFonts w:ascii="Helvetica" w:hAnsi="Helvetica"/>
                <w:color w:val="000000"/>
                <w:sz w:val="16"/>
              </w:rPr>
              <w:t>a. Total annualized capital/startup costs</w:t>
            </w:r>
            <w:r>
              <w:rPr>
                <w:rFonts w:ascii="Helvetica" w:hAnsi="Helvetica"/>
                <w:color w:val="000000"/>
                <w:sz w:val="16"/>
              </w:rPr>
              <w:tab/>
            </w:r>
            <w:r>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p>
          <w:p w:rsidR="00230D0D" w:rsidRDefault="00230D0D" w:rsidP="00B40DAC">
            <w:pPr>
              <w:tabs>
                <w:tab w:val="left" w:pos="240"/>
                <w:tab w:val="right" w:pos="4800"/>
              </w:tabs>
              <w:ind w:left="132"/>
              <w:rPr>
                <w:rFonts w:ascii="Helvetica" w:hAnsi="Helvetica"/>
                <w:color w:val="000000"/>
                <w:sz w:val="16"/>
              </w:rPr>
            </w:pPr>
            <w:r>
              <w:rPr>
                <w:rFonts w:ascii="Helvetica" w:hAnsi="Helvetica"/>
                <w:color w:val="000000"/>
                <w:sz w:val="16"/>
              </w:rPr>
              <w:t>b. Total annual costs (O&amp;M)</w:t>
            </w:r>
            <w:r>
              <w:rPr>
                <w:rFonts w:ascii="Helvetica" w:hAnsi="Helvetica"/>
                <w:color w:val="000000"/>
                <w:sz w:val="16"/>
              </w:rPr>
              <w:tab/>
            </w:r>
            <w:r>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p>
          <w:p w:rsidR="00230D0D" w:rsidRDefault="00230D0D" w:rsidP="00B40DAC">
            <w:pPr>
              <w:tabs>
                <w:tab w:val="left" w:pos="240"/>
                <w:tab w:val="right" w:pos="4800"/>
              </w:tabs>
              <w:ind w:left="132"/>
              <w:rPr>
                <w:rFonts w:ascii="Helvetica" w:hAnsi="Helvetica"/>
                <w:color w:val="000000"/>
                <w:sz w:val="16"/>
              </w:rPr>
            </w:pPr>
            <w:r>
              <w:rPr>
                <w:rFonts w:ascii="Helvetica" w:hAnsi="Helvetica"/>
                <w:color w:val="000000"/>
                <w:sz w:val="16"/>
              </w:rPr>
              <w:t>c. Total annualized cost requested</w:t>
            </w:r>
            <w:r>
              <w:rPr>
                <w:rFonts w:ascii="Helvetica" w:hAnsi="Helvetica"/>
                <w:color w:val="000000"/>
                <w:sz w:val="16"/>
              </w:rPr>
              <w:tab/>
            </w:r>
            <w:r>
              <w:rPr>
                <w:rFonts w:ascii="Helvetica" w:hAnsi="Helvetica"/>
                <w:color w:val="000000"/>
                <w:sz w:val="18"/>
              </w:rPr>
              <w:t>$0.00</w:t>
            </w:r>
          </w:p>
          <w:p w:rsidR="00230D0D" w:rsidRDefault="00230D0D" w:rsidP="00B40DAC">
            <w:pPr>
              <w:tabs>
                <w:tab w:val="left" w:pos="240"/>
                <w:tab w:val="right" w:pos="4800"/>
              </w:tabs>
              <w:ind w:left="132"/>
              <w:rPr>
                <w:rFonts w:ascii="Helvetica" w:hAnsi="Helvetica"/>
                <w:color w:val="000000"/>
                <w:sz w:val="16"/>
              </w:rPr>
            </w:pPr>
            <w:r>
              <w:rPr>
                <w:rFonts w:ascii="Helvetica" w:hAnsi="Helvetica"/>
                <w:color w:val="000000"/>
                <w:sz w:val="16"/>
              </w:rPr>
              <w:t>d. Current OMB inventory</w:t>
            </w:r>
            <w:r>
              <w:rPr>
                <w:rFonts w:ascii="Helvetica" w:hAnsi="Helvetica"/>
                <w:color w:val="000000"/>
                <w:sz w:val="16"/>
              </w:rPr>
              <w:tab/>
            </w:r>
            <w:r>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p>
          <w:p w:rsidR="00230D0D" w:rsidRDefault="00230D0D" w:rsidP="00B40DAC">
            <w:pPr>
              <w:tabs>
                <w:tab w:val="left" w:pos="132"/>
                <w:tab w:val="right" w:pos="4800"/>
              </w:tabs>
              <w:ind w:left="132"/>
              <w:rPr>
                <w:rFonts w:ascii="Helvetica" w:hAnsi="Helvetica"/>
                <w:color w:val="000000"/>
                <w:sz w:val="16"/>
              </w:rPr>
            </w:pPr>
            <w:r>
              <w:rPr>
                <w:rFonts w:ascii="Helvetica" w:hAnsi="Helvetica"/>
                <w:color w:val="000000"/>
                <w:sz w:val="16"/>
              </w:rPr>
              <w:t>e. Difference</w:t>
            </w:r>
            <w:r>
              <w:rPr>
                <w:rFonts w:ascii="Helvetica" w:hAnsi="Helvetica"/>
                <w:color w:val="000000"/>
                <w:sz w:val="16"/>
              </w:rPr>
              <w:tab/>
            </w:r>
            <w:r>
              <w:rPr>
                <w:rFonts w:ascii="Helvetica" w:hAnsi="Helvetica"/>
                <w:color w:val="000000"/>
                <w:sz w:val="18"/>
              </w:rPr>
              <w:fldChar w:fldCharType="begin">
                <w:ffData>
                  <w:name w:val=""/>
                  <w:enabled/>
                  <w:calcOnExit w:val="0"/>
                  <w:textInput>
                    <w:type w:val="number"/>
                    <w:format w:val="$#,##0.00;($#,##0.00)"/>
                  </w:textInput>
                </w:ffData>
              </w:fldChar>
            </w:r>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p>
          <w:p w:rsidR="00230D0D" w:rsidRDefault="00230D0D" w:rsidP="00B40DAC">
            <w:pPr>
              <w:tabs>
                <w:tab w:val="left" w:pos="240"/>
                <w:tab w:val="right" w:pos="4800"/>
              </w:tabs>
              <w:ind w:left="132"/>
              <w:rPr>
                <w:rFonts w:ascii="Helvetica" w:hAnsi="Helvetica"/>
                <w:color w:val="000000"/>
                <w:sz w:val="16"/>
              </w:rPr>
            </w:pPr>
            <w:r>
              <w:rPr>
                <w:rFonts w:ascii="Helvetica" w:hAnsi="Helvetica"/>
                <w:color w:val="000000"/>
                <w:sz w:val="16"/>
              </w:rPr>
              <w:t>f. Explanation of difference:</w:t>
            </w:r>
          </w:p>
          <w:p w:rsidR="00230D0D" w:rsidRDefault="00230D0D" w:rsidP="00B40DAC">
            <w:pPr>
              <w:numPr>
                <w:ilvl w:val="12"/>
                <w:numId w:val="0"/>
              </w:numPr>
              <w:tabs>
                <w:tab w:val="left" w:pos="240"/>
                <w:tab w:val="right" w:pos="4800"/>
              </w:tabs>
              <w:ind w:left="360" w:hanging="108"/>
              <w:rPr>
                <w:rFonts w:ascii="Helvetica" w:hAnsi="Helvetica"/>
                <w:color w:val="000000"/>
                <w:sz w:val="16"/>
              </w:rPr>
            </w:pPr>
            <w:r>
              <w:rPr>
                <w:rFonts w:ascii="Helvetica" w:hAnsi="Helvetica"/>
                <w:color w:val="000000"/>
                <w:sz w:val="16"/>
              </w:rPr>
              <w:t>1. Program change:</w:t>
            </w:r>
            <w:r>
              <w:rPr>
                <w:rFonts w:ascii="Helvetica" w:hAnsi="Helvetica"/>
                <w:color w:val="000000"/>
                <w:sz w:val="16"/>
              </w:rPr>
              <w:tab/>
            </w:r>
            <w:r>
              <w:rPr>
                <w:rFonts w:ascii="Helvetica" w:hAnsi="Helvetica"/>
                <w:color w:val="000000"/>
                <w:sz w:val="18"/>
              </w:rPr>
              <w:fldChar w:fldCharType="begin">
                <w:ffData>
                  <w:name w:val=""/>
                  <w:enabled/>
                  <w:calcOnExit w:val="0"/>
                  <w:textInput/>
                </w:ffData>
              </w:fldChar>
            </w:r>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p>
          <w:p w:rsidR="00230D0D" w:rsidRDefault="00230D0D" w:rsidP="00B40DAC">
            <w:pPr>
              <w:numPr>
                <w:ilvl w:val="12"/>
                <w:numId w:val="0"/>
              </w:numPr>
              <w:tabs>
                <w:tab w:val="left" w:pos="240"/>
                <w:tab w:val="right" w:pos="4800"/>
              </w:tabs>
              <w:spacing w:after="60"/>
              <w:ind w:left="360" w:hanging="108"/>
              <w:rPr>
                <w:rFonts w:ascii="Helvetica" w:hAnsi="Helvetica"/>
                <w:color w:val="000000"/>
                <w:sz w:val="16"/>
              </w:rPr>
            </w:pPr>
            <w:r>
              <w:rPr>
                <w:rFonts w:ascii="Helvetica" w:hAnsi="Helvetica"/>
                <w:color w:val="000000"/>
                <w:sz w:val="16"/>
              </w:rPr>
              <w:t>2. Adjustment:</w:t>
            </w:r>
            <w:r>
              <w:rPr>
                <w:rFonts w:ascii="Helvetica" w:hAnsi="Helvetica"/>
                <w:color w:val="000000"/>
                <w:sz w:val="16"/>
              </w:rPr>
              <w:tab/>
            </w:r>
            <w:r>
              <w:rPr>
                <w:rFonts w:ascii="Helvetica" w:hAnsi="Helvetica"/>
                <w:color w:val="000000"/>
                <w:sz w:val="18"/>
              </w:rPr>
              <w:fldChar w:fldCharType="begin">
                <w:ffData>
                  <w:name w:val="Text16"/>
                  <w:enabled/>
                  <w:calcOnExit w:val="0"/>
                  <w:textInput/>
                </w:ffData>
              </w:fldChar>
            </w:r>
            <w:r>
              <w:rPr>
                <w:rFonts w:ascii="Helvetica" w:hAnsi="Helvetica"/>
                <w:color w:val="000000"/>
                <w:sz w:val="18"/>
              </w:rPr>
              <w:instrText xml:space="preserve"> FORMTEXT </w:instrText>
            </w:r>
            <w:r>
              <w:rPr>
                <w:rFonts w:ascii="Helvetica" w:hAnsi="Helvetica"/>
                <w:color w:val="000000"/>
                <w:sz w:val="18"/>
              </w:rPr>
            </w:r>
            <w:r>
              <w:rPr>
                <w:rFonts w:ascii="Helvetica" w:hAnsi="Helvetica"/>
                <w:color w:val="000000"/>
                <w:sz w:val="18"/>
              </w:rPr>
              <w:fldChar w:fldCharType="separate"/>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p>
        </w:tc>
      </w:tr>
      <w:tr w:rsidR="00230D0D" w:rsidTr="00B40DAC">
        <w:trPr>
          <w:trHeight w:val="1474"/>
        </w:trPr>
        <w:tc>
          <w:tcPr>
            <w:tcW w:w="5628" w:type="dxa"/>
            <w:gridSpan w:val="2"/>
            <w:tcBorders>
              <w:top w:val="single" w:sz="6" w:space="0" w:color="auto"/>
              <w:right w:val="single" w:sz="6" w:space="0" w:color="auto"/>
            </w:tcBorders>
          </w:tcPr>
          <w:p w:rsidR="00230D0D" w:rsidRDefault="00230D0D" w:rsidP="00B40DAC">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230D0D" w:rsidRDefault="00230D0D" w:rsidP="00B40DAC">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rPr>
              <w:t xml:space="preserve">P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rPr>
              <w:t xml:space="preserve">X  </w:t>
            </w:r>
            <w:r>
              <w:rPr>
                <w:rFonts w:ascii="Helvetica" w:hAnsi="Helvetica"/>
                <w:color w:val="000000"/>
                <w:sz w:val="16"/>
              </w:rPr>
              <w:t>Program planning or management</w:t>
            </w:r>
          </w:p>
          <w:p w:rsidR="00230D0D" w:rsidRDefault="00230D0D" w:rsidP="00B40DAC">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Pr>
                <w:rFonts w:ascii="Helvetica" w:hAnsi="Helvetica"/>
                <w:b/>
                <w:color w:val="000000"/>
              </w:rPr>
              <w:t xml:space="preserve">X  </w:t>
            </w:r>
            <w:r>
              <w:rPr>
                <w:rFonts w:ascii="Helvetica" w:hAnsi="Helvetica"/>
                <w:color w:val="000000"/>
                <w:sz w:val="16"/>
              </w:rPr>
              <w:t>Program evaluation</w:t>
            </w:r>
            <w:r>
              <w:rPr>
                <w:rFonts w:ascii="Helvetica" w:hAnsi="Helvetica"/>
                <w:color w:val="000000"/>
                <w:sz w:val="16"/>
              </w:rPr>
              <w:tab/>
              <w:t xml:space="preserve">f.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230D0D" w:rsidRDefault="00230D0D" w:rsidP="00B40DAC">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Requlatory or compliance</w:t>
            </w:r>
          </w:p>
          <w:p w:rsidR="00230D0D" w:rsidRDefault="00230D0D" w:rsidP="00B40DAC">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Pr>
                <w:rFonts w:ascii="Helvetica" w:hAnsi="Helvetica"/>
                <w:b/>
                <w:color w:val="000000"/>
              </w:rPr>
            </w:r>
            <w:r>
              <w:rPr>
                <w:rFonts w:ascii="Helvetica" w:hAnsi="Helvetica"/>
                <w:b/>
                <w:color w:val="000000"/>
              </w:rPr>
              <w:fldChar w:fldCharType="separate"/>
            </w:r>
            <w:r>
              <w:rPr>
                <w:rFonts w:ascii="Helvetica" w:hAnsi="Helvetica"/>
                <w:b/>
                <w:noProof/>
                <w:color w:val="000000"/>
              </w:rPr>
              <w:t> </w:t>
            </w:r>
            <w:r>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rsidR="00230D0D" w:rsidRDefault="00230D0D" w:rsidP="00B40DAC">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230D0D" w:rsidRDefault="00230D0D" w:rsidP="00B40DAC">
            <w:pPr>
              <w:tabs>
                <w:tab w:val="left" w:pos="240"/>
                <w:tab w:val="left" w:pos="1932"/>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230D0D" w:rsidRDefault="00230D0D" w:rsidP="00B40DAC">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230D0D" w:rsidRDefault="00230D0D" w:rsidP="00B40DAC">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230D0D" w:rsidRDefault="00230D0D" w:rsidP="00B40DAC">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sz w:val="18"/>
              </w:rPr>
              <w:t xml:space="preserve"> </w:t>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230D0D" w:rsidRDefault="00230D0D" w:rsidP="00B40DAC">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Biennually</w:t>
            </w:r>
            <w:r>
              <w:rPr>
                <w:rFonts w:ascii="Helvetica" w:hAnsi="Helvetica"/>
                <w:color w:val="000000"/>
                <w:sz w:val="16"/>
              </w:rPr>
              <w:tab/>
              <w:t xml:space="preserve">8. </w:t>
            </w: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r>
              <w:rPr>
                <w:rFonts w:ascii="Helvetica" w:hAnsi="Helvetica"/>
                <w:color w:val="000000"/>
                <w:sz w:val="16"/>
              </w:rPr>
              <w:fldChar w:fldCharType="begin">
                <w:ffData>
                  <w:name w:val="Text18"/>
                  <w:enabled/>
                  <w:calcOnExit w:val="0"/>
                  <w:textInput/>
                </w:ffData>
              </w:fldChar>
            </w:r>
            <w:bookmarkStart w:id="5" w:name="Text18"/>
            <w:r>
              <w:rPr>
                <w:rFonts w:ascii="Helvetica" w:hAnsi="Helvetica"/>
                <w:color w:val="000000"/>
                <w:sz w:val="16"/>
              </w:rPr>
              <w:instrText xml:space="preserve"> FORMTEXT </w:instrText>
            </w:r>
            <w:r>
              <w:rPr>
                <w:rFonts w:ascii="Helvetica" w:hAnsi="Helvetica"/>
                <w:color w:val="000000"/>
                <w:sz w:val="16"/>
              </w:rPr>
            </w:r>
            <w:r>
              <w:rPr>
                <w:rFonts w:ascii="Helvetica" w:hAnsi="Helvetica"/>
                <w:color w:val="000000"/>
                <w:sz w:val="16"/>
              </w:rPr>
              <w:fldChar w:fldCharType="separate"/>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noProof/>
                <w:color w:val="000000"/>
                <w:sz w:val="16"/>
              </w:rPr>
              <w:t> </w:t>
            </w:r>
            <w:r>
              <w:rPr>
                <w:rFonts w:ascii="Helvetica" w:hAnsi="Helvetica"/>
                <w:color w:val="000000"/>
                <w:sz w:val="16"/>
              </w:rPr>
              <w:fldChar w:fldCharType="end"/>
            </w:r>
            <w:bookmarkEnd w:id="5"/>
          </w:p>
          <w:p w:rsidR="00230D0D" w:rsidRDefault="00230D0D" w:rsidP="00B40DAC">
            <w:pPr>
              <w:tabs>
                <w:tab w:val="left" w:pos="240"/>
              </w:tabs>
              <w:rPr>
                <w:rFonts w:ascii="Helvetica" w:hAnsi="Helvetica"/>
                <w:color w:val="000000"/>
                <w:sz w:val="16"/>
              </w:rPr>
            </w:pPr>
          </w:p>
        </w:tc>
      </w:tr>
      <w:tr w:rsidR="00230D0D" w:rsidTr="00B40DAC">
        <w:tc>
          <w:tcPr>
            <w:tcW w:w="4908" w:type="dxa"/>
            <w:tcBorders>
              <w:top w:val="single" w:sz="6" w:space="0" w:color="auto"/>
              <w:bottom w:val="single" w:sz="6" w:space="0" w:color="auto"/>
            </w:tcBorders>
          </w:tcPr>
          <w:p w:rsidR="00230D0D" w:rsidRDefault="00230D0D" w:rsidP="00B40DAC">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230D0D" w:rsidRDefault="00230D0D" w:rsidP="00B40DAC">
            <w:pPr>
              <w:keepLines/>
              <w:ind w:left="240"/>
              <w:rPr>
                <w:rFonts w:ascii="Helvetica" w:hAnsi="Helvetica"/>
                <w:color w:val="000000"/>
                <w:sz w:val="16"/>
              </w:rPr>
            </w:pPr>
            <w:r>
              <w:rPr>
                <w:rFonts w:ascii="Helvetica" w:hAnsi="Helvetica"/>
                <w:color w:val="000000"/>
                <w:sz w:val="16"/>
              </w:rPr>
              <w:t>Does this information collection employ statistical methods?</w:t>
            </w:r>
          </w:p>
          <w:p w:rsidR="00230D0D" w:rsidRDefault="00230D0D" w:rsidP="00B40DAC">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8"/>
              </w:rPr>
              <w:t xml:space="preserve">Yes    </w:t>
            </w:r>
            <w:r>
              <w:rPr>
                <w:rFonts w:ascii="Helvetica" w:hAnsi="Helvetica"/>
                <w:b/>
                <w:color w:val="000000"/>
                <w:sz w:val="18"/>
              </w:rPr>
              <w:fldChar w:fldCharType="begin">
                <w:ffData>
                  <w:name w:val="Check10"/>
                  <w:enabled/>
                  <w:calcOnExit w:val="0"/>
                  <w:checkBox>
                    <w:sizeAuto/>
                    <w:default w:val="1"/>
                  </w:checkBox>
                </w:ffData>
              </w:fldChar>
            </w:r>
            <w:bookmarkStart w:id="6" w:name="Check10"/>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bookmarkEnd w:id="6"/>
            <w:r>
              <w:rPr>
                <w:rFonts w:ascii="Helvetica" w:hAnsi="Helvetica"/>
                <w:b/>
                <w:color w:val="000000"/>
              </w:rPr>
              <w:t xml:space="preserve">  </w:t>
            </w:r>
            <w:r>
              <w:rPr>
                <w:rFonts w:ascii="Helvetica" w:hAnsi="Helvetica"/>
                <w:color w:val="000000"/>
                <w:sz w:val="18"/>
              </w:rPr>
              <w:t>No</w:t>
            </w:r>
          </w:p>
          <w:p w:rsidR="00230D0D" w:rsidRDefault="00230D0D" w:rsidP="00B40DAC">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230D0D" w:rsidRDefault="00230D0D" w:rsidP="00B40DAC">
            <w:pPr>
              <w:tabs>
                <w:tab w:val="left" w:pos="252"/>
              </w:tabs>
              <w:ind w:left="252" w:right="-120" w:hanging="240"/>
              <w:rPr>
                <w:rFonts w:ascii="Helvetica" w:hAnsi="Helvetica"/>
                <w:color w:val="000000"/>
                <w:sz w:val="16"/>
              </w:rPr>
            </w:pPr>
            <w:r>
              <w:rPr>
                <w:rFonts w:ascii="Helvetica" w:hAnsi="Helvetica"/>
                <w:color w:val="000000"/>
                <w:sz w:val="16"/>
              </w:rPr>
              <w:t xml:space="preserve">18. </w:t>
            </w:r>
            <w:r>
              <w:rPr>
                <w:rFonts w:ascii="Helvetica" w:hAnsi="Helvetica"/>
                <w:color w:val="000000"/>
                <w:sz w:val="14"/>
              </w:rPr>
              <w:t>Agency contact: (person who can best answer questions regarding the content of this submission)</w:t>
            </w:r>
            <w:r>
              <w:rPr>
                <w:rFonts w:ascii="Helvetica" w:hAnsi="Helvetica"/>
                <w:color w:val="000000"/>
                <w:sz w:val="16"/>
              </w:rPr>
              <w:t xml:space="preserve"> </w:t>
            </w:r>
          </w:p>
          <w:p w:rsidR="00230D0D" w:rsidRDefault="00230D0D" w:rsidP="00B40DAC">
            <w:pPr>
              <w:ind w:left="252"/>
              <w:rPr>
                <w:rFonts w:ascii="Helvetica" w:hAnsi="Helvetica"/>
                <w:color w:val="000000"/>
                <w:sz w:val="16"/>
              </w:rPr>
            </w:pPr>
            <w:r>
              <w:rPr>
                <w:rFonts w:ascii="Helvetica" w:hAnsi="Helvetica"/>
                <w:color w:val="000000"/>
                <w:sz w:val="16"/>
              </w:rPr>
              <w:t>Name:  Kenneth Rogers</w:t>
            </w:r>
          </w:p>
          <w:p w:rsidR="00230D0D" w:rsidRDefault="00230D0D" w:rsidP="00B40DAC">
            <w:pPr>
              <w:ind w:left="252"/>
              <w:rPr>
                <w:rFonts w:ascii="Helvetica" w:hAnsi="Helvetica"/>
                <w:color w:val="000000"/>
                <w:sz w:val="16"/>
              </w:rPr>
            </w:pPr>
            <w:r>
              <w:rPr>
                <w:rFonts w:ascii="Helvetica" w:hAnsi="Helvetica"/>
                <w:color w:val="000000"/>
                <w:sz w:val="16"/>
              </w:rPr>
              <w:t xml:space="preserve">Phone: </w:t>
            </w:r>
            <w:r>
              <w:rPr>
                <w:rFonts w:ascii="Helvetica" w:hAnsi="Helvetica"/>
                <w:color w:val="000000"/>
                <w:sz w:val="18"/>
              </w:rPr>
              <w:t>202/402-4396</w:t>
            </w:r>
          </w:p>
          <w:p w:rsidR="00230D0D" w:rsidRDefault="00230D0D" w:rsidP="00B40DAC">
            <w:pPr>
              <w:tabs>
                <w:tab w:val="left" w:pos="240"/>
              </w:tabs>
              <w:rPr>
                <w:rFonts w:ascii="Helvetica" w:hAnsi="Helvetica"/>
                <w:color w:val="000000"/>
                <w:sz w:val="16"/>
              </w:rPr>
            </w:pPr>
          </w:p>
        </w:tc>
      </w:tr>
    </w:tbl>
    <w:p w:rsidR="00230D0D" w:rsidRDefault="00230D0D" w:rsidP="00230D0D">
      <w:pPr>
        <w:tabs>
          <w:tab w:val="left" w:pos="240"/>
        </w:tabs>
        <w:rPr>
          <w:rFonts w:ascii="Helvetica" w:hAnsi="Helvetica"/>
          <w:sz w:val="16"/>
        </w:rPr>
      </w:pPr>
    </w:p>
    <w:p w:rsidR="00230D0D" w:rsidRDefault="00230D0D" w:rsidP="00230D0D">
      <w:pPr>
        <w:pBdr>
          <w:top w:val="single" w:sz="6" w:space="1" w:color="auto"/>
        </w:pBdr>
        <w:tabs>
          <w:tab w:val="left" w:pos="240"/>
        </w:tabs>
        <w:jc w:val="center"/>
        <w:rPr>
          <w:rFonts w:ascii="Helvetica" w:hAnsi="Helvetica"/>
          <w:sz w:val="16"/>
        </w:rPr>
        <w:sectPr w:rsidR="00230D0D">
          <w:footerReference w:type="default" r:id="rId9"/>
          <w:pgSz w:w="12240" w:h="15840"/>
          <w:pgMar w:top="480" w:right="600" w:bottom="480" w:left="720" w:header="480" w:footer="480" w:gutter="0"/>
          <w:cols w:space="480" w:equalWidth="0">
            <w:col w:w="10920"/>
          </w:cols>
        </w:sectPr>
      </w:pPr>
    </w:p>
    <w:p w:rsidR="00230D0D" w:rsidRDefault="00230D0D">
      <w:pPr>
        <w:overflowPunct/>
        <w:autoSpaceDE/>
        <w:autoSpaceDN/>
        <w:adjustRightInd/>
        <w:textAlignment w:val="auto"/>
        <w:rPr>
          <w:rFonts w:ascii="Helvetica" w:hAnsi="Helvetica"/>
          <w:sz w:val="16"/>
        </w:rPr>
      </w:pPr>
    </w:p>
    <w:p w:rsidR="00354A58" w:rsidRDefault="00354A58">
      <w:pPr>
        <w:pBdr>
          <w:top w:val="single" w:sz="6" w:space="1" w:color="auto"/>
        </w:pBdr>
        <w:tabs>
          <w:tab w:val="left" w:pos="240"/>
        </w:tabs>
        <w:jc w:val="center"/>
        <w:rPr>
          <w:rFonts w:ascii="Helvetica" w:hAnsi="Helvetica"/>
          <w:b/>
          <w:sz w:val="28"/>
        </w:rPr>
      </w:pPr>
      <w:r>
        <w:rPr>
          <w:rFonts w:ascii="Helvetica" w:hAnsi="Helvetica"/>
          <w:b/>
          <w:sz w:val="28"/>
        </w:rPr>
        <w:t>19.</w:t>
      </w:r>
      <w:r>
        <w:rPr>
          <w:rFonts w:ascii="Helvetica" w:hAnsi="Helvetica"/>
          <w:sz w:val="16"/>
        </w:rPr>
        <w:t xml:space="preserve"> </w:t>
      </w:r>
      <w:r>
        <w:rPr>
          <w:rFonts w:ascii="Helvetica" w:hAnsi="Helvetica"/>
          <w:b/>
          <w:sz w:val="28"/>
        </w:rPr>
        <w:t>Certification for Paperwork Reduction Act Submissions</w:t>
      </w:r>
    </w:p>
    <w:p w:rsidR="00354A58" w:rsidRDefault="00354A58">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354A58" w:rsidRDefault="00354A58">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354A58" w:rsidRDefault="00354A58">
      <w:pPr>
        <w:tabs>
          <w:tab w:val="left" w:pos="240"/>
        </w:tabs>
        <w:spacing w:line="280" w:lineRule="exact"/>
        <w:rPr>
          <w:sz w:val="22"/>
        </w:rPr>
      </w:pPr>
    </w:p>
    <w:p w:rsidR="00354A58" w:rsidRDefault="00354A58">
      <w:pPr>
        <w:tabs>
          <w:tab w:val="left" w:pos="240"/>
        </w:tabs>
        <w:spacing w:line="280" w:lineRule="exact"/>
        <w:rPr>
          <w:sz w:val="22"/>
        </w:rPr>
      </w:pPr>
      <w:r>
        <w:rPr>
          <w:sz w:val="22"/>
        </w:rPr>
        <w:t>The following is a summary of the topics, regarding the proposed collections of information that the certification covers:</w:t>
      </w:r>
    </w:p>
    <w:p w:rsidR="00354A58" w:rsidRDefault="00354A58">
      <w:pPr>
        <w:numPr>
          <w:ilvl w:val="0"/>
          <w:numId w:val="3"/>
        </w:numPr>
        <w:tabs>
          <w:tab w:val="left" w:pos="720"/>
        </w:tabs>
        <w:spacing w:line="280" w:lineRule="exact"/>
        <w:rPr>
          <w:sz w:val="22"/>
        </w:rPr>
      </w:pPr>
      <w:r>
        <w:rPr>
          <w:sz w:val="22"/>
        </w:rPr>
        <w:t>It is necessary for the proper performance of agency functions;</w:t>
      </w:r>
    </w:p>
    <w:p w:rsidR="00354A58" w:rsidRDefault="00354A58">
      <w:pPr>
        <w:numPr>
          <w:ilvl w:val="0"/>
          <w:numId w:val="3"/>
        </w:numPr>
        <w:tabs>
          <w:tab w:val="left" w:pos="720"/>
        </w:tabs>
        <w:spacing w:line="280" w:lineRule="exact"/>
        <w:rPr>
          <w:sz w:val="22"/>
        </w:rPr>
      </w:pPr>
      <w:r>
        <w:rPr>
          <w:sz w:val="22"/>
        </w:rPr>
        <w:t>It avoids unnecessary duplication;</w:t>
      </w:r>
    </w:p>
    <w:p w:rsidR="00354A58" w:rsidRDefault="00354A58">
      <w:pPr>
        <w:numPr>
          <w:ilvl w:val="0"/>
          <w:numId w:val="3"/>
        </w:numPr>
        <w:tabs>
          <w:tab w:val="left" w:pos="720"/>
        </w:tabs>
        <w:spacing w:line="280" w:lineRule="exact"/>
        <w:rPr>
          <w:sz w:val="22"/>
        </w:rPr>
      </w:pPr>
      <w:r>
        <w:rPr>
          <w:sz w:val="22"/>
        </w:rPr>
        <w:t>It reduces burden on small entities;</w:t>
      </w:r>
    </w:p>
    <w:p w:rsidR="00354A58" w:rsidRDefault="00354A58">
      <w:pPr>
        <w:numPr>
          <w:ilvl w:val="0"/>
          <w:numId w:val="3"/>
        </w:numPr>
        <w:tabs>
          <w:tab w:val="left" w:pos="720"/>
        </w:tabs>
        <w:spacing w:line="280" w:lineRule="exact"/>
        <w:rPr>
          <w:sz w:val="22"/>
        </w:rPr>
      </w:pPr>
      <w:r>
        <w:rPr>
          <w:sz w:val="22"/>
        </w:rPr>
        <w:t>It uses plain, coherent, and unambiguous terminology that is understandable to respondents;</w:t>
      </w:r>
    </w:p>
    <w:p w:rsidR="00354A58" w:rsidRDefault="00354A58">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354A58" w:rsidRDefault="00354A58">
      <w:pPr>
        <w:numPr>
          <w:ilvl w:val="0"/>
          <w:numId w:val="3"/>
        </w:numPr>
        <w:tabs>
          <w:tab w:val="left" w:pos="720"/>
        </w:tabs>
        <w:spacing w:line="280" w:lineRule="exact"/>
        <w:rPr>
          <w:sz w:val="22"/>
        </w:rPr>
      </w:pPr>
      <w:r>
        <w:rPr>
          <w:sz w:val="22"/>
        </w:rPr>
        <w:t>It indicates the retention periods for recordkeeping requirements;</w:t>
      </w:r>
    </w:p>
    <w:p w:rsidR="00354A58" w:rsidRDefault="00354A58">
      <w:pPr>
        <w:numPr>
          <w:ilvl w:val="0"/>
          <w:numId w:val="3"/>
        </w:numPr>
        <w:tabs>
          <w:tab w:val="left" w:pos="720"/>
        </w:tabs>
        <w:spacing w:line="280" w:lineRule="exact"/>
        <w:rPr>
          <w:sz w:val="22"/>
        </w:rPr>
      </w:pPr>
      <w:r>
        <w:rPr>
          <w:sz w:val="22"/>
        </w:rPr>
        <w:t>It informs respondents of the information called for under 5 CFR 1320.8(b)(3):</w:t>
      </w:r>
    </w:p>
    <w:p w:rsidR="00354A58" w:rsidRDefault="00354A58">
      <w:pPr>
        <w:numPr>
          <w:ilvl w:val="0"/>
          <w:numId w:val="4"/>
        </w:numPr>
        <w:tabs>
          <w:tab w:val="left" w:pos="720"/>
        </w:tabs>
        <w:spacing w:line="280" w:lineRule="exact"/>
        <w:rPr>
          <w:sz w:val="22"/>
        </w:rPr>
      </w:pPr>
      <w:r>
        <w:rPr>
          <w:sz w:val="22"/>
        </w:rPr>
        <w:t>Why the information is being collected;</w:t>
      </w:r>
    </w:p>
    <w:p w:rsidR="00354A58" w:rsidRDefault="00354A58">
      <w:pPr>
        <w:numPr>
          <w:ilvl w:val="0"/>
          <w:numId w:val="4"/>
        </w:numPr>
        <w:tabs>
          <w:tab w:val="left" w:pos="720"/>
        </w:tabs>
        <w:spacing w:line="280" w:lineRule="exact"/>
        <w:rPr>
          <w:sz w:val="22"/>
        </w:rPr>
      </w:pPr>
      <w:r>
        <w:rPr>
          <w:sz w:val="22"/>
        </w:rPr>
        <w:t>Use of the information;</w:t>
      </w:r>
    </w:p>
    <w:p w:rsidR="00354A58" w:rsidRDefault="00354A58">
      <w:pPr>
        <w:numPr>
          <w:ilvl w:val="0"/>
          <w:numId w:val="4"/>
        </w:numPr>
        <w:tabs>
          <w:tab w:val="left" w:pos="720"/>
        </w:tabs>
        <w:spacing w:line="280" w:lineRule="exact"/>
        <w:rPr>
          <w:sz w:val="22"/>
        </w:rPr>
      </w:pPr>
      <w:r>
        <w:rPr>
          <w:sz w:val="22"/>
        </w:rPr>
        <w:t>Burden estimate;</w:t>
      </w:r>
    </w:p>
    <w:p w:rsidR="00354A58" w:rsidRDefault="00354A58">
      <w:pPr>
        <w:numPr>
          <w:ilvl w:val="0"/>
          <w:numId w:val="4"/>
        </w:numPr>
        <w:tabs>
          <w:tab w:val="left" w:pos="720"/>
        </w:tabs>
        <w:spacing w:line="280" w:lineRule="exact"/>
        <w:rPr>
          <w:sz w:val="22"/>
        </w:rPr>
      </w:pPr>
      <w:r>
        <w:rPr>
          <w:sz w:val="22"/>
        </w:rPr>
        <w:t>Nature of response (voluntary, required for a benefit, or mandatory);</w:t>
      </w:r>
    </w:p>
    <w:p w:rsidR="00354A58" w:rsidRDefault="00354A58">
      <w:pPr>
        <w:numPr>
          <w:ilvl w:val="0"/>
          <w:numId w:val="4"/>
        </w:numPr>
        <w:tabs>
          <w:tab w:val="left" w:pos="720"/>
        </w:tabs>
        <w:spacing w:line="280" w:lineRule="exact"/>
        <w:rPr>
          <w:sz w:val="22"/>
        </w:rPr>
      </w:pPr>
      <w:r>
        <w:rPr>
          <w:sz w:val="22"/>
        </w:rPr>
        <w:t>Nature and extent of confidentiality; and</w:t>
      </w:r>
    </w:p>
    <w:p w:rsidR="00354A58" w:rsidRDefault="00354A58">
      <w:pPr>
        <w:numPr>
          <w:ilvl w:val="0"/>
          <w:numId w:val="4"/>
        </w:numPr>
        <w:tabs>
          <w:tab w:val="left" w:pos="720"/>
        </w:tabs>
        <w:spacing w:line="280" w:lineRule="exact"/>
        <w:rPr>
          <w:sz w:val="22"/>
        </w:rPr>
      </w:pPr>
      <w:r>
        <w:rPr>
          <w:sz w:val="22"/>
        </w:rPr>
        <w:t>Need to display currently valid OMB control number;</w:t>
      </w:r>
    </w:p>
    <w:p w:rsidR="00354A58" w:rsidRDefault="00354A58">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354A58" w:rsidRDefault="00354A58">
      <w:pPr>
        <w:numPr>
          <w:ilvl w:val="0"/>
          <w:numId w:val="6"/>
        </w:numPr>
        <w:tabs>
          <w:tab w:val="left" w:pos="720"/>
        </w:tabs>
        <w:spacing w:line="280" w:lineRule="exact"/>
        <w:rPr>
          <w:sz w:val="22"/>
        </w:rPr>
      </w:pPr>
      <w:r>
        <w:rPr>
          <w:sz w:val="22"/>
        </w:rPr>
        <w:t>It uses effective and efficient statistical survey methodology; and</w:t>
      </w:r>
    </w:p>
    <w:p w:rsidR="00354A58" w:rsidRDefault="00354A58">
      <w:pPr>
        <w:numPr>
          <w:ilvl w:val="0"/>
          <w:numId w:val="6"/>
        </w:numPr>
        <w:tabs>
          <w:tab w:val="left" w:pos="720"/>
        </w:tabs>
        <w:spacing w:line="280" w:lineRule="exact"/>
        <w:rPr>
          <w:sz w:val="22"/>
        </w:rPr>
      </w:pPr>
      <w:r>
        <w:rPr>
          <w:sz w:val="22"/>
        </w:rPr>
        <w:t>It makes appropriate use of information technology.</w:t>
      </w:r>
    </w:p>
    <w:p w:rsidR="00354A58" w:rsidRDefault="00354A58">
      <w:pPr>
        <w:tabs>
          <w:tab w:val="left" w:pos="600"/>
        </w:tabs>
        <w:spacing w:line="280" w:lineRule="exact"/>
        <w:rPr>
          <w:sz w:val="22"/>
        </w:rPr>
      </w:pPr>
    </w:p>
    <w:p w:rsidR="00354A58" w:rsidRDefault="00354A58">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354A58" w:rsidRDefault="004978DC">
      <w:pPr>
        <w:tabs>
          <w:tab w:val="left" w:pos="240"/>
        </w:tabs>
        <w:ind w:left="240"/>
      </w:pPr>
      <w:r>
        <w:fldChar w:fldCharType="begin">
          <w:ffData>
            <w:name w:val="Text20"/>
            <w:enabled/>
            <w:calcOnExit w:val="0"/>
            <w:textInput/>
          </w:ffData>
        </w:fldChar>
      </w:r>
      <w:bookmarkStart w:id="7" w:name="Text20"/>
      <w:r w:rsidR="00354A58">
        <w:instrText xml:space="preserve"> FORMTEXT </w:instrText>
      </w:r>
      <w:r>
        <w:fldChar w:fldCharType="separate"/>
      </w:r>
      <w:r w:rsidR="00354A58">
        <w:rPr>
          <w:noProof/>
        </w:rPr>
        <w:t> </w:t>
      </w:r>
      <w:r w:rsidR="00354A58">
        <w:rPr>
          <w:noProof/>
        </w:rPr>
        <w:t> </w:t>
      </w:r>
      <w:r w:rsidR="00354A58">
        <w:rPr>
          <w:noProof/>
        </w:rPr>
        <w:t> </w:t>
      </w:r>
      <w:r w:rsidR="00354A58">
        <w:rPr>
          <w:noProof/>
        </w:rPr>
        <w:t> </w:t>
      </w:r>
      <w:r w:rsidR="00354A58">
        <w:rPr>
          <w:noProof/>
        </w:rPr>
        <w:t> </w:t>
      </w:r>
      <w:r>
        <w:fldChar w:fldCharType="end"/>
      </w:r>
      <w:bookmarkEnd w:id="7"/>
    </w:p>
    <w:p w:rsidR="00354A58" w:rsidRDefault="00354A58">
      <w:pPr>
        <w:tabs>
          <w:tab w:val="left" w:pos="240"/>
        </w:tabs>
      </w:pPr>
    </w:p>
    <w:tbl>
      <w:tblPr>
        <w:tblW w:w="0" w:type="auto"/>
        <w:tblLayout w:type="fixed"/>
        <w:tblLook w:val="0000" w:firstRow="0" w:lastRow="0" w:firstColumn="0" w:lastColumn="0" w:noHBand="0" w:noVBand="0"/>
      </w:tblPr>
      <w:tblGrid>
        <w:gridCol w:w="8388"/>
        <w:gridCol w:w="2628"/>
      </w:tblGrid>
      <w:tr w:rsidR="00354A58">
        <w:tc>
          <w:tcPr>
            <w:tcW w:w="8388" w:type="dxa"/>
            <w:tcBorders>
              <w:top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Signature of Program Official:</w:t>
            </w: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r>
              <w:rPr>
                <w:rFonts w:ascii="Helvetica" w:hAnsi="Helvetica"/>
                <w:sz w:val="16"/>
              </w:rPr>
              <w:t>X</w:t>
            </w:r>
          </w:p>
          <w:p w:rsidR="00354A58" w:rsidRDefault="004978DC">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8" w:name="Text21"/>
            <w:r w:rsidR="00354A58">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Pr>
                <w:rFonts w:ascii="Helvetica" w:hAnsi="Helvetica"/>
                <w:sz w:val="16"/>
              </w:rPr>
              <w:fldChar w:fldCharType="end"/>
            </w:r>
            <w:bookmarkEnd w:id="8"/>
          </w:p>
        </w:tc>
        <w:tc>
          <w:tcPr>
            <w:tcW w:w="2628" w:type="dxa"/>
            <w:tcBorders>
              <w:top w:val="single" w:sz="6" w:space="0" w:color="auto"/>
              <w:left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Date:</w:t>
            </w:r>
          </w:p>
        </w:tc>
      </w:tr>
    </w:tbl>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sectPr w:rsidR="00354A58">
          <w:headerReference w:type="default" r:id="rId10"/>
          <w:footerReference w:type="default" r:id="rId11"/>
          <w:footerReference w:type="first" r:id="rId12"/>
          <w:pgSz w:w="12240" w:h="15840"/>
          <w:pgMar w:top="480" w:right="720" w:bottom="480" w:left="600" w:header="480" w:footer="480" w:gutter="0"/>
          <w:cols w:space="480" w:equalWidth="0">
            <w:col w:w="10800"/>
          </w:cols>
          <w:titlePg/>
        </w:sectPr>
      </w:pPr>
      <w:r>
        <w:rPr>
          <w:rFonts w:ascii="Helvetica" w:hAnsi="Helvetica"/>
          <w:sz w:val="16"/>
        </w:rPr>
        <w:br w:type="page"/>
      </w:r>
    </w:p>
    <w:p w:rsidR="00B239E5" w:rsidRDefault="00B239E5">
      <w:pPr>
        <w:overflowPunct/>
        <w:autoSpaceDE/>
        <w:autoSpaceDN/>
        <w:adjustRightInd/>
        <w:textAlignment w:val="auto"/>
        <w:rPr>
          <w:sz w:val="22"/>
          <w:szCs w:val="22"/>
        </w:rPr>
      </w:pPr>
    </w:p>
    <w:p w:rsidR="00B239E5" w:rsidRDefault="00B239E5" w:rsidP="00B239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B239E5" w:rsidRDefault="00B239E5" w:rsidP="00B239E5">
      <w:pPr>
        <w:rPr>
          <w:b/>
        </w:rPr>
      </w:pPr>
    </w:p>
    <w:p w:rsidR="00B239E5" w:rsidRPr="009E2862" w:rsidRDefault="00B239E5" w:rsidP="00B239E5">
      <w:pPr>
        <w:spacing w:line="360" w:lineRule="auto"/>
        <w:jc w:val="center"/>
        <w:rPr>
          <w:b/>
          <w:iCs/>
        </w:rPr>
      </w:pPr>
      <w:r w:rsidRPr="009E2862">
        <w:rPr>
          <w:b/>
          <w:bCs/>
          <w:iCs/>
        </w:rPr>
        <w:t xml:space="preserve">Notice of Funding Availability (NOFA) for </w:t>
      </w:r>
      <w:r w:rsidRPr="009E2862">
        <w:rPr>
          <w:b/>
          <w:iCs/>
        </w:rPr>
        <w:t>Technical Assistance and Capacity Building</w:t>
      </w:r>
      <w:r>
        <w:rPr>
          <w:b/>
          <w:iCs/>
        </w:rPr>
        <w:t xml:space="preserve"> under the Transformation Initiative (OneCPD TA)</w:t>
      </w:r>
    </w:p>
    <w:p w:rsidR="00B239E5" w:rsidRDefault="00B239E5" w:rsidP="00B239E5">
      <w:pPr>
        <w:jc w:val="center"/>
        <w:rPr>
          <w:b/>
          <w:sz w:val="22"/>
        </w:rPr>
      </w:pPr>
    </w:p>
    <w:p w:rsidR="00B239E5" w:rsidRDefault="00B239E5" w:rsidP="00B239E5">
      <w:pPr>
        <w:pStyle w:val="Heading2"/>
        <w:tabs>
          <w:tab w:val="left" w:pos="720"/>
        </w:tabs>
      </w:pPr>
      <w:r>
        <w:t>Justification</w:t>
      </w:r>
    </w:p>
    <w:p w:rsidR="00B239E5" w:rsidRDefault="00B239E5" w:rsidP="00B239E5">
      <w:pPr>
        <w:tabs>
          <w:tab w:val="left" w:pos="360"/>
          <w:tab w:val="left" w:pos="720"/>
        </w:tabs>
        <w:ind w:left="360" w:hanging="360"/>
        <w:rPr>
          <w:sz w:val="22"/>
        </w:rPr>
      </w:pPr>
    </w:p>
    <w:p w:rsidR="00B239E5" w:rsidRDefault="00B239E5" w:rsidP="00B239E5">
      <w:pPr>
        <w:numPr>
          <w:ilvl w:val="1"/>
          <w:numId w:val="10"/>
        </w:numPr>
        <w:tabs>
          <w:tab w:val="left" w:pos="360"/>
          <w:tab w:val="left" w:pos="720"/>
        </w:tabs>
        <w:rPr>
          <w:b/>
          <w:sz w:val="22"/>
        </w:rPr>
      </w:pPr>
      <w:r>
        <w:rPr>
          <w:b/>
          <w:sz w:val="22"/>
        </w:rPr>
        <w:t>Circumstances that make the collection of information necessary.</w:t>
      </w:r>
    </w:p>
    <w:p w:rsidR="00B239E5" w:rsidRPr="0031130B" w:rsidRDefault="00B239E5" w:rsidP="00B239E5">
      <w:pPr>
        <w:pStyle w:val="CM50"/>
        <w:spacing w:after="245" w:line="253" w:lineRule="atLeast"/>
        <w:ind w:right="255"/>
        <w:rPr>
          <w:rFonts w:ascii="Times New Roman" w:hAnsi="Times New Roman"/>
          <w:b/>
          <w:sz w:val="22"/>
          <w:szCs w:val="22"/>
        </w:rPr>
      </w:pPr>
      <w:r w:rsidRPr="0031130B">
        <w:rPr>
          <w:rFonts w:ascii="Times New Roman" w:hAnsi="Times New Roman"/>
          <w:sz w:val="22"/>
          <w:szCs w:val="22"/>
        </w:rPr>
        <w:t>This request is for clearance of the Narrative</w:t>
      </w:r>
      <w:r>
        <w:rPr>
          <w:rFonts w:ascii="Times New Roman" w:hAnsi="Times New Roman"/>
          <w:sz w:val="22"/>
          <w:szCs w:val="22"/>
        </w:rPr>
        <w:t xml:space="preserve">s and </w:t>
      </w:r>
      <w:r w:rsidRPr="0031130B">
        <w:rPr>
          <w:rFonts w:ascii="Times New Roman" w:hAnsi="Times New Roman"/>
          <w:sz w:val="22"/>
          <w:szCs w:val="22"/>
        </w:rPr>
        <w:t>Reporting Requirements</w:t>
      </w:r>
      <w:r>
        <w:rPr>
          <w:rFonts w:ascii="Times New Roman" w:hAnsi="Times New Roman"/>
          <w:sz w:val="22"/>
          <w:szCs w:val="22"/>
        </w:rPr>
        <w:t xml:space="preserve"> </w:t>
      </w:r>
      <w:r w:rsidRPr="0031130B">
        <w:rPr>
          <w:rFonts w:ascii="Times New Roman" w:hAnsi="Times New Roman"/>
          <w:sz w:val="22"/>
          <w:szCs w:val="22"/>
        </w:rPr>
        <w:t xml:space="preserve">that will </w:t>
      </w:r>
      <w:r>
        <w:rPr>
          <w:rFonts w:ascii="Times New Roman" w:hAnsi="Times New Roman"/>
          <w:sz w:val="22"/>
          <w:szCs w:val="22"/>
        </w:rPr>
        <w:t xml:space="preserve">be filled out by applicants </w:t>
      </w:r>
      <w:r w:rsidRPr="0031130B">
        <w:rPr>
          <w:rFonts w:ascii="Times New Roman" w:hAnsi="Times New Roman"/>
          <w:sz w:val="22"/>
          <w:szCs w:val="22"/>
        </w:rPr>
        <w:t xml:space="preserve">of the </w:t>
      </w:r>
      <w:r w:rsidRPr="004A62B2">
        <w:rPr>
          <w:rFonts w:ascii="Times New Roman" w:hAnsi="Times New Roman"/>
          <w:iCs/>
          <w:sz w:val="22"/>
          <w:szCs w:val="22"/>
        </w:rPr>
        <w:t>Technical Assistance and Capacity Building under the Transformation Initiative</w:t>
      </w:r>
      <w:r w:rsidRPr="004A62B2">
        <w:rPr>
          <w:rFonts w:ascii="Times New Roman" w:hAnsi="Times New Roman"/>
          <w:b/>
          <w:iCs/>
          <w:sz w:val="22"/>
          <w:szCs w:val="22"/>
        </w:rPr>
        <w:t xml:space="preserve"> </w:t>
      </w:r>
      <w:r>
        <w:rPr>
          <w:rFonts w:ascii="Times New Roman" w:hAnsi="Times New Roman"/>
          <w:sz w:val="22"/>
          <w:szCs w:val="22"/>
        </w:rPr>
        <w:t xml:space="preserve">Program.  </w:t>
      </w:r>
      <w:r w:rsidRPr="004F6D0F">
        <w:rPr>
          <w:rFonts w:ascii="Times New Roman" w:hAnsi="Times New Roman"/>
          <w:i/>
          <w:sz w:val="22"/>
          <w:szCs w:val="22"/>
        </w:rPr>
        <w:t xml:space="preserve">The purpose of </w:t>
      </w:r>
      <w:r>
        <w:rPr>
          <w:rFonts w:ascii="Times New Roman" w:hAnsi="Times New Roman"/>
          <w:i/>
          <w:sz w:val="22"/>
          <w:szCs w:val="22"/>
        </w:rPr>
        <w:t>this</w:t>
      </w:r>
      <w:r w:rsidRPr="004F6D0F">
        <w:rPr>
          <w:rFonts w:ascii="Times New Roman" w:hAnsi="Times New Roman"/>
          <w:i/>
          <w:sz w:val="22"/>
          <w:szCs w:val="22"/>
        </w:rPr>
        <w:t xml:space="preserve"> program is to assess the need for technical assistance and to </w:t>
      </w:r>
      <w:r>
        <w:rPr>
          <w:rFonts w:ascii="Times New Roman" w:hAnsi="Times New Roman"/>
          <w:i/>
          <w:sz w:val="22"/>
          <w:szCs w:val="22"/>
        </w:rPr>
        <w:t>target</w:t>
      </w:r>
      <w:r w:rsidRPr="004F6D0F">
        <w:rPr>
          <w:rFonts w:ascii="Times New Roman" w:hAnsi="Times New Roman"/>
          <w:i/>
          <w:sz w:val="22"/>
          <w:szCs w:val="22"/>
        </w:rPr>
        <w:t xml:space="preserve"> technical </w:t>
      </w:r>
      <w:r>
        <w:rPr>
          <w:rFonts w:ascii="Times New Roman" w:hAnsi="Times New Roman"/>
          <w:i/>
          <w:sz w:val="22"/>
          <w:szCs w:val="22"/>
        </w:rPr>
        <w:t xml:space="preserve">assistance in order to </w:t>
      </w:r>
      <w:r w:rsidRPr="004F6D0F">
        <w:rPr>
          <w:rFonts w:ascii="Times New Roman" w:hAnsi="Times New Roman"/>
          <w:i/>
          <w:sz w:val="22"/>
          <w:szCs w:val="22"/>
        </w:rPr>
        <w:t>achieve the highest level of performance and results for the programs administered by HUD’s Office of Community Planning and Development.</w:t>
      </w:r>
      <w:r>
        <w:rPr>
          <w:rFonts w:ascii="Times New Roman" w:hAnsi="Times New Roman"/>
          <w:sz w:val="22"/>
          <w:szCs w:val="22"/>
        </w:rPr>
        <w:t xml:space="preserve">  </w:t>
      </w:r>
    </w:p>
    <w:p w:rsidR="00B239E5" w:rsidRPr="0031130B" w:rsidRDefault="00B239E5" w:rsidP="00B239E5">
      <w:pPr>
        <w:pStyle w:val="CM50"/>
        <w:spacing w:after="245" w:line="253" w:lineRule="atLeast"/>
        <w:ind w:right="255"/>
        <w:rPr>
          <w:rFonts w:ascii="Times New Roman" w:hAnsi="Times New Roman"/>
          <w:sz w:val="22"/>
          <w:szCs w:val="22"/>
        </w:rPr>
      </w:pPr>
      <w:r>
        <w:rPr>
          <w:rFonts w:ascii="Times New Roman" w:hAnsi="Times New Roman"/>
          <w:sz w:val="22"/>
          <w:szCs w:val="22"/>
        </w:rPr>
        <w:t xml:space="preserve">The </w:t>
      </w:r>
      <w:r w:rsidRPr="004A62B2">
        <w:rPr>
          <w:rFonts w:ascii="Times New Roman" w:hAnsi="Times New Roman"/>
          <w:iCs/>
          <w:sz w:val="22"/>
          <w:szCs w:val="22"/>
        </w:rPr>
        <w:t xml:space="preserve">Technical Assistance and Capacity Building under the Transformation </w:t>
      </w:r>
      <w:r w:rsidRPr="00230D0D">
        <w:rPr>
          <w:rFonts w:ascii="Times New Roman" w:hAnsi="Times New Roman"/>
          <w:iCs/>
          <w:sz w:val="22"/>
          <w:szCs w:val="22"/>
        </w:rPr>
        <w:t>Initiative (OneCPD</w:t>
      </w:r>
      <w:r>
        <w:rPr>
          <w:rFonts w:ascii="Times New Roman" w:hAnsi="Times New Roman"/>
          <w:iCs/>
          <w:sz w:val="22"/>
          <w:szCs w:val="22"/>
        </w:rPr>
        <w:t xml:space="preserve"> TA</w:t>
      </w:r>
      <w:r w:rsidRPr="00230D0D">
        <w:rPr>
          <w:rFonts w:ascii="Times New Roman" w:hAnsi="Times New Roman"/>
          <w:iCs/>
          <w:sz w:val="22"/>
          <w:szCs w:val="22"/>
        </w:rPr>
        <w:t xml:space="preserve">) </w:t>
      </w:r>
      <w:r w:rsidRPr="00230D0D">
        <w:rPr>
          <w:rFonts w:ascii="Times New Roman" w:hAnsi="Times New Roman"/>
          <w:sz w:val="22"/>
          <w:szCs w:val="22"/>
        </w:rPr>
        <w:t>NOFA</w:t>
      </w:r>
      <w:r>
        <w:rPr>
          <w:rFonts w:ascii="Times New Roman" w:hAnsi="Times New Roman"/>
          <w:sz w:val="22"/>
          <w:szCs w:val="22"/>
        </w:rPr>
        <w:t xml:space="preserve"> requires</w:t>
      </w:r>
      <w:r w:rsidRPr="0031130B">
        <w:rPr>
          <w:rFonts w:ascii="Times New Roman" w:hAnsi="Times New Roman"/>
          <w:sz w:val="22"/>
          <w:szCs w:val="22"/>
        </w:rPr>
        <w:t xml:space="preserve"> applicants to write a narrative designed to collect data on </w:t>
      </w:r>
      <w:r>
        <w:rPr>
          <w:rFonts w:ascii="Times New Roman" w:hAnsi="Times New Roman"/>
          <w:sz w:val="22"/>
          <w:szCs w:val="22"/>
        </w:rPr>
        <w:t xml:space="preserve">the organization applying for </w:t>
      </w:r>
      <w:r w:rsidRPr="0031130B">
        <w:rPr>
          <w:rFonts w:ascii="Times New Roman" w:hAnsi="Times New Roman"/>
          <w:sz w:val="22"/>
          <w:szCs w:val="22"/>
        </w:rPr>
        <w:t xml:space="preserve">TA funding.  Eligible applicants include states, units of local government, public housing authorities, non-profit organizations, for-profit entities, and </w:t>
      </w:r>
      <w:r>
        <w:rPr>
          <w:rFonts w:ascii="Times New Roman" w:hAnsi="Times New Roman"/>
          <w:sz w:val="22"/>
          <w:szCs w:val="22"/>
        </w:rPr>
        <w:t xml:space="preserve">joint applicants. </w:t>
      </w:r>
      <w:r w:rsidRPr="0031130B">
        <w:rPr>
          <w:rFonts w:ascii="Times New Roman" w:hAnsi="Times New Roman"/>
          <w:sz w:val="22"/>
          <w:szCs w:val="22"/>
        </w:rPr>
        <w:t xml:space="preserve">The Narrative covers factors which </w:t>
      </w:r>
      <w:r>
        <w:rPr>
          <w:rFonts w:ascii="Times New Roman" w:hAnsi="Times New Roman"/>
          <w:sz w:val="22"/>
          <w:szCs w:val="22"/>
        </w:rPr>
        <w:t>evaluate the capacity, expertise, approach, and results and evaluation methods of potential grantees.</w:t>
      </w:r>
      <w:r w:rsidRPr="0031130B">
        <w:rPr>
          <w:rFonts w:ascii="Times New Roman" w:hAnsi="Times New Roman"/>
          <w:sz w:val="22"/>
          <w:szCs w:val="22"/>
        </w:rPr>
        <w:t xml:space="preserve"> </w:t>
      </w:r>
    </w:p>
    <w:p w:rsidR="00B239E5" w:rsidRDefault="00686CC7" w:rsidP="00B239E5">
      <w:pPr>
        <w:tabs>
          <w:tab w:val="left" w:pos="0"/>
          <w:tab w:val="left" w:pos="720"/>
          <w:tab w:val="left" w:pos="840"/>
        </w:tabs>
        <w:rPr>
          <w:sz w:val="22"/>
        </w:rPr>
      </w:pPr>
      <w:proofErr w:type="spellStart"/>
      <w:r>
        <w:rPr>
          <w:sz w:val="22"/>
        </w:rPr>
        <w:t>OneCPD</w:t>
      </w:r>
      <w:proofErr w:type="spellEnd"/>
      <w:r>
        <w:rPr>
          <w:sz w:val="22"/>
        </w:rPr>
        <w:t xml:space="preserve"> TA requires </w:t>
      </w:r>
      <w:r w:rsidR="00346828">
        <w:rPr>
          <w:sz w:val="22"/>
        </w:rPr>
        <w:t xml:space="preserve">each awardee to submit </w:t>
      </w:r>
      <w:r w:rsidR="00B239E5">
        <w:rPr>
          <w:sz w:val="22"/>
        </w:rPr>
        <w:t xml:space="preserve">monthly status reports related to invoicing </w:t>
      </w:r>
      <w:r>
        <w:rPr>
          <w:sz w:val="22"/>
        </w:rPr>
        <w:t>that enables HUD to understand the work conducted, the cost of the work, results of the work and any barriers or issues with completing the work on time.  The format for this information is not yet standardized.  The monthly status reports also form the basis for the required quarterly reporting on the following items:</w:t>
      </w:r>
    </w:p>
    <w:p w:rsidR="00B239E5" w:rsidRPr="00686CC7" w:rsidRDefault="00B239E5" w:rsidP="00B239E5">
      <w:pPr>
        <w:numPr>
          <w:ilvl w:val="0"/>
          <w:numId w:val="14"/>
        </w:numPr>
        <w:tabs>
          <w:tab w:val="left" w:pos="0"/>
          <w:tab w:val="left" w:pos="720"/>
          <w:tab w:val="left" w:pos="840"/>
        </w:tabs>
        <w:rPr>
          <w:sz w:val="22"/>
        </w:rPr>
      </w:pPr>
      <w:r w:rsidRPr="00686CC7">
        <w:rPr>
          <w:sz w:val="22"/>
        </w:rPr>
        <w:t>The uses of the funds received detailed by task;</w:t>
      </w:r>
    </w:p>
    <w:p w:rsidR="00B239E5" w:rsidRPr="00686CC7" w:rsidRDefault="00B239E5" w:rsidP="00B239E5">
      <w:pPr>
        <w:numPr>
          <w:ilvl w:val="0"/>
          <w:numId w:val="14"/>
        </w:numPr>
        <w:tabs>
          <w:tab w:val="left" w:pos="0"/>
          <w:tab w:val="left" w:pos="720"/>
          <w:tab w:val="left" w:pos="840"/>
        </w:tabs>
        <w:rPr>
          <w:sz w:val="22"/>
        </w:rPr>
      </w:pPr>
      <w:r w:rsidRPr="00686CC7">
        <w:rPr>
          <w:sz w:val="22"/>
        </w:rPr>
        <w:t>The amount of funds received, obligated and expended.</w:t>
      </w:r>
    </w:p>
    <w:p w:rsidR="00B239E5" w:rsidRPr="00686CC7" w:rsidRDefault="00B239E5" w:rsidP="00B239E5">
      <w:pPr>
        <w:numPr>
          <w:ilvl w:val="0"/>
          <w:numId w:val="14"/>
        </w:numPr>
        <w:tabs>
          <w:tab w:val="left" w:pos="0"/>
          <w:tab w:val="left" w:pos="720"/>
          <w:tab w:val="left" w:pos="840"/>
        </w:tabs>
        <w:rPr>
          <w:sz w:val="22"/>
        </w:rPr>
      </w:pPr>
      <w:r w:rsidRPr="00686CC7">
        <w:rPr>
          <w:sz w:val="22"/>
        </w:rPr>
        <w:t>Activity details will include: the name of the project or activity; a brief description of the project or activity;  information on any subcontracts or subgrants awarded by the recipient to include the data elements required to comply with the Federal Funding Accountability and Transparency act of 2006 (P.L. 109-282).</w:t>
      </w:r>
    </w:p>
    <w:p w:rsidR="00B239E5" w:rsidRDefault="00B239E5" w:rsidP="00B239E5">
      <w:pPr>
        <w:tabs>
          <w:tab w:val="left" w:pos="0"/>
          <w:tab w:val="left" w:pos="720"/>
          <w:tab w:val="left" w:pos="840"/>
        </w:tabs>
        <w:ind w:left="1080"/>
        <w:rPr>
          <w:sz w:val="22"/>
        </w:rPr>
      </w:pPr>
    </w:p>
    <w:p w:rsidR="00B239E5" w:rsidRDefault="00B239E5" w:rsidP="00B239E5">
      <w:pPr>
        <w:keepNext/>
        <w:tabs>
          <w:tab w:val="left" w:pos="0"/>
          <w:tab w:val="left" w:pos="720"/>
          <w:tab w:val="left" w:pos="840"/>
        </w:tabs>
        <w:rPr>
          <w:sz w:val="22"/>
        </w:rPr>
      </w:pPr>
      <w:r>
        <w:rPr>
          <w:sz w:val="22"/>
        </w:rPr>
        <w:t>Additionally, awardees are required to update the experience and expertise of their organizations and subcontractors at least annually to ensure HUD is using accurate information when identifying the strongest and most appropriate awardees for TA delivery.  This requirement replaces the earlier requirement to provide this information at the time of application and then as requested by HUD.</w:t>
      </w:r>
    </w:p>
    <w:p w:rsidR="00B239E5" w:rsidRPr="00337FC7" w:rsidRDefault="00B239E5" w:rsidP="00B239E5">
      <w:pPr>
        <w:keepNext/>
        <w:tabs>
          <w:tab w:val="left" w:pos="0"/>
          <w:tab w:val="left" w:pos="720"/>
          <w:tab w:val="left" w:pos="840"/>
        </w:tabs>
        <w:rPr>
          <w:sz w:val="22"/>
        </w:rPr>
      </w:pPr>
    </w:p>
    <w:p w:rsidR="00B239E5" w:rsidRDefault="00B239E5" w:rsidP="00B239E5">
      <w:pPr>
        <w:keepNext/>
        <w:numPr>
          <w:ilvl w:val="1"/>
          <w:numId w:val="10"/>
        </w:numPr>
        <w:tabs>
          <w:tab w:val="left" w:pos="0"/>
          <w:tab w:val="left" w:pos="720"/>
          <w:tab w:val="left" w:pos="840"/>
        </w:tabs>
        <w:rPr>
          <w:sz w:val="22"/>
        </w:rPr>
      </w:pPr>
      <w:r>
        <w:rPr>
          <w:b/>
          <w:sz w:val="22"/>
        </w:rPr>
        <w:t>How the information is used</w:t>
      </w:r>
    </w:p>
    <w:p w:rsidR="00B239E5" w:rsidRDefault="00B239E5" w:rsidP="00B239E5">
      <w:pPr>
        <w:rPr>
          <w:sz w:val="22"/>
          <w:szCs w:val="22"/>
        </w:rPr>
      </w:pPr>
      <w:r>
        <w:rPr>
          <w:sz w:val="22"/>
          <w:szCs w:val="22"/>
        </w:rPr>
        <w:t xml:space="preserve">The information is used to determine the most qualified technical assistance providers best able to offer HUD the ability to shape their CPD resources and other available resources into effective, coordinated, neighborhood and community development strategies to revitalize and physically, socially and economically strengthen communities nationwide. </w:t>
      </w:r>
      <w:r w:rsidRPr="00AE1A71">
        <w:rPr>
          <w:sz w:val="22"/>
          <w:szCs w:val="22"/>
        </w:rPr>
        <w:t xml:space="preserve">Completed Narratives will be reviewed by HUD staff and incorporated into the assessment of all applications.  HUD </w:t>
      </w:r>
      <w:r>
        <w:rPr>
          <w:sz w:val="22"/>
          <w:szCs w:val="22"/>
        </w:rPr>
        <w:t>will</w:t>
      </w:r>
      <w:r w:rsidRPr="00AE1A71">
        <w:rPr>
          <w:sz w:val="22"/>
          <w:szCs w:val="22"/>
        </w:rPr>
        <w:t xml:space="preserve"> then rank applicants based on </w:t>
      </w:r>
      <w:r>
        <w:rPr>
          <w:sz w:val="22"/>
          <w:szCs w:val="22"/>
        </w:rPr>
        <w:t>scoring criteria listed in the Program NOFA</w:t>
      </w:r>
      <w:r w:rsidRPr="00AE1A71">
        <w:rPr>
          <w:sz w:val="22"/>
          <w:szCs w:val="22"/>
        </w:rPr>
        <w:t>, and funds will be awarded accordingly.</w:t>
      </w:r>
    </w:p>
    <w:p w:rsidR="00B239E5" w:rsidRDefault="00B239E5" w:rsidP="00B239E5">
      <w:pPr>
        <w:rPr>
          <w:sz w:val="22"/>
          <w:szCs w:val="22"/>
        </w:rPr>
      </w:pPr>
      <w:r>
        <w:rPr>
          <w:sz w:val="22"/>
          <w:szCs w:val="22"/>
        </w:rPr>
        <w:t>The information is also used to support payment requests from awardees, assess progress in achieving objectives, and to de</w:t>
      </w:r>
      <w:r w:rsidRPr="00AE1A71">
        <w:rPr>
          <w:sz w:val="22"/>
          <w:szCs w:val="22"/>
        </w:rPr>
        <w:t xml:space="preserve">termine the capacity, </w:t>
      </w:r>
      <w:r>
        <w:rPr>
          <w:sz w:val="22"/>
          <w:szCs w:val="22"/>
        </w:rPr>
        <w:t>skills</w:t>
      </w:r>
      <w:r w:rsidRPr="00AE1A71">
        <w:rPr>
          <w:sz w:val="22"/>
          <w:szCs w:val="22"/>
        </w:rPr>
        <w:t xml:space="preserve">, and expertise of </w:t>
      </w:r>
      <w:r>
        <w:rPr>
          <w:sz w:val="22"/>
          <w:szCs w:val="22"/>
        </w:rPr>
        <w:t xml:space="preserve">TA providers </w:t>
      </w:r>
      <w:r w:rsidRPr="00AE1A71">
        <w:rPr>
          <w:sz w:val="22"/>
          <w:szCs w:val="22"/>
        </w:rPr>
        <w:t>as well as to monitor their compliance and success post-award</w:t>
      </w:r>
      <w:r>
        <w:rPr>
          <w:sz w:val="22"/>
          <w:szCs w:val="22"/>
        </w:rPr>
        <w:t>.</w:t>
      </w:r>
    </w:p>
    <w:p w:rsidR="00B239E5" w:rsidRPr="00AE1A71" w:rsidRDefault="00B239E5" w:rsidP="00B239E5">
      <w:pPr>
        <w:rPr>
          <w:sz w:val="22"/>
          <w:szCs w:val="22"/>
        </w:rPr>
      </w:pPr>
    </w:p>
    <w:p w:rsidR="00B239E5" w:rsidRDefault="00B239E5" w:rsidP="00B239E5">
      <w:pPr>
        <w:pStyle w:val="BodyTextIndent"/>
        <w:tabs>
          <w:tab w:val="clear" w:pos="360"/>
          <w:tab w:val="left" w:pos="0"/>
          <w:tab w:val="left" w:pos="720"/>
        </w:tabs>
        <w:ind w:left="0" w:firstLine="0"/>
        <w:rPr>
          <w:szCs w:val="22"/>
        </w:rPr>
      </w:pPr>
      <w:r w:rsidRPr="00AE1A71">
        <w:rPr>
          <w:szCs w:val="22"/>
        </w:rPr>
        <w:t xml:space="preserve">HUD collects </w:t>
      </w:r>
      <w:r>
        <w:rPr>
          <w:szCs w:val="22"/>
        </w:rPr>
        <w:t xml:space="preserve">required post-award </w:t>
      </w:r>
      <w:r w:rsidRPr="00AE1A71">
        <w:rPr>
          <w:szCs w:val="22"/>
        </w:rPr>
        <w:t>information through the Disaster Recovery Grant Reporting System (DRGR)</w:t>
      </w:r>
      <w:r>
        <w:rPr>
          <w:szCs w:val="22"/>
        </w:rPr>
        <w:t xml:space="preserve"> and the TA Portal</w:t>
      </w:r>
      <w:r w:rsidRPr="00AE1A71">
        <w:rPr>
          <w:szCs w:val="22"/>
        </w:rPr>
        <w:t xml:space="preserve">.  HUD Headquarters will use the information collected through DRGR </w:t>
      </w:r>
      <w:r>
        <w:rPr>
          <w:szCs w:val="22"/>
        </w:rPr>
        <w:t xml:space="preserve">and the TA Portal to </w:t>
      </w:r>
      <w:r w:rsidRPr="00AE1A71">
        <w:rPr>
          <w:szCs w:val="22"/>
        </w:rPr>
        <w:t>generate the quarterly reports</w:t>
      </w:r>
      <w:r>
        <w:rPr>
          <w:szCs w:val="22"/>
        </w:rPr>
        <w:t xml:space="preserve"> and p</w:t>
      </w:r>
      <w:r w:rsidRPr="00AE1A71">
        <w:rPr>
          <w:szCs w:val="22"/>
        </w:rPr>
        <w:t xml:space="preserve">rogram management reports </w:t>
      </w:r>
      <w:r>
        <w:rPr>
          <w:szCs w:val="22"/>
        </w:rPr>
        <w:t>t</w:t>
      </w:r>
      <w:r w:rsidRPr="00AE1A71">
        <w:rPr>
          <w:szCs w:val="22"/>
        </w:rPr>
        <w:t xml:space="preserve">o provide data on the status of each </w:t>
      </w:r>
      <w:r>
        <w:rPr>
          <w:szCs w:val="22"/>
        </w:rPr>
        <w:t xml:space="preserve">awardees </w:t>
      </w:r>
      <w:r w:rsidRPr="00AE1A71">
        <w:rPr>
          <w:szCs w:val="22"/>
        </w:rPr>
        <w:t>commi</w:t>
      </w:r>
      <w:r>
        <w:rPr>
          <w:szCs w:val="22"/>
        </w:rPr>
        <w:t>tment and disbursement of funds, status of each TA work, achievements compared to proposed objectives, etc.</w:t>
      </w:r>
      <w:r w:rsidRPr="00AE1A71">
        <w:rPr>
          <w:szCs w:val="22"/>
        </w:rPr>
        <w:t xml:space="preserve">  </w:t>
      </w:r>
    </w:p>
    <w:p w:rsidR="00B239E5" w:rsidRDefault="00B239E5" w:rsidP="00B239E5">
      <w:pPr>
        <w:pStyle w:val="BodyTextIndent"/>
        <w:tabs>
          <w:tab w:val="clear" w:pos="360"/>
          <w:tab w:val="left" w:pos="0"/>
          <w:tab w:val="left" w:pos="720"/>
        </w:tabs>
        <w:ind w:left="0" w:firstLine="0"/>
      </w:pPr>
    </w:p>
    <w:p w:rsidR="00B239E5" w:rsidRDefault="00B239E5" w:rsidP="00B239E5">
      <w:pPr>
        <w:numPr>
          <w:ilvl w:val="1"/>
          <w:numId w:val="10"/>
        </w:numPr>
        <w:tabs>
          <w:tab w:val="left" w:pos="360"/>
          <w:tab w:val="left" w:pos="720"/>
          <w:tab w:val="left" w:pos="840"/>
        </w:tabs>
        <w:rPr>
          <w:b/>
          <w:sz w:val="22"/>
        </w:rPr>
      </w:pPr>
      <w:r>
        <w:rPr>
          <w:b/>
          <w:sz w:val="22"/>
        </w:rPr>
        <w:t>Improved technology.</w:t>
      </w:r>
    </w:p>
    <w:p w:rsidR="00B239E5" w:rsidRDefault="00B239E5" w:rsidP="00B239E5">
      <w:pPr>
        <w:tabs>
          <w:tab w:val="left" w:pos="360"/>
          <w:tab w:val="left" w:pos="720"/>
          <w:tab w:val="left" w:pos="840"/>
        </w:tabs>
        <w:rPr>
          <w:sz w:val="22"/>
          <w:szCs w:val="22"/>
        </w:rPr>
      </w:pPr>
      <w:r w:rsidRPr="00AE1A71">
        <w:rPr>
          <w:sz w:val="22"/>
          <w:szCs w:val="22"/>
        </w:rPr>
        <w:lastRenderedPageBreak/>
        <w:t xml:space="preserve">The grants.gov interface allows for complete digital access to all of the </w:t>
      </w:r>
      <w:r w:rsidRPr="004A62B2">
        <w:rPr>
          <w:iCs/>
          <w:sz w:val="22"/>
          <w:szCs w:val="22"/>
        </w:rPr>
        <w:t>Technical Assistance and Capacity Building under the Transformation Initiative</w:t>
      </w:r>
      <w:r w:rsidRPr="004A62B2">
        <w:rPr>
          <w:b/>
          <w:iCs/>
          <w:sz w:val="22"/>
          <w:szCs w:val="22"/>
        </w:rPr>
        <w:t xml:space="preserve"> </w:t>
      </w:r>
      <w:r w:rsidRPr="00AE1A71">
        <w:rPr>
          <w:sz w:val="22"/>
          <w:szCs w:val="22"/>
        </w:rPr>
        <w:t>NOFA application materials, including the Narratives</w:t>
      </w:r>
      <w:r>
        <w:rPr>
          <w:sz w:val="22"/>
          <w:szCs w:val="22"/>
        </w:rPr>
        <w:t>.</w:t>
      </w:r>
      <w:r w:rsidRPr="00AE1A71">
        <w:rPr>
          <w:sz w:val="22"/>
          <w:szCs w:val="22"/>
        </w:rPr>
        <w:t xml:space="preserve">  As a result, applicants can download forms in real time, fill out the application digitally, and submit electronically over the web.</w:t>
      </w:r>
    </w:p>
    <w:p w:rsidR="00B239E5" w:rsidRDefault="00B239E5" w:rsidP="00B239E5">
      <w:pPr>
        <w:spacing w:before="100" w:beforeAutospacing="1" w:after="100" w:afterAutospacing="1"/>
        <w:rPr>
          <w:sz w:val="22"/>
          <w:szCs w:val="22"/>
        </w:rPr>
      </w:pPr>
      <w:r w:rsidRPr="00AE1A71">
        <w:rPr>
          <w:sz w:val="22"/>
          <w:szCs w:val="22"/>
        </w:rPr>
        <w:t xml:space="preserve">In addition to using grants.gov, the </w:t>
      </w:r>
      <w:r>
        <w:rPr>
          <w:sz w:val="22"/>
          <w:szCs w:val="22"/>
        </w:rPr>
        <w:t>use of DRGR and the TA Portal eases the collection of work plan and task level information, expenditure data and achievements.  DRGR eliminates the need for respondents to submit paper quarterly reports.</w:t>
      </w:r>
    </w:p>
    <w:p w:rsidR="00354A58" w:rsidRDefault="00354A58">
      <w:pPr>
        <w:numPr>
          <w:ilvl w:val="1"/>
          <w:numId w:val="10"/>
        </w:numPr>
        <w:tabs>
          <w:tab w:val="left" w:pos="360"/>
          <w:tab w:val="left" w:pos="720"/>
          <w:tab w:val="left" w:pos="840"/>
        </w:tabs>
        <w:rPr>
          <w:b/>
          <w:sz w:val="22"/>
        </w:rPr>
      </w:pPr>
      <w:r>
        <w:rPr>
          <w:b/>
          <w:sz w:val="22"/>
        </w:rPr>
        <w:t>Efforts to identify duplication.</w:t>
      </w:r>
    </w:p>
    <w:p w:rsidR="00F02023" w:rsidRDefault="00F02023" w:rsidP="00B774C8">
      <w:pPr>
        <w:rPr>
          <w:sz w:val="22"/>
          <w:szCs w:val="22"/>
        </w:rPr>
      </w:pPr>
      <w:r>
        <w:rPr>
          <w:sz w:val="22"/>
          <w:szCs w:val="22"/>
        </w:rPr>
        <w:t xml:space="preserve">This information collection does not duplicate any existing collection </w:t>
      </w:r>
      <w:r w:rsidR="00354A58" w:rsidRPr="00B774C8">
        <w:rPr>
          <w:sz w:val="22"/>
          <w:szCs w:val="22"/>
        </w:rPr>
        <w:t xml:space="preserve">No similar information </w:t>
      </w:r>
      <w:r>
        <w:rPr>
          <w:sz w:val="22"/>
          <w:szCs w:val="22"/>
        </w:rPr>
        <w:t>is available.</w:t>
      </w:r>
    </w:p>
    <w:p w:rsidR="00F77233" w:rsidRDefault="00F77233" w:rsidP="00593C08">
      <w:pPr>
        <w:tabs>
          <w:tab w:val="left" w:pos="360"/>
          <w:tab w:val="left" w:pos="720"/>
          <w:tab w:val="left" w:pos="840"/>
        </w:tabs>
        <w:rPr>
          <w:b/>
          <w:sz w:val="22"/>
        </w:rPr>
      </w:pPr>
    </w:p>
    <w:p w:rsidR="00354A58" w:rsidRDefault="00354A58">
      <w:pPr>
        <w:numPr>
          <w:ilvl w:val="1"/>
          <w:numId w:val="10"/>
        </w:numPr>
        <w:tabs>
          <w:tab w:val="left" w:pos="360"/>
          <w:tab w:val="left" w:pos="720"/>
          <w:tab w:val="left" w:pos="840"/>
        </w:tabs>
        <w:rPr>
          <w:b/>
          <w:sz w:val="22"/>
        </w:rPr>
      </w:pPr>
      <w:r>
        <w:rPr>
          <w:b/>
          <w:sz w:val="22"/>
        </w:rPr>
        <w:t>Burden to small business or small entities.</w:t>
      </w:r>
    </w:p>
    <w:p w:rsidR="00F02023" w:rsidRDefault="00F02023" w:rsidP="00593C08">
      <w:pPr>
        <w:rPr>
          <w:sz w:val="22"/>
          <w:szCs w:val="22"/>
        </w:rPr>
      </w:pPr>
      <w:r>
        <w:rPr>
          <w:sz w:val="22"/>
          <w:szCs w:val="22"/>
        </w:rPr>
        <w:t xml:space="preserve">The information collection does not have significant economic impact on a substantial number of small </w:t>
      </w:r>
      <w:r w:rsidR="00770F4D">
        <w:rPr>
          <w:sz w:val="22"/>
          <w:szCs w:val="22"/>
        </w:rPr>
        <w:t>entities</w:t>
      </w:r>
      <w:r>
        <w:rPr>
          <w:sz w:val="22"/>
          <w:szCs w:val="22"/>
        </w:rPr>
        <w:t>.</w:t>
      </w:r>
    </w:p>
    <w:p w:rsidR="00593C08" w:rsidRDefault="00593C08" w:rsidP="00593C08">
      <w:pPr>
        <w:rPr>
          <w:sz w:val="22"/>
        </w:rPr>
      </w:pPr>
    </w:p>
    <w:p w:rsidR="00354A58" w:rsidRDefault="00354A58">
      <w:pPr>
        <w:numPr>
          <w:ilvl w:val="1"/>
          <w:numId w:val="10"/>
        </w:numPr>
        <w:tabs>
          <w:tab w:val="left" w:pos="360"/>
          <w:tab w:val="left" w:pos="720"/>
          <w:tab w:val="left" w:pos="840"/>
        </w:tabs>
        <w:rPr>
          <w:b/>
          <w:sz w:val="22"/>
        </w:rPr>
      </w:pPr>
      <w:r>
        <w:rPr>
          <w:b/>
          <w:sz w:val="22"/>
        </w:rPr>
        <w:t>Consequences if information is collected less frequently.</w:t>
      </w:r>
    </w:p>
    <w:p w:rsidR="00A168CD" w:rsidRDefault="00A168CD" w:rsidP="00B774C8">
      <w:pPr>
        <w:rPr>
          <w:sz w:val="22"/>
          <w:szCs w:val="22"/>
        </w:rPr>
      </w:pPr>
      <w:r>
        <w:rPr>
          <w:sz w:val="22"/>
          <w:szCs w:val="22"/>
        </w:rPr>
        <w:t>If the a</w:t>
      </w:r>
      <w:r w:rsidR="00F02023">
        <w:rPr>
          <w:sz w:val="22"/>
          <w:szCs w:val="22"/>
        </w:rPr>
        <w:t>pplica</w:t>
      </w:r>
      <w:r>
        <w:rPr>
          <w:sz w:val="22"/>
          <w:szCs w:val="22"/>
        </w:rPr>
        <w:t>ti</w:t>
      </w:r>
      <w:r w:rsidR="00F02023">
        <w:rPr>
          <w:sz w:val="22"/>
          <w:szCs w:val="22"/>
        </w:rPr>
        <w:t xml:space="preserve">on information </w:t>
      </w:r>
      <w:r>
        <w:rPr>
          <w:sz w:val="22"/>
          <w:szCs w:val="22"/>
        </w:rPr>
        <w:t>is</w:t>
      </w:r>
      <w:r w:rsidR="00F02023">
        <w:rPr>
          <w:sz w:val="22"/>
          <w:szCs w:val="22"/>
        </w:rPr>
        <w:t xml:space="preserve"> not collected, the Department </w:t>
      </w:r>
      <w:r>
        <w:rPr>
          <w:sz w:val="22"/>
          <w:szCs w:val="22"/>
        </w:rPr>
        <w:t>cannot</w:t>
      </w:r>
      <w:r w:rsidR="00F02023">
        <w:rPr>
          <w:sz w:val="22"/>
          <w:szCs w:val="22"/>
        </w:rPr>
        <w:t xml:space="preserve"> evaluate the potential providers’ abilities to efficiently and effectively provide technical assistance</w:t>
      </w:r>
      <w:r>
        <w:rPr>
          <w:sz w:val="22"/>
          <w:szCs w:val="22"/>
        </w:rPr>
        <w:t xml:space="preserve"> to CPD grantees.  If post-award information is not collected, the Department cannot evaluate the providers’ activities to determine the adequacy of their efforts and justify payments.</w:t>
      </w:r>
    </w:p>
    <w:p w:rsidR="00B774C8" w:rsidRDefault="006A1F25" w:rsidP="00B774C8">
      <w:pPr>
        <w:rPr>
          <w:spacing w:val="-2"/>
          <w:sz w:val="22"/>
          <w:szCs w:val="22"/>
        </w:rPr>
      </w:pPr>
      <w:r w:rsidRPr="00B774C8">
        <w:rPr>
          <w:sz w:val="22"/>
          <w:szCs w:val="22"/>
        </w:rPr>
        <w:t>Less</w:t>
      </w:r>
      <w:r w:rsidR="00D5032C" w:rsidRPr="00B774C8">
        <w:rPr>
          <w:sz w:val="22"/>
          <w:szCs w:val="22"/>
        </w:rPr>
        <w:t xml:space="preserve"> frequent data colle</w:t>
      </w:r>
      <w:r w:rsidR="00DF4103" w:rsidRPr="00B774C8">
        <w:rPr>
          <w:sz w:val="22"/>
          <w:szCs w:val="22"/>
        </w:rPr>
        <w:t>ction would damage HUD’s ability to effectively manage technical assistance effort</w:t>
      </w:r>
      <w:r w:rsidR="00BE2DBF">
        <w:rPr>
          <w:sz w:val="22"/>
          <w:szCs w:val="22"/>
        </w:rPr>
        <w:t>s</w:t>
      </w:r>
      <w:r w:rsidR="00DF4103" w:rsidRPr="00B774C8">
        <w:rPr>
          <w:sz w:val="22"/>
          <w:szCs w:val="22"/>
        </w:rPr>
        <w:t xml:space="preserve"> and would not be consistent with government wide standards for the management of cooperative agreements</w:t>
      </w:r>
      <w:r w:rsidR="00D5032C" w:rsidRPr="00B774C8">
        <w:rPr>
          <w:sz w:val="22"/>
          <w:szCs w:val="22"/>
        </w:rPr>
        <w:t xml:space="preserve">.  </w:t>
      </w:r>
    </w:p>
    <w:p w:rsidR="00354A58" w:rsidRPr="00B774C8" w:rsidRDefault="00354A58" w:rsidP="00593C08">
      <w:pPr>
        <w:tabs>
          <w:tab w:val="left" w:pos="360"/>
          <w:tab w:val="left" w:pos="720"/>
          <w:tab w:val="left" w:pos="840"/>
        </w:tabs>
        <w:rPr>
          <w:sz w:val="22"/>
          <w:szCs w:val="22"/>
        </w:rPr>
      </w:pPr>
    </w:p>
    <w:p w:rsidR="00354A58" w:rsidRPr="00B774C8" w:rsidRDefault="00354A58">
      <w:pPr>
        <w:keepNext/>
        <w:keepLines/>
        <w:numPr>
          <w:ilvl w:val="1"/>
          <w:numId w:val="10"/>
        </w:numPr>
        <w:tabs>
          <w:tab w:val="left" w:pos="0"/>
          <w:tab w:val="left" w:pos="720"/>
          <w:tab w:val="left" w:pos="840"/>
        </w:tabs>
        <w:rPr>
          <w:b/>
          <w:sz w:val="22"/>
          <w:szCs w:val="22"/>
        </w:rPr>
      </w:pPr>
      <w:r w:rsidRPr="00B774C8">
        <w:rPr>
          <w:b/>
          <w:sz w:val="22"/>
          <w:szCs w:val="22"/>
        </w:rPr>
        <w:t>Special circumstances</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r>
        <w:t>None.</w:t>
      </w:r>
    </w:p>
    <w:p w:rsidR="00354A58" w:rsidRDefault="00354A58">
      <w:pPr>
        <w:tabs>
          <w:tab w:val="left" w:pos="360"/>
          <w:tab w:val="left" w:pos="720"/>
          <w:tab w:val="left" w:pos="840"/>
        </w:tabs>
        <w:ind w:left="360" w:hanging="360"/>
        <w:rPr>
          <w:sz w:val="22"/>
        </w:rPr>
      </w:pPr>
    </w:p>
    <w:p w:rsidR="00354A58" w:rsidRDefault="00354A58">
      <w:pPr>
        <w:keepNext/>
        <w:keepLines/>
        <w:numPr>
          <w:ilvl w:val="1"/>
          <w:numId w:val="10"/>
        </w:numPr>
        <w:tabs>
          <w:tab w:val="left" w:pos="360"/>
          <w:tab w:val="left" w:pos="720"/>
          <w:tab w:val="left" w:pos="840"/>
        </w:tabs>
        <w:rPr>
          <w:b/>
          <w:sz w:val="22"/>
        </w:rPr>
      </w:pPr>
      <w:r>
        <w:rPr>
          <w:b/>
          <w:sz w:val="22"/>
        </w:rPr>
        <w:t>Public Notice.</w:t>
      </w:r>
    </w:p>
    <w:p w:rsidR="00CF5F82" w:rsidRPr="00CF5F82" w:rsidRDefault="00CF5F82" w:rsidP="00CF5F82">
      <w:pPr>
        <w:rPr>
          <w:sz w:val="22"/>
          <w:szCs w:val="22"/>
        </w:rPr>
      </w:pPr>
      <w:r w:rsidRPr="00CF5F82">
        <w:rPr>
          <w:sz w:val="22"/>
          <w:szCs w:val="22"/>
        </w:rPr>
        <w:t xml:space="preserve">In accordance with the Paperwork Reduction Act of 1995, the Department of Housing and Urban Development published a notice in the Federal Register </w:t>
      </w:r>
      <w:r w:rsidRPr="00CF5F82">
        <w:rPr>
          <w:sz w:val="22"/>
          <w:szCs w:val="22"/>
          <w:highlight w:val="yellow"/>
        </w:rPr>
        <w:t xml:space="preserve">on </w:t>
      </w:r>
      <w:r w:rsidR="00842728">
        <w:rPr>
          <w:sz w:val="22"/>
          <w:szCs w:val="22"/>
          <w:highlight w:val="yellow"/>
        </w:rPr>
        <w:t xml:space="preserve">November </w:t>
      </w:r>
      <w:r w:rsidRPr="00CF5F82">
        <w:rPr>
          <w:sz w:val="22"/>
          <w:szCs w:val="22"/>
          <w:highlight w:val="yellow"/>
        </w:rPr>
        <w:t>XX, 2011 (Vol. XX, No. XX, pp. XXXX-XX)</w:t>
      </w:r>
      <w:r w:rsidRPr="00CF5F82">
        <w:rPr>
          <w:sz w:val="22"/>
          <w:szCs w:val="22"/>
        </w:rPr>
        <w:t xml:space="preserve"> announcing the agency’s intention to request an OMB review of data collection activities for the </w:t>
      </w:r>
      <w:r w:rsidR="004A62B2" w:rsidRPr="004A62B2">
        <w:rPr>
          <w:iCs/>
          <w:sz w:val="22"/>
          <w:szCs w:val="22"/>
        </w:rPr>
        <w:t>Technical Assistance and Capacity Building under the Transformation Initiative</w:t>
      </w:r>
      <w:r w:rsidR="004A62B2" w:rsidRPr="004A62B2">
        <w:rPr>
          <w:b/>
          <w:iCs/>
          <w:sz w:val="22"/>
          <w:szCs w:val="22"/>
        </w:rPr>
        <w:t xml:space="preserve"> </w:t>
      </w:r>
      <w:r w:rsidR="00BC6422">
        <w:rPr>
          <w:sz w:val="22"/>
        </w:rPr>
        <w:t>Program</w:t>
      </w:r>
      <w:r w:rsidR="00215AFF">
        <w:rPr>
          <w:sz w:val="22"/>
        </w:rPr>
        <w:t xml:space="preserve"> </w:t>
      </w:r>
      <w:r w:rsidRPr="00CF5F82">
        <w:rPr>
          <w:sz w:val="22"/>
          <w:szCs w:val="22"/>
        </w:rPr>
        <w:t>Narratives, Matrices, and Reporting Require</w:t>
      </w:r>
      <w:r w:rsidR="00215AFF">
        <w:rPr>
          <w:sz w:val="22"/>
          <w:szCs w:val="22"/>
        </w:rPr>
        <w:t>ments</w:t>
      </w:r>
      <w:r w:rsidR="004A62B2">
        <w:rPr>
          <w:sz w:val="22"/>
          <w:szCs w:val="22"/>
        </w:rPr>
        <w:t xml:space="preserve">.  The notice provided a </w:t>
      </w:r>
      <w:r w:rsidR="004A62B2" w:rsidRPr="00842728">
        <w:rPr>
          <w:sz w:val="22"/>
          <w:szCs w:val="22"/>
          <w:highlight w:val="yellow"/>
        </w:rPr>
        <w:t>60</w:t>
      </w:r>
      <w:r w:rsidRPr="00CF5F82">
        <w:rPr>
          <w:sz w:val="22"/>
          <w:szCs w:val="22"/>
        </w:rPr>
        <w:t xml:space="preserve">-day period for public comments. </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Payment or gifts.</w:t>
      </w:r>
    </w:p>
    <w:p w:rsidR="00354A58" w:rsidRDefault="00354A58">
      <w:pPr>
        <w:pStyle w:val="BodyText"/>
        <w:tabs>
          <w:tab w:val="left" w:pos="0"/>
          <w:tab w:val="left" w:pos="720"/>
          <w:tab w:val="left" w:pos="840"/>
        </w:tabs>
        <w:rPr>
          <w:sz w:val="22"/>
        </w:rPr>
      </w:pPr>
      <w:r>
        <w:rPr>
          <w:sz w:val="22"/>
        </w:rPr>
        <w:t>None.</w:t>
      </w:r>
    </w:p>
    <w:p w:rsidR="00354A58" w:rsidRDefault="00354A58">
      <w:pPr>
        <w:tabs>
          <w:tab w:val="left" w:pos="360"/>
          <w:tab w:val="left" w:pos="720"/>
          <w:tab w:val="left" w:pos="840"/>
        </w:tabs>
        <w:ind w:left="360" w:hanging="360"/>
        <w:rPr>
          <w:sz w:val="22"/>
        </w:rPr>
      </w:pPr>
    </w:p>
    <w:p w:rsidR="00354A58" w:rsidRDefault="00354A58">
      <w:pPr>
        <w:keepNext/>
        <w:numPr>
          <w:ilvl w:val="1"/>
          <w:numId w:val="10"/>
        </w:numPr>
        <w:tabs>
          <w:tab w:val="left" w:pos="360"/>
          <w:tab w:val="left" w:pos="720"/>
          <w:tab w:val="left" w:pos="840"/>
        </w:tabs>
        <w:rPr>
          <w:b/>
          <w:sz w:val="22"/>
        </w:rPr>
      </w:pPr>
      <w:r>
        <w:rPr>
          <w:b/>
          <w:sz w:val="22"/>
        </w:rPr>
        <w:t>Assurance of Confidentiality</w:t>
      </w:r>
    </w:p>
    <w:p w:rsidR="00354A58" w:rsidRDefault="00354A58">
      <w:pPr>
        <w:pStyle w:val="BodyText"/>
        <w:keepNext/>
        <w:tabs>
          <w:tab w:val="left" w:pos="0"/>
          <w:tab w:val="left" w:pos="720"/>
          <w:tab w:val="left" w:pos="840"/>
        </w:tabs>
        <w:rPr>
          <w:sz w:val="22"/>
        </w:rPr>
      </w:pPr>
      <w:r>
        <w:rPr>
          <w:sz w:val="22"/>
        </w:rPr>
        <w:t>Recipients of the assistance will collect and maintain records of information.  Information on activities and expenditures of grant funds is public information and is generally available for disclosure.  Recipients are responsible for ensuring confidentiality when public disclosure is not required.</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Questions of a Sensitive Nature.</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r>
        <w:t>None.</w:t>
      </w:r>
    </w:p>
    <w:p w:rsidR="00841498" w:rsidRDefault="00841498" w:rsidP="00700507">
      <w:pPr>
        <w:overflowPunct/>
        <w:autoSpaceDE/>
        <w:autoSpaceDN/>
        <w:adjustRightInd/>
        <w:textAlignment w:val="auto"/>
        <w:rPr>
          <w:b/>
          <w:sz w:val="22"/>
        </w:rPr>
      </w:pPr>
    </w:p>
    <w:p w:rsidR="00354A58" w:rsidRDefault="00354A58" w:rsidP="00C63E76">
      <w:pPr>
        <w:pStyle w:val="Heading2"/>
        <w:numPr>
          <w:ilvl w:val="1"/>
          <w:numId w:val="10"/>
        </w:numPr>
      </w:pPr>
      <w:r>
        <w:t>Annual Reporting and Recordkeeping Burden</w:t>
      </w:r>
    </w:p>
    <w:p w:rsidR="00841498" w:rsidRPr="004D11F4" w:rsidRDefault="00EF2BF1" w:rsidP="00841498">
      <w:pPr>
        <w:ind w:firstLine="720"/>
        <w:rPr>
          <w:sz w:val="22"/>
          <w:szCs w:val="22"/>
        </w:rPr>
      </w:pPr>
      <w:r w:rsidRPr="004D11F4">
        <w:rPr>
          <w:sz w:val="22"/>
          <w:szCs w:val="22"/>
        </w:rPr>
        <w:t xml:space="preserve">The following table demonstrates the estimated paperwork burden for applicants in the pre-award process, and recipients in the post-award and reporting processes.  </w:t>
      </w:r>
    </w:p>
    <w:p w:rsidR="00EF2BF1" w:rsidRPr="00EF2BF1" w:rsidRDefault="00EF2BF1" w:rsidP="00EF2BF1"/>
    <w:tbl>
      <w:tblPr>
        <w:tblW w:w="7827" w:type="dxa"/>
        <w:jc w:val="center"/>
        <w:tblInd w:w="95" w:type="dxa"/>
        <w:tblLook w:val="04A0" w:firstRow="1" w:lastRow="0" w:firstColumn="1" w:lastColumn="0" w:noHBand="0" w:noVBand="1"/>
      </w:tblPr>
      <w:tblGrid>
        <w:gridCol w:w="1841"/>
        <w:gridCol w:w="1230"/>
        <w:gridCol w:w="1229"/>
        <w:gridCol w:w="1603"/>
        <w:gridCol w:w="981"/>
        <w:gridCol w:w="943"/>
      </w:tblGrid>
      <w:tr w:rsidR="00841498" w:rsidRPr="00783B3D" w:rsidTr="00B40DAC">
        <w:trPr>
          <w:trHeight w:val="690"/>
          <w:jc w:val="center"/>
        </w:trPr>
        <w:tc>
          <w:tcPr>
            <w:tcW w:w="1844" w:type="dxa"/>
            <w:tcBorders>
              <w:top w:val="single" w:sz="8" w:space="0" w:color="auto"/>
              <w:left w:val="single" w:sz="8" w:space="0" w:color="auto"/>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Description of Information Collection</w:t>
            </w:r>
          </w:p>
        </w:tc>
        <w:tc>
          <w:tcPr>
            <w:tcW w:w="1221" w:type="dxa"/>
            <w:tcBorders>
              <w:top w:val="single" w:sz="8" w:space="0" w:color="auto"/>
              <w:left w:val="nil"/>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Number of Respondents</w:t>
            </w:r>
          </w:p>
        </w:tc>
        <w:tc>
          <w:tcPr>
            <w:tcW w:w="1230" w:type="dxa"/>
            <w:tcBorders>
              <w:top w:val="single" w:sz="8" w:space="0" w:color="auto"/>
              <w:left w:val="nil"/>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Number of Responses</w:t>
            </w:r>
          </w:p>
        </w:tc>
        <w:tc>
          <w:tcPr>
            <w:tcW w:w="1606" w:type="dxa"/>
            <w:tcBorders>
              <w:top w:val="single" w:sz="8" w:space="0" w:color="auto"/>
              <w:left w:val="nil"/>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Total Responses</w:t>
            </w:r>
          </w:p>
        </w:tc>
        <w:tc>
          <w:tcPr>
            <w:tcW w:w="981" w:type="dxa"/>
            <w:tcBorders>
              <w:top w:val="single" w:sz="8" w:space="0" w:color="auto"/>
              <w:left w:val="nil"/>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Hours Per Response</w:t>
            </w:r>
          </w:p>
        </w:tc>
        <w:tc>
          <w:tcPr>
            <w:tcW w:w="945" w:type="dxa"/>
            <w:tcBorders>
              <w:top w:val="single" w:sz="8" w:space="0" w:color="auto"/>
              <w:left w:val="nil"/>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Total Hours</w:t>
            </w:r>
          </w:p>
        </w:tc>
      </w:tr>
      <w:tr w:rsidR="00841498" w:rsidRPr="00783B3D" w:rsidTr="00B40DAC">
        <w:trPr>
          <w:trHeight w:val="315"/>
          <w:jc w:val="center"/>
        </w:trPr>
        <w:tc>
          <w:tcPr>
            <w:tcW w:w="1844" w:type="dxa"/>
            <w:tcBorders>
              <w:top w:val="nil"/>
              <w:left w:val="single" w:sz="8" w:space="0" w:color="auto"/>
              <w:bottom w:val="single" w:sz="8" w:space="0" w:color="auto"/>
              <w:right w:val="single" w:sz="8" w:space="0" w:color="auto"/>
            </w:tcBorders>
            <w:shd w:val="clear" w:color="000000" w:fill="D8D8D8"/>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PRE-AWARD</w:t>
            </w:r>
          </w:p>
        </w:tc>
        <w:tc>
          <w:tcPr>
            <w:tcW w:w="1221" w:type="dxa"/>
            <w:tcBorders>
              <w:top w:val="nil"/>
              <w:left w:val="nil"/>
              <w:bottom w:val="single" w:sz="8" w:space="0" w:color="auto"/>
              <w:right w:val="single" w:sz="8" w:space="0" w:color="auto"/>
            </w:tcBorders>
            <w:shd w:val="clear" w:color="000000" w:fill="D8D8D8"/>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 </w:t>
            </w:r>
          </w:p>
        </w:tc>
        <w:tc>
          <w:tcPr>
            <w:tcW w:w="1230" w:type="dxa"/>
            <w:tcBorders>
              <w:top w:val="nil"/>
              <w:left w:val="nil"/>
              <w:bottom w:val="single" w:sz="8" w:space="0" w:color="auto"/>
              <w:right w:val="single" w:sz="8" w:space="0" w:color="auto"/>
            </w:tcBorders>
            <w:shd w:val="clear" w:color="000000" w:fill="D8D8D8"/>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 </w:t>
            </w:r>
          </w:p>
        </w:tc>
        <w:tc>
          <w:tcPr>
            <w:tcW w:w="1606" w:type="dxa"/>
            <w:tcBorders>
              <w:top w:val="nil"/>
              <w:left w:val="nil"/>
              <w:bottom w:val="single" w:sz="8" w:space="0" w:color="auto"/>
              <w:right w:val="single" w:sz="8" w:space="0" w:color="auto"/>
            </w:tcBorders>
            <w:shd w:val="clear" w:color="000000" w:fill="D8D8D8"/>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 </w:t>
            </w:r>
          </w:p>
        </w:tc>
        <w:tc>
          <w:tcPr>
            <w:tcW w:w="981" w:type="dxa"/>
            <w:tcBorders>
              <w:top w:val="nil"/>
              <w:left w:val="nil"/>
              <w:bottom w:val="single" w:sz="8" w:space="0" w:color="auto"/>
              <w:right w:val="single" w:sz="8" w:space="0" w:color="auto"/>
            </w:tcBorders>
            <w:shd w:val="clear" w:color="000000" w:fill="D8D8D8"/>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 </w:t>
            </w:r>
          </w:p>
        </w:tc>
        <w:tc>
          <w:tcPr>
            <w:tcW w:w="945" w:type="dxa"/>
            <w:tcBorders>
              <w:top w:val="nil"/>
              <w:left w:val="nil"/>
              <w:bottom w:val="single" w:sz="8" w:space="0" w:color="auto"/>
              <w:right w:val="single" w:sz="8" w:space="0" w:color="auto"/>
            </w:tcBorders>
            <w:shd w:val="clear" w:color="000000" w:fill="D8D8D8"/>
            <w:hideMark/>
          </w:tcPr>
          <w:p w:rsidR="00841498" w:rsidRPr="00783B3D" w:rsidRDefault="00841498" w:rsidP="00783B3D">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 </w:t>
            </w:r>
          </w:p>
        </w:tc>
      </w:tr>
      <w:tr w:rsidR="00841498" w:rsidRPr="00783B3D" w:rsidTr="00B40DAC">
        <w:trPr>
          <w:trHeight w:val="315"/>
          <w:jc w:val="center"/>
        </w:trPr>
        <w:tc>
          <w:tcPr>
            <w:tcW w:w="1844" w:type="dxa"/>
            <w:tcBorders>
              <w:top w:val="nil"/>
              <w:left w:val="single" w:sz="8" w:space="0" w:color="auto"/>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textAlignment w:val="auto"/>
              <w:rPr>
                <w:rFonts w:ascii="Arial" w:hAnsi="Arial" w:cs="Arial"/>
                <w:b/>
                <w:bCs/>
                <w:color w:val="000000"/>
                <w:sz w:val="16"/>
                <w:szCs w:val="16"/>
              </w:rPr>
            </w:pPr>
            <w:r w:rsidRPr="00783B3D">
              <w:rPr>
                <w:rFonts w:ascii="Arial" w:hAnsi="Arial" w:cs="Arial"/>
                <w:b/>
                <w:bCs/>
                <w:color w:val="000000"/>
                <w:sz w:val="16"/>
                <w:szCs w:val="16"/>
              </w:rPr>
              <w:t>TA Competition</w:t>
            </w:r>
          </w:p>
        </w:tc>
        <w:tc>
          <w:tcPr>
            <w:tcW w:w="1221" w:type="dxa"/>
            <w:tcBorders>
              <w:top w:val="nil"/>
              <w:left w:val="nil"/>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jc w:val="right"/>
              <w:textAlignment w:val="auto"/>
              <w:rPr>
                <w:rFonts w:ascii="Arial" w:hAnsi="Arial" w:cs="Arial"/>
                <w:color w:val="000000"/>
                <w:sz w:val="16"/>
                <w:szCs w:val="16"/>
              </w:rPr>
            </w:pPr>
            <w:r w:rsidRPr="00783B3D">
              <w:rPr>
                <w:rFonts w:ascii="Arial" w:hAnsi="Arial" w:cs="Arial"/>
                <w:color w:val="000000"/>
                <w:sz w:val="16"/>
                <w:szCs w:val="16"/>
              </w:rPr>
              <w:t> </w:t>
            </w:r>
          </w:p>
        </w:tc>
        <w:tc>
          <w:tcPr>
            <w:tcW w:w="1230" w:type="dxa"/>
            <w:tcBorders>
              <w:top w:val="nil"/>
              <w:left w:val="nil"/>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jc w:val="right"/>
              <w:textAlignment w:val="auto"/>
              <w:rPr>
                <w:rFonts w:ascii="Arial" w:hAnsi="Arial" w:cs="Arial"/>
                <w:color w:val="000000"/>
                <w:sz w:val="16"/>
                <w:szCs w:val="16"/>
              </w:rPr>
            </w:pPr>
            <w:r w:rsidRPr="00783B3D">
              <w:rPr>
                <w:rFonts w:ascii="Arial" w:hAnsi="Arial" w:cs="Arial"/>
                <w:color w:val="000000"/>
                <w:sz w:val="16"/>
                <w:szCs w:val="16"/>
              </w:rPr>
              <w:t> </w:t>
            </w:r>
          </w:p>
        </w:tc>
        <w:tc>
          <w:tcPr>
            <w:tcW w:w="1606" w:type="dxa"/>
            <w:tcBorders>
              <w:top w:val="nil"/>
              <w:left w:val="nil"/>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jc w:val="right"/>
              <w:textAlignment w:val="auto"/>
              <w:rPr>
                <w:rFonts w:ascii="Arial" w:hAnsi="Arial" w:cs="Arial"/>
                <w:color w:val="000000"/>
                <w:sz w:val="16"/>
                <w:szCs w:val="16"/>
              </w:rPr>
            </w:pPr>
            <w:r w:rsidRPr="00783B3D">
              <w:rPr>
                <w:rFonts w:ascii="Arial" w:hAnsi="Arial" w:cs="Arial"/>
                <w:color w:val="000000"/>
                <w:sz w:val="16"/>
                <w:szCs w:val="16"/>
              </w:rPr>
              <w:t> </w:t>
            </w:r>
          </w:p>
        </w:tc>
        <w:tc>
          <w:tcPr>
            <w:tcW w:w="981" w:type="dxa"/>
            <w:tcBorders>
              <w:top w:val="nil"/>
              <w:left w:val="nil"/>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jc w:val="right"/>
              <w:textAlignment w:val="auto"/>
              <w:rPr>
                <w:rFonts w:ascii="Arial" w:hAnsi="Arial" w:cs="Arial"/>
                <w:color w:val="000000"/>
                <w:sz w:val="16"/>
                <w:szCs w:val="16"/>
              </w:rPr>
            </w:pPr>
            <w:r w:rsidRPr="00783B3D">
              <w:rPr>
                <w:rFonts w:ascii="Arial" w:hAnsi="Arial" w:cs="Arial"/>
                <w:color w:val="000000"/>
                <w:sz w:val="16"/>
                <w:szCs w:val="16"/>
              </w:rPr>
              <w:t> </w:t>
            </w:r>
          </w:p>
        </w:tc>
        <w:tc>
          <w:tcPr>
            <w:tcW w:w="945" w:type="dxa"/>
            <w:tcBorders>
              <w:top w:val="nil"/>
              <w:left w:val="nil"/>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jc w:val="right"/>
              <w:textAlignment w:val="auto"/>
              <w:rPr>
                <w:rFonts w:ascii="Arial" w:hAnsi="Arial" w:cs="Arial"/>
                <w:color w:val="000000"/>
                <w:sz w:val="16"/>
                <w:szCs w:val="16"/>
              </w:rPr>
            </w:pPr>
            <w:r w:rsidRPr="00783B3D">
              <w:rPr>
                <w:rFonts w:ascii="Arial" w:hAnsi="Arial" w:cs="Arial"/>
                <w:color w:val="000000"/>
                <w:sz w:val="16"/>
                <w:szCs w:val="16"/>
              </w:rPr>
              <w:t> </w:t>
            </w:r>
          </w:p>
        </w:tc>
      </w:tr>
      <w:tr w:rsidR="00841498" w:rsidRPr="00783B3D" w:rsidTr="00B40DAC">
        <w:trPr>
          <w:trHeight w:val="315"/>
          <w:jc w:val="center"/>
        </w:trPr>
        <w:tc>
          <w:tcPr>
            <w:tcW w:w="1844" w:type="dxa"/>
            <w:tcBorders>
              <w:top w:val="nil"/>
              <w:left w:val="single" w:sz="8" w:space="0" w:color="auto"/>
              <w:bottom w:val="single" w:sz="8" w:space="0" w:color="auto"/>
              <w:right w:val="single" w:sz="8" w:space="0" w:color="auto"/>
            </w:tcBorders>
            <w:shd w:val="clear" w:color="auto" w:fill="auto"/>
            <w:hideMark/>
          </w:tcPr>
          <w:p w:rsidR="00841498" w:rsidRPr="00783B3D" w:rsidRDefault="00841498" w:rsidP="00783B3D">
            <w:pPr>
              <w:overflowPunct/>
              <w:autoSpaceDE/>
              <w:autoSpaceDN/>
              <w:adjustRightInd/>
              <w:textAlignment w:val="auto"/>
              <w:rPr>
                <w:rFonts w:ascii="Arial" w:hAnsi="Arial" w:cs="Arial"/>
                <w:color w:val="000000"/>
                <w:sz w:val="16"/>
                <w:szCs w:val="16"/>
              </w:rPr>
            </w:pPr>
            <w:r>
              <w:rPr>
                <w:rFonts w:ascii="Arial" w:hAnsi="Arial" w:cs="Arial"/>
                <w:color w:val="000000"/>
                <w:sz w:val="16"/>
                <w:szCs w:val="16"/>
              </w:rPr>
              <w:t>Narrative</w:t>
            </w:r>
          </w:p>
        </w:tc>
        <w:tc>
          <w:tcPr>
            <w:tcW w:w="1221" w:type="dxa"/>
            <w:tcBorders>
              <w:top w:val="nil"/>
              <w:left w:val="nil"/>
              <w:bottom w:val="single" w:sz="8" w:space="0" w:color="auto"/>
              <w:right w:val="single" w:sz="8" w:space="0" w:color="auto"/>
            </w:tcBorders>
            <w:shd w:val="clear" w:color="auto" w:fill="auto"/>
            <w:vAlign w:val="center"/>
            <w:hideMark/>
          </w:tcPr>
          <w:p w:rsidR="00841498" w:rsidRPr="00783B3D" w:rsidRDefault="00A168CD"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35</w:t>
            </w:r>
          </w:p>
        </w:tc>
        <w:tc>
          <w:tcPr>
            <w:tcW w:w="1230" w:type="dxa"/>
            <w:tcBorders>
              <w:top w:val="nil"/>
              <w:left w:val="nil"/>
              <w:bottom w:val="single" w:sz="8" w:space="0" w:color="auto"/>
              <w:right w:val="single" w:sz="8" w:space="0" w:color="auto"/>
            </w:tcBorders>
            <w:shd w:val="clear" w:color="auto" w:fill="auto"/>
            <w:vAlign w:val="center"/>
            <w:hideMark/>
          </w:tcPr>
          <w:p w:rsidR="00841498" w:rsidRPr="00783B3D" w:rsidRDefault="00841498"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w:t>
            </w:r>
          </w:p>
        </w:tc>
        <w:tc>
          <w:tcPr>
            <w:tcW w:w="1606" w:type="dxa"/>
            <w:tcBorders>
              <w:top w:val="nil"/>
              <w:left w:val="nil"/>
              <w:bottom w:val="single" w:sz="8" w:space="0" w:color="auto"/>
              <w:right w:val="single" w:sz="8" w:space="0" w:color="auto"/>
            </w:tcBorders>
            <w:shd w:val="clear" w:color="auto" w:fill="auto"/>
            <w:vAlign w:val="center"/>
            <w:hideMark/>
          </w:tcPr>
          <w:p w:rsidR="00841498" w:rsidRPr="00783B3D" w:rsidRDefault="00A168CD"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35</w:t>
            </w:r>
          </w:p>
        </w:tc>
        <w:tc>
          <w:tcPr>
            <w:tcW w:w="981" w:type="dxa"/>
            <w:tcBorders>
              <w:top w:val="nil"/>
              <w:left w:val="nil"/>
              <w:bottom w:val="single" w:sz="8" w:space="0" w:color="auto"/>
              <w:right w:val="single" w:sz="8" w:space="0" w:color="auto"/>
            </w:tcBorders>
            <w:shd w:val="clear" w:color="000000" w:fill="FFFFFF"/>
            <w:vAlign w:val="center"/>
            <w:hideMark/>
          </w:tcPr>
          <w:p w:rsidR="00841498" w:rsidRPr="00783B3D" w:rsidRDefault="00A168CD"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8</w:t>
            </w:r>
            <w:r w:rsidR="00F77233">
              <w:rPr>
                <w:rFonts w:ascii="Arial" w:hAnsi="Arial" w:cs="Arial"/>
                <w:color w:val="000000"/>
                <w:sz w:val="16"/>
                <w:szCs w:val="16"/>
              </w:rPr>
              <w:t>0</w:t>
            </w:r>
          </w:p>
        </w:tc>
        <w:tc>
          <w:tcPr>
            <w:tcW w:w="945" w:type="dxa"/>
            <w:tcBorders>
              <w:top w:val="nil"/>
              <w:left w:val="nil"/>
              <w:bottom w:val="single" w:sz="8" w:space="0" w:color="auto"/>
              <w:right w:val="single" w:sz="8" w:space="0" w:color="auto"/>
            </w:tcBorders>
            <w:shd w:val="clear" w:color="auto" w:fill="auto"/>
            <w:vAlign w:val="center"/>
            <w:hideMark/>
          </w:tcPr>
          <w:p w:rsidR="00841498" w:rsidRPr="00783B3D" w:rsidRDefault="00A168CD" w:rsidP="00A168CD">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2</w:t>
            </w:r>
            <w:r w:rsidR="00B40DAC">
              <w:rPr>
                <w:rFonts w:ascii="Arial" w:hAnsi="Arial" w:cs="Arial"/>
                <w:color w:val="000000"/>
                <w:sz w:val="16"/>
                <w:szCs w:val="16"/>
              </w:rPr>
              <w:t>,</w:t>
            </w:r>
            <w:r>
              <w:rPr>
                <w:rFonts w:ascii="Arial" w:hAnsi="Arial" w:cs="Arial"/>
                <w:color w:val="000000"/>
                <w:sz w:val="16"/>
                <w:szCs w:val="16"/>
              </w:rPr>
              <w:t>800</w:t>
            </w:r>
          </w:p>
        </w:tc>
      </w:tr>
      <w:tr w:rsidR="00F77233" w:rsidRPr="00783B3D" w:rsidTr="00B40DAC">
        <w:trPr>
          <w:trHeight w:val="247"/>
          <w:jc w:val="center"/>
        </w:trPr>
        <w:tc>
          <w:tcPr>
            <w:tcW w:w="1844" w:type="dxa"/>
            <w:tcBorders>
              <w:top w:val="nil"/>
              <w:left w:val="single" w:sz="8" w:space="0" w:color="auto"/>
              <w:bottom w:val="single" w:sz="8" w:space="0" w:color="auto"/>
              <w:right w:val="single" w:sz="8" w:space="0" w:color="auto"/>
            </w:tcBorders>
            <w:shd w:val="clear" w:color="000000" w:fill="D8D8D8"/>
            <w:hideMark/>
          </w:tcPr>
          <w:p w:rsidR="00F77233" w:rsidRPr="00783B3D" w:rsidRDefault="00F77233" w:rsidP="00152B6E">
            <w:pPr>
              <w:overflowPunct/>
              <w:autoSpaceDE/>
              <w:autoSpaceDN/>
              <w:adjustRightInd/>
              <w:jc w:val="center"/>
              <w:textAlignment w:val="auto"/>
              <w:rPr>
                <w:rFonts w:ascii="Arial" w:hAnsi="Arial" w:cs="Arial"/>
                <w:b/>
                <w:bCs/>
                <w:color w:val="000000"/>
                <w:sz w:val="16"/>
                <w:szCs w:val="16"/>
              </w:rPr>
            </w:pPr>
            <w:r>
              <w:rPr>
                <w:rFonts w:ascii="Arial" w:hAnsi="Arial" w:cs="Arial"/>
                <w:b/>
                <w:bCs/>
                <w:color w:val="000000"/>
                <w:sz w:val="16"/>
                <w:szCs w:val="16"/>
              </w:rPr>
              <w:t>POST</w:t>
            </w:r>
            <w:r w:rsidRPr="00783B3D">
              <w:rPr>
                <w:rFonts w:ascii="Arial" w:hAnsi="Arial" w:cs="Arial"/>
                <w:b/>
                <w:bCs/>
                <w:color w:val="000000"/>
                <w:sz w:val="16"/>
                <w:szCs w:val="16"/>
              </w:rPr>
              <w:t>-AWARD</w:t>
            </w:r>
          </w:p>
        </w:tc>
        <w:tc>
          <w:tcPr>
            <w:tcW w:w="1221" w:type="dxa"/>
            <w:tcBorders>
              <w:top w:val="nil"/>
              <w:left w:val="nil"/>
              <w:bottom w:val="single" w:sz="8" w:space="0" w:color="auto"/>
              <w:right w:val="single" w:sz="8" w:space="0" w:color="auto"/>
            </w:tcBorders>
            <w:shd w:val="clear" w:color="000000" w:fill="D8D8D8"/>
            <w:hideMark/>
          </w:tcPr>
          <w:p w:rsidR="00F77233" w:rsidRPr="00783B3D" w:rsidRDefault="00F77233" w:rsidP="00152B6E">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 </w:t>
            </w:r>
          </w:p>
        </w:tc>
        <w:tc>
          <w:tcPr>
            <w:tcW w:w="1230" w:type="dxa"/>
            <w:tcBorders>
              <w:top w:val="nil"/>
              <w:left w:val="nil"/>
              <w:bottom w:val="single" w:sz="8" w:space="0" w:color="auto"/>
              <w:right w:val="single" w:sz="8" w:space="0" w:color="auto"/>
            </w:tcBorders>
            <w:shd w:val="clear" w:color="000000" w:fill="D8D8D8"/>
            <w:hideMark/>
          </w:tcPr>
          <w:p w:rsidR="00F77233" w:rsidRPr="00783B3D" w:rsidRDefault="00F77233" w:rsidP="00152B6E">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 </w:t>
            </w:r>
          </w:p>
        </w:tc>
        <w:tc>
          <w:tcPr>
            <w:tcW w:w="1606" w:type="dxa"/>
            <w:tcBorders>
              <w:top w:val="nil"/>
              <w:left w:val="nil"/>
              <w:bottom w:val="single" w:sz="8" w:space="0" w:color="auto"/>
              <w:right w:val="single" w:sz="8" w:space="0" w:color="auto"/>
            </w:tcBorders>
            <w:shd w:val="clear" w:color="000000" w:fill="D8D8D8"/>
            <w:hideMark/>
          </w:tcPr>
          <w:p w:rsidR="00F77233" w:rsidRPr="00783B3D" w:rsidRDefault="00F77233" w:rsidP="00152B6E">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 </w:t>
            </w:r>
          </w:p>
        </w:tc>
        <w:tc>
          <w:tcPr>
            <w:tcW w:w="981" w:type="dxa"/>
            <w:tcBorders>
              <w:top w:val="nil"/>
              <w:left w:val="nil"/>
              <w:bottom w:val="single" w:sz="8" w:space="0" w:color="auto"/>
              <w:right w:val="single" w:sz="8" w:space="0" w:color="auto"/>
            </w:tcBorders>
            <w:shd w:val="clear" w:color="000000" w:fill="D8D8D8"/>
            <w:hideMark/>
          </w:tcPr>
          <w:p w:rsidR="00F77233" w:rsidRPr="00783B3D" w:rsidRDefault="00F77233" w:rsidP="00152B6E">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 </w:t>
            </w:r>
          </w:p>
        </w:tc>
        <w:tc>
          <w:tcPr>
            <w:tcW w:w="945" w:type="dxa"/>
            <w:tcBorders>
              <w:top w:val="nil"/>
              <w:left w:val="nil"/>
              <w:bottom w:val="single" w:sz="8" w:space="0" w:color="auto"/>
              <w:right w:val="single" w:sz="8" w:space="0" w:color="auto"/>
            </w:tcBorders>
            <w:shd w:val="clear" w:color="000000" w:fill="D8D8D8"/>
            <w:hideMark/>
          </w:tcPr>
          <w:p w:rsidR="00F77233" w:rsidRPr="00783B3D" w:rsidRDefault="00F77233" w:rsidP="00152B6E">
            <w:pPr>
              <w:overflowPunct/>
              <w:autoSpaceDE/>
              <w:autoSpaceDN/>
              <w:adjustRightInd/>
              <w:jc w:val="center"/>
              <w:textAlignment w:val="auto"/>
              <w:rPr>
                <w:rFonts w:ascii="Arial" w:hAnsi="Arial" w:cs="Arial"/>
                <w:b/>
                <w:bCs/>
                <w:color w:val="000000"/>
                <w:sz w:val="16"/>
                <w:szCs w:val="16"/>
              </w:rPr>
            </w:pPr>
            <w:r w:rsidRPr="00783B3D">
              <w:rPr>
                <w:rFonts w:ascii="Arial" w:hAnsi="Arial" w:cs="Arial"/>
                <w:b/>
                <w:bCs/>
                <w:color w:val="000000"/>
                <w:sz w:val="16"/>
                <w:szCs w:val="16"/>
              </w:rPr>
              <w:t> </w:t>
            </w:r>
          </w:p>
        </w:tc>
      </w:tr>
      <w:tr w:rsidR="00F77233" w:rsidRPr="00783B3D" w:rsidTr="00B40DAC">
        <w:trPr>
          <w:trHeight w:val="465"/>
          <w:jc w:val="center"/>
        </w:trPr>
        <w:tc>
          <w:tcPr>
            <w:tcW w:w="1844" w:type="dxa"/>
            <w:tcBorders>
              <w:top w:val="nil"/>
              <w:left w:val="single" w:sz="8" w:space="0" w:color="auto"/>
              <w:bottom w:val="single" w:sz="8" w:space="0" w:color="auto"/>
              <w:right w:val="single" w:sz="8" w:space="0" w:color="auto"/>
            </w:tcBorders>
            <w:shd w:val="clear" w:color="auto" w:fill="auto"/>
            <w:hideMark/>
          </w:tcPr>
          <w:p w:rsidR="00F77233" w:rsidRPr="00783B3D" w:rsidRDefault="00F77233" w:rsidP="00783B3D">
            <w:pPr>
              <w:overflowPunct/>
              <w:autoSpaceDE/>
              <w:autoSpaceDN/>
              <w:adjustRightInd/>
              <w:textAlignment w:val="auto"/>
              <w:rPr>
                <w:rFonts w:ascii="Arial" w:hAnsi="Arial" w:cs="Arial"/>
                <w:color w:val="000000"/>
                <w:sz w:val="16"/>
                <w:szCs w:val="16"/>
              </w:rPr>
            </w:pPr>
            <w:r>
              <w:rPr>
                <w:rFonts w:ascii="Arial" w:hAnsi="Arial" w:cs="Arial"/>
                <w:color w:val="000000"/>
                <w:sz w:val="16"/>
                <w:szCs w:val="16"/>
              </w:rPr>
              <w:t>Grantee’s Written Agreements</w:t>
            </w:r>
            <w:r w:rsidR="00B40DAC">
              <w:rPr>
                <w:rFonts w:ascii="Arial" w:hAnsi="Arial" w:cs="Arial"/>
                <w:color w:val="000000"/>
                <w:sz w:val="16"/>
                <w:szCs w:val="16"/>
              </w:rPr>
              <w:t xml:space="preserve">, Final </w:t>
            </w:r>
            <w:r w:rsidR="00B40DAC">
              <w:rPr>
                <w:rFonts w:ascii="Arial" w:hAnsi="Arial" w:cs="Arial"/>
                <w:color w:val="000000"/>
                <w:sz w:val="16"/>
                <w:szCs w:val="16"/>
              </w:rPr>
              <w:lastRenderedPageBreak/>
              <w:t>Report/award closeout</w:t>
            </w:r>
          </w:p>
        </w:tc>
        <w:tc>
          <w:tcPr>
            <w:tcW w:w="1221" w:type="dxa"/>
            <w:tcBorders>
              <w:top w:val="nil"/>
              <w:left w:val="nil"/>
              <w:bottom w:val="single" w:sz="8" w:space="0" w:color="auto"/>
              <w:right w:val="single" w:sz="8" w:space="0" w:color="auto"/>
            </w:tcBorders>
            <w:shd w:val="clear" w:color="auto" w:fill="auto"/>
            <w:vAlign w:val="center"/>
            <w:hideMark/>
          </w:tcPr>
          <w:p w:rsidR="00F77233" w:rsidRPr="00A02D22" w:rsidRDefault="00F77233" w:rsidP="00A02D22">
            <w:pPr>
              <w:overflowPunct/>
              <w:autoSpaceDE/>
              <w:autoSpaceDN/>
              <w:adjustRightInd/>
              <w:jc w:val="right"/>
              <w:textAlignment w:val="auto"/>
              <w:rPr>
                <w:rFonts w:ascii="Arial" w:hAnsi="Arial" w:cs="Arial"/>
                <w:color w:val="000000"/>
                <w:sz w:val="24"/>
                <w:szCs w:val="24"/>
                <w:vertAlign w:val="superscript"/>
              </w:rPr>
            </w:pPr>
            <w:r>
              <w:rPr>
                <w:rFonts w:ascii="Arial" w:hAnsi="Arial" w:cs="Arial"/>
                <w:color w:val="000000"/>
                <w:sz w:val="24"/>
                <w:szCs w:val="24"/>
                <w:vertAlign w:val="superscript"/>
              </w:rPr>
              <w:lastRenderedPageBreak/>
              <w:t>15</w:t>
            </w:r>
          </w:p>
        </w:tc>
        <w:tc>
          <w:tcPr>
            <w:tcW w:w="1230" w:type="dxa"/>
            <w:tcBorders>
              <w:top w:val="nil"/>
              <w:left w:val="nil"/>
              <w:bottom w:val="single" w:sz="8" w:space="0" w:color="auto"/>
              <w:right w:val="single" w:sz="8" w:space="0" w:color="auto"/>
            </w:tcBorders>
            <w:shd w:val="clear" w:color="auto" w:fill="auto"/>
            <w:vAlign w:val="center"/>
            <w:hideMark/>
          </w:tcPr>
          <w:p w:rsidR="00F77233" w:rsidRPr="00783B3D" w:rsidRDefault="00B40DAC"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2</w:t>
            </w:r>
          </w:p>
        </w:tc>
        <w:tc>
          <w:tcPr>
            <w:tcW w:w="1606" w:type="dxa"/>
            <w:tcBorders>
              <w:top w:val="nil"/>
              <w:left w:val="nil"/>
              <w:bottom w:val="single" w:sz="8" w:space="0" w:color="auto"/>
              <w:right w:val="single" w:sz="8" w:space="0" w:color="auto"/>
            </w:tcBorders>
            <w:shd w:val="clear" w:color="auto" w:fill="auto"/>
            <w:vAlign w:val="center"/>
            <w:hideMark/>
          </w:tcPr>
          <w:p w:rsidR="00F77233" w:rsidRDefault="00B40DAC"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30</w:t>
            </w:r>
          </w:p>
        </w:tc>
        <w:tc>
          <w:tcPr>
            <w:tcW w:w="981" w:type="dxa"/>
            <w:tcBorders>
              <w:top w:val="nil"/>
              <w:left w:val="nil"/>
              <w:bottom w:val="single" w:sz="8" w:space="0" w:color="auto"/>
              <w:right w:val="single" w:sz="8" w:space="0" w:color="auto"/>
            </w:tcBorders>
            <w:shd w:val="clear" w:color="auto" w:fill="auto"/>
            <w:vAlign w:val="center"/>
            <w:hideMark/>
          </w:tcPr>
          <w:p w:rsidR="00F77233" w:rsidRPr="00783B3D" w:rsidRDefault="00F77233"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5</w:t>
            </w:r>
          </w:p>
        </w:tc>
        <w:tc>
          <w:tcPr>
            <w:tcW w:w="945" w:type="dxa"/>
            <w:tcBorders>
              <w:top w:val="nil"/>
              <w:left w:val="nil"/>
              <w:bottom w:val="single" w:sz="8" w:space="0" w:color="auto"/>
              <w:right w:val="single" w:sz="8" w:space="0" w:color="auto"/>
            </w:tcBorders>
            <w:shd w:val="clear" w:color="auto" w:fill="auto"/>
            <w:vAlign w:val="center"/>
            <w:hideMark/>
          </w:tcPr>
          <w:p w:rsidR="00F77233" w:rsidRDefault="00B40DAC"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150</w:t>
            </w:r>
          </w:p>
        </w:tc>
      </w:tr>
      <w:tr w:rsidR="00F77233" w:rsidRPr="00783B3D" w:rsidTr="00B40DAC">
        <w:trPr>
          <w:trHeight w:val="315"/>
          <w:jc w:val="center"/>
        </w:trPr>
        <w:tc>
          <w:tcPr>
            <w:tcW w:w="1844" w:type="dxa"/>
            <w:tcBorders>
              <w:top w:val="nil"/>
              <w:left w:val="single" w:sz="8" w:space="0" w:color="auto"/>
              <w:bottom w:val="single" w:sz="8" w:space="0" w:color="auto"/>
              <w:right w:val="single" w:sz="8" w:space="0" w:color="auto"/>
            </w:tcBorders>
            <w:shd w:val="clear" w:color="auto" w:fill="auto"/>
            <w:hideMark/>
          </w:tcPr>
          <w:p w:rsidR="00F77233" w:rsidRPr="00783B3D" w:rsidRDefault="00F77233" w:rsidP="00B40DAC">
            <w:pPr>
              <w:overflowPunct/>
              <w:autoSpaceDE/>
              <w:autoSpaceDN/>
              <w:adjustRightInd/>
              <w:textAlignment w:val="auto"/>
              <w:rPr>
                <w:rFonts w:ascii="Arial" w:hAnsi="Arial" w:cs="Arial"/>
                <w:color w:val="000000"/>
                <w:sz w:val="16"/>
                <w:szCs w:val="16"/>
              </w:rPr>
            </w:pPr>
            <w:r>
              <w:rPr>
                <w:rFonts w:ascii="Arial" w:hAnsi="Arial" w:cs="Arial"/>
                <w:color w:val="000000"/>
                <w:sz w:val="16"/>
                <w:szCs w:val="16"/>
              </w:rPr>
              <w:lastRenderedPageBreak/>
              <w:t>DRGR Activation,</w:t>
            </w:r>
            <w:r w:rsidR="00A168CD">
              <w:rPr>
                <w:rFonts w:ascii="Arial" w:hAnsi="Arial" w:cs="Arial"/>
                <w:color w:val="000000"/>
                <w:sz w:val="16"/>
                <w:szCs w:val="16"/>
              </w:rPr>
              <w:t xml:space="preserve"> </w:t>
            </w:r>
            <w:r>
              <w:rPr>
                <w:rFonts w:ascii="Arial" w:hAnsi="Arial" w:cs="Arial"/>
                <w:color w:val="000000"/>
                <w:sz w:val="16"/>
                <w:szCs w:val="16"/>
              </w:rPr>
              <w:t xml:space="preserve"> </w:t>
            </w:r>
            <w:r w:rsidR="00B40DAC">
              <w:rPr>
                <w:rFonts w:ascii="Arial" w:hAnsi="Arial" w:cs="Arial"/>
                <w:color w:val="000000"/>
                <w:sz w:val="16"/>
                <w:szCs w:val="16"/>
              </w:rPr>
              <w:t>Skills/Expertise update</w:t>
            </w:r>
          </w:p>
        </w:tc>
        <w:tc>
          <w:tcPr>
            <w:tcW w:w="1221" w:type="dxa"/>
            <w:tcBorders>
              <w:top w:val="nil"/>
              <w:left w:val="nil"/>
              <w:bottom w:val="single" w:sz="8" w:space="0" w:color="auto"/>
              <w:right w:val="single" w:sz="8" w:space="0" w:color="auto"/>
            </w:tcBorders>
            <w:shd w:val="clear" w:color="auto" w:fill="auto"/>
            <w:vAlign w:val="center"/>
            <w:hideMark/>
          </w:tcPr>
          <w:p w:rsidR="00F77233" w:rsidRPr="00A02D22" w:rsidRDefault="00F77233" w:rsidP="00A02D22">
            <w:pPr>
              <w:overflowPunct/>
              <w:autoSpaceDE/>
              <w:autoSpaceDN/>
              <w:adjustRightInd/>
              <w:jc w:val="right"/>
              <w:textAlignment w:val="auto"/>
              <w:rPr>
                <w:rFonts w:ascii="Arial" w:hAnsi="Arial" w:cs="Arial"/>
                <w:color w:val="000000"/>
                <w:sz w:val="24"/>
                <w:szCs w:val="24"/>
                <w:vertAlign w:val="superscript"/>
              </w:rPr>
            </w:pPr>
            <w:r>
              <w:rPr>
                <w:rFonts w:ascii="Arial" w:hAnsi="Arial" w:cs="Arial"/>
                <w:color w:val="000000"/>
                <w:sz w:val="24"/>
                <w:szCs w:val="24"/>
                <w:vertAlign w:val="superscript"/>
              </w:rPr>
              <w:t>15</w:t>
            </w:r>
          </w:p>
        </w:tc>
        <w:tc>
          <w:tcPr>
            <w:tcW w:w="1230" w:type="dxa"/>
            <w:tcBorders>
              <w:top w:val="nil"/>
              <w:left w:val="nil"/>
              <w:bottom w:val="single" w:sz="8" w:space="0" w:color="auto"/>
              <w:right w:val="single" w:sz="8" w:space="0" w:color="auto"/>
            </w:tcBorders>
            <w:shd w:val="clear" w:color="auto" w:fill="auto"/>
            <w:vAlign w:val="center"/>
            <w:hideMark/>
          </w:tcPr>
          <w:p w:rsidR="00F77233" w:rsidRPr="00783B3D" w:rsidRDefault="00F77233"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2</w:t>
            </w:r>
          </w:p>
        </w:tc>
        <w:tc>
          <w:tcPr>
            <w:tcW w:w="1606" w:type="dxa"/>
            <w:tcBorders>
              <w:top w:val="nil"/>
              <w:left w:val="nil"/>
              <w:bottom w:val="single" w:sz="8" w:space="0" w:color="auto"/>
              <w:right w:val="single" w:sz="8" w:space="0" w:color="auto"/>
            </w:tcBorders>
            <w:shd w:val="clear" w:color="auto" w:fill="auto"/>
            <w:vAlign w:val="center"/>
            <w:hideMark/>
          </w:tcPr>
          <w:p w:rsidR="00F77233" w:rsidRDefault="00F77233"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30</w:t>
            </w:r>
          </w:p>
        </w:tc>
        <w:tc>
          <w:tcPr>
            <w:tcW w:w="981" w:type="dxa"/>
            <w:tcBorders>
              <w:top w:val="nil"/>
              <w:left w:val="nil"/>
              <w:bottom w:val="single" w:sz="8" w:space="0" w:color="auto"/>
              <w:right w:val="single" w:sz="8" w:space="0" w:color="auto"/>
            </w:tcBorders>
            <w:shd w:val="clear" w:color="auto" w:fill="auto"/>
            <w:vAlign w:val="center"/>
            <w:hideMark/>
          </w:tcPr>
          <w:p w:rsidR="00F77233" w:rsidRPr="00783B3D" w:rsidRDefault="00B40DAC"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8</w:t>
            </w:r>
          </w:p>
        </w:tc>
        <w:tc>
          <w:tcPr>
            <w:tcW w:w="945" w:type="dxa"/>
            <w:tcBorders>
              <w:top w:val="nil"/>
              <w:left w:val="nil"/>
              <w:bottom w:val="single" w:sz="8" w:space="0" w:color="auto"/>
              <w:right w:val="single" w:sz="8" w:space="0" w:color="auto"/>
            </w:tcBorders>
            <w:shd w:val="clear" w:color="auto" w:fill="auto"/>
            <w:vAlign w:val="center"/>
            <w:hideMark/>
          </w:tcPr>
          <w:p w:rsidR="00F77233" w:rsidRDefault="00B40DAC" w:rsidP="00A168CD">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240</w:t>
            </w:r>
          </w:p>
        </w:tc>
      </w:tr>
      <w:tr w:rsidR="00A168CD" w:rsidRPr="00783B3D" w:rsidTr="00B40DAC">
        <w:trPr>
          <w:trHeight w:val="465"/>
          <w:jc w:val="center"/>
        </w:trPr>
        <w:tc>
          <w:tcPr>
            <w:tcW w:w="1844" w:type="dxa"/>
            <w:tcBorders>
              <w:top w:val="nil"/>
              <w:left w:val="single" w:sz="8" w:space="0" w:color="auto"/>
              <w:bottom w:val="single" w:sz="8" w:space="0" w:color="auto"/>
              <w:right w:val="single" w:sz="8" w:space="0" w:color="auto"/>
            </w:tcBorders>
            <w:shd w:val="clear" w:color="auto" w:fill="auto"/>
          </w:tcPr>
          <w:p w:rsidR="00A168CD" w:rsidRDefault="00A168CD" w:rsidP="00B40DAC">
            <w:pPr>
              <w:overflowPunct/>
              <w:autoSpaceDE/>
              <w:autoSpaceDN/>
              <w:adjustRightInd/>
              <w:textAlignment w:val="auto"/>
              <w:rPr>
                <w:rFonts w:ascii="Arial" w:hAnsi="Arial" w:cs="Arial"/>
                <w:color w:val="000000"/>
                <w:sz w:val="16"/>
                <w:szCs w:val="16"/>
              </w:rPr>
            </w:pPr>
            <w:r>
              <w:rPr>
                <w:rFonts w:ascii="Arial" w:hAnsi="Arial" w:cs="Arial"/>
                <w:color w:val="000000"/>
                <w:sz w:val="16"/>
                <w:szCs w:val="16"/>
              </w:rPr>
              <w:t>Reporting (Invoice, Status</w:t>
            </w:r>
          </w:p>
        </w:tc>
        <w:tc>
          <w:tcPr>
            <w:tcW w:w="1221" w:type="dxa"/>
            <w:tcBorders>
              <w:top w:val="nil"/>
              <w:left w:val="nil"/>
              <w:bottom w:val="single" w:sz="8" w:space="0" w:color="auto"/>
              <w:right w:val="single" w:sz="8" w:space="0" w:color="auto"/>
            </w:tcBorders>
            <w:shd w:val="clear" w:color="auto" w:fill="auto"/>
            <w:vAlign w:val="center"/>
          </w:tcPr>
          <w:p w:rsidR="00A168CD" w:rsidRDefault="00A168CD" w:rsidP="00A02D22">
            <w:pPr>
              <w:overflowPunct/>
              <w:autoSpaceDE/>
              <w:autoSpaceDN/>
              <w:adjustRightInd/>
              <w:jc w:val="right"/>
              <w:textAlignment w:val="auto"/>
              <w:rPr>
                <w:rFonts w:ascii="Arial" w:hAnsi="Arial" w:cs="Arial"/>
                <w:color w:val="000000"/>
                <w:sz w:val="24"/>
                <w:szCs w:val="24"/>
                <w:vertAlign w:val="superscript"/>
              </w:rPr>
            </w:pPr>
            <w:r>
              <w:rPr>
                <w:rFonts w:ascii="Arial" w:hAnsi="Arial" w:cs="Arial"/>
                <w:color w:val="000000"/>
                <w:sz w:val="24"/>
                <w:szCs w:val="24"/>
                <w:vertAlign w:val="superscript"/>
              </w:rPr>
              <w:t>15</w:t>
            </w:r>
          </w:p>
        </w:tc>
        <w:tc>
          <w:tcPr>
            <w:tcW w:w="1230" w:type="dxa"/>
            <w:tcBorders>
              <w:top w:val="nil"/>
              <w:left w:val="nil"/>
              <w:bottom w:val="single" w:sz="8" w:space="0" w:color="auto"/>
              <w:right w:val="single" w:sz="8" w:space="0" w:color="auto"/>
            </w:tcBorders>
            <w:shd w:val="clear" w:color="auto" w:fill="auto"/>
            <w:vAlign w:val="center"/>
          </w:tcPr>
          <w:p w:rsidR="00A168CD" w:rsidRDefault="00A168CD"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12</w:t>
            </w:r>
          </w:p>
        </w:tc>
        <w:tc>
          <w:tcPr>
            <w:tcW w:w="1606" w:type="dxa"/>
            <w:tcBorders>
              <w:top w:val="nil"/>
              <w:left w:val="nil"/>
              <w:bottom w:val="single" w:sz="8" w:space="0" w:color="auto"/>
              <w:right w:val="single" w:sz="8" w:space="0" w:color="auto"/>
            </w:tcBorders>
            <w:shd w:val="clear" w:color="auto" w:fill="auto"/>
            <w:vAlign w:val="center"/>
          </w:tcPr>
          <w:p w:rsidR="00A168CD" w:rsidRDefault="00A168CD"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180</w:t>
            </w:r>
          </w:p>
        </w:tc>
        <w:tc>
          <w:tcPr>
            <w:tcW w:w="981" w:type="dxa"/>
            <w:tcBorders>
              <w:top w:val="nil"/>
              <w:left w:val="nil"/>
              <w:bottom w:val="single" w:sz="8" w:space="0" w:color="auto"/>
              <w:right w:val="single" w:sz="8" w:space="0" w:color="auto"/>
            </w:tcBorders>
            <w:shd w:val="clear" w:color="auto" w:fill="auto"/>
            <w:vAlign w:val="center"/>
          </w:tcPr>
          <w:p w:rsidR="00A168CD" w:rsidRDefault="00B40DAC"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2</w:t>
            </w:r>
          </w:p>
        </w:tc>
        <w:tc>
          <w:tcPr>
            <w:tcW w:w="945" w:type="dxa"/>
            <w:tcBorders>
              <w:top w:val="nil"/>
              <w:left w:val="nil"/>
              <w:bottom w:val="single" w:sz="8" w:space="0" w:color="auto"/>
              <w:right w:val="single" w:sz="8" w:space="0" w:color="auto"/>
            </w:tcBorders>
            <w:shd w:val="clear" w:color="auto" w:fill="auto"/>
            <w:vAlign w:val="center"/>
          </w:tcPr>
          <w:p w:rsidR="00A168CD" w:rsidRDefault="00B40DAC"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360</w:t>
            </w:r>
          </w:p>
        </w:tc>
      </w:tr>
      <w:tr w:rsidR="00F77233" w:rsidRPr="00783B3D" w:rsidTr="00B40DAC">
        <w:trPr>
          <w:trHeight w:val="465"/>
          <w:jc w:val="center"/>
        </w:trPr>
        <w:tc>
          <w:tcPr>
            <w:tcW w:w="1844" w:type="dxa"/>
            <w:tcBorders>
              <w:top w:val="nil"/>
              <w:left w:val="single" w:sz="8" w:space="0" w:color="auto"/>
              <w:bottom w:val="single" w:sz="8" w:space="0" w:color="auto"/>
              <w:right w:val="single" w:sz="8" w:space="0" w:color="auto"/>
            </w:tcBorders>
            <w:shd w:val="clear" w:color="auto" w:fill="auto"/>
          </w:tcPr>
          <w:p w:rsidR="00F77233" w:rsidRPr="00783B3D" w:rsidRDefault="00A168CD" w:rsidP="00B40DAC">
            <w:pPr>
              <w:overflowPunct/>
              <w:autoSpaceDE/>
              <w:autoSpaceDN/>
              <w:adjustRightInd/>
              <w:textAlignment w:val="auto"/>
              <w:rPr>
                <w:rFonts w:ascii="Arial" w:hAnsi="Arial" w:cs="Arial"/>
                <w:color w:val="000000"/>
                <w:sz w:val="16"/>
                <w:szCs w:val="16"/>
              </w:rPr>
            </w:pPr>
            <w:r>
              <w:rPr>
                <w:rFonts w:ascii="Arial" w:hAnsi="Arial" w:cs="Arial"/>
                <w:color w:val="000000"/>
                <w:sz w:val="16"/>
                <w:szCs w:val="16"/>
              </w:rPr>
              <w:t>Work Plans</w:t>
            </w:r>
            <w:r w:rsidR="00B40DAC">
              <w:rPr>
                <w:rFonts w:ascii="Arial" w:hAnsi="Arial" w:cs="Arial"/>
                <w:color w:val="000000"/>
                <w:sz w:val="16"/>
                <w:szCs w:val="16"/>
              </w:rPr>
              <w:t>, engagement closing</w:t>
            </w:r>
          </w:p>
        </w:tc>
        <w:tc>
          <w:tcPr>
            <w:tcW w:w="1221" w:type="dxa"/>
            <w:tcBorders>
              <w:top w:val="nil"/>
              <w:left w:val="nil"/>
              <w:bottom w:val="single" w:sz="8" w:space="0" w:color="auto"/>
              <w:right w:val="single" w:sz="8" w:space="0" w:color="auto"/>
            </w:tcBorders>
            <w:shd w:val="clear" w:color="auto" w:fill="auto"/>
            <w:vAlign w:val="center"/>
            <w:hideMark/>
          </w:tcPr>
          <w:p w:rsidR="00F77233" w:rsidRPr="00A02D22" w:rsidRDefault="00F77233" w:rsidP="00A02D22">
            <w:pPr>
              <w:overflowPunct/>
              <w:autoSpaceDE/>
              <w:autoSpaceDN/>
              <w:adjustRightInd/>
              <w:jc w:val="right"/>
              <w:textAlignment w:val="auto"/>
              <w:rPr>
                <w:rFonts w:ascii="Arial" w:hAnsi="Arial" w:cs="Arial"/>
                <w:color w:val="000000"/>
                <w:sz w:val="24"/>
                <w:szCs w:val="24"/>
                <w:vertAlign w:val="superscript"/>
              </w:rPr>
            </w:pPr>
            <w:r>
              <w:rPr>
                <w:rFonts w:ascii="Arial" w:hAnsi="Arial" w:cs="Arial"/>
                <w:color w:val="000000"/>
                <w:sz w:val="24"/>
                <w:szCs w:val="24"/>
                <w:vertAlign w:val="superscript"/>
              </w:rPr>
              <w:t>15</w:t>
            </w:r>
          </w:p>
        </w:tc>
        <w:tc>
          <w:tcPr>
            <w:tcW w:w="1230" w:type="dxa"/>
            <w:tcBorders>
              <w:top w:val="nil"/>
              <w:left w:val="nil"/>
              <w:bottom w:val="single" w:sz="8" w:space="0" w:color="auto"/>
              <w:right w:val="single" w:sz="8" w:space="0" w:color="auto"/>
            </w:tcBorders>
            <w:shd w:val="clear" w:color="auto" w:fill="auto"/>
            <w:vAlign w:val="center"/>
            <w:hideMark/>
          </w:tcPr>
          <w:p w:rsidR="00F77233" w:rsidRPr="00783B3D" w:rsidRDefault="00B40DAC"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10</w:t>
            </w:r>
          </w:p>
        </w:tc>
        <w:tc>
          <w:tcPr>
            <w:tcW w:w="1606" w:type="dxa"/>
            <w:tcBorders>
              <w:top w:val="nil"/>
              <w:left w:val="nil"/>
              <w:bottom w:val="single" w:sz="8" w:space="0" w:color="auto"/>
              <w:right w:val="single" w:sz="8" w:space="0" w:color="auto"/>
            </w:tcBorders>
            <w:shd w:val="clear" w:color="auto" w:fill="auto"/>
            <w:vAlign w:val="center"/>
            <w:hideMark/>
          </w:tcPr>
          <w:p w:rsidR="00F77233" w:rsidRDefault="00B40DAC"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15</w:t>
            </w:r>
            <w:r w:rsidR="00A168CD">
              <w:rPr>
                <w:rFonts w:ascii="Arial" w:hAnsi="Arial" w:cs="Arial"/>
                <w:color w:val="000000"/>
                <w:sz w:val="16"/>
                <w:szCs w:val="16"/>
              </w:rPr>
              <w:t>0</w:t>
            </w:r>
          </w:p>
        </w:tc>
        <w:tc>
          <w:tcPr>
            <w:tcW w:w="981" w:type="dxa"/>
            <w:tcBorders>
              <w:top w:val="nil"/>
              <w:left w:val="nil"/>
              <w:bottom w:val="single" w:sz="8" w:space="0" w:color="auto"/>
              <w:right w:val="single" w:sz="8" w:space="0" w:color="auto"/>
            </w:tcBorders>
            <w:shd w:val="clear" w:color="auto" w:fill="auto"/>
            <w:vAlign w:val="center"/>
            <w:hideMark/>
          </w:tcPr>
          <w:p w:rsidR="00F77233" w:rsidRPr="00783B3D" w:rsidRDefault="00B40DAC"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16</w:t>
            </w:r>
          </w:p>
        </w:tc>
        <w:tc>
          <w:tcPr>
            <w:tcW w:w="945" w:type="dxa"/>
            <w:tcBorders>
              <w:top w:val="nil"/>
              <w:left w:val="nil"/>
              <w:bottom w:val="single" w:sz="8" w:space="0" w:color="auto"/>
              <w:right w:val="single" w:sz="8" w:space="0" w:color="auto"/>
            </w:tcBorders>
            <w:shd w:val="clear" w:color="auto" w:fill="auto"/>
            <w:vAlign w:val="center"/>
            <w:hideMark/>
          </w:tcPr>
          <w:p w:rsidR="00F77233" w:rsidRDefault="00B40DAC" w:rsidP="00B40DAC">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1,500</w:t>
            </w:r>
          </w:p>
        </w:tc>
      </w:tr>
      <w:tr w:rsidR="00F77233" w:rsidRPr="00783B3D" w:rsidTr="00B40DAC">
        <w:trPr>
          <w:trHeight w:val="465"/>
          <w:jc w:val="center"/>
        </w:trPr>
        <w:tc>
          <w:tcPr>
            <w:tcW w:w="1844" w:type="dxa"/>
            <w:tcBorders>
              <w:top w:val="nil"/>
              <w:left w:val="single" w:sz="8" w:space="0" w:color="auto"/>
              <w:bottom w:val="nil"/>
              <w:right w:val="single" w:sz="8" w:space="0" w:color="auto"/>
            </w:tcBorders>
            <w:shd w:val="clear" w:color="auto" w:fill="auto"/>
            <w:hideMark/>
          </w:tcPr>
          <w:p w:rsidR="00F77233" w:rsidRPr="00783B3D" w:rsidRDefault="00F77233" w:rsidP="00783B3D">
            <w:pPr>
              <w:overflowPunct/>
              <w:autoSpaceDE/>
              <w:autoSpaceDN/>
              <w:adjustRightInd/>
              <w:textAlignment w:val="auto"/>
              <w:rPr>
                <w:rFonts w:ascii="Arial" w:hAnsi="Arial" w:cs="Arial"/>
                <w:color w:val="000000"/>
                <w:sz w:val="16"/>
                <w:szCs w:val="16"/>
              </w:rPr>
            </w:pPr>
            <w:r w:rsidRPr="00783B3D">
              <w:rPr>
                <w:rFonts w:ascii="Arial" w:hAnsi="Arial" w:cs="Arial"/>
                <w:color w:val="000000"/>
                <w:sz w:val="16"/>
                <w:szCs w:val="16"/>
              </w:rPr>
              <w:t>TOTAL PAPERWORK BURDEN</w:t>
            </w:r>
          </w:p>
        </w:tc>
        <w:tc>
          <w:tcPr>
            <w:tcW w:w="1221" w:type="dxa"/>
            <w:tcBorders>
              <w:top w:val="nil"/>
              <w:left w:val="nil"/>
              <w:bottom w:val="nil"/>
              <w:right w:val="single" w:sz="8" w:space="0" w:color="auto"/>
            </w:tcBorders>
            <w:shd w:val="clear" w:color="auto" w:fill="auto"/>
            <w:vAlign w:val="center"/>
            <w:hideMark/>
          </w:tcPr>
          <w:p w:rsidR="00F77233" w:rsidRPr="00BE6263" w:rsidRDefault="00BE6263" w:rsidP="00A02D22">
            <w:pPr>
              <w:overflowPunct/>
              <w:autoSpaceDE/>
              <w:autoSpaceDN/>
              <w:adjustRightInd/>
              <w:jc w:val="right"/>
              <w:textAlignment w:val="auto"/>
              <w:rPr>
                <w:rFonts w:ascii="Arial" w:hAnsi="Arial" w:cs="Arial"/>
                <w:color w:val="000000"/>
                <w:sz w:val="18"/>
                <w:szCs w:val="18"/>
              </w:rPr>
            </w:pPr>
            <w:r w:rsidRPr="00BE6263">
              <w:rPr>
                <w:rFonts w:ascii="Arial" w:hAnsi="Arial" w:cs="Arial"/>
                <w:color w:val="000000"/>
                <w:sz w:val="18"/>
                <w:szCs w:val="18"/>
              </w:rPr>
              <w:t>95</w:t>
            </w:r>
          </w:p>
        </w:tc>
        <w:tc>
          <w:tcPr>
            <w:tcW w:w="1230" w:type="dxa"/>
            <w:tcBorders>
              <w:top w:val="nil"/>
              <w:left w:val="nil"/>
              <w:bottom w:val="nil"/>
              <w:right w:val="single" w:sz="8" w:space="0" w:color="auto"/>
            </w:tcBorders>
            <w:shd w:val="clear" w:color="auto" w:fill="auto"/>
            <w:vAlign w:val="center"/>
            <w:hideMark/>
          </w:tcPr>
          <w:p w:rsidR="00F77233" w:rsidRPr="00783B3D" w:rsidRDefault="00BE6263"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27</w:t>
            </w:r>
            <w:r w:rsidR="00F77233" w:rsidRPr="00783B3D">
              <w:rPr>
                <w:rFonts w:ascii="Arial" w:hAnsi="Arial" w:cs="Arial"/>
                <w:color w:val="000000"/>
                <w:sz w:val="16"/>
                <w:szCs w:val="16"/>
              </w:rPr>
              <w:t> </w:t>
            </w:r>
          </w:p>
        </w:tc>
        <w:tc>
          <w:tcPr>
            <w:tcW w:w="1606" w:type="dxa"/>
            <w:tcBorders>
              <w:top w:val="nil"/>
              <w:left w:val="nil"/>
              <w:bottom w:val="nil"/>
              <w:right w:val="single" w:sz="8" w:space="0" w:color="auto"/>
            </w:tcBorders>
            <w:shd w:val="clear" w:color="auto" w:fill="auto"/>
            <w:vAlign w:val="center"/>
            <w:hideMark/>
          </w:tcPr>
          <w:p w:rsidR="00F77233" w:rsidRPr="00783B3D" w:rsidRDefault="00BE6263"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425</w:t>
            </w:r>
          </w:p>
        </w:tc>
        <w:tc>
          <w:tcPr>
            <w:tcW w:w="981" w:type="dxa"/>
            <w:tcBorders>
              <w:top w:val="nil"/>
              <w:left w:val="nil"/>
              <w:bottom w:val="nil"/>
              <w:right w:val="single" w:sz="8" w:space="0" w:color="auto"/>
            </w:tcBorders>
            <w:shd w:val="clear" w:color="auto" w:fill="auto"/>
            <w:vAlign w:val="center"/>
            <w:hideMark/>
          </w:tcPr>
          <w:p w:rsidR="00F77233" w:rsidRPr="00783B3D" w:rsidRDefault="00BE6263" w:rsidP="00A02D22">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111</w:t>
            </w:r>
            <w:r w:rsidR="00F77233" w:rsidRPr="00783B3D">
              <w:rPr>
                <w:rFonts w:ascii="Arial" w:hAnsi="Arial" w:cs="Arial"/>
                <w:color w:val="000000"/>
                <w:sz w:val="16"/>
                <w:szCs w:val="16"/>
              </w:rPr>
              <w:t> </w:t>
            </w:r>
          </w:p>
        </w:tc>
        <w:tc>
          <w:tcPr>
            <w:tcW w:w="945" w:type="dxa"/>
            <w:tcBorders>
              <w:top w:val="nil"/>
              <w:left w:val="nil"/>
              <w:bottom w:val="nil"/>
              <w:right w:val="single" w:sz="8" w:space="0" w:color="auto"/>
            </w:tcBorders>
            <w:shd w:val="clear" w:color="auto" w:fill="auto"/>
            <w:vAlign w:val="center"/>
            <w:hideMark/>
          </w:tcPr>
          <w:p w:rsidR="00F77233" w:rsidRPr="00783B3D" w:rsidRDefault="00B40DAC" w:rsidP="00B40DAC">
            <w:pPr>
              <w:overflowPunct/>
              <w:autoSpaceDE/>
              <w:autoSpaceDN/>
              <w:adjustRightInd/>
              <w:jc w:val="right"/>
              <w:textAlignment w:val="auto"/>
              <w:rPr>
                <w:rFonts w:ascii="Arial" w:hAnsi="Arial" w:cs="Arial"/>
                <w:color w:val="000000"/>
                <w:sz w:val="16"/>
                <w:szCs w:val="16"/>
              </w:rPr>
            </w:pPr>
            <w:r>
              <w:rPr>
                <w:rFonts w:ascii="Arial" w:hAnsi="Arial" w:cs="Arial"/>
                <w:color w:val="000000"/>
                <w:sz w:val="16"/>
                <w:szCs w:val="16"/>
              </w:rPr>
              <w:t>5,050</w:t>
            </w:r>
          </w:p>
        </w:tc>
      </w:tr>
      <w:tr w:rsidR="00BC6422" w:rsidRPr="00783B3D" w:rsidTr="00B40DAC">
        <w:trPr>
          <w:trHeight w:val="150"/>
          <w:jc w:val="center"/>
        </w:trPr>
        <w:tc>
          <w:tcPr>
            <w:tcW w:w="1844" w:type="dxa"/>
            <w:tcBorders>
              <w:top w:val="nil"/>
              <w:left w:val="single" w:sz="8" w:space="0" w:color="auto"/>
              <w:bottom w:val="single" w:sz="8" w:space="0" w:color="auto"/>
              <w:right w:val="single" w:sz="8" w:space="0" w:color="auto"/>
            </w:tcBorders>
            <w:shd w:val="clear" w:color="auto" w:fill="auto"/>
            <w:hideMark/>
          </w:tcPr>
          <w:p w:rsidR="00BC6422" w:rsidRPr="00783B3D" w:rsidRDefault="00BC6422" w:rsidP="00783B3D">
            <w:pPr>
              <w:overflowPunct/>
              <w:autoSpaceDE/>
              <w:autoSpaceDN/>
              <w:adjustRightInd/>
              <w:textAlignment w:val="auto"/>
              <w:rPr>
                <w:rFonts w:ascii="Arial" w:hAnsi="Arial" w:cs="Arial"/>
                <w:color w:val="000000"/>
                <w:sz w:val="16"/>
                <w:szCs w:val="16"/>
              </w:rPr>
            </w:pPr>
          </w:p>
        </w:tc>
        <w:tc>
          <w:tcPr>
            <w:tcW w:w="1221" w:type="dxa"/>
            <w:tcBorders>
              <w:top w:val="nil"/>
              <w:left w:val="nil"/>
              <w:bottom w:val="single" w:sz="8" w:space="0" w:color="auto"/>
              <w:right w:val="single" w:sz="8" w:space="0" w:color="auto"/>
            </w:tcBorders>
            <w:shd w:val="clear" w:color="auto" w:fill="auto"/>
            <w:vAlign w:val="center"/>
            <w:hideMark/>
          </w:tcPr>
          <w:p w:rsidR="00BC6422" w:rsidRPr="00A02D22" w:rsidRDefault="00BC6422" w:rsidP="00BC6422">
            <w:pPr>
              <w:overflowPunct/>
              <w:autoSpaceDE/>
              <w:autoSpaceDN/>
              <w:adjustRightInd/>
              <w:textAlignment w:val="auto"/>
              <w:rPr>
                <w:rFonts w:ascii="Arial" w:hAnsi="Arial" w:cs="Arial"/>
                <w:color w:val="000000"/>
                <w:sz w:val="24"/>
                <w:szCs w:val="24"/>
                <w:vertAlign w:val="superscript"/>
              </w:rPr>
            </w:pPr>
          </w:p>
        </w:tc>
        <w:tc>
          <w:tcPr>
            <w:tcW w:w="1230" w:type="dxa"/>
            <w:tcBorders>
              <w:top w:val="nil"/>
              <w:left w:val="nil"/>
              <w:bottom w:val="single" w:sz="8" w:space="0" w:color="auto"/>
              <w:right w:val="single" w:sz="8" w:space="0" w:color="auto"/>
            </w:tcBorders>
            <w:shd w:val="clear" w:color="auto" w:fill="auto"/>
            <w:vAlign w:val="center"/>
            <w:hideMark/>
          </w:tcPr>
          <w:p w:rsidR="00BC6422" w:rsidRPr="00783B3D" w:rsidRDefault="00BC6422" w:rsidP="00BC6422">
            <w:pPr>
              <w:overflowPunct/>
              <w:autoSpaceDE/>
              <w:autoSpaceDN/>
              <w:adjustRightInd/>
              <w:textAlignment w:val="auto"/>
              <w:rPr>
                <w:rFonts w:ascii="Arial" w:hAnsi="Arial" w:cs="Arial"/>
                <w:color w:val="000000"/>
                <w:sz w:val="16"/>
                <w:szCs w:val="16"/>
              </w:rPr>
            </w:pPr>
          </w:p>
        </w:tc>
        <w:tc>
          <w:tcPr>
            <w:tcW w:w="1606" w:type="dxa"/>
            <w:tcBorders>
              <w:top w:val="nil"/>
              <w:left w:val="nil"/>
              <w:bottom w:val="single" w:sz="8" w:space="0" w:color="auto"/>
              <w:right w:val="single" w:sz="8" w:space="0" w:color="auto"/>
            </w:tcBorders>
            <w:shd w:val="clear" w:color="auto" w:fill="auto"/>
            <w:vAlign w:val="center"/>
            <w:hideMark/>
          </w:tcPr>
          <w:p w:rsidR="00BC6422" w:rsidRPr="00783B3D" w:rsidRDefault="00BC6422" w:rsidP="00BC6422">
            <w:pPr>
              <w:overflowPunct/>
              <w:autoSpaceDE/>
              <w:autoSpaceDN/>
              <w:adjustRightInd/>
              <w:textAlignment w:val="auto"/>
              <w:rPr>
                <w:rFonts w:ascii="Arial" w:hAnsi="Arial" w:cs="Arial"/>
                <w:color w:val="000000"/>
                <w:sz w:val="16"/>
                <w:szCs w:val="16"/>
              </w:rPr>
            </w:pPr>
          </w:p>
        </w:tc>
        <w:tc>
          <w:tcPr>
            <w:tcW w:w="981" w:type="dxa"/>
            <w:tcBorders>
              <w:top w:val="nil"/>
              <w:left w:val="nil"/>
              <w:bottom w:val="single" w:sz="8" w:space="0" w:color="auto"/>
              <w:right w:val="single" w:sz="8" w:space="0" w:color="auto"/>
            </w:tcBorders>
            <w:shd w:val="clear" w:color="auto" w:fill="auto"/>
            <w:vAlign w:val="center"/>
            <w:hideMark/>
          </w:tcPr>
          <w:p w:rsidR="00BC6422" w:rsidRPr="00783B3D" w:rsidRDefault="00BC6422" w:rsidP="00BC6422">
            <w:pPr>
              <w:overflowPunct/>
              <w:autoSpaceDE/>
              <w:autoSpaceDN/>
              <w:adjustRightInd/>
              <w:textAlignment w:val="auto"/>
              <w:rPr>
                <w:rFonts w:ascii="Arial" w:hAnsi="Arial" w:cs="Arial"/>
                <w:color w:val="000000"/>
                <w:sz w:val="16"/>
                <w:szCs w:val="16"/>
              </w:rPr>
            </w:pPr>
          </w:p>
        </w:tc>
        <w:tc>
          <w:tcPr>
            <w:tcW w:w="945" w:type="dxa"/>
            <w:tcBorders>
              <w:top w:val="nil"/>
              <w:left w:val="nil"/>
              <w:bottom w:val="single" w:sz="8" w:space="0" w:color="auto"/>
              <w:right w:val="single" w:sz="8" w:space="0" w:color="auto"/>
            </w:tcBorders>
            <w:shd w:val="clear" w:color="auto" w:fill="auto"/>
            <w:vAlign w:val="center"/>
            <w:hideMark/>
          </w:tcPr>
          <w:p w:rsidR="00BC6422" w:rsidRDefault="00BC6422" w:rsidP="00BC6422">
            <w:pPr>
              <w:overflowPunct/>
              <w:autoSpaceDE/>
              <w:autoSpaceDN/>
              <w:adjustRightInd/>
              <w:textAlignment w:val="auto"/>
              <w:rPr>
                <w:rFonts w:ascii="Arial" w:hAnsi="Arial" w:cs="Arial"/>
                <w:color w:val="000000"/>
                <w:sz w:val="16"/>
                <w:szCs w:val="16"/>
              </w:rPr>
            </w:pPr>
          </w:p>
        </w:tc>
      </w:tr>
    </w:tbl>
    <w:p w:rsidR="00972372" w:rsidRPr="00A02D22" w:rsidRDefault="00972372" w:rsidP="00A02D22">
      <w:pPr>
        <w:keepNext/>
        <w:keepLines/>
        <w:tabs>
          <w:tab w:val="left" w:pos="0"/>
          <w:tab w:val="left" w:pos="720"/>
          <w:tab w:val="left" w:pos="840"/>
        </w:tabs>
        <w:rPr>
          <w:b/>
          <w:sz w:val="18"/>
          <w:szCs w:val="18"/>
        </w:rPr>
      </w:pPr>
    </w:p>
    <w:p w:rsidR="00354A58" w:rsidRPr="00BC6422" w:rsidRDefault="00354A58" w:rsidP="00BC6422">
      <w:pPr>
        <w:keepNext/>
        <w:numPr>
          <w:ilvl w:val="1"/>
          <w:numId w:val="10"/>
        </w:numPr>
        <w:tabs>
          <w:tab w:val="left" w:pos="360"/>
          <w:tab w:val="left" w:pos="720"/>
          <w:tab w:val="right" w:pos="7680"/>
        </w:tabs>
        <w:rPr>
          <w:b/>
          <w:sz w:val="22"/>
        </w:rPr>
      </w:pPr>
      <w:r w:rsidRPr="00BC6422">
        <w:rPr>
          <w:b/>
          <w:sz w:val="22"/>
        </w:rPr>
        <w:t>Estimate of Total Costs to Respondents</w:t>
      </w:r>
      <w:r w:rsidR="00972372" w:rsidRPr="00BC6422">
        <w:rPr>
          <w:b/>
          <w:sz w:val="22"/>
        </w:rPr>
        <w:t xml:space="preserve"> (Capital Costs)</w:t>
      </w:r>
    </w:p>
    <w:p w:rsidR="00972372" w:rsidRPr="00972372" w:rsidRDefault="00972372" w:rsidP="00972372">
      <w:pPr>
        <w:rPr>
          <w:sz w:val="22"/>
          <w:szCs w:val="22"/>
        </w:rPr>
      </w:pPr>
      <w:r w:rsidRPr="00972372">
        <w:rPr>
          <w:sz w:val="22"/>
          <w:szCs w:val="22"/>
        </w:rPr>
        <w:t xml:space="preserve">There are no capital costs for respondents beyond customary or usual business practices or that are not otherwise required to achieve regulatory compliance not associated with the collection of information for purposes of completing the </w:t>
      </w:r>
      <w:r w:rsidR="004D11F4" w:rsidRPr="004A62B2">
        <w:rPr>
          <w:iCs/>
          <w:sz w:val="22"/>
        </w:rPr>
        <w:t>Technical Assistance and Capacity Building under the Transformation Initiative</w:t>
      </w:r>
      <w:r w:rsidR="004D11F4" w:rsidRPr="004A62B2">
        <w:rPr>
          <w:b/>
          <w:iCs/>
          <w:sz w:val="22"/>
        </w:rPr>
        <w:t xml:space="preserve"> </w:t>
      </w:r>
      <w:r w:rsidR="004D11F4">
        <w:rPr>
          <w:iCs/>
          <w:sz w:val="22"/>
        </w:rPr>
        <w:t xml:space="preserve">Program </w:t>
      </w:r>
      <w:r w:rsidR="00DD5DD0">
        <w:rPr>
          <w:sz w:val="22"/>
        </w:rPr>
        <w:t>Narratives</w:t>
      </w:r>
      <w:r w:rsidRPr="00972372">
        <w:rPr>
          <w:sz w:val="22"/>
          <w:szCs w:val="22"/>
        </w:rPr>
        <w:t xml:space="preserve"> and Reporting Requirements.</w:t>
      </w:r>
    </w:p>
    <w:p w:rsidR="003E07B3" w:rsidRDefault="003E07B3" w:rsidP="001F2B4E">
      <w:pPr>
        <w:tabs>
          <w:tab w:val="left" w:pos="360"/>
          <w:tab w:val="left" w:pos="720"/>
          <w:tab w:val="right" w:pos="7680"/>
        </w:tabs>
        <w:rPr>
          <w:sz w:val="22"/>
        </w:rPr>
      </w:pPr>
    </w:p>
    <w:p w:rsidR="004D11F4" w:rsidRDefault="004D11F4" w:rsidP="001F2B4E">
      <w:pPr>
        <w:tabs>
          <w:tab w:val="left" w:pos="360"/>
          <w:tab w:val="left" w:pos="720"/>
          <w:tab w:val="right" w:pos="7680"/>
        </w:tabs>
        <w:rPr>
          <w:sz w:val="22"/>
        </w:rPr>
      </w:pPr>
    </w:p>
    <w:p w:rsidR="00354A58" w:rsidRDefault="00354A58" w:rsidP="003A412A">
      <w:pPr>
        <w:numPr>
          <w:ilvl w:val="1"/>
          <w:numId w:val="10"/>
        </w:numPr>
        <w:tabs>
          <w:tab w:val="left" w:pos="360"/>
          <w:tab w:val="left" w:pos="720"/>
          <w:tab w:val="right" w:pos="7680"/>
        </w:tabs>
        <w:rPr>
          <w:sz w:val="22"/>
          <w:u w:val="single"/>
        </w:rPr>
      </w:pPr>
      <w:r>
        <w:rPr>
          <w:b/>
          <w:sz w:val="22"/>
        </w:rPr>
        <w:t>Estimate of Annualized Cost to Federal Government</w:t>
      </w:r>
    </w:p>
    <w:p w:rsidR="00354A58" w:rsidRPr="00370633" w:rsidRDefault="00354A58" w:rsidP="003A412A">
      <w:pPr>
        <w:pStyle w:val="BodyText"/>
        <w:tabs>
          <w:tab w:val="left" w:pos="0"/>
          <w:tab w:val="left" w:pos="720"/>
          <w:tab w:val="right" w:pos="7680"/>
        </w:tabs>
        <w:rPr>
          <w:sz w:val="22"/>
        </w:rPr>
      </w:pPr>
      <w:r>
        <w:rPr>
          <w:sz w:val="22"/>
        </w:rPr>
        <w:t xml:space="preserve">The cost to the government to review the </w:t>
      </w:r>
      <w:r w:rsidR="004D6472">
        <w:rPr>
          <w:sz w:val="22"/>
        </w:rPr>
        <w:t xml:space="preserve">submissions and </w:t>
      </w:r>
      <w:r>
        <w:rPr>
          <w:sz w:val="22"/>
        </w:rPr>
        <w:t xml:space="preserve">reports </w:t>
      </w:r>
      <w:r w:rsidR="00BC6422">
        <w:rPr>
          <w:sz w:val="22"/>
        </w:rPr>
        <w:t xml:space="preserve">for </w:t>
      </w:r>
      <w:r w:rsidR="004D11F4" w:rsidRPr="004A62B2">
        <w:rPr>
          <w:iCs/>
          <w:sz w:val="22"/>
        </w:rPr>
        <w:t>Technical Assistance and Capacity Building under the Transformation Initiative</w:t>
      </w:r>
      <w:r w:rsidR="004D11F4" w:rsidRPr="004A62B2">
        <w:rPr>
          <w:b/>
          <w:iCs/>
          <w:sz w:val="22"/>
        </w:rPr>
        <w:t xml:space="preserve"> </w:t>
      </w:r>
      <w:r>
        <w:rPr>
          <w:sz w:val="22"/>
        </w:rPr>
        <w:t xml:space="preserve">(but not including the costs of follow-up management, technical assistance or monitoring) is estimated at </w:t>
      </w:r>
      <w:r w:rsidR="00337FC7" w:rsidRPr="00337FC7">
        <w:rPr>
          <w:rFonts w:ascii="Helvetica" w:hAnsi="Helvetica"/>
          <w:b/>
          <w:bCs/>
          <w:sz w:val="18"/>
        </w:rPr>
        <w:t>$</w:t>
      </w:r>
      <w:r w:rsidR="00770F4D">
        <w:rPr>
          <w:rFonts w:ascii="Helvetica" w:hAnsi="Helvetica"/>
          <w:b/>
          <w:bCs/>
          <w:sz w:val="18"/>
        </w:rPr>
        <w:t>112,200</w:t>
      </w:r>
      <w:r w:rsidR="00BC4702" w:rsidRPr="00370633">
        <w:rPr>
          <w:sz w:val="22"/>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0"/>
        <w:gridCol w:w="1080"/>
        <w:gridCol w:w="1406"/>
        <w:gridCol w:w="1114"/>
        <w:gridCol w:w="1320"/>
        <w:gridCol w:w="840"/>
        <w:gridCol w:w="1200"/>
      </w:tblGrid>
      <w:tr w:rsidR="00B40DAC" w:rsidTr="00770F4D">
        <w:tc>
          <w:tcPr>
            <w:tcW w:w="3390" w:type="dxa"/>
            <w:vAlign w:val="center"/>
          </w:tcPr>
          <w:p w:rsidR="00B40DAC" w:rsidRDefault="00B40DAC" w:rsidP="00B40DAC">
            <w:pPr>
              <w:keepLines/>
              <w:tabs>
                <w:tab w:val="left" w:pos="360"/>
              </w:tabs>
              <w:spacing w:before="40" w:after="40"/>
              <w:rPr>
                <w:rFonts w:ascii="Arial" w:hAnsi="Arial" w:cs="Arial"/>
                <w:color w:val="000000"/>
                <w:sz w:val="18"/>
              </w:rPr>
            </w:pPr>
          </w:p>
        </w:tc>
        <w:tc>
          <w:tcPr>
            <w:tcW w:w="1080" w:type="dxa"/>
            <w:vAlign w:val="center"/>
          </w:tcPr>
          <w:p w:rsidR="00B40DAC" w:rsidRDefault="00B40DAC" w:rsidP="00B40DAC">
            <w:pPr>
              <w:pStyle w:val="Heading4"/>
              <w:spacing w:before="40" w:after="40"/>
              <w:jc w:val="center"/>
              <w:rPr>
                <w:rFonts w:ascii="Arial" w:hAnsi="Arial" w:cs="Arial"/>
                <w:b w:val="0"/>
                <w:bCs w:val="0"/>
              </w:rPr>
            </w:pPr>
            <w:r>
              <w:rPr>
                <w:rFonts w:ascii="Arial" w:hAnsi="Arial" w:cs="Arial"/>
                <w:b w:val="0"/>
                <w:bCs w:val="0"/>
              </w:rPr>
              <w:t>No. of staff</w:t>
            </w:r>
          </w:p>
        </w:tc>
        <w:tc>
          <w:tcPr>
            <w:tcW w:w="1406" w:type="dxa"/>
            <w:vAlign w:val="center"/>
          </w:tcPr>
          <w:p w:rsidR="00B40DAC" w:rsidRDefault="00B40DAC" w:rsidP="00B40DAC">
            <w:pPr>
              <w:keepLines/>
              <w:tabs>
                <w:tab w:val="left" w:pos="360"/>
              </w:tabs>
              <w:spacing w:before="40" w:after="40"/>
              <w:jc w:val="center"/>
              <w:rPr>
                <w:rFonts w:ascii="Arial" w:hAnsi="Arial" w:cs="Arial"/>
                <w:color w:val="000000"/>
                <w:sz w:val="18"/>
              </w:rPr>
            </w:pPr>
            <w:r>
              <w:rPr>
                <w:rFonts w:ascii="Arial" w:hAnsi="Arial" w:cs="Arial"/>
                <w:color w:val="000000"/>
                <w:sz w:val="18"/>
              </w:rPr>
              <w:t>No. of Hours per staff</w:t>
            </w:r>
          </w:p>
        </w:tc>
        <w:tc>
          <w:tcPr>
            <w:tcW w:w="1114" w:type="dxa"/>
            <w:vAlign w:val="center"/>
          </w:tcPr>
          <w:p w:rsidR="00B40DAC" w:rsidRDefault="00B40DAC" w:rsidP="00B40DAC">
            <w:pPr>
              <w:keepLines/>
              <w:tabs>
                <w:tab w:val="left" w:pos="360"/>
              </w:tabs>
              <w:spacing w:before="40" w:after="40"/>
              <w:jc w:val="center"/>
              <w:rPr>
                <w:rFonts w:ascii="Arial" w:hAnsi="Arial" w:cs="Arial"/>
                <w:color w:val="000000"/>
                <w:sz w:val="18"/>
              </w:rPr>
            </w:pPr>
            <w:r>
              <w:rPr>
                <w:rFonts w:ascii="Arial" w:hAnsi="Arial" w:cs="Arial"/>
                <w:color w:val="000000"/>
                <w:sz w:val="18"/>
              </w:rPr>
              <w:t>Annual Frequency</w:t>
            </w:r>
          </w:p>
        </w:tc>
        <w:tc>
          <w:tcPr>
            <w:tcW w:w="1320" w:type="dxa"/>
            <w:vAlign w:val="center"/>
          </w:tcPr>
          <w:p w:rsidR="00B40DAC" w:rsidRDefault="00B40DAC" w:rsidP="00B40DAC">
            <w:pPr>
              <w:keepLines/>
              <w:tabs>
                <w:tab w:val="left" w:pos="360"/>
              </w:tabs>
              <w:spacing w:before="40" w:after="40"/>
              <w:jc w:val="center"/>
              <w:rPr>
                <w:rFonts w:ascii="Arial" w:hAnsi="Arial" w:cs="Arial"/>
                <w:color w:val="000000"/>
                <w:sz w:val="18"/>
              </w:rPr>
            </w:pPr>
            <w:r>
              <w:rPr>
                <w:rFonts w:ascii="Arial" w:hAnsi="Arial" w:cs="Arial"/>
                <w:color w:val="000000"/>
                <w:sz w:val="18"/>
              </w:rPr>
              <w:t>Total Annual Hrs</w:t>
            </w:r>
          </w:p>
        </w:tc>
        <w:tc>
          <w:tcPr>
            <w:tcW w:w="840" w:type="dxa"/>
            <w:vAlign w:val="center"/>
          </w:tcPr>
          <w:p w:rsidR="00B40DAC" w:rsidRDefault="00B40DAC" w:rsidP="00B40DAC">
            <w:pPr>
              <w:keepLines/>
              <w:tabs>
                <w:tab w:val="left" w:pos="360"/>
              </w:tabs>
              <w:spacing w:before="40" w:after="40"/>
              <w:jc w:val="center"/>
              <w:rPr>
                <w:rFonts w:ascii="Arial" w:hAnsi="Arial" w:cs="Arial"/>
                <w:color w:val="000000"/>
                <w:sz w:val="18"/>
              </w:rPr>
            </w:pPr>
            <w:r>
              <w:rPr>
                <w:rFonts w:ascii="Arial" w:hAnsi="Arial" w:cs="Arial"/>
                <w:color w:val="000000"/>
                <w:sz w:val="18"/>
              </w:rPr>
              <w:t>Cost per Hr</w:t>
            </w:r>
          </w:p>
        </w:tc>
        <w:tc>
          <w:tcPr>
            <w:tcW w:w="1200" w:type="dxa"/>
            <w:vAlign w:val="center"/>
          </w:tcPr>
          <w:p w:rsidR="00B40DAC" w:rsidRDefault="00B40DAC" w:rsidP="00B40DAC">
            <w:pPr>
              <w:keepLines/>
              <w:tabs>
                <w:tab w:val="left" w:pos="360"/>
              </w:tabs>
              <w:spacing w:before="40" w:after="40"/>
              <w:jc w:val="center"/>
              <w:rPr>
                <w:rFonts w:ascii="Arial" w:hAnsi="Arial" w:cs="Arial"/>
                <w:color w:val="000000"/>
                <w:sz w:val="18"/>
              </w:rPr>
            </w:pPr>
            <w:r>
              <w:rPr>
                <w:rFonts w:ascii="Arial" w:hAnsi="Arial" w:cs="Arial"/>
                <w:color w:val="000000"/>
                <w:sz w:val="18"/>
              </w:rPr>
              <w:t>Total Annual Cost</w:t>
            </w:r>
          </w:p>
        </w:tc>
      </w:tr>
      <w:tr w:rsidR="00B40DAC" w:rsidTr="00770F4D">
        <w:tc>
          <w:tcPr>
            <w:tcW w:w="3390" w:type="dxa"/>
            <w:vAlign w:val="center"/>
          </w:tcPr>
          <w:p w:rsidR="00B40DAC" w:rsidRDefault="00B40DAC" w:rsidP="00B40DAC">
            <w:pPr>
              <w:keepLines/>
              <w:tabs>
                <w:tab w:val="left" w:pos="360"/>
              </w:tabs>
              <w:spacing w:before="40" w:after="40"/>
              <w:rPr>
                <w:rFonts w:ascii="Arial" w:hAnsi="Arial" w:cs="Arial"/>
                <w:color w:val="000000"/>
                <w:sz w:val="18"/>
              </w:rPr>
            </w:pPr>
            <w:r>
              <w:rPr>
                <w:rFonts w:ascii="Arial" w:hAnsi="Arial" w:cs="Arial"/>
                <w:color w:val="000000"/>
                <w:sz w:val="18"/>
              </w:rPr>
              <w:t>Application retrieval and Dissemination</w:t>
            </w:r>
          </w:p>
        </w:tc>
        <w:tc>
          <w:tcPr>
            <w:tcW w:w="1080" w:type="dxa"/>
            <w:vAlign w:val="center"/>
          </w:tcPr>
          <w:p w:rsidR="00B40DAC" w:rsidRDefault="00B40DAC" w:rsidP="00B40DAC">
            <w:pPr>
              <w:keepLines/>
              <w:tabs>
                <w:tab w:val="left" w:pos="360"/>
              </w:tabs>
              <w:spacing w:before="40" w:after="40"/>
              <w:jc w:val="center"/>
              <w:rPr>
                <w:rFonts w:ascii="Arial" w:hAnsi="Arial" w:cs="Arial"/>
                <w:color w:val="000000"/>
                <w:sz w:val="18"/>
              </w:rPr>
            </w:pPr>
            <w:r>
              <w:rPr>
                <w:rFonts w:ascii="Arial" w:hAnsi="Arial" w:cs="Arial"/>
                <w:color w:val="000000"/>
                <w:sz w:val="18"/>
              </w:rPr>
              <w:t>4</w:t>
            </w:r>
          </w:p>
        </w:tc>
        <w:tc>
          <w:tcPr>
            <w:tcW w:w="1406" w:type="dxa"/>
            <w:vAlign w:val="center"/>
          </w:tcPr>
          <w:p w:rsidR="00B40DAC" w:rsidRDefault="00B40DAC" w:rsidP="00B40DAC">
            <w:pPr>
              <w:keepLines/>
              <w:tabs>
                <w:tab w:val="left" w:pos="360"/>
              </w:tabs>
              <w:spacing w:before="40" w:after="40"/>
              <w:jc w:val="center"/>
              <w:rPr>
                <w:rFonts w:ascii="Arial" w:hAnsi="Arial" w:cs="Arial"/>
                <w:color w:val="000000"/>
                <w:sz w:val="18"/>
              </w:rPr>
            </w:pPr>
            <w:r>
              <w:rPr>
                <w:rFonts w:ascii="Arial" w:hAnsi="Arial" w:cs="Arial"/>
                <w:color w:val="000000"/>
                <w:sz w:val="18"/>
              </w:rPr>
              <w:t>30</w:t>
            </w:r>
          </w:p>
        </w:tc>
        <w:tc>
          <w:tcPr>
            <w:tcW w:w="1114" w:type="dxa"/>
            <w:vAlign w:val="center"/>
          </w:tcPr>
          <w:p w:rsidR="00B40DAC" w:rsidRDefault="00B40DAC" w:rsidP="00B40DAC">
            <w:pPr>
              <w:keepLines/>
              <w:tabs>
                <w:tab w:val="left" w:pos="360"/>
              </w:tabs>
              <w:spacing w:before="40" w:after="40"/>
              <w:jc w:val="center"/>
              <w:rPr>
                <w:rFonts w:ascii="Arial" w:hAnsi="Arial" w:cs="Arial"/>
                <w:color w:val="000000"/>
                <w:sz w:val="18"/>
              </w:rPr>
            </w:pPr>
            <w:r>
              <w:rPr>
                <w:rFonts w:ascii="Arial" w:hAnsi="Arial" w:cs="Arial"/>
                <w:color w:val="000000"/>
                <w:sz w:val="18"/>
              </w:rPr>
              <w:t>1</w:t>
            </w:r>
          </w:p>
        </w:tc>
        <w:tc>
          <w:tcPr>
            <w:tcW w:w="1320" w:type="dxa"/>
            <w:vAlign w:val="center"/>
          </w:tcPr>
          <w:p w:rsidR="00B40DAC" w:rsidRDefault="00B40DAC" w:rsidP="00B40DAC">
            <w:pPr>
              <w:keepLines/>
              <w:tabs>
                <w:tab w:val="left" w:pos="360"/>
              </w:tabs>
              <w:spacing w:before="40" w:after="40"/>
              <w:ind w:right="252"/>
              <w:jc w:val="right"/>
              <w:rPr>
                <w:rFonts w:ascii="Arial" w:hAnsi="Arial" w:cs="Arial"/>
                <w:color w:val="000000"/>
                <w:sz w:val="18"/>
              </w:rPr>
            </w:pPr>
            <w:r>
              <w:rPr>
                <w:rFonts w:ascii="Arial" w:hAnsi="Arial" w:cs="Arial"/>
                <w:color w:val="000000"/>
                <w:sz w:val="18"/>
              </w:rPr>
              <w:t>120</w:t>
            </w:r>
          </w:p>
        </w:tc>
        <w:tc>
          <w:tcPr>
            <w:tcW w:w="840" w:type="dxa"/>
            <w:vAlign w:val="center"/>
          </w:tcPr>
          <w:p w:rsidR="00B40DAC" w:rsidRDefault="00B40DAC" w:rsidP="00B40DAC">
            <w:pPr>
              <w:keepLines/>
              <w:tabs>
                <w:tab w:val="left" w:pos="360"/>
              </w:tabs>
              <w:spacing w:before="40" w:after="40"/>
              <w:jc w:val="center"/>
              <w:rPr>
                <w:rFonts w:ascii="Arial" w:hAnsi="Arial" w:cs="Arial"/>
                <w:color w:val="000000"/>
                <w:sz w:val="18"/>
              </w:rPr>
            </w:pPr>
            <w:r>
              <w:rPr>
                <w:rFonts w:ascii="Arial" w:hAnsi="Arial" w:cs="Arial"/>
                <w:color w:val="000000"/>
                <w:sz w:val="18"/>
              </w:rPr>
              <w:t>$35</w:t>
            </w:r>
          </w:p>
        </w:tc>
        <w:tc>
          <w:tcPr>
            <w:tcW w:w="1200" w:type="dxa"/>
            <w:vAlign w:val="center"/>
          </w:tcPr>
          <w:p w:rsidR="00B40DAC" w:rsidRDefault="00B40DAC" w:rsidP="00B40DAC">
            <w:pPr>
              <w:keepLines/>
              <w:tabs>
                <w:tab w:val="left" w:pos="360"/>
              </w:tabs>
              <w:spacing w:before="40" w:after="40"/>
              <w:ind w:left="-108" w:right="132"/>
              <w:jc w:val="right"/>
              <w:rPr>
                <w:rFonts w:ascii="Arial" w:hAnsi="Arial" w:cs="Arial"/>
                <w:color w:val="000000"/>
                <w:sz w:val="18"/>
              </w:rPr>
            </w:pPr>
            <w:r>
              <w:rPr>
                <w:rFonts w:ascii="Arial" w:hAnsi="Arial" w:cs="Arial"/>
                <w:color w:val="000000"/>
                <w:sz w:val="18"/>
              </w:rPr>
              <w:t>$4,200</w:t>
            </w:r>
          </w:p>
        </w:tc>
      </w:tr>
      <w:tr w:rsidR="00B40DAC" w:rsidTr="00770F4D">
        <w:tc>
          <w:tcPr>
            <w:tcW w:w="3390" w:type="dxa"/>
            <w:vAlign w:val="center"/>
          </w:tcPr>
          <w:p w:rsidR="00B40DAC" w:rsidRDefault="00B40DAC" w:rsidP="00B40DAC">
            <w:pPr>
              <w:keepLines/>
              <w:tabs>
                <w:tab w:val="left" w:pos="360"/>
              </w:tabs>
              <w:spacing w:before="40" w:after="40"/>
              <w:rPr>
                <w:rFonts w:ascii="Arial" w:hAnsi="Arial" w:cs="Arial"/>
                <w:color w:val="000000"/>
                <w:sz w:val="18"/>
              </w:rPr>
            </w:pPr>
            <w:r>
              <w:rPr>
                <w:rFonts w:ascii="Arial" w:hAnsi="Arial" w:cs="Arial"/>
                <w:color w:val="000000"/>
                <w:sz w:val="18"/>
              </w:rPr>
              <w:t>Application Review</w:t>
            </w:r>
          </w:p>
        </w:tc>
        <w:tc>
          <w:tcPr>
            <w:tcW w:w="1080" w:type="dxa"/>
            <w:vAlign w:val="center"/>
          </w:tcPr>
          <w:p w:rsidR="00B40DAC" w:rsidRDefault="00B40DAC" w:rsidP="00B40DAC">
            <w:pPr>
              <w:keepLines/>
              <w:tabs>
                <w:tab w:val="left" w:pos="360"/>
              </w:tabs>
              <w:spacing w:before="40" w:after="40"/>
              <w:jc w:val="center"/>
              <w:rPr>
                <w:rFonts w:ascii="Arial" w:hAnsi="Arial" w:cs="Arial"/>
                <w:color w:val="000000"/>
                <w:sz w:val="18"/>
              </w:rPr>
            </w:pPr>
            <w:r>
              <w:rPr>
                <w:rFonts w:ascii="Arial" w:hAnsi="Arial" w:cs="Arial"/>
                <w:color w:val="000000"/>
                <w:sz w:val="18"/>
              </w:rPr>
              <w:t>30</w:t>
            </w:r>
          </w:p>
        </w:tc>
        <w:tc>
          <w:tcPr>
            <w:tcW w:w="1406" w:type="dxa"/>
            <w:vAlign w:val="center"/>
          </w:tcPr>
          <w:p w:rsidR="00B40DAC" w:rsidRDefault="00B40DAC" w:rsidP="00B40DAC">
            <w:pPr>
              <w:keepLines/>
              <w:tabs>
                <w:tab w:val="left" w:pos="360"/>
              </w:tabs>
              <w:spacing w:before="40" w:after="40"/>
              <w:jc w:val="center"/>
              <w:rPr>
                <w:rFonts w:ascii="Arial" w:hAnsi="Arial" w:cs="Arial"/>
                <w:color w:val="000000"/>
                <w:sz w:val="18"/>
              </w:rPr>
            </w:pPr>
            <w:r>
              <w:rPr>
                <w:rFonts w:ascii="Arial" w:hAnsi="Arial" w:cs="Arial"/>
                <w:color w:val="000000"/>
                <w:sz w:val="18"/>
              </w:rPr>
              <w:t>32</w:t>
            </w:r>
          </w:p>
        </w:tc>
        <w:tc>
          <w:tcPr>
            <w:tcW w:w="1114" w:type="dxa"/>
            <w:vAlign w:val="center"/>
          </w:tcPr>
          <w:p w:rsidR="00B40DAC" w:rsidRDefault="00B40DAC" w:rsidP="00B40DAC">
            <w:pPr>
              <w:keepLines/>
              <w:tabs>
                <w:tab w:val="left" w:pos="360"/>
              </w:tabs>
              <w:spacing w:before="40" w:after="40"/>
              <w:jc w:val="center"/>
              <w:rPr>
                <w:rFonts w:ascii="Arial" w:hAnsi="Arial" w:cs="Arial"/>
                <w:color w:val="000000"/>
                <w:sz w:val="18"/>
              </w:rPr>
            </w:pPr>
            <w:r>
              <w:rPr>
                <w:rFonts w:ascii="Arial" w:hAnsi="Arial" w:cs="Arial"/>
                <w:color w:val="000000"/>
                <w:sz w:val="18"/>
              </w:rPr>
              <w:t>1</w:t>
            </w:r>
          </w:p>
        </w:tc>
        <w:tc>
          <w:tcPr>
            <w:tcW w:w="1320" w:type="dxa"/>
            <w:vAlign w:val="center"/>
          </w:tcPr>
          <w:p w:rsidR="00B40DAC" w:rsidRDefault="00B40DAC" w:rsidP="00B40DAC">
            <w:pPr>
              <w:keepLines/>
              <w:tabs>
                <w:tab w:val="left" w:pos="360"/>
              </w:tabs>
              <w:spacing w:before="40" w:after="40"/>
              <w:ind w:right="252"/>
              <w:jc w:val="right"/>
              <w:rPr>
                <w:rFonts w:ascii="Arial" w:hAnsi="Arial" w:cs="Arial"/>
                <w:color w:val="000000"/>
                <w:sz w:val="18"/>
              </w:rPr>
            </w:pPr>
            <w:r>
              <w:rPr>
                <w:rFonts w:ascii="Arial" w:hAnsi="Arial" w:cs="Arial"/>
                <w:color w:val="000000"/>
                <w:sz w:val="18"/>
              </w:rPr>
              <w:t>960</w:t>
            </w:r>
          </w:p>
        </w:tc>
        <w:tc>
          <w:tcPr>
            <w:tcW w:w="840" w:type="dxa"/>
            <w:vAlign w:val="center"/>
          </w:tcPr>
          <w:p w:rsidR="00B40DAC" w:rsidRDefault="00B40DAC" w:rsidP="00B40DAC">
            <w:pPr>
              <w:keepLines/>
              <w:tabs>
                <w:tab w:val="left" w:pos="360"/>
              </w:tabs>
              <w:spacing w:before="40" w:after="40"/>
              <w:jc w:val="center"/>
              <w:rPr>
                <w:rFonts w:ascii="Arial" w:hAnsi="Arial" w:cs="Arial"/>
                <w:color w:val="000000"/>
                <w:sz w:val="18"/>
              </w:rPr>
            </w:pPr>
            <w:r>
              <w:rPr>
                <w:rFonts w:ascii="Arial" w:hAnsi="Arial" w:cs="Arial"/>
                <w:color w:val="000000"/>
                <w:sz w:val="18"/>
              </w:rPr>
              <w:t>$35</w:t>
            </w:r>
          </w:p>
        </w:tc>
        <w:tc>
          <w:tcPr>
            <w:tcW w:w="1200" w:type="dxa"/>
            <w:vAlign w:val="center"/>
          </w:tcPr>
          <w:p w:rsidR="00B40DAC" w:rsidRDefault="00770F4D" w:rsidP="00B40DAC">
            <w:pPr>
              <w:keepLines/>
              <w:tabs>
                <w:tab w:val="left" w:pos="360"/>
              </w:tabs>
              <w:spacing w:before="40" w:after="40"/>
              <w:ind w:left="-108" w:right="132"/>
              <w:jc w:val="right"/>
              <w:rPr>
                <w:rFonts w:ascii="Arial" w:hAnsi="Arial" w:cs="Arial"/>
                <w:color w:val="000000"/>
                <w:sz w:val="18"/>
              </w:rPr>
            </w:pPr>
            <w:r>
              <w:rPr>
                <w:rFonts w:ascii="Arial" w:hAnsi="Arial" w:cs="Arial"/>
                <w:color w:val="000000"/>
                <w:sz w:val="18"/>
              </w:rPr>
              <w:t>$</w:t>
            </w:r>
            <w:r w:rsidR="00B40DAC">
              <w:rPr>
                <w:rFonts w:ascii="Arial" w:hAnsi="Arial" w:cs="Arial"/>
                <w:color w:val="000000"/>
                <w:sz w:val="18"/>
              </w:rPr>
              <w:t>33,600</w:t>
            </w:r>
          </w:p>
        </w:tc>
      </w:tr>
      <w:tr w:rsidR="00B40DAC" w:rsidTr="00770F4D">
        <w:tc>
          <w:tcPr>
            <w:tcW w:w="3390" w:type="dxa"/>
            <w:vAlign w:val="center"/>
          </w:tcPr>
          <w:p w:rsidR="00B40DAC" w:rsidRDefault="00B40DAC" w:rsidP="00B40DAC">
            <w:pPr>
              <w:keepLines/>
              <w:tabs>
                <w:tab w:val="left" w:pos="360"/>
              </w:tabs>
              <w:spacing w:before="40" w:after="40"/>
              <w:rPr>
                <w:rFonts w:ascii="Arial" w:hAnsi="Arial" w:cs="Arial"/>
                <w:color w:val="000000"/>
                <w:sz w:val="18"/>
              </w:rPr>
            </w:pPr>
            <w:r>
              <w:rPr>
                <w:rFonts w:ascii="Arial" w:hAnsi="Arial" w:cs="Arial"/>
                <w:color w:val="000000"/>
                <w:sz w:val="18"/>
              </w:rPr>
              <w:t>Report Review</w:t>
            </w:r>
          </w:p>
        </w:tc>
        <w:tc>
          <w:tcPr>
            <w:tcW w:w="1080" w:type="dxa"/>
            <w:vAlign w:val="center"/>
          </w:tcPr>
          <w:p w:rsidR="00B40DAC" w:rsidRDefault="00B40DAC" w:rsidP="00B40DAC">
            <w:pPr>
              <w:keepLines/>
              <w:tabs>
                <w:tab w:val="left" w:pos="360"/>
              </w:tabs>
              <w:spacing w:before="40" w:after="40"/>
              <w:jc w:val="center"/>
              <w:rPr>
                <w:rFonts w:ascii="Arial" w:hAnsi="Arial" w:cs="Arial"/>
                <w:color w:val="000000"/>
                <w:sz w:val="18"/>
              </w:rPr>
            </w:pPr>
            <w:r>
              <w:rPr>
                <w:rFonts w:ascii="Arial" w:hAnsi="Arial" w:cs="Arial"/>
                <w:color w:val="000000"/>
                <w:sz w:val="18"/>
              </w:rPr>
              <w:t>20</w:t>
            </w:r>
          </w:p>
        </w:tc>
        <w:tc>
          <w:tcPr>
            <w:tcW w:w="1406" w:type="dxa"/>
            <w:vAlign w:val="center"/>
          </w:tcPr>
          <w:p w:rsidR="00B40DAC" w:rsidRDefault="00B40DAC" w:rsidP="00B40DAC">
            <w:pPr>
              <w:keepLines/>
              <w:tabs>
                <w:tab w:val="left" w:pos="360"/>
              </w:tabs>
              <w:spacing w:before="40" w:after="40"/>
              <w:jc w:val="center"/>
              <w:rPr>
                <w:rFonts w:ascii="Arial" w:hAnsi="Arial" w:cs="Arial"/>
                <w:color w:val="000000"/>
                <w:sz w:val="18"/>
              </w:rPr>
            </w:pPr>
            <w:r>
              <w:rPr>
                <w:rFonts w:ascii="Arial" w:hAnsi="Arial" w:cs="Arial"/>
                <w:color w:val="000000"/>
                <w:sz w:val="18"/>
              </w:rPr>
              <w:t>2</w:t>
            </w:r>
          </w:p>
        </w:tc>
        <w:tc>
          <w:tcPr>
            <w:tcW w:w="1114" w:type="dxa"/>
            <w:vAlign w:val="center"/>
          </w:tcPr>
          <w:p w:rsidR="00B40DAC" w:rsidRDefault="00B40DAC" w:rsidP="00B40DAC">
            <w:pPr>
              <w:keepLines/>
              <w:tabs>
                <w:tab w:val="left" w:pos="360"/>
              </w:tabs>
              <w:spacing w:before="40" w:after="40"/>
              <w:jc w:val="center"/>
              <w:rPr>
                <w:rFonts w:ascii="Arial" w:hAnsi="Arial" w:cs="Arial"/>
                <w:color w:val="000000"/>
                <w:sz w:val="18"/>
              </w:rPr>
            </w:pPr>
            <w:r>
              <w:rPr>
                <w:rFonts w:ascii="Arial" w:hAnsi="Arial" w:cs="Arial"/>
                <w:color w:val="000000"/>
                <w:sz w:val="18"/>
              </w:rPr>
              <w:t>12</w:t>
            </w:r>
          </w:p>
        </w:tc>
        <w:tc>
          <w:tcPr>
            <w:tcW w:w="1320" w:type="dxa"/>
            <w:vAlign w:val="center"/>
          </w:tcPr>
          <w:p w:rsidR="00B40DAC" w:rsidRDefault="00770F4D" w:rsidP="00770F4D">
            <w:pPr>
              <w:keepLines/>
              <w:tabs>
                <w:tab w:val="left" w:pos="360"/>
              </w:tabs>
              <w:spacing w:before="40" w:after="40"/>
              <w:ind w:right="252"/>
              <w:jc w:val="right"/>
              <w:rPr>
                <w:rFonts w:ascii="Arial" w:hAnsi="Arial" w:cs="Arial"/>
                <w:color w:val="000000"/>
                <w:sz w:val="18"/>
              </w:rPr>
            </w:pPr>
            <w:r>
              <w:rPr>
                <w:rFonts w:ascii="Arial" w:hAnsi="Arial" w:cs="Arial"/>
                <w:color w:val="000000"/>
                <w:sz w:val="18"/>
              </w:rPr>
              <w:t>480</w:t>
            </w:r>
          </w:p>
        </w:tc>
        <w:tc>
          <w:tcPr>
            <w:tcW w:w="840" w:type="dxa"/>
            <w:vAlign w:val="center"/>
          </w:tcPr>
          <w:p w:rsidR="00B40DAC" w:rsidRDefault="00B40DAC" w:rsidP="00B40DAC">
            <w:pPr>
              <w:keepLines/>
              <w:tabs>
                <w:tab w:val="left" w:pos="360"/>
              </w:tabs>
              <w:spacing w:before="40" w:after="40"/>
              <w:jc w:val="center"/>
              <w:rPr>
                <w:rFonts w:ascii="Arial" w:hAnsi="Arial" w:cs="Arial"/>
                <w:color w:val="000000"/>
                <w:sz w:val="18"/>
              </w:rPr>
            </w:pPr>
            <w:r>
              <w:rPr>
                <w:rFonts w:ascii="Arial" w:hAnsi="Arial" w:cs="Arial"/>
                <w:color w:val="000000"/>
                <w:sz w:val="18"/>
              </w:rPr>
              <w:t>$35</w:t>
            </w:r>
          </w:p>
        </w:tc>
        <w:tc>
          <w:tcPr>
            <w:tcW w:w="1200" w:type="dxa"/>
            <w:vAlign w:val="center"/>
          </w:tcPr>
          <w:p w:rsidR="00B40DAC" w:rsidRDefault="00B40DAC" w:rsidP="00770F4D">
            <w:pPr>
              <w:keepLines/>
              <w:tabs>
                <w:tab w:val="left" w:pos="360"/>
              </w:tabs>
              <w:spacing w:before="40" w:after="40"/>
              <w:ind w:left="-108" w:right="132"/>
              <w:jc w:val="right"/>
              <w:rPr>
                <w:rFonts w:ascii="Arial" w:hAnsi="Arial" w:cs="Arial"/>
                <w:color w:val="000000"/>
                <w:sz w:val="18"/>
              </w:rPr>
            </w:pPr>
            <w:r>
              <w:rPr>
                <w:rFonts w:ascii="Arial" w:hAnsi="Arial" w:cs="Arial"/>
                <w:color w:val="000000"/>
                <w:sz w:val="18"/>
              </w:rPr>
              <w:t>$1</w:t>
            </w:r>
            <w:r w:rsidR="00770F4D">
              <w:rPr>
                <w:rFonts w:ascii="Arial" w:hAnsi="Arial" w:cs="Arial"/>
                <w:color w:val="000000"/>
                <w:sz w:val="18"/>
              </w:rPr>
              <w:t>6,800</w:t>
            </w:r>
          </w:p>
        </w:tc>
      </w:tr>
      <w:tr w:rsidR="00B40DAC" w:rsidTr="00770F4D">
        <w:tc>
          <w:tcPr>
            <w:tcW w:w="3390" w:type="dxa"/>
            <w:vAlign w:val="center"/>
          </w:tcPr>
          <w:p w:rsidR="00B40DAC" w:rsidRDefault="00B40DAC" w:rsidP="00B40DAC">
            <w:pPr>
              <w:keepLines/>
              <w:tabs>
                <w:tab w:val="left" w:pos="360"/>
              </w:tabs>
              <w:spacing w:before="40" w:after="40"/>
              <w:rPr>
                <w:rFonts w:ascii="Arial" w:hAnsi="Arial" w:cs="Arial"/>
                <w:color w:val="000000"/>
                <w:sz w:val="18"/>
              </w:rPr>
            </w:pPr>
            <w:r>
              <w:rPr>
                <w:rFonts w:ascii="Arial" w:hAnsi="Arial" w:cs="Arial"/>
                <w:color w:val="000000"/>
                <w:sz w:val="18"/>
              </w:rPr>
              <w:t>Recordkeeping</w:t>
            </w:r>
          </w:p>
        </w:tc>
        <w:tc>
          <w:tcPr>
            <w:tcW w:w="1080" w:type="dxa"/>
            <w:vAlign w:val="center"/>
          </w:tcPr>
          <w:p w:rsidR="00B40DAC" w:rsidRDefault="00B40DAC" w:rsidP="00B40DAC">
            <w:pPr>
              <w:keepLines/>
              <w:tabs>
                <w:tab w:val="left" w:pos="360"/>
              </w:tabs>
              <w:spacing w:before="40" w:after="40"/>
              <w:jc w:val="center"/>
              <w:rPr>
                <w:rFonts w:ascii="Arial" w:hAnsi="Arial" w:cs="Arial"/>
                <w:color w:val="000000"/>
                <w:sz w:val="18"/>
              </w:rPr>
            </w:pPr>
            <w:r>
              <w:rPr>
                <w:rFonts w:ascii="Arial" w:hAnsi="Arial" w:cs="Arial"/>
                <w:color w:val="000000"/>
                <w:sz w:val="18"/>
              </w:rPr>
              <w:t>20</w:t>
            </w:r>
          </w:p>
        </w:tc>
        <w:tc>
          <w:tcPr>
            <w:tcW w:w="1406" w:type="dxa"/>
            <w:vAlign w:val="center"/>
          </w:tcPr>
          <w:p w:rsidR="00B40DAC" w:rsidRDefault="00B40DAC" w:rsidP="00B40DAC">
            <w:pPr>
              <w:keepLines/>
              <w:tabs>
                <w:tab w:val="left" w:pos="360"/>
              </w:tabs>
              <w:spacing w:before="40" w:after="40"/>
              <w:jc w:val="center"/>
              <w:rPr>
                <w:rFonts w:ascii="Arial" w:hAnsi="Arial" w:cs="Arial"/>
                <w:color w:val="000000"/>
                <w:sz w:val="18"/>
              </w:rPr>
            </w:pPr>
            <w:r>
              <w:rPr>
                <w:rFonts w:ascii="Arial" w:hAnsi="Arial" w:cs="Arial"/>
                <w:color w:val="000000"/>
                <w:sz w:val="18"/>
              </w:rPr>
              <w:t>8</w:t>
            </w:r>
          </w:p>
        </w:tc>
        <w:tc>
          <w:tcPr>
            <w:tcW w:w="1114" w:type="dxa"/>
            <w:vAlign w:val="center"/>
          </w:tcPr>
          <w:p w:rsidR="00B40DAC" w:rsidRDefault="00B40DAC" w:rsidP="00B40DAC">
            <w:pPr>
              <w:keepLines/>
              <w:tabs>
                <w:tab w:val="left" w:pos="360"/>
              </w:tabs>
              <w:spacing w:before="40" w:after="40"/>
              <w:jc w:val="center"/>
              <w:rPr>
                <w:rFonts w:ascii="Arial" w:hAnsi="Arial" w:cs="Arial"/>
                <w:color w:val="000000"/>
                <w:sz w:val="18"/>
              </w:rPr>
            </w:pPr>
            <w:r>
              <w:rPr>
                <w:rFonts w:ascii="Arial" w:hAnsi="Arial" w:cs="Arial"/>
                <w:color w:val="000000"/>
                <w:sz w:val="18"/>
              </w:rPr>
              <w:t>12</w:t>
            </w:r>
          </w:p>
        </w:tc>
        <w:tc>
          <w:tcPr>
            <w:tcW w:w="1320" w:type="dxa"/>
            <w:vAlign w:val="center"/>
          </w:tcPr>
          <w:p w:rsidR="00B40DAC" w:rsidRDefault="00B40DAC" w:rsidP="00B40DAC">
            <w:pPr>
              <w:keepLines/>
              <w:tabs>
                <w:tab w:val="left" w:pos="360"/>
              </w:tabs>
              <w:spacing w:before="40" w:after="40"/>
              <w:ind w:right="252"/>
              <w:jc w:val="right"/>
              <w:rPr>
                <w:rFonts w:ascii="Arial" w:hAnsi="Arial" w:cs="Arial"/>
                <w:color w:val="000000"/>
                <w:sz w:val="18"/>
              </w:rPr>
            </w:pPr>
            <w:r>
              <w:rPr>
                <w:rFonts w:ascii="Arial" w:hAnsi="Arial" w:cs="Arial"/>
                <w:color w:val="000000"/>
                <w:sz w:val="18"/>
              </w:rPr>
              <w:t>1,920</w:t>
            </w:r>
          </w:p>
        </w:tc>
        <w:tc>
          <w:tcPr>
            <w:tcW w:w="840" w:type="dxa"/>
            <w:vAlign w:val="center"/>
          </w:tcPr>
          <w:p w:rsidR="00B40DAC" w:rsidRDefault="00B40DAC" w:rsidP="00B40DAC">
            <w:pPr>
              <w:keepLines/>
              <w:tabs>
                <w:tab w:val="left" w:pos="360"/>
              </w:tabs>
              <w:spacing w:before="40" w:after="40"/>
              <w:jc w:val="center"/>
              <w:rPr>
                <w:rFonts w:ascii="Arial" w:hAnsi="Arial" w:cs="Arial"/>
                <w:color w:val="000000"/>
                <w:sz w:val="18"/>
              </w:rPr>
            </w:pPr>
            <w:r>
              <w:rPr>
                <w:rFonts w:ascii="Arial" w:hAnsi="Arial" w:cs="Arial"/>
                <w:color w:val="000000"/>
                <w:sz w:val="18"/>
              </w:rPr>
              <w:t>$35</w:t>
            </w:r>
          </w:p>
        </w:tc>
        <w:tc>
          <w:tcPr>
            <w:tcW w:w="1200" w:type="dxa"/>
            <w:vAlign w:val="center"/>
          </w:tcPr>
          <w:p w:rsidR="00B40DAC" w:rsidRDefault="00B40DAC" w:rsidP="00B40DAC">
            <w:pPr>
              <w:keepLines/>
              <w:tabs>
                <w:tab w:val="left" w:pos="360"/>
              </w:tabs>
              <w:spacing w:before="40" w:after="40"/>
              <w:ind w:left="-108" w:right="132"/>
              <w:jc w:val="right"/>
              <w:rPr>
                <w:rFonts w:ascii="Arial" w:hAnsi="Arial" w:cs="Arial"/>
                <w:color w:val="000000"/>
                <w:sz w:val="18"/>
              </w:rPr>
            </w:pPr>
            <w:r>
              <w:rPr>
                <w:rFonts w:ascii="Arial" w:hAnsi="Arial" w:cs="Arial"/>
                <w:color w:val="000000"/>
                <w:sz w:val="18"/>
              </w:rPr>
              <w:t>$57,600</w:t>
            </w:r>
          </w:p>
        </w:tc>
      </w:tr>
      <w:tr w:rsidR="00B40DAC" w:rsidTr="00770F4D">
        <w:tc>
          <w:tcPr>
            <w:tcW w:w="3390" w:type="dxa"/>
            <w:vAlign w:val="center"/>
          </w:tcPr>
          <w:p w:rsidR="00B40DAC" w:rsidRDefault="00B40DAC" w:rsidP="00B40DAC">
            <w:pPr>
              <w:pStyle w:val="Heading4"/>
              <w:spacing w:before="40" w:after="40"/>
              <w:rPr>
                <w:rFonts w:ascii="Arial" w:hAnsi="Arial" w:cs="Arial"/>
                <w:b w:val="0"/>
                <w:bCs w:val="0"/>
              </w:rPr>
            </w:pPr>
            <w:r>
              <w:rPr>
                <w:rFonts w:ascii="Arial" w:hAnsi="Arial" w:cs="Arial"/>
                <w:b w:val="0"/>
                <w:bCs w:val="0"/>
              </w:rPr>
              <w:t>TOTAL</w:t>
            </w:r>
          </w:p>
        </w:tc>
        <w:tc>
          <w:tcPr>
            <w:tcW w:w="1080" w:type="dxa"/>
            <w:vAlign w:val="center"/>
          </w:tcPr>
          <w:p w:rsidR="00B40DAC" w:rsidRDefault="00B40DAC" w:rsidP="00B40DAC">
            <w:pPr>
              <w:keepLines/>
              <w:tabs>
                <w:tab w:val="left" w:pos="360"/>
              </w:tabs>
              <w:spacing w:before="40" w:after="40"/>
              <w:jc w:val="center"/>
              <w:rPr>
                <w:rFonts w:ascii="Arial" w:hAnsi="Arial" w:cs="Arial"/>
                <w:color w:val="000000"/>
                <w:sz w:val="18"/>
              </w:rPr>
            </w:pPr>
          </w:p>
        </w:tc>
        <w:tc>
          <w:tcPr>
            <w:tcW w:w="1406" w:type="dxa"/>
            <w:vAlign w:val="center"/>
          </w:tcPr>
          <w:p w:rsidR="00B40DAC" w:rsidRDefault="00B40DAC" w:rsidP="00B40DAC">
            <w:pPr>
              <w:keepLines/>
              <w:tabs>
                <w:tab w:val="left" w:pos="360"/>
              </w:tabs>
              <w:spacing w:before="40" w:after="40"/>
              <w:jc w:val="center"/>
              <w:rPr>
                <w:rFonts w:ascii="Arial" w:hAnsi="Arial" w:cs="Arial"/>
                <w:color w:val="000000"/>
                <w:sz w:val="18"/>
              </w:rPr>
            </w:pPr>
          </w:p>
        </w:tc>
        <w:tc>
          <w:tcPr>
            <w:tcW w:w="1114" w:type="dxa"/>
            <w:vAlign w:val="center"/>
          </w:tcPr>
          <w:p w:rsidR="00B40DAC" w:rsidRDefault="00B40DAC" w:rsidP="00B40DAC">
            <w:pPr>
              <w:keepLines/>
              <w:tabs>
                <w:tab w:val="left" w:pos="360"/>
              </w:tabs>
              <w:spacing w:before="40" w:after="40"/>
              <w:jc w:val="center"/>
              <w:rPr>
                <w:rFonts w:ascii="Arial" w:hAnsi="Arial" w:cs="Arial"/>
                <w:color w:val="000000"/>
                <w:sz w:val="18"/>
              </w:rPr>
            </w:pPr>
          </w:p>
        </w:tc>
        <w:tc>
          <w:tcPr>
            <w:tcW w:w="1320" w:type="dxa"/>
            <w:vAlign w:val="center"/>
          </w:tcPr>
          <w:p w:rsidR="00B40DAC" w:rsidRDefault="00B40DAC" w:rsidP="00B40DAC">
            <w:pPr>
              <w:keepLines/>
              <w:tabs>
                <w:tab w:val="left" w:pos="360"/>
              </w:tabs>
              <w:spacing w:before="40" w:after="40"/>
              <w:ind w:right="252"/>
              <w:jc w:val="right"/>
              <w:rPr>
                <w:rFonts w:ascii="Arial" w:hAnsi="Arial" w:cs="Arial"/>
                <w:color w:val="000000"/>
                <w:sz w:val="18"/>
              </w:rPr>
            </w:pPr>
          </w:p>
        </w:tc>
        <w:tc>
          <w:tcPr>
            <w:tcW w:w="840" w:type="dxa"/>
            <w:vAlign w:val="center"/>
          </w:tcPr>
          <w:p w:rsidR="00B40DAC" w:rsidRDefault="00B40DAC" w:rsidP="00B40DAC">
            <w:pPr>
              <w:keepLines/>
              <w:tabs>
                <w:tab w:val="left" w:pos="360"/>
              </w:tabs>
              <w:spacing w:before="40" w:after="40"/>
              <w:jc w:val="center"/>
              <w:rPr>
                <w:rFonts w:ascii="Arial" w:hAnsi="Arial" w:cs="Arial"/>
                <w:color w:val="000000"/>
                <w:sz w:val="18"/>
              </w:rPr>
            </w:pPr>
          </w:p>
        </w:tc>
        <w:tc>
          <w:tcPr>
            <w:tcW w:w="1200" w:type="dxa"/>
            <w:vAlign w:val="center"/>
          </w:tcPr>
          <w:p w:rsidR="00B40DAC" w:rsidRDefault="00B40DAC" w:rsidP="00770F4D">
            <w:pPr>
              <w:keepLines/>
              <w:tabs>
                <w:tab w:val="left" w:pos="360"/>
              </w:tabs>
              <w:spacing w:before="40" w:after="40"/>
              <w:ind w:left="-108" w:right="132"/>
              <w:jc w:val="right"/>
              <w:rPr>
                <w:rFonts w:ascii="Arial" w:hAnsi="Arial" w:cs="Arial"/>
                <w:color w:val="000000"/>
                <w:sz w:val="18"/>
              </w:rPr>
            </w:pPr>
            <w:r>
              <w:rPr>
                <w:rFonts w:ascii="Arial" w:hAnsi="Arial" w:cs="Arial"/>
                <w:color w:val="000000"/>
                <w:sz w:val="18"/>
              </w:rPr>
              <w:t>$1</w:t>
            </w:r>
            <w:r w:rsidR="00770F4D">
              <w:rPr>
                <w:rFonts w:ascii="Arial" w:hAnsi="Arial" w:cs="Arial"/>
                <w:color w:val="000000"/>
                <w:sz w:val="18"/>
              </w:rPr>
              <w:t>12,20</w:t>
            </w:r>
            <w:r>
              <w:rPr>
                <w:rFonts w:ascii="Arial" w:hAnsi="Arial" w:cs="Arial"/>
                <w:color w:val="000000"/>
                <w:sz w:val="18"/>
              </w:rPr>
              <w:t>0</w:t>
            </w:r>
          </w:p>
        </w:tc>
      </w:tr>
    </w:tbl>
    <w:p w:rsidR="00354A58" w:rsidRDefault="00354A58" w:rsidP="003A412A">
      <w:pPr>
        <w:tabs>
          <w:tab w:val="left" w:pos="720"/>
        </w:tabs>
        <w:rPr>
          <w:sz w:val="22"/>
        </w:rPr>
      </w:pPr>
    </w:p>
    <w:p w:rsidR="00354A58" w:rsidRDefault="00354A58" w:rsidP="003A412A">
      <w:pPr>
        <w:keepNext/>
        <w:numPr>
          <w:ilvl w:val="1"/>
          <w:numId w:val="10"/>
        </w:numPr>
        <w:tabs>
          <w:tab w:val="left" w:pos="360"/>
          <w:tab w:val="left" w:pos="720"/>
        </w:tabs>
        <w:rPr>
          <w:b/>
          <w:sz w:val="22"/>
        </w:rPr>
      </w:pPr>
      <w:r>
        <w:rPr>
          <w:b/>
          <w:sz w:val="22"/>
        </w:rPr>
        <w:t>Explanation of Program Changes / Adjustments</w:t>
      </w:r>
    </w:p>
    <w:p w:rsidR="00337FC7" w:rsidRPr="00337FC7" w:rsidRDefault="00770F4D" w:rsidP="00337FC7">
      <w:pPr>
        <w:pStyle w:val="BodyTextIndent3"/>
        <w:tabs>
          <w:tab w:val="clear" w:pos="360"/>
          <w:tab w:val="clear" w:pos="840"/>
          <w:tab w:val="left" w:pos="0"/>
          <w:tab w:val="left" w:pos="720"/>
          <w:tab w:val="left" w:pos="1080"/>
        </w:tabs>
        <w:ind w:left="0"/>
        <w:rPr>
          <w:sz w:val="22"/>
        </w:rPr>
      </w:pPr>
      <w:r>
        <w:rPr>
          <w:sz w:val="22"/>
        </w:rPr>
        <w:t>Data included in this submission is based on the Department’s experience as a result of applications and awards for FY2010, FY2011 and FY2012.  This collection replaces a previously approved collection that was discontinued.</w:t>
      </w:r>
    </w:p>
    <w:p w:rsidR="00337FC7" w:rsidRDefault="00337FC7" w:rsidP="00337FC7">
      <w:pPr>
        <w:tabs>
          <w:tab w:val="left" w:pos="360"/>
          <w:tab w:val="left" w:pos="720"/>
        </w:tabs>
        <w:rPr>
          <w:b/>
          <w:sz w:val="22"/>
        </w:rPr>
      </w:pPr>
    </w:p>
    <w:p w:rsidR="00354A58" w:rsidRDefault="00354A58" w:rsidP="003A412A">
      <w:pPr>
        <w:numPr>
          <w:ilvl w:val="1"/>
          <w:numId w:val="10"/>
        </w:numPr>
        <w:tabs>
          <w:tab w:val="left" w:pos="360"/>
          <w:tab w:val="left" w:pos="720"/>
        </w:tabs>
        <w:rPr>
          <w:b/>
          <w:sz w:val="22"/>
        </w:rPr>
      </w:pPr>
      <w:r>
        <w:rPr>
          <w:b/>
          <w:sz w:val="22"/>
        </w:rPr>
        <w:t>Publication of Results</w:t>
      </w:r>
    </w:p>
    <w:p w:rsidR="00546C1B" w:rsidRPr="00546C1B" w:rsidRDefault="00546C1B" w:rsidP="00546C1B">
      <w:pPr>
        <w:rPr>
          <w:sz w:val="22"/>
          <w:szCs w:val="22"/>
          <w:highlight w:val="yellow"/>
        </w:rPr>
      </w:pPr>
      <w:r w:rsidRPr="00546C1B">
        <w:rPr>
          <w:sz w:val="22"/>
          <w:szCs w:val="22"/>
        </w:rPr>
        <w:t xml:space="preserve">The information submitted is not published.  Notice of the competition winners are published in the Federal Register </w:t>
      </w:r>
      <w:r w:rsidR="00770F4D">
        <w:rPr>
          <w:sz w:val="22"/>
          <w:szCs w:val="22"/>
        </w:rPr>
        <w:t>three-four month</w:t>
      </w:r>
      <w:r w:rsidRPr="00546C1B">
        <w:rPr>
          <w:sz w:val="22"/>
          <w:szCs w:val="22"/>
        </w:rPr>
        <w:t xml:space="preserve">s </w:t>
      </w:r>
      <w:r w:rsidR="001F2B4E">
        <w:rPr>
          <w:sz w:val="22"/>
          <w:szCs w:val="22"/>
        </w:rPr>
        <w:t xml:space="preserve">after receipt of applications. </w:t>
      </w:r>
    </w:p>
    <w:p w:rsidR="00354A58" w:rsidRDefault="00354A58" w:rsidP="003A412A">
      <w:pPr>
        <w:tabs>
          <w:tab w:val="left" w:pos="360"/>
          <w:tab w:val="left" w:pos="720"/>
        </w:tabs>
        <w:ind w:left="360" w:hanging="360"/>
        <w:rPr>
          <w:sz w:val="22"/>
        </w:rPr>
      </w:pPr>
    </w:p>
    <w:p w:rsidR="00354A58" w:rsidRPr="00370633" w:rsidRDefault="00354A58" w:rsidP="003A412A">
      <w:pPr>
        <w:numPr>
          <w:ilvl w:val="1"/>
          <w:numId w:val="10"/>
        </w:numPr>
        <w:tabs>
          <w:tab w:val="left" w:pos="360"/>
          <w:tab w:val="left" w:pos="720"/>
        </w:tabs>
        <w:rPr>
          <w:bCs/>
          <w:sz w:val="22"/>
        </w:rPr>
      </w:pPr>
      <w:r w:rsidRPr="00370633">
        <w:rPr>
          <w:b/>
          <w:sz w:val="22"/>
        </w:rPr>
        <w:t>Display of the Expiration date for OMB Approval of the Information Collection</w:t>
      </w:r>
    </w:p>
    <w:p w:rsidR="00546C1B" w:rsidRDefault="00546C1B" w:rsidP="00546C1B">
      <w:pPr>
        <w:pStyle w:val="BodyTextIndent"/>
        <w:ind w:left="0" w:firstLine="0"/>
      </w:pPr>
      <w:r w:rsidRPr="00E9087D">
        <w:t>The OMB expiration date will be displayed on all data collection instruments.  No exceptions are requested.</w:t>
      </w:r>
    </w:p>
    <w:p w:rsidR="00354A58" w:rsidRDefault="00354A58" w:rsidP="003A412A">
      <w:pPr>
        <w:tabs>
          <w:tab w:val="left" w:pos="360"/>
          <w:tab w:val="left" w:pos="720"/>
        </w:tabs>
        <w:ind w:left="360" w:hanging="360"/>
        <w:rPr>
          <w:sz w:val="22"/>
        </w:rPr>
      </w:pPr>
    </w:p>
    <w:p w:rsidR="00354A58" w:rsidRDefault="00354A58" w:rsidP="003A412A">
      <w:pPr>
        <w:numPr>
          <w:ilvl w:val="1"/>
          <w:numId w:val="10"/>
        </w:numPr>
        <w:tabs>
          <w:tab w:val="left" w:pos="360"/>
          <w:tab w:val="left" w:pos="720"/>
        </w:tabs>
        <w:rPr>
          <w:b/>
          <w:bCs/>
          <w:sz w:val="22"/>
        </w:rPr>
      </w:pPr>
      <w:r>
        <w:rPr>
          <w:b/>
          <w:bCs/>
          <w:sz w:val="22"/>
        </w:rPr>
        <w:t>Explanation of Each Exception to the Certification Statement</w:t>
      </w:r>
    </w:p>
    <w:p w:rsidR="00354A58" w:rsidRDefault="00354A58" w:rsidP="003A412A">
      <w:pPr>
        <w:pStyle w:val="BodyText3"/>
        <w:tabs>
          <w:tab w:val="clear" w:pos="1440"/>
          <w:tab w:val="clear" w:pos="2160"/>
          <w:tab w:val="clear" w:pos="2880"/>
          <w:tab w:val="clear" w:pos="3600"/>
          <w:tab w:val="clear" w:pos="4320"/>
        </w:tabs>
        <w:overflowPunct w:val="0"/>
        <w:spacing w:line="240" w:lineRule="auto"/>
        <w:textAlignment w:val="baseline"/>
      </w:pPr>
      <w:r>
        <w:t>No exceptions are made to the certification statement identified in item 19, “Certification for Paperwork Reduction Act Submissions,” of OMB Form 83-I.</w:t>
      </w:r>
    </w:p>
    <w:p w:rsidR="00354A58" w:rsidRDefault="00354A58" w:rsidP="003A412A">
      <w:pPr>
        <w:tabs>
          <w:tab w:val="left" w:pos="360"/>
        </w:tabs>
        <w:ind w:left="360" w:hanging="360"/>
        <w:rPr>
          <w:b/>
          <w:bCs/>
          <w:sz w:val="22"/>
        </w:rPr>
      </w:pPr>
      <w:r>
        <w:rPr>
          <w:b/>
          <w:bCs/>
          <w:sz w:val="22"/>
        </w:rPr>
        <w:t xml:space="preserve"> </w:t>
      </w:r>
    </w:p>
    <w:p w:rsidR="00354A58" w:rsidRDefault="00354A58" w:rsidP="003A412A">
      <w:pPr>
        <w:tabs>
          <w:tab w:val="left" w:pos="360"/>
        </w:tabs>
        <w:ind w:left="360" w:hanging="360"/>
        <w:rPr>
          <w:b/>
          <w:sz w:val="22"/>
        </w:rPr>
      </w:pPr>
      <w:r>
        <w:rPr>
          <w:b/>
          <w:sz w:val="22"/>
        </w:rPr>
        <w:t>B.</w:t>
      </w:r>
      <w:r>
        <w:rPr>
          <w:b/>
          <w:sz w:val="22"/>
        </w:rPr>
        <w:tab/>
        <w:t>This collection does not employ statistical methods.</w:t>
      </w:r>
    </w:p>
    <w:p w:rsidR="00B00F34" w:rsidRDefault="00B00F34" w:rsidP="003A412A">
      <w:pPr>
        <w:tabs>
          <w:tab w:val="left" w:pos="360"/>
        </w:tabs>
        <w:ind w:left="360" w:hanging="360"/>
        <w:rPr>
          <w:b/>
          <w:sz w:val="22"/>
        </w:rPr>
      </w:pPr>
    </w:p>
    <w:p w:rsidR="00B00F34" w:rsidRDefault="00B00F34" w:rsidP="003A412A">
      <w:pPr>
        <w:tabs>
          <w:tab w:val="left" w:pos="360"/>
        </w:tabs>
        <w:ind w:left="360" w:hanging="360"/>
        <w:rPr>
          <w:b/>
          <w:sz w:val="22"/>
        </w:rPr>
      </w:pPr>
    </w:p>
    <w:p w:rsidR="00B00F34" w:rsidRDefault="00B00F34" w:rsidP="003A412A">
      <w:pPr>
        <w:tabs>
          <w:tab w:val="left" w:pos="360"/>
        </w:tabs>
        <w:ind w:left="360" w:hanging="360"/>
        <w:rPr>
          <w:b/>
          <w:sz w:val="22"/>
        </w:rPr>
      </w:pPr>
    </w:p>
    <w:p w:rsidR="00B00F34" w:rsidRDefault="00B00F34" w:rsidP="003A412A">
      <w:pPr>
        <w:tabs>
          <w:tab w:val="left" w:pos="360"/>
        </w:tabs>
        <w:ind w:left="360" w:hanging="360"/>
        <w:rPr>
          <w:b/>
          <w:sz w:val="22"/>
        </w:rPr>
      </w:pPr>
    </w:p>
    <w:p w:rsidR="00B00F34" w:rsidRDefault="00B00F34" w:rsidP="003A412A">
      <w:pPr>
        <w:tabs>
          <w:tab w:val="left" w:pos="360"/>
        </w:tabs>
        <w:ind w:left="360" w:hanging="360"/>
        <w:rPr>
          <w:b/>
          <w:sz w:val="22"/>
        </w:rPr>
      </w:pPr>
    </w:p>
    <w:p w:rsidR="00B00F34" w:rsidRDefault="00B00F34" w:rsidP="003A412A">
      <w:pPr>
        <w:tabs>
          <w:tab w:val="left" w:pos="360"/>
        </w:tabs>
        <w:ind w:left="360" w:hanging="360"/>
        <w:rPr>
          <w:b/>
          <w:sz w:val="22"/>
        </w:rPr>
      </w:pPr>
    </w:p>
    <w:p w:rsidR="00B00F34" w:rsidRDefault="00B00F34" w:rsidP="003A412A">
      <w:pPr>
        <w:tabs>
          <w:tab w:val="left" w:pos="360"/>
        </w:tabs>
        <w:ind w:left="360" w:hanging="360"/>
        <w:rPr>
          <w:b/>
          <w:sz w:val="22"/>
        </w:rPr>
      </w:pPr>
    </w:p>
    <w:p w:rsidR="00B00F34" w:rsidRDefault="00B00F34" w:rsidP="003A412A">
      <w:pPr>
        <w:tabs>
          <w:tab w:val="left" w:pos="360"/>
        </w:tabs>
        <w:ind w:left="360" w:hanging="360"/>
        <w:rPr>
          <w:b/>
          <w:sz w:val="22"/>
        </w:rPr>
      </w:pPr>
    </w:p>
    <w:p w:rsidR="00B00F34" w:rsidRDefault="00B00F34" w:rsidP="003A412A">
      <w:pPr>
        <w:tabs>
          <w:tab w:val="left" w:pos="360"/>
        </w:tabs>
        <w:ind w:left="360" w:hanging="360"/>
        <w:rPr>
          <w:b/>
          <w:sz w:val="22"/>
        </w:rPr>
      </w:pPr>
    </w:p>
    <w:p w:rsidR="00B00F34" w:rsidRDefault="00B00F34" w:rsidP="003A412A">
      <w:pPr>
        <w:tabs>
          <w:tab w:val="left" w:pos="360"/>
        </w:tabs>
        <w:ind w:left="360" w:hanging="360"/>
        <w:rPr>
          <w:sz w:val="22"/>
        </w:rPr>
      </w:pPr>
    </w:p>
    <w:sectPr w:rsidR="00B00F34" w:rsidSect="00140DB2">
      <w:type w:val="continuous"/>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CC5" w:rsidRDefault="00677CC5">
      <w:r>
        <w:separator/>
      </w:r>
    </w:p>
  </w:endnote>
  <w:endnote w:type="continuationSeparator" w:id="0">
    <w:p w:rsidR="00677CC5" w:rsidRDefault="0067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DAC" w:rsidRDefault="00B40DAC">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DAC" w:rsidRDefault="00B40DAC">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B40DAC">
      <w:tc>
        <w:tcPr>
          <w:tcW w:w="8388" w:type="dxa"/>
          <w:tcBorders>
            <w:top w:val="single" w:sz="6" w:space="0" w:color="auto"/>
            <w:left w:val="nil"/>
            <w:right w:val="single" w:sz="6" w:space="0" w:color="auto"/>
          </w:tcBorders>
        </w:tcPr>
        <w:p w:rsidR="00B40DAC" w:rsidRDefault="00B40DAC">
          <w:pPr>
            <w:pStyle w:val="Footer"/>
            <w:rPr>
              <w:rFonts w:ascii="Helvetica" w:hAnsi="Helvetica"/>
              <w:sz w:val="16"/>
            </w:rPr>
          </w:pPr>
          <w:r>
            <w:rPr>
              <w:rFonts w:ascii="Helvetica" w:hAnsi="Helvetica"/>
              <w:sz w:val="16"/>
            </w:rPr>
            <w:t>Signature of Senior Officer or Designee:</w:t>
          </w:r>
        </w:p>
        <w:p w:rsidR="00B40DAC" w:rsidRDefault="00B40DAC">
          <w:pPr>
            <w:pStyle w:val="Footer"/>
            <w:rPr>
              <w:rFonts w:ascii="Helvetica" w:hAnsi="Helvetica"/>
              <w:sz w:val="16"/>
            </w:rPr>
          </w:pPr>
        </w:p>
        <w:p w:rsidR="00B40DAC" w:rsidRDefault="00B40DAC">
          <w:pPr>
            <w:pStyle w:val="Footer"/>
            <w:rPr>
              <w:rFonts w:ascii="Helvetica" w:hAnsi="Helvetica"/>
              <w:sz w:val="16"/>
            </w:rPr>
          </w:pPr>
        </w:p>
        <w:p w:rsidR="00B40DAC" w:rsidRDefault="00B40DAC">
          <w:pPr>
            <w:pStyle w:val="Footer"/>
            <w:rPr>
              <w:rFonts w:ascii="Helvetica" w:hAnsi="Helvetica"/>
              <w:sz w:val="16"/>
            </w:rPr>
          </w:pPr>
          <w:r>
            <w:rPr>
              <w:rFonts w:ascii="Helvetica" w:hAnsi="Helvetica"/>
              <w:sz w:val="16"/>
            </w:rPr>
            <w:t>X</w:t>
          </w:r>
        </w:p>
        <w:p w:rsidR="00B40DAC" w:rsidRDefault="00B40DAC">
          <w:pPr>
            <w:pStyle w:val="Footer"/>
            <w:rPr>
              <w:rFonts w:ascii="Helvetica" w:hAnsi="Helvetica"/>
              <w:sz w:val="16"/>
            </w:rPr>
          </w:pPr>
          <w:r>
            <w:rPr>
              <w:rFonts w:ascii="Helvetica" w:hAnsi="Helvetica"/>
              <w:sz w:val="16"/>
            </w:rPr>
            <w:t>Colette Pollard, Departmental Reports Management Officer,</w:t>
          </w:r>
        </w:p>
        <w:p w:rsidR="00B40DAC" w:rsidRDefault="00B40DAC">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B40DAC" w:rsidRDefault="00B40DAC">
          <w:pPr>
            <w:pStyle w:val="Footer"/>
            <w:rPr>
              <w:rFonts w:ascii="Helvetica" w:hAnsi="Helvetica"/>
              <w:sz w:val="16"/>
            </w:rPr>
          </w:pPr>
          <w:r>
            <w:rPr>
              <w:rFonts w:ascii="Helvetica" w:hAnsi="Helvetica"/>
              <w:sz w:val="16"/>
            </w:rPr>
            <w:t xml:space="preserve">Date: </w:t>
          </w:r>
        </w:p>
      </w:tc>
    </w:tr>
  </w:tbl>
  <w:p w:rsidR="00B40DAC" w:rsidRDefault="00B40DAC">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CC5" w:rsidRDefault="00677CC5">
      <w:r>
        <w:separator/>
      </w:r>
    </w:p>
  </w:footnote>
  <w:footnote w:type="continuationSeparator" w:id="0">
    <w:p w:rsidR="00677CC5" w:rsidRDefault="00677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DAC" w:rsidRDefault="00B40D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C13785"/>
    <w:multiLevelType w:val="hybridMultilevel"/>
    <w:tmpl w:val="4DCE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C51A0"/>
    <w:multiLevelType w:val="multilevel"/>
    <w:tmpl w:val="A530D354"/>
    <w:lvl w:ilvl="0">
      <w:start w:val="1"/>
      <w:numFmt w:val="upp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2D95A1F"/>
    <w:multiLevelType w:val="hybridMultilevel"/>
    <w:tmpl w:val="E370F53A"/>
    <w:lvl w:ilvl="0" w:tplc="64686B86">
      <w:start w:val="1"/>
      <w:numFmt w:val="decimal"/>
      <w:lvlText w:val="(%1)"/>
      <w:lvlJc w:val="left"/>
      <w:pPr>
        <w:ind w:left="1080" w:hanging="360"/>
      </w:pPr>
      <w:rPr>
        <w:rFonts w:hint="default"/>
      </w:rPr>
    </w:lvl>
    <w:lvl w:ilvl="1" w:tplc="3B86E24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C8204C"/>
    <w:multiLevelType w:val="hybridMultilevel"/>
    <w:tmpl w:val="5AC48C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8">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B85EA0"/>
    <w:multiLevelType w:val="multilevel"/>
    <w:tmpl w:val="DCC05FCA"/>
    <w:lvl w:ilvl="0">
      <w:start w:val="1"/>
      <w:numFmt w:val="upperLetter"/>
      <w:pStyle w:val="Heading2"/>
      <w:suff w:val="space"/>
      <w:lvlText w:val="%1."/>
      <w:lvlJc w:val="left"/>
      <w:pPr>
        <w:ind w:left="108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10">
    <w:nsid w:val="66547C0B"/>
    <w:multiLevelType w:val="hybridMultilevel"/>
    <w:tmpl w:val="A530D354"/>
    <w:lvl w:ilvl="0" w:tplc="8D4CFD90">
      <w:start w:val="1"/>
      <w:numFmt w:val="upperLetter"/>
      <w:lvlText w:val="%1."/>
      <w:lvlJc w:val="left"/>
      <w:pPr>
        <w:tabs>
          <w:tab w:val="num" w:pos="720"/>
        </w:tabs>
        <w:ind w:left="720" w:hanging="360"/>
      </w:pPr>
      <w:rPr>
        <w:rFonts w:hint="default"/>
        <w:b/>
      </w:rPr>
    </w:lvl>
    <w:lvl w:ilvl="1" w:tplc="FF50363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13"/>
  </w:num>
  <w:num w:numId="3">
    <w:abstractNumId w:val="1"/>
  </w:num>
  <w:num w:numId="4">
    <w:abstractNumId w:val="12"/>
  </w:num>
  <w:num w:numId="5">
    <w:abstractNumId w:val="11"/>
  </w:num>
  <w:num w:numId="6">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7"/>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8"/>
  </w:num>
  <w:num w:numId="10">
    <w:abstractNumId w:val="9"/>
  </w:num>
  <w:num w:numId="11">
    <w:abstractNumId w:val="10"/>
  </w:num>
  <w:num w:numId="12">
    <w:abstractNumId w:val="3"/>
  </w:num>
  <w:num w:numId="13">
    <w:abstractNumId w:val="9"/>
    <w:lvlOverride w:ilvl="0">
      <w:startOverride w:val="1"/>
    </w:lvlOverride>
    <w:lvlOverride w:ilvl="1">
      <w:startOverride w:val="1"/>
    </w:lvlOverride>
    <w:lvlOverride w:ilvl="2">
      <w:startOverride w:val="4"/>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45E"/>
    <w:rsid w:val="000202F5"/>
    <w:rsid w:val="0002255D"/>
    <w:rsid w:val="0002751C"/>
    <w:rsid w:val="00060E3E"/>
    <w:rsid w:val="00067B0D"/>
    <w:rsid w:val="000908A1"/>
    <w:rsid w:val="00093392"/>
    <w:rsid w:val="000A4F38"/>
    <w:rsid w:val="000C42FC"/>
    <w:rsid w:val="000C5438"/>
    <w:rsid w:val="000C55F1"/>
    <w:rsid w:val="000D0062"/>
    <w:rsid w:val="000D68CC"/>
    <w:rsid w:val="001212F5"/>
    <w:rsid w:val="00140DB2"/>
    <w:rsid w:val="00143496"/>
    <w:rsid w:val="00145558"/>
    <w:rsid w:val="00152B6E"/>
    <w:rsid w:val="00154DE0"/>
    <w:rsid w:val="00162B56"/>
    <w:rsid w:val="001748EE"/>
    <w:rsid w:val="00194338"/>
    <w:rsid w:val="001A34FC"/>
    <w:rsid w:val="001B27B8"/>
    <w:rsid w:val="001B65BE"/>
    <w:rsid w:val="001D7638"/>
    <w:rsid w:val="001F2B4E"/>
    <w:rsid w:val="001F365B"/>
    <w:rsid w:val="001F6E57"/>
    <w:rsid w:val="00215AFF"/>
    <w:rsid w:val="0023056F"/>
    <w:rsid w:val="00230D0D"/>
    <w:rsid w:val="0025368C"/>
    <w:rsid w:val="0027282A"/>
    <w:rsid w:val="00276746"/>
    <w:rsid w:val="00282C85"/>
    <w:rsid w:val="00293EA6"/>
    <w:rsid w:val="00297959"/>
    <w:rsid w:val="002C281D"/>
    <w:rsid w:val="002C6439"/>
    <w:rsid w:val="002C7F10"/>
    <w:rsid w:val="002D65A0"/>
    <w:rsid w:val="002D6736"/>
    <w:rsid w:val="002E09FD"/>
    <w:rsid w:val="002E67B1"/>
    <w:rsid w:val="002E745E"/>
    <w:rsid w:val="002F3A27"/>
    <w:rsid w:val="0030015C"/>
    <w:rsid w:val="00310ED9"/>
    <w:rsid w:val="0031130B"/>
    <w:rsid w:val="0031578C"/>
    <w:rsid w:val="003248F2"/>
    <w:rsid w:val="00333599"/>
    <w:rsid w:val="00337FC7"/>
    <w:rsid w:val="00346828"/>
    <w:rsid w:val="00350E97"/>
    <w:rsid w:val="00352054"/>
    <w:rsid w:val="00354A58"/>
    <w:rsid w:val="00357D5E"/>
    <w:rsid w:val="00370633"/>
    <w:rsid w:val="00384F7F"/>
    <w:rsid w:val="00390F82"/>
    <w:rsid w:val="003A3307"/>
    <w:rsid w:val="003A412A"/>
    <w:rsid w:val="003C102A"/>
    <w:rsid w:val="003C14A5"/>
    <w:rsid w:val="003C3A89"/>
    <w:rsid w:val="003D2B63"/>
    <w:rsid w:val="003E07B3"/>
    <w:rsid w:val="003E47F3"/>
    <w:rsid w:val="003F3CAA"/>
    <w:rsid w:val="00402AF6"/>
    <w:rsid w:val="004719E3"/>
    <w:rsid w:val="004978DC"/>
    <w:rsid w:val="004A62B2"/>
    <w:rsid w:val="004D11F4"/>
    <w:rsid w:val="004D6472"/>
    <w:rsid w:val="004E7958"/>
    <w:rsid w:val="004E7BBD"/>
    <w:rsid w:val="004F6D0F"/>
    <w:rsid w:val="0050389A"/>
    <w:rsid w:val="00521B6A"/>
    <w:rsid w:val="0052459D"/>
    <w:rsid w:val="00534029"/>
    <w:rsid w:val="00546C1B"/>
    <w:rsid w:val="005603FB"/>
    <w:rsid w:val="00561B75"/>
    <w:rsid w:val="0057390E"/>
    <w:rsid w:val="00583FA3"/>
    <w:rsid w:val="00593C08"/>
    <w:rsid w:val="005B4F7D"/>
    <w:rsid w:val="005D0A11"/>
    <w:rsid w:val="005E5D24"/>
    <w:rsid w:val="005F5D90"/>
    <w:rsid w:val="00633BDB"/>
    <w:rsid w:val="006405DD"/>
    <w:rsid w:val="0066041B"/>
    <w:rsid w:val="00677CC5"/>
    <w:rsid w:val="00684CC7"/>
    <w:rsid w:val="00686CC7"/>
    <w:rsid w:val="006A1F25"/>
    <w:rsid w:val="006D1BB4"/>
    <w:rsid w:val="006D45BA"/>
    <w:rsid w:val="00700507"/>
    <w:rsid w:val="00711A55"/>
    <w:rsid w:val="007159F4"/>
    <w:rsid w:val="007249C6"/>
    <w:rsid w:val="00737812"/>
    <w:rsid w:val="00770F4D"/>
    <w:rsid w:val="007753C0"/>
    <w:rsid w:val="00783B3D"/>
    <w:rsid w:val="00785688"/>
    <w:rsid w:val="007902BF"/>
    <w:rsid w:val="007A1FA7"/>
    <w:rsid w:val="007B4A0F"/>
    <w:rsid w:val="007C6916"/>
    <w:rsid w:val="007D2E30"/>
    <w:rsid w:val="007F1E8E"/>
    <w:rsid w:val="0080686C"/>
    <w:rsid w:val="00810168"/>
    <w:rsid w:val="00841498"/>
    <w:rsid w:val="00842728"/>
    <w:rsid w:val="0086497C"/>
    <w:rsid w:val="008731B9"/>
    <w:rsid w:val="008A0F6D"/>
    <w:rsid w:val="008B631D"/>
    <w:rsid w:val="008C5F42"/>
    <w:rsid w:val="008D0450"/>
    <w:rsid w:val="008D3EA3"/>
    <w:rsid w:val="008D530D"/>
    <w:rsid w:val="008D77EF"/>
    <w:rsid w:val="008F0581"/>
    <w:rsid w:val="008F2416"/>
    <w:rsid w:val="008F2583"/>
    <w:rsid w:val="0091386F"/>
    <w:rsid w:val="00945385"/>
    <w:rsid w:val="00971D27"/>
    <w:rsid w:val="00972372"/>
    <w:rsid w:val="00993904"/>
    <w:rsid w:val="009A1F75"/>
    <w:rsid w:val="009A30EF"/>
    <w:rsid w:val="009B4422"/>
    <w:rsid w:val="009E2862"/>
    <w:rsid w:val="009E3BA5"/>
    <w:rsid w:val="009F06B2"/>
    <w:rsid w:val="00A00BCF"/>
    <w:rsid w:val="00A02D22"/>
    <w:rsid w:val="00A168CD"/>
    <w:rsid w:val="00A16B41"/>
    <w:rsid w:val="00A23ED8"/>
    <w:rsid w:val="00A4142B"/>
    <w:rsid w:val="00A56F08"/>
    <w:rsid w:val="00A85166"/>
    <w:rsid w:val="00A8550D"/>
    <w:rsid w:val="00AA78D1"/>
    <w:rsid w:val="00AD1BF7"/>
    <w:rsid w:val="00AE04C9"/>
    <w:rsid w:val="00AE1A71"/>
    <w:rsid w:val="00AF12D5"/>
    <w:rsid w:val="00B00F34"/>
    <w:rsid w:val="00B10184"/>
    <w:rsid w:val="00B139A5"/>
    <w:rsid w:val="00B239E5"/>
    <w:rsid w:val="00B318B7"/>
    <w:rsid w:val="00B40275"/>
    <w:rsid w:val="00B40DAC"/>
    <w:rsid w:val="00B572B8"/>
    <w:rsid w:val="00B60778"/>
    <w:rsid w:val="00B66A98"/>
    <w:rsid w:val="00B774C8"/>
    <w:rsid w:val="00B87DB8"/>
    <w:rsid w:val="00BA6D99"/>
    <w:rsid w:val="00BB391E"/>
    <w:rsid w:val="00BC4702"/>
    <w:rsid w:val="00BC59D0"/>
    <w:rsid w:val="00BC6422"/>
    <w:rsid w:val="00BD7827"/>
    <w:rsid w:val="00BE2DBF"/>
    <w:rsid w:val="00BE6263"/>
    <w:rsid w:val="00BF3743"/>
    <w:rsid w:val="00C34575"/>
    <w:rsid w:val="00C3673F"/>
    <w:rsid w:val="00C524EA"/>
    <w:rsid w:val="00C5576E"/>
    <w:rsid w:val="00C60ECA"/>
    <w:rsid w:val="00C61C69"/>
    <w:rsid w:val="00C63E76"/>
    <w:rsid w:val="00C6635E"/>
    <w:rsid w:val="00C91E9F"/>
    <w:rsid w:val="00CD0C8E"/>
    <w:rsid w:val="00CD12AC"/>
    <w:rsid w:val="00CF5F82"/>
    <w:rsid w:val="00D1228A"/>
    <w:rsid w:val="00D2515B"/>
    <w:rsid w:val="00D37911"/>
    <w:rsid w:val="00D5032C"/>
    <w:rsid w:val="00D64A55"/>
    <w:rsid w:val="00D801DF"/>
    <w:rsid w:val="00DC23FE"/>
    <w:rsid w:val="00DC53AB"/>
    <w:rsid w:val="00DD5DD0"/>
    <w:rsid w:val="00DE39B6"/>
    <w:rsid w:val="00DF4103"/>
    <w:rsid w:val="00DF7475"/>
    <w:rsid w:val="00E048EC"/>
    <w:rsid w:val="00E13161"/>
    <w:rsid w:val="00E2055C"/>
    <w:rsid w:val="00E430AD"/>
    <w:rsid w:val="00E804AB"/>
    <w:rsid w:val="00E851AA"/>
    <w:rsid w:val="00E856A1"/>
    <w:rsid w:val="00EA3E8C"/>
    <w:rsid w:val="00EA53BA"/>
    <w:rsid w:val="00EA5F98"/>
    <w:rsid w:val="00EC1755"/>
    <w:rsid w:val="00EE7AC0"/>
    <w:rsid w:val="00EF2BF1"/>
    <w:rsid w:val="00EF7DA1"/>
    <w:rsid w:val="00F02023"/>
    <w:rsid w:val="00F16214"/>
    <w:rsid w:val="00F274BF"/>
    <w:rsid w:val="00F47DF3"/>
    <w:rsid w:val="00F543A0"/>
    <w:rsid w:val="00F66B25"/>
    <w:rsid w:val="00F77233"/>
    <w:rsid w:val="00F77861"/>
    <w:rsid w:val="00F94AA3"/>
    <w:rsid w:val="00FA1256"/>
    <w:rsid w:val="00FD4D82"/>
    <w:rsid w:val="00FE1E54"/>
    <w:rsid w:val="00FE3243"/>
    <w:rsid w:val="00FE5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DB2"/>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ind w:left="0"/>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character" w:customStyle="1" w:styleId="apple-style-span">
    <w:name w:val="apple-style-span"/>
    <w:basedOn w:val="DefaultParagraphFont"/>
    <w:rsid w:val="00D64A55"/>
  </w:style>
  <w:style w:type="paragraph" w:styleId="ListParagraph">
    <w:name w:val="List Paragraph"/>
    <w:basedOn w:val="Normal"/>
    <w:uiPriority w:val="34"/>
    <w:qFormat/>
    <w:rsid w:val="00EF2BF1"/>
    <w:pPr>
      <w:ind w:left="720"/>
      <w:contextualSpacing/>
    </w:pPr>
  </w:style>
  <w:style w:type="table" w:styleId="TableGrid">
    <w:name w:val="Table Grid"/>
    <w:basedOn w:val="TableNormal"/>
    <w:rsid w:val="00DF41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94AA3"/>
    <w:rPr>
      <w:sz w:val="24"/>
      <w:szCs w:val="24"/>
    </w:rPr>
  </w:style>
  <w:style w:type="character" w:styleId="CommentReference">
    <w:name w:val="annotation reference"/>
    <w:basedOn w:val="DefaultParagraphFont"/>
    <w:rsid w:val="0080686C"/>
    <w:rPr>
      <w:sz w:val="16"/>
      <w:szCs w:val="16"/>
    </w:rPr>
  </w:style>
  <w:style w:type="paragraph" w:styleId="CommentText">
    <w:name w:val="annotation text"/>
    <w:basedOn w:val="Normal"/>
    <w:link w:val="CommentTextChar"/>
    <w:rsid w:val="0080686C"/>
  </w:style>
  <w:style w:type="character" w:customStyle="1" w:styleId="CommentTextChar">
    <w:name w:val="Comment Text Char"/>
    <w:basedOn w:val="DefaultParagraphFont"/>
    <w:link w:val="CommentText"/>
    <w:rsid w:val="0080686C"/>
  </w:style>
  <w:style w:type="paragraph" w:styleId="CommentSubject">
    <w:name w:val="annotation subject"/>
    <w:basedOn w:val="CommentText"/>
    <w:next w:val="CommentText"/>
    <w:link w:val="CommentSubjectChar"/>
    <w:rsid w:val="0080686C"/>
    <w:rPr>
      <w:b/>
      <w:bCs/>
    </w:rPr>
  </w:style>
  <w:style w:type="character" w:customStyle="1" w:styleId="CommentSubjectChar">
    <w:name w:val="Comment Subject Char"/>
    <w:basedOn w:val="CommentTextChar"/>
    <w:link w:val="CommentSubject"/>
    <w:rsid w:val="0080686C"/>
    <w:rPr>
      <w:b/>
      <w:bCs/>
    </w:rPr>
  </w:style>
  <w:style w:type="paragraph" w:customStyle="1" w:styleId="CM50">
    <w:name w:val="CM50"/>
    <w:basedOn w:val="Normal"/>
    <w:next w:val="Normal"/>
    <w:rsid w:val="00390F82"/>
    <w:pPr>
      <w:overflowPunct/>
      <w:textAlignment w:val="auto"/>
    </w:pPr>
    <w:rPr>
      <w:rFonts w:ascii="Arial" w:hAnsi="Arial"/>
      <w:sz w:val="24"/>
      <w:szCs w:val="24"/>
    </w:rPr>
  </w:style>
  <w:style w:type="paragraph" w:styleId="Title">
    <w:name w:val="Title"/>
    <w:basedOn w:val="Normal"/>
    <w:link w:val="TitleChar"/>
    <w:qFormat/>
    <w:rsid w:val="00230D0D"/>
    <w:pPr>
      <w:jc w:val="center"/>
    </w:pPr>
    <w:rPr>
      <w:rFonts w:ascii="Helvetica" w:hAnsi="Helvetica"/>
      <w:b/>
      <w:color w:val="000000"/>
      <w:sz w:val="28"/>
    </w:rPr>
  </w:style>
  <w:style w:type="character" w:customStyle="1" w:styleId="TitleChar">
    <w:name w:val="Title Char"/>
    <w:basedOn w:val="DefaultParagraphFont"/>
    <w:link w:val="Title"/>
    <w:rsid w:val="00230D0D"/>
    <w:rPr>
      <w:rFonts w:ascii="Helvetica" w:hAnsi="Helvetica"/>
      <w:b/>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DB2"/>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ind w:left="0"/>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character" w:customStyle="1" w:styleId="apple-style-span">
    <w:name w:val="apple-style-span"/>
    <w:basedOn w:val="DefaultParagraphFont"/>
    <w:rsid w:val="00D64A55"/>
  </w:style>
  <w:style w:type="paragraph" w:styleId="ListParagraph">
    <w:name w:val="List Paragraph"/>
    <w:basedOn w:val="Normal"/>
    <w:uiPriority w:val="34"/>
    <w:qFormat/>
    <w:rsid w:val="00EF2BF1"/>
    <w:pPr>
      <w:ind w:left="720"/>
      <w:contextualSpacing/>
    </w:pPr>
  </w:style>
  <w:style w:type="table" w:styleId="TableGrid">
    <w:name w:val="Table Grid"/>
    <w:basedOn w:val="TableNormal"/>
    <w:rsid w:val="00DF41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F94AA3"/>
    <w:rPr>
      <w:sz w:val="24"/>
      <w:szCs w:val="24"/>
    </w:rPr>
  </w:style>
  <w:style w:type="character" w:styleId="CommentReference">
    <w:name w:val="annotation reference"/>
    <w:basedOn w:val="DefaultParagraphFont"/>
    <w:rsid w:val="0080686C"/>
    <w:rPr>
      <w:sz w:val="16"/>
      <w:szCs w:val="16"/>
    </w:rPr>
  </w:style>
  <w:style w:type="paragraph" w:styleId="CommentText">
    <w:name w:val="annotation text"/>
    <w:basedOn w:val="Normal"/>
    <w:link w:val="CommentTextChar"/>
    <w:rsid w:val="0080686C"/>
  </w:style>
  <w:style w:type="character" w:customStyle="1" w:styleId="CommentTextChar">
    <w:name w:val="Comment Text Char"/>
    <w:basedOn w:val="DefaultParagraphFont"/>
    <w:link w:val="CommentText"/>
    <w:rsid w:val="0080686C"/>
  </w:style>
  <w:style w:type="paragraph" w:styleId="CommentSubject">
    <w:name w:val="annotation subject"/>
    <w:basedOn w:val="CommentText"/>
    <w:next w:val="CommentText"/>
    <w:link w:val="CommentSubjectChar"/>
    <w:rsid w:val="0080686C"/>
    <w:rPr>
      <w:b/>
      <w:bCs/>
    </w:rPr>
  </w:style>
  <w:style w:type="character" w:customStyle="1" w:styleId="CommentSubjectChar">
    <w:name w:val="Comment Subject Char"/>
    <w:basedOn w:val="CommentTextChar"/>
    <w:link w:val="CommentSubject"/>
    <w:rsid w:val="0080686C"/>
    <w:rPr>
      <w:b/>
      <w:bCs/>
    </w:rPr>
  </w:style>
  <w:style w:type="paragraph" w:customStyle="1" w:styleId="CM50">
    <w:name w:val="CM50"/>
    <w:basedOn w:val="Normal"/>
    <w:next w:val="Normal"/>
    <w:rsid w:val="00390F82"/>
    <w:pPr>
      <w:overflowPunct/>
      <w:textAlignment w:val="auto"/>
    </w:pPr>
    <w:rPr>
      <w:rFonts w:ascii="Arial" w:hAnsi="Arial"/>
      <w:sz w:val="24"/>
      <w:szCs w:val="24"/>
    </w:rPr>
  </w:style>
  <w:style w:type="paragraph" w:styleId="Title">
    <w:name w:val="Title"/>
    <w:basedOn w:val="Normal"/>
    <w:link w:val="TitleChar"/>
    <w:qFormat/>
    <w:rsid w:val="00230D0D"/>
    <w:pPr>
      <w:jc w:val="center"/>
    </w:pPr>
    <w:rPr>
      <w:rFonts w:ascii="Helvetica" w:hAnsi="Helvetica"/>
      <w:b/>
      <w:color w:val="000000"/>
      <w:sz w:val="28"/>
    </w:rPr>
  </w:style>
  <w:style w:type="character" w:customStyle="1" w:styleId="TitleChar">
    <w:name w:val="Title Char"/>
    <w:basedOn w:val="DefaultParagraphFont"/>
    <w:link w:val="Title"/>
    <w:rsid w:val="00230D0D"/>
    <w:rPr>
      <w:rFonts w:ascii="Helvetica" w:hAnsi="Helvetica"/>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3062">
      <w:bodyDiv w:val="1"/>
      <w:marLeft w:val="0"/>
      <w:marRight w:val="0"/>
      <w:marTop w:val="0"/>
      <w:marBottom w:val="0"/>
      <w:divBdr>
        <w:top w:val="none" w:sz="0" w:space="0" w:color="auto"/>
        <w:left w:val="none" w:sz="0" w:space="0" w:color="auto"/>
        <w:bottom w:val="none" w:sz="0" w:space="0" w:color="auto"/>
        <w:right w:val="none" w:sz="0" w:space="0" w:color="auto"/>
      </w:divBdr>
    </w:div>
    <w:div w:id="77531545">
      <w:bodyDiv w:val="1"/>
      <w:marLeft w:val="0"/>
      <w:marRight w:val="0"/>
      <w:marTop w:val="0"/>
      <w:marBottom w:val="0"/>
      <w:divBdr>
        <w:top w:val="none" w:sz="0" w:space="0" w:color="auto"/>
        <w:left w:val="none" w:sz="0" w:space="0" w:color="auto"/>
        <w:bottom w:val="none" w:sz="0" w:space="0" w:color="auto"/>
        <w:right w:val="none" w:sz="0" w:space="0" w:color="auto"/>
      </w:divBdr>
    </w:div>
    <w:div w:id="100029172">
      <w:bodyDiv w:val="1"/>
      <w:marLeft w:val="0"/>
      <w:marRight w:val="0"/>
      <w:marTop w:val="0"/>
      <w:marBottom w:val="0"/>
      <w:divBdr>
        <w:top w:val="none" w:sz="0" w:space="0" w:color="auto"/>
        <w:left w:val="none" w:sz="0" w:space="0" w:color="auto"/>
        <w:bottom w:val="none" w:sz="0" w:space="0" w:color="auto"/>
        <w:right w:val="none" w:sz="0" w:space="0" w:color="auto"/>
      </w:divBdr>
    </w:div>
    <w:div w:id="479156587">
      <w:bodyDiv w:val="1"/>
      <w:marLeft w:val="0"/>
      <w:marRight w:val="0"/>
      <w:marTop w:val="0"/>
      <w:marBottom w:val="0"/>
      <w:divBdr>
        <w:top w:val="none" w:sz="0" w:space="0" w:color="auto"/>
        <w:left w:val="none" w:sz="0" w:space="0" w:color="auto"/>
        <w:bottom w:val="none" w:sz="0" w:space="0" w:color="auto"/>
        <w:right w:val="none" w:sz="0" w:space="0" w:color="auto"/>
      </w:divBdr>
    </w:div>
    <w:div w:id="871842920">
      <w:bodyDiv w:val="1"/>
      <w:marLeft w:val="0"/>
      <w:marRight w:val="0"/>
      <w:marTop w:val="0"/>
      <w:marBottom w:val="0"/>
      <w:divBdr>
        <w:top w:val="none" w:sz="0" w:space="0" w:color="auto"/>
        <w:left w:val="none" w:sz="0" w:space="0" w:color="auto"/>
        <w:bottom w:val="none" w:sz="0" w:space="0" w:color="auto"/>
        <w:right w:val="none" w:sz="0" w:space="0" w:color="auto"/>
      </w:divBdr>
    </w:div>
    <w:div w:id="930511212">
      <w:bodyDiv w:val="1"/>
      <w:marLeft w:val="0"/>
      <w:marRight w:val="0"/>
      <w:marTop w:val="0"/>
      <w:marBottom w:val="0"/>
      <w:divBdr>
        <w:top w:val="none" w:sz="0" w:space="0" w:color="auto"/>
        <w:left w:val="none" w:sz="0" w:space="0" w:color="auto"/>
        <w:bottom w:val="none" w:sz="0" w:space="0" w:color="auto"/>
        <w:right w:val="none" w:sz="0" w:space="0" w:color="auto"/>
      </w:divBdr>
    </w:div>
    <w:div w:id="1184393162">
      <w:bodyDiv w:val="1"/>
      <w:marLeft w:val="0"/>
      <w:marRight w:val="0"/>
      <w:marTop w:val="0"/>
      <w:marBottom w:val="0"/>
      <w:divBdr>
        <w:top w:val="none" w:sz="0" w:space="0" w:color="auto"/>
        <w:left w:val="none" w:sz="0" w:space="0" w:color="auto"/>
        <w:bottom w:val="none" w:sz="0" w:space="0" w:color="auto"/>
        <w:right w:val="none" w:sz="0" w:space="0" w:color="auto"/>
      </w:divBdr>
    </w:div>
    <w:div w:id="1237784526">
      <w:bodyDiv w:val="1"/>
      <w:marLeft w:val="0"/>
      <w:marRight w:val="0"/>
      <w:marTop w:val="0"/>
      <w:marBottom w:val="0"/>
      <w:divBdr>
        <w:top w:val="none" w:sz="0" w:space="0" w:color="auto"/>
        <w:left w:val="none" w:sz="0" w:space="0" w:color="auto"/>
        <w:bottom w:val="none" w:sz="0" w:space="0" w:color="auto"/>
        <w:right w:val="none" w:sz="0" w:space="0" w:color="auto"/>
      </w:divBdr>
    </w:div>
    <w:div w:id="1271864013">
      <w:bodyDiv w:val="1"/>
      <w:marLeft w:val="0"/>
      <w:marRight w:val="0"/>
      <w:marTop w:val="0"/>
      <w:marBottom w:val="0"/>
      <w:divBdr>
        <w:top w:val="none" w:sz="0" w:space="0" w:color="auto"/>
        <w:left w:val="none" w:sz="0" w:space="0" w:color="auto"/>
        <w:bottom w:val="none" w:sz="0" w:space="0" w:color="auto"/>
        <w:right w:val="none" w:sz="0" w:space="0" w:color="auto"/>
      </w:divBdr>
    </w:div>
    <w:div w:id="1433625593">
      <w:bodyDiv w:val="1"/>
      <w:marLeft w:val="0"/>
      <w:marRight w:val="0"/>
      <w:marTop w:val="0"/>
      <w:marBottom w:val="0"/>
      <w:divBdr>
        <w:top w:val="none" w:sz="0" w:space="0" w:color="auto"/>
        <w:left w:val="none" w:sz="0" w:space="0" w:color="auto"/>
        <w:bottom w:val="none" w:sz="0" w:space="0" w:color="auto"/>
        <w:right w:val="none" w:sz="0" w:space="0" w:color="auto"/>
      </w:divBdr>
    </w:div>
    <w:div w:id="1802459727">
      <w:bodyDiv w:val="1"/>
      <w:marLeft w:val="0"/>
      <w:marRight w:val="0"/>
      <w:marTop w:val="0"/>
      <w:marBottom w:val="0"/>
      <w:divBdr>
        <w:top w:val="none" w:sz="0" w:space="0" w:color="auto"/>
        <w:left w:val="none" w:sz="0" w:space="0" w:color="auto"/>
        <w:bottom w:val="none" w:sz="0" w:space="0" w:color="auto"/>
        <w:right w:val="none" w:sz="0" w:space="0" w:color="auto"/>
      </w:divBdr>
    </w:div>
    <w:div w:id="201175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6A84A-EA40-4DF5-BD98-D570E298E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2334</Words>
  <Characters>13305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15608</CharactersWithSpaces>
  <SharedDoc>false</SharedDoc>
  <HLinks>
    <vt:vector size="6" baseType="variant">
      <vt:variant>
        <vt:i4>3342389</vt:i4>
      </vt:variant>
      <vt:variant>
        <vt:i4>106</vt:i4>
      </vt:variant>
      <vt:variant>
        <vt:i4>0</vt:i4>
      </vt:variant>
      <vt:variant>
        <vt:i4>5</vt:i4>
      </vt:variant>
      <vt:variant>
        <vt:lpwstr>http://www.hud.gov/homeprogram/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Urnell Johnson-Spears</cp:lastModifiedBy>
  <cp:revision>2</cp:revision>
  <cp:lastPrinted>2013-06-05T11:32:00Z</cp:lastPrinted>
  <dcterms:created xsi:type="dcterms:W3CDTF">2013-06-24T17:23:00Z</dcterms:created>
  <dcterms:modified xsi:type="dcterms:W3CDTF">2013-06-24T17:23:00Z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1505306763</vt:i4>
  </property>
  <property fmtid="{D5CDD505-2E9C-101B-9397-08002B2CF9AE}" pid="3" name="_NewReviewCycle">
    <vt:lpwstr/>
  </property>
  <property fmtid="{D5CDD505-2E9C-101B-9397-08002B2CF9AE}" pid="4" name="_EmailSubject">
    <vt:lpwstr>suppporting statement revised</vt:lpwstr>
  </property>
  <property fmtid="{D5CDD505-2E9C-101B-9397-08002B2CF9AE}" pid="5" name="_AuthorEmail">
    <vt:lpwstr>Julie.D.Hovden@hud.gov</vt:lpwstr>
  </property>
  <property fmtid="{D5CDD505-2E9C-101B-9397-08002B2CF9AE}" pid="6" name="_AuthorEmailDisplayName">
    <vt:lpwstr>Hovden, Julie D</vt:lpwstr>
  </property>
  <property fmtid="{D5CDD505-2E9C-101B-9397-08002B2CF9AE}" pid="7" name="_PreviousAdHocReviewCycleID">
    <vt:i4>-1941330276</vt:i4>
  </property>
  <property fmtid="{D5CDD505-2E9C-101B-9397-08002B2CF9AE}" pid="8" name="_ReviewingToolsShownOnce">
    <vt:lpwstr/>
  </property>
</Properties>
</file>