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43" w:rsidRDefault="002348E6" w:rsidP="000A6A76">
      <w:pPr>
        <w:jc w:val="center"/>
        <w:outlineLvl w:val="0"/>
        <w:rPr>
          <w:rFonts w:cs="Times"/>
          <w:b/>
          <w:sz w:val="24"/>
          <w:lang w:val="en-CA"/>
        </w:rPr>
      </w:pPr>
      <w:r w:rsidRPr="000A6A76">
        <w:rPr>
          <w:rFonts w:cs="Times"/>
          <w:b/>
          <w:sz w:val="24"/>
          <w:lang w:val="en-CA"/>
        </w:rPr>
        <w:fldChar w:fldCharType="begin"/>
      </w:r>
      <w:r w:rsidR="00D85665" w:rsidRPr="000A6A76">
        <w:rPr>
          <w:rFonts w:cs="Times"/>
          <w:b/>
          <w:sz w:val="24"/>
          <w:lang w:val="en-CA"/>
        </w:rPr>
        <w:instrText xml:space="preserve"> SEQ CHAPTER \h \r 1</w:instrText>
      </w:r>
      <w:r w:rsidRPr="000A6A76">
        <w:rPr>
          <w:rFonts w:cs="Times"/>
          <w:b/>
          <w:sz w:val="24"/>
          <w:lang w:val="en-CA"/>
        </w:rPr>
        <w:fldChar w:fldCharType="end"/>
      </w:r>
      <w:r w:rsidR="000A6A76" w:rsidRPr="000A6A76">
        <w:rPr>
          <w:rFonts w:cs="Times"/>
          <w:b/>
          <w:sz w:val="24"/>
          <w:lang w:val="en-CA"/>
        </w:rPr>
        <w:t>SPILL PREVENTION</w:t>
      </w:r>
      <w:r w:rsidR="00DA2651">
        <w:rPr>
          <w:rFonts w:cs="Times"/>
          <w:b/>
          <w:sz w:val="24"/>
          <w:lang w:val="en-CA"/>
        </w:rPr>
        <w:t>,</w:t>
      </w:r>
      <w:r w:rsidR="000A6A76" w:rsidRPr="000A6A76">
        <w:rPr>
          <w:rFonts w:cs="Times"/>
          <w:b/>
          <w:sz w:val="24"/>
          <w:lang w:val="en-CA"/>
        </w:rPr>
        <w:t xml:space="preserve"> CONTROL AND COUNTERMEASURE </w:t>
      </w:r>
      <w:r w:rsidR="00CE5FD0">
        <w:rPr>
          <w:rFonts w:cs="Times"/>
          <w:b/>
          <w:sz w:val="24"/>
          <w:lang w:val="en-CA"/>
        </w:rPr>
        <w:t xml:space="preserve">(SPCC) </w:t>
      </w:r>
    </w:p>
    <w:p w:rsidR="00D85665" w:rsidRPr="000A6A76" w:rsidRDefault="000A6A76" w:rsidP="000A6A76">
      <w:pPr>
        <w:jc w:val="center"/>
        <w:outlineLvl w:val="0"/>
        <w:rPr>
          <w:rFonts w:cs="Arial"/>
          <w:b/>
          <w:bCs/>
          <w:sz w:val="24"/>
        </w:rPr>
      </w:pPr>
      <w:r w:rsidRPr="000A6A76">
        <w:rPr>
          <w:rFonts w:cs="Times"/>
          <w:b/>
          <w:sz w:val="24"/>
          <w:lang w:val="en-CA"/>
        </w:rPr>
        <w:t>PLANS</w:t>
      </w:r>
    </w:p>
    <w:p w:rsidR="00D85665" w:rsidRDefault="00D85665">
      <w:pPr>
        <w:rPr>
          <w:rFonts w:cs="Arial"/>
          <w:b/>
          <w:bCs/>
          <w:szCs w:val="22"/>
        </w:rPr>
      </w:pPr>
    </w:p>
    <w:p w:rsidR="00C90E1F" w:rsidRPr="00854FC2" w:rsidRDefault="00C90E1F">
      <w:pPr>
        <w:rPr>
          <w:rFonts w:cs="Arial"/>
          <w:b/>
          <w:bCs/>
          <w:szCs w:val="22"/>
        </w:rPr>
      </w:pPr>
    </w:p>
    <w:p w:rsidR="00D85665" w:rsidRPr="00854FC2" w:rsidRDefault="00D85665">
      <w:pPr>
        <w:rPr>
          <w:rFonts w:cs="Arial"/>
          <w:b/>
          <w:bCs/>
          <w:szCs w:val="22"/>
        </w:rPr>
      </w:pPr>
      <w:r w:rsidRPr="00854FC2">
        <w:rPr>
          <w:rFonts w:cs="Arial"/>
          <w:b/>
          <w:bCs/>
          <w:szCs w:val="22"/>
        </w:rPr>
        <w:t>1.</w:t>
      </w:r>
      <w:r w:rsidRPr="00854FC2">
        <w:rPr>
          <w:rFonts w:cs="Arial"/>
          <w:b/>
          <w:bCs/>
          <w:szCs w:val="22"/>
        </w:rPr>
        <w:tab/>
        <w:t>IDENTIFICATION OF THE INFORMATION COLLECTION</w:t>
      </w:r>
    </w:p>
    <w:p w:rsidR="00D85665" w:rsidRPr="00854FC2" w:rsidRDefault="00D85665">
      <w:pPr>
        <w:rPr>
          <w:rFonts w:cs="Arial"/>
          <w:b/>
          <w:bCs/>
          <w:szCs w:val="22"/>
        </w:rPr>
      </w:pPr>
    </w:p>
    <w:p w:rsidR="00D85665" w:rsidRPr="00854FC2" w:rsidRDefault="00D85665">
      <w:pPr>
        <w:rPr>
          <w:rFonts w:cs="Arial"/>
          <w:szCs w:val="22"/>
        </w:rPr>
      </w:pPr>
      <w:r w:rsidRPr="00854FC2">
        <w:rPr>
          <w:rFonts w:cs="Arial"/>
          <w:b/>
          <w:bCs/>
          <w:szCs w:val="22"/>
        </w:rPr>
        <w:tab/>
        <w:t xml:space="preserve">1(a) </w:t>
      </w:r>
      <w:r w:rsidRPr="00854FC2">
        <w:rPr>
          <w:rFonts w:cs="Arial"/>
          <w:b/>
          <w:bCs/>
          <w:szCs w:val="22"/>
        </w:rPr>
        <w:tab/>
        <w:t>Title of the Information Collection</w:t>
      </w:r>
    </w:p>
    <w:p w:rsidR="00D85665" w:rsidRPr="00854FC2" w:rsidRDefault="00D85665">
      <w:pPr>
        <w:rPr>
          <w:rFonts w:cs="Arial"/>
          <w:szCs w:val="22"/>
        </w:rPr>
      </w:pPr>
    </w:p>
    <w:p w:rsidR="00D85665" w:rsidRPr="00854FC2" w:rsidRDefault="006F6874" w:rsidP="00083BCA">
      <w:pPr>
        <w:ind w:firstLine="720"/>
        <w:rPr>
          <w:rFonts w:cs="Arial"/>
          <w:szCs w:val="22"/>
        </w:rPr>
      </w:pPr>
      <w:r>
        <w:rPr>
          <w:rFonts w:cs="Arial"/>
          <w:szCs w:val="22"/>
        </w:rPr>
        <w:t>“</w:t>
      </w:r>
      <w:r w:rsidR="000A6A76">
        <w:rPr>
          <w:rFonts w:cs="Arial"/>
          <w:szCs w:val="22"/>
        </w:rPr>
        <w:t>Spill Prevention</w:t>
      </w:r>
      <w:r w:rsidR="00DA2651">
        <w:rPr>
          <w:rFonts w:cs="Arial"/>
          <w:szCs w:val="22"/>
        </w:rPr>
        <w:t>,</w:t>
      </w:r>
      <w:r w:rsidR="000A6A76">
        <w:rPr>
          <w:rFonts w:cs="Arial"/>
          <w:szCs w:val="22"/>
        </w:rPr>
        <w:t xml:space="preserve"> Control and Countermeasure (SPCC) Plans</w:t>
      </w:r>
      <w:r>
        <w:rPr>
          <w:rFonts w:cs="Arial"/>
          <w:szCs w:val="22"/>
        </w:rPr>
        <w:t xml:space="preserve"> (Renewal)”</w:t>
      </w:r>
      <w:r w:rsidR="000A6A76">
        <w:rPr>
          <w:rFonts w:cs="Arial"/>
          <w:szCs w:val="22"/>
        </w:rPr>
        <w:t xml:space="preserve">. </w:t>
      </w:r>
      <w:r w:rsidR="00D85665" w:rsidRPr="00854FC2">
        <w:rPr>
          <w:rFonts w:cs="Arial"/>
          <w:szCs w:val="22"/>
        </w:rPr>
        <w:t xml:space="preserve"> </w:t>
      </w:r>
      <w:r w:rsidR="00DA2651">
        <w:rPr>
          <w:rFonts w:cs="Arial"/>
          <w:szCs w:val="22"/>
        </w:rPr>
        <w:t>(</w:t>
      </w:r>
      <w:r w:rsidR="00D85665" w:rsidRPr="00854FC2">
        <w:rPr>
          <w:rFonts w:cs="Arial"/>
          <w:szCs w:val="22"/>
        </w:rPr>
        <w:t xml:space="preserve">EPA ICR </w:t>
      </w:r>
      <w:r w:rsidR="00D85665" w:rsidRPr="00FF27CC">
        <w:rPr>
          <w:rFonts w:cs="Arial"/>
          <w:szCs w:val="22"/>
        </w:rPr>
        <w:t>No. 0328.</w:t>
      </w:r>
      <w:r w:rsidR="00D85665" w:rsidRPr="00B81A78">
        <w:rPr>
          <w:rFonts w:cs="Arial"/>
          <w:szCs w:val="22"/>
        </w:rPr>
        <w:t>1</w:t>
      </w:r>
      <w:r w:rsidR="000A6A76">
        <w:rPr>
          <w:rFonts w:cs="Arial"/>
          <w:szCs w:val="22"/>
        </w:rPr>
        <w:t>6,</w:t>
      </w:r>
      <w:r w:rsidR="00CE5FD0">
        <w:rPr>
          <w:rFonts w:cs="Arial"/>
          <w:szCs w:val="22"/>
        </w:rPr>
        <w:t xml:space="preserve"> </w:t>
      </w:r>
      <w:r w:rsidR="00D85665" w:rsidRPr="00B81A78">
        <w:rPr>
          <w:rFonts w:cs="Arial"/>
          <w:szCs w:val="22"/>
        </w:rPr>
        <w:t>OMB No</w:t>
      </w:r>
      <w:r w:rsidR="00CE5FD0">
        <w:rPr>
          <w:rFonts w:cs="Arial"/>
          <w:szCs w:val="22"/>
        </w:rPr>
        <w:t>.</w:t>
      </w:r>
      <w:r w:rsidR="00D85665" w:rsidRPr="00B81A78">
        <w:rPr>
          <w:rFonts w:cs="Arial"/>
          <w:szCs w:val="22"/>
        </w:rPr>
        <w:t xml:space="preserve"> 2050-0021</w:t>
      </w:r>
      <w:r w:rsidR="00DA2651">
        <w:rPr>
          <w:rFonts w:cs="Arial"/>
          <w:szCs w:val="22"/>
        </w:rPr>
        <w:t>)</w:t>
      </w:r>
    </w:p>
    <w:p w:rsidR="00D85665" w:rsidRPr="00854FC2" w:rsidRDefault="00D85665">
      <w:pPr>
        <w:rPr>
          <w:rFonts w:cs="Arial"/>
          <w:szCs w:val="22"/>
        </w:rPr>
      </w:pPr>
    </w:p>
    <w:p w:rsidR="00D85665" w:rsidRPr="00854FC2" w:rsidRDefault="00D85665">
      <w:pPr>
        <w:rPr>
          <w:rFonts w:cs="Arial"/>
          <w:szCs w:val="22"/>
        </w:rPr>
      </w:pPr>
      <w:r w:rsidRPr="00854FC2">
        <w:rPr>
          <w:rFonts w:cs="Arial"/>
          <w:b/>
          <w:bCs/>
          <w:szCs w:val="22"/>
        </w:rPr>
        <w:tab/>
        <w:t xml:space="preserve">1(b) </w:t>
      </w:r>
      <w:r w:rsidRPr="00854FC2">
        <w:rPr>
          <w:rFonts w:cs="Arial"/>
          <w:b/>
          <w:bCs/>
          <w:szCs w:val="22"/>
        </w:rPr>
        <w:tab/>
        <w:t>Short Characterization</w:t>
      </w:r>
    </w:p>
    <w:p w:rsidR="00D85665" w:rsidRPr="00854FC2" w:rsidRDefault="00D85665">
      <w:pPr>
        <w:rPr>
          <w:rFonts w:cs="Arial"/>
          <w:szCs w:val="22"/>
        </w:rPr>
      </w:pPr>
    </w:p>
    <w:p w:rsidR="00D85665" w:rsidRPr="00854FC2" w:rsidRDefault="002348E6" w:rsidP="00083BCA">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The Oil Pollution Prevention regulation</w:t>
      </w:r>
      <w:r w:rsidR="00A074DB">
        <w:rPr>
          <w:rFonts w:cs="Arial"/>
          <w:szCs w:val="22"/>
        </w:rPr>
        <w:t>,</w:t>
      </w:r>
      <w:r w:rsidR="00D85665" w:rsidRPr="00854FC2">
        <w:rPr>
          <w:rFonts w:cs="Arial"/>
          <w:szCs w:val="22"/>
        </w:rPr>
        <w:t xml:space="preserve"> 40 CFR </w:t>
      </w:r>
      <w:r w:rsidR="00DB09A4">
        <w:rPr>
          <w:rFonts w:cs="Arial"/>
          <w:szCs w:val="22"/>
        </w:rPr>
        <w:t>P</w:t>
      </w:r>
      <w:r w:rsidR="00D85665" w:rsidRPr="00854FC2">
        <w:rPr>
          <w:rFonts w:cs="Arial"/>
          <w:szCs w:val="22"/>
        </w:rPr>
        <w:t>art 112</w:t>
      </w:r>
      <w:r w:rsidR="00A074DB">
        <w:rPr>
          <w:rFonts w:cs="Arial"/>
          <w:szCs w:val="22"/>
        </w:rPr>
        <w:t>,</w:t>
      </w:r>
      <w:r w:rsidR="00D85665" w:rsidRPr="00854FC2">
        <w:rPr>
          <w:rFonts w:cs="Arial"/>
          <w:szCs w:val="22"/>
        </w:rPr>
        <w:t xml:space="preserve"> requires and establishes procedures for the preparation and implementation of Spill Prevention, Control, and Countermeasure (SPCC) Plans. SPCC Plans help minimize the potential for oil discharges </w:t>
      </w:r>
      <w:r w:rsidR="008E2D11">
        <w:rPr>
          <w:rFonts w:cs="Arial"/>
          <w:szCs w:val="22"/>
        </w:rPr>
        <w:t>from</w:t>
      </w:r>
      <w:r w:rsidR="00D85665" w:rsidRPr="00854FC2">
        <w:rPr>
          <w:rFonts w:cs="Arial"/>
          <w:szCs w:val="22"/>
        </w:rPr>
        <w:t xml:space="preserve"> non-transportation-related onshore and offshore facilities into or upon the navigable waters of the United States or adjoining shorelines </w:t>
      </w:r>
      <w:r w:rsidR="008E2D11">
        <w:rPr>
          <w:rFonts w:cs="Arial"/>
          <w:szCs w:val="22"/>
        </w:rPr>
        <w:t xml:space="preserve">that </w:t>
      </w:r>
      <w:r w:rsidR="00D85665" w:rsidRPr="00854FC2">
        <w:rPr>
          <w:rFonts w:cs="Arial"/>
          <w:szCs w:val="22"/>
        </w:rPr>
        <w:t>affect certain natural resources.</w:t>
      </w:r>
    </w:p>
    <w:p w:rsidR="00D85665" w:rsidRPr="00854FC2" w:rsidRDefault="00D85665">
      <w:pPr>
        <w:rPr>
          <w:rFonts w:cs="Arial"/>
          <w:szCs w:val="22"/>
        </w:rPr>
      </w:pPr>
    </w:p>
    <w:p w:rsidR="00D85665" w:rsidRPr="00854FC2" w:rsidRDefault="00D85665" w:rsidP="00083BCA">
      <w:pPr>
        <w:pStyle w:val="BodyText"/>
        <w:ind w:firstLine="720"/>
      </w:pPr>
      <w:r w:rsidRPr="00854FC2">
        <w:t xml:space="preserve">Owners and operators of regulated facilities must prepare SPCC Plans in accordance with good engineering practices and have them </w:t>
      </w:r>
      <w:r w:rsidR="00D06C84">
        <w:t>certified</w:t>
      </w:r>
      <w:r w:rsidR="00D06C84" w:rsidRPr="00854FC2">
        <w:t xml:space="preserve"> </w:t>
      </w:r>
      <w:r w:rsidRPr="00854FC2">
        <w:t xml:space="preserve">by a </w:t>
      </w:r>
      <w:r w:rsidR="005A3D01">
        <w:t>P</w:t>
      </w:r>
      <w:r w:rsidR="00707DAE">
        <w:t xml:space="preserve">rofessional </w:t>
      </w:r>
      <w:r w:rsidR="005A3D01">
        <w:t>E</w:t>
      </w:r>
      <w:r w:rsidR="00707DAE">
        <w:t xml:space="preserve">ngineer (PE) </w:t>
      </w:r>
      <w:r w:rsidR="00745593">
        <w:t xml:space="preserve">or </w:t>
      </w:r>
      <w:r w:rsidR="00CC39E9" w:rsidRPr="00854FC2">
        <w:t>self-certified in the case of qualified facilities</w:t>
      </w:r>
      <w:r w:rsidR="00745593">
        <w:t xml:space="preserve"> </w:t>
      </w:r>
      <w:r w:rsidR="00707DAE">
        <w:t>and</w:t>
      </w:r>
      <w:r w:rsidR="00745593">
        <w:t xml:space="preserve"> approved by</w:t>
      </w:r>
      <w:r w:rsidR="00707DAE">
        <w:t xml:space="preserve"> a </w:t>
      </w:r>
      <w:r w:rsidRPr="00854FC2">
        <w:t xml:space="preserve">person with the authority to commit the resources necessary to implement the SPCC Plan. SPCC Plans address the following three areas: (1) operating procedures that prevent oil spills; (2) control measures installed to prevent a spill from reaching navigable waters or adjoining shorelines; and (3) countermeasures to contain, clean up, and mitigate the effects of an oil discharge that could reach navigable waters. Each SPCC Plan, while unique to the facility it covers, must include certain standard elements to ensure compliance with the regulations. </w:t>
      </w:r>
    </w:p>
    <w:p w:rsidR="00D85665" w:rsidRPr="00854FC2" w:rsidRDefault="00D85665">
      <w:pPr>
        <w:rPr>
          <w:rFonts w:cs="Arial"/>
          <w:szCs w:val="22"/>
        </w:rPr>
      </w:pPr>
    </w:p>
    <w:p w:rsidR="008541C4" w:rsidRDefault="00D85665" w:rsidP="00E13479">
      <w:pPr>
        <w:ind w:firstLine="720"/>
        <w:rPr>
          <w:rFonts w:cs="Arial"/>
          <w:szCs w:val="22"/>
        </w:rPr>
      </w:pPr>
      <w:r w:rsidRPr="0044290A">
        <w:rPr>
          <w:rFonts w:cs="Arial"/>
          <w:szCs w:val="22"/>
        </w:rPr>
        <w:t xml:space="preserve">This ICR </w:t>
      </w:r>
      <w:r w:rsidR="00707DAE" w:rsidRPr="0044290A">
        <w:rPr>
          <w:rFonts w:cs="Arial"/>
          <w:szCs w:val="22"/>
        </w:rPr>
        <w:t xml:space="preserve">covers </w:t>
      </w:r>
      <w:r w:rsidR="00D12091" w:rsidRPr="0044290A">
        <w:rPr>
          <w:rFonts w:cs="Arial"/>
          <w:szCs w:val="22"/>
        </w:rPr>
        <w:t xml:space="preserve">all provisions of </w:t>
      </w:r>
      <w:r w:rsidR="00C53060" w:rsidRPr="0044290A">
        <w:rPr>
          <w:rFonts w:cs="Arial"/>
          <w:szCs w:val="22"/>
        </w:rPr>
        <w:t xml:space="preserve">40 CFR </w:t>
      </w:r>
      <w:r w:rsidR="00D12091" w:rsidRPr="0044290A">
        <w:rPr>
          <w:rFonts w:cs="Arial"/>
          <w:szCs w:val="22"/>
        </w:rPr>
        <w:t>part 112 relating to SPCC Plans</w:t>
      </w:r>
      <w:r w:rsidR="00DE4C91" w:rsidRPr="0044290A">
        <w:rPr>
          <w:rFonts w:cs="Arial"/>
          <w:szCs w:val="22"/>
        </w:rPr>
        <w:t xml:space="preserve">, including the </w:t>
      </w:r>
      <w:r w:rsidR="0044290A" w:rsidRPr="0044290A">
        <w:rPr>
          <w:rFonts w:cs="Arial"/>
          <w:szCs w:val="22"/>
        </w:rPr>
        <w:t xml:space="preserve">final rule published on April 18, 2011 (76 FR 21652) to exempt </w:t>
      </w:r>
      <w:r w:rsidR="00DE4C91" w:rsidRPr="0044290A">
        <w:rPr>
          <w:rFonts w:cs="Arial"/>
          <w:szCs w:val="22"/>
        </w:rPr>
        <w:t>milk and milk products container</w:t>
      </w:r>
      <w:r w:rsidR="0044290A" w:rsidRPr="0044290A">
        <w:rPr>
          <w:rFonts w:cs="Arial"/>
          <w:szCs w:val="22"/>
        </w:rPr>
        <w:t>s</w:t>
      </w:r>
      <w:r w:rsidR="006F63CE">
        <w:rPr>
          <w:rFonts w:cs="Arial"/>
          <w:szCs w:val="22"/>
        </w:rPr>
        <w:t>, associated piping</w:t>
      </w:r>
      <w:r w:rsidR="00413CC1">
        <w:rPr>
          <w:rFonts w:cs="Arial"/>
          <w:szCs w:val="22"/>
        </w:rPr>
        <w:t xml:space="preserve"> and appurtenances</w:t>
      </w:r>
      <w:r w:rsidRPr="0044290A">
        <w:rPr>
          <w:rFonts w:cs="Arial"/>
          <w:szCs w:val="22"/>
        </w:rPr>
        <w:t>.</w:t>
      </w:r>
      <w:r w:rsidR="0044290A">
        <w:rPr>
          <w:rFonts w:cs="Arial"/>
          <w:szCs w:val="22"/>
        </w:rPr>
        <w:t xml:space="preserve"> EPA </w:t>
      </w:r>
      <w:r w:rsidR="00E13479">
        <w:rPr>
          <w:rFonts w:cs="Arial"/>
          <w:szCs w:val="22"/>
        </w:rPr>
        <w:t>expects that some facilities would no longer be subject to the SPCC requirements as a result of the m</w:t>
      </w:r>
      <w:r w:rsidR="00732A1F">
        <w:rPr>
          <w:rFonts w:cs="Arial"/>
          <w:szCs w:val="22"/>
        </w:rPr>
        <w:t xml:space="preserve">ilk and milk product containers </w:t>
      </w:r>
      <w:r w:rsidR="00867166">
        <w:rPr>
          <w:rFonts w:cs="Arial"/>
          <w:szCs w:val="22"/>
        </w:rPr>
        <w:t>exemption</w:t>
      </w:r>
      <w:r w:rsidR="00FE46C8">
        <w:rPr>
          <w:rFonts w:cs="Arial"/>
          <w:szCs w:val="22"/>
        </w:rPr>
        <w:t>,</w:t>
      </w:r>
      <w:r w:rsidR="00867166">
        <w:rPr>
          <w:rFonts w:cs="Arial"/>
          <w:szCs w:val="22"/>
        </w:rPr>
        <w:t xml:space="preserve"> </w:t>
      </w:r>
      <w:r w:rsidR="00E13479">
        <w:rPr>
          <w:rFonts w:cs="Arial"/>
          <w:szCs w:val="22"/>
        </w:rPr>
        <w:t>because</w:t>
      </w:r>
      <w:r w:rsidR="00765223">
        <w:rPr>
          <w:rFonts w:cs="Arial"/>
          <w:szCs w:val="22"/>
        </w:rPr>
        <w:t xml:space="preserve"> their total aggregate </w:t>
      </w:r>
      <w:r w:rsidR="0044290A">
        <w:rPr>
          <w:rFonts w:cs="Arial"/>
          <w:szCs w:val="22"/>
        </w:rPr>
        <w:t xml:space="preserve">aboveground </w:t>
      </w:r>
      <w:r w:rsidR="00765223">
        <w:rPr>
          <w:rFonts w:cs="Arial"/>
          <w:szCs w:val="22"/>
        </w:rPr>
        <w:t xml:space="preserve">oil storage capacity </w:t>
      </w:r>
      <w:r w:rsidR="00E13479">
        <w:rPr>
          <w:rFonts w:cs="Arial"/>
          <w:szCs w:val="22"/>
        </w:rPr>
        <w:t>would be</w:t>
      </w:r>
      <w:r w:rsidR="00765223">
        <w:rPr>
          <w:rFonts w:cs="Arial"/>
          <w:szCs w:val="22"/>
        </w:rPr>
        <w:t xml:space="preserve"> 1,320 gallons</w:t>
      </w:r>
      <w:r w:rsidR="0044290A">
        <w:rPr>
          <w:rFonts w:cs="Arial"/>
          <w:szCs w:val="22"/>
        </w:rPr>
        <w:t xml:space="preserve"> or less</w:t>
      </w:r>
      <w:r w:rsidR="00765223">
        <w:rPr>
          <w:rFonts w:cs="Arial"/>
          <w:szCs w:val="22"/>
        </w:rPr>
        <w:t>.</w:t>
      </w:r>
      <w:r w:rsidR="008541C4">
        <w:rPr>
          <w:rFonts w:cs="Arial"/>
          <w:szCs w:val="22"/>
        </w:rPr>
        <w:t xml:space="preserve"> </w:t>
      </w:r>
      <w:r w:rsidR="00867166">
        <w:rPr>
          <w:rFonts w:cs="Arial"/>
          <w:szCs w:val="22"/>
        </w:rPr>
        <w:t>O</w:t>
      </w:r>
      <w:r w:rsidR="008541C4">
        <w:rPr>
          <w:rFonts w:cs="Arial"/>
          <w:szCs w:val="22"/>
        </w:rPr>
        <w:t>ther facilities may b</w:t>
      </w:r>
      <w:r w:rsidR="00867166">
        <w:rPr>
          <w:rFonts w:cs="Arial"/>
          <w:szCs w:val="22"/>
        </w:rPr>
        <w:t>ecom</w:t>
      </w:r>
      <w:r w:rsidR="008541C4">
        <w:rPr>
          <w:rFonts w:cs="Arial"/>
          <w:szCs w:val="22"/>
        </w:rPr>
        <w:t xml:space="preserve">e </w:t>
      </w:r>
      <w:r w:rsidR="00867166">
        <w:rPr>
          <w:rFonts w:cs="Arial"/>
          <w:szCs w:val="22"/>
        </w:rPr>
        <w:t>qualified facilities</w:t>
      </w:r>
      <w:r w:rsidR="00867166" w:rsidRPr="00867166">
        <w:rPr>
          <w:rFonts w:cs="Arial"/>
          <w:szCs w:val="22"/>
        </w:rPr>
        <w:t xml:space="preserve"> </w:t>
      </w:r>
      <w:r w:rsidR="00867166">
        <w:rPr>
          <w:rFonts w:cs="Arial"/>
          <w:szCs w:val="22"/>
        </w:rPr>
        <w:t xml:space="preserve">(allowing the owner or operator </w:t>
      </w:r>
      <w:r w:rsidR="008541C4">
        <w:rPr>
          <w:rFonts w:cs="Arial"/>
          <w:szCs w:val="22"/>
        </w:rPr>
        <w:t xml:space="preserve">to self-certify </w:t>
      </w:r>
      <w:r w:rsidR="00867166">
        <w:rPr>
          <w:rFonts w:cs="Arial"/>
          <w:szCs w:val="22"/>
        </w:rPr>
        <w:t xml:space="preserve">the facility SPCC Plan) as a result of the milk and milk product container exemption. </w:t>
      </w:r>
      <w:r w:rsidR="0044290A">
        <w:rPr>
          <w:rFonts w:cs="Arial"/>
          <w:szCs w:val="22"/>
        </w:rPr>
        <w:t>EPA estimated t</w:t>
      </w:r>
      <w:r w:rsidR="00765223">
        <w:rPr>
          <w:rFonts w:cs="Arial"/>
          <w:szCs w:val="22"/>
        </w:rPr>
        <w:t xml:space="preserve">here were </w:t>
      </w:r>
      <w:r w:rsidR="0044290A">
        <w:rPr>
          <w:rFonts w:cs="Arial"/>
          <w:szCs w:val="22"/>
        </w:rPr>
        <w:t>approximately</w:t>
      </w:r>
      <w:r w:rsidR="00765223">
        <w:rPr>
          <w:rFonts w:cs="Arial"/>
          <w:szCs w:val="22"/>
        </w:rPr>
        <w:t xml:space="preserve"> 66,000 farms and milk product manufacturing facilities with </w:t>
      </w:r>
      <w:r w:rsidR="00A662EA">
        <w:rPr>
          <w:rFonts w:cs="Arial"/>
          <w:szCs w:val="22"/>
        </w:rPr>
        <w:t>milk</w:t>
      </w:r>
      <w:r w:rsidR="00765223">
        <w:rPr>
          <w:rFonts w:cs="Arial"/>
          <w:szCs w:val="22"/>
        </w:rPr>
        <w:t xml:space="preserve"> containers</w:t>
      </w:r>
      <w:r w:rsidR="008541C4">
        <w:rPr>
          <w:rFonts w:cs="Arial"/>
          <w:szCs w:val="22"/>
        </w:rPr>
        <w:t xml:space="preserve"> in 2009</w:t>
      </w:r>
      <w:r w:rsidR="00765223">
        <w:rPr>
          <w:rFonts w:cs="Arial"/>
          <w:szCs w:val="22"/>
        </w:rPr>
        <w:t xml:space="preserve">. </w:t>
      </w:r>
      <w:r w:rsidR="00992372">
        <w:t>In aggregate,</w:t>
      </w:r>
      <w:r w:rsidR="00992372" w:rsidRPr="00992372">
        <w:t xml:space="preserve"> </w:t>
      </w:r>
      <w:r w:rsidR="00992372">
        <w:t>EPA estimated a total annualized savings of $146</w:t>
      </w:r>
      <w:r w:rsidR="00992372" w:rsidRPr="00C44EC5">
        <w:t xml:space="preserve"> million</w:t>
      </w:r>
      <w:r w:rsidR="00380589">
        <w:t xml:space="preserve"> for the final rule</w:t>
      </w:r>
      <w:r w:rsidR="00992372">
        <w:t>. The estimated cost savings reflect a decrease in the number of dairy farms from about 75,000 farms to 65,000 farms between 2006 and 2009, as well as additional milk product manufacturing facilities with containers eligible for the exemption.</w:t>
      </w:r>
    </w:p>
    <w:p w:rsidR="0044290A" w:rsidRDefault="0044290A" w:rsidP="00E13479">
      <w:pPr>
        <w:ind w:firstLine="720"/>
        <w:rPr>
          <w:rFonts w:cs="Arial"/>
          <w:szCs w:val="22"/>
        </w:rPr>
      </w:pPr>
    </w:p>
    <w:p w:rsidR="00D85665" w:rsidRPr="00854FC2" w:rsidRDefault="0044290A" w:rsidP="00083BCA">
      <w:pPr>
        <w:ind w:firstLine="720"/>
        <w:rPr>
          <w:rFonts w:cs="Arial"/>
          <w:szCs w:val="22"/>
        </w:rPr>
      </w:pPr>
      <w:r>
        <w:rPr>
          <w:rFonts w:cs="Arial"/>
          <w:szCs w:val="22"/>
        </w:rPr>
        <w:t>This supporting statement estimates paperwork-related burden for the ICR period, which covers three years</w:t>
      </w:r>
      <w:r w:rsidR="0000143E">
        <w:rPr>
          <w:rFonts w:cs="Arial"/>
          <w:szCs w:val="22"/>
        </w:rPr>
        <w:t>.</w:t>
      </w:r>
      <w:r>
        <w:rPr>
          <w:rFonts w:cs="Arial"/>
          <w:szCs w:val="22"/>
        </w:rPr>
        <w:t xml:space="preserve"> T</w:t>
      </w:r>
      <w:r w:rsidRPr="00854FC2">
        <w:rPr>
          <w:rFonts w:cs="Arial"/>
          <w:szCs w:val="22"/>
        </w:rPr>
        <w:t>he U.S. Environmental Protection Agency (EPA)</w:t>
      </w:r>
      <w:r>
        <w:rPr>
          <w:rFonts w:cs="Arial"/>
          <w:szCs w:val="22"/>
        </w:rPr>
        <w:t xml:space="preserve"> estimate</w:t>
      </w:r>
      <w:r w:rsidR="00A2792B">
        <w:rPr>
          <w:rFonts w:cs="Arial"/>
          <w:szCs w:val="22"/>
        </w:rPr>
        <w:t>s</w:t>
      </w:r>
      <w:r w:rsidR="00867166">
        <w:rPr>
          <w:rFonts w:cs="Arial"/>
          <w:szCs w:val="22"/>
        </w:rPr>
        <w:t xml:space="preserve"> </w:t>
      </w:r>
      <w:r w:rsidR="00413CC1">
        <w:rPr>
          <w:rFonts w:cs="Arial"/>
          <w:szCs w:val="22"/>
        </w:rPr>
        <w:t xml:space="preserve">that </w:t>
      </w:r>
      <w:r>
        <w:rPr>
          <w:rFonts w:cs="Arial"/>
          <w:szCs w:val="22"/>
        </w:rPr>
        <w:t xml:space="preserve">approximately </w:t>
      </w:r>
      <w:r w:rsidR="005D7EBA">
        <w:rPr>
          <w:rFonts w:cs="Arial"/>
          <w:szCs w:val="22"/>
        </w:rPr>
        <w:t>6</w:t>
      </w:r>
      <w:r w:rsidR="005D7EBA">
        <w:rPr>
          <w:rFonts w:cs="Arial"/>
          <w:szCs w:val="22"/>
        </w:rPr>
        <w:t>70</w:t>
      </w:r>
      <w:r w:rsidR="00A2792B">
        <w:rPr>
          <w:rFonts w:cs="Arial"/>
          <w:szCs w:val="22"/>
        </w:rPr>
        <w:t xml:space="preserve">,000 </w:t>
      </w:r>
      <w:r w:rsidRPr="00854FC2">
        <w:rPr>
          <w:rFonts w:cs="Arial"/>
          <w:szCs w:val="22"/>
        </w:rPr>
        <w:t>facilities</w:t>
      </w:r>
      <w:r w:rsidR="003F2C12">
        <w:rPr>
          <w:rFonts w:cs="Arial"/>
          <w:szCs w:val="22"/>
        </w:rPr>
        <w:t xml:space="preserve"> will be </w:t>
      </w:r>
      <w:r>
        <w:rPr>
          <w:rFonts w:cs="Arial"/>
          <w:szCs w:val="22"/>
        </w:rPr>
        <w:t xml:space="preserve">covered by the SPCC regulations </w:t>
      </w:r>
      <w:r w:rsidR="00413CC1">
        <w:rPr>
          <w:rFonts w:cs="Arial"/>
          <w:szCs w:val="22"/>
        </w:rPr>
        <w:t xml:space="preserve">in 2014 </w:t>
      </w:r>
      <w:r>
        <w:rPr>
          <w:rFonts w:cs="Arial"/>
          <w:szCs w:val="22"/>
        </w:rPr>
        <w:t xml:space="preserve">and may </w:t>
      </w:r>
      <w:r w:rsidRPr="00854FC2">
        <w:rPr>
          <w:rFonts w:cs="Arial"/>
          <w:szCs w:val="22"/>
        </w:rPr>
        <w:t>incur paperwork-related burden in the first year of this ICR</w:t>
      </w:r>
      <w:r>
        <w:rPr>
          <w:rFonts w:cs="Arial"/>
          <w:szCs w:val="22"/>
        </w:rPr>
        <w:t xml:space="preserve"> in response to existing and amended </w:t>
      </w:r>
      <w:r w:rsidRPr="005A3F17">
        <w:rPr>
          <w:rFonts w:cs="Arial"/>
          <w:szCs w:val="22"/>
        </w:rPr>
        <w:lastRenderedPageBreak/>
        <w:t>requirements.</w:t>
      </w:r>
      <w:r w:rsidRPr="005A3F17">
        <w:rPr>
          <w:rStyle w:val="FootnoteReference"/>
          <w:rFonts w:cs="Arial"/>
          <w:szCs w:val="22"/>
        </w:rPr>
        <w:footnoteReference w:id="1"/>
      </w:r>
      <w:r w:rsidR="00E13479">
        <w:rPr>
          <w:rFonts w:cs="Arial"/>
          <w:szCs w:val="22"/>
        </w:rPr>
        <w:t xml:space="preserve"> </w:t>
      </w:r>
      <w:r w:rsidR="00D85665" w:rsidRPr="005A3F17">
        <w:rPr>
          <w:rFonts w:cs="Arial"/>
          <w:szCs w:val="22"/>
        </w:rPr>
        <w:t xml:space="preserve">EPA estimates a total reporting and recordkeeping burden for </w:t>
      </w:r>
      <w:r w:rsidR="00A662EA">
        <w:rPr>
          <w:rFonts w:cs="Arial"/>
          <w:szCs w:val="22"/>
        </w:rPr>
        <w:t xml:space="preserve">all </w:t>
      </w:r>
      <w:r w:rsidR="00707DAE" w:rsidRPr="005A3F17">
        <w:rPr>
          <w:rFonts w:cs="Arial"/>
          <w:szCs w:val="22"/>
        </w:rPr>
        <w:t xml:space="preserve">regulated </w:t>
      </w:r>
      <w:r w:rsidR="00D85665" w:rsidRPr="005A3F17">
        <w:rPr>
          <w:rFonts w:cs="Arial"/>
          <w:szCs w:val="22"/>
        </w:rPr>
        <w:t xml:space="preserve">facilities at approximately </w:t>
      </w:r>
      <w:r w:rsidR="00A2792B">
        <w:rPr>
          <w:rFonts w:cs="Arial"/>
          <w:szCs w:val="22"/>
        </w:rPr>
        <w:t>8.</w:t>
      </w:r>
      <w:r w:rsidR="005D7EBA">
        <w:rPr>
          <w:rFonts w:cs="Arial"/>
          <w:szCs w:val="22"/>
        </w:rPr>
        <w:t xml:space="preserve">8 </w:t>
      </w:r>
      <w:r w:rsidR="00A2792B">
        <w:rPr>
          <w:rFonts w:cs="Arial"/>
          <w:szCs w:val="22"/>
        </w:rPr>
        <w:t xml:space="preserve">million hours </w:t>
      </w:r>
      <w:r w:rsidR="00D85665" w:rsidRPr="005A3F17">
        <w:rPr>
          <w:rFonts w:cs="Arial"/>
          <w:szCs w:val="22"/>
        </w:rPr>
        <w:t>in each year of this ICR</w:t>
      </w:r>
      <w:r w:rsidR="00C53060">
        <w:rPr>
          <w:rFonts w:cs="Arial"/>
          <w:szCs w:val="22"/>
        </w:rPr>
        <w:t>.</w:t>
      </w:r>
      <w:r w:rsidR="00D85665" w:rsidRPr="005A3F17">
        <w:rPr>
          <w:rFonts w:cs="Arial"/>
          <w:szCs w:val="22"/>
        </w:rPr>
        <w:t xml:space="preserve"> The Agency estimates that </w:t>
      </w:r>
      <w:r w:rsidR="00C53060">
        <w:rPr>
          <w:rFonts w:cs="Arial"/>
          <w:szCs w:val="22"/>
        </w:rPr>
        <w:t xml:space="preserve">there will be no increase or decrease in paperwork burden over the three year covered period, because we expect that there will be no amendments to the existing SPCC regulations. </w:t>
      </w:r>
    </w:p>
    <w:p w:rsidR="00D85665" w:rsidRPr="00854FC2" w:rsidRDefault="00D85665">
      <w:pPr>
        <w:rPr>
          <w:rFonts w:cs="Arial"/>
          <w:szCs w:val="22"/>
        </w:rPr>
      </w:pPr>
    </w:p>
    <w:p w:rsidR="00D85665" w:rsidRPr="00854FC2" w:rsidRDefault="00D85665">
      <w:pPr>
        <w:keepNext/>
        <w:keepLines/>
        <w:rPr>
          <w:rFonts w:cs="Arial"/>
          <w:b/>
          <w:bCs/>
          <w:szCs w:val="22"/>
        </w:rPr>
      </w:pPr>
      <w:r w:rsidRPr="00854FC2">
        <w:rPr>
          <w:rFonts w:cs="Arial"/>
          <w:b/>
          <w:bCs/>
          <w:szCs w:val="22"/>
        </w:rPr>
        <w:t>2.</w:t>
      </w:r>
      <w:r w:rsidRPr="00854FC2">
        <w:rPr>
          <w:rFonts w:cs="Arial"/>
          <w:b/>
          <w:bCs/>
          <w:szCs w:val="22"/>
        </w:rPr>
        <w:tab/>
        <w:t>NEED FOR AND USE OF THE COLLECTION</w:t>
      </w:r>
    </w:p>
    <w:p w:rsidR="00D85665" w:rsidRPr="00854FC2" w:rsidRDefault="00D85665">
      <w:pPr>
        <w:keepNext/>
        <w:keepLines/>
        <w:rPr>
          <w:rFonts w:cs="Arial"/>
          <w:szCs w:val="22"/>
        </w:rPr>
      </w:pPr>
    </w:p>
    <w:p w:rsidR="00D85665" w:rsidRPr="00854FC2" w:rsidRDefault="00D85665">
      <w:pPr>
        <w:keepNext/>
        <w:keepLines/>
        <w:rPr>
          <w:rFonts w:cs="Arial"/>
          <w:szCs w:val="22"/>
        </w:rPr>
      </w:pPr>
      <w:r w:rsidRPr="00854FC2">
        <w:rPr>
          <w:rFonts w:cs="Arial"/>
          <w:b/>
          <w:bCs/>
          <w:szCs w:val="22"/>
        </w:rPr>
        <w:tab/>
        <w:t xml:space="preserve">2(a) </w:t>
      </w:r>
      <w:r w:rsidRPr="00854FC2">
        <w:rPr>
          <w:rFonts w:cs="Arial"/>
          <w:b/>
          <w:bCs/>
          <w:szCs w:val="22"/>
        </w:rPr>
        <w:tab/>
        <w:t>Need/Authority for the Collection</w:t>
      </w:r>
    </w:p>
    <w:p w:rsidR="00D85665" w:rsidRPr="00854FC2" w:rsidRDefault="00D85665">
      <w:pPr>
        <w:keepNext/>
        <w:keepLines/>
        <w:rPr>
          <w:rFonts w:cs="Arial"/>
          <w:szCs w:val="22"/>
        </w:rPr>
      </w:pPr>
    </w:p>
    <w:p w:rsidR="00D85665" w:rsidRPr="00854FC2" w:rsidRDefault="002348E6" w:rsidP="00083BCA">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Section 311(j)(1)(C) of the Federal Water Pollution Control Act, or Clean Water Act (CWA), authorizes the President to issue regulations establishing procedures, methods, equipment, and other requirements to prevent discharges of oil from vessels and facilities and to contain such discharges.</w:t>
      </w:r>
      <w:r w:rsidR="00D85665" w:rsidRPr="00854FC2">
        <w:rPr>
          <w:rStyle w:val="FootnoteReference"/>
        </w:rPr>
        <w:footnoteReference w:id="2"/>
      </w:r>
      <w:r w:rsidR="00D85665" w:rsidRPr="00854FC2">
        <w:rPr>
          <w:rFonts w:cs="Arial"/>
          <w:szCs w:val="22"/>
        </w:rPr>
        <w:t xml:space="preserve"> The President delegated the authority to regulate non-transportation-related onshore facilities under §311(j)(1)(C) of the Act to EPA under Executive Order (E.O.) 12777, §2(b)(1).</w:t>
      </w:r>
      <w:r w:rsidR="00D85665" w:rsidRPr="00854FC2">
        <w:rPr>
          <w:rStyle w:val="FootnoteReference"/>
        </w:rPr>
        <w:footnoteReference w:id="3"/>
      </w:r>
      <w:r w:rsidR="00D85665" w:rsidRPr="00854FC2">
        <w:rPr>
          <w:rFonts w:cs="Arial"/>
          <w:szCs w:val="22"/>
        </w:rPr>
        <w:t xml:space="preserve">  By this same Executive Order, the President delegated authority over transportation-related onshore facilities, deepwater ports, and vessels to the U.S. Department of Transportation (DOT) and authority over other offshore facilities, including associated pipelines, to the U.S. Department of the Interior (DOI).  A Memorandum of Understanding (MOU), dated February 3, 1994, among EPA, DOT, and DOI, reallocated the responsibility for non-transportation-related offshore facilities that are landward of the coastline to EPA.  An earlier MOU between the Secretary of Transportation and the EPA Administrator, dated November 24, 1971 (36 FR 24080), established the definitions of non-transportation-related facilities and transportation-related facilities.</w:t>
      </w:r>
    </w:p>
    <w:p w:rsidR="00D85665" w:rsidRPr="00854FC2" w:rsidRDefault="00D85665">
      <w:pPr>
        <w:rPr>
          <w:rFonts w:cs="Arial"/>
          <w:szCs w:val="22"/>
        </w:rPr>
      </w:pPr>
      <w:r w:rsidRPr="00854FC2">
        <w:rPr>
          <w:rFonts w:cs="Arial"/>
          <w:szCs w:val="22"/>
        </w:rPr>
        <w:tab/>
      </w:r>
    </w:p>
    <w:p w:rsidR="00D85665" w:rsidRPr="00854FC2" w:rsidRDefault="00D85665" w:rsidP="00083BCA">
      <w:pPr>
        <w:ind w:firstLine="720"/>
        <w:rPr>
          <w:rFonts w:cs="Arial"/>
          <w:szCs w:val="22"/>
        </w:rPr>
      </w:pPr>
      <w:r w:rsidRPr="00854FC2">
        <w:rPr>
          <w:rFonts w:cs="Arial"/>
          <w:szCs w:val="22"/>
        </w:rPr>
        <w:t xml:space="preserve">The Oil Pollution Prevention regulation, 40 CFR </w:t>
      </w:r>
      <w:r w:rsidR="006F7070">
        <w:rPr>
          <w:rFonts w:cs="Arial"/>
          <w:szCs w:val="22"/>
        </w:rPr>
        <w:t>P</w:t>
      </w:r>
      <w:r w:rsidRPr="00854FC2">
        <w:rPr>
          <w:rFonts w:cs="Arial"/>
          <w:szCs w:val="22"/>
        </w:rPr>
        <w:t>art 112, outlines requirements for preventing</w:t>
      </w:r>
      <w:r w:rsidR="00EE0C74">
        <w:rPr>
          <w:rFonts w:cs="Arial"/>
          <w:szCs w:val="22"/>
        </w:rPr>
        <w:t>,</w:t>
      </w:r>
      <w:r w:rsidRPr="00854FC2">
        <w:rPr>
          <w:rFonts w:cs="Arial"/>
          <w:szCs w:val="22"/>
        </w:rPr>
        <w:t xml:space="preserve"> preparing</w:t>
      </w:r>
      <w:r w:rsidR="00EE0C74">
        <w:rPr>
          <w:rFonts w:cs="Arial"/>
          <w:szCs w:val="22"/>
        </w:rPr>
        <w:t xml:space="preserve">, and </w:t>
      </w:r>
      <w:r w:rsidR="00707DAE">
        <w:rPr>
          <w:rFonts w:cs="Arial"/>
          <w:szCs w:val="22"/>
        </w:rPr>
        <w:t>respond</w:t>
      </w:r>
      <w:r w:rsidR="00EE0C74">
        <w:rPr>
          <w:rFonts w:cs="Arial"/>
          <w:szCs w:val="22"/>
        </w:rPr>
        <w:t>ing</w:t>
      </w:r>
      <w:r w:rsidR="00707DAE">
        <w:rPr>
          <w:rFonts w:cs="Arial"/>
          <w:szCs w:val="22"/>
        </w:rPr>
        <w:t xml:space="preserve"> to </w:t>
      </w:r>
      <w:r w:rsidRPr="00854FC2">
        <w:rPr>
          <w:rFonts w:cs="Arial"/>
          <w:szCs w:val="22"/>
        </w:rPr>
        <w:t>oil spills.</w:t>
      </w:r>
      <w:r w:rsidR="00541A1C">
        <w:rPr>
          <w:rFonts w:cs="Arial"/>
          <w:szCs w:val="22"/>
        </w:rPr>
        <w:t xml:space="preserve"> </w:t>
      </w:r>
      <w:r w:rsidRPr="00854FC2">
        <w:rPr>
          <w:rFonts w:cs="Arial"/>
          <w:szCs w:val="22"/>
        </w:rPr>
        <w:t>The prevention part of this regulation at §112.1 through §112.</w:t>
      </w:r>
      <w:r w:rsidR="00E13479" w:rsidRPr="00854FC2">
        <w:rPr>
          <w:rFonts w:cs="Arial"/>
          <w:szCs w:val="22"/>
        </w:rPr>
        <w:t>1</w:t>
      </w:r>
      <w:r w:rsidR="00E13479">
        <w:rPr>
          <w:rFonts w:cs="Arial"/>
          <w:szCs w:val="22"/>
        </w:rPr>
        <w:t>2</w:t>
      </w:r>
      <w:r w:rsidR="00E13479" w:rsidRPr="00854FC2">
        <w:rPr>
          <w:rFonts w:cs="Arial"/>
          <w:szCs w:val="22"/>
        </w:rPr>
        <w:t xml:space="preserve"> </w:t>
      </w:r>
      <w:r w:rsidRPr="00854FC2">
        <w:rPr>
          <w:rFonts w:cs="Arial"/>
          <w:szCs w:val="22"/>
        </w:rPr>
        <w:t>is also known as the SPCC rule. It was originally promulgated on December 11, 1973, at 38 FR 34164, under the authority of §311(j)(1)(C) of the CWA. The regulation established spill prevention procedures, methods, and equipment requirements for non-transportation-related onshore and offshore facilities with aboveground oil storage capacity or completely buried underground oil storage capacity greater than certain thresholds and meeting other criteria (see §112.1). Regulated facilities are limited to those that, because of their location, could reasonably be expected to discharge oil in quantities that may be harmful into the navigable waters of the United States or adjoining shorelines.</w:t>
      </w:r>
    </w:p>
    <w:p w:rsidR="00D85665" w:rsidRPr="00854FC2" w:rsidRDefault="00D85665">
      <w:pPr>
        <w:rPr>
          <w:rFonts w:cs="Arial"/>
          <w:szCs w:val="22"/>
        </w:rPr>
      </w:pPr>
    </w:p>
    <w:p w:rsidR="008071C3" w:rsidRPr="002848D6" w:rsidRDefault="00D85665" w:rsidP="00083BCA">
      <w:pPr>
        <w:ind w:firstLine="720"/>
        <w:rPr>
          <w:rFonts w:cs="Arial"/>
          <w:szCs w:val="22"/>
        </w:rPr>
      </w:pPr>
      <w:r w:rsidRPr="00854FC2">
        <w:rPr>
          <w:rFonts w:cs="Arial"/>
          <w:szCs w:val="22"/>
        </w:rPr>
        <w:t xml:space="preserve">On July 17, 2002, at 67 FR 47042, EPA published amendments to the SPCC rule.  These amendments included new subparts outlining the requirements for different classes of oil, revised the applicability of the regulation, amended the requirements for completing SPCC Plans, and made other modifications. The </w:t>
      </w:r>
      <w:r w:rsidR="00CE7E24">
        <w:rPr>
          <w:rFonts w:cs="Arial"/>
          <w:szCs w:val="22"/>
        </w:rPr>
        <w:t xml:space="preserve">amendments </w:t>
      </w:r>
      <w:r w:rsidRPr="00854FC2">
        <w:rPr>
          <w:rFonts w:cs="Arial"/>
          <w:szCs w:val="22"/>
        </w:rPr>
        <w:t xml:space="preserve">also contained a number of provisions designed to decrease the regulatory burden on facility owners and operators subject to the rule while preserving environmental protection. The rule was effective August 16, 2002, with compliance dates outlined in §112.3(a) and (b).  However, the original compliance dates were </w:t>
      </w:r>
      <w:r w:rsidRPr="00854FC2">
        <w:rPr>
          <w:rFonts w:cs="Arial"/>
          <w:szCs w:val="22"/>
        </w:rPr>
        <w:lastRenderedPageBreak/>
        <w:t>amended on January 9, 2003, for 60 days (68 FR 1348) and then extended for an additional 18 months on April 7, 2003 (68 FR 18890). On August 11, 2004, EPA extended the compliance dates in §112.3(a) and (b) by an additional 18 months and amended the compliance da</w:t>
      </w:r>
      <w:r w:rsidR="003049ED">
        <w:rPr>
          <w:rFonts w:cs="Arial"/>
          <w:szCs w:val="22"/>
        </w:rPr>
        <w:t>tes</w:t>
      </w:r>
      <w:r w:rsidRPr="00854FC2">
        <w:rPr>
          <w:rFonts w:cs="Arial"/>
          <w:szCs w:val="22"/>
        </w:rPr>
        <w:t xml:space="preserve"> in §112.3(c) (69 FR 48794). On February 17, 2006, EPA published an additional extension of the compliance dates in §112.3(a), (b), and (c) until October 31, 2007 for owners and operators to prepare, amend, and implement SPCC Plans (71 FR 8462).</w:t>
      </w:r>
      <w:r w:rsidR="008071C3">
        <w:rPr>
          <w:rFonts w:cs="Arial"/>
          <w:szCs w:val="22"/>
        </w:rPr>
        <w:t xml:space="preserve"> </w:t>
      </w:r>
      <w:r w:rsidR="008071C3" w:rsidRPr="002848D6">
        <w:rPr>
          <w:rFonts w:cs="Arial"/>
          <w:szCs w:val="22"/>
        </w:rPr>
        <w:t>On May 16, 2007, EPA extended the compliance dates to July 1, 2009</w:t>
      </w:r>
      <w:r w:rsidR="008071C3">
        <w:rPr>
          <w:rFonts w:cs="Arial"/>
          <w:szCs w:val="22"/>
        </w:rPr>
        <w:t xml:space="preserve"> </w:t>
      </w:r>
      <w:r w:rsidR="008071C3" w:rsidRPr="00854FC2">
        <w:rPr>
          <w:rFonts w:cs="Arial"/>
          <w:szCs w:val="22"/>
        </w:rPr>
        <w:t>(7</w:t>
      </w:r>
      <w:r w:rsidR="008071C3">
        <w:rPr>
          <w:rFonts w:cs="Arial"/>
          <w:szCs w:val="22"/>
        </w:rPr>
        <w:t>2</w:t>
      </w:r>
      <w:r w:rsidR="008071C3" w:rsidRPr="00854FC2">
        <w:rPr>
          <w:rFonts w:cs="Arial"/>
          <w:szCs w:val="22"/>
        </w:rPr>
        <w:t xml:space="preserve"> FR </w:t>
      </w:r>
      <w:r w:rsidR="008071C3">
        <w:rPr>
          <w:rFonts w:cs="Arial"/>
          <w:szCs w:val="22"/>
        </w:rPr>
        <w:t>27444</w:t>
      </w:r>
      <w:r w:rsidR="008071C3" w:rsidRPr="00854FC2">
        <w:rPr>
          <w:rFonts w:cs="Arial"/>
          <w:szCs w:val="22"/>
        </w:rPr>
        <w:t>)</w:t>
      </w:r>
      <w:r w:rsidR="008071C3">
        <w:rPr>
          <w:rFonts w:cs="Arial"/>
          <w:szCs w:val="22"/>
        </w:rPr>
        <w:t>.</w:t>
      </w:r>
      <w:r w:rsidR="008071C3" w:rsidRPr="002848D6">
        <w:rPr>
          <w:rFonts w:cs="Arial"/>
          <w:szCs w:val="22"/>
        </w:rPr>
        <w:t xml:space="preserve"> On </w:t>
      </w:r>
      <w:r w:rsidR="00E13479">
        <w:rPr>
          <w:rFonts w:cs="Arial"/>
          <w:szCs w:val="22"/>
        </w:rPr>
        <w:t>June</w:t>
      </w:r>
      <w:r w:rsidR="00E13479" w:rsidRPr="002848D6">
        <w:rPr>
          <w:rFonts w:cs="Arial"/>
          <w:szCs w:val="22"/>
        </w:rPr>
        <w:t xml:space="preserve"> </w:t>
      </w:r>
      <w:r w:rsidR="008071C3" w:rsidRPr="002848D6">
        <w:rPr>
          <w:rFonts w:cs="Arial"/>
          <w:szCs w:val="22"/>
        </w:rPr>
        <w:t>1</w:t>
      </w:r>
      <w:r w:rsidR="008071C3">
        <w:rPr>
          <w:rFonts w:cs="Arial"/>
          <w:szCs w:val="22"/>
        </w:rPr>
        <w:t>9</w:t>
      </w:r>
      <w:r w:rsidR="008071C3" w:rsidRPr="002848D6">
        <w:rPr>
          <w:rFonts w:cs="Arial"/>
          <w:szCs w:val="22"/>
        </w:rPr>
        <w:t>, 200</w:t>
      </w:r>
      <w:r w:rsidR="008071C3">
        <w:rPr>
          <w:rFonts w:cs="Arial"/>
          <w:szCs w:val="22"/>
        </w:rPr>
        <w:t>9</w:t>
      </w:r>
      <w:r w:rsidR="008071C3" w:rsidRPr="002848D6">
        <w:rPr>
          <w:rFonts w:cs="Arial"/>
          <w:szCs w:val="22"/>
        </w:rPr>
        <w:t xml:space="preserve">, EPA </w:t>
      </w:r>
      <w:r w:rsidR="008071C3">
        <w:rPr>
          <w:rFonts w:cs="Arial"/>
          <w:szCs w:val="22"/>
        </w:rPr>
        <w:t xml:space="preserve">further </w:t>
      </w:r>
      <w:r w:rsidR="008071C3" w:rsidRPr="002848D6">
        <w:rPr>
          <w:rFonts w:cs="Arial"/>
          <w:szCs w:val="22"/>
        </w:rPr>
        <w:t xml:space="preserve">extended the compliance dates </w:t>
      </w:r>
      <w:r w:rsidR="008071C3">
        <w:rPr>
          <w:rFonts w:cs="Arial"/>
          <w:szCs w:val="22"/>
        </w:rPr>
        <w:t xml:space="preserve">for facility owners and operators </w:t>
      </w:r>
      <w:r w:rsidR="008071C3" w:rsidRPr="002848D6">
        <w:rPr>
          <w:rFonts w:cs="Arial"/>
          <w:szCs w:val="22"/>
        </w:rPr>
        <w:t xml:space="preserve">to </w:t>
      </w:r>
      <w:r w:rsidR="008071C3">
        <w:rPr>
          <w:rFonts w:cs="Arial"/>
          <w:szCs w:val="22"/>
        </w:rPr>
        <w:t xml:space="preserve">November </w:t>
      </w:r>
      <w:r w:rsidR="008071C3" w:rsidRPr="002848D6">
        <w:rPr>
          <w:rFonts w:cs="Arial"/>
          <w:szCs w:val="22"/>
        </w:rPr>
        <w:t>1</w:t>
      </w:r>
      <w:r w:rsidR="008071C3">
        <w:rPr>
          <w:rFonts w:cs="Arial"/>
          <w:szCs w:val="22"/>
        </w:rPr>
        <w:t>0</w:t>
      </w:r>
      <w:r w:rsidR="008071C3" w:rsidRPr="002848D6">
        <w:rPr>
          <w:rFonts w:cs="Arial"/>
          <w:szCs w:val="22"/>
        </w:rPr>
        <w:t>, 20</w:t>
      </w:r>
      <w:r w:rsidR="008071C3">
        <w:rPr>
          <w:rFonts w:cs="Arial"/>
          <w:szCs w:val="22"/>
        </w:rPr>
        <w:t xml:space="preserve">10 </w:t>
      </w:r>
      <w:r w:rsidR="008071C3" w:rsidRPr="00854FC2">
        <w:rPr>
          <w:rFonts w:cs="Arial"/>
          <w:szCs w:val="22"/>
        </w:rPr>
        <w:t>(7</w:t>
      </w:r>
      <w:r w:rsidR="008071C3">
        <w:rPr>
          <w:rFonts w:cs="Arial"/>
          <w:szCs w:val="22"/>
        </w:rPr>
        <w:t>4</w:t>
      </w:r>
      <w:r w:rsidR="008071C3" w:rsidRPr="00854FC2">
        <w:rPr>
          <w:rFonts w:cs="Arial"/>
          <w:szCs w:val="22"/>
        </w:rPr>
        <w:t xml:space="preserve"> FR </w:t>
      </w:r>
      <w:r w:rsidR="008071C3">
        <w:rPr>
          <w:rFonts w:cs="Arial"/>
          <w:szCs w:val="22"/>
        </w:rPr>
        <w:t>29136</w:t>
      </w:r>
      <w:r w:rsidR="008071C3" w:rsidRPr="00854FC2">
        <w:rPr>
          <w:rFonts w:cs="Arial"/>
          <w:szCs w:val="22"/>
        </w:rPr>
        <w:t>)</w:t>
      </w:r>
      <w:r w:rsidR="008071C3">
        <w:rPr>
          <w:rFonts w:cs="Arial"/>
          <w:szCs w:val="22"/>
        </w:rPr>
        <w:t>.</w:t>
      </w:r>
      <w:r w:rsidR="008071C3" w:rsidRPr="002848D6">
        <w:rPr>
          <w:rFonts w:cs="Arial"/>
          <w:szCs w:val="22"/>
        </w:rPr>
        <w:t xml:space="preserve"> </w:t>
      </w:r>
      <w:r w:rsidR="00E13479">
        <w:rPr>
          <w:rFonts w:cs="Arial"/>
          <w:szCs w:val="22"/>
        </w:rPr>
        <w:t xml:space="preserve">EPA again extended the compliance dates </w:t>
      </w:r>
      <w:r w:rsidR="004376C1">
        <w:rPr>
          <w:rFonts w:cs="Arial"/>
          <w:szCs w:val="22"/>
        </w:rPr>
        <w:t>for certain facilities</w:t>
      </w:r>
      <w:r w:rsidR="004376C1">
        <w:rPr>
          <w:rStyle w:val="FootnoteReference"/>
          <w:rFonts w:cs="Arial"/>
          <w:szCs w:val="22"/>
        </w:rPr>
        <w:footnoteReference w:id="4"/>
      </w:r>
      <w:r w:rsidR="004376C1">
        <w:rPr>
          <w:rFonts w:cs="Arial"/>
          <w:szCs w:val="22"/>
        </w:rPr>
        <w:t xml:space="preserve"> by an additional year (to November 10, 2011) </w:t>
      </w:r>
      <w:r w:rsidR="00E13479">
        <w:rPr>
          <w:rFonts w:cs="Arial"/>
          <w:szCs w:val="22"/>
        </w:rPr>
        <w:t xml:space="preserve">in a final rule published October 14, 2010 (75 FR 63093). </w:t>
      </w:r>
      <w:r w:rsidR="001229BD">
        <w:rPr>
          <w:rFonts w:cs="Arial"/>
          <w:szCs w:val="22"/>
        </w:rPr>
        <w:t>The compliance date was later extended for farms to May 10, 2013 in a final rule published November 22, 2011 (76 FR 72120).</w:t>
      </w:r>
    </w:p>
    <w:p w:rsidR="00D85665" w:rsidRPr="00854FC2" w:rsidRDefault="00D85665">
      <w:pPr>
        <w:rPr>
          <w:rFonts w:cs="Arial"/>
          <w:szCs w:val="22"/>
        </w:rPr>
      </w:pPr>
    </w:p>
    <w:p w:rsidR="00D85665" w:rsidRDefault="00D85665" w:rsidP="00083BCA">
      <w:pPr>
        <w:ind w:firstLine="720"/>
        <w:rPr>
          <w:rFonts w:cs="Arial"/>
          <w:szCs w:val="22"/>
        </w:rPr>
      </w:pPr>
      <w:r w:rsidRPr="00854FC2">
        <w:rPr>
          <w:rFonts w:cs="Arial"/>
          <w:szCs w:val="22"/>
        </w:rPr>
        <w:t xml:space="preserve">On December 26, 2006, EPA published a </w:t>
      </w:r>
      <w:hyperlink r:id="rId8" w:history="1">
        <w:r w:rsidRPr="00854FC2">
          <w:rPr>
            <w:rFonts w:cs="Arial"/>
            <w:szCs w:val="22"/>
          </w:rPr>
          <w:t>final rule to amend 40 CFR part 112</w:t>
        </w:r>
      </w:hyperlink>
      <w:r w:rsidRPr="00854FC2">
        <w:rPr>
          <w:rFonts w:cs="Arial"/>
          <w:szCs w:val="22"/>
        </w:rPr>
        <w:t xml:space="preserve"> (71 FR 77266</w:t>
      </w:r>
      <w:r w:rsidRPr="009C3332">
        <w:rPr>
          <w:rFonts w:cs="Arial"/>
          <w:szCs w:val="22"/>
        </w:rPr>
        <w:t xml:space="preserve">). EPA amended the SPCC rule to address a number of issues raised by </w:t>
      </w:r>
      <w:r w:rsidR="00CE7E24" w:rsidRPr="009C3332">
        <w:rPr>
          <w:rFonts w:cs="Arial"/>
          <w:szCs w:val="22"/>
        </w:rPr>
        <w:t xml:space="preserve">the regulated community about </w:t>
      </w:r>
      <w:r w:rsidRPr="009C3332">
        <w:rPr>
          <w:rFonts w:cs="Arial"/>
          <w:szCs w:val="22"/>
        </w:rPr>
        <w:t xml:space="preserve">the 2002 </w:t>
      </w:r>
      <w:r w:rsidR="00CE7E24" w:rsidRPr="009C3332">
        <w:rPr>
          <w:rFonts w:cs="Arial"/>
          <w:szCs w:val="22"/>
        </w:rPr>
        <w:t>amendments</w:t>
      </w:r>
      <w:r w:rsidRPr="009C3332">
        <w:rPr>
          <w:rFonts w:cs="Arial"/>
          <w:szCs w:val="22"/>
        </w:rPr>
        <w:t xml:space="preserve">, including those pertaining to facilities with smaller oil storage capacities, qualified oil-filled operational equipment, motive power containers, and mobile </w:t>
      </w:r>
      <w:proofErr w:type="spellStart"/>
      <w:r w:rsidRPr="009C3332">
        <w:rPr>
          <w:rFonts w:cs="Arial"/>
          <w:szCs w:val="22"/>
        </w:rPr>
        <w:t>refuelers</w:t>
      </w:r>
      <w:proofErr w:type="spellEnd"/>
      <w:r w:rsidRPr="009C3332">
        <w:rPr>
          <w:rFonts w:cs="Arial"/>
          <w:szCs w:val="22"/>
        </w:rPr>
        <w:t xml:space="preserve">. EPA also removed sections of the rule that </w:t>
      </w:r>
      <w:r w:rsidR="00400DBE" w:rsidRPr="009C3332">
        <w:rPr>
          <w:rFonts w:cs="Arial"/>
          <w:szCs w:val="22"/>
        </w:rPr>
        <w:t>we</w:t>
      </w:r>
      <w:r w:rsidRPr="009C3332">
        <w:rPr>
          <w:rFonts w:cs="Arial"/>
          <w:szCs w:val="22"/>
        </w:rPr>
        <w:t>re not appropriate for facilities with animal fats and vegetable oils</w:t>
      </w:r>
      <w:r w:rsidR="00905980" w:rsidRPr="009C3332">
        <w:rPr>
          <w:rFonts w:cs="Arial"/>
          <w:szCs w:val="22"/>
        </w:rPr>
        <w:t>.</w:t>
      </w:r>
      <w:r w:rsidR="00506AC4" w:rsidRPr="009C3332">
        <w:rPr>
          <w:rFonts w:cs="Arial"/>
          <w:szCs w:val="22"/>
        </w:rPr>
        <w:t xml:space="preserve"> The Agency also issued an indefinite </w:t>
      </w:r>
      <w:r w:rsidR="009C3332" w:rsidRPr="009C3332">
        <w:rPr>
          <w:szCs w:val="22"/>
        </w:rPr>
        <w:t xml:space="preserve">compliance date </w:t>
      </w:r>
      <w:r w:rsidR="00506AC4" w:rsidRPr="009C3332">
        <w:rPr>
          <w:rFonts w:cs="Arial"/>
          <w:szCs w:val="22"/>
        </w:rPr>
        <w:t>extension for farms.</w:t>
      </w:r>
    </w:p>
    <w:p w:rsidR="002848D6" w:rsidRDefault="002848D6">
      <w:pPr>
        <w:rPr>
          <w:rFonts w:cs="Arial"/>
          <w:szCs w:val="22"/>
        </w:rPr>
      </w:pPr>
    </w:p>
    <w:p w:rsidR="000E2F44" w:rsidRDefault="00CE7E24" w:rsidP="00083BCA">
      <w:pPr>
        <w:ind w:firstLine="720"/>
      </w:pPr>
      <w:r>
        <w:rPr>
          <w:rFonts w:cs="Arial"/>
          <w:szCs w:val="22"/>
        </w:rPr>
        <w:t>On December 5, 2008, EPA published amendments to clarify, streamline and tailor the rule requirements to sectors of the regulated industries</w:t>
      </w:r>
      <w:r w:rsidR="00793421">
        <w:rPr>
          <w:rFonts w:cs="Arial"/>
          <w:szCs w:val="22"/>
        </w:rPr>
        <w:t xml:space="preserve"> (e.g., </w:t>
      </w:r>
      <w:r w:rsidR="00C57C70">
        <w:rPr>
          <w:rFonts w:cs="Arial"/>
          <w:szCs w:val="22"/>
        </w:rPr>
        <w:t xml:space="preserve">oil production, </w:t>
      </w:r>
      <w:r w:rsidR="00793421">
        <w:rPr>
          <w:rFonts w:cs="Arial"/>
          <w:szCs w:val="22"/>
        </w:rPr>
        <w:t xml:space="preserve">farms).  </w:t>
      </w:r>
      <w:r w:rsidR="00482D38" w:rsidRPr="00AF2C52">
        <w:rPr>
          <w:rFonts w:cs="Arial"/>
          <w:szCs w:val="22"/>
        </w:rPr>
        <w:t>However, the effective date of the December 2008 rulemaking was delayed for 60 days from February 3, 2009 to April 4, 2009, in accordance with the January 20, 2009, White House memorandum entitled, “Regulatory Review,” and the memorandum from the Office of Management and Budget entitled “Implementation of Memorandum Concerning Regulatory</w:t>
      </w:r>
      <w:r w:rsidR="00482D38" w:rsidRPr="00E33295">
        <w:t xml:space="preserve"> Review” (M-09-08, January 21, 2009 OMB memorandum). The Agency took this action to ensure that the rule properly reflect</w:t>
      </w:r>
      <w:r w:rsidR="00482D38">
        <w:t>s</w:t>
      </w:r>
      <w:r w:rsidR="00482D38" w:rsidRPr="00E33295">
        <w:t xml:space="preserve"> consideration of all relevant facts.</w:t>
      </w:r>
      <w:r w:rsidR="00482D38">
        <w:t xml:space="preserve"> </w:t>
      </w:r>
      <w:r w:rsidR="00482D38" w:rsidRPr="00E33295">
        <w:t>EPA requested public comment on the delay of the effective date and its duration, and on the regulatory amendments contained in the final rule (74 FR 5900, February 3, 2009)</w:t>
      </w:r>
      <w:r w:rsidR="00482D38" w:rsidRPr="004133CA">
        <w:t xml:space="preserve"> </w:t>
      </w:r>
      <w:r w:rsidR="00482D38">
        <w:t xml:space="preserve">and specifically on the requirements for produced water containers and </w:t>
      </w:r>
      <w:r w:rsidR="009C3332">
        <w:t xml:space="preserve">qualified </w:t>
      </w:r>
      <w:r w:rsidR="00482D38">
        <w:t>oil production facilities</w:t>
      </w:r>
      <w:r w:rsidR="00482D38" w:rsidRPr="00E33295">
        <w:t xml:space="preserve">. </w:t>
      </w:r>
    </w:p>
    <w:p w:rsidR="000E2F44" w:rsidRDefault="000E2F44" w:rsidP="00482D38"/>
    <w:p w:rsidR="00482D38" w:rsidRDefault="00482D38" w:rsidP="00083BCA">
      <w:pPr>
        <w:ind w:firstLine="720"/>
      </w:pPr>
      <w:r w:rsidRPr="00E33295">
        <w:t xml:space="preserve">On April 1, 2009, the Agency further delayed the effective date of the December 2008 rulemaking until January 14, 2010 (74 FR 14736). The Agency took this action to allow sufficient time to address the comments received on the February 3, 2009 notice. </w:t>
      </w:r>
    </w:p>
    <w:p w:rsidR="00482D38" w:rsidRDefault="00482D38" w:rsidP="002F14C2">
      <w:pPr>
        <w:ind w:left="360"/>
        <w:rPr>
          <w:rFonts w:cs="Arial"/>
          <w:szCs w:val="22"/>
        </w:rPr>
      </w:pPr>
    </w:p>
    <w:p w:rsidR="002F14C2" w:rsidRDefault="00CE7E24" w:rsidP="00931D40">
      <w:pPr>
        <w:ind w:firstLine="720"/>
        <w:rPr>
          <w:rFonts w:cs="Arial"/>
          <w:szCs w:val="22"/>
        </w:rPr>
      </w:pPr>
      <w:r>
        <w:rPr>
          <w:rFonts w:cs="Arial"/>
          <w:szCs w:val="22"/>
        </w:rPr>
        <w:t xml:space="preserve">In the </w:t>
      </w:r>
      <w:r w:rsidR="00704CF8">
        <w:rPr>
          <w:rFonts w:cs="Arial"/>
          <w:szCs w:val="22"/>
        </w:rPr>
        <w:t xml:space="preserve">November </w:t>
      </w:r>
      <w:r w:rsidR="004C3137">
        <w:rPr>
          <w:rFonts w:cs="Arial"/>
          <w:szCs w:val="22"/>
        </w:rPr>
        <w:t>2009 amendments</w:t>
      </w:r>
      <w:r w:rsidR="005D0666">
        <w:rPr>
          <w:rFonts w:cs="Arial"/>
          <w:szCs w:val="22"/>
        </w:rPr>
        <w:t>,</w:t>
      </w:r>
      <w:r w:rsidRPr="0029711F">
        <w:rPr>
          <w:rFonts w:cs="Arial"/>
          <w:szCs w:val="22"/>
        </w:rPr>
        <w:t xml:space="preserve"> </w:t>
      </w:r>
      <w:r w:rsidR="00400DBE">
        <w:rPr>
          <w:rFonts w:cs="Arial"/>
          <w:szCs w:val="22"/>
        </w:rPr>
        <w:t>EPA confirm</w:t>
      </w:r>
      <w:r w:rsidR="007A7DE3">
        <w:rPr>
          <w:rFonts w:cs="Arial"/>
          <w:szCs w:val="22"/>
        </w:rPr>
        <w:t>ed</w:t>
      </w:r>
      <w:r w:rsidR="00400DBE">
        <w:rPr>
          <w:rFonts w:cs="Arial"/>
          <w:szCs w:val="22"/>
        </w:rPr>
        <w:t xml:space="preserve"> that the following</w:t>
      </w:r>
      <w:r w:rsidR="002348E6" w:rsidRPr="0029711F">
        <w:rPr>
          <w:rFonts w:cs="Arial"/>
          <w:szCs w:val="22"/>
        </w:rPr>
        <w:fldChar w:fldCharType="begin"/>
      </w:r>
      <w:r w:rsidR="00D85665" w:rsidRPr="0029711F">
        <w:rPr>
          <w:rFonts w:cs="Arial"/>
          <w:szCs w:val="22"/>
        </w:rPr>
        <w:instrText xml:space="preserve"> SEQ CHAPTER \h \r 1</w:instrText>
      </w:r>
      <w:r w:rsidR="002348E6" w:rsidRPr="0029711F">
        <w:rPr>
          <w:rFonts w:cs="Arial"/>
          <w:szCs w:val="22"/>
        </w:rPr>
        <w:fldChar w:fldCharType="end"/>
      </w:r>
      <w:r w:rsidR="00400DBE" w:rsidRPr="00400DBE">
        <w:rPr>
          <w:b/>
          <w:i/>
          <w:szCs w:val="22"/>
        </w:rPr>
        <w:t xml:space="preserve"> </w:t>
      </w:r>
      <w:r w:rsidR="00400DBE" w:rsidRPr="00400DBE">
        <w:rPr>
          <w:szCs w:val="22"/>
        </w:rPr>
        <w:t xml:space="preserve">provisions finalized in the December 2008 final rule </w:t>
      </w:r>
      <w:r w:rsidR="007A7DE3">
        <w:rPr>
          <w:szCs w:val="22"/>
        </w:rPr>
        <w:t xml:space="preserve">would </w:t>
      </w:r>
      <w:r w:rsidR="00400DBE" w:rsidRPr="00400DBE">
        <w:rPr>
          <w:szCs w:val="22"/>
        </w:rPr>
        <w:t>become effective on January 14, 2010, without further modification</w:t>
      </w:r>
      <w:r w:rsidR="00D85665" w:rsidRPr="0029711F">
        <w:rPr>
          <w:rFonts w:cs="Arial"/>
          <w:szCs w:val="22"/>
        </w:rPr>
        <w:t xml:space="preserve">: </w:t>
      </w:r>
    </w:p>
    <w:p w:rsidR="002F14C2" w:rsidRDefault="00E75AB5" w:rsidP="002F14C2">
      <w:pPr>
        <w:numPr>
          <w:ilvl w:val="0"/>
          <w:numId w:val="20"/>
        </w:numPr>
        <w:rPr>
          <w:rFonts w:cs="Arial"/>
          <w:szCs w:val="22"/>
        </w:rPr>
      </w:pPr>
      <w:r>
        <w:rPr>
          <w:rFonts w:cs="Arial"/>
          <w:szCs w:val="22"/>
        </w:rPr>
        <w:t>Exempti</w:t>
      </w:r>
      <w:r w:rsidR="00400DBE">
        <w:rPr>
          <w:rFonts w:cs="Arial"/>
          <w:szCs w:val="22"/>
        </w:rPr>
        <w:t>on for</w:t>
      </w:r>
      <w:r>
        <w:rPr>
          <w:rFonts w:cs="Arial"/>
          <w:szCs w:val="22"/>
        </w:rPr>
        <w:t xml:space="preserve"> hot-mix asphalt; </w:t>
      </w:r>
    </w:p>
    <w:p w:rsidR="002F14C2" w:rsidRDefault="00E75AB5" w:rsidP="002F14C2">
      <w:pPr>
        <w:numPr>
          <w:ilvl w:val="0"/>
          <w:numId w:val="20"/>
        </w:numPr>
        <w:rPr>
          <w:rFonts w:cs="Arial"/>
          <w:szCs w:val="22"/>
        </w:rPr>
      </w:pPr>
      <w:r>
        <w:rPr>
          <w:rFonts w:cs="Arial"/>
          <w:szCs w:val="22"/>
        </w:rPr>
        <w:t>E</w:t>
      </w:r>
      <w:r w:rsidR="00553B3A" w:rsidRPr="00AF2C52">
        <w:rPr>
          <w:rFonts w:cs="Arial"/>
          <w:szCs w:val="22"/>
        </w:rPr>
        <w:t>xempti</w:t>
      </w:r>
      <w:r w:rsidR="00400DBE">
        <w:rPr>
          <w:rFonts w:cs="Arial"/>
          <w:szCs w:val="22"/>
        </w:rPr>
        <w:t>on for</w:t>
      </w:r>
      <w:r w:rsidR="00553B3A" w:rsidRPr="00AF2C52">
        <w:rPr>
          <w:rFonts w:cs="Arial"/>
          <w:szCs w:val="22"/>
        </w:rPr>
        <w:t xml:space="preserve"> pesticide application equipment and related mix containers; </w:t>
      </w:r>
    </w:p>
    <w:p w:rsidR="002F14C2" w:rsidRDefault="00E75AB5" w:rsidP="002F14C2">
      <w:pPr>
        <w:numPr>
          <w:ilvl w:val="0"/>
          <w:numId w:val="20"/>
        </w:numPr>
        <w:rPr>
          <w:rFonts w:cs="Arial"/>
          <w:szCs w:val="22"/>
        </w:rPr>
      </w:pPr>
      <w:r>
        <w:rPr>
          <w:rFonts w:cs="Arial"/>
          <w:szCs w:val="22"/>
        </w:rPr>
        <w:t>E</w:t>
      </w:r>
      <w:r w:rsidR="00D82DC9" w:rsidRPr="00AF2C52">
        <w:rPr>
          <w:rFonts w:cs="Arial"/>
          <w:szCs w:val="22"/>
        </w:rPr>
        <w:t>xempti</w:t>
      </w:r>
      <w:r w:rsidR="00400DBE">
        <w:rPr>
          <w:rFonts w:cs="Arial"/>
          <w:szCs w:val="22"/>
        </w:rPr>
        <w:t>on for</w:t>
      </w:r>
      <w:r w:rsidR="00D82DC9" w:rsidRPr="00AF2C52">
        <w:rPr>
          <w:rFonts w:cs="Arial"/>
          <w:szCs w:val="22"/>
        </w:rPr>
        <w:t xml:space="preserve"> residential heating oil containers</w:t>
      </w:r>
      <w:r w:rsidR="00553B3A" w:rsidRPr="00AF2C52">
        <w:rPr>
          <w:rFonts w:cs="Arial"/>
          <w:szCs w:val="22"/>
        </w:rPr>
        <w:t>;</w:t>
      </w:r>
      <w:r w:rsidR="007A6443" w:rsidRPr="00AF2C52">
        <w:rPr>
          <w:rFonts w:cs="Arial"/>
          <w:szCs w:val="22"/>
        </w:rPr>
        <w:t xml:space="preserve"> </w:t>
      </w:r>
    </w:p>
    <w:p w:rsidR="002F14C2" w:rsidRDefault="00AF2C52" w:rsidP="002F14C2">
      <w:pPr>
        <w:numPr>
          <w:ilvl w:val="0"/>
          <w:numId w:val="20"/>
        </w:numPr>
        <w:rPr>
          <w:rFonts w:cs="Arial"/>
          <w:szCs w:val="22"/>
        </w:rPr>
      </w:pPr>
      <w:r w:rsidRPr="00AF2C52">
        <w:rPr>
          <w:rFonts w:cs="Arial"/>
          <w:szCs w:val="22"/>
        </w:rPr>
        <w:lastRenderedPageBreak/>
        <w:t>Amend</w:t>
      </w:r>
      <w:r w:rsidR="00400DBE">
        <w:rPr>
          <w:rFonts w:cs="Arial"/>
          <w:szCs w:val="22"/>
        </w:rPr>
        <w:t>ed</w:t>
      </w:r>
      <w:r w:rsidRPr="00AF2C52">
        <w:rPr>
          <w:rFonts w:cs="Arial"/>
          <w:szCs w:val="22"/>
        </w:rPr>
        <w:t xml:space="preserve"> definition of “facility” to clarify that contiguous or non-contiguous buildings, properties, parcels, leases, structures, installations, pipes, or pipelines may be considered separate facilities; </w:t>
      </w:r>
    </w:p>
    <w:p w:rsidR="002F14C2" w:rsidRDefault="00AF2C52" w:rsidP="002F14C2">
      <w:pPr>
        <w:numPr>
          <w:ilvl w:val="0"/>
          <w:numId w:val="20"/>
        </w:numPr>
        <w:rPr>
          <w:rFonts w:cs="Arial"/>
          <w:szCs w:val="22"/>
        </w:rPr>
      </w:pPr>
      <w:r w:rsidRPr="00AF2C52">
        <w:rPr>
          <w:rFonts w:cs="Arial"/>
          <w:szCs w:val="22"/>
        </w:rPr>
        <w:t>Amend</w:t>
      </w:r>
      <w:r w:rsidR="00400DBE">
        <w:rPr>
          <w:rFonts w:cs="Arial"/>
          <w:szCs w:val="22"/>
        </w:rPr>
        <w:t>ed</w:t>
      </w:r>
      <w:r w:rsidRPr="00AF2C52">
        <w:rPr>
          <w:rFonts w:cs="Arial"/>
          <w:szCs w:val="22"/>
        </w:rPr>
        <w:t xml:space="preserve"> facility diagram requirement at §112.7(a)(3); </w:t>
      </w:r>
    </w:p>
    <w:p w:rsidR="002F14C2" w:rsidRDefault="00AF2C52" w:rsidP="002F14C2">
      <w:pPr>
        <w:numPr>
          <w:ilvl w:val="0"/>
          <w:numId w:val="20"/>
        </w:numPr>
        <w:rPr>
          <w:rFonts w:cs="Arial"/>
          <w:szCs w:val="22"/>
        </w:rPr>
      </w:pPr>
      <w:r w:rsidRPr="00AF2C52">
        <w:rPr>
          <w:rFonts w:cs="Arial"/>
          <w:szCs w:val="22"/>
        </w:rPr>
        <w:t>Defini</w:t>
      </w:r>
      <w:r w:rsidR="00400DBE">
        <w:rPr>
          <w:rFonts w:cs="Arial"/>
          <w:szCs w:val="22"/>
        </w:rPr>
        <w:t>tion for</w:t>
      </w:r>
      <w:r w:rsidRPr="00AF2C52">
        <w:rPr>
          <w:rFonts w:cs="Arial"/>
          <w:szCs w:val="22"/>
        </w:rPr>
        <w:t xml:space="preserve"> the term “loading/unloading rack,” and clarif</w:t>
      </w:r>
      <w:r w:rsidR="00400DBE">
        <w:rPr>
          <w:rFonts w:cs="Arial"/>
          <w:szCs w:val="22"/>
        </w:rPr>
        <w:t>ication</w:t>
      </w:r>
      <w:r w:rsidRPr="00AF2C52">
        <w:rPr>
          <w:rFonts w:cs="Arial"/>
          <w:szCs w:val="22"/>
        </w:rPr>
        <w:t xml:space="preserve"> that this definition governs the applicability of the provisions for facility tank car and tank truck loading/unloading racks at §112.7(h); </w:t>
      </w:r>
    </w:p>
    <w:p w:rsidR="002F14C2" w:rsidRDefault="00AF2C52" w:rsidP="002F14C2">
      <w:pPr>
        <w:numPr>
          <w:ilvl w:val="0"/>
          <w:numId w:val="20"/>
        </w:numPr>
        <w:rPr>
          <w:rFonts w:cs="Arial"/>
          <w:szCs w:val="22"/>
        </w:rPr>
      </w:pPr>
      <w:r w:rsidRPr="00AF2C52">
        <w:rPr>
          <w:rFonts w:cs="Arial"/>
          <w:szCs w:val="22"/>
        </w:rPr>
        <w:t>Amend</w:t>
      </w:r>
      <w:r w:rsidR="00400DBE">
        <w:rPr>
          <w:rFonts w:cs="Arial"/>
          <w:szCs w:val="22"/>
        </w:rPr>
        <w:t xml:space="preserve">ed </w:t>
      </w:r>
      <w:r w:rsidRPr="00AF2C52">
        <w:rPr>
          <w:rFonts w:cs="Arial"/>
          <w:szCs w:val="22"/>
        </w:rPr>
        <w:t xml:space="preserve">general secondary containment requirements at §112.7(c); </w:t>
      </w:r>
    </w:p>
    <w:p w:rsidR="008E4CE5" w:rsidRDefault="00AF2C52" w:rsidP="002F14C2">
      <w:pPr>
        <w:numPr>
          <w:ilvl w:val="0"/>
          <w:numId w:val="20"/>
        </w:numPr>
        <w:rPr>
          <w:rFonts w:cs="Arial"/>
          <w:szCs w:val="22"/>
        </w:rPr>
      </w:pPr>
      <w:r w:rsidRPr="00AF2C52">
        <w:rPr>
          <w:rFonts w:cs="Arial"/>
          <w:szCs w:val="22"/>
        </w:rPr>
        <w:t>Exten</w:t>
      </w:r>
      <w:r w:rsidR="00400DBE">
        <w:rPr>
          <w:rFonts w:cs="Arial"/>
          <w:szCs w:val="22"/>
        </w:rPr>
        <w:t>sion of</w:t>
      </w:r>
      <w:r w:rsidRPr="00AF2C52">
        <w:rPr>
          <w:rFonts w:cs="Arial"/>
          <w:szCs w:val="22"/>
        </w:rPr>
        <w:t xml:space="preserve"> the exemption from the sized secondary containment requirement for mobile </w:t>
      </w:r>
      <w:proofErr w:type="spellStart"/>
      <w:r w:rsidRPr="00AF2C52">
        <w:rPr>
          <w:rFonts w:cs="Arial"/>
          <w:szCs w:val="22"/>
        </w:rPr>
        <w:t>refuelers</w:t>
      </w:r>
      <w:proofErr w:type="spellEnd"/>
      <w:r w:rsidRPr="00AF2C52">
        <w:rPr>
          <w:rFonts w:cs="Arial"/>
          <w:szCs w:val="22"/>
        </w:rPr>
        <w:t xml:space="preserve"> provided in the December 2006 SPCC rule amendments (71 FR 77266, December 26, 2006) to non-transportation-related tank trucks at a facility subject to the SPCC rule; </w:t>
      </w:r>
    </w:p>
    <w:p w:rsidR="002F14C2" w:rsidRDefault="00AF2C52" w:rsidP="002F14C2">
      <w:pPr>
        <w:numPr>
          <w:ilvl w:val="0"/>
          <w:numId w:val="20"/>
        </w:numPr>
        <w:rPr>
          <w:rFonts w:cs="Arial"/>
          <w:szCs w:val="22"/>
        </w:rPr>
      </w:pPr>
      <w:r w:rsidRPr="00AF2C52">
        <w:rPr>
          <w:rFonts w:cs="Arial"/>
          <w:szCs w:val="22"/>
        </w:rPr>
        <w:t>Amend</w:t>
      </w:r>
      <w:r w:rsidR="00400DBE">
        <w:rPr>
          <w:rFonts w:cs="Arial"/>
          <w:szCs w:val="22"/>
        </w:rPr>
        <w:t xml:space="preserve">ed </w:t>
      </w:r>
      <w:r w:rsidRPr="00AF2C52">
        <w:rPr>
          <w:rFonts w:cs="Arial"/>
          <w:szCs w:val="22"/>
        </w:rPr>
        <w:t xml:space="preserve">facility security requirements at §112.7(g); </w:t>
      </w:r>
    </w:p>
    <w:p w:rsidR="002F14C2" w:rsidRDefault="00AF2C52" w:rsidP="002F14C2">
      <w:pPr>
        <w:numPr>
          <w:ilvl w:val="0"/>
          <w:numId w:val="20"/>
        </w:numPr>
        <w:rPr>
          <w:rFonts w:cs="Arial"/>
          <w:szCs w:val="22"/>
        </w:rPr>
      </w:pPr>
      <w:r w:rsidRPr="00AF2C52">
        <w:rPr>
          <w:rFonts w:cs="Arial"/>
          <w:szCs w:val="22"/>
        </w:rPr>
        <w:t>Amend</w:t>
      </w:r>
      <w:r w:rsidR="00400DBE">
        <w:rPr>
          <w:rFonts w:cs="Arial"/>
          <w:szCs w:val="22"/>
        </w:rPr>
        <w:t>ed</w:t>
      </w:r>
      <w:r w:rsidRPr="00AF2C52">
        <w:rPr>
          <w:rFonts w:cs="Arial"/>
          <w:szCs w:val="22"/>
        </w:rPr>
        <w:t xml:space="preserve"> </w:t>
      </w:r>
      <w:r w:rsidR="00400DBE">
        <w:rPr>
          <w:rFonts w:cs="Arial"/>
          <w:szCs w:val="22"/>
        </w:rPr>
        <w:t xml:space="preserve">integrity testing </w:t>
      </w:r>
      <w:r w:rsidRPr="00AF2C52">
        <w:rPr>
          <w:rFonts w:cs="Arial"/>
          <w:szCs w:val="22"/>
        </w:rPr>
        <w:t xml:space="preserve">requirements at §§112.8(c)(6) and 112.12(c)(6) </w:t>
      </w:r>
      <w:r w:rsidR="00400DBE" w:rsidRPr="000A6ADB">
        <w:rPr>
          <w:szCs w:val="22"/>
        </w:rPr>
        <w:t>to allow greater flexibility in the use of industry standards</w:t>
      </w:r>
      <w:r w:rsidRPr="00AF2C52">
        <w:rPr>
          <w:rFonts w:cs="Arial"/>
          <w:szCs w:val="22"/>
        </w:rPr>
        <w:t xml:space="preserve">; </w:t>
      </w:r>
    </w:p>
    <w:p w:rsidR="002F14C2" w:rsidRDefault="00AF2C52" w:rsidP="002F14C2">
      <w:pPr>
        <w:numPr>
          <w:ilvl w:val="0"/>
          <w:numId w:val="20"/>
        </w:numPr>
        <w:rPr>
          <w:rFonts w:cs="Arial"/>
          <w:szCs w:val="22"/>
        </w:rPr>
      </w:pPr>
      <w:r w:rsidRPr="00AF2C52">
        <w:rPr>
          <w:rFonts w:cs="Arial"/>
          <w:szCs w:val="22"/>
        </w:rPr>
        <w:t>Amend</w:t>
      </w:r>
      <w:r w:rsidR="00400DBE">
        <w:rPr>
          <w:rFonts w:cs="Arial"/>
          <w:szCs w:val="22"/>
        </w:rPr>
        <w:t>ed</w:t>
      </w:r>
      <w:r w:rsidRPr="00AF2C52">
        <w:rPr>
          <w:rFonts w:cs="Arial"/>
          <w:szCs w:val="22"/>
        </w:rPr>
        <w:t xml:space="preserve"> integrity testing requirements at §112.12(c)(6)</w:t>
      </w:r>
      <w:r w:rsidR="00400DBE">
        <w:rPr>
          <w:rFonts w:cs="Arial"/>
          <w:szCs w:val="22"/>
        </w:rPr>
        <w:t xml:space="preserve"> </w:t>
      </w:r>
      <w:r w:rsidR="00400DBE" w:rsidRPr="000A6ADB">
        <w:rPr>
          <w:szCs w:val="22"/>
        </w:rPr>
        <w:t xml:space="preserve">for containers that store </w:t>
      </w:r>
      <w:r w:rsidR="00400DBE">
        <w:rPr>
          <w:szCs w:val="22"/>
        </w:rPr>
        <w:t>animal fats and vegetable oils (</w:t>
      </w:r>
      <w:r w:rsidR="00400DBE" w:rsidRPr="000A6ADB">
        <w:rPr>
          <w:szCs w:val="22"/>
        </w:rPr>
        <w:t>AFVOs</w:t>
      </w:r>
      <w:r w:rsidR="00400DBE">
        <w:rPr>
          <w:szCs w:val="22"/>
        </w:rPr>
        <w:t>)</w:t>
      </w:r>
      <w:r w:rsidR="00400DBE" w:rsidRPr="000A6ADB">
        <w:rPr>
          <w:szCs w:val="22"/>
        </w:rPr>
        <w:t xml:space="preserve"> and meet certain criteria</w:t>
      </w:r>
      <w:r w:rsidRPr="00AF2C52">
        <w:rPr>
          <w:rFonts w:cs="Arial"/>
          <w:szCs w:val="22"/>
        </w:rPr>
        <w:t xml:space="preserve">; </w:t>
      </w:r>
    </w:p>
    <w:p w:rsidR="002F14C2" w:rsidRDefault="00AF2C52" w:rsidP="007A7DE3">
      <w:pPr>
        <w:numPr>
          <w:ilvl w:val="0"/>
          <w:numId w:val="20"/>
        </w:numPr>
        <w:rPr>
          <w:rFonts w:cs="Arial"/>
          <w:szCs w:val="22"/>
        </w:rPr>
      </w:pPr>
      <w:r w:rsidRPr="00AF2C52">
        <w:rPr>
          <w:rFonts w:cs="Arial"/>
          <w:szCs w:val="22"/>
        </w:rPr>
        <w:t>Amende</w:t>
      </w:r>
      <w:r w:rsidR="00400DBE">
        <w:rPr>
          <w:rFonts w:cs="Arial"/>
          <w:szCs w:val="22"/>
        </w:rPr>
        <w:t>d</w:t>
      </w:r>
      <w:r w:rsidRPr="00AF2C52">
        <w:rPr>
          <w:rFonts w:cs="Arial"/>
          <w:szCs w:val="22"/>
        </w:rPr>
        <w:t xml:space="preserve"> definition of “production facility” to be consistent with the amended definition of “facility”; </w:t>
      </w:r>
    </w:p>
    <w:p w:rsidR="002F14C2" w:rsidRDefault="00AF2C52" w:rsidP="007A7DE3">
      <w:pPr>
        <w:numPr>
          <w:ilvl w:val="0"/>
          <w:numId w:val="20"/>
        </w:numPr>
        <w:rPr>
          <w:rFonts w:cs="Arial"/>
          <w:szCs w:val="22"/>
        </w:rPr>
      </w:pPr>
      <w:r w:rsidRPr="00AF2C52">
        <w:rPr>
          <w:rFonts w:cs="Arial"/>
          <w:szCs w:val="22"/>
        </w:rPr>
        <w:t>Clarif</w:t>
      </w:r>
      <w:r w:rsidR="00400DBE">
        <w:rPr>
          <w:rFonts w:cs="Arial"/>
          <w:szCs w:val="22"/>
        </w:rPr>
        <w:t xml:space="preserve">ication </w:t>
      </w:r>
      <w:r w:rsidRPr="00AF2C52">
        <w:rPr>
          <w:rFonts w:cs="Arial"/>
          <w:szCs w:val="22"/>
        </w:rPr>
        <w:t xml:space="preserve">that drilling and workover activities are not subject to the provisions at  </w:t>
      </w:r>
      <w:r w:rsidR="00400DBE">
        <w:rPr>
          <w:rFonts w:cs="Arial"/>
          <w:szCs w:val="22"/>
        </w:rPr>
        <w:t>§</w:t>
      </w:r>
      <w:r w:rsidRPr="00AF2C52">
        <w:rPr>
          <w:rFonts w:cs="Arial"/>
          <w:szCs w:val="22"/>
        </w:rPr>
        <w:t xml:space="preserve">112.9; </w:t>
      </w:r>
    </w:p>
    <w:p w:rsidR="002F14C2" w:rsidRDefault="008C293B" w:rsidP="007A7DE3">
      <w:pPr>
        <w:numPr>
          <w:ilvl w:val="0"/>
          <w:numId w:val="20"/>
        </w:numPr>
        <w:rPr>
          <w:rFonts w:cs="Arial"/>
          <w:szCs w:val="22"/>
        </w:rPr>
      </w:pPr>
      <w:r>
        <w:rPr>
          <w:rFonts w:cs="Arial"/>
          <w:szCs w:val="22"/>
        </w:rPr>
        <w:t>A</w:t>
      </w:r>
      <w:r w:rsidR="00AF2C52" w:rsidRPr="00AF2C52">
        <w:rPr>
          <w:rFonts w:cs="Arial"/>
          <w:szCs w:val="22"/>
        </w:rPr>
        <w:t>lternative compliance option for flow-through process vessels at oil production facilities</w:t>
      </w:r>
      <w:r>
        <w:rPr>
          <w:rFonts w:cs="Arial"/>
          <w:szCs w:val="22"/>
        </w:rPr>
        <w:t xml:space="preserve"> </w:t>
      </w:r>
      <w:r w:rsidRPr="000A6ADB">
        <w:rPr>
          <w:szCs w:val="22"/>
        </w:rPr>
        <w:t>to comply with only the general secondary containment requirements and additional oil spill prevention measures in lieu of the sized secondary containment requirements</w:t>
      </w:r>
      <w:r w:rsidR="00AF2C52" w:rsidRPr="00AF2C52">
        <w:rPr>
          <w:rFonts w:cs="Arial"/>
          <w:szCs w:val="22"/>
        </w:rPr>
        <w:t xml:space="preserve">; </w:t>
      </w:r>
    </w:p>
    <w:p w:rsidR="002F14C2" w:rsidRDefault="002006CF" w:rsidP="007A7DE3">
      <w:pPr>
        <w:numPr>
          <w:ilvl w:val="0"/>
          <w:numId w:val="20"/>
        </w:numPr>
        <w:rPr>
          <w:rFonts w:cs="Arial"/>
          <w:szCs w:val="22"/>
        </w:rPr>
      </w:pPr>
      <w:r>
        <w:t>Defini</w:t>
      </w:r>
      <w:r w:rsidR="008C293B">
        <w:t>tion for</w:t>
      </w:r>
      <w:r w:rsidR="00FE501F">
        <w:t xml:space="preserve"> </w:t>
      </w:r>
      <w:r>
        <w:t>the term “produced water container”, and a</w:t>
      </w:r>
      <w:r w:rsidRPr="00D178D9">
        <w:t xml:space="preserve">lternative compliance </w:t>
      </w:r>
      <w:r w:rsidR="008C293B">
        <w:t xml:space="preserve">measures </w:t>
      </w:r>
      <w:r w:rsidR="008C293B" w:rsidRPr="004E58C4">
        <w:rPr>
          <w:szCs w:val="22"/>
        </w:rPr>
        <w:t>for these containers which require general secondary containment, a process or procedure certified by a PE designed to remove free-phase oil on the surface of the produced water in these containers and compliance with additional oil spill prevention measures in lieu of sized secondary containment requirements</w:t>
      </w:r>
      <w:r w:rsidR="00AF2C52" w:rsidRPr="00AF2C52">
        <w:rPr>
          <w:rFonts w:cs="Arial"/>
          <w:szCs w:val="22"/>
        </w:rPr>
        <w:t xml:space="preserve">; </w:t>
      </w:r>
    </w:p>
    <w:p w:rsidR="002F14C2" w:rsidRDefault="00AF2C52" w:rsidP="007A7DE3">
      <w:pPr>
        <w:numPr>
          <w:ilvl w:val="0"/>
          <w:numId w:val="20"/>
        </w:numPr>
        <w:rPr>
          <w:rFonts w:cs="Arial"/>
          <w:szCs w:val="22"/>
        </w:rPr>
      </w:pPr>
      <w:r w:rsidRPr="00AF2C52">
        <w:rPr>
          <w:rFonts w:cs="Arial"/>
          <w:szCs w:val="22"/>
        </w:rPr>
        <w:t>Exempti</w:t>
      </w:r>
      <w:r w:rsidR="008C293B">
        <w:rPr>
          <w:rFonts w:cs="Arial"/>
          <w:szCs w:val="22"/>
        </w:rPr>
        <w:t>on for</w:t>
      </w:r>
      <w:r w:rsidRPr="00AF2C52">
        <w:rPr>
          <w:rFonts w:cs="Arial"/>
          <w:szCs w:val="22"/>
        </w:rPr>
        <w:t xml:space="preserve"> certain intra-facility gathering lines subject to requirements of the U.S. Department of Transportation</w:t>
      </w:r>
      <w:r w:rsidR="00210191">
        <w:rPr>
          <w:rFonts w:cs="Arial"/>
          <w:szCs w:val="22"/>
        </w:rPr>
        <w:t>’s (DOT’s) pipeline regulations</w:t>
      </w:r>
      <w:r w:rsidR="008C293B">
        <w:rPr>
          <w:rFonts w:cs="Arial"/>
          <w:szCs w:val="22"/>
        </w:rPr>
        <w:t xml:space="preserve"> </w:t>
      </w:r>
      <w:r w:rsidR="008C293B" w:rsidRPr="000A6ADB">
        <w:rPr>
          <w:szCs w:val="22"/>
        </w:rPr>
        <w:t>from the SPCC requirements</w:t>
      </w:r>
      <w:r w:rsidR="00210191">
        <w:rPr>
          <w:rFonts w:cs="Arial"/>
          <w:szCs w:val="22"/>
        </w:rPr>
        <w:t xml:space="preserve">; </w:t>
      </w:r>
    </w:p>
    <w:p w:rsidR="008E2CBC" w:rsidRDefault="008C293B" w:rsidP="002F14C2">
      <w:pPr>
        <w:numPr>
          <w:ilvl w:val="0"/>
          <w:numId w:val="20"/>
        </w:numPr>
        <w:rPr>
          <w:rFonts w:cs="Arial"/>
          <w:szCs w:val="22"/>
        </w:rPr>
      </w:pPr>
      <w:r>
        <w:rPr>
          <w:rFonts w:cs="Arial"/>
          <w:szCs w:val="22"/>
        </w:rPr>
        <w:t>More prescriptive</w:t>
      </w:r>
      <w:r w:rsidR="00AF2C52" w:rsidRPr="00AF2C52">
        <w:rPr>
          <w:rFonts w:cs="Arial"/>
          <w:szCs w:val="22"/>
        </w:rPr>
        <w:t xml:space="preserve"> requirements for a </w:t>
      </w:r>
      <w:proofErr w:type="spellStart"/>
      <w:r w:rsidR="00AF2C52" w:rsidRPr="00AF2C52">
        <w:rPr>
          <w:rFonts w:cs="Arial"/>
          <w:szCs w:val="22"/>
        </w:rPr>
        <w:t>flowline</w:t>
      </w:r>
      <w:proofErr w:type="spellEnd"/>
      <w:r w:rsidR="00AF2C52" w:rsidRPr="00AF2C52">
        <w:rPr>
          <w:rFonts w:cs="Arial"/>
          <w:szCs w:val="22"/>
        </w:rPr>
        <w:t xml:space="preserve">/intra-facility gathering line maintenance program and an alternative compliance option of contingency planning for </w:t>
      </w:r>
      <w:proofErr w:type="spellStart"/>
      <w:r w:rsidR="00AF2C52" w:rsidRPr="00AF2C52">
        <w:rPr>
          <w:rFonts w:cs="Arial"/>
          <w:szCs w:val="22"/>
        </w:rPr>
        <w:t>flowlines</w:t>
      </w:r>
      <w:proofErr w:type="spellEnd"/>
      <w:r w:rsidR="00AF2C52" w:rsidRPr="00AF2C52">
        <w:rPr>
          <w:rFonts w:cs="Arial"/>
          <w:szCs w:val="22"/>
        </w:rPr>
        <w:t xml:space="preserve"> and intra-facility gathering lines in lieu of </w:t>
      </w:r>
      <w:r>
        <w:rPr>
          <w:rFonts w:cs="Arial"/>
          <w:szCs w:val="22"/>
        </w:rPr>
        <w:t>all</w:t>
      </w:r>
      <w:r w:rsidR="00AF2C52" w:rsidRPr="00AF2C52">
        <w:rPr>
          <w:rFonts w:cs="Arial"/>
          <w:szCs w:val="22"/>
        </w:rPr>
        <w:t xml:space="preserve"> secondary containment; and </w:t>
      </w:r>
    </w:p>
    <w:p w:rsidR="00AF2C52" w:rsidRPr="00AF2C52" w:rsidRDefault="00AF2C52" w:rsidP="002F14C2">
      <w:pPr>
        <w:numPr>
          <w:ilvl w:val="0"/>
          <w:numId w:val="20"/>
        </w:numPr>
        <w:rPr>
          <w:rFonts w:cs="Arial"/>
          <w:szCs w:val="22"/>
        </w:rPr>
      </w:pPr>
      <w:r w:rsidRPr="00AF2C52">
        <w:rPr>
          <w:rFonts w:cs="Arial"/>
          <w:szCs w:val="22"/>
        </w:rPr>
        <w:t>Clarifying the definition of “permanently closed” as it applies to oil production facilities and containers present at an oil production facility.</w:t>
      </w:r>
    </w:p>
    <w:p w:rsidR="00AF2C52" w:rsidRDefault="00AF2C52" w:rsidP="00AF2C52">
      <w:pPr>
        <w:rPr>
          <w:rFonts w:cs="Arial"/>
          <w:szCs w:val="22"/>
        </w:rPr>
      </w:pPr>
    </w:p>
    <w:p w:rsidR="0068633D" w:rsidRPr="00D178D9" w:rsidRDefault="009A6FE4" w:rsidP="00CA1201">
      <w:pPr>
        <w:ind w:firstLine="720"/>
      </w:pPr>
      <w:r>
        <w:rPr>
          <w:rFonts w:cs="Arial"/>
          <w:szCs w:val="22"/>
        </w:rPr>
        <w:t xml:space="preserve">In the November 2009 amendments, </w:t>
      </w:r>
      <w:r w:rsidR="00FD717D" w:rsidRPr="0029711F">
        <w:rPr>
          <w:rFonts w:cs="Arial"/>
          <w:szCs w:val="22"/>
        </w:rPr>
        <w:t>EPA</w:t>
      </w:r>
      <w:r w:rsidR="003004A8">
        <w:rPr>
          <w:rFonts w:cs="Arial"/>
          <w:szCs w:val="22"/>
        </w:rPr>
        <w:t xml:space="preserve"> also</w:t>
      </w:r>
      <w:r w:rsidR="00FD717D" w:rsidRPr="0029711F">
        <w:rPr>
          <w:rFonts w:cs="Arial"/>
          <w:szCs w:val="22"/>
        </w:rPr>
        <w:t xml:space="preserve"> </w:t>
      </w:r>
      <w:r w:rsidR="00121D48">
        <w:rPr>
          <w:rFonts w:cs="Arial"/>
          <w:szCs w:val="22"/>
        </w:rPr>
        <w:t xml:space="preserve">made </w:t>
      </w:r>
      <w:r w:rsidR="002948A3">
        <w:rPr>
          <w:rFonts w:cs="Arial"/>
          <w:szCs w:val="22"/>
        </w:rPr>
        <w:t xml:space="preserve">the following </w:t>
      </w:r>
      <w:r w:rsidR="00FD717D" w:rsidRPr="00D178D9">
        <w:t>technical corrections</w:t>
      </w:r>
      <w:r w:rsidR="00FD717D" w:rsidRPr="0029711F">
        <w:rPr>
          <w:rFonts w:cs="Arial"/>
          <w:szCs w:val="22"/>
        </w:rPr>
        <w:t xml:space="preserve"> </w:t>
      </w:r>
      <w:r w:rsidR="00FD717D">
        <w:rPr>
          <w:rFonts w:cs="Arial"/>
          <w:szCs w:val="22"/>
        </w:rPr>
        <w:t xml:space="preserve">to the </w:t>
      </w:r>
      <w:r w:rsidR="0068633D" w:rsidRPr="00D178D9">
        <w:t xml:space="preserve">following provisions </w:t>
      </w:r>
      <w:r>
        <w:t xml:space="preserve">that were </w:t>
      </w:r>
      <w:r w:rsidR="002948A3">
        <w:t>finalized in the December</w:t>
      </w:r>
      <w:r w:rsidR="0068633D" w:rsidRPr="00D178D9">
        <w:t xml:space="preserve"> 2008</w:t>
      </w:r>
      <w:r w:rsidR="002948A3">
        <w:t xml:space="preserve"> final rule</w:t>
      </w:r>
      <w:r w:rsidR="0068633D" w:rsidRPr="00D178D9">
        <w:t>:</w:t>
      </w:r>
    </w:p>
    <w:p w:rsidR="0068633D" w:rsidRPr="0068633D" w:rsidRDefault="002948A3" w:rsidP="0068633D">
      <w:pPr>
        <w:numPr>
          <w:ilvl w:val="0"/>
          <w:numId w:val="20"/>
        </w:numPr>
        <w:tabs>
          <w:tab w:val="num" w:pos="1080"/>
        </w:tabs>
        <w:rPr>
          <w:rFonts w:cs="Arial"/>
          <w:szCs w:val="22"/>
        </w:rPr>
      </w:pPr>
      <w:r>
        <w:rPr>
          <w:rFonts w:cs="Arial"/>
          <w:szCs w:val="22"/>
        </w:rPr>
        <w:t>Language related to the e</w:t>
      </w:r>
      <w:r w:rsidR="00665BE8" w:rsidRPr="00AF2C52">
        <w:rPr>
          <w:rFonts w:cs="Arial"/>
          <w:szCs w:val="22"/>
        </w:rPr>
        <w:t>xempti</w:t>
      </w:r>
      <w:r>
        <w:rPr>
          <w:rFonts w:cs="Arial"/>
          <w:szCs w:val="22"/>
        </w:rPr>
        <w:t>on of</w:t>
      </w:r>
      <w:r w:rsidR="00665BE8" w:rsidRPr="00AF2C52">
        <w:rPr>
          <w:rFonts w:cs="Arial"/>
          <w:szCs w:val="22"/>
        </w:rPr>
        <w:t xml:space="preserve"> </w:t>
      </w:r>
      <w:r w:rsidR="0068633D" w:rsidRPr="0068633D">
        <w:rPr>
          <w:rFonts w:cs="Arial"/>
          <w:szCs w:val="22"/>
        </w:rPr>
        <w:t>underground oil storage tanks that supply emergency diesel generators at nucl</w:t>
      </w:r>
      <w:r w:rsidR="00295774">
        <w:rPr>
          <w:rFonts w:cs="Arial"/>
          <w:szCs w:val="22"/>
        </w:rPr>
        <w:t>ear power generation facilities</w:t>
      </w:r>
      <w:r w:rsidR="0068633D" w:rsidRPr="0068633D">
        <w:rPr>
          <w:rFonts w:cs="Arial"/>
          <w:szCs w:val="22"/>
        </w:rPr>
        <w:t>;</w:t>
      </w:r>
    </w:p>
    <w:p w:rsidR="0068633D" w:rsidRPr="0068633D" w:rsidRDefault="002948A3" w:rsidP="0068633D">
      <w:pPr>
        <w:numPr>
          <w:ilvl w:val="0"/>
          <w:numId w:val="20"/>
        </w:numPr>
        <w:tabs>
          <w:tab w:val="num" w:pos="1080"/>
        </w:tabs>
        <w:rPr>
          <w:rFonts w:cs="Arial"/>
          <w:szCs w:val="22"/>
        </w:rPr>
      </w:pPr>
      <w:r>
        <w:rPr>
          <w:rFonts w:cs="Arial"/>
          <w:szCs w:val="22"/>
        </w:rPr>
        <w:t>Clarifications and corrections of typographical and formatting errors related to the d</w:t>
      </w:r>
      <w:r w:rsidR="0068633D" w:rsidRPr="0068633D">
        <w:rPr>
          <w:rFonts w:cs="Arial"/>
          <w:szCs w:val="22"/>
        </w:rPr>
        <w:t>esignati</w:t>
      </w:r>
      <w:r>
        <w:rPr>
          <w:rFonts w:cs="Arial"/>
          <w:szCs w:val="22"/>
        </w:rPr>
        <w:t>on of</w:t>
      </w:r>
      <w:r w:rsidR="0068633D" w:rsidRPr="0068633D">
        <w:rPr>
          <w:rFonts w:cs="Arial"/>
          <w:szCs w:val="22"/>
        </w:rPr>
        <w:t xml:space="preserve"> a subset of qualified facilities (“Tier I qualified facilities”) with a set of streamlined SPCC rule requirements</w:t>
      </w:r>
      <w:r>
        <w:rPr>
          <w:rFonts w:cs="Arial"/>
          <w:szCs w:val="22"/>
        </w:rPr>
        <w:t>; and</w:t>
      </w:r>
    </w:p>
    <w:p w:rsidR="006E104D" w:rsidRPr="00121D48" w:rsidRDefault="003A5C18" w:rsidP="0068633D">
      <w:pPr>
        <w:numPr>
          <w:ilvl w:val="0"/>
          <w:numId w:val="20"/>
        </w:numPr>
        <w:tabs>
          <w:tab w:val="num" w:pos="1080"/>
        </w:tabs>
        <w:rPr>
          <w:rFonts w:cs="Arial"/>
          <w:szCs w:val="22"/>
        </w:rPr>
      </w:pPr>
      <w:r w:rsidRPr="00AF2C52">
        <w:rPr>
          <w:rFonts w:cs="Arial"/>
          <w:szCs w:val="22"/>
        </w:rPr>
        <w:lastRenderedPageBreak/>
        <w:t>Amend</w:t>
      </w:r>
      <w:r w:rsidR="002948A3">
        <w:rPr>
          <w:rFonts w:cs="Arial"/>
          <w:szCs w:val="22"/>
        </w:rPr>
        <w:t>ment of</w:t>
      </w:r>
      <w:r w:rsidRPr="00AF2C52">
        <w:rPr>
          <w:rFonts w:cs="Arial"/>
          <w:szCs w:val="22"/>
        </w:rPr>
        <w:t xml:space="preserve"> </w:t>
      </w:r>
      <w:r w:rsidR="0068633D" w:rsidRPr="0068633D">
        <w:rPr>
          <w:rFonts w:cs="Arial"/>
          <w:szCs w:val="22"/>
        </w:rPr>
        <w:t>the compliance date provision for new oil production facilities, so that it applies to new oil production facilities that begin opera</w:t>
      </w:r>
      <w:r w:rsidR="00F95F3F">
        <w:rPr>
          <w:rFonts w:cs="Arial"/>
          <w:szCs w:val="22"/>
        </w:rPr>
        <w:t>tions after November 10, 2010.</w:t>
      </w:r>
      <w:r w:rsidR="0068633D" w:rsidRPr="0068633D">
        <w:rPr>
          <w:rFonts w:cs="Arial"/>
          <w:szCs w:val="22"/>
        </w:rPr>
        <w:t xml:space="preserve">  </w:t>
      </w:r>
    </w:p>
    <w:p w:rsidR="008A0E00" w:rsidRDefault="008A0E00" w:rsidP="008A0E00">
      <w:pPr>
        <w:rPr>
          <w:rFonts w:cs="Arial"/>
          <w:szCs w:val="22"/>
        </w:rPr>
      </w:pPr>
    </w:p>
    <w:p w:rsidR="002D2FEF" w:rsidRPr="00121D48" w:rsidRDefault="003F7AFF" w:rsidP="008A0E00">
      <w:pPr>
        <w:rPr>
          <w:rFonts w:cs="Arial"/>
          <w:szCs w:val="22"/>
        </w:rPr>
      </w:pPr>
      <w:r w:rsidRPr="00121D48">
        <w:rPr>
          <w:rFonts w:cs="Arial"/>
          <w:szCs w:val="22"/>
        </w:rPr>
        <w:t xml:space="preserve">Based on comments received and consideration of all relevant facts </w:t>
      </w:r>
      <w:r w:rsidR="009A6FE4" w:rsidRPr="00121D48">
        <w:rPr>
          <w:rFonts w:cs="Arial"/>
          <w:szCs w:val="22"/>
        </w:rPr>
        <w:t xml:space="preserve">in the November 2009 amendments, </w:t>
      </w:r>
      <w:r w:rsidRPr="00121D48">
        <w:rPr>
          <w:rFonts w:cs="Arial"/>
          <w:szCs w:val="22"/>
        </w:rPr>
        <w:t>EPA remov</w:t>
      </w:r>
      <w:r w:rsidR="00121D48">
        <w:rPr>
          <w:rFonts w:cs="Arial"/>
          <w:szCs w:val="22"/>
        </w:rPr>
        <w:t>ed</w:t>
      </w:r>
      <w:r w:rsidRPr="00121D48">
        <w:rPr>
          <w:rFonts w:cs="Arial"/>
          <w:szCs w:val="22"/>
        </w:rPr>
        <w:t xml:space="preserve"> </w:t>
      </w:r>
      <w:r w:rsidR="00496529" w:rsidRPr="00121D48">
        <w:rPr>
          <w:rFonts w:cs="Arial"/>
          <w:szCs w:val="22"/>
        </w:rPr>
        <w:t xml:space="preserve">the following </w:t>
      </w:r>
      <w:r w:rsidRPr="00121D48">
        <w:rPr>
          <w:rFonts w:cs="Arial"/>
          <w:szCs w:val="22"/>
        </w:rPr>
        <w:t>provisions:</w:t>
      </w:r>
    </w:p>
    <w:p w:rsidR="000F724C" w:rsidRPr="007A7DE3" w:rsidRDefault="002D2FEF" w:rsidP="002D2FEF">
      <w:pPr>
        <w:numPr>
          <w:ilvl w:val="0"/>
          <w:numId w:val="21"/>
        </w:numPr>
        <w:rPr>
          <w:rFonts w:cs="Arial"/>
          <w:color w:val="000000"/>
          <w:szCs w:val="22"/>
        </w:rPr>
      </w:pPr>
      <w:r w:rsidRPr="00121D48">
        <w:rPr>
          <w:rFonts w:cs="Arial"/>
          <w:szCs w:val="22"/>
        </w:rPr>
        <w:t>T</w:t>
      </w:r>
      <w:r w:rsidR="00ED4244" w:rsidRPr="00121D48">
        <w:rPr>
          <w:rFonts w:cs="Arial"/>
          <w:szCs w:val="22"/>
        </w:rPr>
        <w:t>he exclusion of oil production fac</w:t>
      </w:r>
      <w:r w:rsidR="00ED4244" w:rsidRPr="00D178D9">
        <w:t xml:space="preserve">ilities </w:t>
      </w:r>
      <w:r w:rsidR="00EF50FC">
        <w:t xml:space="preserve">and </w:t>
      </w:r>
      <w:r w:rsidR="00EF50FC" w:rsidRPr="00D178D9">
        <w:t xml:space="preserve">farms </w:t>
      </w:r>
      <w:r w:rsidR="00ED4244" w:rsidRPr="00D178D9">
        <w:t>from the loading/unloading rack requirements</w:t>
      </w:r>
      <w:r w:rsidR="00F85EA3" w:rsidRPr="00F85EA3">
        <w:t xml:space="preserve"> </w:t>
      </w:r>
      <w:r w:rsidR="00F85EA3" w:rsidRPr="007A7DE3">
        <w:rPr>
          <w:color w:val="000000"/>
        </w:rPr>
        <w:t>at §112.7(h)</w:t>
      </w:r>
      <w:r w:rsidR="00ED4244" w:rsidRPr="007A7DE3">
        <w:rPr>
          <w:color w:val="000000"/>
        </w:rPr>
        <w:t xml:space="preserve">; </w:t>
      </w:r>
    </w:p>
    <w:p w:rsidR="006B08EB" w:rsidRPr="007A7DE3" w:rsidRDefault="000F724C" w:rsidP="002D2FEF">
      <w:pPr>
        <w:numPr>
          <w:ilvl w:val="0"/>
          <w:numId w:val="21"/>
        </w:numPr>
        <w:rPr>
          <w:rFonts w:cs="Arial"/>
          <w:color w:val="000000"/>
          <w:szCs w:val="22"/>
        </w:rPr>
      </w:pPr>
      <w:r w:rsidRPr="007A7DE3">
        <w:rPr>
          <w:color w:val="000000"/>
        </w:rPr>
        <w:t>T</w:t>
      </w:r>
      <w:r w:rsidR="00ED4244" w:rsidRPr="007A7DE3">
        <w:rPr>
          <w:color w:val="000000"/>
        </w:rPr>
        <w:t xml:space="preserve">he exemption for produced water containers at an oil production facility; </w:t>
      </w:r>
    </w:p>
    <w:p w:rsidR="000F724C" w:rsidRPr="000F724C" w:rsidRDefault="00853654" w:rsidP="002D2FEF">
      <w:pPr>
        <w:numPr>
          <w:ilvl w:val="0"/>
          <w:numId w:val="21"/>
        </w:numPr>
        <w:rPr>
          <w:rFonts w:cs="Arial"/>
          <w:szCs w:val="22"/>
        </w:rPr>
      </w:pPr>
      <w:r w:rsidRPr="007A7DE3">
        <w:rPr>
          <w:color w:val="000000"/>
        </w:rPr>
        <w:t>T</w:t>
      </w:r>
      <w:r w:rsidR="00ED4244" w:rsidRPr="007A7DE3">
        <w:rPr>
          <w:color w:val="000000"/>
        </w:rPr>
        <w:t>he alternative qualified facil</w:t>
      </w:r>
      <w:r w:rsidR="00ED4244" w:rsidRPr="00D178D9">
        <w:t>ity eligibility criteria for an oil production facility</w:t>
      </w:r>
      <w:r w:rsidR="00B51F38" w:rsidRPr="00D178D9">
        <w:t>.</w:t>
      </w:r>
      <w:r w:rsidR="003F7AFF" w:rsidRPr="00E33295">
        <w:t xml:space="preserve">  </w:t>
      </w:r>
    </w:p>
    <w:p w:rsidR="00541A1C" w:rsidRDefault="00541A1C" w:rsidP="000F724C"/>
    <w:p w:rsidR="003601CC" w:rsidRPr="00854FC2" w:rsidRDefault="00FC1FC6" w:rsidP="003049ED">
      <w:pPr>
        <w:rPr>
          <w:rFonts w:cs="Arial"/>
          <w:szCs w:val="22"/>
        </w:rPr>
      </w:pPr>
      <w:r>
        <w:t xml:space="preserve">Finally, </w:t>
      </w:r>
      <w:r w:rsidR="00DD1B61">
        <w:t>on April 18, 2011, EPA amended</w:t>
      </w:r>
      <w:r w:rsidR="00DD1B61" w:rsidRPr="00DD1B61">
        <w:t xml:space="preserve"> the </w:t>
      </w:r>
      <w:r w:rsidR="00DD1B61">
        <w:t xml:space="preserve">SPCC </w:t>
      </w:r>
      <w:r w:rsidR="00DD1B61" w:rsidRPr="00DD1B61">
        <w:t>rule to exempt all milk and milk</w:t>
      </w:r>
      <w:r w:rsidR="00DD1B61">
        <w:t xml:space="preserve"> </w:t>
      </w:r>
      <w:r w:rsidR="00DD1B61" w:rsidRPr="00DD1B61">
        <w:t>product containers and associated</w:t>
      </w:r>
      <w:r w:rsidR="00DD1B61">
        <w:t xml:space="preserve"> </w:t>
      </w:r>
      <w:r w:rsidR="00DD1B61" w:rsidRPr="00DD1B61">
        <w:t>piping and appurtenances from the</w:t>
      </w:r>
      <w:r w:rsidR="00DD1B61">
        <w:t xml:space="preserve"> </w:t>
      </w:r>
      <w:r w:rsidR="00DD1B61" w:rsidRPr="00DD1B61">
        <w:t>SPCC requirements</w:t>
      </w:r>
      <w:r w:rsidR="00DD1B61">
        <w:t xml:space="preserve"> (76 FR 21652)</w:t>
      </w:r>
      <w:r w:rsidR="00DD1B61" w:rsidRPr="00DD1B61">
        <w:t>.</w:t>
      </w:r>
      <w:r w:rsidR="003049ED">
        <w:t xml:space="preserve"> </w:t>
      </w:r>
      <w:r w:rsidR="003F7AFF" w:rsidRPr="00E33295">
        <w:t xml:space="preserve">This </w:t>
      </w:r>
      <w:r w:rsidR="00911F12">
        <w:t>supporting statement</w:t>
      </w:r>
      <w:r w:rsidR="003F7AFF" w:rsidRPr="00E33295">
        <w:t xml:space="preserve"> </w:t>
      </w:r>
      <w:r w:rsidR="00A52B94">
        <w:t xml:space="preserve">contains </w:t>
      </w:r>
      <w:r w:rsidR="003F7AFF" w:rsidRPr="00E33295">
        <w:t xml:space="preserve">the </w:t>
      </w:r>
      <w:r w:rsidR="00911F12">
        <w:t>paperwork</w:t>
      </w:r>
      <w:r w:rsidR="00BE0011">
        <w:t>-</w:t>
      </w:r>
      <w:r w:rsidR="00911F12">
        <w:t xml:space="preserve">related burden </w:t>
      </w:r>
      <w:r w:rsidR="003F3947">
        <w:t xml:space="preserve">of SPCC Plans as amended by </w:t>
      </w:r>
      <w:r w:rsidR="003F7AFF" w:rsidRPr="00E33295">
        <w:t xml:space="preserve">the </w:t>
      </w:r>
      <w:r w:rsidR="001229BD" w:rsidRPr="00E33295">
        <w:t>20</w:t>
      </w:r>
      <w:r w:rsidR="001229BD">
        <w:t>11</w:t>
      </w:r>
      <w:r w:rsidR="003049ED">
        <w:t xml:space="preserve"> </w:t>
      </w:r>
      <w:r w:rsidR="003F7AFF" w:rsidRPr="00E33295">
        <w:t>final</w:t>
      </w:r>
      <w:r w:rsidR="003049ED">
        <w:t xml:space="preserve"> </w:t>
      </w:r>
      <w:r w:rsidR="003F7AFF" w:rsidRPr="00E33295">
        <w:t>amendments</w:t>
      </w:r>
      <w:r w:rsidR="001229BD">
        <w:t xml:space="preserve"> to exempt milk and milk product containers from the SPCC rule</w:t>
      </w:r>
      <w:r w:rsidR="00515731">
        <w:t xml:space="preserve">. </w:t>
      </w:r>
    </w:p>
    <w:p w:rsidR="00D85665" w:rsidRDefault="00D85665">
      <w:pPr>
        <w:rPr>
          <w:rFonts w:cs="Arial"/>
          <w:szCs w:val="22"/>
        </w:rPr>
      </w:pPr>
    </w:p>
    <w:p w:rsidR="00D85665" w:rsidRPr="00854FC2" w:rsidRDefault="00D85665">
      <w:pPr>
        <w:rPr>
          <w:rFonts w:cs="Arial"/>
          <w:szCs w:val="22"/>
        </w:rPr>
      </w:pPr>
      <w:r w:rsidRPr="00854FC2">
        <w:rPr>
          <w:rFonts w:cs="Arial"/>
          <w:b/>
          <w:bCs/>
          <w:szCs w:val="22"/>
        </w:rPr>
        <w:tab/>
        <w:t xml:space="preserve">2(b) </w:t>
      </w:r>
      <w:r w:rsidRPr="00854FC2">
        <w:rPr>
          <w:rFonts w:cs="Arial"/>
          <w:b/>
          <w:bCs/>
          <w:szCs w:val="22"/>
        </w:rPr>
        <w:tab/>
        <w:t>Practical Utility/Users of the Data</w:t>
      </w:r>
    </w:p>
    <w:p w:rsidR="00D85665" w:rsidRPr="00854FC2" w:rsidRDefault="00D85665">
      <w:pPr>
        <w:rPr>
          <w:rFonts w:cs="Arial"/>
          <w:szCs w:val="22"/>
        </w:rPr>
      </w:pPr>
    </w:p>
    <w:p w:rsidR="00D85665" w:rsidRPr="00854FC2" w:rsidRDefault="002348E6" w:rsidP="00CA1201">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EPA does not</w:t>
      </w:r>
      <w:r w:rsidR="00595AC1" w:rsidRPr="00595AC1">
        <w:rPr>
          <w:rFonts w:cs="Arial"/>
          <w:szCs w:val="22"/>
        </w:rPr>
        <w:t xml:space="preserve"> </w:t>
      </w:r>
      <w:r w:rsidR="00595AC1">
        <w:rPr>
          <w:rFonts w:cs="Arial"/>
          <w:szCs w:val="22"/>
        </w:rPr>
        <w:t>routinely</w:t>
      </w:r>
      <w:r w:rsidR="00D85665" w:rsidRPr="00854FC2">
        <w:rPr>
          <w:rFonts w:cs="Arial"/>
          <w:szCs w:val="22"/>
        </w:rPr>
        <w:t xml:space="preserve"> collect SPCC Plans or related records from </w:t>
      </w:r>
      <w:r w:rsidR="00034CE0">
        <w:rPr>
          <w:rFonts w:cs="Arial"/>
          <w:szCs w:val="22"/>
        </w:rPr>
        <w:t xml:space="preserve">SPCC regulated </w:t>
      </w:r>
      <w:r w:rsidR="00D85665" w:rsidRPr="00854FC2">
        <w:rPr>
          <w:rFonts w:cs="Arial"/>
          <w:szCs w:val="22"/>
        </w:rPr>
        <w:t>facilities.  Preparation, implementation, and maintenance of the SPCC Plan by the facility owner or operator helps prevent oil discharges and mitigate the environmental damage caused by such discharges.  Therefore, the primary user of the data is the facility owner or operator.  For example:</w:t>
      </w:r>
    </w:p>
    <w:p w:rsidR="00D85665" w:rsidRPr="00854FC2" w:rsidRDefault="00D85665">
      <w:pPr>
        <w:rPr>
          <w:rFonts w:cs="Arial"/>
          <w:szCs w:val="22"/>
        </w:rPr>
      </w:pPr>
    </w:p>
    <w:p w:rsidR="00D85665" w:rsidRPr="00854FC2" w:rsidRDefault="00D85665">
      <w:pPr>
        <w:pStyle w:val="Level1"/>
        <w:numPr>
          <w:ilvl w:val="0"/>
          <w:numId w:val="11"/>
        </w:numPr>
        <w:tabs>
          <w:tab w:val="left" w:pos="720"/>
        </w:tabs>
        <w:rPr>
          <w:rFonts w:cs="Arial"/>
          <w:szCs w:val="22"/>
        </w:rPr>
      </w:pPr>
      <w:r w:rsidRPr="00854FC2">
        <w:rPr>
          <w:rFonts w:cs="Arial"/>
          <w:szCs w:val="22"/>
        </w:rPr>
        <w:t>Accumulating the necessary data requires that the facility staff analyze the facility measures and procedures for preventing oil discharges, facilitating safety awareness, and promoting appropriate modifications to facility design and operations;</w:t>
      </w:r>
    </w:p>
    <w:p w:rsidR="00D85665" w:rsidRPr="00854FC2" w:rsidRDefault="00D85665">
      <w:pPr>
        <w:pStyle w:val="Level1"/>
        <w:tabs>
          <w:tab w:val="left" w:pos="720"/>
        </w:tabs>
        <w:ind w:left="0"/>
        <w:rPr>
          <w:rFonts w:cs="Arial"/>
          <w:szCs w:val="22"/>
        </w:rPr>
      </w:pPr>
    </w:p>
    <w:p w:rsidR="00D85665" w:rsidRPr="00854FC2" w:rsidRDefault="00D85665">
      <w:pPr>
        <w:pStyle w:val="Level1"/>
        <w:numPr>
          <w:ilvl w:val="0"/>
          <w:numId w:val="11"/>
        </w:numPr>
        <w:tabs>
          <w:tab w:val="left" w:pos="720"/>
        </w:tabs>
        <w:rPr>
          <w:rFonts w:cs="Arial"/>
          <w:szCs w:val="22"/>
        </w:rPr>
      </w:pPr>
      <w:r w:rsidRPr="00854FC2">
        <w:rPr>
          <w:rFonts w:cs="Arial"/>
          <w:szCs w:val="22"/>
        </w:rPr>
        <w:t>Having the required information in a single document promotes efficient response in the event of a discharge;</w:t>
      </w:r>
    </w:p>
    <w:p w:rsidR="00D85665" w:rsidRPr="00854FC2" w:rsidRDefault="00D85665">
      <w:pPr>
        <w:pStyle w:val="Level1"/>
        <w:tabs>
          <w:tab w:val="left" w:pos="720"/>
        </w:tabs>
        <w:ind w:left="0" w:firstLine="1440"/>
        <w:rPr>
          <w:rFonts w:cs="Arial"/>
          <w:szCs w:val="22"/>
        </w:rPr>
      </w:pPr>
    </w:p>
    <w:p w:rsidR="00D85665" w:rsidRPr="00854FC2" w:rsidRDefault="00D85665">
      <w:pPr>
        <w:pStyle w:val="Level1"/>
        <w:numPr>
          <w:ilvl w:val="0"/>
          <w:numId w:val="11"/>
        </w:numPr>
        <w:tabs>
          <w:tab w:val="left" w:pos="720"/>
        </w:tabs>
        <w:rPr>
          <w:rFonts w:cs="Arial"/>
          <w:szCs w:val="22"/>
        </w:rPr>
      </w:pPr>
      <w:r w:rsidRPr="00854FC2">
        <w:rPr>
          <w:rFonts w:cs="Arial"/>
          <w:szCs w:val="22"/>
        </w:rPr>
        <w:t xml:space="preserve">Implementing the Plan according to the specifications of 40 CFR part 112 requires meeting certain design and operational standards that reduce the likelihood of an oil discharge; </w:t>
      </w:r>
    </w:p>
    <w:p w:rsidR="00D85665" w:rsidRPr="00854FC2" w:rsidRDefault="00D85665">
      <w:pPr>
        <w:pStyle w:val="Level1"/>
        <w:tabs>
          <w:tab w:val="left" w:pos="720"/>
        </w:tabs>
        <w:ind w:left="0" w:firstLine="720"/>
        <w:rPr>
          <w:rFonts w:cs="Arial"/>
          <w:szCs w:val="22"/>
        </w:rPr>
      </w:pPr>
    </w:p>
    <w:p w:rsidR="00D85665" w:rsidRPr="00854FC2" w:rsidRDefault="00D85665">
      <w:pPr>
        <w:pStyle w:val="Level1"/>
        <w:numPr>
          <w:ilvl w:val="0"/>
          <w:numId w:val="11"/>
        </w:numPr>
        <w:tabs>
          <w:tab w:val="left" w:pos="720"/>
        </w:tabs>
        <w:rPr>
          <w:rFonts w:cs="Arial"/>
          <w:szCs w:val="22"/>
        </w:rPr>
      </w:pPr>
      <w:r w:rsidRPr="00854FC2">
        <w:rPr>
          <w:rFonts w:cs="Arial"/>
          <w:szCs w:val="22"/>
        </w:rPr>
        <w:t>Keeping inspection records promotes important maintenance, facilitates leak detection, and demonstrates compliance with the SPCC requirements; and</w:t>
      </w:r>
    </w:p>
    <w:p w:rsidR="00D85665" w:rsidRPr="00854FC2" w:rsidRDefault="00D85665">
      <w:pPr>
        <w:pStyle w:val="Level1"/>
        <w:tabs>
          <w:tab w:val="left" w:pos="720"/>
        </w:tabs>
        <w:ind w:left="0" w:firstLine="1440"/>
        <w:rPr>
          <w:rFonts w:cs="Arial"/>
          <w:szCs w:val="22"/>
        </w:rPr>
      </w:pPr>
    </w:p>
    <w:p w:rsidR="00D85665" w:rsidRPr="00854FC2" w:rsidRDefault="00D85665">
      <w:pPr>
        <w:pStyle w:val="Level1"/>
        <w:numPr>
          <w:ilvl w:val="0"/>
          <w:numId w:val="11"/>
        </w:numPr>
        <w:tabs>
          <w:tab w:val="left" w:pos="720"/>
        </w:tabs>
        <w:rPr>
          <w:rFonts w:cs="Arial"/>
          <w:szCs w:val="22"/>
        </w:rPr>
      </w:pPr>
      <w:r w:rsidRPr="00854FC2">
        <w:rPr>
          <w:rFonts w:cs="Arial"/>
          <w:szCs w:val="22"/>
        </w:rPr>
        <w:t>Reviewing the Plan periodically ensures the implementation of more effective spill prevention control technology as it becomes available and is demonstrated to be effective.</w:t>
      </w:r>
    </w:p>
    <w:p w:rsidR="00D85665" w:rsidRPr="00854FC2" w:rsidRDefault="00D85665">
      <w:pPr>
        <w:numPr>
          <w:ilvl w:val="12"/>
          <w:numId w:val="0"/>
        </w:numPr>
        <w:rPr>
          <w:rFonts w:cs="Arial"/>
          <w:szCs w:val="22"/>
        </w:rPr>
      </w:pPr>
      <w:r w:rsidRPr="00854FC2">
        <w:rPr>
          <w:rFonts w:cs="Arial"/>
          <w:szCs w:val="22"/>
        </w:rPr>
        <w:tab/>
      </w:r>
      <w:r w:rsidRPr="00854FC2">
        <w:rPr>
          <w:rFonts w:cs="Arial"/>
          <w:szCs w:val="22"/>
        </w:rPr>
        <w:tab/>
      </w:r>
      <w:r w:rsidRPr="00854FC2">
        <w:rPr>
          <w:rFonts w:cs="Arial"/>
          <w:szCs w:val="22"/>
        </w:rPr>
        <w:tab/>
      </w:r>
      <w:r w:rsidRPr="00854FC2">
        <w:rPr>
          <w:rFonts w:cs="Arial"/>
          <w:szCs w:val="22"/>
        </w:rPr>
        <w:tab/>
      </w:r>
    </w:p>
    <w:p w:rsidR="00D85665" w:rsidRPr="00854FC2" w:rsidRDefault="00D85665" w:rsidP="00CA1201">
      <w:pPr>
        <w:numPr>
          <w:ilvl w:val="12"/>
          <w:numId w:val="0"/>
        </w:numPr>
        <w:ind w:firstLine="720"/>
        <w:rPr>
          <w:rFonts w:cs="Arial"/>
          <w:szCs w:val="22"/>
        </w:rPr>
      </w:pPr>
      <w:r w:rsidRPr="00854FC2">
        <w:rPr>
          <w:rFonts w:cs="Arial"/>
          <w:szCs w:val="22"/>
        </w:rPr>
        <w:t xml:space="preserve">Although facility personnel are the primary users of the data, EPA </w:t>
      </w:r>
      <w:r w:rsidR="00640422">
        <w:rPr>
          <w:rFonts w:cs="Arial"/>
          <w:szCs w:val="22"/>
        </w:rPr>
        <w:t xml:space="preserve">may </w:t>
      </w:r>
      <w:r w:rsidRPr="00854FC2">
        <w:rPr>
          <w:rFonts w:cs="Arial"/>
          <w:szCs w:val="22"/>
        </w:rPr>
        <w:t xml:space="preserve">use the data in certain situations. EPA’s primary use of the data contained in an SPCC Plan is </w:t>
      </w:r>
      <w:r w:rsidR="00EA5D1F">
        <w:rPr>
          <w:rFonts w:cs="Arial"/>
          <w:szCs w:val="22"/>
        </w:rPr>
        <w:t xml:space="preserve">through inspection </w:t>
      </w:r>
      <w:r w:rsidRPr="00854FC2">
        <w:rPr>
          <w:rFonts w:cs="Arial"/>
          <w:szCs w:val="22"/>
        </w:rPr>
        <w:t xml:space="preserve">to ensure that a facility is in full compliance with all elements of the SPCC rule, including design and operation specifications and inspection requirements. For example, EPA reviews SPCC Plans as part of EPA’s inspection program. </w:t>
      </w:r>
      <w:r w:rsidR="007F09B7">
        <w:rPr>
          <w:rFonts w:cs="Arial"/>
          <w:szCs w:val="22"/>
        </w:rPr>
        <w:t xml:space="preserve">However, inspection-related activities are not covered by this ICR. </w:t>
      </w:r>
      <w:r w:rsidR="00C53D8B">
        <w:rPr>
          <w:rFonts w:cs="Arial"/>
          <w:szCs w:val="22"/>
        </w:rPr>
        <w:t xml:space="preserve"> </w:t>
      </w:r>
      <w:r w:rsidRPr="00854FC2">
        <w:rPr>
          <w:rFonts w:cs="Arial"/>
          <w:szCs w:val="22"/>
        </w:rPr>
        <w:t xml:space="preserve">A Regional Administrator may require a facility owner or operator </w:t>
      </w:r>
      <w:r w:rsidRPr="00854FC2">
        <w:rPr>
          <w:rFonts w:cs="Arial"/>
          <w:szCs w:val="22"/>
        </w:rPr>
        <w:lastRenderedPageBreak/>
        <w:t>to amend an SPCC Plan if he/she finds that the facility has not met the requirements of the regulation</w:t>
      </w:r>
      <w:r w:rsidR="00EA5D1F">
        <w:rPr>
          <w:rFonts w:cs="Arial"/>
          <w:szCs w:val="22"/>
        </w:rPr>
        <w:t>, has an oil spill</w:t>
      </w:r>
      <w:r w:rsidRPr="00854FC2">
        <w:rPr>
          <w:rFonts w:cs="Arial"/>
          <w:szCs w:val="22"/>
        </w:rPr>
        <w:t xml:space="preserve"> or if amendment of the Plan is necessary to prevent and contain discharges of oil.</w:t>
      </w:r>
    </w:p>
    <w:p w:rsidR="00D85665" w:rsidRPr="00854FC2" w:rsidRDefault="00D85665">
      <w:pPr>
        <w:numPr>
          <w:ilvl w:val="12"/>
          <w:numId w:val="0"/>
        </w:numPr>
        <w:rPr>
          <w:rFonts w:cs="Arial"/>
          <w:szCs w:val="22"/>
        </w:rPr>
      </w:pPr>
    </w:p>
    <w:p w:rsidR="00D85665" w:rsidRPr="00854FC2" w:rsidRDefault="00D85665" w:rsidP="00CA1201">
      <w:pPr>
        <w:numPr>
          <w:ilvl w:val="12"/>
          <w:numId w:val="0"/>
        </w:numPr>
        <w:ind w:firstLine="720"/>
        <w:rPr>
          <w:rFonts w:cs="Arial"/>
          <w:szCs w:val="22"/>
        </w:rPr>
      </w:pPr>
      <w:r w:rsidRPr="00854FC2">
        <w:rPr>
          <w:rFonts w:cs="Arial"/>
          <w:szCs w:val="22"/>
        </w:rPr>
        <w:t>State and local governments are also users of the data.</w:t>
      </w:r>
      <w:r w:rsidR="00C53D8B">
        <w:rPr>
          <w:rFonts w:cs="Arial"/>
          <w:szCs w:val="22"/>
        </w:rPr>
        <w:t xml:space="preserve"> </w:t>
      </w:r>
      <w:r w:rsidRPr="00854FC2">
        <w:rPr>
          <w:rFonts w:cs="Arial"/>
          <w:szCs w:val="22"/>
        </w:rPr>
        <w:t xml:space="preserve">The information provided in SPCC Plans (e.g., facility configuration and potential risks) is not necessarily available elsewhere and assists local emergency preparedness planning efforts. The Plan </w:t>
      </w:r>
      <w:r w:rsidR="009C3332">
        <w:rPr>
          <w:rFonts w:cs="Arial"/>
          <w:szCs w:val="22"/>
        </w:rPr>
        <w:t>should</w:t>
      </w:r>
      <w:r w:rsidR="009C3332" w:rsidRPr="00854FC2">
        <w:rPr>
          <w:rFonts w:cs="Arial"/>
          <w:szCs w:val="22"/>
        </w:rPr>
        <w:t xml:space="preserve"> </w:t>
      </w:r>
      <w:r w:rsidRPr="00854FC2">
        <w:rPr>
          <w:rFonts w:cs="Arial"/>
          <w:szCs w:val="22"/>
        </w:rPr>
        <w:t xml:space="preserve">be compatible and coordinated with local emergency plans, including those developed under Title III of the Superfund Amendments and Reauthorization Act of 1986 (Pub. L. 99-499).  Coordination with state governments is facilitated by the provision in §112.4(c) requiring that, after certain discharges, information on the discharge be sent to the relevant state </w:t>
      </w:r>
      <w:r w:rsidR="00EA5D1F">
        <w:rPr>
          <w:rFonts w:cs="Arial"/>
          <w:szCs w:val="22"/>
        </w:rPr>
        <w:t xml:space="preserve">and local </w:t>
      </w:r>
      <w:r w:rsidRPr="00854FC2">
        <w:rPr>
          <w:rFonts w:cs="Arial"/>
          <w:szCs w:val="22"/>
        </w:rPr>
        <w:t>agencies. The flexibility with respect to Plan formatting promotes greater coordination with state planning efforts by encouraging the use of plans prepared pursuant to state regulations.</w:t>
      </w:r>
    </w:p>
    <w:p w:rsidR="00D85665" w:rsidRPr="00854FC2" w:rsidRDefault="00D85665">
      <w:pPr>
        <w:numPr>
          <w:ilvl w:val="12"/>
          <w:numId w:val="0"/>
        </w:numPr>
        <w:rPr>
          <w:rFonts w:cs="Arial"/>
          <w:szCs w:val="22"/>
        </w:rPr>
      </w:pPr>
    </w:p>
    <w:p w:rsidR="00D85665" w:rsidRPr="00854FC2" w:rsidRDefault="00D85665">
      <w:pPr>
        <w:keepNext/>
        <w:keepLines/>
        <w:numPr>
          <w:ilvl w:val="12"/>
          <w:numId w:val="0"/>
        </w:numPr>
        <w:ind w:left="720" w:hanging="720"/>
        <w:rPr>
          <w:rFonts w:cs="Arial"/>
          <w:szCs w:val="22"/>
        </w:rPr>
      </w:pPr>
      <w:r w:rsidRPr="00854FC2">
        <w:rPr>
          <w:rFonts w:cs="Arial"/>
          <w:b/>
          <w:bCs/>
          <w:szCs w:val="22"/>
        </w:rPr>
        <w:t>3.</w:t>
      </w:r>
      <w:r w:rsidRPr="00854FC2">
        <w:rPr>
          <w:rFonts w:cs="Arial"/>
          <w:b/>
          <w:bCs/>
          <w:szCs w:val="22"/>
        </w:rPr>
        <w:tab/>
        <w:t>NONDUPLICATION, CONSULTATIONS, AND OTHER COLLECTION CRITERIA</w:t>
      </w:r>
    </w:p>
    <w:p w:rsidR="00D85665" w:rsidRPr="00854FC2" w:rsidRDefault="00D85665">
      <w:pPr>
        <w:keepNext/>
        <w:numPr>
          <w:ilvl w:val="12"/>
          <w:numId w:val="0"/>
        </w:numPr>
        <w:rPr>
          <w:rFonts w:cs="Arial"/>
          <w:szCs w:val="22"/>
        </w:rPr>
      </w:pPr>
    </w:p>
    <w:p w:rsidR="00D85665" w:rsidRPr="00854FC2" w:rsidRDefault="00D85665">
      <w:pPr>
        <w:keepNext/>
        <w:numPr>
          <w:ilvl w:val="12"/>
          <w:numId w:val="0"/>
        </w:numPr>
        <w:tabs>
          <w:tab w:val="left" w:pos="720"/>
          <w:tab w:val="left" w:pos="1440"/>
        </w:tabs>
        <w:ind w:left="1440" w:hanging="1440"/>
        <w:rPr>
          <w:rFonts w:cs="Arial"/>
          <w:szCs w:val="22"/>
        </w:rPr>
      </w:pPr>
      <w:r w:rsidRPr="00854FC2">
        <w:rPr>
          <w:rFonts w:cs="Arial"/>
          <w:b/>
          <w:bCs/>
          <w:szCs w:val="22"/>
        </w:rPr>
        <w:tab/>
        <w:t>3(a)</w:t>
      </w:r>
      <w:r w:rsidR="000F5676">
        <w:rPr>
          <w:rFonts w:cs="Arial"/>
          <w:b/>
          <w:bCs/>
          <w:szCs w:val="22"/>
        </w:rPr>
        <w:t xml:space="preserve"> </w:t>
      </w:r>
      <w:r w:rsidRPr="00854FC2">
        <w:rPr>
          <w:rFonts w:cs="Arial"/>
          <w:b/>
          <w:bCs/>
          <w:szCs w:val="22"/>
        </w:rPr>
        <w:t>Non</w:t>
      </w:r>
      <w:r w:rsidR="000F5676">
        <w:rPr>
          <w:rFonts w:cs="Arial"/>
          <w:b/>
          <w:bCs/>
          <w:szCs w:val="22"/>
        </w:rPr>
        <w:t>-</w:t>
      </w:r>
      <w:r w:rsidRPr="00854FC2">
        <w:rPr>
          <w:rFonts w:cs="Arial"/>
          <w:b/>
          <w:bCs/>
          <w:szCs w:val="22"/>
        </w:rPr>
        <w:t>duplication</w:t>
      </w:r>
    </w:p>
    <w:p w:rsidR="00D85665" w:rsidRPr="00854FC2" w:rsidRDefault="00D85665">
      <w:pPr>
        <w:keepNext/>
        <w:numPr>
          <w:ilvl w:val="12"/>
          <w:numId w:val="0"/>
        </w:numPr>
        <w:rPr>
          <w:rFonts w:cs="Arial"/>
          <w:szCs w:val="22"/>
        </w:rPr>
      </w:pPr>
    </w:p>
    <w:p w:rsidR="00D85665" w:rsidRPr="00854FC2" w:rsidRDefault="002348E6" w:rsidP="00CA1201">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For some facilities, certain requirements of the Oil Pollution Prevention regulation could be the same or substantially similar to regulations addressing underground storage tanks (USTs).  The SPCC rule addresses this overlap by exempting completely buried tanks subject to all of the technical requirements of EPA’s UST program (40 CFR part 280) or a state program approved under 40 CFR part 281.</w:t>
      </w:r>
      <w:r w:rsidR="005F23E7">
        <w:rPr>
          <w:rFonts w:cs="Arial"/>
          <w:szCs w:val="22"/>
        </w:rPr>
        <w:t xml:space="preserve"> </w:t>
      </w:r>
    </w:p>
    <w:p w:rsidR="00D85665" w:rsidRPr="00854FC2" w:rsidRDefault="00D85665">
      <w:pPr>
        <w:rPr>
          <w:rFonts w:cs="Arial"/>
          <w:szCs w:val="22"/>
        </w:rPr>
      </w:pPr>
    </w:p>
    <w:p w:rsidR="00D85665" w:rsidRPr="00854FC2" w:rsidRDefault="00D85665" w:rsidP="00CA1201">
      <w:pPr>
        <w:numPr>
          <w:ilvl w:val="12"/>
          <w:numId w:val="0"/>
        </w:numPr>
        <w:ind w:firstLine="720"/>
        <w:rPr>
          <w:rFonts w:cs="Arial"/>
          <w:szCs w:val="22"/>
        </w:rPr>
      </w:pPr>
      <w:r w:rsidRPr="00854FC2">
        <w:rPr>
          <w:rFonts w:cs="Arial"/>
          <w:szCs w:val="22"/>
        </w:rPr>
        <w:t xml:space="preserve">The regulation allows considerable flexibility in Plan preparation and recordkeeping. The </w:t>
      </w:r>
      <w:r w:rsidR="009C3332">
        <w:rPr>
          <w:rFonts w:cs="Arial"/>
          <w:szCs w:val="22"/>
        </w:rPr>
        <w:t>regulation</w:t>
      </w:r>
      <w:r w:rsidR="009C3332" w:rsidRPr="00854FC2">
        <w:rPr>
          <w:rFonts w:cs="Arial"/>
          <w:szCs w:val="22"/>
        </w:rPr>
        <w:t xml:space="preserve"> </w:t>
      </w:r>
      <w:r w:rsidRPr="00854FC2">
        <w:rPr>
          <w:rFonts w:cs="Arial"/>
          <w:szCs w:val="22"/>
        </w:rPr>
        <w:t>allows the use of alternative, appropriately cross-referenced formats based on other state or other federal requirements. Greater flexibility is also provided for facility recordkeeping practices, as records required pursuant to the National Pollutant Discharge Elimination System (NPDES) program and API Standards may satisfy certain SPCC recordkeeping requirements.  Records kept under usual and customary business practices are also accepted for inspections, tests, and records.</w:t>
      </w:r>
      <w:r w:rsidRPr="00854FC2">
        <w:rPr>
          <w:rFonts w:cs="Arial"/>
          <w:szCs w:val="22"/>
        </w:rPr>
        <w:tab/>
      </w:r>
    </w:p>
    <w:p w:rsidR="00D85665" w:rsidRPr="00854FC2" w:rsidRDefault="00D85665">
      <w:pPr>
        <w:numPr>
          <w:ilvl w:val="12"/>
          <w:numId w:val="0"/>
        </w:numPr>
        <w:rPr>
          <w:rFonts w:cs="Arial"/>
          <w:szCs w:val="22"/>
        </w:rPr>
      </w:pPr>
      <w:r w:rsidRPr="00854FC2">
        <w:rPr>
          <w:rFonts w:cs="Arial"/>
          <w:szCs w:val="22"/>
        </w:rPr>
        <w:tab/>
      </w:r>
    </w:p>
    <w:p w:rsidR="00FF1FE4" w:rsidRDefault="00D85665">
      <w:pPr>
        <w:keepNext/>
        <w:keepLines/>
        <w:numPr>
          <w:ilvl w:val="12"/>
          <w:numId w:val="0"/>
        </w:numPr>
        <w:rPr>
          <w:rFonts w:cs="Arial"/>
          <w:bCs/>
          <w:szCs w:val="22"/>
        </w:rPr>
      </w:pPr>
      <w:r w:rsidRPr="00854FC2">
        <w:rPr>
          <w:rFonts w:cs="Arial"/>
          <w:b/>
          <w:bCs/>
          <w:szCs w:val="22"/>
        </w:rPr>
        <w:tab/>
        <w:t>3(b)</w:t>
      </w:r>
      <w:r w:rsidR="000F5676">
        <w:rPr>
          <w:rFonts w:cs="Arial"/>
          <w:b/>
          <w:bCs/>
          <w:szCs w:val="22"/>
        </w:rPr>
        <w:t xml:space="preserve"> </w:t>
      </w:r>
      <w:r w:rsidRPr="00854FC2">
        <w:rPr>
          <w:rFonts w:cs="Arial"/>
          <w:b/>
          <w:bCs/>
          <w:szCs w:val="22"/>
        </w:rPr>
        <w:t>Public Notice Required Prior to ICR Submission to OMB</w:t>
      </w:r>
    </w:p>
    <w:p w:rsidR="00FF1FE4" w:rsidRDefault="00FF1FE4">
      <w:pPr>
        <w:keepNext/>
        <w:keepLines/>
        <w:numPr>
          <w:ilvl w:val="12"/>
          <w:numId w:val="0"/>
        </w:numPr>
        <w:rPr>
          <w:rFonts w:cs="Arial"/>
          <w:bCs/>
          <w:szCs w:val="22"/>
        </w:rPr>
      </w:pPr>
    </w:p>
    <w:p w:rsidR="00FF1FE4" w:rsidRPr="00FF1FE4" w:rsidRDefault="00FF1FE4" w:rsidP="0042398C">
      <w:pPr>
        <w:keepNext/>
        <w:keepLines/>
        <w:numPr>
          <w:ilvl w:val="12"/>
          <w:numId w:val="0"/>
        </w:numPr>
        <w:ind w:firstLine="720"/>
        <w:rPr>
          <w:rFonts w:cs="Arial"/>
          <w:bCs/>
          <w:szCs w:val="22"/>
        </w:rPr>
      </w:pPr>
      <w:r>
        <w:rPr>
          <w:rFonts w:cs="Arial"/>
          <w:bCs/>
          <w:szCs w:val="22"/>
        </w:rPr>
        <w:t xml:space="preserve">In compliance with the Paperwork Reduction Act (44 U.S.C. 3501 et seq.), the Agency has notified the public </w:t>
      </w:r>
      <w:r w:rsidR="00BE3089">
        <w:rPr>
          <w:rFonts w:cs="Arial"/>
          <w:bCs/>
          <w:szCs w:val="22"/>
        </w:rPr>
        <w:t xml:space="preserve">of the renewal of this ICR </w:t>
      </w:r>
      <w:r>
        <w:rPr>
          <w:rFonts w:cs="Arial"/>
          <w:bCs/>
          <w:szCs w:val="22"/>
        </w:rPr>
        <w:t>through the Federal Register</w:t>
      </w:r>
      <w:r w:rsidR="00BE3089">
        <w:rPr>
          <w:rFonts w:cs="Arial"/>
          <w:bCs/>
          <w:szCs w:val="22"/>
        </w:rPr>
        <w:t xml:space="preserve"> </w:t>
      </w:r>
      <w:r>
        <w:rPr>
          <w:rFonts w:cs="Arial"/>
          <w:bCs/>
          <w:szCs w:val="22"/>
        </w:rPr>
        <w:t xml:space="preserve">on December 17, 2012 </w:t>
      </w:r>
      <w:r w:rsidRPr="00FF1FE4">
        <w:rPr>
          <w:rFonts w:cs="Arial"/>
          <w:b/>
          <w:bCs/>
          <w:szCs w:val="22"/>
        </w:rPr>
        <w:t>(77 FR 74659).</w:t>
      </w:r>
      <w:r>
        <w:rPr>
          <w:rFonts w:cs="Arial"/>
          <w:bCs/>
          <w:szCs w:val="22"/>
        </w:rPr>
        <w:t xml:space="preserve"> Four comments (</w:t>
      </w:r>
      <w:r w:rsidR="00BE3089">
        <w:rPr>
          <w:rFonts w:cs="Arial"/>
          <w:bCs/>
          <w:szCs w:val="22"/>
        </w:rPr>
        <w:t>one Federal agency, one independent F</w:t>
      </w:r>
      <w:r>
        <w:rPr>
          <w:rFonts w:cs="Arial"/>
          <w:bCs/>
          <w:szCs w:val="22"/>
        </w:rPr>
        <w:t>ederal agenc</w:t>
      </w:r>
      <w:r w:rsidR="00BE3089">
        <w:rPr>
          <w:rFonts w:cs="Arial"/>
          <w:bCs/>
          <w:szCs w:val="22"/>
        </w:rPr>
        <w:t>y</w:t>
      </w:r>
      <w:r>
        <w:rPr>
          <w:rFonts w:cs="Arial"/>
          <w:bCs/>
          <w:szCs w:val="22"/>
        </w:rPr>
        <w:t xml:space="preserve">, an attorney and an energy company) </w:t>
      </w:r>
      <w:r w:rsidR="00FD3991">
        <w:rPr>
          <w:rFonts w:cs="Arial"/>
          <w:bCs/>
          <w:szCs w:val="22"/>
        </w:rPr>
        <w:t xml:space="preserve">were </w:t>
      </w:r>
      <w:r>
        <w:rPr>
          <w:rFonts w:cs="Arial"/>
          <w:bCs/>
          <w:szCs w:val="22"/>
        </w:rPr>
        <w:t xml:space="preserve">submitted. </w:t>
      </w:r>
    </w:p>
    <w:p w:rsidR="00D85665" w:rsidRPr="00854FC2" w:rsidRDefault="00D85665">
      <w:pPr>
        <w:keepNext/>
        <w:keepLines/>
        <w:numPr>
          <w:ilvl w:val="12"/>
          <w:numId w:val="0"/>
        </w:numPr>
        <w:rPr>
          <w:rFonts w:cs="Arial"/>
          <w:szCs w:val="22"/>
        </w:rPr>
      </w:pPr>
    </w:p>
    <w:p w:rsidR="00194D0C" w:rsidRDefault="00194D0C">
      <w:pPr>
        <w:spacing w:line="262" w:lineRule="auto"/>
        <w:rPr>
          <w:rFonts w:cs="Arial"/>
          <w:szCs w:val="22"/>
        </w:rPr>
      </w:pPr>
      <w:r>
        <w:rPr>
          <w:rFonts w:cs="Arial"/>
          <w:szCs w:val="22"/>
        </w:rPr>
        <w:tab/>
      </w:r>
      <w:r w:rsidR="00FD3991">
        <w:rPr>
          <w:rFonts w:cs="Arial"/>
          <w:szCs w:val="22"/>
        </w:rPr>
        <w:t xml:space="preserve">One comment supported the collection of information as part </w:t>
      </w:r>
      <w:r w:rsidR="00181FDF">
        <w:rPr>
          <w:rFonts w:cs="Arial"/>
          <w:szCs w:val="22"/>
        </w:rPr>
        <w:t xml:space="preserve">of a comprehensive federal/state oil spill prevention program.  Another </w:t>
      </w:r>
      <w:r>
        <w:rPr>
          <w:rFonts w:cs="Arial"/>
          <w:szCs w:val="22"/>
        </w:rPr>
        <w:t xml:space="preserve">comment stated that EPA should streamline the reporting process to reduce the administrative costs to the Agency and to private sector companies. </w:t>
      </w:r>
      <w:r w:rsidR="00181FDF">
        <w:rPr>
          <w:rFonts w:cs="Arial"/>
          <w:szCs w:val="22"/>
        </w:rPr>
        <w:t xml:space="preserve">The comment </w:t>
      </w:r>
      <w:r>
        <w:rPr>
          <w:rFonts w:cs="Arial"/>
          <w:szCs w:val="22"/>
        </w:rPr>
        <w:t xml:space="preserve">recommended that the Agency </w:t>
      </w:r>
      <w:r w:rsidR="00181FDF">
        <w:rPr>
          <w:rFonts w:cs="Arial"/>
          <w:szCs w:val="22"/>
        </w:rPr>
        <w:t xml:space="preserve">develop and use </w:t>
      </w:r>
      <w:r>
        <w:rPr>
          <w:rFonts w:cs="Arial"/>
          <w:szCs w:val="22"/>
        </w:rPr>
        <w:t>online reporting on standard forms that are clear</w:t>
      </w:r>
      <w:r w:rsidR="00C61F66">
        <w:rPr>
          <w:rFonts w:cs="Arial"/>
          <w:szCs w:val="22"/>
        </w:rPr>
        <w:t>,</w:t>
      </w:r>
      <w:r>
        <w:rPr>
          <w:rFonts w:cs="Arial"/>
          <w:szCs w:val="22"/>
        </w:rPr>
        <w:t xml:space="preserve"> concise</w:t>
      </w:r>
      <w:r w:rsidR="00C61F66">
        <w:rPr>
          <w:rFonts w:cs="Arial"/>
          <w:szCs w:val="22"/>
        </w:rPr>
        <w:t xml:space="preserve"> and </w:t>
      </w:r>
      <w:r w:rsidR="00181FDF">
        <w:rPr>
          <w:rFonts w:cs="Arial"/>
          <w:szCs w:val="22"/>
        </w:rPr>
        <w:t xml:space="preserve">allow </w:t>
      </w:r>
      <w:r>
        <w:rPr>
          <w:rFonts w:cs="Arial"/>
          <w:szCs w:val="22"/>
        </w:rPr>
        <w:t xml:space="preserve">information </w:t>
      </w:r>
      <w:r w:rsidR="00181FDF">
        <w:rPr>
          <w:rFonts w:cs="Arial"/>
          <w:szCs w:val="22"/>
        </w:rPr>
        <w:t xml:space="preserve">to be </w:t>
      </w:r>
      <w:r>
        <w:rPr>
          <w:rFonts w:cs="Arial"/>
          <w:szCs w:val="22"/>
        </w:rPr>
        <w:t xml:space="preserve">entered on multiple forms with the same key strokes. </w:t>
      </w:r>
    </w:p>
    <w:p w:rsidR="00194D0C" w:rsidRDefault="00194D0C">
      <w:pPr>
        <w:spacing w:line="262" w:lineRule="auto"/>
        <w:rPr>
          <w:rFonts w:cs="Arial"/>
          <w:szCs w:val="22"/>
        </w:rPr>
      </w:pPr>
    </w:p>
    <w:p w:rsidR="00910B50" w:rsidRDefault="00910B50" w:rsidP="00A7282A">
      <w:pPr>
        <w:spacing w:line="262" w:lineRule="auto"/>
        <w:ind w:firstLine="720"/>
        <w:rPr>
          <w:rFonts w:cs="Arial"/>
          <w:szCs w:val="22"/>
        </w:rPr>
      </w:pPr>
    </w:p>
    <w:p w:rsidR="00910B50" w:rsidRDefault="00181FDF" w:rsidP="00A7282A">
      <w:pPr>
        <w:spacing w:line="262" w:lineRule="auto"/>
        <w:ind w:firstLine="720"/>
        <w:rPr>
          <w:rFonts w:cs="Arial"/>
          <w:szCs w:val="22"/>
        </w:rPr>
      </w:pPr>
      <w:r>
        <w:rPr>
          <w:rFonts w:cs="Arial"/>
          <w:szCs w:val="22"/>
        </w:rPr>
        <w:lastRenderedPageBreak/>
        <w:t xml:space="preserve">One </w:t>
      </w:r>
      <w:r w:rsidR="00910B50">
        <w:rPr>
          <w:rFonts w:cs="Arial"/>
          <w:szCs w:val="22"/>
        </w:rPr>
        <w:t>comment agree</w:t>
      </w:r>
      <w:r w:rsidR="009238C1">
        <w:rPr>
          <w:rFonts w:cs="Arial"/>
          <w:szCs w:val="22"/>
        </w:rPr>
        <w:t>d</w:t>
      </w:r>
      <w:r w:rsidR="00910B50">
        <w:rPr>
          <w:rFonts w:cs="Arial"/>
          <w:szCs w:val="22"/>
        </w:rPr>
        <w:t xml:space="preserve"> </w:t>
      </w:r>
      <w:r>
        <w:rPr>
          <w:rFonts w:cs="Arial"/>
          <w:szCs w:val="22"/>
        </w:rPr>
        <w:t xml:space="preserve">with </w:t>
      </w:r>
      <w:r w:rsidR="00910B50">
        <w:rPr>
          <w:rFonts w:cs="Arial"/>
          <w:szCs w:val="22"/>
        </w:rPr>
        <w:t xml:space="preserve">EPA’s burden statement for the first year costs for plan development </w:t>
      </w:r>
      <w:r w:rsidR="00C61F66">
        <w:rPr>
          <w:rFonts w:cs="Arial"/>
          <w:szCs w:val="22"/>
        </w:rPr>
        <w:t>of</w:t>
      </w:r>
      <w:r w:rsidR="00910B50">
        <w:rPr>
          <w:rFonts w:cs="Arial"/>
          <w:szCs w:val="22"/>
        </w:rPr>
        <w:t xml:space="preserve"> 58 hours and 11 hours for annual plan maintenance. </w:t>
      </w:r>
      <w:r>
        <w:rPr>
          <w:rFonts w:cs="Arial"/>
          <w:szCs w:val="22"/>
        </w:rPr>
        <w:t>T</w:t>
      </w:r>
      <w:r w:rsidR="00C61F66">
        <w:rPr>
          <w:rFonts w:cs="Arial"/>
          <w:szCs w:val="22"/>
        </w:rPr>
        <w:t>h</w:t>
      </w:r>
      <w:r>
        <w:rPr>
          <w:rFonts w:cs="Arial"/>
          <w:szCs w:val="22"/>
        </w:rPr>
        <w:t xml:space="preserve">e comment </w:t>
      </w:r>
      <w:r w:rsidR="00910B50">
        <w:rPr>
          <w:rFonts w:cs="Arial"/>
          <w:szCs w:val="22"/>
        </w:rPr>
        <w:t>state</w:t>
      </w:r>
      <w:r>
        <w:rPr>
          <w:rFonts w:cs="Arial"/>
          <w:szCs w:val="22"/>
        </w:rPr>
        <w:t>d</w:t>
      </w:r>
      <w:r w:rsidR="00910B50">
        <w:rPr>
          <w:rFonts w:cs="Arial"/>
          <w:szCs w:val="22"/>
        </w:rPr>
        <w:t xml:space="preserve"> that</w:t>
      </w:r>
      <w:r>
        <w:rPr>
          <w:rFonts w:cs="Arial"/>
          <w:szCs w:val="22"/>
        </w:rPr>
        <w:t xml:space="preserve"> while </w:t>
      </w:r>
      <w:r w:rsidR="00910B50">
        <w:rPr>
          <w:rFonts w:cs="Arial"/>
          <w:szCs w:val="22"/>
        </w:rPr>
        <w:t>these are appropriate estimates for small facilities</w:t>
      </w:r>
      <w:r>
        <w:rPr>
          <w:rFonts w:cs="Arial"/>
          <w:szCs w:val="22"/>
        </w:rPr>
        <w:t>,</w:t>
      </w:r>
      <w:r w:rsidR="00910B50">
        <w:rPr>
          <w:rFonts w:cs="Arial"/>
          <w:szCs w:val="22"/>
        </w:rPr>
        <w:t xml:space="preserve"> for larger more complex facilities the regulatory burden </w:t>
      </w:r>
      <w:r>
        <w:rPr>
          <w:rFonts w:cs="Arial"/>
          <w:szCs w:val="22"/>
        </w:rPr>
        <w:t>should be estimated at</w:t>
      </w:r>
      <w:r w:rsidR="00910B50">
        <w:rPr>
          <w:rFonts w:cs="Arial"/>
          <w:szCs w:val="22"/>
        </w:rPr>
        <w:t xml:space="preserve"> approximately 100 hours for first year costs to develop the plan and 24 - 32 hours per year to maintain the plan.</w:t>
      </w:r>
      <w:r w:rsidR="007D02B0">
        <w:rPr>
          <w:rFonts w:cs="Arial"/>
          <w:szCs w:val="22"/>
        </w:rPr>
        <w:t xml:space="preserve"> </w:t>
      </w:r>
      <w:r>
        <w:rPr>
          <w:rFonts w:cs="Arial"/>
          <w:szCs w:val="22"/>
        </w:rPr>
        <w:t xml:space="preserve">The comment </w:t>
      </w:r>
      <w:r w:rsidR="00910B50">
        <w:rPr>
          <w:rFonts w:cs="Arial"/>
          <w:szCs w:val="22"/>
        </w:rPr>
        <w:t>also state</w:t>
      </w:r>
      <w:r>
        <w:rPr>
          <w:rFonts w:cs="Arial"/>
          <w:szCs w:val="22"/>
        </w:rPr>
        <w:t>d</w:t>
      </w:r>
      <w:r w:rsidR="00910B50">
        <w:rPr>
          <w:rFonts w:cs="Arial"/>
          <w:szCs w:val="22"/>
        </w:rPr>
        <w:t xml:space="preserve"> that these </w:t>
      </w:r>
      <w:r>
        <w:rPr>
          <w:rFonts w:cs="Arial"/>
          <w:szCs w:val="22"/>
        </w:rPr>
        <w:t xml:space="preserve">estimates include the </w:t>
      </w:r>
      <w:r w:rsidR="00910B50">
        <w:rPr>
          <w:rFonts w:cs="Arial"/>
          <w:szCs w:val="22"/>
        </w:rPr>
        <w:t xml:space="preserve">costs </w:t>
      </w:r>
      <w:r>
        <w:rPr>
          <w:rFonts w:cs="Arial"/>
          <w:szCs w:val="22"/>
        </w:rPr>
        <w:t xml:space="preserve">to </w:t>
      </w:r>
      <w:r w:rsidR="00910B50">
        <w:rPr>
          <w:rFonts w:cs="Arial"/>
          <w:szCs w:val="22"/>
        </w:rPr>
        <w:t>develop / revis</w:t>
      </w:r>
      <w:r>
        <w:rPr>
          <w:rFonts w:cs="Arial"/>
          <w:szCs w:val="22"/>
        </w:rPr>
        <w:t>e</w:t>
      </w:r>
      <w:r w:rsidR="00910B50">
        <w:rPr>
          <w:rFonts w:cs="Arial"/>
          <w:szCs w:val="22"/>
        </w:rPr>
        <w:t xml:space="preserve"> word documents, develop / updat</w:t>
      </w:r>
      <w:r>
        <w:rPr>
          <w:rFonts w:cs="Arial"/>
          <w:szCs w:val="22"/>
        </w:rPr>
        <w:t>e</w:t>
      </w:r>
      <w:r w:rsidR="00910B50">
        <w:rPr>
          <w:rFonts w:cs="Arial"/>
          <w:szCs w:val="22"/>
        </w:rPr>
        <w:t xml:space="preserve"> drawings,</w:t>
      </w:r>
      <w:r>
        <w:rPr>
          <w:rFonts w:cs="Arial"/>
          <w:szCs w:val="22"/>
        </w:rPr>
        <w:t xml:space="preserve"> to</w:t>
      </w:r>
      <w:r w:rsidR="00910B50">
        <w:rPr>
          <w:rFonts w:cs="Arial"/>
          <w:szCs w:val="22"/>
        </w:rPr>
        <w:t xml:space="preserve"> complet</w:t>
      </w:r>
      <w:r>
        <w:rPr>
          <w:rFonts w:cs="Arial"/>
          <w:szCs w:val="22"/>
        </w:rPr>
        <w:t>e</w:t>
      </w:r>
      <w:r w:rsidR="00910B50">
        <w:rPr>
          <w:rFonts w:cs="Arial"/>
          <w:szCs w:val="22"/>
        </w:rPr>
        <w:t xml:space="preserve"> PE amendments as necessary and </w:t>
      </w:r>
      <w:r>
        <w:rPr>
          <w:rFonts w:cs="Arial"/>
          <w:szCs w:val="22"/>
        </w:rPr>
        <w:t xml:space="preserve">to </w:t>
      </w:r>
      <w:r w:rsidR="00910B50">
        <w:rPr>
          <w:rFonts w:cs="Arial"/>
          <w:szCs w:val="22"/>
        </w:rPr>
        <w:t>conduct site walk</w:t>
      </w:r>
      <w:r w:rsidR="0077731B">
        <w:rPr>
          <w:rFonts w:cs="Arial"/>
          <w:szCs w:val="22"/>
        </w:rPr>
        <w:t xml:space="preserve"> </w:t>
      </w:r>
      <w:proofErr w:type="spellStart"/>
      <w:r w:rsidR="0077731B">
        <w:rPr>
          <w:rFonts w:cs="Arial"/>
          <w:szCs w:val="22"/>
        </w:rPr>
        <w:t>throughs</w:t>
      </w:r>
      <w:proofErr w:type="spellEnd"/>
      <w:r w:rsidR="00910B50">
        <w:rPr>
          <w:rFonts w:cs="Arial"/>
          <w:szCs w:val="22"/>
        </w:rPr>
        <w:t xml:space="preserve"> to verify information for either new plans or changes to existing plans.</w:t>
      </w:r>
    </w:p>
    <w:p w:rsidR="0042398C" w:rsidRDefault="0042398C" w:rsidP="00A7282A">
      <w:pPr>
        <w:spacing w:line="262" w:lineRule="auto"/>
        <w:ind w:firstLine="720"/>
        <w:rPr>
          <w:rFonts w:cs="Arial"/>
          <w:szCs w:val="22"/>
        </w:rPr>
      </w:pPr>
    </w:p>
    <w:p w:rsidR="0042398C" w:rsidRDefault="00181FDF" w:rsidP="00A7282A">
      <w:pPr>
        <w:spacing w:line="262" w:lineRule="auto"/>
        <w:ind w:firstLine="720"/>
        <w:rPr>
          <w:rFonts w:cs="Arial"/>
          <w:szCs w:val="22"/>
        </w:rPr>
      </w:pPr>
      <w:r>
        <w:rPr>
          <w:rFonts w:cs="Arial"/>
          <w:szCs w:val="22"/>
        </w:rPr>
        <w:t xml:space="preserve">A comment </w:t>
      </w:r>
      <w:r w:rsidR="009238C1">
        <w:rPr>
          <w:rFonts w:cs="Arial"/>
          <w:szCs w:val="22"/>
        </w:rPr>
        <w:t xml:space="preserve">was </w:t>
      </w:r>
      <w:r>
        <w:rPr>
          <w:rFonts w:cs="Arial"/>
          <w:szCs w:val="22"/>
        </w:rPr>
        <w:t xml:space="preserve">submitted </w:t>
      </w:r>
      <w:r w:rsidR="009238C1">
        <w:rPr>
          <w:rFonts w:cs="Arial"/>
          <w:szCs w:val="22"/>
        </w:rPr>
        <w:t>to EPA staff and was not posted to the docket.  EPA has decided to address this comment and ha</w:t>
      </w:r>
      <w:r w:rsidR="002B0D10">
        <w:rPr>
          <w:rFonts w:cs="Arial"/>
          <w:szCs w:val="22"/>
        </w:rPr>
        <w:t>s</w:t>
      </w:r>
      <w:r w:rsidR="009238C1">
        <w:rPr>
          <w:rFonts w:cs="Arial"/>
          <w:szCs w:val="22"/>
        </w:rPr>
        <w:t xml:space="preserve"> included the comment in the docket. </w:t>
      </w:r>
      <w:r w:rsidR="0004272E">
        <w:rPr>
          <w:rFonts w:cs="Arial"/>
          <w:szCs w:val="22"/>
        </w:rPr>
        <w:t xml:space="preserve">The comment </w:t>
      </w:r>
      <w:r w:rsidR="00F51D56">
        <w:rPr>
          <w:rFonts w:cs="Arial"/>
          <w:szCs w:val="22"/>
        </w:rPr>
        <w:t xml:space="preserve">states that the average annual cost to maintain and update </w:t>
      </w:r>
      <w:r w:rsidR="0004272E">
        <w:rPr>
          <w:rFonts w:cs="Arial"/>
          <w:szCs w:val="22"/>
        </w:rPr>
        <w:t xml:space="preserve">each of the commenter’s </w:t>
      </w:r>
      <w:r>
        <w:rPr>
          <w:rFonts w:cs="Arial"/>
          <w:szCs w:val="22"/>
        </w:rPr>
        <w:t xml:space="preserve">the plans </w:t>
      </w:r>
      <w:r w:rsidR="00F51D56">
        <w:rPr>
          <w:rFonts w:cs="Arial"/>
          <w:szCs w:val="22"/>
        </w:rPr>
        <w:t xml:space="preserve">is 47 hours and $5,600. </w:t>
      </w:r>
      <w:r w:rsidR="002012E2">
        <w:rPr>
          <w:rFonts w:cs="Arial"/>
          <w:szCs w:val="22"/>
        </w:rPr>
        <w:t xml:space="preserve">The comment </w:t>
      </w:r>
      <w:r w:rsidR="00F51D56">
        <w:rPr>
          <w:rFonts w:cs="Arial"/>
          <w:szCs w:val="22"/>
        </w:rPr>
        <w:t xml:space="preserve">further states that when certain SPCC costs </w:t>
      </w:r>
      <w:r w:rsidR="00C61F66">
        <w:rPr>
          <w:rFonts w:cs="Arial"/>
          <w:szCs w:val="22"/>
        </w:rPr>
        <w:t xml:space="preserve">are added, </w:t>
      </w:r>
      <w:r w:rsidR="00F51D56">
        <w:rPr>
          <w:rFonts w:cs="Arial"/>
          <w:szCs w:val="22"/>
        </w:rPr>
        <w:t xml:space="preserve">such </w:t>
      </w:r>
      <w:r w:rsidR="00C61F66">
        <w:rPr>
          <w:rFonts w:cs="Arial"/>
          <w:szCs w:val="22"/>
        </w:rPr>
        <w:t xml:space="preserve">as </w:t>
      </w:r>
      <w:r w:rsidR="00F51D56">
        <w:rPr>
          <w:rFonts w:cs="Arial"/>
          <w:szCs w:val="22"/>
        </w:rPr>
        <w:t>plan certification</w:t>
      </w:r>
      <w:r w:rsidR="0004272E">
        <w:rPr>
          <w:rFonts w:cs="Arial"/>
          <w:szCs w:val="22"/>
        </w:rPr>
        <w:t xml:space="preserve"> costs</w:t>
      </w:r>
      <w:r w:rsidR="00C61F66">
        <w:rPr>
          <w:rFonts w:cs="Arial"/>
          <w:szCs w:val="22"/>
        </w:rPr>
        <w:t xml:space="preserve">, </w:t>
      </w:r>
      <w:r w:rsidR="00F51D56">
        <w:rPr>
          <w:rFonts w:cs="Arial"/>
          <w:szCs w:val="22"/>
        </w:rPr>
        <w:t>the hours and costs can double</w:t>
      </w:r>
      <w:r w:rsidR="00C61F66">
        <w:rPr>
          <w:rFonts w:cs="Arial"/>
          <w:szCs w:val="22"/>
        </w:rPr>
        <w:t>,</w:t>
      </w:r>
      <w:r w:rsidR="00F51D56">
        <w:rPr>
          <w:rFonts w:cs="Arial"/>
          <w:szCs w:val="22"/>
        </w:rPr>
        <w:t xml:space="preserve"> bring</w:t>
      </w:r>
      <w:r w:rsidR="000266D1">
        <w:rPr>
          <w:rFonts w:cs="Arial"/>
          <w:szCs w:val="22"/>
        </w:rPr>
        <w:t>ing</w:t>
      </w:r>
      <w:r w:rsidR="00F51D56">
        <w:rPr>
          <w:rFonts w:cs="Arial"/>
          <w:szCs w:val="22"/>
        </w:rPr>
        <w:t xml:space="preserve"> the average annual compliance cost for each plan to $8,400. </w:t>
      </w:r>
      <w:r w:rsidR="002012E2">
        <w:rPr>
          <w:rFonts w:cs="Arial"/>
          <w:szCs w:val="22"/>
        </w:rPr>
        <w:t xml:space="preserve">Further, the comment asserts </w:t>
      </w:r>
      <w:r w:rsidR="00F51D56">
        <w:rPr>
          <w:rFonts w:cs="Arial"/>
          <w:szCs w:val="22"/>
        </w:rPr>
        <w:t xml:space="preserve">the costs for smaller facilities can be as much as 100 hours and $12,000. </w:t>
      </w:r>
      <w:r w:rsidR="002012E2">
        <w:rPr>
          <w:rFonts w:cs="Arial"/>
          <w:szCs w:val="22"/>
        </w:rPr>
        <w:t xml:space="preserve">It concludes </w:t>
      </w:r>
      <w:r w:rsidR="00F51D56">
        <w:rPr>
          <w:rFonts w:cs="Arial"/>
          <w:szCs w:val="22"/>
        </w:rPr>
        <w:t>that</w:t>
      </w:r>
      <w:r w:rsidR="00C61F66">
        <w:rPr>
          <w:rFonts w:cs="Arial"/>
          <w:szCs w:val="22"/>
        </w:rPr>
        <w:t xml:space="preserve"> the labor and costs for all asp</w:t>
      </w:r>
      <w:r w:rsidR="00F51D56">
        <w:rPr>
          <w:rFonts w:cs="Arial"/>
          <w:szCs w:val="22"/>
        </w:rPr>
        <w:t xml:space="preserve">ects of SPCC compliance costs are larger than those in the </w:t>
      </w:r>
      <w:r w:rsidR="00BB49D5">
        <w:rPr>
          <w:rFonts w:cs="Arial"/>
          <w:szCs w:val="22"/>
        </w:rPr>
        <w:t>Federal Register notice.</w:t>
      </w:r>
      <w:r w:rsidR="00F51D56">
        <w:rPr>
          <w:rFonts w:cs="Arial"/>
          <w:szCs w:val="22"/>
        </w:rPr>
        <w:t xml:space="preserve"> </w:t>
      </w:r>
    </w:p>
    <w:p w:rsidR="002012E2" w:rsidRDefault="002012E2" w:rsidP="00A7282A">
      <w:pPr>
        <w:spacing w:line="262" w:lineRule="auto"/>
        <w:ind w:firstLine="720"/>
        <w:rPr>
          <w:rFonts w:cs="Arial"/>
          <w:szCs w:val="22"/>
        </w:rPr>
      </w:pPr>
    </w:p>
    <w:p w:rsidR="002012E2" w:rsidRDefault="002012E2" w:rsidP="002012E2">
      <w:pPr>
        <w:spacing w:line="262" w:lineRule="auto"/>
        <w:ind w:firstLine="720"/>
        <w:rPr>
          <w:rFonts w:cs="Arial"/>
          <w:szCs w:val="22"/>
        </w:rPr>
      </w:pPr>
      <w:r w:rsidRPr="002012E2">
        <w:rPr>
          <w:rFonts w:cs="Arial"/>
          <w:i/>
          <w:szCs w:val="22"/>
        </w:rPr>
        <w:t>Response to Comments</w:t>
      </w:r>
    </w:p>
    <w:p w:rsidR="002012E2" w:rsidRDefault="002012E2" w:rsidP="002012E2">
      <w:pPr>
        <w:spacing w:line="262" w:lineRule="auto"/>
        <w:ind w:firstLine="720"/>
        <w:rPr>
          <w:rFonts w:cs="Arial"/>
          <w:szCs w:val="22"/>
        </w:rPr>
      </w:pPr>
    </w:p>
    <w:p w:rsidR="00194D0C" w:rsidRDefault="002012E2" w:rsidP="000F463B">
      <w:pPr>
        <w:spacing w:line="262" w:lineRule="auto"/>
        <w:ind w:firstLine="720"/>
        <w:rPr>
          <w:rFonts w:cs="Arial"/>
          <w:szCs w:val="22"/>
        </w:rPr>
      </w:pPr>
      <w:r>
        <w:rPr>
          <w:rFonts w:cs="Arial"/>
          <w:szCs w:val="22"/>
        </w:rPr>
        <w:t>EPA agrees with the comment that supports the ICR notice. EPA di</w:t>
      </w:r>
      <w:r w:rsidR="000F463B">
        <w:rPr>
          <w:rFonts w:cs="Arial"/>
          <w:szCs w:val="22"/>
        </w:rPr>
        <w:t xml:space="preserve">d not have sufficient information to respond to the comment on the </w:t>
      </w:r>
      <w:r>
        <w:rPr>
          <w:rFonts w:cs="Arial"/>
          <w:szCs w:val="22"/>
        </w:rPr>
        <w:t>reporting process</w:t>
      </w:r>
      <w:r w:rsidR="000F463B">
        <w:rPr>
          <w:rFonts w:cs="Arial"/>
          <w:szCs w:val="22"/>
        </w:rPr>
        <w:t xml:space="preserve">. </w:t>
      </w:r>
      <w:r>
        <w:rPr>
          <w:rFonts w:cs="Arial"/>
          <w:szCs w:val="22"/>
        </w:rPr>
        <w:t xml:space="preserve">Finally, EPA recognizes that the hours and costs to develop and maintain SPCC Plans will vary among the regulated universe. The ICR reflects an estimated average of labor hours and costs to develop and maintain an SPCC Plan. EPA based the hours and costs to develop and maintain SPCC on the oil storage capacity of facilities. The average </w:t>
      </w:r>
      <w:r w:rsidR="00C61F66">
        <w:rPr>
          <w:rFonts w:cs="Arial"/>
          <w:szCs w:val="22"/>
        </w:rPr>
        <w:t xml:space="preserve">labor hours and costs reflect the estimates of more than fifty percent of the SPCC-regulated facilities are </w:t>
      </w:r>
      <w:r w:rsidR="001D6233">
        <w:rPr>
          <w:rFonts w:cs="Arial"/>
          <w:szCs w:val="22"/>
        </w:rPr>
        <w:t xml:space="preserve">in Category </w:t>
      </w:r>
      <w:r w:rsidR="0004272E">
        <w:rPr>
          <w:rFonts w:cs="Arial"/>
          <w:szCs w:val="22"/>
        </w:rPr>
        <w:t>2</w:t>
      </w:r>
      <w:r w:rsidR="001D6233">
        <w:rPr>
          <w:rFonts w:cs="Arial"/>
          <w:szCs w:val="22"/>
        </w:rPr>
        <w:t xml:space="preserve"> with oil storage capacity between 1,320 and 10,000 gallons</w:t>
      </w:r>
      <w:r w:rsidR="005E7F15">
        <w:rPr>
          <w:rFonts w:cs="Arial"/>
          <w:szCs w:val="22"/>
        </w:rPr>
        <w:t xml:space="preserve"> </w:t>
      </w:r>
      <w:r w:rsidR="00F20760">
        <w:rPr>
          <w:rFonts w:cs="Arial"/>
          <w:szCs w:val="22"/>
        </w:rPr>
        <w:t>(see Exhibit 2 for additional information).</w:t>
      </w:r>
      <w:r w:rsidR="001D6233">
        <w:rPr>
          <w:rFonts w:cs="Arial"/>
          <w:szCs w:val="22"/>
        </w:rPr>
        <w:t xml:space="preserve"> The Agency’s economic analysis contains costs for each of the four oil storage categories </w:t>
      </w:r>
      <w:r w:rsidR="00C61F66">
        <w:rPr>
          <w:rFonts w:cs="Arial"/>
          <w:szCs w:val="22"/>
        </w:rPr>
        <w:t xml:space="preserve">as described </w:t>
      </w:r>
      <w:r w:rsidR="00A95B37">
        <w:rPr>
          <w:rFonts w:cs="Arial"/>
          <w:szCs w:val="22"/>
        </w:rPr>
        <w:t>in th</w:t>
      </w:r>
      <w:r w:rsidR="00C61F66">
        <w:rPr>
          <w:rFonts w:cs="Arial"/>
          <w:szCs w:val="22"/>
        </w:rPr>
        <w:t xml:space="preserve">is </w:t>
      </w:r>
      <w:r w:rsidR="001D6233">
        <w:rPr>
          <w:rFonts w:cs="Arial"/>
          <w:szCs w:val="22"/>
        </w:rPr>
        <w:t xml:space="preserve">ICR. </w:t>
      </w:r>
    </w:p>
    <w:p w:rsidR="00194D0C" w:rsidRPr="00854FC2" w:rsidRDefault="00194D0C" w:rsidP="00910B50">
      <w:pPr>
        <w:spacing w:line="262" w:lineRule="auto"/>
        <w:rPr>
          <w:rFonts w:cs="Arial"/>
          <w:szCs w:val="22"/>
        </w:rPr>
      </w:pPr>
    </w:p>
    <w:p w:rsidR="00D85665" w:rsidRDefault="00D85665">
      <w:pPr>
        <w:keepNext/>
        <w:keepLines/>
        <w:numPr>
          <w:ilvl w:val="12"/>
          <w:numId w:val="0"/>
        </w:numPr>
        <w:tabs>
          <w:tab w:val="left" w:pos="720"/>
          <w:tab w:val="left" w:pos="1440"/>
        </w:tabs>
        <w:ind w:left="1440" w:hanging="1440"/>
        <w:rPr>
          <w:rFonts w:cs="Arial"/>
          <w:b/>
          <w:bCs/>
          <w:szCs w:val="22"/>
        </w:rPr>
      </w:pPr>
      <w:r w:rsidRPr="00854FC2">
        <w:rPr>
          <w:rFonts w:cs="Arial"/>
          <w:b/>
          <w:bCs/>
          <w:szCs w:val="22"/>
        </w:rPr>
        <w:tab/>
        <w:t>3(c)</w:t>
      </w:r>
      <w:r w:rsidR="000F5676">
        <w:rPr>
          <w:rFonts w:cs="Arial"/>
          <w:b/>
          <w:bCs/>
          <w:szCs w:val="22"/>
        </w:rPr>
        <w:t xml:space="preserve"> </w:t>
      </w:r>
      <w:r w:rsidRPr="00854FC2">
        <w:rPr>
          <w:rFonts w:cs="Arial"/>
          <w:b/>
          <w:bCs/>
          <w:szCs w:val="22"/>
        </w:rPr>
        <w:t>Consultations</w:t>
      </w:r>
    </w:p>
    <w:p w:rsidR="00D85665" w:rsidRPr="00854FC2" w:rsidRDefault="00D85665">
      <w:pPr>
        <w:keepNext/>
        <w:numPr>
          <w:ilvl w:val="12"/>
          <w:numId w:val="0"/>
        </w:numPr>
        <w:rPr>
          <w:rFonts w:cs="Arial"/>
          <w:szCs w:val="22"/>
        </w:rPr>
      </w:pPr>
    </w:p>
    <w:p w:rsidR="00D85665" w:rsidRPr="00831B8F" w:rsidRDefault="002348E6" w:rsidP="00882BCD">
      <w:pPr>
        <w:ind w:firstLine="720"/>
        <w:rPr>
          <w:rFonts w:cs="Arial"/>
          <w:szCs w:val="22"/>
        </w:rPr>
      </w:pPr>
      <w:r w:rsidRPr="00831B8F">
        <w:rPr>
          <w:rFonts w:cs="Courier New"/>
          <w:lang w:val="en-CA"/>
        </w:rPr>
        <w:fldChar w:fldCharType="begin"/>
      </w:r>
      <w:r w:rsidR="00D85665" w:rsidRPr="00831B8F">
        <w:rPr>
          <w:rFonts w:cs="Courier New"/>
          <w:lang w:val="en-CA"/>
        </w:rPr>
        <w:instrText xml:space="preserve"> SEQ CHAPTER \h \r 1</w:instrText>
      </w:r>
      <w:r w:rsidRPr="00831B8F">
        <w:rPr>
          <w:rFonts w:cs="Courier New"/>
          <w:lang w:val="en-CA"/>
        </w:rPr>
        <w:fldChar w:fldCharType="end"/>
      </w:r>
      <w:r w:rsidR="00DD1B61">
        <w:rPr>
          <w:rFonts w:cs="Arial"/>
          <w:szCs w:val="22"/>
        </w:rPr>
        <w:t>A</w:t>
      </w:r>
      <w:r w:rsidR="00D85665" w:rsidRPr="00831B8F">
        <w:rPr>
          <w:rFonts w:cs="Arial"/>
          <w:szCs w:val="22"/>
        </w:rPr>
        <w:t xml:space="preserve">s part of the effort to estimate the per-facility compliance cost with the SPCC </w:t>
      </w:r>
      <w:r w:rsidR="00E05550" w:rsidRPr="00831B8F">
        <w:rPr>
          <w:rFonts w:cs="Arial"/>
          <w:szCs w:val="22"/>
        </w:rPr>
        <w:t xml:space="preserve">paperwork </w:t>
      </w:r>
      <w:r w:rsidR="00D85665" w:rsidRPr="00831B8F">
        <w:rPr>
          <w:rFonts w:cs="Arial"/>
          <w:szCs w:val="22"/>
        </w:rPr>
        <w:t>requirements, EPA contact</w:t>
      </w:r>
      <w:r w:rsidR="00DD1B61">
        <w:rPr>
          <w:rFonts w:cs="Arial"/>
          <w:szCs w:val="22"/>
        </w:rPr>
        <w:t>ed</w:t>
      </w:r>
      <w:r w:rsidR="00D85665" w:rsidRPr="00831B8F">
        <w:rPr>
          <w:rFonts w:cs="Arial"/>
          <w:szCs w:val="22"/>
        </w:rPr>
        <w:t xml:space="preserve"> </w:t>
      </w:r>
      <w:r w:rsidR="00634258">
        <w:rPr>
          <w:rFonts w:cs="Arial"/>
          <w:szCs w:val="22"/>
        </w:rPr>
        <w:t xml:space="preserve">seven </w:t>
      </w:r>
      <w:r w:rsidR="00D85665" w:rsidRPr="00831B8F">
        <w:rPr>
          <w:rFonts w:cs="Arial"/>
          <w:szCs w:val="22"/>
        </w:rPr>
        <w:t xml:space="preserve">affected facilities </w:t>
      </w:r>
      <w:r w:rsidR="00AC3788">
        <w:rPr>
          <w:rFonts w:cs="Arial"/>
          <w:szCs w:val="22"/>
        </w:rPr>
        <w:t>and professional engineering firms or association</w:t>
      </w:r>
      <w:r w:rsidR="001E272C">
        <w:rPr>
          <w:rFonts w:cs="Arial"/>
          <w:szCs w:val="22"/>
        </w:rPr>
        <w:t>s</w:t>
      </w:r>
      <w:r w:rsidR="00AC3788">
        <w:rPr>
          <w:rFonts w:cs="Arial"/>
          <w:szCs w:val="22"/>
        </w:rPr>
        <w:t xml:space="preserve"> that provide PE services </w:t>
      </w:r>
      <w:r w:rsidR="001E272C">
        <w:rPr>
          <w:rFonts w:cs="Arial"/>
          <w:szCs w:val="22"/>
        </w:rPr>
        <w:t xml:space="preserve">directly </w:t>
      </w:r>
      <w:r w:rsidR="00AC3788">
        <w:rPr>
          <w:rFonts w:cs="Arial"/>
          <w:szCs w:val="22"/>
        </w:rPr>
        <w:t xml:space="preserve">to </w:t>
      </w:r>
      <w:r w:rsidR="00107979">
        <w:rPr>
          <w:rFonts w:cs="Arial"/>
          <w:szCs w:val="22"/>
        </w:rPr>
        <w:t xml:space="preserve">or represent </w:t>
      </w:r>
      <w:r w:rsidR="001E272C">
        <w:rPr>
          <w:rFonts w:cs="Arial"/>
          <w:szCs w:val="22"/>
        </w:rPr>
        <w:t xml:space="preserve">regulated </w:t>
      </w:r>
      <w:r w:rsidR="00AC3788">
        <w:rPr>
          <w:rFonts w:cs="Arial"/>
          <w:szCs w:val="22"/>
        </w:rPr>
        <w:t xml:space="preserve">facilities </w:t>
      </w:r>
      <w:r w:rsidR="001E272C">
        <w:rPr>
          <w:rFonts w:cs="Arial"/>
          <w:szCs w:val="22"/>
        </w:rPr>
        <w:t>about</w:t>
      </w:r>
      <w:r w:rsidR="00D85665" w:rsidRPr="00831B8F">
        <w:rPr>
          <w:rFonts w:cs="Arial"/>
          <w:szCs w:val="22"/>
        </w:rPr>
        <w:t xml:space="preserve"> EPA’s SPCC burden assumptions and estimates.</w:t>
      </w:r>
      <w:r w:rsidR="00AC3788">
        <w:rPr>
          <w:rFonts w:cs="Arial"/>
          <w:szCs w:val="22"/>
        </w:rPr>
        <w:t xml:space="preserve"> The </w:t>
      </w:r>
      <w:r w:rsidR="00D85665" w:rsidRPr="00831B8F">
        <w:rPr>
          <w:rFonts w:cs="Arial"/>
          <w:szCs w:val="22"/>
        </w:rPr>
        <w:t>interviews</w:t>
      </w:r>
      <w:r w:rsidR="00152058" w:rsidRPr="00831B8F">
        <w:rPr>
          <w:rFonts w:cs="Arial"/>
          <w:szCs w:val="22"/>
        </w:rPr>
        <w:t xml:space="preserve"> were conducted </w:t>
      </w:r>
      <w:r w:rsidR="00AC3788">
        <w:rPr>
          <w:rFonts w:cs="Arial"/>
          <w:szCs w:val="22"/>
        </w:rPr>
        <w:t xml:space="preserve">to </w:t>
      </w:r>
      <w:r w:rsidR="00D85665" w:rsidRPr="00831B8F">
        <w:rPr>
          <w:rFonts w:cs="Arial"/>
          <w:szCs w:val="22"/>
        </w:rPr>
        <w:t>provide insight into the reasonableness</w:t>
      </w:r>
      <w:r w:rsidR="001C4FEE">
        <w:rPr>
          <w:rFonts w:cs="Arial"/>
          <w:szCs w:val="22"/>
        </w:rPr>
        <w:t xml:space="preserve"> </w:t>
      </w:r>
      <w:r w:rsidR="00D85665" w:rsidRPr="00831B8F">
        <w:rPr>
          <w:rFonts w:cs="Arial"/>
          <w:szCs w:val="22"/>
        </w:rPr>
        <w:t xml:space="preserve">of EPA’s estimates of the paperwork burden </w:t>
      </w:r>
      <w:r w:rsidR="001C4FEE">
        <w:rPr>
          <w:rFonts w:cs="Arial"/>
          <w:szCs w:val="22"/>
        </w:rPr>
        <w:t xml:space="preserve">that </w:t>
      </w:r>
      <w:r w:rsidR="00D85665" w:rsidRPr="00831B8F">
        <w:rPr>
          <w:rFonts w:cs="Arial"/>
          <w:szCs w:val="22"/>
        </w:rPr>
        <w:t>facilities</w:t>
      </w:r>
      <w:r w:rsidR="00385F57" w:rsidRPr="00831B8F">
        <w:rPr>
          <w:rFonts w:cs="Arial"/>
          <w:szCs w:val="22"/>
        </w:rPr>
        <w:t xml:space="preserve"> may</w:t>
      </w:r>
      <w:r w:rsidR="00D85665" w:rsidRPr="00831B8F">
        <w:rPr>
          <w:rFonts w:cs="Arial"/>
          <w:szCs w:val="22"/>
        </w:rPr>
        <w:t xml:space="preserve"> incur when complying with the SPCC rule. The names, companies, and telephone numbers of the representatives</w:t>
      </w:r>
      <w:r w:rsidR="00567689">
        <w:rPr>
          <w:rFonts w:cs="Arial"/>
          <w:szCs w:val="22"/>
        </w:rPr>
        <w:t xml:space="preserve"> </w:t>
      </w:r>
      <w:r w:rsidR="00D85665" w:rsidRPr="00831B8F">
        <w:rPr>
          <w:rFonts w:cs="Arial"/>
          <w:szCs w:val="22"/>
        </w:rPr>
        <w:t xml:space="preserve">of those </w:t>
      </w:r>
      <w:r w:rsidR="001E272C">
        <w:rPr>
          <w:rFonts w:cs="Arial"/>
          <w:szCs w:val="22"/>
        </w:rPr>
        <w:t xml:space="preserve">entities </w:t>
      </w:r>
      <w:r w:rsidR="00D85665" w:rsidRPr="00831B8F">
        <w:rPr>
          <w:rFonts w:cs="Arial"/>
          <w:szCs w:val="22"/>
        </w:rPr>
        <w:t>are given below.</w:t>
      </w:r>
    </w:p>
    <w:p w:rsidR="00D85665" w:rsidRPr="00831B8F" w:rsidRDefault="00D85665">
      <w:pPr>
        <w:rPr>
          <w:rFonts w:cs="Arial"/>
          <w:szCs w:val="22"/>
        </w:rPr>
      </w:pPr>
      <w:r w:rsidRPr="00831B8F">
        <w:rPr>
          <w:rFonts w:cs="Arial"/>
          <w:szCs w:val="22"/>
        </w:rPr>
        <w:tab/>
      </w:r>
    </w:p>
    <w:p w:rsidR="00DB3FAB" w:rsidRDefault="009629EA" w:rsidP="00DB3FAB">
      <w:pPr>
        <w:ind w:left="720"/>
        <w:rPr>
          <w:rFonts w:cs="Arial"/>
          <w:szCs w:val="22"/>
        </w:rPr>
      </w:pPr>
      <w:r>
        <w:rPr>
          <w:rFonts w:cs="Arial"/>
          <w:szCs w:val="22"/>
        </w:rPr>
        <w:t>Bob Nash, Prospect Iron and Steel, (617) 666-3405</w:t>
      </w:r>
    </w:p>
    <w:p w:rsidR="009629EA" w:rsidRDefault="009629EA" w:rsidP="00DB3FAB">
      <w:pPr>
        <w:ind w:left="720"/>
        <w:rPr>
          <w:rFonts w:cs="Arial"/>
          <w:szCs w:val="22"/>
        </w:rPr>
      </w:pPr>
      <w:r>
        <w:rPr>
          <w:rFonts w:cs="Arial"/>
          <w:szCs w:val="22"/>
        </w:rPr>
        <w:t xml:space="preserve">Brian </w:t>
      </w:r>
      <w:proofErr w:type="spellStart"/>
      <w:r>
        <w:rPr>
          <w:rFonts w:cs="Arial"/>
          <w:szCs w:val="22"/>
        </w:rPr>
        <w:t>Klingler</w:t>
      </w:r>
      <w:proofErr w:type="spellEnd"/>
      <w:r w:rsidR="00876227">
        <w:rPr>
          <w:rFonts w:cs="Arial"/>
          <w:szCs w:val="22"/>
        </w:rPr>
        <w:t>;</w:t>
      </w:r>
      <w:r w:rsidR="00BE2182">
        <w:rPr>
          <w:rFonts w:cs="Arial"/>
          <w:szCs w:val="22"/>
        </w:rPr>
        <w:t xml:space="preserve"> </w:t>
      </w:r>
      <w:r>
        <w:rPr>
          <w:rFonts w:cs="Arial"/>
          <w:szCs w:val="22"/>
        </w:rPr>
        <w:t>Conoco Engineers,</w:t>
      </w:r>
      <w:r w:rsidR="00BE2182">
        <w:rPr>
          <w:rFonts w:cs="Arial"/>
          <w:szCs w:val="22"/>
        </w:rPr>
        <w:t xml:space="preserve"> Scientists, and Surveyors</w:t>
      </w:r>
      <w:r w:rsidR="00876227">
        <w:rPr>
          <w:rFonts w:cs="Arial"/>
          <w:szCs w:val="22"/>
        </w:rPr>
        <w:t>;</w:t>
      </w:r>
      <w:r w:rsidR="00BE2182">
        <w:rPr>
          <w:rFonts w:cs="Arial"/>
          <w:szCs w:val="22"/>
        </w:rPr>
        <w:t xml:space="preserve"> </w:t>
      </w:r>
      <w:r>
        <w:rPr>
          <w:rFonts w:cs="Arial"/>
          <w:szCs w:val="22"/>
        </w:rPr>
        <w:t>(508) 697-3191</w:t>
      </w:r>
    </w:p>
    <w:p w:rsidR="00032E40" w:rsidRDefault="00032E40" w:rsidP="00DB3FAB">
      <w:pPr>
        <w:ind w:left="720"/>
        <w:rPr>
          <w:rFonts w:cs="Arial"/>
          <w:szCs w:val="22"/>
        </w:rPr>
      </w:pPr>
      <w:r>
        <w:rPr>
          <w:rFonts w:cs="Arial"/>
          <w:szCs w:val="22"/>
        </w:rPr>
        <w:t>Kelly Lamkin</w:t>
      </w:r>
      <w:r w:rsidR="000D338D">
        <w:rPr>
          <w:rFonts w:cs="Arial"/>
          <w:szCs w:val="22"/>
        </w:rPr>
        <w:t xml:space="preserve">; </w:t>
      </w:r>
      <w:r w:rsidR="008E2D11">
        <w:rPr>
          <w:rFonts w:cs="Arial"/>
          <w:szCs w:val="22"/>
        </w:rPr>
        <w:t xml:space="preserve"> </w:t>
      </w:r>
      <w:r>
        <w:rPr>
          <w:rFonts w:cs="Arial"/>
          <w:szCs w:val="22"/>
        </w:rPr>
        <w:t>P</w:t>
      </w:r>
      <w:r w:rsidR="000D338D">
        <w:rPr>
          <w:rFonts w:cs="Arial"/>
          <w:szCs w:val="22"/>
        </w:rPr>
        <w:t>.</w:t>
      </w:r>
      <w:r>
        <w:rPr>
          <w:rFonts w:cs="Arial"/>
          <w:szCs w:val="22"/>
        </w:rPr>
        <w:t>E</w:t>
      </w:r>
      <w:r w:rsidR="008E2D11">
        <w:rPr>
          <w:rFonts w:cs="Arial"/>
          <w:szCs w:val="22"/>
        </w:rPr>
        <w:t>.</w:t>
      </w:r>
      <w:r>
        <w:rPr>
          <w:rFonts w:cs="Arial"/>
          <w:szCs w:val="22"/>
        </w:rPr>
        <w:t xml:space="preserve"> Grayson SWD No</w:t>
      </w:r>
      <w:r w:rsidR="00121364">
        <w:rPr>
          <w:rFonts w:cs="Arial"/>
          <w:szCs w:val="22"/>
        </w:rPr>
        <w:t>.</w:t>
      </w:r>
      <w:r>
        <w:rPr>
          <w:rFonts w:cs="Arial"/>
          <w:szCs w:val="22"/>
        </w:rPr>
        <w:t xml:space="preserve"> B-1, (870) 947-0415</w:t>
      </w:r>
    </w:p>
    <w:p w:rsidR="00AC3788" w:rsidRDefault="00AC3788" w:rsidP="00DB3FAB">
      <w:pPr>
        <w:ind w:left="720"/>
        <w:rPr>
          <w:rFonts w:cs="Arial"/>
          <w:szCs w:val="22"/>
        </w:rPr>
      </w:pPr>
      <w:r>
        <w:rPr>
          <w:rFonts w:cs="Arial"/>
          <w:szCs w:val="22"/>
        </w:rPr>
        <w:t>Warner T. Smith, PE; Warner T. Smith Associates, Inc.; (870) 725-2550</w:t>
      </w:r>
    </w:p>
    <w:p w:rsidR="00BE2182" w:rsidRDefault="00121364" w:rsidP="00BE2182">
      <w:pPr>
        <w:ind w:left="720"/>
        <w:rPr>
          <w:rFonts w:cs="Arial"/>
          <w:szCs w:val="22"/>
        </w:rPr>
      </w:pPr>
      <w:r>
        <w:rPr>
          <w:rFonts w:cs="Arial"/>
          <w:szCs w:val="22"/>
        </w:rPr>
        <w:t>Timothy Laughlin, PE</w:t>
      </w:r>
      <w:r w:rsidR="008E2D11">
        <w:rPr>
          <w:rFonts w:cs="Arial"/>
          <w:szCs w:val="22"/>
        </w:rPr>
        <w:t>;</w:t>
      </w:r>
      <w:r>
        <w:rPr>
          <w:rFonts w:cs="Arial"/>
          <w:szCs w:val="22"/>
        </w:rPr>
        <w:t xml:space="preserve"> N.C. Petroleum and Con</w:t>
      </w:r>
      <w:r w:rsidR="00BE2182">
        <w:rPr>
          <w:rFonts w:cs="Arial"/>
          <w:szCs w:val="22"/>
        </w:rPr>
        <w:t xml:space="preserve">venience Marketers Association, and </w:t>
      </w:r>
    </w:p>
    <w:p w:rsidR="00121364" w:rsidRDefault="00BE2182" w:rsidP="00BE2182">
      <w:pPr>
        <w:ind w:left="720" w:firstLine="720"/>
        <w:rPr>
          <w:rFonts w:cs="Arial"/>
          <w:szCs w:val="22"/>
        </w:rPr>
      </w:pPr>
      <w:r>
        <w:rPr>
          <w:rFonts w:cs="Arial"/>
          <w:szCs w:val="22"/>
        </w:rPr>
        <w:t xml:space="preserve">Gary Harris, Executive Director, </w:t>
      </w:r>
      <w:r w:rsidR="00121364">
        <w:rPr>
          <w:rFonts w:cs="Arial"/>
          <w:szCs w:val="22"/>
        </w:rPr>
        <w:t xml:space="preserve">(919) 782-4411 </w:t>
      </w:r>
    </w:p>
    <w:p w:rsidR="00BE2182" w:rsidRDefault="00BE2182" w:rsidP="00AC3788">
      <w:pPr>
        <w:rPr>
          <w:rFonts w:cs="Arial"/>
          <w:szCs w:val="22"/>
        </w:rPr>
      </w:pPr>
      <w:r>
        <w:rPr>
          <w:rFonts w:cs="Arial"/>
          <w:szCs w:val="22"/>
        </w:rPr>
        <w:lastRenderedPageBreak/>
        <w:tab/>
        <w:t xml:space="preserve">Steve </w:t>
      </w:r>
      <w:proofErr w:type="spellStart"/>
      <w:r>
        <w:rPr>
          <w:rFonts w:cs="Arial"/>
          <w:szCs w:val="22"/>
        </w:rPr>
        <w:t>Wavro</w:t>
      </w:r>
      <w:proofErr w:type="spellEnd"/>
      <w:r>
        <w:rPr>
          <w:rFonts w:cs="Arial"/>
          <w:szCs w:val="22"/>
        </w:rPr>
        <w:t>, PE</w:t>
      </w:r>
      <w:r w:rsidR="008E2D11">
        <w:rPr>
          <w:rFonts w:cs="Arial"/>
          <w:szCs w:val="22"/>
        </w:rPr>
        <w:t>;</w:t>
      </w:r>
      <w:r>
        <w:rPr>
          <w:rFonts w:cs="Arial"/>
          <w:szCs w:val="22"/>
        </w:rPr>
        <w:t xml:space="preserve"> </w:t>
      </w:r>
      <w:r w:rsidR="00EB4783">
        <w:rPr>
          <w:rFonts w:cs="Arial"/>
          <w:szCs w:val="22"/>
        </w:rPr>
        <w:t>Exxon Mobil Baytown Complex</w:t>
      </w:r>
      <w:r>
        <w:rPr>
          <w:rFonts w:cs="Arial"/>
          <w:szCs w:val="22"/>
        </w:rPr>
        <w:t>;</w:t>
      </w:r>
      <w:r w:rsidR="00EB4783">
        <w:rPr>
          <w:rFonts w:cs="Arial"/>
          <w:szCs w:val="22"/>
        </w:rPr>
        <w:t xml:space="preserve"> </w:t>
      </w:r>
      <w:r>
        <w:rPr>
          <w:rFonts w:cs="Arial"/>
          <w:szCs w:val="22"/>
        </w:rPr>
        <w:t>Otis Dickens</w:t>
      </w:r>
      <w:r w:rsidR="00B36613">
        <w:rPr>
          <w:rFonts w:cs="Arial"/>
          <w:szCs w:val="22"/>
        </w:rPr>
        <w:t>o</w:t>
      </w:r>
      <w:r>
        <w:rPr>
          <w:rFonts w:cs="Arial"/>
          <w:szCs w:val="22"/>
        </w:rPr>
        <w:t xml:space="preserve">n, Supervisor; and </w:t>
      </w:r>
    </w:p>
    <w:p w:rsidR="00EB4783" w:rsidRDefault="00BE2182" w:rsidP="00BE2182">
      <w:pPr>
        <w:ind w:left="720" w:firstLine="720"/>
        <w:rPr>
          <w:rFonts w:cs="Arial"/>
          <w:szCs w:val="22"/>
        </w:rPr>
      </w:pPr>
      <w:r>
        <w:rPr>
          <w:rFonts w:cs="Arial"/>
          <w:szCs w:val="22"/>
        </w:rPr>
        <w:t xml:space="preserve">Raoul Lopez, Site Superintendent, </w:t>
      </w:r>
      <w:r w:rsidR="00EB4783">
        <w:rPr>
          <w:rFonts w:cs="Arial"/>
          <w:szCs w:val="22"/>
        </w:rPr>
        <w:t>(281) 834-</w:t>
      </w:r>
      <w:r>
        <w:rPr>
          <w:rFonts w:cs="Arial"/>
          <w:szCs w:val="22"/>
        </w:rPr>
        <w:t>0027</w:t>
      </w:r>
    </w:p>
    <w:p w:rsidR="00634258" w:rsidRPr="00831B8F" w:rsidRDefault="00634258" w:rsidP="00634258">
      <w:pPr>
        <w:rPr>
          <w:rFonts w:cs="Arial"/>
          <w:szCs w:val="22"/>
        </w:rPr>
      </w:pPr>
      <w:r>
        <w:rPr>
          <w:rFonts w:cs="Arial"/>
          <w:szCs w:val="22"/>
        </w:rPr>
        <w:tab/>
      </w:r>
      <w:r w:rsidR="003049ED">
        <w:rPr>
          <w:rFonts w:cs="Arial"/>
          <w:szCs w:val="22"/>
        </w:rPr>
        <w:t xml:space="preserve">Henri </w:t>
      </w:r>
      <w:proofErr w:type="spellStart"/>
      <w:r w:rsidR="003049ED">
        <w:rPr>
          <w:rFonts w:cs="Arial"/>
          <w:szCs w:val="22"/>
        </w:rPr>
        <w:t>deLaunay</w:t>
      </w:r>
      <w:proofErr w:type="spellEnd"/>
      <w:r w:rsidR="003049ED">
        <w:rPr>
          <w:rFonts w:cs="Arial"/>
          <w:szCs w:val="22"/>
        </w:rPr>
        <w:t xml:space="preserve">, Michael </w:t>
      </w:r>
      <w:proofErr w:type="spellStart"/>
      <w:r w:rsidR="003049ED">
        <w:rPr>
          <w:rFonts w:cs="Arial"/>
          <w:szCs w:val="22"/>
        </w:rPr>
        <w:t>Sch</w:t>
      </w:r>
      <w:r w:rsidR="00567689">
        <w:rPr>
          <w:rFonts w:cs="Arial"/>
          <w:szCs w:val="22"/>
        </w:rPr>
        <w:t>och</w:t>
      </w:r>
      <w:proofErr w:type="spellEnd"/>
      <w:r w:rsidR="003049ED">
        <w:rPr>
          <w:rFonts w:cs="Arial"/>
          <w:szCs w:val="22"/>
        </w:rPr>
        <w:t xml:space="preserve">, </w:t>
      </w:r>
      <w:proofErr w:type="spellStart"/>
      <w:r>
        <w:rPr>
          <w:rFonts w:cs="Arial"/>
          <w:szCs w:val="22"/>
        </w:rPr>
        <w:t>Hilcorp</w:t>
      </w:r>
      <w:proofErr w:type="spellEnd"/>
      <w:r>
        <w:rPr>
          <w:rFonts w:cs="Arial"/>
          <w:szCs w:val="22"/>
        </w:rPr>
        <w:t xml:space="preserve"> Corporation</w:t>
      </w:r>
      <w:r w:rsidR="008E2D11">
        <w:rPr>
          <w:rFonts w:cs="Arial"/>
          <w:szCs w:val="22"/>
        </w:rPr>
        <w:t>,</w:t>
      </w:r>
      <w:r>
        <w:rPr>
          <w:rFonts w:cs="Arial"/>
          <w:szCs w:val="22"/>
        </w:rPr>
        <w:t xml:space="preserve"> (713) 289-2671</w:t>
      </w:r>
    </w:p>
    <w:p w:rsidR="00D85665" w:rsidRPr="00831B8F" w:rsidRDefault="00D85665">
      <w:pPr>
        <w:rPr>
          <w:rFonts w:cs="Arial"/>
          <w:szCs w:val="22"/>
        </w:rPr>
      </w:pPr>
    </w:p>
    <w:p w:rsidR="00D85665" w:rsidRPr="00854FC2" w:rsidRDefault="00D85665" w:rsidP="00882BCD">
      <w:pPr>
        <w:ind w:firstLine="720"/>
        <w:rPr>
          <w:rFonts w:cs="Arial"/>
          <w:szCs w:val="22"/>
        </w:rPr>
      </w:pPr>
      <w:r w:rsidRPr="00831B8F">
        <w:rPr>
          <w:rFonts w:cs="Arial"/>
          <w:szCs w:val="22"/>
        </w:rPr>
        <w:t xml:space="preserve">The contacted facilities were from the following industries: bulk oil storage, oil production, petroleum refining, </w:t>
      </w:r>
      <w:r w:rsidR="00AC3788">
        <w:rPr>
          <w:rFonts w:cs="Arial"/>
          <w:szCs w:val="22"/>
        </w:rPr>
        <w:t>c</w:t>
      </w:r>
      <w:r w:rsidRPr="00831B8F">
        <w:rPr>
          <w:rFonts w:cs="Arial"/>
          <w:szCs w:val="22"/>
        </w:rPr>
        <w:t>hemical manufacturing</w:t>
      </w:r>
      <w:r w:rsidR="00876227">
        <w:rPr>
          <w:rFonts w:cs="Arial"/>
          <w:szCs w:val="22"/>
        </w:rPr>
        <w:t>, iron and steel,</w:t>
      </w:r>
      <w:r w:rsidR="00AC3788">
        <w:rPr>
          <w:rFonts w:cs="Arial"/>
          <w:szCs w:val="22"/>
        </w:rPr>
        <w:t xml:space="preserve"> and professional engineering firms that provide PE services to regulated facilities</w:t>
      </w:r>
      <w:r w:rsidRPr="00831B8F">
        <w:rPr>
          <w:rFonts w:cs="Arial"/>
          <w:szCs w:val="22"/>
        </w:rPr>
        <w:t>.</w:t>
      </w:r>
      <w:r w:rsidR="00AC3788">
        <w:rPr>
          <w:rFonts w:cs="Arial"/>
          <w:szCs w:val="22"/>
        </w:rPr>
        <w:t xml:space="preserve"> </w:t>
      </w:r>
      <w:r w:rsidRPr="00831B8F">
        <w:rPr>
          <w:rFonts w:cs="Arial"/>
          <w:szCs w:val="22"/>
        </w:rPr>
        <w:t>Th</w:t>
      </w:r>
      <w:r w:rsidR="0005291E">
        <w:rPr>
          <w:rFonts w:cs="Arial"/>
          <w:szCs w:val="22"/>
        </w:rPr>
        <w:t>e</w:t>
      </w:r>
      <w:r w:rsidRPr="00831B8F">
        <w:rPr>
          <w:rFonts w:cs="Arial"/>
          <w:szCs w:val="22"/>
        </w:rPr>
        <w:t xml:space="preserve"> </w:t>
      </w:r>
      <w:r w:rsidR="0005291E">
        <w:rPr>
          <w:rFonts w:cs="Arial"/>
          <w:szCs w:val="22"/>
        </w:rPr>
        <w:t xml:space="preserve">regulated </w:t>
      </w:r>
      <w:r w:rsidRPr="00831B8F">
        <w:rPr>
          <w:rFonts w:cs="Arial"/>
          <w:szCs w:val="22"/>
        </w:rPr>
        <w:t xml:space="preserve">facilities </w:t>
      </w:r>
      <w:r w:rsidR="0005291E">
        <w:rPr>
          <w:rFonts w:cs="Arial"/>
          <w:szCs w:val="22"/>
        </w:rPr>
        <w:t xml:space="preserve">and PE firms </w:t>
      </w:r>
      <w:r w:rsidRPr="00831B8F">
        <w:rPr>
          <w:rFonts w:cs="Arial"/>
          <w:szCs w:val="22"/>
        </w:rPr>
        <w:t>represent facilit</w:t>
      </w:r>
      <w:r w:rsidR="0005291E">
        <w:rPr>
          <w:rFonts w:cs="Arial"/>
          <w:szCs w:val="22"/>
        </w:rPr>
        <w:t>ies</w:t>
      </w:r>
      <w:r w:rsidRPr="00831B8F">
        <w:rPr>
          <w:rFonts w:cs="Arial"/>
          <w:szCs w:val="22"/>
        </w:rPr>
        <w:t xml:space="preserve"> </w:t>
      </w:r>
      <w:r w:rsidR="00AC3788">
        <w:rPr>
          <w:rFonts w:cs="Arial"/>
          <w:szCs w:val="22"/>
        </w:rPr>
        <w:t xml:space="preserve">from the largest </w:t>
      </w:r>
      <w:r w:rsidR="001E272C">
        <w:rPr>
          <w:rFonts w:cs="Arial"/>
          <w:szCs w:val="22"/>
        </w:rPr>
        <w:t xml:space="preserve">companies in the U.S. </w:t>
      </w:r>
      <w:r w:rsidR="00AC3788">
        <w:rPr>
          <w:rFonts w:cs="Arial"/>
          <w:szCs w:val="22"/>
        </w:rPr>
        <w:t xml:space="preserve">to the smallest companies and </w:t>
      </w:r>
      <w:r w:rsidR="001E272C">
        <w:rPr>
          <w:rFonts w:cs="Arial"/>
          <w:szCs w:val="22"/>
        </w:rPr>
        <w:t xml:space="preserve">marginal </w:t>
      </w:r>
      <w:r w:rsidR="0005291E">
        <w:rPr>
          <w:rFonts w:cs="Arial"/>
          <w:szCs w:val="22"/>
        </w:rPr>
        <w:t xml:space="preserve">oil </w:t>
      </w:r>
      <w:r w:rsidR="00AC3788">
        <w:rPr>
          <w:rFonts w:cs="Arial"/>
          <w:szCs w:val="22"/>
        </w:rPr>
        <w:t>production facilities</w:t>
      </w:r>
      <w:r w:rsidRPr="00831B8F">
        <w:rPr>
          <w:rFonts w:cs="Arial"/>
          <w:szCs w:val="22"/>
        </w:rPr>
        <w:t xml:space="preserve">. Estimates </w:t>
      </w:r>
      <w:r w:rsidR="005F23E7" w:rsidRPr="00831B8F">
        <w:rPr>
          <w:rFonts w:cs="Arial"/>
          <w:szCs w:val="22"/>
        </w:rPr>
        <w:t xml:space="preserve">of the costs of compliance </w:t>
      </w:r>
      <w:r w:rsidR="00D843FC" w:rsidRPr="00831B8F">
        <w:rPr>
          <w:rFonts w:cs="Arial"/>
          <w:szCs w:val="22"/>
        </w:rPr>
        <w:t xml:space="preserve">with paperwork requirements </w:t>
      </w:r>
      <w:r w:rsidRPr="00831B8F">
        <w:rPr>
          <w:rFonts w:cs="Arial"/>
          <w:szCs w:val="22"/>
        </w:rPr>
        <w:t xml:space="preserve">provided by </w:t>
      </w:r>
      <w:r w:rsidR="00AC3788">
        <w:rPr>
          <w:rFonts w:cs="Arial"/>
          <w:szCs w:val="22"/>
        </w:rPr>
        <w:t>the s</w:t>
      </w:r>
      <w:r w:rsidR="003049ED">
        <w:rPr>
          <w:rFonts w:cs="Arial"/>
          <w:szCs w:val="22"/>
        </w:rPr>
        <w:t>even</w:t>
      </w:r>
      <w:r w:rsidR="00AC3788">
        <w:rPr>
          <w:rFonts w:cs="Arial"/>
          <w:szCs w:val="22"/>
        </w:rPr>
        <w:t xml:space="preserve"> </w:t>
      </w:r>
      <w:r w:rsidRPr="00831B8F">
        <w:rPr>
          <w:rFonts w:cs="Arial"/>
          <w:szCs w:val="22"/>
        </w:rPr>
        <w:t xml:space="preserve">contacts </w:t>
      </w:r>
      <w:r w:rsidR="00AC3788">
        <w:rPr>
          <w:rFonts w:cs="Arial"/>
          <w:szCs w:val="22"/>
        </w:rPr>
        <w:t xml:space="preserve">are </w:t>
      </w:r>
      <w:r w:rsidRPr="00831B8F">
        <w:rPr>
          <w:rFonts w:cs="Arial"/>
          <w:szCs w:val="22"/>
        </w:rPr>
        <w:t>within the same range as th</w:t>
      </w:r>
      <w:r w:rsidR="00E7320C">
        <w:rPr>
          <w:rFonts w:cs="Arial"/>
          <w:szCs w:val="22"/>
        </w:rPr>
        <w:t>e costs</w:t>
      </w:r>
      <w:r w:rsidRPr="00831B8F">
        <w:rPr>
          <w:rFonts w:cs="Arial"/>
          <w:szCs w:val="22"/>
        </w:rPr>
        <w:t xml:space="preserve"> developed by EPA</w:t>
      </w:r>
      <w:r w:rsidR="00152058" w:rsidRPr="00831B8F">
        <w:rPr>
          <w:rFonts w:cs="Arial"/>
          <w:szCs w:val="22"/>
        </w:rPr>
        <w:t>. The findings</w:t>
      </w:r>
      <w:r w:rsidRPr="00831B8F">
        <w:rPr>
          <w:rFonts w:cs="Arial"/>
          <w:szCs w:val="22"/>
        </w:rPr>
        <w:t xml:space="preserve"> suggest the EPA hour and cost burden estimates to prepare and maintain an SPCC Plan used in the current ICR </w:t>
      </w:r>
      <w:r w:rsidR="003049ED">
        <w:rPr>
          <w:rFonts w:cs="Arial"/>
          <w:szCs w:val="22"/>
        </w:rPr>
        <w:t xml:space="preserve">are </w:t>
      </w:r>
      <w:r w:rsidRPr="00831B8F">
        <w:rPr>
          <w:rFonts w:cs="Arial"/>
          <w:szCs w:val="22"/>
        </w:rPr>
        <w:t>reasonable.</w:t>
      </w:r>
    </w:p>
    <w:p w:rsidR="00D85665" w:rsidRPr="00854FC2" w:rsidRDefault="00D85665">
      <w:pPr>
        <w:rPr>
          <w:rFonts w:cs="Arial"/>
          <w:szCs w:val="22"/>
        </w:rPr>
      </w:pPr>
    </w:p>
    <w:p w:rsidR="00D85665" w:rsidRPr="00854FC2" w:rsidRDefault="00D85665">
      <w:pPr>
        <w:keepNext/>
        <w:keepLines/>
        <w:numPr>
          <w:ilvl w:val="12"/>
          <w:numId w:val="0"/>
        </w:numPr>
        <w:tabs>
          <w:tab w:val="left" w:pos="720"/>
          <w:tab w:val="left" w:pos="1440"/>
        </w:tabs>
        <w:ind w:left="1440" w:hanging="1440"/>
        <w:rPr>
          <w:rFonts w:cs="Arial"/>
          <w:szCs w:val="22"/>
        </w:rPr>
      </w:pPr>
      <w:r w:rsidRPr="00854FC2">
        <w:rPr>
          <w:rFonts w:cs="Arial"/>
          <w:b/>
          <w:bCs/>
          <w:szCs w:val="22"/>
        </w:rPr>
        <w:tab/>
        <w:t>3(d)</w:t>
      </w:r>
      <w:r w:rsidR="000F5676">
        <w:rPr>
          <w:rFonts w:cs="Arial"/>
          <w:b/>
          <w:bCs/>
          <w:szCs w:val="22"/>
        </w:rPr>
        <w:t xml:space="preserve"> </w:t>
      </w:r>
      <w:r w:rsidRPr="00854FC2">
        <w:rPr>
          <w:rFonts w:cs="Arial"/>
          <w:b/>
          <w:bCs/>
          <w:szCs w:val="22"/>
        </w:rPr>
        <w:t>Effects of Less Frequent Collection</w:t>
      </w:r>
    </w:p>
    <w:p w:rsidR="00D85665" w:rsidRPr="00854FC2" w:rsidRDefault="00D85665">
      <w:pPr>
        <w:keepNext/>
        <w:numPr>
          <w:ilvl w:val="12"/>
          <w:numId w:val="0"/>
        </w:numPr>
        <w:rPr>
          <w:rFonts w:cs="Arial"/>
          <w:szCs w:val="22"/>
        </w:rPr>
      </w:pPr>
    </w:p>
    <w:p w:rsidR="00D85665" w:rsidRPr="00854FC2" w:rsidRDefault="002348E6" w:rsidP="00882BCD">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The SPCC rule requires the development and maintenance of SPCC Plans. The Agency does not require the owners and operators of facilities to submit these Plans to EPA</w:t>
      </w:r>
      <w:r w:rsidR="009C3332">
        <w:rPr>
          <w:rFonts w:cs="Arial"/>
          <w:szCs w:val="22"/>
        </w:rPr>
        <w:t>.</w:t>
      </w:r>
      <w:r w:rsidR="00D85665" w:rsidRPr="00854FC2">
        <w:rPr>
          <w:rFonts w:cs="Arial"/>
          <w:szCs w:val="22"/>
        </w:rPr>
        <w:t xml:space="preserve"> </w:t>
      </w:r>
      <w:r w:rsidR="009C3332">
        <w:rPr>
          <w:rFonts w:cs="Arial"/>
          <w:szCs w:val="22"/>
        </w:rPr>
        <w:t>T</w:t>
      </w:r>
      <w:r w:rsidR="00D85665" w:rsidRPr="00854FC2">
        <w:rPr>
          <w:rFonts w:cs="Arial"/>
          <w:szCs w:val="22"/>
        </w:rPr>
        <w:t xml:space="preserve">he Plan must be available to the </w:t>
      </w:r>
      <w:r w:rsidR="008E2D11">
        <w:rPr>
          <w:rFonts w:cs="Arial"/>
          <w:szCs w:val="22"/>
        </w:rPr>
        <w:t>Regional Administrator (</w:t>
      </w:r>
      <w:r w:rsidR="00D85665" w:rsidRPr="00854FC2">
        <w:rPr>
          <w:rFonts w:cs="Arial"/>
          <w:szCs w:val="22"/>
        </w:rPr>
        <w:t>RA</w:t>
      </w:r>
      <w:r w:rsidR="008E2D11">
        <w:rPr>
          <w:rFonts w:cs="Arial"/>
          <w:szCs w:val="22"/>
        </w:rPr>
        <w:t>)</w:t>
      </w:r>
      <w:r w:rsidR="00D85665" w:rsidRPr="00854FC2">
        <w:rPr>
          <w:rFonts w:cs="Arial"/>
          <w:szCs w:val="22"/>
        </w:rPr>
        <w:t xml:space="preserve"> (or </w:t>
      </w:r>
      <w:r w:rsidR="008E2D11">
        <w:rPr>
          <w:rFonts w:cs="Arial"/>
          <w:szCs w:val="22"/>
        </w:rPr>
        <w:t xml:space="preserve">an </w:t>
      </w:r>
      <w:r w:rsidR="00D85665" w:rsidRPr="00854FC2">
        <w:rPr>
          <w:rFonts w:cs="Arial"/>
          <w:szCs w:val="22"/>
        </w:rPr>
        <w:t xml:space="preserve">inspector) for onsite review during normal business hours.  Section 112.4(a) requires that owners and operators submit certain critical information </w:t>
      </w:r>
      <w:r w:rsidR="00153F8C">
        <w:rPr>
          <w:rFonts w:cs="Arial"/>
          <w:szCs w:val="22"/>
        </w:rPr>
        <w:t xml:space="preserve">to EPA </w:t>
      </w:r>
      <w:r w:rsidR="00D85665" w:rsidRPr="00854FC2">
        <w:rPr>
          <w:rFonts w:cs="Arial"/>
          <w:szCs w:val="22"/>
        </w:rPr>
        <w:t>regarding a discharge and corrective actions. In order to conduct proper follow-up actions as necessary, Agency personnel may request the Plan itself or access a copy of the entire SPCC Plan by visiting the facility. Because collection is not periodic, less frequent collection is not possible.</w:t>
      </w:r>
    </w:p>
    <w:p w:rsidR="00D85665" w:rsidRPr="00854FC2" w:rsidRDefault="00D85665">
      <w:pPr>
        <w:rPr>
          <w:rFonts w:cs="Arial"/>
          <w:szCs w:val="22"/>
        </w:rPr>
      </w:pPr>
    </w:p>
    <w:p w:rsidR="00D85665" w:rsidRPr="00854FC2" w:rsidRDefault="00D85665" w:rsidP="00882BCD">
      <w:pPr>
        <w:numPr>
          <w:ilvl w:val="12"/>
          <w:numId w:val="0"/>
        </w:numPr>
        <w:ind w:firstLine="720"/>
        <w:rPr>
          <w:rFonts w:cs="Arial"/>
          <w:szCs w:val="22"/>
        </w:rPr>
      </w:pPr>
      <w:r w:rsidRPr="00854FC2">
        <w:rPr>
          <w:rFonts w:cs="Arial"/>
          <w:szCs w:val="22"/>
        </w:rPr>
        <w:t xml:space="preserve">The owner or operator of a facility is required to review </w:t>
      </w:r>
      <w:r w:rsidR="0076374C">
        <w:rPr>
          <w:rFonts w:cs="Arial"/>
          <w:szCs w:val="22"/>
        </w:rPr>
        <w:t xml:space="preserve">and evaluate </w:t>
      </w:r>
      <w:r w:rsidRPr="00854FC2">
        <w:rPr>
          <w:rFonts w:cs="Arial"/>
          <w:szCs w:val="22"/>
        </w:rPr>
        <w:t xml:space="preserve">the facility Plan every five years. EPA’s experience in administering the SPCC </w:t>
      </w:r>
      <w:r w:rsidR="00CC4D27">
        <w:rPr>
          <w:rFonts w:cs="Arial"/>
          <w:szCs w:val="22"/>
        </w:rPr>
        <w:t xml:space="preserve">regulation </w:t>
      </w:r>
      <w:r w:rsidRPr="00854FC2">
        <w:rPr>
          <w:rFonts w:cs="Arial"/>
          <w:szCs w:val="22"/>
        </w:rPr>
        <w:t>indicates that updating Plans to reflect currently available and proven technology and techniques for preventing and controlling oil discharges every five years is sufficient given the degree to which such technologies and techniques evolve over time.</w:t>
      </w:r>
    </w:p>
    <w:p w:rsidR="00D85665" w:rsidRPr="00854FC2" w:rsidRDefault="00D85665">
      <w:pPr>
        <w:numPr>
          <w:ilvl w:val="12"/>
          <w:numId w:val="0"/>
        </w:numPr>
        <w:rPr>
          <w:rFonts w:cs="Arial"/>
          <w:szCs w:val="22"/>
        </w:rPr>
      </w:pPr>
    </w:p>
    <w:p w:rsidR="00D85665" w:rsidRPr="00854FC2" w:rsidRDefault="00D85665">
      <w:pPr>
        <w:keepNext/>
        <w:keepLines/>
        <w:numPr>
          <w:ilvl w:val="12"/>
          <w:numId w:val="0"/>
        </w:numPr>
        <w:tabs>
          <w:tab w:val="left" w:pos="720"/>
          <w:tab w:val="left" w:pos="1440"/>
        </w:tabs>
        <w:ind w:left="1440" w:hanging="1440"/>
        <w:rPr>
          <w:rFonts w:cs="Arial"/>
          <w:szCs w:val="22"/>
        </w:rPr>
      </w:pPr>
      <w:r w:rsidRPr="00854FC2">
        <w:rPr>
          <w:rFonts w:cs="Arial"/>
          <w:b/>
          <w:bCs/>
          <w:szCs w:val="22"/>
        </w:rPr>
        <w:tab/>
        <w:t>3(e)</w:t>
      </w:r>
      <w:r w:rsidR="000F5676">
        <w:rPr>
          <w:rFonts w:cs="Arial"/>
          <w:b/>
          <w:bCs/>
          <w:szCs w:val="22"/>
        </w:rPr>
        <w:t xml:space="preserve"> </w:t>
      </w:r>
      <w:r w:rsidRPr="00854FC2">
        <w:rPr>
          <w:rFonts w:cs="Arial"/>
          <w:b/>
          <w:bCs/>
          <w:szCs w:val="22"/>
        </w:rPr>
        <w:t>General Guidelines</w:t>
      </w:r>
    </w:p>
    <w:p w:rsidR="00D85665" w:rsidRPr="00854FC2" w:rsidRDefault="00D85665">
      <w:pPr>
        <w:keepNext/>
        <w:numPr>
          <w:ilvl w:val="12"/>
          <w:numId w:val="0"/>
        </w:numPr>
        <w:rPr>
          <w:rFonts w:cs="Arial"/>
          <w:szCs w:val="22"/>
        </w:rPr>
      </w:pPr>
    </w:p>
    <w:p w:rsidR="00D85665" w:rsidRPr="00854FC2" w:rsidRDefault="00D85665" w:rsidP="00882BCD">
      <w:pPr>
        <w:numPr>
          <w:ilvl w:val="12"/>
          <w:numId w:val="0"/>
        </w:numPr>
        <w:ind w:firstLine="720"/>
        <w:rPr>
          <w:rFonts w:cs="Arial"/>
          <w:szCs w:val="22"/>
        </w:rPr>
      </w:pPr>
      <w:r w:rsidRPr="00854FC2">
        <w:rPr>
          <w:rFonts w:cs="Arial"/>
          <w:szCs w:val="22"/>
        </w:rPr>
        <w:t>The information collection activities discussed in this ICR comply with the general Paperwork Reduction Act guidelines at 5 CFR 1320.5(d)(2).</w:t>
      </w:r>
    </w:p>
    <w:p w:rsidR="00D85665" w:rsidRPr="00854FC2" w:rsidRDefault="00D85665">
      <w:pPr>
        <w:numPr>
          <w:ilvl w:val="12"/>
          <w:numId w:val="0"/>
        </w:numPr>
        <w:rPr>
          <w:rFonts w:cs="Arial"/>
          <w:szCs w:val="22"/>
        </w:rPr>
      </w:pPr>
    </w:p>
    <w:p w:rsidR="00D85665" w:rsidRPr="00854FC2" w:rsidRDefault="00D85665">
      <w:pPr>
        <w:keepNext/>
        <w:keepLines/>
        <w:numPr>
          <w:ilvl w:val="12"/>
          <w:numId w:val="0"/>
        </w:numPr>
        <w:rPr>
          <w:rFonts w:cs="Arial"/>
          <w:szCs w:val="22"/>
        </w:rPr>
      </w:pPr>
      <w:r w:rsidRPr="00854FC2">
        <w:rPr>
          <w:rFonts w:cs="Arial"/>
          <w:b/>
          <w:bCs/>
          <w:szCs w:val="22"/>
        </w:rPr>
        <w:tab/>
        <w:t>3(f)</w:t>
      </w:r>
      <w:r w:rsidR="000F5676">
        <w:rPr>
          <w:rFonts w:cs="Arial"/>
          <w:b/>
          <w:bCs/>
          <w:szCs w:val="22"/>
        </w:rPr>
        <w:t xml:space="preserve"> </w:t>
      </w:r>
      <w:r w:rsidRPr="00854FC2">
        <w:rPr>
          <w:rFonts w:cs="Arial"/>
          <w:b/>
          <w:bCs/>
          <w:szCs w:val="22"/>
        </w:rPr>
        <w:t>Confidentiality</w:t>
      </w:r>
    </w:p>
    <w:p w:rsidR="00D85665" w:rsidRPr="00854FC2" w:rsidRDefault="00D85665">
      <w:pPr>
        <w:keepNext/>
        <w:keepLines/>
        <w:numPr>
          <w:ilvl w:val="12"/>
          <w:numId w:val="0"/>
        </w:numPr>
        <w:rPr>
          <w:rFonts w:cs="Arial"/>
          <w:szCs w:val="22"/>
        </w:rPr>
      </w:pPr>
    </w:p>
    <w:p w:rsidR="00D85665" w:rsidRPr="00854FC2" w:rsidRDefault="00D85665" w:rsidP="00882BCD">
      <w:pPr>
        <w:numPr>
          <w:ilvl w:val="12"/>
          <w:numId w:val="0"/>
        </w:numPr>
        <w:ind w:firstLine="720"/>
        <w:outlineLvl w:val="0"/>
        <w:rPr>
          <w:rFonts w:cs="Arial"/>
          <w:szCs w:val="22"/>
        </w:rPr>
      </w:pPr>
      <w:r w:rsidRPr="00854FC2">
        <w:rPr>
          <w:rFonts w:cs="Arial"/>
          <w:szCs w:val="22"/>
        </w:rPr>
        <w:t>The nature of the data being gathered as part of this ICR is not confidential.</w:t>
      </w:r>
    </w:p>
    <w:p w:rsidR="00D85665" w:rsidRPr="00854FC2" w:rsidRDefault="00D85665">
      <w:pPr>
        <w:numPr>
          <w:ilvl w:val="12"/>
          <w:numId w:val="0"/>
        </w:numPr>
        <w:rPr>
          <w:rFonts w:cs="Arial"/>
          <w:szCs w:val="22"/>
        </w:rPr>
      </w:pPr>
    </w:p>
    <w:p w:rsidR="00D85665" w:rsidRPr="00854FC2" w:rsidRDefault="00D85665">
      <w:pPr>
        <w:keepNext/>
        <w:keepLines/>
        <w:numPr>
          <w:ilvl w:val="12"/>
          <w:numId w:val="0"/>
        </w:numPr>
        <w:rPr>
          <w:rFonts w:cs="Arial"/>
          <w:szCs w:val="22"/>
        </w:rPr>
      </w:pPr>
      <w:r w:rsidRPr="00854FC2">
        <w:rPr>
          <w:rFonts w:cs="Arial"/>
          <w:b/>
          <w:bCs/>
          <w:szCs w:val="22"/>
        </w:rPr>
        <w:tab/>
        <w:t>3(g)</w:t>
      </w:r>
      <w:r w:rsidR="000F5676">
        <w:rPr>
          <w:rFonts w:cs="Arial"/>
          <w:b/>
          <w:bCs/>
          <w:szCs w:val="22"/>
        </w:rPr>
        <w:t xml:space="preserve"> </w:t>
      </w:r>
      <w:r w:rsidRPr="00854FC2">
        <w:rPr>
          <w:rFonts w:cs="Arial"/>
          <w:b/>
          <w:bCs/>
          <w:szCs w:val="22"/>
        </w:rPr>
        <w:t>Sensitive Questions</w:t>
      </w:r>
    </w:p>
    <w:p w:rsidR="00D85665" w:rsidRPr="00854FC2" w:rsidRDefault="00D85665">
      <w:pPr>
        <w:keepNext/>
        <w:keepLines/>
        <w:numPr>
          <w:ilvl w:val="12"/>
          <w:numId w:val="0"/>
        </w:numPr>
        <w:rPr>
          <w:rFonts w:cs="Arial"/>
          <w:szCs w:val="22"/>
        </w:rPr>
      </w:pPr>
    </w:p>
    <w:p w:rsidR="00D85665" w:rsidRPr="00854FC2" w:rsidRDefault="00D85665" w:rsidP="00882BCD">
      <w:pPr>
        <w:keepNext/>
        <w:keepLines/>
        <w:numPr>
          <w:ilvl w:val="12"/>
          <w:numId w:val="0"/>
        </w:numPr>
        <w:ind w:firstLine="720"/>
        <w:outlineLvl w:val="0"/>
        <w:rPr>
          <w:rFonts w:cs="Arial"/>
          <w:szCs w:val="22"/>
        </w:rPr>
      </w:pPr>
      <w:r w:rsidRPr="00854FC2">
        <w:rPr>
          <w:rFonts w:cs="Arial"/>
          <w:szCs w:val="22"/>
        </w:rPr>
        <w:t>The information gathering activities discussed in this ICR do not involve sensitive questions.</w:t>
      </w:r>
    </w:p>
    <w:p w:rsidR="00D85665" w:rsidRPr="00854FC2" w:rsidRDefault="00D85665">
      <w:pPr>
        <w:numPr>
          <w:ilvl w:val="12"/>
          <w:numId w:val="0"/>
        </w:numPr>
        <w:rPr>
          <w:rFonts w:cs="Arial"/>
          <w:szCs w:val="22"/>
        </w:rPr>
      </w:pPr>
    </w:p>
    <w:p w:rsidR="00D85665" w:rsidRPr="00854FC2" w:rsidRDefault="00D85665">
      <w:pPr>
        <w:keepNext/>
        <w:keepLines/>
        <w:numPr>
          <w:ilvl w:val="12"/>
          <w:numId w:val="0"/>
        </w:numPr>
        <w:rPr>
          <w:rFonts w:cs="Arial"/>
          <w:szCs w:val="22"/>
        </w:rPr>
      </w:pPr>
      <w:r w:rsidRPr="00854FC2">
        <w:rPr>
          <w:rFonts w:cs="Arial"/>
          <w:b/>
          <w:bCs/>
          <w:szCs w:val="22"/>
        </w:rPr>
        <w:lastRenderedPageBreak/>
        <w:t>4.</w:t>
      </w:r>
      <w:r w:rsidRPr="00854FC2">
        <w:rPr>
          <w:rFonts w:cs="Arial"/>
          <w:b/>
          <w:bCs/>
          <w:szCs w:val="22"/>
        </w:rPr>
        <w:tab/>
        <w:t>THE RESPONDENTS AND THE INFORMATION REQUESTED</w:t>
      </w:r>
    </w:p>
    <w:p w:rsidR="00D85665" w:rsidRPr="00854FC2" w:rsidRDefault="00D85665">
      <w:pPr>
        <w:keepNext/>
        <w:keepLines/>
        <w:numPr>
          <w:ilvl w:val="12"/>
          <w:numId w:val="0"/>
        </w:numPr>
        <w:rPr>
          <w:rFonts w:cs="Arial"/>
          <w:szCs w:val="22"/>
        </w:rPr>
      </w:pPr>
    </w:p>
    <w:p w:rsidR="00D85665" w:rsidRPr="00854FC2" w:rsidRDefault="00D85665">
      <w:pPr>
        <w:keepNext/>
        <w:keepLines/>
        <w:numPr>
          <w:ilvl w:val="12"/>
          <w:numId w:val="0"/>
        </w:numPr>
        <w:rPr>
          <w:rFonts w:cs="Arial"/>
          <w:szCs w:val="22"/>
        </w:rPr>
      </w:pPr>
      <w:r w:rsidRPr="00854FC2">
        <w:rPr>
          <w:rFonts w:cs="Arial"/>
          <w:b/>
          <w:bCs/>
          <w:szCs w:val="22"/>
        </w:rPr>
        <w:tab/>
        <w:t>4(a)</w:t>
      </w:r>
      <w:r w:rsidR="000F5676">
        <w:rPr>
          <w:rFonts w:cs="Arial"/>
          <w:b/>
          <w:bCs/>
          <w:szCs w:val="22"/>
        </w:rPr>
        <w:t xml:space="preserve"> </w:t>
      </w:r>
      <w:r w:rsidRPr="00854FC2">
        <w:rPr>
          <w:rFonts w:cs="Arial"/>
          <w:b/>
          <w:bCs/>
          <w:szCs w:val="22"/>
        </w:rPr>
        <w:t>Respondents/NAICS Codes</w:t>
      </w:r>
    </w:p>
    <w:p w:rsidR="00D85665" w:rsidRPr="00854FC2" w:rsidRDefault="00D85665">
      <w:pPr>
        <w:keepNext/>
        <w:keepLines/>
        <w:numPr>
          <w:ilvl w:val="12"/>
          <w:numId w:val="0"/>
        </w:numPr>
        <w:rPr>
          <w:rFonts w:cs="Arial"/>
          <w:szCs w:val="22"/>
        </w:rPr>
      </w:pPr>
    </w:p>
    <w:p w:rsidR="00D85665" w:rsidRPr="00854FC2" w:rsidRDefault="002348E6" w:rsidP="00882BCD">
      <w:pPr>
        <w:numPr>
          <w:ilvl w:val="12"/>
          <w:numId w:val="0"/>
        </w:numPr>
        <w:ind w:firstLine="720"/>
        <w:rPr>
          <w:rFonts w:cs="Arial"/>
          <w:vertAlign w:val="superscript"/>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 xml:space="preserve">The industries that are likely to be covered by the SPCC rule fall into many North American Industrial Classification System (NAICS) categories, including those associated with petroleum production, </w:t>
      </w:r>
      <w:r w:rsidR="005F23E7">
        <w:rPr>
          <w:rFonts w:cs="Arial"/>
          <w:szCs w:val="22"/>
        </w:rPr>
        <w:t xml:space="preserve">non-petroleum oil storage, </w:t>
      </w:r>
      <w:r w:rsidR="00D85665" w:rsidRPr="00854FC2">
        <w:rPr>
          <w:rFonts w:cs="Arial"/>
          <w:szCs w:val="22"/>
        </w:rPr>
        <w:t xml:space="preserve">processing (refining), distribution, storage, and consumption. The majority of regulated facilities fall under the industry sectors listed in </w:t>
      </w:r>
      <w:fldSimple w:instr=" REF _Ref141689202  \* MERGEFORMAT ">
        <w:r w:rsidR="00F61EFD" w:rsidRPr="00854FC2">
          <w:t xml:space="preserve">Exhibit </w:t>
        </w:r>
        <w:r w:rsidR="00F61EFD">
          <w:rPr>
            <w:noProof/>
          </w:rPr>
          <w:t>1</w:t>
        </w:r>
      </w:fldSimple>
      <w:r w:rsidR="00D85665" w:rsidRPr="00854FC2">
        <w:rPr>
          <w:rFonts w:cs="Arial"/>
          <w:szCs w:val="22"/>
        </w:rPr>
        <w:t>.</w:t>
      </w:r>
    </w:p>
    <w:p w:rsidR="00D85665" w:rsidRPr="00854FC2" w:rsidRDefault="00D85665" w:rsidP="00A15DF0">
      <w:pPr>
        <w:pStyle w:val="Caption"/>
        <w:keepNext/>
        <w:keepLines/>
        <w:spacing w:before="0" w:after="0"/>
        <w:outlineLvl w:val="0"/>
        <w:rPr>
          <w:rFonts w:cs="Arial"/>
        </w:rPr>
      </w:pPr>
      <w:bookmarkStart w:id="0" w:name="_Ref141689202"/>
      <w:r w:rsidRPr="00854FC2">
        <w:t xml:space="preserve">Exhibit </w:t>
      </w:r>
      <w:r w:rsidR="002348E6">
        <w:fldChar w:fldCharType="begin"/>
      </w:r>
      <w:r w:rsidR="002348E6">
        <w:instrText xml:space="preserve"> SEQ Exhibit \* ARABIC </w:instrText>
      </w:r>
      <w:r w:rsidR="002348E6">
        <w:fldChar w:fldCharType="separate"/>
      </w:r>
      <w:r w:rsidR="00F61EFD">
        <w:rPr>
          <w:noProof/>
        </w:rPr>
        <w:t>1</w:t>
      </w:r>
      <w:r w:rsidR="002348E6">
        <w:fldChar w:fldCharType="end"/>
      </w:r>
      <w:bookmarkEnd w:id="0"/>
    </w:p>
    <w:p w:rsidR="00D85665" w:rsidRPr="00854FC2" w:rsidRDefault="00D85665">
      <w:pPr>
        <w:keepNext/>
        <w:keepLines/>
        <w:numPr>
          <w:ilvl w:val="12"/>
          <w:numId w:val="0"/>
        </w:numPr>
        <w:jc w:val="center"/>
        <w:rPr>
          <w:rFonts w:cs="Arial"/>
          <w:szCs w:val="22"/>
        </w:rPr>
      </w:pPr>
      <w:r w:rsidRPr="00854FC2">
        <w:rPr>
          <w:rFonts w:cs="Arial"/>
          <w:b/>
          <w:bCs/>
          <w:szCs w:val="22"/>
        </w:rPr>
        <w:t>Primary Industry Sectors and NAICS Codes Covered by the SPCC Rule</w:t>
      </w:r>
    </w:p>
    <w:tbl>
      <w:tblPr>
        <w:tblW w:w="5000" w:type="pct"/>
        <w:jc w:val="center"/>
        <w:tblLayout w:type="fixed"/>
        <w:tblCellMar>
          <w:left w:w="72" w:type="dxa"/>
          <w:right w:w="72" w:type="dxa"/>
        </w:tblCellMar>
        <w:tblLook w:val="0000"/>
      </w:tblPr>
      <w:tblGrid>
        <w:gridCol w:w="6214"/>
        <w:gridCol w:w="3290"/>
      </w:tblGrid>
      <w:tr w:rsidR="00D85665" w:rsidRPr="00854FC2">
        <w:trPr>
          <w:cantSplit/>
          <w:jc w:val="center"/>
        </w:trPr>
        <w:tc>
          <w:tcPr>
            <w:tcW w:w="6214" w:type="dxa"/>
            <w:tcBorders>
              <w:top w:val="double" w:sz="9" w:space="0" w:color="000000"/>
              <w:left w:val="double" w:sz="9" w:space="0" w:color="000000"/>
              <w:bottom w:val="double" w:sz="9" w:space="0" w:color="000000"/>
            </w:tcBorders>
          </w:tcPr>
          <w:p w:rsidR="00D85665" w:rsidRPr="00854FC2" w:rsidRDefault="00D85665">
            <w:pPr>
              <w:pStyle w:val="Heading6"/>
              <w:keepLines/>
              <w:tabs>
                <w:tab w:val="clear" w:pos="0"/>
                <w:tab w:val="clear" w:pos="720"/>
                <w:tab w:val="clear" w:pos="1440"/>
              </w:tabs>
              <w:spacing w:before="20" w:after="20"/>
              <w:rPr>
                <w:rFonts w:cs="Times"/>
              </w:rPr>
            </w:pPr>
            <w:r w:rsidRPr="00854FC2">
              <w:t>Industry Category</w:t>
            </w:r>
          </w:p>
        </w:tc>
        <w:tc>
          <w:tcPr>
            <w:tcW w:w="3290" w:type="dxa"/>
            <w:tcBorders>
              <w:top w:val="double" w:sz="9" w:space="0" w:color="000000"/>
              <w:left w:val="single" w:sz="6" w:space="0" w:color="000000"/>
              <w:bottom w:val="double" w:sz="9" w:space="0" w:color="000000"/>
              <w:right w:val="double" w:sz="9" w:space="0" w:color="000000"/>
            </w:tcBorders>
          </w:tcPr>
          <w:p w:rsidR="00D85665" w:rsidRPr="00854FC2" w:rsidRDefault="00D85665">
            <w:pPr>
              <w:keepNext/>
              <w:keepLines/>
              <w:numPr>
                <w:ilvl w:val="12"/>
                <w:numId w:val="0"/>
              </w:numPr>
              <w:tabs>
                <w:tab w:val="left" w:pos="0"/>
                <w:tab w:val="left" w:pos="720"/>
                <w:tab w:val="left" w:pos="1440"/>
                <w:tab w:val="left" w:pos="2160"/>
              </w:tabs>
              <w:spacing w:before="20" w:after="20"/>
              <w:jc w:val="center"/>
              <w:rPr>
                <w:rFonts w:cs="Times"/>
                <w:sz w:val="20"/>
              </w:rPr>
            </w:pPr>
            <w:r w:rsidRPr="00854FC2">
              <w:rPr>
                <w:rFonts w:cs="Arial"/>
                <w:b/>
                <w:bCs/>
                <w:sz w:val="20"/>
              </w:rPr>
              <w:t>NAICS Code(s)</w:t>
            </w:r>
          </w:p>
        </w:tc>
      </w:tr>
      <w:tr w:rsidR="00D85665" w:rsidRPr="00854FC2">
        <w:trPr>
          <w:cantSplit/>
          <w:jc w:val="center"/>
        </w:trPr>
        <w:tc>
          <w:tcPr>
            <w:tcW w:w="6214" w:type="dxa"/>
            <w:tcBorders>
              <w:left w:val="double" w:sz="9" w:space="0" w:color="000000"/>
            </w:tcBorders>
            <w:vAlign w:val="center"/>
          </w:tcPr>
          <w:p w:rsidR="00D85665" w:rsidRPr="00854FC2" w:rsidRDefault="002348E6">
            <w:pPr>
              <w:keepNext/>
              <w:keepLines/>
              <w:spacing w:before="20" w:after="20"/>
              <w:rPr>
                <w:rFonts w:cs="Arial"/>
                <w:sz w:val="20"/>
              </w:rPr>
            </w:pPr>
            <w:r w:rsidRPr="00854FC2">
              <w:rPr>
                <w:rFonts w:cs="Arial"/>
                <w:sz w:val="20"/>
                <w:lang w:val="en-CA"/>
              </w:rPr>
              <w:fldChar w:fldCharType="begin"/>
            </w:r>
            <w:r w:rsidR="00D85665" w:rsidRPr="00854FC2">
              <w:rPr>
                <w:rFonts w:cs="Arial"/>
                <w:sz w:val="20"/>
                <w:lang w:val="en-CA"/>
              </w:rPr>
              <w:instrText xml:space="preserve"> SEQ CHAPTER \h \r 1</w:instrText>
            </w:r>
            <w:r w:rsidRPr="00854FC2">
              <w:rPr>
                <w:rFonts w:cs="Arial"/>
                <w:sz w:val="20"/>
                <w:lang w:val="en-CA"/>
              </w:rPr>
              <w:fldChar w:fldCharType="end"/>
            </w:r>
            <w:r w:rsidR="00D85665" w:rsidRPr="00854FC2">
              <w:rPr>
                <w:rFonts w:cs="Arial"/>
                <w:sz w:val="20"/>
                <w:szCs w:val="19"/>
              </w:rPr>
              <w:t>Oil and Gas Extraction</w:t>
            </w:r>
          </w:p>
        </w:tc>
        <w:tc>
          <w:tcPr>
            <w:tcW w:w="3290" w:type="dxa"/>
            <w:tcBorders>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211</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Farms</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111, 112</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Electric Utility Plants</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2211</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Petroleum Refining and Related Industries</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324</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Chemical Manufacturing</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325</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Food Manufacturing</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311, 312</w:t>
            </w:r>
          </w:p>
        </w:tc>
      </w:tr>
      <w:tr w:rsidR="00D45D09" w:rsidRPr="00854FC2">
        <w:trPr>
          <w:cantSplit/>
          <w:jc w:val="center"/>
        </w:trPr>
        <w:tc>
          <w:tcPr>
            <w:tcW w:w="6214" w:type="dxa"/>
            <w:tcBorders>
              <w:top w:val="single" w:sz="6" w:space="0" w:color="000000"/>
              <w:left w:val="double" w:sz="9" w:space="0" w:color="000000"/>
            </w:tcBorders>
            <w:vAlign w:val="center"/>
          </w:tcPr>
          <w:p w:rsidR="00D45D09" w:rsidRPr="00854FC2" w:rsidRDefault="00D45D09">
            <w:pPr>
              <w:keepNext/>
              <w:keepLines/>
              <w:spacing w:before="20" w:after="20"/>
              <w:rPr>
                <w:rFonts w:cs="Arial"/>
                <w:sz w:val="20"/>
                <w:szCs w:val="19"/>
              </w:rPr>
            </w:pPr>
            <w:r>
              <w:rPr>
                <w:rFonts w:cs="Arial"/>
                <w:sz w:val="20"/>
                <w:szCs w:val="19"/>
              </w:rPr>
              <w:t>Manufacturing Facilities Using and Storing Animal Fats and Vegetable Oils</w:t>
            </w:r>
          </w:p>
        </w:tc>
        <w:tc>
          <w:tcPr>
            <w:tcW w:w="3290" w:type="dxa"/>
            <w:tcBorders>
              <w:top w:val="single" w:sz="6" w:space="0" w:color="000000"/>
              <w:left w:val="single" w:sz="6" w:space="0" w:color="000000"/>
              <w:right w:val="double" w:sz="9" w:space="0" w:color="000000"/>
            </w:tcBorders>
            <w:vAlign w:val="center"/>
          </w:tcPr>
          <w:p w:rsidR="00D45D09" w:rsidRPr="00854FC2" w:rsidRDefault="00D45D09">
            <w:pPr>
              <w:keepNext/>
              <w:keepLines/>
              <w:spacing w:before="20" w:after="20"/>
              <w:jc w:val="center"/>
              <w:rPr>
                <w:rFonts w:cs="Arial"/>
                <w:sz w:val="20"/>
                <w:szCs w:val="19"/>
              </w:rPr>
            </w:pPr>
            <w:r>
              <w:rPr>
                <w:rFonts w:cs="Arial"/>
                <w:sz w:val="20"/>
                <w:szCs w:val="19"/>
              </w:rPr>
              <w:t>311, 325</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Metal Manufacturing</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331, 332</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Other Manufacturing</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31-33</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Real Estate Rental and Leasing</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531-533</w:t>
            </w:r>
          </w:p>
        </w:tc>
      </w:tr>
      <w:tr w:rsidR="00D85665" w:rsidRPr="00854FC2">
        <w:trPr>
          <w:cantSplit/>
          <w:jc w:val="center"/>
        </w:trPr>
        <w:tc>
          <w:tcPr>
            <w:tcW w:w="6214" w:type="dxa"/>
            <w:tcBorders>
              <w:top w:val="single" w:sz="6" w:space="0" w:color="000000"/>
              <w:left w:val="double" w:sz="9"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Retail Trade</w:t>
            </w:r>
          </w:p>
        </w:tc>
        <w:tc>
          <w:tcPr>
            <w:tcW w:w="3290" w:type="dxa"/>
            <w:tcBorders>
              <w:top w:val="single" w:sz="6" w:space="0" w:color="000000"/>
              <w:left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441-446, 448, 451-454</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Contract Construction</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23</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Wholesale Trade</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42</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Other Commercial</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492, 541, 551, 561-562</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Transportation</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481-488</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Arts Entertainment &amp; Recreation</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711-713</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Other Services (Except Public Administration)</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811-813</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 xml:space="preserve">Education </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rPr>
            </w:pPr>
            <w:r w:rsidRPr="00854FC2">
              <w:rPr>
                <w:rFonts w:cs="Arial"/>
                <w:sz w:val="20"/>
                <w:szCs w:val="19"/>
              </w:rPr>
              <w:t>611</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2348E6">
            <w:pPr>
              <w:keepNext/>
              <w:keepLines/>
              <w:spacing w:before="20" w:after="20"/>
              <w:rPr>
                <w:rFonts w:cs="Arial"/>
                <w:sz w:val="20"/>
              </w:rPr>
            </w:pPr>
            <w:r w:rsidRPr="00854FC2">
              <w:rPr>
                <w:rFonts w:cs="Arial"/>
                <w:sz w:val="20"/>
                <w:lang w:val="en-CA"/>
              </w:rPr>
              <w:fldChar w:fldCharType="begin"/>
            </w:r>
            <w:r w:rsidR="00D85665" w:rsidRPr="00854FC2">
              <w:rPr>
                <w:rFonts w:cs="Arial"/>
                <w:sz w:val="20"/>
                <w:lang w:val="en-CA"/>
              </w:rPr>
              <w:instrText xml:space="preserve"> SEQ CHAPTER \h \r 1</w:instrText>
            </w:r>
            <w:r w:rsidRPr="00854FC2">
              <w:rPr>
                <w:rFonts w:cs="Arial"/>
                <w:sz w:val="20"/>
                <w:lang w:val="en-CA"/>
              </w:rPr>
              <w:fldChar w:fldCharType="end"/>
            </w:r>
            <w:r w:rsidR="00D85665" w:rsidRPr="00854FC2">
              <w:rPr>
                <w:rFonts w:cs="Arial"/>
                <w:sz w:val="20"/>
                <w:szCs w:val="19"/>
              </w:rPr>
              <w:t>Petroleum Bulk Stations and Terminals</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4247</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Hospitals &amp; Other Health Care</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621-624</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Accommodation and Food Services</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721, 722</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Fuel Oil Dealers</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45431</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 xml:space="preserve">Gasoline Stations </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4471</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Information Finance and Insurance</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51, 52</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Mining</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212, 213</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Warehousing and Storage</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493</w:t>
            </w:r>
          </w:p>
        </w:tc>
      </w:tr>
      <w:tr w:rsidR="00D85665" w:rsidRPr="00854FC2">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pStyle w:val="FootnoteText"/>
              <w:keepNext/>
              <w:keepLines/>
              <w:spacing w:before="20" w:after="20"/>
              <w:rPr>
                <w:rFonts w:cs="Arial"/>
                <w:szCs w:val="19"/>
              </w:rPr>
            </w:pPr>
            <w:r w:rsidRPr="00854FC2">
              <w:rPr>
                <w:rFonts w:cs="Arial"/>
                <w:szCs w:val="19"/>
              </w:rPr>
              <w:t>Pipelines</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szCs w:val="19"/>
              </w:rPr>
            </w:pPr>
            <w:r w:rsidRPr="00854FC2">
              <w:rPr>
                <w:rFonts w:cs="Arial"/>
                <w:sz w:val="20"/>
                <w:szCs w:val="19"/>
              </w:rPr>
              <w:t>4861, 4869</w:t>
            </w:r>
          </w:p>
        </w:tc>
      </w:tr>
      <w:tr w:rsidR="00D85665" w:rsidRPr="00854FC2" w:rsidTr="00D45D09">
        <w:trPr>
          <w:cantSplit/>
          <w:jc w:val="center"/>
        </w:trPr>
        <w:tc>
          <w:tcPr>
            <w:tcW w:w="6214" w:type="dxa"/>
            <w:tcBorders>
              <w:top w:val="single" w:sz="6" w:space="0" w:color="000000"/>
              <w:left w:val="double" w:sz="9" w:space="0" w:color="000000"/>
              <w:bottom w:val="single" w:sz="6" w:space="0" w:color="000000"/>
            </w:tcBorders>
            <w:vAlign w:val="center"/>
          </w:tcPr>
          <w:p w:rsidR="00D85665" w:rsidRPr="00854FC2" w:rsidRDefault="00D85665">
            <w:pPr>
              <w:keepNext/>
              <w:keepLines/>
              <w:spacing w:before="20" w:after="20"/>
              <w:rPr>
                <w:rFonts w:cs="Arial"/>
                <w:sz w:val="20"/>
              </w:rPr>
            </w:pPr>
            <w:r w:rsidRPr="00854FC2">
              <w:rPr>
                <w:rFonts w:cs="Arial"/>
                <w:sz w:val="20"/>
                <w:szCs w:val="19"/>
              </w:rPr>
              <w:t>Government</w:t>
            </w:r>
          </w:p>
        </w:tc>
        <w:tc>
          <w:tcPr>
            <w:tcW w:w="3290" w:type="dxa"/>
            <w:tcBorders>
              <w:top w:val="single" w:sz="6" w:space="0" w:color="000000"/>
              <w:left w:val="single" w:sz="6" w:space="0" w:color="000000"/>
              <w:bottom w:val="single" w:sz="6" w:space="0" w:color="000000"/>
              <w:right w:val="double" w:sz="9" w:space="0" w:color="000000"/>
            </w:tcBorders>
            <w:vAlign w:val="center"/>
          </w:tcPr>
          <w:p w:rsidR="00D85665" w:rsidRPr="00854FC2" w:rsidRDefault="00D85665">
            <w:pPr>
              <w:keepNext/>
              <w:keepLines/>
              <w:spacing w:before="20" w:after="20"/>
              <w:jc w:val="center"/>
              <w:rPr>
                <w:rFonts w:cs="Arial"/>
                <w:sz w:val="20"/>
              </w:rPr>
            </w:pPr>
            <w:r w:rsidRPr="00854FC2">
              <w:rPr>
                <w:rFonts w:cs="Arial"/>
                <w:sz w:val="20"/>
                <w:szCs w:val="19"/>
              </w:rPr>
              <w:t>92</w:t>
            </w:r>
          </w:p>
        </w:tc>
      </w:tr>
      <w:tr w:rsidR="00D45D09" w:rsidRPr="00854FC2" w:rsidTr="00D45D09">
        <w:trPr>
          <w:cantSplit/>
          <w:jc w:val="center"/>
        </w:trPr>
        <w:tc>
          <w:tcPr>
            <w:tcW w:w="6214" w:type="dxa"/>
            <w:tcBorders>
              <w:top w:val="single" w:sz="6" w:space="0" w:color="000000"/>
              <w:left w:val="double" w:sz="9" w:space="0" w:color="000000"/>
              <w:bottom w:val="single" w:sz="6" w:space="0" w:color="000000"/>
            </w:tcBorders>
            <w:vAlign w:val="center"/>
          </w:tcPr>
          <w:p w:rsidR="00D45D09" w:rsidRPr="00854FC2" w:rsidRDefault="00D45D09">
            <w:pPr>
              <w:keepNext/>
              <w:keepLines/>
              <w:spacing w:before="20" w:after="20"/>
              <w:rPr>
                <w:rFonts w:cs="Arial"/>
                <w:sz w:val="20"/>
                <w:szCs w:val="19"/>
              </w:rPr>
            </w:pPr>
            <w:r>
              <w:rPr>
                <w:rFonts w:cs="Arial"/>
                <w:sz w:val="20"/>
                <w:szCs w:val="19"/>
              </w:rPr>
              <w:t>Military Installations</w:t>
            </w:r>
          </w:p>
        </w:tc>
        <w:tc>
          <w:tcPr>
            <w:tcW w:w="3290" w:type="dxa"/>
            <w:tcBorders>
              <w:top w:val="single" w:sz="6" w:space="0" w:color="000000"/>
              <w:left w:val="single" w:sz="6" w:space="0" w:color="000000"/>
              <w:bottom w:val="single" w:sz="6" w:space="0" w:color="000000"/>
              <w:right w:val="double" w:sz="9" w:space="0" w:color="000000"/>
            </w:tcBorders>
            <w:vAlign w:val="center"/>
          </w:tcPr>
          <w:p w:rsidR="00D45D09" w:rsidRPr="00854FC2" w:rsidRDefault="00D45D09">
            <w:pPr>
              <w:keepNext/>
              <w:keepLines/>
              <w:spacing w:before="20" w:after="20"/>
              <w:jc w:val="center"/>
              <w:rPr>
                <w:rFonts w:cs="Arial"/>
                <w:sz w:val="20"/>
                <w:szCs w:val="19"/>
              </w:rPr>
            </w:pPr>
            <w:r>
              <w:rPr>
                <w:rFonts w:cs="Arial"/>
                <w:sz w:val="20"/>
                <w:szCs w:val="19"/>
              </w:rPr>
              <w:t>928110</w:t>
            </w:r>
          </w:p>
        </w:tc>
      </w:tr>
      <w:tr w:rsidR="00D45D09" w:rsidRPr="00854FC2">
        <w:trPr>
          <w:cantSplit/>
          <w:jc w:val="center"/>
        </w:trPr>
        <w:tc>
          <w:tcPr>
            <w:tcW w:w="6214" w:type="dxa"/>
            <w:tcBorders>
              <w:top w:val="single" w:sz="6" w:space="0" w:color="000000"/>
              <w:left w:val="double" w:sz="9" w:space="0" w:color="000000"/>
              <w:bottom w:val="double" w:sz="9" w:space="0" w:color="000000"/>
            </w:tcBorders>
            <w:vAlign w:val="center"/>
          </w:tcPr>
          <w:p w:rsidR="00D45D09" w:rsidRDefault="00D45D09">
            <w:pPr>
              <w:keepNext/>
              <w:keepLines/>
              <w:spacing w:before="20" w:after="20"/>
              <w:rPr>
                <w:rFonts w:cs="Arial"/>
                <w:sz w:val="20"/>
                <w:szCs w:val="19"/>
              </w:rPr>
            </w:pPr>
            <w:proofErr w:type="spellStart"/>
            <w:r>
              <w:rPr>
                <w:rFonts w:cs="Arial"/>
                <w:sz w:val="20"/>
                <w:szCs w:val="19"/>
              </w:rPr>
              <w:t>Religiois</w:t>
            </w:r>
            <w:proofErr w:type="spellEnd"/>
            <w:r>
              <w:rPr>
                <w:rFonts w:cs="Arial"/>
                <w:sz w:val="20"/>
                <w:szCs w:val="19"/>
              </w:rPr>
              <w:t xml:space="preserve"> Organizations</w:t>
            </w:r>
          </w:p>
        </w:tc>
        <w:tc>
          <w:tcPr>
            <w:tcW w:w="3290" w:type="dxa"/>
            <w:tcBorders>
              <w:top w:val="single" w:sz="6" w:space="0" w:color="000000"/>
              <w:left w:val="single" w:sz="6" w:space="0" w:color="000000"/>
              <w:bottom w:val="double" w:sz="9" w:space="0" w:color="000000"/>
              <w:right w:val="double" w:sz="9" w:space="0" w:color="000000"/>
            </w:tcBorders>
            <w:vAlign w:val="center"/>
          </w:tcPr>
          <w:p w:rsidR="00D45D09" w:rsidRDefault="00D45D09">
            <w:pPr>
              <w:keepNext/>
              <w:keepLines/>
              <w:spacing w:before="20" w:after="20"/>
              <w:jc w:val="center"/>
              <w:rPr>
                <w:rFonts w:cs="Arial"/>
                <w:sz w:val="20"/>
                <w:szCs w:val="19"/>
              </w:rPr>
            </w:pPr>
            <w:r>
              <w:rPr>
                <w:rFonts w:cs="Arial"/>
                <w:sz w:val="20"/>
                <w:szCs w:val="19"/>
              </w:rPr>
              <w:t>813110</w:t>
            </w:r>
          </w:p>
        </w:tc>
      </w:tr>
    </w:tbl>
    <w:p w:rsidR="00D85665" w:rsidRPr="00854FC2" w:rsidRDefault="00D85665">
      <w:pPr>
        <w:pStyle w:val="Footer"/>
        <w:numPr>
          <w:ilvl w:val="12"/>
          <w:numId w:val="0"/>
        </w:numPr>
        <w:tabs>
          <w:tab w:val="clear" w:pos="4320"/>
          <w:tab w:val="clear" w:pos="8640"/>
          <w:tab w:val="left" w:pos="0"/>
          <w:tab w:val="left" w:pos="720"/>
          <w:tab w:val="left" w:pos="1440"/>
          <w:tab w:val="left" w:pos="2160"/>
        </w:tabs>
        <w:rPr>
          <w:rFonts w:cs="Arial"/>
          <w:szCs w:val="22"/>
        </w:rPr>
      </w:pPr>
    </w:p>
    <w:p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b/>
          <w:bCs/>
          <w:szCs w:val="22"/>
        </w:rPr>
        <w:lastRenderedPageBreak/>
        <w:tab/>
        <w:t>4(b)</w:t>
      </w:r>
      <w:r w:rsidR="000F5676">
        <w:rPr>
          <w:rFonts w:cs="Arial"/>
          <w:b/>
          <w:bCs/>
          <w:szCs w:val="22"/>
        </w:rPr>
        <w:t xml:space="preserve"> </w:t>
      </w:r>
      <w:r w:rsidRPr="00854FC2">
        <w:rPr>
          <w:rFonts w:cs="Arial"/>
          <w:b/>
          <w:bCs/>
          <w:szCs w:val="22"/>
        </w:rPr>
        <w:t>Information Requested</w:t>
      </w:r>
    </w:p>
    <w:p w:rsidR="00D85665" w:rsidRPr="00854FC2" w:rsidRDefault="00D85665">
      <w:pPr>
        <w:keepNext/>
        <w:numPr>
          <w:ilvl w:val="12"/>
          <w:numId w:val="0"/>
        </w:numPr>
        <w:tabs>
          <w:tab w:val="left" w:pos="0"/>
          <w:tab w:val="left" w:pos="720"/>
          <w:tab w:val="left" w:pos="1440"/>
          <w:tab w:val="left" w:pos="2160"/>
        </w:tabs>
        <w:rPr>
          <w:rFonts w:cs="Arial"/>
          <w:szCs w:val="22"/>
        </w:rPr>
      </w:pPr>
    </w:p>
    <w:p w:rsidR="00D85665" w:rsidRPr="00854FC2" w:rsidRDefault="00D85665" w:rsidP="00C83EB6">
      <w:pPr>
        <w:keepNext/>
        <w:numPr>
          <w:ilvl w:val="0"/>
          <w:numId w:val="4"/>
        </w:numPr>
        <w:tabs>
          <w:tab w:val="clear" w:pos="1440"/>
          <w:tab w:val="left" w:pos="0"/>
          <w:tab w:val="left" w:pos="720"/>
          <w:tab w:val="num" w:pos="1260"/>
          <w:tab w:val="left" w:pos="2160"/>
        </w:tabs>
        <w:rPr>
          <w:rFonts w:cs="Arial"/>
          <w:i/>
          <w:iCs/>
          <w:szCs w:val="22"/>
          <w:u w:val="single"/>
        </w:rPr>
      </w:pPr>
      <w:r w:rsidRPr="00854FC2">
        <w:rPr>
          <w:rFonts w:cs="Arial"/>
          <w:i/>
          <w:iCs/>
          <w:szCs w:val="22"/>
          <w:u w:val="single"/>
        </w:rPr>
        <w:t>Data Items, Including Recordkeeping Requirements</w:t>
      </w:r>
    </w:p>
    <w:p w:rsidR="00D85665" w:rsidRPr="00854FC2" w:rsidRDefault="00D85665">
      <w:pPr>
        <w:keepNext/>
        <w:tabs>
          <w:tab w:val="left" w:pos="0"/>
          <w:tab w:val="left" w:pos="720"/>
          <w:tab w:val="left" w:pos="1440"/>
          <w:tab w:val="left" w:pos="2160"/>
        </w:tabs>
        <w:rPr>
          <w:rFonts w:cs="Arial"/>
          <w:szCs w:val="22"/>
        </w:rPr>
      </w:pPr>
    </w:p>
    <w:p w:rsidR="00D85665" w:rsidRDefault="00882BCD">
      <w:pPr>
        <w:numPr>
          <w:ilvl w:val="12"/>
          <w:numId w:val="0"/>
        </w:numPr>
        <w:tabs>
          <w:tab w:val="left" w:pos="0"/>
          <w:tab w:val="left" w:pos="720"/>
          <w:tab w:val="left" w:pos="1440"/>
          <w:tab w:val="left" w:pos="2160"/>
        </w:tabs>
        <w:rPr>
          <w:rFonts w:cs="Arial"/>
          <w:szCs w:val="22"/>
        </w:rPr>
      </w:pPr>
      <w:r>
        <w:rPr>
          <w:rFonts w:cs="Courier New"/>
          <w:lang w:val="en-CA"/>
        </w:rPr>
        <w:tab/>
      </w:r>
      <w:r w:rsidR="002348E6" w:rsidRPr="00854FC2">
        <w:rPr>
          <w:rFonts w:cs="Courier New"/>
          <w:lang w:val="en-CA"/>
        </w:rPr>
        <w:fldChar w:fldCharType="begin"/>
      </w:r>
      <w:r w:rsidR="00D85665" w:rsidRPr="00854FC2">
        <w:rPr>
          <w:rFonts w:cs="Courier New"/>
          <w:lang w:val="en-CA"/>
        </w:rPr>
        <w:instrText xml:space="preserve"> SEQ CHAPTER \h \r 1</w:instrText>
      </w:r>
      <w:r w:rsidR="002348E6" w:rsidRPr="00854FC2">
        <w:rPr>
          <w:rFonts w:cs="Courier New"/>
          <w:lang w:val="en-CA"/>
        </w:rPr>
        <w:fldChar w:fldCharType="end"/>
      </w:r>
      <w:r w:rsidR="00D85665" w:rsidRPr="00854FC2">
        <w:rPr>
          <w:rFonts w:cs="Arial"/>
          <w:szCs w:val="22"/>
        </w:rPr>
        <w:t>The primary data collection activities required by the SPCC rule are the preparation and maintenance of the SPCC Plan along with preparing records of inspections and tests. In preparing a Plan, a facility owner or operator must follow the provisions outlined in the regulation and include a discussion of the measures taken to meet the SPCC requirements</w:t>
      </w:r>
      <w:r w:rsidR="00B87C42">
        <w:rPr>
          <w:rFonts w:cs="Arial"/>
          <w:szCs w:val="22"/>
        </w:rPr>
        <w:t>,</w:t>
      </w:r>
      <w:r w:rsidR="00B87C42" w:rsidRPr="00B87C42">
        <w:rPr>
          <w:rFonts w:cs="Arial"/>
          <w:szCs w:val="22"/>
        </w:rPr>
        <w:t xml:space="preserve"> </w:t>
      </w:r>
      <w:r w:rsidR="00B87C42">
        <w:rPr>
          <w:rFonts w:cs="Arial"/>
          <w:szCs w:val="22"/>
        </w:rPr>
        <w:t>some of which are listed below</w:t>
      </w:r>
      <w:r w:rsidR="00D85665" w:rsidRPr="00854FC2">
        <w:rPr>
          <w:rFonts w:cs="Arial"/>
          <w:szCs w:val="22"/>
        </w:rPr>
        <w:t>. For more detailed requirements, please refer to the Oil Pollution Prevention regulation</w:t>
      </w:r>
      <w:r w:rsidR="007E569C">
        <w:rPr>
          <w:rFonts w:cs="Arial"/>
          <w:szCs w:val="22"/>
        </w:rPr>
        <w:t xml:space="preserve"> </w:t>
      </w:r>
      <w:r w:rsidR="00D85665" w:rsidRPr="00854FC2">
        <w:rPr>
          <w:rFonts w:cs="Arial"/>
          <w:szCs w:val="22"/>
        </w:rPr>
        <w:t>itself</w:t>
      </w:r>
      <w:r w:rsidR="004C7AFE">
        <w:rPr>
          <w:rFonts w:cs="Arial"/>
          <w:szCs w:val="22"/>
        </w:rPr>
        <w:t>.</w:t>
      </w:r>
      <w:r w:rsidR="00D85665" w:rsidRPr="00854FC2">
        <w:rPr>
          <w:rFonts w:cs="Arial"/>
          <w:szCs w:val="22"/>
        </w:rPr>
        <w:t xml:space="preserve"> </w:t>
      </w:r>
    </w:p>
    <w:p w:rsidR="004C7AFE" w:rsidRPr="00854FC2" w:rsidRDefault="004C7AFE">
      <w:pPr>
        <w:numPr>
          <w:ilvl w:val="12"/>
          <w:numId w:val="0"/>
        </w:numPr>
        <w:tabs>
          <w:tab w:val="left" w:pos="0"/>
          <w:tab w:val="left" w:pos="720"/>
          <w:tab w:val="left" w:pos="1440"/>
          <w:tab w:val="left" w:pos="2160"/>
        </w:tabs>
        <w:rPr>
          <w:rFonts w:cs="Arial"/>
          <w:szCs w:val="22"/>
        </w:rPr>
      </w:pPr>
    </w:p>
    <w:p w:rsidR="00D85665" w:rsidRPr="00854FC2" w:rsidRDefault="00D85665">
      <w:pPr>
        <w:numPr>
          <w:ilvl w:val="0"/>
          <w:numId w:val="12"/>
        </w:numPr>
        <w:tabs>
          <w:tab w:val="left" w:pos="0"/>
          <w:tab w:val="left" w:pos="1440"/>
          <w:tab w:val="left" w:pos="2160"/>
        </w:tabs>
        <w:rPr>
          <w:rFonts w:cs="Arial"/>
          <w:szCs w:val="22"/>
        </w:rPr>
      </w:pPr>
      <w:r w:rsidRPr="00854FC2">
        <w:rPr>
          <w:rFonts w:cs="Arial"/>
          <w:szCs w:val="22"/>
          <w:u w:val="single"/>
        </w:rPr>
        <w:t>Potential equipment failure</w:t>
      </w:r>
      <w:r w:rsidRPr="00854FC2">
        <w:rPr>
          <w:rFonts w:cs="Arial"/>
          <w:szCs w:val="22"/>
        </w:rPr>
        <w:t xml:space="preserve">.  </w:t>
      </w:r>
      <w:r w:rsidR="002348E6" w:rsidRPr="00854FC2">
        <w:rPr>
          <w:rFonts w:cs="Courier New"/>
          <w:lang w:val="en-CA"/>
        </w:rPr>
        <w:fldChar w:fldCharType="begin"/>
      </w:r>
      <w:r w:rsidRPr="00854FC2">
        <w:rPr>
          <w:rFonts w:cs="Courier New"/>
          <w:lang w:val="en-CA"/>
        </w:rPr>
        <w:instrText xml:space="preserve"> SEQ CHAPTER \h \r 1</w:instrText>
      </w:r>
      <w:r w:rsidR="002348E6" w:rsidRPr="00854FC2">
        <w:rPr>
          <w:rFonts w:cs="Courier New"/>
          <w:lang w:val="en-CA"/>
        </w:rPr>
        <w:fldChar w:fldCharType="end"/>
      </w:r>
      <w:r w:rsidRPr="00854FC2">
        <w:rPr>
          <w:rFonts w:cs="Arial"/>
          <w:szCs w:val="22"/>
        </w:rPr>
        <w:t>Where experience indicates a reasonable potential for equipment failure (e.g., tank overflow, rupture, or leakage), the Plan must include a prediction of the direction, rate of flow, and total quantity of oil that could be discharged from the facility as a result of each major type of equipment failure (§112.7(b)).</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Pr="00854FC2" w:rsidRDefault="00D85665">
      <w:pPr>
        <w:numPr>
          <w:ilvl w:val="0"/>
          <w:numId w:val="12"/>
        </w:numPr>
        <w:tabs>
          <w:tab w:val="left" w:pos="0"/>
          <w:tab w:val="left" w:pos="1440"/>
          <w:tab w:val="left" w:pos="2160"/>
        </w:tabs>
        <w:rPr>
          <w:rFonts w:cs="Arial"/>
          <w:szCs w:val="22"/>
        </w:rPr>
      </w:pPr>
      <w:r w:rsidRPr="00854FC2">
        <w:rPr>
          <w:rFonts w:cs="Arial"/>
          <w:szCs w:val="22"/>
          <w:u w:val="single"/>
        </w:rPr>
        <w:t>Containment/diversion or contingency planning</w:t>
      </w:r>
      <w:r w:rsidRPr="00854FC2">
        <w:rPr>
          <w:rFonts w:cs="Arial"/>
          <w:szCs w:val="22"/>
        </w:rPr>
        <w:t>.  Appropriate containment and/or diversion structures or equipment must be provided to prevent a discharge (§§112.7(c), 112.7(h)(1), 112.8(c)(2), 112.8(c)(11), 112.9(c)(2), 112.10(c), 112.12(c)(2), and/or 112.12(c)(11), as applicable according to facility type). For onshore facilities, the owner or operator must use one of the following preventive systems</w:t>
      </w:r>
      <w:r w:rsidR="004C7AFE">
        <w:rPr>
          <w:rFonts w:cs="Arial"/>
          <w:szCs w:val="22"/>
        </w:rPr>
        <w:t xml:space="preserve"> or its equivalent</w:t>
      </w:r>
      <w:r w:rsidRPr="00854FC2">
        <w:rPr>
          <w:rFonts w:cs="Arial"/>
          <w:szCs w:val="22"/>
        </w:rPr>
        <w:t xml:space="preserve">: dikes, </w:t>
      </w:r>
      <w:proofErr w:type="spellStart"/>
      <w:r w:rsidRPr="00854FC2">
        <w:rPr>
          <w:rFonts w:cs="Arial"/>
          <w:szCs w:val="22"/>
        </w:rPr>
        <w:t>berms</w:t>
      </w:r>
      <w:proofErr w:type="spellEnd"/>
      <w:r w:rsidRPr="00854FC2">
        <w:rPr>
          <w:rFonts w:cs="Arial"/>
          <w:szCs w:val="22"/>
        </w:rPr>
        <w:t xml:space="preserve">, or retaining walls sufficiently impervious to contain oil; curbing; </w:t>
      </w:r>
      <w:proofErr w:type="spellStart"/>
      <w:r w:rsidRPr="00854FC2">
        <w:rPr>
          <w:rFonts w:cs="Arial"/>
          <w:szCs w:val="22"/>
        </w:rPr>
        <w:t>culverting</w:t>
      </w:r>
      <w:proofErr w:type="spellEnd"/>
      <w:r w:rsidRPr="00854FC2">
        <w:rPr>
          <w:rFonts w:cs="Arial"/>
          <w:szCs w:val="22"/>
        </w:rPr>
        <w:t>, gutters, or other drainage systems; weirs, booms, or other barriers; spill diversion ponds; retention ponds; or sorbent materials. The owner or operator of an offshore facility is subject to slightly different requirements due to the facility’s unique configuration. While §112.7(c) generally requires secondary containment to be appropriately sized (i.e., to address the most likely discharge so that the oil will not escape containment before cleanup occurs), the additional provisions listed above specify a required minimum size for secondary containment at particular areas of a facility (i.e., sized to contain the largest single oil compartment or container plus sufficient freeboard to contain precipitation). Where installation of these structures or equipment is determined by the owner or operator to be impracticable, a facility owner or operator must explain why, provide a contingency plan following 40 CFR part 109 (or a Facility Response Plan), conduct periodic integrity testing of the containers and periodic integrity and leak testing of valves and piping, and provide a written commitment of the manpower, equipment, and materials required to expeditiously control and remove any harmful quantity of oil discharged (§112.7(d)).</w:t>
      </w:r>
    </w:p>
    <w:p w:rsidR="00D85665" w:rsidRPr="00854FC2" w:rsidRDefault="00D85665">
      <w:pPr>
        <w:tabs>
          <w:tab w:val="left" w:pos="0"/>
          <w:tab w:val="left" w:pos="720"/>
          <w:tab w:val="left" w:pos="1440"/>
          <w:tab w:val="left" w:pos="2160"/>
        </w:tabs>
        <w:ind w:left="360"/>
        <w:rPr>
          <w:rFonts w:cs="Arial"/>
          <w:szCs w:val="22"/>
        </w:rPr>
      </w:pPr>
    </w:p>
    <w:p w:rsidR="00D85665" w:rsidRDefault="00941FDD">
      <w:pPr>
        <w:tabs>
          <w:tab w:val="left" w:pos="0"/>
          <w:tab w:val="left" w:pos="1440"/>
          <w:tab w:val="left" w:pos="2160"/>
        </w:tabs>
        <w:ind w:left="720"/>
        <w:rPr>
          <w:rFonts w:cs="Arial"/>
          <w:szCs w:val="22"/>
        </w:rPr>
      </w:pPr>
      <w:r>
        <w:rPr>
          <w:rFonts w:cs="Arial"/>
          <w:szCs w:val="22"/>
        </w:rPr>
        <w:t>O</w:t>
      </w:r>
      <w:r w:rsidR="00D85665" w:rsidRPr="00854FC2">
        <w:rPr>
          <w:rFonts w:cs="Arial"/>
          <w:szCs w:val="22"/>
        </w:rPr>
        <w:t xml:space="preserve">wners and operators of facilities with certain types of oil-filled operational equipment </w:t>
      </w:r>
      <w:r>
        <w:rPr>
          <w:rFonts w:cs="Arial"/>
          <w:szCs w:val="22"/>
        </w:rPr>
        <w:t xml:space="preserve">have </w:t>
      </w:r>
      <w:r w:rsidR="00D85665" w:rsidRPr="00854FC2">
        <w:rPr>
          <w:rFonts w:cs="Arial"/>
          <w:szCs w:val="22"/>
        </w:rPr>
        <w:t>the option of preparing an oil spill contingency plan and a written commitment of manpower, equipment, and materials in lieu of providing secondary containment for qualified oil-filled operational equipment, without making an individual impracticability determination as required in §112.7(d). Owners or operators who pursue this alternative are required to establish and document an inspection or monitoring program for this qualified oil-filled operational equipment to detect equipment failure and/or a discharge, in lieu of providing secondary containment. An owner or operator cannot pursue the option if that facility has had a single discharge as described in §112.1(b) from any oil-</w:t>
      </w:r>
      <w:r w:rsidR="00D85665" w:rsidRPr="00854FC2">
        <w:rPr>
          <w:rFonts w:cs="Arial"/>
          <w:szCs w:val="22"/>
        </w:rPr>
        <w:lastRenderedPageBreak/>
        <w:t>filled operational equipment exceeding 1,000 U.S. gallons or two discharges as described in §112.1(b) from any oil-filled operational equipment each exceeding 42 U.S. gallons within any 12-month period in the three years prior to the SPCC Plan self-certification date, or since becoming subject to 40 CFR part 112 if the facility has been operating for less than three years.</w:t>
      </w:r>
    </w:p>
    <w:p w:rsidR="004C7AFE" w:rsidRDefault="004C7AFE">
      <w:pPr>
        <w:tabs>
          <w:tab w:val="left" w:pos="0"/>
          <w:tab w:val="left" w:pos="1440"/>
          <w:tab w:val="left" w:pos="2160"/>
        </w:tabs>
        <w:ind w:left="720"/>
        <w:rPr>
          <w:rFonts w:cs="Arial"/>
          <w:szCs w:val="22"/>
        </w:rPr>
      </w:pPr>
    </w:p>
    <w:p w:rsidR="002C04AF" w:rsidRDefault="00941FDD" w:rsidP="00941FDD">
      <w:pPr>
        <w:tabs>
          <w:tab w:val="left" w:pos="0"/>
          <w:tab w:val="left" w:pos="1440"/>
          <w:tab w:val="left" w:pos="2160"/>
        </w:tabs>
        <w:spacing w:after="120"/>
        <w:ind w:left="720"/>
        <w:rPr>
          <w:rFonts w:cs="Arial"/>
          <w:szCs w:val="22"/>
        </w:rPr>
      </w:pPr>
      <w:r>
        <w:rPr>
          <w:rFonts w:cs="Arial"/>
          <w:szCs w:val="22"/>
        </w:rPr>
        <w:t>O</w:t>
      </w:r>
      <w:r w:rsidR="004C7AFE">
        <w:rPr>
          <w:rFonts w:cs="Arial"/>
          <w:szCs w:val="22"/>
        </w:rPr>
        <w:t xml:space="preserve">wners and operators of oil production facilities </w:t>
      </w:r>
      <w:r>
        <w:rPr>
          <w:rFonts w:cs="Arial"/>
          <w:szCs w:val="22"/>
        </w:rPr>
        <w:t xml:space="preserve">have </w:t>
      </w:r>
      <w:r w:rsidR="004C7AFE" w:rsidRPr="00854FC2">
        <w:rPr>
          <w:rFonts w:cs="Arial"/>
          <w:szCs w:val="22"/>
        </w:rPr>
        <w:t>the option of preparing an oil spill contingency plan and a written commitment of manpower, equipment, and materials in lieu of prov</w:t>
      </w:r>
      <w:r w:rsidR="004C7AFE">
        <w:rPr>
          <w:rFonts w:cs="Arial"/>
          <w:szCs w:val="22"/>
        </w:rPr>
        <w:t xml:space="preserve">iding secondary containment in accordance with </w:t>
      </w:r>
      <w:r w:rsidR="003C4999" w:rsidRPr="003C4999">
        <w:rPr>
          <w:rFonts w:cs="Arial"/>
          <w:szCs w:val="22"/>
        </w:rPr>
        <w:t>§</w:t>
      </w:r>
      <w:r w:rsidR="004C7AFE">
        <w:rPr>
          <w:rFonts w:cs="Arial"/>
          <w:szCs w:val="22"/>
        </w:rPr>
        <w:t xml:space="preserve">112.7(c) for </w:t>
      </w:r>
      <w:proofErr w:type="spellStart"/>
      <w:r w:rsidR="004C7AFE">
        <w:rPr>
          <w:rFonts w:cs="Arial"/>
          <w:szCs w:val="22"/>
        </w:rPr>
        <w:t>flowlines</w:t>
      </w:r>
      <w:proofErr w:type="spellEnd"/>
      <w:r w:rsidR="004C7AFE">
        <w:rPr>
          <w:rFonts w:cs="Arial"/>
          <w:szCs w:val="22"/>
        </w:rPr>
        <w:t xml:space="preserve"> and intra-facility gathering lines.</w:t>
      </w:r>
      <w:r w:rsidR="0051511C">
        <w:rPr>
          <w:rFonts w:cs="Arial"/>
          <w:szCs w:val="22"/>
        </w:rPr>
        <w:t xml:space="preserve"> </w:t>
      </w:r>
      <w:r>
        <w:rPr>
          <w:rFonts w:cs="Arial"/>
          <w:szCs w:val="22"/>
        </w:rPr>
        <w:t>These facility owners/operators may also choose a</w:t>
      </w:r>
      <w:r w:rsidR="00121D48">
        <w:rPr>
          <w:rFonts w:cs="Arial"/>
          <w:szCs w:val="22"/>
        </w:rPr>
        <w:t>lternative compliance options in lieu of sized</w:t>
      </w:r>
      <w:r w:rsidR="004C7AFE">
        <w:rPr>
          <w:rFonts w:cs="Arial"/>
          <w:szCs w:val="22"/>
        </w:rPr>
        <w:t xml:space="preserve"> secondary containment requirements of </w:t>
      </w:r>
      <w:r w:rsidR="003C4999" w:rsidRPr="003C4999">
        <w:rPr>
          <w:rFonts w:cs="Arial"/>
          <w:szCs w:val="22"/>
        </w:rPr>
        <w:t>§</w:t>
      </w:r>
      <w:r w:rsidR="004C7AFE">
        <w:rPr>
          <w:rFonts w:cs="Arial"/>
          <w:szCs w:val="22"/>
        </w:rPr>
        <w:t>112.9(c)(2) for flow-through process vessels and produced water containers.</w:t>
      </w:r>
      <w:r w:rsidR="00121D48">
        <w:rPr>
          <w:rStyle w:val="FootnoteReference"/>
          <w:rFonts w:cs="Arial"/>
          <w:szCs w:val="22"/>
        </w:rPr>
        <w:footnoteReference w:id="5"/>
      </w:r>
      <w:r w:rsidR="004C7AFE">
        <w:rPr>
          <w:rFonts w:cs="Arial"/>
          <w:szCs w:val="22"/>
        </w:rPr>
        <w:t xml:space="preserve"> </w:t>
      </w:r>
      <w:r w:rsidR="002C04AF">
        <w:rPr>
          <w:rFonts w:cs="Arial"/>
          <w:szCs w:val="22"/>
        </w:rPr>
        <w:t xml:space="preserve">However, if the facility experiences </w:t>
      </w:r>
      <w:r w:rsidR="002C04AF">
        <w:t>discharges from</w:t>
      </w:r>
      <w:r w:rsidR="002C04AF" w:rsidRPr="002C04AF">
        <w:t xml:space="preserve"> </w:t>
      </w:r>
      <w:r w:rsidR="002C04AF">
        <w:t xml:space="preserve">flow-through process vessel or produced water container (excluding discharges that are the result of natural disasters, acts of war, or terrorism) </w:t>
      </w:r>
      <w:r w:rsidR="002C04AF">
        <w:rPr>
          <w:rFonts w:cs="Arial"/>
          <w:szCs w:val="22"/>
        </w:rPr>
        <w:t xml:space="preserve">as described below, then the facility if no longer eligible for the alternative requirements for this equipment and must </w:t>
      </w:r>
      <w:r w:rsidR="002C04AF">
        <w:t>comply with the sized secondary containment and inspection requirements of §112.9(c)(2) and (c)(3) within six months:</w:t>
      </w:r>
    </w:p>
    <w:p w:rsidR="002C04AF" w:rsidRDefault="002C04AF" w:rsidP="002C04AF">
      <w:pPr>
        <w:numPr>
          <w:ilvl w:val="0"/>
          <w:numId w:val="42"/>
        </w:numPr>
        <w:tabs>
          <w:tab w:val="left" w:pos="0"/>
          <w:tab w:val="left" w:pos="1440"/>
          <w:tab w:val="left" w:pos="2160"/>
        </w:tabs>
      </w:pPr>
      <w:r>
        <w:rPr>
          <w:rFonts w:cs="Arial"/>
          <w:szCs w:val="22"/>
        </w:rPr>
        <w:t xml:space="preserve">A </w:t>
      </w:r>
      <w:r w:rsidRPr="002C04AF">
        <w:rPr>
          <w:rFonts w:cs="Arial"/>
          <w:szCs w:val="22"/>
        </w:rPr>
        <w:t>d</w:t>
      </w:r>
      <w:r>
        <w:t xml:space="preserve">ischarge of more than 1,000 U.S. gallons of oil in a single discharge as described in §112.1(b), or </w:t>
      </w:r>
    </w:p>
    <w:p w:rsidR="002C04AF" w:rsidRDefault="002C04AF" w:rsidP="002C04AF">
      <w:pPr>
        <w:numPr>
          <w:ilvl w:val="0"/>
          <w:numId w:val="42"/>
        </w:numPr>
        <w:tabs>
          <w:tab w:val="left" w:pos="0"/>
          <w:tab w:val="left" w:pos="1440"/>
          <w:tab w:val="left" w:pos="2160"/>
        </w:tabs>
      </w:pPr>
      <w:r>
        <w:rPr>
          <w:rFonts w:cs="Arial"/>
          <w:szCs w:val="22"/>
        </w:rPr>
        <w:t xml:space="preserve">Two </w:t>
      </w:r>
      <w:r>
        <w:t>discharges of more than 42 U.S. gallons of oil in each of two discharges as described in §112.1(b) within any twelve month period.</w:t>
      </w:r>
    </w:p>
    <w:p w:rsidR="002C04AF" w:rsidRDefault="002C04AF" w:rsidP="00845307">
      <w:pPr>
        <w:tabs>
          <w:tab w:val="left" w:pos="0"/>
          <w:tab w:val="left" w:pos="1440"/>
          <w:tab w:val="left" w:pos="2160"/>
        </w:tabs>
        <w:ind w:left="720"/>
      </w:pPr>
    </w:p>
    <w:p w:rsidR="00845307" w:rsidRDefault="00845307" w:rsidP="00845307">
      <w:pPr>
        <w:tabs>
          <w:tab w:val="left" w:pos="0"/>
          <w:tab w:val="left" w:pos="1440"/>
          <w:tab w:val="left" w:pos="2160"/>
        </w:tabs>
        <w:ind w:left="720"/>
        <w:rPr>
          <w:rFonts w:cs="Arial"/>
          <w:szCs w:val="22"/>
        </w:rPr>
      </w:pPr>
      <w:r>
        <w:rPr>
          <w:rFonts w:cs="Arial"/>
          <w:szCs w:val="22"/>
        </w:rPr>
        <w:t xml:space="preserve">The alternative requirements for flow-through process vessels are described in </w:t>
      </w:r>
      <w:r w:rsidR="003C4999" w:rsidRPr="003C4999">
        <w:rPr>
          <w:rFonts w:cs="Arial"/>
          <w:szCs w:val="22"/>
        </w:rPr>
        <w:t>§</w:t>
      </w:r>
      <w:r>
        <w:rPr>
          <w:rFonts w:cs="Arial"/>
          <w:szCs w:val="22"/>
        </w:rPr>
        <w:t>112.9(c)(5) and require visual</w:t>
      </w:r>
      <w:r w:rsidRPr="00845307">
        <w:rPr>
          <w:rFonts w:cs="Arial"/>
          <w:szCs w:val="22"/>
        </w:rPr>
        <w:t xml:space="preserve"> inspect</w:t>
      </w:r>
      <w:r>
        <w:rPr>
          <w:rFonts w:cs="Arial"/>
          <w:szCs w:val="22"/>
        </w:rPr>
        <w:t>ion</w:t>
      </w:r>
      <w:r w:rsidRPr="00845307">
        <w:rPr>
          <w:rFonts w:cs="Arial"/>
          <w:szCs w:val="22"/>
        </w:rPr>
        <w:t xml:space="preserve"> and/or test </w:t>
      </w:r>
      <w:r>
        <w:rPr>
          <w:rFonts w:cs="Arial"/>
          <w:szCs w:val="22"/>
        </w:rPr>
        <w:t xml:space="preserve">of </w:t>
      </w:r>
      <w:r w:rsidRPr="00845307">
        <w:rPr>
          <w:rFonts w:cs="Arial"/>
          <w:szCs w:val="22"/>
        </w:rPr>
        <w:t>flow-through process vessels and associated components (such as dump valves) for leaks, corrosion, or other conditions that could lead to a disch</w:t>
      </w:r>
      <w:r w:rsidR="003C4999">
        <w:rPr>
          <w:rFonts w:cs="Arial"/>
          <w:szCs w:val="22"/>
        </w:rPr>
        <w:t>arge as described in §</w:t>
      </w:r>
      <w:r>
        <w:rPr>
          <w:rFonts w:cs="Arial"/>
          <w:szCs w:val="22"/>
        </w:rPr>
        <w:t>112.1(b) on a</w:t>
      </w:r>
      <w:r w:rsidRPr="00845307">
        <w:rPr>
          <w:rFonts w:cs="Arial"/>
          <w:szCs w:val="22"/>
        </w:rPr>
        <w:t xml:space="preserve"> </w:t>
      </w:r>
      <w:r>
        <w:rPr>
          <w:rFonts w:cs="Arial"/>
          <w:szCs w:val="22"/>
        </w:rPr>
        <w:t>periodic</w:t>
      </w:r>
      <w:r w:rsidRPr="00845307">
        <w:rPr>
          <w:rFonts w:cs="Arial"/>
          <w:szCs w:val="22"/>
        </w:rPr>
        <w:t xml:space="preserve"> and regular schedule</w:t>
      </w:r>
      <w:r>
        <w:rPr>
          <w:rFonts w:cs="Arial"/>
          <w:szCs w:val="22"/>
        </w:rPr>
        <w:t xml:space="preserve">; </w:t>
      </w:r>
      <w:r w:rsidRPr="00845307">
        <w:rPr>
          <w:rFonts w:cs="Arial"/>
          <w:szCs w:val="22"/>
        </w:rPr>
        <w:t>corrective action or repairs to flow-through process vessels and any associated components as indicated by regularly scheduled visual inspections, tests, or evidence of an oil discharge</w:t>
      </w:r>
      <w:r>
        <w:rPr>
          <w:rFonts w:cs="Arial"/>
          <w:szCs w:val="22"/>
        </w:rPr>
        <w:t>; and p</w:t>
      </w:r>
      <w:r w:rsidRPr="00845307">
        <w:rPr>
          <w:rFonts w:cs="Arial"/>
          <w:szCs w:val="22"/>
        </w:rPr>
        <w:t>rompt remov</w:t>
      </w:r>
      <w:r>
        <w:rPr>
          <w:rFonts w:cs="Arial"/>
          <w:szCs w:val="22"/>
        </w:rPr>
        <w:t>al</w:t>
      </w:r>
      <w:r w:rsidRPr="00845307">
        <w:rPr>
          <w:rFonts w:cs="Arial"/>
          <w:szCs w:val="22"/>
        </w:rPr>
        <w:t xml:space="preserve"> or actions initiate</w:t>
      </w:r>
      <w:r>
        <w:rPr>
          <w:rFonts w:cs="Arial"/>
          <w:szCs w:val="22"/>
        </w:rPr>
        <w:t>d</w:t>
      </w:r>
      <w:r w:rsidRPr="00845307">
        <w:rPr>
          <w:rFonts w:cs="Arial"/>
          <w:szCs w:val="22"/>
        </w:rPr>
        <w:t xml:space="preserve"> to stabilize and remediate any accumulations of oil discharges associated with flow-through process vessels.</w:t>
      </w:r>
    </w:p>
    <w:p w:rsidR="003C4999" w:rsidRDefault="003C4999" w:rsidP="00845307">
      <w:pPr>
        <w:tabs>
          <w:tab w:val="left" w:pos="0"/>
          <w:tab w:val="left" w:pos="1440"/>
          <w:tab w:val="left" w:pos="2160"/>
        </w:tabs>
        <w:ind w:left="720"/>
        <w:rPr>
          <w:rFonts w:cs="Arial"/>
          <w:szCs w:val="22"/>
        </w:rPr>
      </w:pPr>
    </w:p>
    <w:p w:rsidR="003C4999" w:rsidRDefault="003C4999" w:rsidP="003C4999">
      <w:pPr>
        <w:tabs>
          <w:tab w:val="left" w:pos="0"/>
          <w:tab w:val="left" w:pos="1440"/>
          <w:tab w:val="left" w:pos="2160"/>
        </w:tabs>
        <w:ind w:left="720"/>
        <w:rPr>
          <w:rFonts w:cs="Arial"/>
          <w:szCs w:val="22"/>
        </w:rPr>
      </w:pPr>
      <w:r>
        <w:rPr>
          <w:rFonts w:cs="Arial"/>
          <w:szCs w:val="22"/>
        </w:rPr>
        <w:t xml:space="preserve">The alternative requirements for produced water containers are described in </w:t>
      </w:r>
      <w:r w:rsidRPr="003C4999">
        <w:rPr>
          <w:rFonts w:cs="Arial"/>
          <w:szCs w:val="22"/>
        </w:rPr>
        <w:t>§</w:t>
      </w:r>
      <w:r>
        <w:rPr>
          <w:rFonts w:cs="Arial"/>
          <w:szCs w:val="22"/>
        </w:rPr>
        <w:t>112.9(c)(6) and require:</w:t>
      </w:r>
    </w:p>
    <w:p w:rsidR="003C4999" w:rsidRDefault="003C4999" w:rsidP="003C4999">
      <w:pPr>
        <w:numPr>
          <w:ilvl w:val="0"/>
          <w:numId w:val="41"/>
        </w:numPr>
        <w:tabs>
          <w:tab w:val="left" w:pos="0"/>
          <w:tab w:val="left" w:pos="1440"/>
          <w:tab w:val="left" w:pos="2160"/>
        </w:tabs>
        <w:rPr>
          <w:rFonts w:cs="Arial"/>
          <w:szCs w:val="22"/>
        </w:rPr>
      </w:pPr>
      <w:r>
        <w:rPr>
          <w:rFonts w:cs="Arial"/>
          <w:szCs w:val="22"/>
        </w:rPr>
        <w:t xml:space="preserve">A </w:t>
      </w:r>
      <w:r w:rsidRPr="003C4999">
        <w:rPr>
          <w:rFonts w:cs="Arial"/>
          <w:szCs w:val="22"/>
        </w:rPr>
        <w:t>procedure for each produced water container that is designed to separate the free-phase oil that accumulates on the surface of the produced water</w:t>
      </w:r>
      <w:r>
        <w:rPr>
          <w:rFonts w:cs="Arial"/>
          <w:szCs w:val="22"/>
        </w:rPr>
        <w:t xml:space="preserve"> be implemented on a regular schedule</w:t>
      </w:r>
      <w:r w:rsidRPr="003C4999">
        <w:rPr>
          <w:rFonts w:cs="Arial"/>
          <w:szCs w:val="22"/>
        </w:rPr>
        <w:t xml:space="preserve">. </w:t>
      </w:r>
      <w:r>
        <w:rPr>
          <w:rFonts w:cs="Arial"/>
          <w:szCs w:val="22"/>
        </w:rPr>
        <w:t>The SPCC</w:t>
      </w:r>
      <w:r w:rsidRPr="003C4999">
        <w:rPr>
          <w:rFonts w:cs="Arial"/>
          <w:szCs w:val="22"/>
        </w:rPr>
        <w:t xml:space="preserve"> Plan </w:t>
      </w:r>
      <w:r>
        <w:rPr>
          <w:rFonts w:cs="Arial"/>
          <w:szCs w:val="22"/>
        </w:rPr>
        <w:t xml:space="preserve">must </w:t>
      </w:r>
      <w:r w:rsidRPr="003C4999">
        <w:rPr>
          <w:rFonts w:cs="Arial"/>
          <w:szCs w:val="22"/>
        </w:rPr>
        <w:t>descri</w:t>
      </w:r>
      <w:r>
        <w:rPr>
          <w:rFonts w:cs="Arial"/>
          <w:szCs w:val="22"/>
        </w:rPr>
        <w:t>be</w:t>
      </w:r>
      <w:r w:rsidRPr="003C4999">
        <w:rPr>
          <w:rFonts w:cs="Arial"/>
          <w:szCs w:val="22"/>
        </w:rPr>
        <w:t xml:space="preserve"> the procedures, frequency, amount of free-phase oil expected to be maintained inside the container, and a Professional Engineer certification in accordance with §112.3(d)(1)(vi). </w:t>
      </w:r>
      <w:r>
        <w:rPr>
          <w:rFonts w:cs="Arial"/>
          <w:szCs w:val="22"/>
        </w:rPr>
        <w:t>Records of such events must be m</w:t>
      </w:r>
      <w:r w:rsidRPr="003C4999">
        <w:rPr>
          <w:rFonts w:cs="Arial"/>
          <w:szCs w:val="22"/>
        </w:rPr>
        <w:t>aintain</w:t>
      </w:r>
      <w:r>
        <w:rPr>
          <w:rFonts w:cs="Arial"/>
          <w:szCs w:val="22"/>
        </w:rPr>
        <w:t>ed</w:t>
      </w:r>
      <w:r w:rsidRPr="003C4999">
        <w:rPr>
          <w:rFonts w:cs="Arial"/>
          <w:szCs w:val="22"/>
        </w:rPr>
        <w:t xml:space="preserve"> in accordance with §112.7(e). </w:t>
      </w:r>
    </w:p>
    <w:p w:rsidR="003C4999" w:rsidRPr="003C4999" w:rsidRDefault="003C4999" w:rsidP="003C4999">
      <w:pPr>
        <w:numPr>
          <w:ilvl w:val="0"/>
          <w:numId w:val="41"/>
        </w:numPr>
        <w:tabs>
          <w:tab w:val="left" w:pos="0"/>
          <w:tab w:val="left" w:pos="1440"/>
          <w:tab w:val="left" w:pos="2160"/>
        </w:tabs>
        <w:rPr>
          <w:rFonts w:cs="Arial"/>
          <w:szCs w:val="22"/>
        </w:rPr>
      </w:pPr>
      <w:r>
        <w:rPr>
          <w:rFonts w:cs="Arial"/>
          <w:szCs w:val="22"/>
        </w:rPr>
        <w:t>V</w:t>
      </w:r>
      <w:r w:rsidR="006A73FE">
        <w:rPr>
          <w:rFonts w:cs="Arial"/>
          <w:szCs w:val="22"/>
        </w:rPr>
        <w:t>isual</w:t>
      </w:r>
      <w:r w:rsidRPr="003C4999">
        <w:rPr>
          <w:rFonts w:cs="Arial"/>
          <w:szCs w:val="22"/>
        </w:rPr>
        <w:t xml:space="preserve"> inspect</w:t>
      </w:r>
      <w:r w:rsidR="006A73FE">
        <w:rPr>
          <w:rFonts w:cs="Arial"/>
          <w:szCs w:val="22"/>
        </w:rPr>
        <w:t>ion</w:t>
      </w:r>
      <w:r w:rsidRPr="003C4999">
        <w:rPr>
          <w:rFonts w:cs="Arial"/>
          <w:szCs w:val="22"/>
        </w:rPr>
        <w:t xml:space="preserve"> and/or test </w:t>
      </w:r>
      <w:r w:rsidR="006A73FE">
        <w:rPr>
          <w:rFonts w:cs="Arial"/>
          <w:szCs w:val="22"/>
        </w:rPr>
        <w:t xml:space="preserve">of </w:t>
      </w:r>
      <w:r w:rsidRPr="003C4999">
        <w:rPr>
          <w:rFonts w:cs="Arial"/>
          <w:szCs w:val="22"/>
        </w:rPr>
        <w:t xml:space="preserve">the produced water container and associated piping for leaks, corrosion, or other conditions that could lead to a discharge as </w:t>
      </w:r>
      <w:r w:rsidRPr="003C4999">
        <w:rPr>
          <w:rFonts w:cs="Arial"/>
          <w:szCs w:val="22"/>
        </w:rPr>
        <w:lastRenderedPageBreak/>
        <w:t xml:space="preserve">described in §112.1(b) in accordance with good engineering practice </w:t>
      </w:r>
      <w:r>
        <w:rPr>
          <w:rFonts w:cs="Arial"/>
          <w:szCs w:val="22"/>
        </w:rPr>
        <w:t>and on a regular schedule</w:t>
      </w:r>
      <w:r w:rsidRPr="003C4999">
        <w:rPr>
          <w:rFonts w:cs="Arial"/>
          <w:szCs w:val="22"/>
        </w:rPr>
        <w:t>.</w:t>
      </w:r>
    </w:p>
    <w:p w:rsidR="003C4999" w:rsidRPr="003C4999" w:rsidRDefault="006A73FE" w:rsidP="003C4999">
      <w:pPr>
        <w:numPr>
          <w:ilvl w:val="0"/>
          <w:numId w:val="41"/>
        </w:numPr>
        <w:tabs>
          <w:tab w:val="left" w:pos="0"/>
          <w:tab w:val="left" w:pos="1440"/>
          <w:tab w:val="left" w:pos="2160"/>
        </w:tabs>
        <w:rPr>
          <w:rFonts w:cs="Arial"/>
          <w:szCs w:val="22"/>
        </w:rPr>
      </w:pPr>
      <w:r>
        <w:rPr>
          <w:rFonts w:cs="Arial"/>
          <w:szCs w:val="22"/>
        </w:rPr>
        <w:t>C</w:t>
      </w:r>
      <w:r w:rsidR="003C4999" w:rsidRPr="003C4999">
        <w:rPr>
          <w:rFonts w:cs="Arial"/>
          <w:szCs w:val="22"/>
        </w:rPr>
        <w:t>orrective action or repairs to the produced water container and any associated piping as indicated by regularly scheduled visual inspections, tests, or evidence of an oil discharge.</w:t>
      </w:r>
    </w:p>
    <w:p w:rsidR="003C4999" w:rsidRPr="003C4999" w:rsidRDefault="006A73FE" w:rsidP="003C4999">
      <w:pPr>
        <w:numPr>
          <w:ilvl w:val="0"/>
          <w:numId w:val="41"/>
        </w:numPr>
        <w:tabs>
          <w:tab w:val="left" w:pos="0"/>
          <w:tab w:val="left" w:pos="1440"/>
          <w:tab w:val="left" w:pos="2160"/>
        </w:tabs>
        <w:rPr>
          <w:rFonts w:cs="Arial"/>
          <w:szCs w:val="22"/>
        </w:rPr>
      </w:pPr>
      <w:r>
        <w:rPr>
          <w:rFonts w:cs="Arial"/>
          <w:szCs w:val="22"/>
        </w:rPr>
        <w:t>Prompt</w:t>
      </w:r>
      <w:r w:rsidR="003C4999" w:rsidRPr="003C4999">
        <w:rPr>
          <w:rFonts w:cs="Arial"/>
          <w:szCs w:val="22"/>
        </w:rPr>
        <w:t xml:space="preserve"> remov</w:t>
      </w:r>
      <w:r>
        <w:rPr>
          <w:rFonts w:cs="Arial"/>
          <w:szCs w:val="22"/>
        </w:rPr>
        <w:t>al</w:t>
      </w:r>
      <w:r w:rsidR="003C4999" w:rsidRPr="003C4999">
        <w:rPr>
          <w:rFonts w:cs="Arial"/>
          <w:szCs w:val="22"/>
        </w:rPr>
        <w:t xml:space="preserve"> or actions </w:t>
      </w:r>
      <w:r w:rsidRPr="003C4999">
        <w:rPr>
          <w:rFonts w:cs="Arial"/>
          <w:szCs w:val="22"/>
        </w:rPr>
        <w:t>initiate</w:t>
      </w:r>
      <w:r>
        <w:rPr>
          <w:rFonts w:cs="Arial"/>
          <w:szCs w:val="22"/>
        </w:rPr>
        <w:t>d</w:t>
      </w:r>
      <w:r w:rsidRPr="003C4999">
        <w:rPr>
          <w:rFonts w:cs="Arial"/>
          <w:szCs w:val="22"/>
        </w:rPr>
        <w:t xml:space="preserve"> </w:t>
      </w:r>
      <w:r w:rsidR="003C4999" w:rsidRPr="003C4999">
        <w:rPr>
          <w:rFonts w:cs="Arial"/>
          <w:szCs w:val="22"/>
        </w:rPr>
        <w:t>to stabilize and remediate any accumulations of oil discharges associated with the produced water container.</w:t>
      </w:r>
    </w:p>
    <w:p w:rsidR="00D85665" w:rsidRPr="00854FC2" w:rsidRDefault="00D85665">
      <w:pPr>
        <w:pStyle w:val="Footer"/>
        <w:numPr>
          <w:ilvl w:val="12"/>
          <w:numId w:val="0"/>
        </w:numPr>
        <w:tabs>
          <w:tab w:val="clear" w:pos="4320"/>
          <w:tab w:val="clear" w:pos="8640"/>
          <w:tab w:val="left" w:pos="0"/>
          <w:tab w:val="left" w:pos="720"/>
          <w:tab w:val="left" w:pos="1440"/>
          <w:tab w:val="left" w:pos="2160"/>
        </w:tabs>
        <w:rPr>
          <w:rFonts w:cs="Arial"/>
          <w:szCs w:val="22"/>
        </w:rPr>
      </w:pPr>
    </w:p>
    <w:p w:rsidR="00D85665" w:rsidRPr="00854FC2" w:rsidRDefault="00D85665">
      <w:pPr>
        <w:numPr>
          <w:ilvl w:val="0"/>
          <w:numId w:val="12"/>
        </w:numPr>
        <w:tabs>
          <w:tab w:val="left" w:pos="0"/>
          <w:tab w:val="left" w:pos="1440"/>
          <w:tab w:val="left" w:pos="2160"/>
        </w:tabs>
        <w:rPr>
          <w:rFonts w:cs="Arial"/>
          <w:szCs w:val="22"/>
        </w:rPr>
      </w:pPr>
      <w:r w:rsidRPr="00854FC2">
        <w:rPr>
          <w:rFonts w:cs="Arial"/>
          <w:szCs w:val="22"/>
          <w:u w:val="single"/>
        </w:rPr>
        <w:t>Detailed requirements</w:t>
      </w:r>
      <w:r w:rsidRPr="00854FC2">
        <w:rPr>
          <w:rFonts w:cs="Arial"/>
          <w:szCs w:val="22"/>
        </w:rPr>
        <w:t xml:space="preserve">.  </w:t>
      </w:r>
      <w:r w:rsidR="002348E6" w:rsidRPr="00854FC2">
        <w:rPr>
          <w:rFonts w:cs="Courier New"/>
          <w:lang w:val="en-CA"/>
        </w:rPr>
        <w:fldChar w:fldCharType="begin"/>
      </w:r>
      <w:r w:rsidRPr="00854FC2">
        <w:rPr>
          <w:rFonts w:cs="Courier New"/>
          <w:lang w:val="en-CA"/>
        </w:rPr>
        <w:instrText xml:space="preserve"> SEQ CHAPTER \h \r 1</w:instrText>
      </w:r>
      <w:r w:rsidR="002348E6" w:rsidRPr="00854FC2">
        <w:rPr>
          <w:rFonts w:cs="Courier New"/>
          <w:lang w:val="en-CA"/>
        </w:rPr>
        <w:fldChar w:fldCharType="end"/>
      </w:r>
      <w:r w:rsidRPr="00854FC2">
        <w:rPr>
          <w:rFonts w:cs="Arial"/>
          <w:szCs w:val="22"/>
        </w:rPr>
        <w:t>In addition to secondary containment requirements, the Plan must include a discussion of the facility’s conformance with more detailed and specific requirements, as applicable according to facility type. These specific requirements concern facility diagrams and discharge reporting information and procedures (§112.7(a)); personnel, training, and discharge prevention procedures (§112.7(f)); security (§112.7(g)); facility tank car and tank truck loading/unloading rack (excluding offshore facilities) (§112.7(h)); brittle fracture issues related to certain field-constructed aboveground containers (§112.7(</w:t>
      </w:r>
      <w:proofErr w:type="spellStart"/>
      <w:r w:rsidRPr="00854FC2">
        <w:rPr>
          <w:rFonts w:cs="Arial"/>
          <w:szCs w:val="22"/>
        </w:rPr>
        <w:t>i</w:t>
      </w:r>
      <w:proofErr w:type="spellEnd"/>
      <w:r w:rsidRPr="00854FC2">
        <w:rPr>
          <w:rFonts w:cs="Arial"/>
          <w:szCs w:val="22"/>
        </w:rPr>
        <w:t>)); other applicable federal, state, and local requirements (§112.7(j)), integrity testing and/or visual inspection (§112.8(c)(6), §112.9(c)(3) or §112.12(c)(6)); and flow</w:t>
      </w:r>
      <w:r w:rsidR="00C9284A">
        <w:rPr>
          <w:rFonts w:cs="Arial"/>
          <w:szCs w:val="22"/>
        </w:rPr>
        <w:t>-</w:t>
      </w:r>
      <w:r w:rsidRPr="00854FC2">
        <w:rPr>
          <w:rFonts w:cs="Arial"/>
          <w:szCs w:val="22"/>
        </w:rPr>
        <w:t>line maintenance programs (§112.9(d)(</w:t>
      </w:r>
      <w:r w:rsidR="004C7AFE">
        <w:rPr>
          <w:rFonts w:cs="Arial"/>
          <w:szCs w:val="22"/>
        </w:rPr>
        <w:t>4</w:t>
      </w:r>
      <w:r w:rsidRPr="00854FC2">
        <w:rPr>
          <w:rFonts w:cs="Arial"/>
          <w:szCs w:val="22"/>
        </w:rPr>
        <w:t>)).</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Pr="00854FC2" w:rsidRDefault="00D85665" w:rsidP="00C83EB6">
      <w:pPr>
        <w:numPr>
          <w:ilvl w:val="0"/>
          <w:numId w:val="9"/>
        </w:numPr>
        <w:ind w:hanging="720"/>
        <w:rPr>
          <w:rFonts w:cs="Arial"/>
          <w:b/>
          <w:szCs w:val="22"/>
        </w:rPr>
      </w:pPr>
      <w:r w:rsidRPr="00854FC2">
        <w:rPr>
          <w:rFonts w:cs="Arial"/>
          <w:szCs w:val="22"/>
          <w:u w:val="single"/>
        </w:rPr>
        <w:t>Specific recordkeeping requirements</w:t>
      </w:r>
      <w:r w:rsidRPr="00854FC2">
        <w:rPr>
          <w:rFonts w:cs="Arial"/>
          <w:szCs w:val="22"/>
        </w:rPr>
        <w:t xml:space="preserve">.  Every facility owner or operator must conduct inspections and tests required by 40 CFR part 112 in accordance with written procedures in the Plan and keep a record of the inspections and tests, signed by the appropriate supervisor or inspector, with the SPCC Plan for a period of three years (§112.7(e)). Records of inspections and tests </w:t>
      </w:r>
      <w:r w:rsidR="003B70B4">
        <w:rPr>
          <w:rFonts w:cs="Arial"/>
          <w:szCs w:val="22"/>
        </w:rPr>
        <w:t xml:space="preserve">may be </w:t>
      </w:r>
      <w:r w:rsidRPr="00854FC2">
        <w:rPr>
          <w:rFonts w:cs="Arial"/>
          <w:szCs w:val="22"/>
        </w:rPr>
        <w:t>kept under usual and customary business practices.</w:t>
      </w:r>
    </w:p>
    <w:p w:rsidR="00D85665" w:rsidRPr="00854FC2" w:rsidRDefault="00D85665">
      <w:pPr>
        <w:numPr>
          <w:ilvl w:val="12"/>
          <w:numId w:val="0"/>
        </w:numPr>
        <w:rPr>
          <w:rFonts w:cs="Arial"/>
          <w:szCs w:val="22"/>
        </w:rPr>
      </w:pPr>
      <w:r w:rsidRPr="00854FC2">
        <w:rPr>
          <w:rFonts w:cs="Arial"/>
          <w:szCs w:val="22"/>
        </w:rPr>
        <w:tab/>
      </w:r>
    </w:p>
    <w:p w:rsidR="00D85665" w:rsidRPr="00854FC2" w:rsidRDefault="00D85665" w:rsidP="00C83EB6">
      <w:pPr>
        <w:pStyle w:val="Level1"/>
        <w:numPr>
          <w:ilvl w:val="0"/>
          <w:numId w:val="13"/>
        </w:numPr>
        <w:tabs>
          <w:tab w:val="clear" w:pos="720"/>
          <w:tab w:val="num" w:pos="0"/>
        </w:tabs>
        <w:ind w:hanging="720"/>
        <w:rPr>
          <w:rFonts w:cs="Arial"/>
          <w:szCs w:val="22"/>
        </w:rPr>
      </w:pPr>
      <w:r w:rsidRPr="00854FC2">
        <w:rPr>
          <w:rFonts w:cs="Arial"/>
          <w:szCs w:val="22"/>
          <w:u w:val="single"/>
        </w:rPr>
        <w:t>Specific reporting requirements</w:t>
      </w:r>
      <w:r w:rsidRPr="00854FC2">
        <w:rPr>
          <w:rFonts w:cs="Arial"/>
          <w:szCs w:val="22"/>
        </w:rPr>
        <w:t>.  As the result of an oil discharge</w:t>
      </w:r>
      <w:r w:rsidR="0038093D">
        <w:rPr>
          <w:rFonts w:cs="Arial"/>
          <w:szCs w:val="22"/>
        </w:rPr>
        <w:t>,</w:t>
      </w:r>
      <w:r w:rsidRPr="00854FC2">
        <w:rPr>
          <w:rFonts w:cs="Arial"/>
          <w:szCs w:val="22"/>
        </w:rPr>
        <w:t xml:space="preserve"> in accordance with §112.4 the following information must be provided to the Regional Administrator:</w:t>
      </w:r>
    </w:p>
    <w:p w:rsidR="00D85665" w:rsidRPr="00854FC2" w:rsidRDefault="00D85665">
      <w:pPr>
        <w:numPr>
          <w:ilvl w:val="12"/>
          <w:numId w:val="0"/>
        </w:numPr>
        <w:rPr>
          <w:rFonts w:cs="Arial"/>
          <w:szCs w:val="22"/>
        </w:rPr>
      </w:pPr>
      <w:r w:rsidRPr="00854FC2">
        <w:rPr>
          <w:rFonts w:cs="Arial"/>
          <w:szCs w:val="22"/>
        </w:rPr>
        <w:tab/>
      </w:r>
      <w:r w:rsidRPr="00854FC2">
        <w:rPr>
          <w:rFonts w:cs="Arial"/>
          <w:szCs w:val="22"/>
        </w:rPr>
        <w:tab/>
      </w:r>
    </w:p>
    <w:p w:rsidR="00D85665" w:rsidRPr="00854FC2" w:rsidRDefault="00D85665">
      <w:pPr>
        <w:numPr>
          <w:ilvl w:val="12"/>
          <w:numId w:val="0"/>
        </w:numPr>
        <w:rPr>
          <w:rFonts w:cs="Arial"/>
          <w:szCs w:val="22"/>
        </w:rPr>
      </w:pPr>
      <w:r w:rsidRPr="00854FC2">
        <w:rPr>
          <w:rFonts w:cs="Arial"/>
          <w:szCs w:val="22"/>
        </w:rPr>
        <w:tab/>
      </w:r>
      <w:r w:rsidRPr="00854FC2">
        <w:rPr>
          <w:rFonts w:cs="Arial"/>
          <w:szCs w:val="22"/>
        </w:rPr>
        <w:tab/>
        <w:t>(1)</w:t>
      </w:r>
      <w:r w:rsidRPr="00854FC2">
        <w:rPr>
          <w:rFonts w:cs="Arial"/>
          <w:szCs w:val="22"/>
        </w:rPr>
        <w:tab/>
        <w:t xml:space="preserve">Name of the facility; </w:t>
      </w:r>
    </w:p>
    <w:p w:rsidR="00D85665" w:rsidRPr="00854FC2" w:rsidRDefault="00D85665">
      <w:pPr>
        <w:numPr>
          <w:ilvl w:val="12"/>
          <w:numId w:val="0"/>
        </w:numPr>
        <w:rPr>
          <w:rFonts w:cs="Arial"/>
          <w:szCs w:val="22"/>
        </w:rPr>
      </w:pPr>
      <w:r w:rsidRPr="00854FC2">
        <w:rPr>
          <w:rFonts w:cs="Arial"/>
          <w:szCs w:val="22"/>
        </w:rPr>
        <w:tab/>
      </w:r>
      <w:r w:rsidRPr="00854FC2">
        <w:rPr>
          <w:rFonts w:cs="Arial"/>
          <w:szCs w:val="22"/>
        </w:rPr>
        <w:tab/>
        <w:t>(2)</w:t>
      </w:r>
      <w:r w:rsidRPr="00854FC2">
        <w:rPr>
          <w:rFonts w:cs="Arial"/>
          <w:szCs w:val="22"/>
        </w:rPr>
        <w:tab/>
        <w:t xml:space="preserve">Name of the owner or operator; </w:t>
      </w:r>
    </w:p>
    <w:p w:rsidR="00D85665" w:rsidRPr="00854FC2" w:rsidRDefault="00D85665">
      <w:pPr>
        <w:numPr>
          <w:ilvl w:val="12"/>
          <w:numId w:val="0"/>
        </w:numPr>
        <w:rPr>
          <w:rFonts w:cs="Arial"/>
          <w:szCs w:val="22"/>
        </w:rPr>
      </w:pPr>
      <w:r w:rsidRPr="00854FC2">
        <w:rPr>
          <w:rFonts w:cs="Arial"/>
          <w:szCs w:val="22"/>
        </w:rPr>
        <w:tab/>
      </w:r>
      <w:r w:rsidRPr="00854FC2">
        <w:rPr>
          <w:rFonts w:cs="Arial"/>
          <w:szCs w:val="22"/>
        </w:rPr>
        <w:tab/>
        <w:t>(3)</w:t>
      </w:r>
      <w:r w:rsidRPr="00854FC2">
        <w:rPr>
          <w:rFonts w:cs="Arial"/>
          <w:szCs w:val="22"/>
        </w:rPr>
        <w:tab/>
        <w:t xml:space="preserve">Location of the facility; </w:t>
      </w:r>
    </w:p>
    <w:p w:rsidR="00D85665" w:rsidRPr="00854FC2" w:rsidRDefault="00D85665">
      <w:pPr>
        <w:numPr>
          <w:ilvl w:val="12"/>
          <w:numId w:val="0"/>
        </w:numPr>
        <w:ind w:left="2160" w:hanging="720"/>
        <w:rPr>
          <w:rFonts w:cs="Arial"/>
          <w:szCs w:val="22"/>
        </w:rPr>
      </w:pPr>
      <w:r w:rsidRPr="00854FC2">
        <w:rPr>
          <w:rFonts w:cs="Arial"/>
          <w:szCs w:val="22"/>
        </w:rPr>
        <w:t>(4)</w:t>
      </w:r>
      <w:r w:rsidRPr="00854FC2">
        <w:rPr>
          <w:rFonts w:cs="Arial"/>
          <w:szCs w:val="22"/>
        </w:rPr>
        <w:tab/>
        <w:t>Maximum storage or handling capacity of the facility and its normal daily throughput;</w:t>
      </w:r>
    </w:p>
    <w:p w:rsidR="00D85665" w:rsidRPr="00854FC2" w:rsidRDefault="00D85665">
      <w:pPr>
        <w:numPr>
          <w:ilvl w:val="12"/>
          <w:numId w:val="0"/>
        </w:numPr>
        <w:ind w:left="2160" w:hanging="720"/>
        <w:rPr>
          <w:rFonts w:cs="Arial"/>
          <w:szCs w:val="22"/>
        </w:rPr>
      </w:pPr>
      <w:r w:rsidRPr="00854FC2">
        <w:rPr>
          <w:rFonts w:cs="Arial"/>
          <w:szCs w:val="22"/>
        </w:rPr>
        <w:t>(5)</w:t>
      </w:r>
      <w:r w:rsidRPr="00854FC2">
        <w:rPr>
          <w:rFonts w:cs="Arial"/>
          <w:szCs w:val="22"/>
        </w:rPr>
        <w:tab/>
        <w:t>The corrective action or countermeasures taken, including an adequate description of equipment repairs and/or replacements;</w:t>
      </w:r>
    </w:p>
    <w:p w:rsidR="00D85665" w:rsidRPr="00854FC2" w:rsidRDefault="00D85665">
      <w:pPr>
        <w:numPr>
          <w:ilvl w:val="12"/>
          <w:numId w:val="0"/>
        </w:numPr>
        <w:ind w:left="2160" w:hanging="720"/>
        <w:rPr>
          <w:rFonts w:cs="Arial"/>
          <w:szCs w:val="22"/>
        </w:rPr>
      </w:pPr>
      <w:r w:rsidRPr="00854FC2">
        <w:rPr>
          <w:rFonts w:cs="Arial"/>
          <w:szCs w:val="22"/>
        </w:rPr>
        <w:t>(6)</w:t>
      </w:r>
      <w:r w:rsidRPr="00854FC2">
        <w:rPr>
          <w:rFonts w:cs="Arial"/>
          <w:szCs w:val="22"/>
        </w:rPr>
        <w:tab/>
        <w:t>Description of the facility including maps, flow diagrams, and topographic maps;</w:t>
      </w:r>
    </w:p>
    <w:p w:rsidR="00D85665" w:rsidRPr="00854FC2" w:rsidRDefault="00D85665">
      <w:pPr>
        <w:numPr>
          <w:ilvl w:val="12"/>
          <w:numId w:val="0"/>
        </w:numPr>
        <w:ind w:left="2160" w:hanging="720"/>
        <w:rPr>
          <w:rFonts w:cs="Arial"/>
          <w:szCs w:val="22"/>
        </w:rPr>
      </w:pPr>
      <w:r w:rsidRPr="00854FC2">
        <w:rPr>
          <w:rFonts w:cs="Arial"/>
          <w:szCs w:val="22"/>
        </w:rPr>
        <w:t>(7)</w:t>
      </w:r>
      <w:r w:rsidRPr="00854FC2">
        <w:rPr>
          <w:rFonts w:cs="Arial"/>
          <w:szCs w:val="22"/>
        </w:rPr>
        <w:tab/>
        <w:t>Cause(s) of the spill, including a failure analysis of the system or subsystem in which the failure occurred;</w:t>
      </w:r>
    </w:p>
    <w:p w:rsidR="00D85665" w:rsidRPr="00854FC2" w:rsidRDefault="00D85665">
      <w:pPr>
        <w:numPr>
          <w:ilvl w:val="12"/>
          <w:numId w:val="0"/>
        </w:numPr>
        <w:ind w:left="2160" w:hanging="720"/>
        <w:rPr>
          <w:rFonts w:cs="Arial"/>
          <w:szCs w:val="22"/>
        </w:rPr>
      </w:pPr>
      <w:r w:rsidRPr="00854FC2">
        <w:rPr>
          <w:rFonts w:cs="Arial"/>
          <w:szCs w:val="22"/>
        </w:rPr>
        <w:t>(8)</w:t>
      </w:r>
      <w:r w:rsidRPr="00854FC2">
        <w:rPr>
          <w:rFonts w:cs="Arial"/>
          <w:szCs w:val="22"/>
        </w:rPr>
        <w:tab/>
        <w:t>Additional preventive measures taken or contemplated to minimize the possibility of recurrence; and</w:t>
      </w:r>
    </w:p>
    <w:p w:rsidR="00D85665" w:rsidRPr="00854FC2" w:rsidRDefault="00D85665">
      <w:pPr>
        <w:numPr>
          <w:ilvl w:val="12"/>
          <w:numId w:val="0"/>
        </w:numPr>
        <w:ind w:left="2160" w:hanging="720"/>
        <w:rPr>
          <w:rFonts w:cs="Arial"/>
          <w:szCs w:val="22"/>
        </w:rPr>
      </w:pPr>
      <w:r w:rsidRPr="00854FC2">
        <w:rPr>
          <w:rFonts w:cs="Arial"/>
          <w:szCs w:val="22"/>
        </w:rPr>
        <w:t>(9)</w:t>
      </w:r>
      <w:r w:rsidRPr="00854FC2">
        <w:rPr>
          <w:rFonts w:cs="Arial"/>
          <w:szCs w:val="22"/>
        </w:rPr>
        <w:tab/>
        <w:t>Such other information as the Regional Administrator may reasonably require pertinent to the Plan or to the spill event.</w:t>
      </w:r>
    </w:p>
    <w:p w:rsidR="00D85665" w:rsidRPr="00854FC2" w:rsidRDefault="00D85665">
      <w:pPr>
        <w:numPr>
          <w:ilvl w:val="12"/>
          <w:numId w:val="0"/>
        </w:numPr>
        <w:rPr>
          <w:rFonts w:cs="Arial"/>
          <w:szCs w:val="22"/>
        </w:rPr>
      </w:pPr>
    </w:p>
    <w:p w:rsidR="00D85665" w:rsidRPr="00854FC2" w:rsidRDefault="00D85665" w:rsidP="00882BCD">
      <w:pPr>
        <w:numPr>
          <w:ilvl w:val="12"/>
          <w:numId w:val="0"/>
        </w:numPr>
        <w:ind w:firstLine="720"/>
        <w:rPr>
          <w:rFonts w:cs="Arial"/>
          <w:szCs w:val="22"/>
        </w:rPr>
      </w:pPr>
      <w:r w:rsidRPr="00854FC2">
        <w:rPr>
          <w:rFonts w:cs="Arial"/>
          <w:szCs w:val="22"/>
        </w:rPr>
        <w:lastRenderedPageBreak/>
        <w:t>In addition, a facility owner or operator must update his or her Plan as necessary, following a modification in the facility’s design or operations that materially affects its potential for a discharge and following the five-year review.</w:t>
      </w:r>
    </w:p>
    <w:p w:rsidR="00D85665" w:rsidRPr="00854FC2" w:rsidRDefault="00D85665">
      <w:pPr>
        <w:numPr>
          <w:ilvl w:val="12"/>
          <w:numId w:val="0"/>
        </w:numPr>
        <w:rPr>
          <w:rFonts w:cs="Arial"/>
          <w:i/>
          <w:szCs w:val="22"/>
        </w:rPr>
      </w:pPr>
      <w:r w:rsidRPr="00854FC2">
        <w:rPr>
          <w:rFonts w:cs="Arial"/>
          <w:szCs w:val="22"/>
        </w:rPr>
        <w:tab/>
      </w:r>
    </w:p>
    <w:p w:rsidR="00D85665" w:rsidRPr="00854FC2" w:rsidRDefault="00D85665" w:rsidP="00C83EB6">
      <w:pPr>
        <w:keepNext/>
        <w:numPr>
          <w:ilvl w:val="0"/>
          <w:numId w:val="4"/>
        </w:numPr>
        <w:tabs>
          <w:tab w:val="clear" w:pos="1440"/>
          <w:tab w:val="left" w:pos="0"/>
          <w:tab w:val="left" w:pos="720"/>
          <w:tab w:val="num" w:pos="1260"/>
          <w:tab w:val="left" w:pos="2160"/>
        </w:tabs>
        <w:rPr>
          <w:rFonts w:cs="Arial"/>
          <w:i/>
          <w:szCs w:val="22"/>
        </w:rPr>
      </w:pPr>
      <w:r w:rsidRPr="00854FC2">
        <w:rPr>
          <w:rFonts w:cs="Arial"/>
          <w:i/>
          <w:szCs w:val="22"/>
        </w:rPr>
        <w:tab/>
      </w:r>
      <w:r w:rsidRPr="00854FC2">
        <w:rPr>
          <w:rFonts w:cs="Arial"/>
          <w:i/>
          <w:iCs/>
          <w:szCs w:val="22"/>
          <w:u w:val="single"/>
        </w:rPr>
        <w:t>Respondent Activities</w:t>
      </w:r>
    </w:p>
    <w:p w:rsidR="00D85665" w:rsidRPr="00854FC2" w:rsidRDefault="00D85665">
      <w:pPr>
        <w:keepNext/>
        <w:keepLines/>
        <w:numPr>
          <w:ilvl w:val="12"/>
          <w:numId w:val="0"/>
        </w:numPr>
        <w:rPr>
          <w:rFonts w:cs="Arial"/>
          <w:szCs w:val="22"/>
        </w:rPr>
      </w:pPr>
    </w:p>
    <w:p w:rsidR="00D85665" w:rsidRPr="00854FC2" w:rsidRDefault="00D85665" w:rsidP="00882BCD">
      <w:pPr>
        <w:numPr>
          <w:ilvl w:val="12"/>
          <w:numId w:val="0"/>
        </w:numPr>
        <w:ind w:firstLine="720"/>
        <w:rPr>
          <w:rFonts w:cs="Arial"/>
          <w:szCs w:val="22"/>
        </w:rPr>
      </w:pPr>
      <w:r w:rsidRPr="00854FC2">
        <w:rPr>
          <w:rFonts w:cs="Arial"/>
          <w:szCs w:val="22"/>
        </w:rPr>
        <w:t>The Oil Pollution Prevention regulation requires an owner or operator to conduct the following compliance activities:</w:t>
      </w:r>
    </w:p>
    <w:p w:rsidR="00D85665" w:rsidRPr="00854FC2" w:rsidRDefault="00D85665">
      <w:pPr>
        <w:numPr>
          <w:ilvl w:val="12"/>
          <w:numId w:val="0"/>
        </w:numPr>
        <w:rPr>
          <w:rFonts w:cs="Arial"/>
          <w:szCs w:val="22"/>
        </w:rPr>
      </w:pPr>
      <w:r w:rsidRPr="00854FC2">
        <w:rPr>
          <w:rFonts w:cs="Arial"/>
          <w:szCs w:val="22"/>
        </w:rPr>
        <w:tab/>
      </w:r>
    </w:p>
    <w:p w:rsidR="00D85665" w:rsidRPr="00854FC2" w:rsidRDefault="00D85665">
      <w:pPr>
        <w:pStyle w:val="Level1"/>
        <w:numPr>
          <w:ilvl w:val="0"/>
          <w:numId w:val="14"/>
        </w:numPr>
        <w:rPr>
          <w:rFonts w:cs="Arial"/>
          <w:szCs w:val="22"/>
        </w:rPr>
      </w:pPr>
      <w:r w:rsidRPr="00854FC2">
        <w:rPr>
          <w:rFonts w:cs="Arial"/>
          <w:szCs w:val="22"/>
        </w:rPr>
        <w:t xml:space="preserve">Prepare </w:t>
      </w:r>
      <w:r w:rsidR="009C3332">
        <w:rPr>
          <w:rFonts w:cs="Arial"/>
          <w:szCs w:val="22"/>
        </w:rPr>
        <w:t xml:space="preserve">and implement </w:t>
      </w:r>
      <w:r w:rsidRPr="00854FC2">
        <w:rPr>
          <w:rFonts w:cs="Arial"/>
          <w:szCs w:val="22"/>
        </w:rPr>
        <w:t>an SPCC Plan (§§112.3 and 112.7);</w:t>
      </w:r>
    </w:p>
    <w:p w:rsidR="00D85665" w:rsidRPr="00854FC2" w:rsidRDefault="00D85665">
      <w:pPr>
        <w:pStyle w:val="Level1"/>
        <w:numPr>
          <w:ilvl w:val="0"/>
          <w:numId w:val="14"/>
        </w:numPr>
        <w:rPr>
          <w:rFonts w:cs="Arial"/>
          <w:szCs w:val="22"/>
        </w:rPr>
      </w:pPr>
      <w:r w:rsidRPr="00854FC2">
        <w:rPr>
          <w:rFonts w:cs="Arial"/>
          <w:szCs w:val="22"/>
        </w:rPr>
        <w:t>Maintain the SPCC Plan and keep records (§§112.3 and 112.7(e));</w:t>
      </w:r>
    </w:p>
    <w:p w:rsidR="00D85665" w:rsidRPr="00854FC2" w:rsidRDefault="00D85665">
      <w:pPr>
        <w:pStyle w:val="Level1"/>
        <w:numPr>
          <w:ilvl w:val="0"/>
          <w:numId w:val="14"/>
        </w:numPr>
        <w:rPr>
          <w:rFonts w:cs="Arial"/>
          <w:szCs w:val="22"/>
        </w:rPr>
      </w:pPr>
      <w:r w:rsidRPr="00854FC2">
        <w:rPr>
          <w:rFonts w:cs="Arial"/>
          <w:szCs w:val="22"/>
        </w:rPr>
        <w:t>Revise the SPCC Plan following a material modification of the facility (§112.5(a)); and</w:t>
      </w:r>
    </w:p>
    <w:p w:rsidR="00D85665" w:rsidRPr="00854FC2" w:rsidRDefault="00D85665">
      <w:pPr>
        <w:pStyle w:val="Level1"/>
        <w:numPr>
          <w:ilvl w:val="0"/>
          <w:numId w:val="14"/>
        </w:numPr>
        <w:rPr>
          <w:rFonts w:cs="Arial"/>
          <w:szCs w:val="22"/>
        </w:rPr>
      </w:pPr>
      <w:r w:rsidRPr="00854FC2">
        <w:rPr>
          <w:rFonts w:cs="Arial"/>
          <w:szCs w:val="22"/>
        </w:rPr>
        <w:t>Conduct periodic reviews of the SPCC Plan (§112.5(b)).</w:t>
      </w:r>
    </w:p>
    <w:p w:rsidR="00D85665" w:rsidRPr="00854FC2" w:rsidRDefault="00D85665">
      <w:pPr>
        <w:numPr>
          <w:ilvl w:val="12"/>
          <w:numId w:val="0"/>
        </w:numPr>
        <w:rPr>
          <w:rFonts w:cs="Arial"/>
          <w:szCs w:val="22"/>
        </w:rPr>
      </w:pPr>
      <w:r w:rsidRPr="00854FC2">
        <w:rPr>
          <w:rFonts w:cs="Arial"/>
          <w:szCs w:val="22"/>
        </w:rPr>
        <w:tab/>
      </w:r>
    </w:p>
    <w:p w:rsidR="00D85665" w:rsidRPr="00854FC2" w:rsidRDefault="00D85665" w:rsidP="00882BCD">
      <w:pPr>
        <w:numPr>
          <w:ilvl w:val="12"/>
          <w:numId w:val="0"/>
        </w:numPr>
        <w:ind w:firstLine="720"/>
        <w:rPr>
          <w:rFonts w:cs="Arial"/>
          <w:szCs w:val="22"/>
        </w:rPr>
      </w:pPr>
      <w:r w:rsidRPr="00854FC2">
        <w:rPr>
          <w:rFonts w:cs="Arial"/>
          <w:szCs w:val="22"/>
        </w:rPr>
        <w:t>Each of these compliance activities is summarized in more detail below:</w:t>
      </w:r>
    </w:p>
    <w:p w:rsidR="00D85665" w:rsidRPr="00854FC2" w:rsidRDefault="00D85665">
      <w:pPr>
        <w:numPr>
          <w:ilvl w:val="12"/>
          <w:numId w:val="0"/>
        </w:numPr>
        <w:rPr>
          <w:rFonts w:cs="Arial"/>
          <w:szCs w:val="22"/>
        </w:rPr>
      </w:pPr>
    </w:p>
    <w:p w:rsidR="00D85665" w:rsidRPr="00854FC2" w:rsidRDefault="00D85665" w:rsidP="00A15DF0">
      <w:pPr>
        <w:keepNext/>
        <w:keepLines/>
        <w:numPr>
          <w:ilvl w:val="12"/>
          <w:numId w:val="0"/>
        </w:numPr>
        <w:outlineLvl w:val="0"/>
        <w:rPr>
          <w:rFonts w:cs="Arial"/>
          <w:i/>
          <w:iCs/>
          <w:szCs w:val="22"/>
        </w:rPr>
      </w:pPr>
      <w:r w:rsidRPr="00854FC2">
        <w:rPr>
          <w:rFonts w:cs="Arial"/>
          <w:szCs w:val="22"/>
        </w:rPr>
        <w:tab/>
      </w:r>
      <w:r w:rsidRPr="00854FC2">
        <w:rPr>
          <w:rFonts w:cs="Arial"/>
          <w:i/>
          <w:iCs/>
          <w:szCs w:val="22"/>
        </w:rPr>
        <w:t xml:space="preserve">Prepare </w:t>
      </w:r>
      <w:r w:rsidR="009C3332">
        <w:rPr>
          <w:rFonts w:cs="Arial"/>
          <w:i/>
          <w:iCs/>
          <w:szCs w:val="22"/>
        </w:rPr>
        <w:t xml:space="preserve">and implement </w:t>
      </w:r>
      <w:r w:rsidRPr="00854FC2">
        <w:rPr>
          <w:rFonts w:cs="Arial"/>
          <w:i/>
          <w:iCs/>
          <w:szCs w:val="22"/>
        </w:rPr>
        <w:t>an SPCC Plan</w:t>
      </w:r>
    </w:p>
    <w:p w:rsidR="00D85665" w:rsidRPr="00854FC2" w:rsidRDefault="00D85665">
      <w:pPr>
        <w:keepNext/>
        <w:keepLines/>
        <w:numPr>
          <w:ilvl w:val="12"/>
          <w:numId w:val="0"/>
        </w:numPr>
        <w:rPr>
          <w:rFonts w:cs="Arial"/>
          <w:szCs w:val="22"/>
        </w:rPr>
      </w:pPr>
    </w:p>
    <w:p w:rsidR="00D85665" w:rsidRPr="00854FC2" w:rsidRDefault="00D85665" w:rsidP="00AF158B">
      <w:pPr>
        <w:pStyle w:val="BodyText"/>
        <w:numPr>
          <w:ilvl w:val="12"/>
          <w:numId w:val="0"/>
        </w:numPr>
        <w:ind w:firstLine="720"/>
      </w:pPr>
      <w:r w:rsidRPr="00854FC2">
        <w:t xml:space="preserve">The owner or operator of a new </w:t>
      </w:r>
      <w:r w:rsidR="009C3332">
        <w:t xml:space="preserve">non-production </w:t>
      </w:r>
      <w:r w:rsidRPr="00854FC2">
        <w:t xml:space="preserve">facility must amend or prepare, and implement, an SPCC Plan in accordance with the guidelines set forth in 40 CFR part 112 </w:t>
      </w:r>
      <w:r w:rsidRPr="00FB1AA8">
        <w:t>before beginning operations.</w:t>
      </w:r>
      <w:r w:rsidR="009C3332">
        <w:rPr>
          <w:rStyle w:val="FootnoteReference"/>
        </w:rPr>
        <w:footnoteReference w:id="6"/>
      </w:r>
      <w:r w:rsidRPr="00FB1AA8">
        <w:t xml:space="preserve"> </w:t>
      </w:r>
      <w:r w:rsidR="00121D48">
        <w:t>Farmers must amend or prepare, and implement, an SPCC Plan</w:t>
      </w:r>
      <w:r w:rsidR="00121D48" w:rsidRPr="00854FC2">
        <w:t xml:space="preserve"> in accordance with the guidelines set forth in 40 CFR part 112</w:t>
      </w:r>
      <w:r w:rsidR="00121D48">
        <w:t xml:space="preserve"> by May 10, 2013</w:t>
      </w:r>
      <w:r w:rsidR="00846D2A" w:rsidRPr="00846D2A">
        <w:t xml:space="preserve"> </w:t>
      </w:r>
      <w:r w:rsidR="00846D2A">
        <w:t xml:space="preserve">or </w:t>
      </w:r>
      <w:r w:rsidR="00846D2A" w:rsidRPr="00FB1AA8">
        <w:t>before beginning operations</w:t>
      </w:r>
      <w:r w:rsidR="00846D2A">
        <w:t>, whichever is later</w:t>
      </w:r>
      <w:r w:rsidR="00121D48">
        <w:t xml:space="preserve">. </w:t>
      </w:r>
      <w:r w:rsidRPr="00FB1AA8">
        <w:t xml:space="preserve">The actual preparation of the Plan </w:t>
      </w:r>
      <w:r w:rsidR="009C3332">
        <w:t xml:space="preserve">may </w:t>
      </w:r>
      <w:r w:rsidRPr="00FB1AA8">
        <w:t>involve</w:t>
      </w:r>
      <w:r w:rsidRPr="00854FC2">
        <w:t xml:space="preserve"> several separate tasks, which could be conducted by the facility’s technical personnel or </w:t>
      </w:r>
      <w:r w:rsidR="0087552B">
        <w:t>PEs</w:t>
      </w:r>
      <w:r w:rsidR="005A3D01">
        <w:t>.</w:t>
      </w:r>
      <w:r w:rsidRPr="00854FC2">
        <w:t xml:space="preserve">  These tasks </w:t>
      </w:r>
      <w:r w:rsidR="009C3332">
        <w:t xml:space="preserve">may </w:t>
      </w:r>
      <w:r w:rsidRPr="00854FC2">
        <w:t>include:</w:t>
      </w:r>
    </w:p>
    <w:p w:rsidR="00D85665" w:rsidRPr="00854FC2" w:rsidRDefault="00D85665">
      <w:pPr>
        <w:numPr>
          <w:ilvl w:val="12"/>
          <w:numId w:val="0"/>
        </w:numPr>
        <w:rPr>
          <w:rFonts w:cs="Arial"/>
          <w:szCs w:val="22"/>
        </w:rPr>
      </w:pPr>
    </w:p>
    <w:p w:rsidR="00D85665" w:rsidRPr="00854FC2" w:rsidRDefault="00D85665">
      <w:pPr>
        <w:pStyle w:val="Level1"/>
        <w:numPr>
          <w:ilvl w:val="0"/>
          <w:numId w:val="15"/>
        </w:numPr>
        <w:rPr>
          <w:rFonts w:cs="Arial"/>
          <w:szCs w:val="22"/>
        </w:rPr>
      </w:pPr>
      <w:r w:rsidRPr="00854FC2">
        <w:rPr>
          <w:rFonts w:cs="Arial"/>
          <w:szCs w:val="22"/>
          <w:u w:val="single"/>
        </w:rPr>
        <w:t>Field investigations</w:t>
      </w:r>
      <w:r w:rsidRPr="00854FC2">
        <w:rPr>
          <w:rFonts w:cs="Arial"/>
          <w:szCs w:val="22"/>
        </w:rPr>
        <w:t>, which are conducted to fully understand the design of the facility and to accurately predict the areas or equipment most likely to discharge oil (this involves predicting the flow paths of spilled oil);</w:t>
      </w:r>
    </w:p>
    <w:p w:rsidR="00D85665" w:rsidRPr="00854FC2" w:rsidRDefault="00D85665">
      <w:pPr>
        <w:numPr>
          <w:ilvl w:val="12"/>
          <w:numId w:val="0"/>
        </w:numPr>
        <w:rPr>
          <w:rFonts w:cs="Arial"/>
          <w:szCs w:val="22"/>
        </w:rPr>
      </w:pPr>
    </w:p>
    <w:p w:rsidR="00D85665" w:rsidRPr="00854FC2" w:rsidRDefault="00D85665">
      <w:pPr>
        <w:pStyle w:val="Level1"/>
        <w:numPr>
          <w:ilvl w:val="0"/>
          <w:numId w:val="15"/>
        </w:numPr>
        <w:rPr>
          <w:rFonts w:cs="Arial"/>
          <w:szCs w:val="22"/>
        </w:rPr>
      </w:pPr>
      <w:r w:rsidRPr="00854FC2">
        <w:rPr>
          <w:rFonts w:cs="Arial"/>
          <w:szCs w:val="22"/>
        </w:rPr>
        <w:t xml:space="preserve">A </w:t>
      </w:r>
      <w:r w:rsidRPr="00854FC2">
        <w:rPr>
          <w:rFonts w:cs="Arial"/>
          <w:szCs w:val="22"/>
          <w:u w:val="single"/>
        </w:rPr>
        <w:t>regulatory review</w:t>
      </w:r>
      <w:r w:rsidRPr="00854FC2">
        <w:rPr>
          <w:rFonts w:cs="Arial"/>
          <w:szCs w:val="22"/>
        </w:rPr>
        <w:t xml:space="preserve"> conducted by management personnel, such that the technical personnel in charge of actually preparing the Plan are fully aware of all requirements in 40 CFR part 112;</w:t>
      </w:r>
    </w:p>
    <w:p w:rsidR="00D85665" w:rsidRPr="00854FC2" w:rsidRDefault="00D85665">
      <w:pPr>
        <w:numPr>
          <w:ilvl w:val="12"/>
          <w:numId w:val="0"/>
        </w:numPr>
        <w:ind w:firstLine="2160"/>
        <w:rPr>
          <w:rFonts w:cs="Arial"/>
          <w:szCs w:val="22"/>
        </w:rPr>
      </w:pPr>
    </w:p>
    <w:p w:rsidR="00D85665" w:rsidRPr="00854FC2" w:rsidRDefault="00D85665">
      <w:pPr>
        <w:pStyle w:val="Level1"/>
        <w:numPr>
          <w:ilvl w:val="0"/>
          <w:numId w:val="15"/>
        </w:numPr>
        <w:rPr>
          <w:rFonts w:cs="Arial"/>
          <w:szCs w:val="22"/>
        </w:rPr>
      </w:pPr>
      <w:r w:rsidRPr="00854FC2">
        <w:rPr>
          <w:rFonts w:cs="Arial"/>
          <w:szCs w:val="22"/>
        </w:rPr>
        <w:t xml:space="preserve">A </w:t>
      </w:r>
      <w:r w:rsidRPr="00854FC2">
        <w:rPr>
          <w:rFonts w:cs="Arial"/>
          <w:szCs w:val="22"/>
          <w:u w:val="single"/>
        </w:rPr>
        <w:t>review of existing procedures</w:t>
      </w:r>
      <w:r w:rsidRPr="00854FC2">
        <w:rPr>
          <w:rFonts w:cs="Arial"/>
          <w:szCs w:val="22"/>
        </w:rPr>
        <w:t xml:space="preserve"> conducted to determine the effectiveness of the current spill prevention and control practices employed by the facility;</w:t>
      </w:r>
    </w:p>
    <w:p w:rsidR="00D85665" w:rsidRPr="00854FC2" w:rsidRDefault="00D85665">
      <w:pPr>
        <w:numPr>
          <w:ilvl w:val="12"/>
          <w:numId w:val="0"/>
        </w:numPr>
        <w:ind w:firstLine="1440"/>
        <w:rPr>
          <w:rFonts w:cs="Arial"/>
          <w:szCs w:val="22"/>
        </w:rPr>
      </w:pPr>
    </w:p>
    <w:p w:rsidR="00D85665" w:rsidRPr="00854FC2" w:rsidRDefault="00D85665">
      <w:pPr>
        <w:pStyle w:val="Level1"/>
        <w:numPr>
          <w:ilvl w:val="0"/>
          <w:numId w:val="15"/>
        </w:numPr>
        <w:rPr>
          <w:rFonts w:cs="Arial"/>
          <w:szCs w:val="22"/>
        </w:rPr>
      </w:pPr>
      <w:r w:rsidRPr="00854FC2">
        <w:rPr>
          <w:rFonts w:cs="Arial"/>
          <w:szCs w:val="22"/>
          <w:u w:val="single"/>
        </w:rPr>
        <w:t>Preparation of the Plan</w:t>
      </w:r>
      <w:r w:rsidRPr="00854FC2">
        <w:rPr>
          <w:rFonts w:cs="Arial"/>
          <w:szCs w:val="22"/>
        </w:rPr>
        <w:t>, which involves both technical and clerical time, as well as a final review by facility management personnel prior to completion (could also be performed by an engineering firm).</w:t>
      </w:r>
    </w:p>
    <w:p w:rsidR="00D85665" w:rsidRPr="00854FC2" w:rsidRDefault="00D85665">
      <w:pPr>
        <w:pStyle w:val="Level1"/>
        <w:ind w:left="0"/>
        <w:rPr>
          <w:rFonts w:cs="Arial"/>
          <w:szCs w:val="22"/>
        </w:rPr>
      </w:pPr>
    </w:p>
    <w:p w:rsidR="00D85665" w:rsidRPr="00854FC2" w:rsidRDefault="00152058">
      <w:pPr>
        <w:pStyle w:val="Level1"/>
        <w:tabs>
          <w:tab w:val="left" w:pos="720"/>
        </w:tabs>
        <w:rPr>
          <w:color w:val="000000"/>
        </w:rPr>
      </w:pPr>
      <w:r>
        <w:rPr>
          <w:color w:val="000000"/>
        </w:rPr>
        <w:lastRenderedPageBreak/>
        <w:t>Tier I</w:t>
      </w:r>
      <w:r w:rsidR="00D85665" w:rsidRPr="00854FC2">
        <w:rPr>
          <w:color w:val="000000"/>
        </w:rPr>
        <w:t xml:space="preserve"> qualified facilities - a subset of qualified facilities having no oil storage containers with a capacity greater than 5,000 gallons</w:t>
      </w:r>
      <w:r w:rsidR="00941FDD">
        <w:rPr>
          <w:color w:val="000000"/>
        </w:rPr>
        <w:t xml:space="preserve"> -</w:t>
      </w:r>
      <w:r w:rsidR="00D85665" w:rsidRPr="00854FC2">
        <w:rPr>
          <w:color w:val="000000"/>
        </w:rPr>
        <w:t xml:space="preserve"> are allowed to complete an SPCC Plan template (Appendix G to the 40 CFR part 112) in lieu of a full SPCC Plan.  By completing the SPCC Plan template, an owner or operator of a </w:t>
      </w:r>
      <w:r>
        <w:rPr>
          <w:color w:val="000000"/>
        </w:rPr>
        <w:t>Tier I</w:t>
      </w:r>
      <w:r w:rsidR="00D85665" w:rsidRPr="00854FC2">
        <w:rPr>
          <w:color w:val="000000"/>
        </w:rPr>
        <w:t xml:space="preserve"> qualified facility self-certif</w:t>
      </w:r>
      <w:r w:rsidR="00941FDD">
        <w:rPr>
          <w:color w:val="000000"/>
        </w:rPr>
        <w:t>ies</w:t>
      </w:r>
      <w:r w:rsidR="00D85665" w:rsidRPr="00854FC2">
        <w:rPr>
          <w:color w:val="000000"/>
        </w:rPr>
        <w:t xml:space="preserve"> that the facility complies with a set of streamlined SPCC rule requirements.</w:t>
      </w:r>
      <w:r w:rsidR="00BE25B6">
        <w:rPr>
          <w:color w:val="000000"/>
        </w:rPr>
        <w:t xml:space="preserve">  The owner or operator is responsible for ensuring that the facility is in compliance with all SPCC rule requirements.</w:t>
      </w:r>
    </w:p>
    <w:p w:rsidR="00D85665" w:rsidRPr="00854FC2" w:rsidRDefault="00D85665">
      <w:pPr>
        <w:pStyle w:val="Level1"/>
        <w:tabs>
          <w:tab w:val="left" w:pos="720"/>
        </w:tabs>
        <w:rPr>
          <w:color w:val="000000"/>
        </w:rPr>
      </w:pPr>
    </w:p>
    <w:p w:rsidR="00D65422" w:rsidRDefault="00941FDD">
      <w:pPr>
        <w:pStyle w:val="Level1"/>
        <w:tabs>
          <w:tab w:val="left" w:pos="720"/>
        </w:tabs>
        <w:rPr>
          <w:color w:val="000000"/>
        </w:rPr>
      </w:pPr>
      <w:r>
        <w:rPr>
          <w:color w:val="000000"/>
        </w:rPr>
        <w:t>For facility diagrams required under</w:t>
      </w:r>
      <w:r w:rsidR="00D85665" w:rsidRPr="00854FC2">
        <w:rPr>
          <w:color w:val="000000"/>
        </w:rPr>
        <w:t xml:space="preserve"> §112.7(a)(3)</w:t>
      </w:r>
      <w:r>
        <w:rPr>
          <w:color w:val="000000"/>
        </w:rPr>
        <w:t xml:space="preserve"> </w:t>
      </w:r>
      <w:r w:rsidR="00D85665" w:rsidRPr="00854FC2">
        <w:rPr>
          <w:color w:val="000000"/>
        </w:rPr>
        <w:t xml:space="preserve">the facility owner or operator </w:t>
      </w:r>
      <w:r>
        <w:rPr>
          <w:color w:val="000000"/>
        </w:rPr>
        <w:t xml:space="preserve">must mark the location of fixed containers and </w:t>
      </w:r>
      <w:r w:rsidR="00D85665" w:rsidRPr="00854FC2">
        <w:rPr>
          <w:color w:val="000000"/>
        </w:rPr>
        <w:t xml:space="preserve">mark the area on the diagram where mobile containers are stored, and can choose to indicate in the Plan the average number of mobile or portable containers maintained at the facility and the anticipated contents and capacities of those containers, rather than on the diagram itself.  </w:t>
      </w:r>
    </w:p>
    <w:p w:rsidR="00897FF3" w:rsidRPr="00854FC2" w:rsidRDefault="00897FF3">
      <w:pPr>
        <w:pStyle w:val="Level1"/>
        <w:tabs>
          <w:tab w:val="left" w:pos="720"/>
        </w:tabs>
        <w:rPr>
          <w:rFonts w:cs="Arial"/>
          <w:szCs w:val="17"/>
        </w:rPr>
      </w:pPr>
    </w:p>
    <w:p w:rsidR="00D85665" w:rsidRPr="00854FC2" w:rsidRDefault="00D85665">
      <w:pPr>
        <w:pStyle w:val="Level1"/>
        <w:numPr>
          <w:ilvl w:val="0"/>
          <w:numId w:val="16"/>
        </w:numPr>
        <w:rPr>
          <w:rFonts w:cs="Arial"/>
          <w:szCs w:val="17"/>
        </w:rPr>
      </w:pPr>
      <w:r w:rsidRPr="00854FC2">
        <w:rPr>
          <w:rFonts w:cs="Arial"/>
          <w:szCs w:val="22"/>
          <w:u w:val="single"/>
        </w:rPr>
        <w:t>Certification of the Plan</w:t>
      </w:r>
      <w:r w:rsidRPr="00854FC2">
        <w:rPr>
          <w:rFonts w:cs="Arial"/>
          <w:szCs w:val="22"/>
        </w:rPr>
        <w:t xml:space="preserve"> must be conducted for each new Plan.  For facilities that do not meet the “qualified facility” criteria set forth in §112.3(g), SPCC Plans and technical amendments to Plans must be certified by a licensed </w:t>
      </w:r>
      <w:r w:rsidRPr="00854FC2">
        <w:rPr>
          <w:color w:val="000000"/>
        </w:rPr>
        <w:t>PE</w:t>
      </w:r>
      <w:r w:rsidR="00460E88">
        <w:rPr>
          <w:color w:val="000000"/>
        </w:rPr>
        <w:t>.</w:t>
      </w:r>
      <w:r w:rsidRPr="00854FC2">
        <w:rPr>
          <w:rFonts w:cs="Arial"/>
          <w:szCs w:val="22"/>
        </w:rPr>
        <w:t xml:space="preserve"> </w:t>
      </w:r>
    </w:p>
    <w:p w:rsidR="00D85665" w:rsidRPr="00854FC2" w:rsidRDefault="00D85665">
      <w:pPr>
        <w:pStyle w:val="Level1"/>
        <w:tabs>
          <w:tab w:val="left" w:pos="720"/>
        </w:tabs>
        <w:ind w:left="0"/>
        <w:rPr>
          <w:rFonts w:cs="Arial"/>
          <w:szCs w:val="17"/>
        </w:rPr>
      </w:pPr>
    </w:p>
    <w:p w:rsidR="00D85665" w:rsidRPr="00854FC2" w:rsidRDefault="00D85665">
      <w:pPr>
        <w:pStyle w:val="Level1"/>
        <w:tabs>
          <w:tab w:val="left" w:pos="720"/>
        </w:tabs>
        <w:rPr>
          <w:rFonts w:cs="Arial"/>
          <w:szCs w:val="17"/>
        </w:rPr>
      </w:pPr>
      <w:r w:rsidRPr="00854FC2">
        <w:rPr>
          <w:rFonts w:cs="Arial"/>
          <w:szCs w:val="17"/>
        </w:rPr>
        <w:t xml:space="preserve">Owners and operators of </w:t>
      </w:r>
      <w:r w:rsidR="00C75709">
        <w:rPr>
          <w:rFonts w:cs="Arial"/>
          <w:szCs w:val="17"/>
        </w:rPr>
        <w:t>“</w:t>
      </w:r>
      <w:r w:rsidRPr="00854FC2">
        <w:rPr>
          <w:rFonts w:cs="Arial"/>
          <w:szCs w:val="17"/>
        </w:rPr>
        <w:t>qualified</w:t>
      </w:r>
      <w:r w:rsidR="00C75709">
        <w:rPr>
          <w:rFonts w:cs="Arial"/>
          <w:szCs w:val="17"/>
        </w:rPr>
        <w:t>”</w:t>
      </w:r>
      <w:r w:rsidRPr="00854FC2">
        <w:rPr>
          <w:rFonts w:cs="Arial"/>
          <w:szCs w:val="17"/>
        </w:rPr>
        <w:t xml:space="preserve"> facilities have the option to self-certify that their SPCC Plan complies with 40 CFR part 112, in lieu of having a PE review and certify their Plan.  According to §112.3(g), the self-certification option is available to the owners and operators of those facilities that store 10,000 gallons of oil or less and that </w:t>
      </w:r>
      <w:r w:rsidRPr="00854FC2">
        <w:t xml:space="preserve">have had no single discharge as described in §112.1(b) exceeding 1,000 U.S. gallons or no two discharges as described in §112.1(b) each exceeding 42 U.S. gallons within any 12-month period in the three years prior to the SPCC Plan self-certification date, or since becoming subject to 40 CFR part 112 if the facility has been in operation for less than three years. </w:t>
      </w:r>
      <w:r w:rsidRPr="00854FC2">
        <w:rPr>
          <w:rFonts w:cs="Arial"/>
          <w:szCs w:val="17"/>
        </w:rPr>
        <w:t xml:space="preserve">Owners and operators of </w:t>
      </w:r>
      <w:r w:rsidR="00B93E82">
        <w:rPr>
          <w:rFonts w:cs="Arial"/>
          <w:szCs w:val="17"/>
        </w:rPr>
        <w:t xml:space="preserve">Tier II </w:t>
      </w:r>
      <w:r w:rsidRPr="00854FC2">
        <w:rPr>
          <w:rFonts w:cs="Arial"/>
          <w:szCs w:val="17"/>
        </w:rPr>
        <w:t>qualified facilities choosing this option may deviate from certain requirements of the SPCC rule as specified under §112.7(a)(2) and make impracticability determinations as described under §112.7(d) only if these portions of the Plan are certified by a licensed PE (see §112.6(</w:t>
      </w:r>
      <w:r w:rsidR="00941FDD">
        <w:rPr>
          <w:rFonts w:cs="Arial"/>
          <w:szCs w:val="17"/>
        </w:rPr>
        <w:t>b</w:t>
      </w:r>
      <w:r w:rsidRPr="00854FC2">
        <w:rPr>
          <w:rFonts w:cs="Arial"/>
          <w:szCs w:val="17"/>
        </w:rPr>
        <w:t>)</w:t>
      </w:r>
      <w:r w:rsidR="00941FDD">
        <w:rPr>
          <w:rFonts w:cs="Arial"/>
          <w:szCs w:val="17"/>
        </w:rPr>
        <w:t>(</w:t>
      </w:r>
      <w:r w:rsidR="00B93E82">
        <w:rPr>
          <w:rFonts w:cs="Arial"/>
          <w:szCs w:val="17"/>
        </w:rPr>
        <w:t>4</w:t>
      </w:r>
      <w:r w:rsidR="00941FDD">
        <w:rPr>
          <w:rFonts w:cs="Arial"/>
          <w:szCs w:val="17"/>
        </w:rPr>
        <w:t>)</w:t>
      </w:r>
      <w:r w:rsidRPr="00854FC2">
        <w:rPr>
          <w:rFonts w:cs="Arial"/>
          <w:szCs w:val="17"/>
        </w:rPr>
        <w:t>).</w:t>
      </w:r>
      <w:r w:rsidRPr="00854FC2">
        <w:rPr>
          <w:rStyle w:val="FootnoteReference"/>
          <w:rFonts w:cs="Arial"/>
          <w:szCs w:val="17"/>
        </w:rPr>
        <w:footnoteReference w:id="7"/>
      </w:r>
    </w:p>
    <w:p w:rsidR="00D85665" w:rsidRPr="00854FC2" w:rsidRDefault="00D85665">
      <w:pPr>
        <w:pStyle w:val="Level1"/>
        <w:tabs>
          <w:tab w:val="left" w:pos="720"/>
        </w:tabs>
        <w:rPr>
          <w:rFonts w:cs="Arial"/>
          <w:szCs w:val="17"/>
        </w:rPr>
      </w:pPr>
    </w:p>
    <w:p w:rsidR="00D85665" w:rsidRPr="00854FC2" w:rsidRDefault="00D85665" w:rsidP="00A15DF0">
      <w:pPr>
        <w:numPr>
          <w:ilvl w:val="12"/>
          <w:numId w:val="0"/>
        </w:numPr>
        <w:outlineLvl w:val="0"/>
        <w:rPr>
          <w:rFonts w:cs="Arial"/>
          <w:i/>
          <w:iCs/>
          <w:szCs w:val="22"/>
        </w:rPr>
      </w:pPr>
      <w:r w:rsidRPr="00854FC2">
        <w:rPr>
          <w:rFonts w:cs="Arial"/>
          <w:szCs w:val="22"/>
        </w:rPr>
        <w:tab/>
      </w:r>
      <w:r w:rsidRPr="00854FC2">
        <w:rPr>
          <w:rFonts w:cs="Arial"/>
          <w:i/>
          <w:iCs/>
          <w:szCs w:val="22"/>
        </w:rPr>
        <w:t>Maintain the SPCC Plan and keep records</w:t>
      </w:r>
    </w:p>
    <w:p w:rsidR="00D85665" w:rsidRPr="00854FC2" w:rsidRDefault="00D85665">
      <w:pPr>
        <w:numPr>
          <w:ilvl w:val="12"/>
          <w:numId w:val="0"/>
        </w:numPr>
        <w:rPr>
          <w:rFonts w:cs="Arial"/>
          <w:szCs w:val="22"/>
        </w:rPr>
      </w:pPr>
    </w:p>
    <w:p w:rsidR="00D85665" w:rsidRPr="00854FC2" w:rsidRDefault="00D85665" w:rsidP="00AF158B">
      <w:pPr>
        <w:pStyle w:val="BodyText"/>
        <w:numPr>
          <w:ilvl w:val="12"/>
          <w:numId w:val="0"/>
        </w:numPr>
        <w:ind w:firstLine="720"/>
      </w:pPr>
      <w:r w:rsidRPr="00854FC2">
        <w:t>Section 112.3 requires the owner or operator to maintain a copy of the SPCC Plan at the facility, if the facility is normally attended for at least four hours per day or, if not, at the nearest field office.  The Plan must be available to the Regional Administrator for review during normal working hours (§112.3(e)). In addition, as described in section 4(b)(</w:t>
      </w:r>
      <w:proofErr w:type="spellStart"/>
      <w:r w:rsidRPr="00854FC2">
        <w:t>i</w:t>
      </w:r>
      <w:proofErr w:type="spellEnd"/>
      <w:r w:rsidRPr="00854FC2">
        <w:t>) of this document, a facility owner or operator is required to maintain (and update) Plan-specific records as outlined under §112.7(e).  Plan maintenance and recordkeeping activities are estimated to involve almost entirely technical personnel time, although a small amount of clerical personnel time may also be required for these activities.</w:t>
      </w:r>
    </w:p>
    <w:p w:rsidR="00D85665" w:rsidRPr="00854FC2" w:rsidRDefault="00D85665">
      <w:pPr>
        <w:numPr>
          <w:ilvl w:val="12"/>
          <w:numId w:val="0"/>
        </w:numPr>
        <w:rPr>
          <w:rFonts w:cs="Arial"/>
          <w:szCs w:val="22"/>
        </w:rPr>
      </w:pPr>
      <w:r w:rsidRPr="00854FC2">
        <w:rPr>
          <w:rFonts w:cs="Arial"/>
          <w:szCs w:val="22"/>
        </w:rPr>
        <w:tab/>
      </w:r>
    </w:p>
    <w:p w:rsidR="00D85665" w:rsidRPr="00854FC2" w:rsidRDefault="00D85665" w:rsidP="00A15DF0">
      <w:pPr>
        <w:numPr>
          <w:ilvl w:val="12"/>
          <w:numId w:val="0"/>
        </w:numPr>
        <w:outlineLvl w:val="0"/>
        <w:rPr>
          <w:rFonts w:cs="Arial"/>
          <w:i/>
          <w:iCs/>
          <w:szCs w:val="22"/>
        </w:rPr>
      </w:pPr>
      <w:r w:rsidRPr="00854FC2">
        <w:rPr>
          <w:rFonts w:cs="Arial"/>
          <w:szCs w:val="22"/>
        </w:rPr>
        <w:tab/>
      </w:r>
      <w:r w:rsidRPr="00854FC2">
        <w:rPr>
          <w:rFonts w:cs="Arial"/>
          <w:i/>
          <w:iCs/>
          <w:szCs w:val="22"/>
        </w:rPr>
        <w:t xml:space="preserve">Submit information in the event of certain discharges of oil </w:t>
      </w:r>
    </w:p>
    <w:p w:rsidR="00D85665" w:rsidRPr="00854FC2" w:rsidRDefault="00D85665">
      <w:pPr>
        <w:numPr>
          <w:ilvl w:val="12"/>
          <w:numId w:val="0"/>
        </w:numPr>
        <w:rPr>
          <w:rFonts w:cs="Arial"/>
          <w:szCs w:val="22"/>
        </w:rPr>
      </w:pPr>
    </w:p>
    <w:p w:rsidR="00D85665" w:rsidRPr="00854FC2" w:rsidRDefault="00D85665" w:rsidP="00AF158B">
      <w:pPr>
        <w:numPr>
          <w:ilvl w:val="12"/>
          <w:numId w:val="0"/>
        </w:numPr>
        <w:ind w:firstLine="720"/>
        <w:rPr>
          <w:rFonts w:cs="Arial"/>
          <w:szCs w:val="22"/>
        </w:rPr>
      </w:pPr>
      <w:r w:rsidRPr="00854FC2">
        <w:rPr>
          <w:rFonts w:cs="Arial"/>
          <w:szCs w:val="22"/>
        </w:rPr>
        <w:lastRenderedPageBreak/>
        <w:t xml:space="preserve">In the event of certain discharges of oil into navigable waters, a facility owner or operator must submit information described in §112.4(a) to the Regional Administrator within 60 days.  A discharge of oil occurring within any 12-month period that triggers the §112.4 reporting requirements is:  </w:t>
      </w:r>
    </w:p>
    <w:p w:rsidR="00D85665" w:rsidRPr="00854FC2" w:rsidRDefault="00D85665">
      <w:pPr>
        <w:numPr>
          <w:ilvl w:val="12"/>
          <w:numId w:val="0"/>
        </w:numPr>
        <w:rPr>
          <w:rFonts w:cs="Arial"/>
          <w:szCs w:val="22"/>
        </w:rPr>
      </w:pPr>
      <w:r w:rsidRPr="00854FC2">
        <w:rPr>
          <w:rFonts w:cs="Arial"/>
          <w:szCs w:val="22"/>
        </w:rPr>
        <w:tab/>
      </w:r>
    </w:p>
    <w:p w:rsidR="00D85665" w:rsidRPr="00854FC2" w:rsidRDefault="00D85665">
      <w:pPr>
        <w:numPr>
          <w:ilvl w:val="12"/>
          <w:numId w:val="0"/>
        </w:numPr>
        <w:tabs>
          <w:tab w:val="left" w:pos="720"/>
          <w:tab w:val="left" w:pos="1440"/>
        </w:tabs>
        <w:ind w:left="1440" w:hanging="1440"/>
        <w:rPr>
          <w:rFonts w:cs="Arial"/>
          <w:szCs w:val="22"/>
        </w:rPr>
      </w:pPr>
      <w:r w:rsidRPr="00854FC2">
        <w:rPr>
          <w:rFonts w:cs="Arial"/>
          <w:szCs w:val="22"/>
        </w:rPr>
        <w:t xml:space="preserve"> </w:t>
      </w:r>
      <w:r w:rsidRPr="00854FC2">
        <w:rPr>
          <w:rFonts w:cs="Arial"/>
          <w:szCs w:val="22"/>
        </w:rPr>
        <w:tab/>
        <w:t>(1)</w:t>
      </w:r>
      <w:r w:rsidRPr="00854FC2">
        <w:rPr>
          <w:rFonts w:cs="Arial"/>
          <w:szCs w:val="22"/>
        </w:rPr>
        <w:tab/>
        <w:t>A single discharge as described in §112.1(b) of more than 1,000 U.S. gallons; or</w:t>
      </w:r>
    </w:p>
    <w:p w:rsidR="00D85665" w:rsidRPr="00854FC2" w:rsidRDefault="00D85665">
      <w:pPr>
        <w:numPr>
          <w:ilvl w:val="12"/>
          <w:numId w:val="0"/>
        </w:numPr>
        <w:tabs>
          <w:tab w:val="left" w:pos="720"/>
          <w:tab w:val="left" w:pos="1440"/>
        </w:tabs>
        <w:ind w:left="1440" w:hanging="1440"/>
        <w:rPr>
          <w:rFonts w:cs="Arial"/>
          <w:szCs w:val="22"/>
        </w:rPr>
      </w:pPr>
      <w:r w:rsidRPr="00854FC2">
        <w:rPr>
          <w:rFonts w:cs="Arial"/>
          <w:szCs w:val="22"/>
        </w:rPr>
        <w:tab/>
        <w:t>(2)</w:t>
      </w:r>
      <w:r w:rsidRPr="00854FC2">
        <w:rPr>
          <w:rFonts w:cs="Arial"/>
          <w:szCs w:val="22"/>
        </w:rPr>
        <w:tab/>
        <w:t>Two or more discharges as described in §112.1(b), each of which is over 42 U.S. gallons.</w:t>
      </w:r>
    </w:p>
    <w:p w:rsidR="00D85665" w:rsidRPr="00854FC2" w:rsidRDefault="00D85665">
      <w:pPr>
        <w:numPr>
          <w:ilvl w:val="12"/>
          <w:numId w:val="0"/>
        </w:numPr>
        <w:rPr>
          <w:rFonts w:cs="Arial"/>
          <w:szCs w:val="22"/>
        </w:rPr>
      </w:pPr>
    </w:p>
    <w:p w:rsidR="00D85665" w:rsidRPr="00854FC2" w:rsidRDefault="00D85665" w:rsidP="00AF158B">
      <w:pPr>
        <w:numPr>
          <w:ilvl w:val="12"/>
          <w:numId w:val="0"/>
        </w:numPr>
        <w:ind w:firstLine="720"/>
        <w:rPr>
          <w:rFonts w:cs="Arial"/>
          <w:szCs w:val="22"/>
        </w:rPr>
      </w:pPr>
      <w:r w:rsidRPr="00854FC2">
        <w:rPr>
          <w:rFonts w:cs="Arial"/>
          <w:szCs w:val="22"/>
        </w:rPr>
        <w:t xml:space="preserve">Submission of information after a discharge of oil is estimated to </w:t>
      </w:r>
      <w:r w:rsidR="00C75709">
        <w:rPr>
          <w:rFonts w:cs="Arial"/>
          <w:szCs w:val="22"/>
        </w:rPr>
        <w:t xml:space="preserve">require </w:t>
      </w:r>
      <w:r w:rsidRPr="00854FC2">
        <w:rPr>
          <w:rFonts w:cs="Arial"/>
          <w:szCs w:val="22"/>
        </w:rPr>
        <w:t xml:space="preserve">both technical personnel </w:t>
      </w:r>
      <w:r w:rsidR="00C75709">
        <w:rPr>
          <w:rFonts w:cs="Arial"/>
          <w:szCs w:val="22"/>
        </w:rPr>
        <w:t>and management expertise/</w:t>
      </w:r>
      <w:r w:rsidRPr="00854FC2">
        <w:rPr>
          <w:rFonts w:cs="Arial"/>
          <w:szCs w:val="22"/>
        </w:rPr>
        <w:t xml:space="preserve">time for collecting the required information. Section 112.4(c) also requires that the facility owner or operator submit a copy of this information to the state agency </w:t>
      </w:r>
      <w:r w:rsidR="00C75709">
        <w:rPr>
          <w:rFonts w:cs="Arial"/>
          <w:szCs w:val="22"/>
        </w:rPr>
        <w:t>with regulatory authority over the facility</w:t>
      </w:r>
      <w:r w:rsidRPr="00854FC2">
        <w:rPr>
          <w:rFonts w:cs="Arial"/>
          <w:szCs w:val="22"/>
        </w:rPr>
        <w:t xml:space="preserve">. </w:t>
      </w:r>
      <w:r w:rsidR="0051511C">
        <w:rPr>
          <w:rFonts w:cs="Arial"/>
          <w:szCs w:val="22"/>
        </w:rPr>
        <w:t xml:space="preserve"> </w:t>
      </w:r>
      <w:r w:rsidRPr="00854FC2">
        <w:rPr>
          <w:rFonts w:cs="Arial"/>
          <w:szCs w:val="22"/>
        </w:rPr>
        <w:t>The Regional Administrator may require</w:t>
      </w:r>
      <w:r w:rsidR="00C75709">
        <w:rPr>
          <w:rFonts w:cs="Arial"/>
          <w:szCs w:val="22"/>
        </w:rPr>
        <w:t xml:space="preserve"> </w:t>
      </w:r>
      <w:r w:rsidRPr="00854FC2">
        <w:rPr>
          <w:rFonts w:cs="Arial"/>
          <w:szCs w:val="22"/>
        </w:rPr>
        <w:t xml:space="preserve">the owner or operator of the facility to amend the SPCC Plan to prevent and contain discharges from the facility.  Such amendments, if uncontested by the facility owner or operator, must become part of the Plan 30 days after the Regional Administrator responds to the facility owner or operator concerning the </w:t>
      </w:r>
      <w:r w:rsidR="00E734A2">
        <w:rPr>
          <w:rFonts w:cs="Arial"/>
          <w:szCs w:val="22"/>
        </w:rPr>
        <w:t>final</w:t>
      </w:r>
      <w:r w:rsidRPr="00854FC2">
        <w:rPr>
          <w:rFonts w:cs="Arial"/>
          <w:szCs w:val="22"/>
        </w:rPr>
        <w:t xml:space="preserve"> amendments. The amended Plan must then be certified prior to implementation by a licensed PE, or self-certified in the case of qualified facilities.  As required by §112.4(e), amendments to the Plan must be implemented as soon as possible, but no later than six months after the amendments become part of the Plan. Section 112.4(f) allows a facility owner or operator to appeal a decision made by the Regional Administrator requiring a Plan amendment.</w:t>
      </w:r>
    </w:p>
    <w:p w:rsidR="00D85665" w:rsidRPr="00854FC2" w:rsidRDefault="00D85665">
      <w:pPr>
        <w:numPr>
          <w:ilvl w:val="12"/>
          <w:numId w:val="0"/>
        </w:numPr>
        <w:rPr>
          <w:rFonts w:cs="Arial"/>
          <w:szCs w:val="22"/>
        </w:rPr>
      </w:pPr>
    </w:p>
    <w:p w:rsidR="00D85665" w:rsidRPr="00854FC2" w:rsidRDefault="00D85665" w:rsidP="00A15DF0">
      <w:pPr>
        <w:keepNext/>
        <w:keepLines/>
        <w:numPr>
          <w:ilvl w:val="12"/>
          <w:numId w:val="0"/>
        </w:numPr>
        <w:outlineLvl w:val="0"/>
        <w:rPr>
          <w:rFonts w:cs="Arial"/>
          <w:i/>
          <w:iCs/>
          <w:szCs w:val="22"/>
        </w:rPr>
      </w:pPr>
      <w:r w:rsidRPr="00854FC2">
        <w:rPr>
          <w:rFonts w:cs="Arial"/>
          <w:szCs w:val="22"/>
        </w:rPr>
        <w:tab/>
      </w:r>
      <w:r w:rsidRPr="00854FC2">
        <w:rPr>
          <w:rFonts w:cs="Arial"/>
          <w:i/>
          <w:iCs/>
          <w:szCs w:val="22"/>
        </w:rPr>
        <w:t>Revise the SPCC Plan following modification of the facility</w:t>
      </w:r>
    </w:p>
    <w:p w:rsidR="00D85665" w:rsidRPr="00854FC2" w:rsidRDefault="00D85665">
      <w:pPr>
        <w:keepNext/>
        <w:keepLines/>
        <w:numPr>
          <w:ilvl w:val="12"/>
          <w:numId w:val="0"/>
        </w:numPr>
        <w:rPr>
          <w:rFonts w:cs="Arial"/>
          <w:szCs w:val="22"/>
        </w:rPr>
      </w:pPr>
    </w:p>
    <w:p w:rsidR="00D85665" w:rsidRPr="00854FC2" w:rsidRDefault="00D85665" w:rsidP="00AF158B">
      <w:pPr>
        <w:numPr>
          <w:ilvl w:val="12"/>
          <w:numId w:val="0"/>
        </w:numPr>
        <w:ind w:firstLine="720"/>
        <w:rPr>
          <w:rFonts w:cs="Arial"/>
          <w:szCs w:val="22"/>
        </w:rPr>
      </w:pPr>
      <w:r w:rsidRPr="00854FC2">
        <w:rPr>
          <w:rFonts w:cs="Arial"/>
          <w:szCs w:val="22"/>
        </w:rPr>
        <w:t>Section 112.5(a) requires the facility owner or operator to amend his Plan in accordance with §112.7 whenever there is a change in the facility’s design, construction, operation, and maintenance that materially affects the facility’s potential to discharge oil into navigable waters.  Such facility changes may include the addition of a new or rebuilt container; a change in the service of a container; any physical changes or improvements to the facility; or, the construction of a new well and associated piping.</w:t>
      </w:r>
      <w:r w:rsidR="0051511C">
        <w:rPr>
          <w:rFonts w:cs="Arial"/>
          <w:szCs w:val="22"/>
        </w:rPr>
        <w:t xml:space="preserve"> </w:t>
      </w:r>
      <w:r w:rsidRPr="00854FC2">
        <w:rPr>
          <w:rFonts w:cs="Arial"/>
          <w:szCs w:val="22"/>
        </w:rPr>
        <w:t>The activities to amend the SPCC Plan as a result of these facility changes are estimated to involve facility technical personnel time, as well as some clerical time. The amended Plan must then be certified prior to implementation by a licensed PE, or self-certified in the case of qualified facilities. Such amendments to the SPCC Plan must be implemented as soon as possible, but not later than six months after the change occurs.</w:t>
      </w:r>
    </w:p>
    <w:p w:rsidR="00D85665" w:rsidRPr="00854FC2" w:rsidRDefault="00D85665">
      <w:pPr>
        <w:numPr>
          <w:ilvl w:val="12"/>
          <w:numId w:val="0"/>
        </w:numPr>
        <w:rPr>
          <w:rFonts w:cs="Arial"/>
          <w:szCs w:val="22"/>
        </w:rPr>
      </w:pPr>
    </w:p>
    <w:p w:rsidR="00D85665" w:rsidRPr="00854FC2" w:rsidRDefault="00D85665" w:rsidP="00A15DF0">
      <w:pPr>
        <w:keepNext/>
        <w:keepLines/>
        <w:numPr>
          <w:ilvl w:val="12"/>
          <w:numId w:val="0"/>
        </w:numPr>
        <w:outlineLvl w:val="0"/>
        <w:rPr>
          <w:rFonts w:cs="Arial"/>
          <w:i/>
          <w:iCs/>
          <w:szCs w:val="22"/>
        </w:rPr>
      </w:pPr>
      <w:r w:rsidRPr="00854FC2">
        <w:rPr>
          <w:rFonts w:cs="Arial"/>
          <w:szCs w:val="22"/>
        </w:rPr>
        <w:tab/>
      </w:r>
      <w:r w:rsidRPr="00854FC2">
        <w:rPr>
          <w:rFonts w:cs="Arial"/>
          <w:i/>
          <w:iCs/>
          <w:szCs w:val="22"/>
        </w:rPr>
        <w:t>Review the SPCC Plan</w:t>
      </w:r>
    </w:p>
    <w:p w:rsidR="00D85665" w:rsidRPr="00854FC2" w:rsidRDefault="00D85665">
      <w:pPr>
        <w:keepNext/>
        <w:keepLines/>
        <w:numPr>
          <w:ilvl w:val="12"/>
          <w:numId w:val="0"/>
        </w:numPr>
        <w:rPr>
          <w:rFonts w:cs="Arial"/>
          <w:szCs w:val="22"/>
        </w:rPr>
      </w:pPr>
    </w:p>
    <w:p w:rsidR="00D85665" w:rsidRPr="00854FC2" w:rsidRDefault="00D85665" w:rsidP="00AF158B">
      <w:pPr>
        <w:numPr>
          <w:ilvl w:val="12"/>
          <w:numId w:val="0"/>
        </w:numPr>
        <w:ind w:firstLine="720"/>
        <w:rPr>
          <w:rFonts w:cs="Arial"/>
          <w:szCs w:val="22"/>
        </w:rPr>
      </w:pPr>
      <w:r w:rsidRPr="00854FC2">
        <w:rPr>
          <w:rFonts w:cs="Arial"/>
          <w:szCs w:val="22"/>
        </w:rPr>
        <w:t xml:space="preserve">An owner or operator of an SPCC-regulated facility is required to review and evaluate his Plan at least once every five years. This review is expected to involve mostly technical personnel time to review spill prevention and control procedures being implemented under the current Plan, as well as a regulatory review involving management personnel time. Clerical personnel time is also involved to complete necessary paperwork.  An owner or operator is required to amend his SPCC Plan within six months of the review to include more effective prevention and control technology if: (1) such technology will significantly reduce the likelihood of a discharge as described in §112.1(b) from the facility; and (2) such technology has been field-proven at the time of the review.  Any technical amendments to the Plan must be certified </w:t>
      </w:r>
      <w:r w:rsidRPr="00854FC2">
        <w:rPr>
          <w:rFonts w:cs="Arial"/>
          <w:szCs w:val="22"/>
        </w:rPr>
        <w:lastRenderedPageBreak/>
        <w:t xml:space="preserve">prior to implementation by a licensed PE or, for qualified facilities, self-certified in accordance with §112.6(b).  </w:t>
      </w:r>
      <w:r w:rsidR="00AF2A8F">
        <w:rPr>
          <w:rFonts w:cs="Arial"/>
          <w:szCs w:val="22"/>
        </w:rPr>
        <w:t>SPCC Plan r</w:t>
      </w:r>
      <w:r w:rsidRPr="00854FC2">
        <w:rPr>
          <w:rFonts w:cs="Arial"/>
          <w:szCs w:val="22"/>
        </w:rPr>
        <w:t xml:space="preserve">eview cost estimates are generated in this ICR for an </w:t>
      </w:r>
      <w:r w:rsidRPr="00FC5E1F">
        <w:rPr>
          <w:rFonts w:cs="Arial"/>
          <w:szCs w:val="22"/>
        </w:rPr>
        <w:t>existing</w:t>
      </w:r>
      <w:r w:rsidRPr="00854FC2">
        <w:rPr>
          <w:rFonts w:cs="Arial"/>
          <w:szCs w:val="22"/>
        </w:rPr>
        <w:t xml:space="preserve"> facility only, since a </w:t>
      </w:r>
      <w:r w:rsidRPr="00FC5E1F">
        <w:rPr>
          <w:rFonts w:cs="Arial"/>
          <w:szCs w:val="22"/>
        </w:rPr>
        <w:t>new</w:t>
      </w:r>
      <w:r w:rsidRPr="00854FC2">
        <w:rPr>
          <w:rFonts w:cs="Arial"/>
          <w:szCs w:val="22"/>
        </w:rPr>
        <w:t xml:space="preserve"> facility that becomes operational after the beginning of the ICR-approval period will not be required to conduct its review until after the three-year period covered by this ICR.</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Pr="00854FC2" w:rsidRDefault="00D85665">
      <w:pPr>
        <w:keepNext/>
        <w:keepLines/>
        <w:numPr>
          <w:ilvl w:val="12"/>
          <w:numId w:val="0"/>
        </w:numPr>
        <w:ind w:left="720" w:hanging="720"/>
        <w:rPr>
          <w:rFonts w:cs="Arial"/>
          <w:szCs w:val="22"/>
        </w:rPr>
      </w:pPr>
      <w:r w:rsidRPr="00854FC2">
        <w:rPr>
          <w:rFonts w:cs="Arial"/>
          <w:b/>
          <w:bCs/>
          <w:szCs w:val="22"/>
        </w:rPr>
        <w:t>5.</w:t>
      </w:r>
      <w:r w:rsidRPr="00854FC2">
        <w:rPr>
          <w:rFonts w:cs="Arial"/>
          <w:b/>
          <w:bCs/>
          <w:szCs w:val="22"/>
        </w:rPr>
        <w:tab/>
        <w:t>INFORMATION COLLECTED - AGENCY ACTIVITIES, COLLECTION METHODOLOGY, AND INFORMATION MANAGEMENT</w:t>
      </w:r>
    </w:p>
    <w:p w:rsidR="00D85665" w:rsidRPr="00854FC2" w:rsidRDefault="00D85665">
      <w:pPr>
        <w:keepNext/>
        <w:numPr>
          <w:ilvl w:val="12"/>
          <w:numId w:val="0"/>
        </w:numPr>
        <w:tabs>
          <w:tab w:val="left" w:pos="0"/>
          <w:tab w:val="left" w:pos="720"/>
          <w:tab w:val="left" w:pos="1440"/>
          <w:tab w:val="left" w:pos="2160"/>
        </w:tabs>
        <w:rPr>
          <w:rFonts w:cs="Arial"/>
          <w:szCs w:val="22"/>
        </w:rPr>
      </w:pPr>
    </w:p>
    <w:p w:rsidR="00D85665" w:rsidRPr="00854FC2" w:rsidRDefault="00D85665">
      <w:pPr>
        <w:keepNext/>
        <w:numPr>
          <w:ilvl w:val="12"/>
          <w:numId w:val="0"/>
        </w:numPr>
        <w:tabs>
          <w:tab w:val="left" w:pos="0"/>
          <w:tab w:val="left" w:pos="720"/>
          <w:tab w:val="left" w:pos="1440"/>
          <w:tab w:val="left" w:pos="2160"/>
        </w:tabs>
        <w:rPr>
          <w:rFonts w:cs="Arial"/>
          <w:szCs w:val="22"/>
        </w:rPr>
      </w:pPr>
      <w:r w:rsidRPr="00854FC2">
        <w:rPr>
          <w:rFonts w:cs="Arial"/>
          <w:szCs w:val="22"/>
        </w:rPr>
        <w:tab/>
      </w:r>
      <w:r w:rsidRPr="00854FC2">
        <w:rPr>
          <w:rFonts w:cs="Arial"/>
          <w:b/>
          <w:bCs/>
          <w:szCs w:val="22"/>
        </w:rPr>
        <w:t>5(a)</w:t>
      </w:r>
      <w:r w:rsidR="000F5676">
        <w:rPr>
          <w:rFonts w:cs="Arial"/>
          <w:b/>
          <w:bCs/>
          <w:szCs w:val="22"/>
        </w:rPr>
        <w:t xml:space="preserve"> </w:t>
      </w:r>
      <w:r w:rsidRPr="00854FC2">
        <w:rPr>
          <w:rFonts w:cs="Arial"/>
          <w:b/>
          <w:bCs/>
          <w:szCs w:val="22"/>
        </w:rPr>
        <w:t>Agency Activities</w:t>
      </w:r>
    </w:p>
    <w:p w:rsidR="00D85665" w:rsidRPr="00854FC2" w:rsidRDefault="00D85665">
      <w:pPr>
        <w:keepNext/>
        <w:numPr>
          <w:ilvl w:val="12"/>
          <w:numId w:val="0"/>
        </w:numPr>
        <w:tabs>
          <w:tab w:val="left" w:pos="0"/>
          <w:tab w:val="left" w:pos="720"/>
          <w:tab w:val="left" w:pos="1440"/>
          <w:tab w:val="left" w:pos="2160"/>
        </w:tabs>
        <w:rPr>
          <w:rFonts w:cs="Arial"/>
          <w:szCs w:val="22"/>
        </w:rPr>
      </w:pPr>
    </w:p>
    <w:p w:rsidR="00D85665" w:rsidRPr="00854FC2" w:rsidRDefault="002348E6" w:rsidP="00AF158B">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In the event that an SPCC-regulated facility discharges more than 1,000 gallons of oil into or upon the navigable waters of the United States in a single discharge as described in §112.1(b), or discharges more than 42 U.S. gallons of oil in each of two discharges as described in §112.1(b) within any 12-month period, EPA</w:t>
      </w:r>
      <w:r w:rsidR="007A6A31">
        <w:rPr>
          <w:rFonts w:cs="Arial"/>
          <w:szCs w:val="22"/>
        </w:rPr>
        <w:t xml:space="preserve">’s </w:t>
      </w:r>
      <w:r w:rsidR="00D85665" w:rsidRPr="00854FC2">
        <w:rPr>
          <w:rFonts w:cs="Arial"/>
          <w:szCs w:val="22"/>
        </w:rPr>
        <w:t xml:space="preserve">review </w:t>
      </w:r>
      <w:r w:rsidR="007A6A31">
        <w:rPr>
          <w:rFonts w:cs="Arial"/>
          <w:szCs w:val="22"/>
        </w:rPr>
        <w:t xml:space="preserve">of </w:t>
      </w:r>
      <w:r w:rsidR="00D85665" w:rsidRPr="00854FC2">
        <w:rPr>
          <w:rFonts w:cs="Arial"/>
          <w:szCs w:val="22"/>
        </w:rPr>
        <w:t xml:space="preserve">the information submitted by the facility under 40 CFR 112.4(a), </w:t>
      </w:r>
      <w:r w:rsidR="009426B2">
        <w:rPr>
          <w:rFonts w:cs="Arial"/>
          <w:szCs w:val="22"/>
        </w:rPr>
        <w:t xml:space="preserve">may </w:t>
      </w:r>
      <w:r w:rsidR="00D85665" w:rsidRPr="00854FC2">
        <w:rPr>
          <w:rFonts w:cs="Arial"/>
          <w:szCs w:val="22"/>
        </w:rPr>
        <w:t>includ</w:t>
      </w:r>
      <w:r w:rsidR="009426B2">
        <w:rPr>
          <w:rFonts w:cs="Arial"/>
          <w:szCs w:val="22"/>
        </w:rPr>
        <w:t>e</w:t>
      </w:r>
      <w:r w:rsidR="00D85665" w:rsidRPr="00854FC2">
        <w:rPr>
          <w:rFonts w:cs="Arial"/>
          <w:szCs w:val="22"/>
        </w:rPr>
        <w:t xml:space="preserve"> the necessity to:</w:t>
      </w:r>
    </w:p>
    <w:p w:rsidR="00D85665" w:rsidRPr="00854FC2" w:rsidRDefault="00D85665">
      <w:pPr>
        <w:rPr>
          <w:rFonts w:cs="Arial"/>
          <w:szCs w:val="22"/>
        </w:rPr>
      </w:pPr>
    </w:p>
    <w:p w:rsidR="00D85665" w:rsidRPr="00854FC2" w:rsidRDefault="00D85665">
      <w:pPr>
        <w:pStyle w:val="Level1"/>
        <w:numPr>
          <w:ilvl w:val="0"/>
          <w:numId w:val="17"/>
        </w:numPr>
        <w:rPr>
          <w:rFonts w:cs="Arial"/>
          <w:szCs w:val="22"/>
        </w:rPr>
      </w:pPr>
      <w:r w:rsidRPr="00854FC2">
        <w:rPr>
          <w:rFonts w:cs="Arial"/>
          <w:szCs w:val="22"/>
        </w:rPr>
        <w:t>Review facility characteristics;</w:t>
      </w:r>
    </w:p>
    <w:p w:rsidR="00D85665" w:rsidRPr="00854FC2" w:rsidRDefault="00D85665">
      <w:pPr>
        <w:pStyle w:val="Level1"/>
        <w:numPr>
          <w:ilvl w:val="0"/>
          <w:numId w:val="17"/>
        </w:numPr>
        <w:rPr>
          <w:rFonts w:cs="Arial"/>
          <w:szCs w:val="22"/>
        </w:rPr>
      </w:pPr>
      <w:r w:rsidRPr="00854FC2">
        <w:rPr>
          <w:rFonts w:cs="Arial"/>
          <w:szCs w:val="22"/>
        </w:rPr>
        <w:t>Review the cause of the discharge;</w:t>
      </w:r>
    </w:p>
    <w:p w:rsidR="00D85665" w:rsidRPr="00854FC2" w:rsidRDefault="00D85665">
      <w:pPr>
        <w:pStyle w:val="Level1"/>
        <w:numPr>
          <w:ilvl w:val="0"/>
          <w:numId w:val="17"/>
        </w:numPr>
        <w:rPr>
          <w:rFonts w:cs="Arial"/>
          <w:szCs w:val="22"/>
        </w:rPr>
      </w:pPr>
      <w:r w:rsidRPr="00854FC2">
        <w:rPr>
          <w:rFonts w:cs="Arial"/>
          <w:szCs w:val="22"/>
        </w:rPr>
        <w:t>Require any necessary amendments to the Plan to prevent and contain discharges from the facility; and</w:t>
      </w:r>
    </w:p>
    <w:p w:rsidR="00D85665" w:rsidRPr="00854FC2" w:rsidRDefault="00D85665">
      <w:pPr>
        <w:pStyle w:val="Level1"/>
        <w:numPr>
          <w:ilvl w:val="0"/>
          <w:numId w:val="17"/>
        </w:numPr>
        <w:rPr>
          <w:rFonts w:cs="Arial"/>
          <w:szCs w:val="22"/>
        </w:rPr>
      </w:pPr>
      <w:r w:rsidRPr="00854FC2">
        <w:rPr>
          <w:rFonts w:cs="Arial"/>
          <w:szCs w:val="22"/>
        </w:rPr>
        <w:t>Adjudicate any appeal of a final decision requiring an amendment.</w:t>
      </w:r>
    </w:p>
    <w:p w:rsidR="00D85665" w:rsidRPr="00854FC2" w:rsidRDefault="00D85665">
      <w:pPr>
        <w:numPr>
          <w:ilvl w:val="12"/>
          <w:numId w:val="0"/>
        </w:numPr>
        <w:rPr>
          <w:rFonts w:cs="Arial"/>
          <w:szCs w:val="22"/>
        </w:rPr>
      </w:pPr>
    </w:p>
    <w:p w:rsidR="00D85665" w:rsidRPr="00854FC2" w:rsidRDefault="005B2180">
      <w:pPr>
        <w:numPr>
          <w:ilvl w:val="12"/>
          <w:numId w:val="0"/>
        </w:numPr>
        <w:tabs>
          <w:tab w:val="left" w:pos="0"/>
          <w:tab w:val="left" w:pos="720"/>
          <w:tab w:val="left" w:pos="1440"/>
          <w:tab w:val="left" w:pos="2160"/>
        </w:tabs>
        <w:rPr>
          <w:rFonts w:cs="Arial"/>
          <w:szCs w:val="22"/>
        </w:rPr>
      </w:pPr>
      <w:r>
        <w:rPr>
          <w:rFonts w:cs="Arial"/>
          <w:szCs w:val="22"/>
        </w:rPr>
        <w:tab/>
      </w:r>
      <w:r w:rsidR="00D85665" w:rsidRPr="00854FC2">
        <w:rPr>
          <w:rFonts w:cs="Arial"/>
          <w:szCs w:val="22"/>
        </w:rPr>
        <w:t>In addition,</w:t>
      </w:r>
      <w:r w:rsidR="0051511C">
        <w:rPr>
          <w:rFonts w:cs="Arial"/>
          <w:szCs w:val="22"/>
        </w:rPr>
        <w:t xml:space="preserve"> </w:t>
      </w:r>
      <w:r w:rsidR="00D85665" w:rsidRPr="00854FC2">
        <w:rPr>
          <w:rFonts w:cs="Arial"/>
          <w:szCs w:val="22"/>
        </w:rPr>
        <w:t>EPA also conducts routine inspection, enforcement, and outreach activities as part of administering this program.  Inspections may occur either after a discharge as part of the review of the submitted spill notification report or on a periodic basis.</w:t>
      </w:r>
      <w:r w:rsidR="006F16C3">
        <w:rPr>
          <w:rFonts w:cs="Arial"/>
          <w:szCs w:val="22"/>
        </w:rPr>
        <w:t xml:space="preserve"> These inspections are not covered by this ICR.</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b/>
          <w:bCs/>
          <w:szCs w:val="22"/>
        </w:rPr>
        <w:tab/>
        <w:t>5(b)</w:t>
      </w:r>
      <w:r w:rsidR="000F5676">
        <w:rPr>
          <w:rFonts w:cs="Arial"/>
          <w:b/>
          <w:bCs/>
          <w:szCs w:val="22"/>
        </w:rPr>
        <w:t xml:space="preserve"> </w:t>
      </w:r>
      <w:r w:rsidRPr="00854FC2">
        <w:rPr>
          <w:rFonts w:cs="Arial"/>
          <w:b/>
          <w:bCs/>
          <w:szCs w:val="22"/>
        </w:rPr>
        <w:t>Collection Methodology and Management</w:t>
      </w:r>
    </w:p>
    <w:p w:rsidR="00D85665" w:rsidRPr="00854FC2" w:rsidRDefault="00D85665">
      <w:pPr>
        <w:keepNext/>
        <w:numPr>
          <w:ilvl w:val="12"/>
          <w:numId w:val="0"/>
        </w:numPr>
        <w:tabs>
          <w:tab w:val="left" w:pos="0"/>
          <w:tab w:val="left" w:pos="720"/>
          <w:tab w:val="left" w:pos="1440"/>
          <w:tab w:val="left" w:pos="2160"/>
        </w:tabs>
        <w:rPr>
          <w:rFonts w:cs="Arial"/>
          <w:szCs w:val="22"/>
        </w:rPr>
      </w:pPr>
    </w:p>
    <w:p w:rsidR="00D85665" w:rsidRPr="00854FC2" w:rsidRDefault="002348E6" w:rsidP="005B2180">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 xml:space="preserve">Plans </w:t>
      </w:r>
      <w:r w:rsidR="00F001EA">
        <w:rPr>
          <w:rFonts w:cs="Arial"/>
          <w:szCs w:val="22"/>
        </w:rPr>
        <w:t>may</w:t>
      </w:r>
      <w:r w:rsidR="00F001EA" w:rsidRPr="00854FC2">
        <w:rPr>
          <w:rFonts w:cs="Arial"/>
          <w:szCs w:val="22"/>
        </w:rPr>
        <w:t xml:space="preserve"> </w:t>
      </w:r>
      <w:r w:rsidR="00D85665" w:rsidRPr="00854FC2">
        <w:rPr>
          <w:rFonts w:cs="Arial"/>
          <w:szCs w:val="22"/>
        </w:rPr>
        <w:t xml:space="preserve">be tailored to the unique characteristics of the facility.  Due to the wide range of types and sizes of facilities subject to the regulation, EPA does not prescribe any specific information management technique or technology in preparing and maintaining SPCC Plans or records.  The regulation allows flexibility </w:t>
      </w:r>
      <w:r w:rsidR="00FD725A">
        <w:rPr>
          <w:rFonts w:cs="Arial"/>
          <w:szCs w:val="22"/>
        </w:rPr>
        <w:t xml:space="preserve">and a performance based approach </w:t>
      </w:r>
      <w:r w:rsidR="00D85665" w:rsidRPr="00854FC2">
        <w:rPr>
          <w:rFonts w:cs="Arial"/>
          <w:szCs w:val="22"/>
        </w:rPr>
        <w:t>in Plan preparation and recordkeeping in a way that allows the use of additional, appropriately cross-referenced formats</w:t>
      </w:r>
      <w:r w:rsidR="00875C13">
        <w:rPr>
          <w:rFonts w:cs="Arial"/>
          <w:szCs w:val="22"/>
        </w:rPr>
        <w:t xml:space="preserve"> (</w:t>
      </w:r>
      <w:r w:rsidR="00875C13" w:rsidRPr="00854FC2">
        <w:rPr>
          <w:rFonts w:cs="Arial"/>
          <w:szCs w:val="22"/>
        </w:rPr>
        <w:t>§112.7</w:t>
      </w:r>
      <w:r w:rsidR="00875C13">
        <w:rPr>
          <w:rFonts w:cs="Arial"/>
          <w:szCs w:val="22"/>
        </w:rPr>
        <w:t>)</w:t>
      </w:r>
      <w:r w:rsidR="00D85665" w:rsidRPr="00854FC2">
        <w:rPr>
          <w:rFonts w:cs="Arial"/>
          <w:szCs w:val="22"/>
        </w:rPr>
        <w:t>.  Greater flexibility is also provided for facility recordkeeping practices, as records kept under normal business practices, such as those required pursuant to the NPDES program and API Standards, may satisfy certain SPCC recordkeeping requirements.</w:t>
      </w:r>
    </w:p>
    <w:p w:rsidR="00D85665" w:rsidRPr="00854FC2" w:rsidRDefault="00D85665">
      <w:pPr>
        <w:rPr>
          <w:rFonts w:cs="Arial"/>
          <w:szCs w:val="22"/>
        </w:rPr>
      </w:pPr>
    </w:p>
    <w:p w:rsidR="00D85665" w:rsidRPr="00854FC2" w:rsidRDefault="00D85665" w:rsidP="005B2180">
      <w:pPr>
        <w:ind w:firstLine="720"/>
        <w:rPr>
          <w:rFonts w:cs="Arial"/>
          <w:szCs w:val="22"/>
        </w:rPr>
      </w:pPr>
      <w:r w:rsidRPr="00854FC2">
        <w:rPr>
          <w:rFonts w:cs="Arial"/>
          <w:szCs w:val="22"/>
        </w:rPr>
        <w:t xml:space="preserve">EPA </w:t>
      </w:r>
      <w:r w:rsidR="0018536E">
        <w:rPr>
          <w:rFonts w:cs="Arial"/>
          <w:szCs w:val="22"/>
        </w:rPr>
        <w:t xml:space="preserve">provides flexibility </w:t>
      </w:r>
      <w:r w:rsidR="00285569">
        <w:rPr>
          <w:rFonts w:cs="Arial"/>
          <w:szCs w:val="22"/>
        </w:rPr>
        <w:t xml:space="preserve">and a performance based approach </w:t>
      </w:r>
      <w:r w:rsidR="0018536E">
        <w:rPr>
          <w:rFonts w:cs="Arial"/>
          <w:szCs w:val="22"/>
        </w:rPr>
        <w:t xml:space="preserve">in </w:t>
      </w:r>
      <w:r w:rsidRPr="00854FC2">
        <w:rPr>
          <w:rFonts w:cs="Arial"/>
          <w:szCs w:val="22"/>
        </w:rPr>
        <w:t>the development and use of user-friendly means of writing and maintaining SPCC Plans, such as electronic programs, provided the Plans continue to provide the required information and meet the administrative requirements listed in the SPCC rule.</w:t>
      </w:r>
      <w:r w:rsidR="0051511C">
        <w:rPr>
          <w:rFonts w:cs="Arial"/>
          <w:szCs w:val="22"/>
        </w:rPr>
        <w:t xml:space="preserve"> </w:t>
      </w:r>
      <w:r w:rsidRPr="00854FC2">
        <w:rPr>
          <w:rFonts w:cs="Arial"/>
          <w:szCs w:val="22"/>
        </w:rPr>
        <w:t>Whatever medium is used, the Plan should also be readily accessible to response personnel in an emergency.</w:t>
      </w:r>
    </w:p>
    <w:p w:rsidR="00D85665" w:rsidRPr="00854FC2" w:rsidRDefault="00D85665">
      <w:pPr>
        <w:rPr>
          <w:rFonts w:cs="Arial"/>
          <w:szCs w:val="22"/>
        </w:rPr>
      </w:pPr>
    </w:p>
    <w:p w:rsidR="00D85665" w:rsidRPr="00854FC2" w:rsidRDefault="005B2180">
      <w:pPr>
        <w:numPr>
          <w:ilvl w:val="12"/>
          <w:numId w:val="0"/>
        </w:numPr>
        <w:tabs>
          <w:tab w:val="left" w:pos="0"/>
          <w:tab w:val="left" w:pos="720"/>
          <w:tab w:val="left" w:pos="1440"/>
          <w:tab w:val="left" w:pos="2160"/>
        </w:tabs>
        <w:rPr>
          <w:rFonts w:cs="Arial"/>
          <w:szCs w:val="22"/>
        </w:rPr>
      </w:pPr>
      <w:r>
        <w:rPr>
          <w:rFonts w:cs="Arial"/>
          <w:szCs w:val="22"/>
        </w:rPr>
        <w:tab/>
      </w:r>
      <w:r w:rsidR="00D85665" w:rsidRPr="00854FC2">
        <w:rPr>
          <w:rFonts w:cs="Arial"/>
          <w:szCs w:val="22"/>
        </w:rPr>
        <w:t xml:space="preserve">EPA maintains the information submitted to regional offices by facilities following certain oil discharges to support ongoing program activities such as targeting inspections as well as to </w:t>
      </w:r>
      <w:r w:rsidR="00D85665" w:rsidRPr="00854FC2">
        <w:rPr>
          <w:rFonts w:cs="Arial"/>
          <w:szCs w:val="22"/>
        </w:rPr>
        <w:lastRenderedPageBreak/>
        <w:t>support response operations during spills</w:t>
      </w:r>
      <w:r w:rsidR="002F2B0B">
        <w:rPr>
          <w:rFonts w:cs="Arial"/>
          <w:szCs w:val="22"/>
        </w:rPr>
        <w:t>, which are not covered by this ICR.</w:t>
      </w:r>
      <w:r w:rsidR="00D85665" w:rsidRPr="00854FC2">
        <w:rPr>
          <w:rFonts w:cs="Arial"/>
          <w:szCs w:val="22"/>
        </w:rPr>
        <w:t xml:space="preserve">  However, EPA does not collect SPCC Plans or related records from facilities on a routine basis.</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b/>
          <w:bCs/>
          <w:szCs w:val="22"/>
        </w:rPr>
        <w:tab/>
        <w:t>5(c)</w:t>
      </w:r>
      <w:r w:rsidR="0051511C">
        <w:rPr>
          <w:rFonts w:cs="Arial"/>
          <w:b/>
          <w:bCs/>
          <w:szCs w:val="22"/>
        </w:rPr>
        <w:t xml:space="preserve"> </w:t>
      </w:r>
      <w:r w:rsidRPr="00854FC2">
        <w:rPr>
          <w:rFonts w:cs="Arial"/>
          <w:b/>
          <w:bCs/>
          <w:szCs w:val="22"/>
        </w:rPr>
        <w:t>Small Entity Flexibility</w:t>
      </w:r>
    </w:p>
    <w:p w:rsidR="00D85665" w:rsidRPr="00854FC2" w:rsidRDefault="00D85665">
      <w:pPr>
        <w:keepNext/>
        <w:numPr>
          <w:ilvl w:val="12"/>
          <w:numId w:val="0"/>
        </w:numPr>
        <w:tabs>
          <w:tab w:val="left" w:pos="0"/>
          <w:tab w:val="left" w:pos="720"/>
          <w:tab w:val="left" w:pos="1440"/>
          <w:tab w:val="left" w:pos="2160"/>
        </w:tabs>
        <w:rPr>
          <w:rFonts w:cs="Arial"/>
          <w:szCs w:val="22"/>
        </w:rPr>
      </w:pPr>
    </w:p>
    <w:p w:rsidR="00D85665" w:rsidRPr="00854FC2" w:rsidRDefault="005B2180">
      <w:pPr>
        <w:numPr>
          <w:ilvl w:val="12"/>
          <w:numId w:val="0"/>
        </w:numPr>
        <w:tabs>
          <w:tab w:val="left" w:pos="0"/>
          <w:tab w:val="left" w:pos="720"/>
          <w:tab w:val="left" w:pos="1440"/>
          <w:tab w:val="left" w:pos="2160"/>
        </w:tabs>
        <w:rPr>
          <w:rFonts w:cs="Arial"/>
          <w:szCs w:val="22"/>
        </w:rPr>
      </w:pPr>
      <w:r>
        <w:rPr>
          <w:rFonts w:cs="Courier New"/>
          <w:lang w:val="en-CA"/>
        </w:rPr>
        <w:tab/>
      </w:r>
      <w:r w:rsidR="002348E6" w:rsidRPr="00854FC2">
        <w:rPr>
          <w:rFonts w:cs="Courier New"/>
          <w:lang w:val="en-CA"/>
        </w:rPr>
        <w:fldChar w:fldCharType="begin"/>
      </w:r>
      <w:r w:rsidR="00D85665" w:rsidRPr="00854FC2">
        <w:rPr>
          <w:rFonts w:cs="Courier New"/>
          <w:lang w:val="en-CA"/>
        </w:rPr>
        <w:instrText xml:space="preserve"> SEQ CHAPTER \h \r 1</w:instrText>
      </w:r>
      <w:r w:rsidR="002348E6" w:rsidRPr="00854FC2">
        <w:rPr>
          <w:rFonts w:cs="Courier New"/>
          <w:lang w:val="en-CA"/>
        </w:rPr>
        <w:fldChar w:fldCharType="end"/>
      </w:r>
      <w:r w:rsidR="00D85665" w:rsidRPr="00854FC2">
        <w:rPr>
          <w:rFonts w:cs="Arial"/>
          <w:szCs w:val="22"/>
        </w:rPr>
        <w:t xml:space="preserve">In 2002, EPA promulgated revisions to the SPCC rule that provided </w:t>
      </w:r>
      <w:r w:rsidR="00DE1DF4">
        <w:rPr>
          <w:rFonts w:cs="Arial"/>
          <w:szCs w:val="22"/>
        </w:rPr>
        <w:t>flexibility</w:t>
      </w:r>
      <w:r w:rsidR="00DE1DF4" w:rsidRPr="00854FC2">
        <w:rPr>
          <w:rFonts w:cs="Arial"/>
          <w:szCs w:val="22"/>
        </w:rPr>
        <w:t xml:space="preserve"> </w:t>
      </w:r>
      <w:r w:rsidR="00D85665" w:rsidRPr="00854FC2">
        <w:rPr>
          <w:rFonts w:cs="Arial"/>
          <w:szCs w:val="22"/>
        </w:rPr>
        <w:t xml:space="preserve">for small entities in several ways. First, EPA no longer regulates, under 40 CFR part 112, a facility having a single container with an aboveground storage capacity greater than 660 gallons, </w:t>
      </w:r>
      <w:r w:rsidR="00866A08">
        <w:rPr>
          <w:rFonts w:cs="Arial"/>
          <w:szCs w:val="22"/>
        </w:rPr>
        <w:t xml:space="preserve">and </w:t>
      </w:r>
      <w:r w:rsidR="00D85665" w:rsidRPr="00854FC2">
        <w:rPr>
          <w:rFonts w:cs="Arial"/>
          <w:szCs w:val="22"/>
        </w:rPr>
        <w:t>aggregate aboveground capacity of 1,320 gallons or less of oil. Second, EPA no longer regulates</w:t>
      </w:r>
      <w:bookmarkStart w:id="1" w:name="OLE_LINK3"/>
      <w:r w:rsidR="00D85665" w:rsidRPr="00854FC2">
        <w:rPr>
          <w:rFonts w:cs="Arial"/>
          <w:szCs w:val="22"/>
        </w:rPr>
        <w:t>, under 40 CFR part 112,</w:t>
      </w:r>
      <w:bookmarkEnd w:id="1"/>
      <w:r w:rsidR="00D85665" w:rsidRPr="00854FC2">
        <w:rPr>
          <w:rFonts w:cs="Arial"/>
          <w:szCs w:val="22"/>
        </w:rPr>
        <w:t xml:space="preserve"> a completely buried container that is subject to all of the technical requirements of 40 CFR part 280 or a state program approved under 40 CFR part 281.  Third, the 2002 rule includes a </w:t>
      </w:r>
      <w:r w:rsidR="00D85665" w:rsidRPr="00854FC2">
        <w:rPr>
          <w:rFonts w:cs="Arial"/>
          <w:i/>
          <w:iCs/>
          <w:szCs w:val="22"/>
        </w:rPr>
        <w:t>de minimis</w:t>
      </w:r>
      <w:r w:rsidR="00D85665" w:rsidRPr="00854FC2">
        <w:rPr>
          <w:rFonts w:cs="Arial"/>
          <w:szCs w:val="22"/>
        </w:rPr>
        <w:t xml:space="preserve"> container size of less than 55 gallons. As a result, containers less than 55 gallons are no longer included in a facility’s aboveground total storage or use-capacity calculation and no longer need to be discussed in the SPCC Plan. Fourth, EPA no longer regulates, under 40 CFR part 112, wastewater treatment facilities or parts thereof (except at oil production, oil recovery, and oil recycling facilities) used exclusively for wastewater treatment and not used to meet any other requirement of the rule. Fifth, the </w:t>
      </w:r>
      <w:r w:rsidR="00965AAE">
        <w:rPr>
          <w:rFonts w:cs="Arial"/>
          <w:szCs w:val="22"/>
        </w:rPr>
        <w:t>rule</w:t>
      </w:r>
      <w:r w:rsidR="00D85665" w:rsidRPr="00854FC2">
        <w:rPr>
          <w:rFonts w:cs="Arial"/>
          <w:szCs w:val="22"/>
        </w:rPr>
        <w:t xml:space="preserve"> was modified to allow the use of additional, appropriately cross-referenced formats that would encourage all regulated facilities, including smaller facilities, to take advantage of similar planning efforts conducted pursuant to state or other federal standards. The revisions, targeted towards reducing the recordkeeping burden to facilities, also decreased the burden to smaller facilities. </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Pr="00854FC2" w:rsidRDefault="005B2180">
      <w:pPr>
        <w:numPr>
          <w:ilvl w:val="12"/>
          <w:numId w:val="0"/>
        </w:numPr>
        <w:tabs>
          <w:tab w:val="left" w:pos="0"/>
          <w:tab w:val="left" w:pos="720"/>
          <w:tab w:val="left" w:pos="1440"/>
          <w:tab w:val="left" w:pos="2160"/>
        </w:tabs>
        <w:rPr>
          <w:rFonts w:cs="Arial"/>
          <w:szCs w:val="22"/>
        </w:rPr>
      </w:pPr>
      <w:r>
        <w:rPr>
          <w:rFonts w:cs="Arial"/>
          <w:szCs w:val="22"/>
        </w:rPr>
        <w:tab/>
      </w:r>
      <w:r w:rsidR="00D85665" w:rsidRPr="00854FC2">
        <w:rPr>
          <w:rFonts w:cs="Arial"/>
          <w:szCs w:val="22"/>
        </w:rPr>
        <w:t xml:space="preserve">The 2006 rule amendments further reduced the burden of the SPCC regulation, with expected </w:t>
      </w:r>
      <w:r w:rsidR="000C1AC5">
        <w:rPr>
          <w:rFonts w:cs="Arial"/>
          <w:szCs w:val="22"/>
        </w:rPr>
        <w:t>flexibility</w:t>
      </w:r>
      <w:r w:rsidR="000C1AC5" w:rsidRPr="00854FC2">
        <w:rPr>
          <w:rFonts w:cs="Arial"/>
          <w:szCs w:val="22"/>
        </w:rPr>
        <w:t xml:space="preserve"> </w:t>
      </w:r>
      <w:r w:rsidR="00D85665" w:rsidRPr="00854FC2">
        <w:rPr>
          <w:rFonts w:cs="Arial"/>
          <w:szCs w:val="22"/>
        </w:rPr>
        <w:t xml:space="preserve">for small entities. Specifically, the rule amendments reduced the regulatory burden on qualified facilities and facilities with qualified oil-filled operational equipment.  Qualified facilities with 10,000 gallons or less of aggregate aboveground </w:t>
      </w:r>
      <w:r w:rsidR="00E52B61">
        <w:rPr>
          <w:rFonts w:cs="Arial"/>
          <w:szCs w:val="22"/>
        </w:rPr>
        <w:t xml:space="preserve">oil </w:t>
      </w:r>
      <w:r w:rsidR="00D85665" w:rsidRPr="00854FC2">
        <w:rPr>
          <w:rFonts w:cs="Arial"/>
          <w:szCs w:val="22"/>
        </w:rPr>
        <w:t>storage</w:t>
      </w:r>
      <w:r w:rsidR="00E52B61">
        <w:rPr>
          <w:rFonts w:cs="Arial"/>
          <w:szCs w:val="22"/>
        </w:rPr>
        <w:t xml:space="preserve"> capacity</w:t>
      </w:r>
      <w:r w:rsidR="00D85665" w:rsidRPr="00854FC2">
        <w:rPr>
          <w:rFonts w:cs="Arial"/>
          <w:szCs w:val="22"/>
        </w:rPr>
        <w:t xml:space="preserve"> no longer need a licensed PE to certify their Plans. The amendments also allow greater use of contingency plans without requiring an impracticability determination for facilities with qualified oil-filled operational equipment</w:t>
      </w:r>
      <w:r w:rsidR="00DD7633">
        <w:rPr>
          <w:rFonts w:cs="Arial"/>
          <w:szCs w:val="22"/>
        </w:rPr>
        <w:t xml:space="preserve">, a cost reduction </w:t>
      </w:r>
      <w:r w:rsidR="00644EBE">
        <w:rPr>
          <w:rFonts w:cs="Arial"/>
          <w:szCs w:val="22"/>
        </w:rPr>
        <w:t>measure</w:t>
      </w:r>
      <w:r w:rsidR="00D85665" w:rsidRPr="00854FC2">
        <w:rPr>
          <w:rFonts w:cs="Arial"/>
          <w:szCs w:val="22"/>
        </w:rPr>
        <w:t xml:space="preserve">. Facilities that store oil solely in motive power containers are no longer regulated, while other facilities with oil storage in addition to motive power containers may incur lower compliance costs. The rule also allows mobile </w:t>
      </w:r>
      <w:proofErr w:type="spellStart"/>
      <w:r w:rsidR="00D85665" w:rsidRPr="00854FC2">
        <w:rPr>
          <w:rFonts w:cs="Arial"/>
          <w:szCs w:val="22"/>
        </w:rPr>
        <w:t>refuelers</w:t>
      </w:r>
      <w:proofErr w:type="spellEnd"/>
      <w:r w:rsidR="00D85665" w:rsidRPr="00854FC2">
        <w:rPr>
          <w:rFonts w:cs="Arial"/>
          <w:szCs w:val="22"/>
        </w:rPr>
        <w:t xml:space="preserve"> to fall under the rule’s general containment requirement, which does not require specifically sized secondary containment.</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Default="005B2180">
      <w:pPr>
        <w:numPr>
          <w:ilvl w:val="12"/>
          <w:numId w:val="0"/>
        </w:numPr>
        <w:tabs>
          <w:tab w:val="left" w:pos="0"/>
          <w:tab w:val="left" w:pos="720"/>
          <w:tab w:val="left" w:pos="1440"/>
          <w:tab w:val="left" w:pos="2160"/>
        </w:tabs>
        <w:rPr>
          <w:rFonts w:cs="Arial"/>
          <w:color w:val="000000"/>
        </w:rPr>
      </w:pPr>
      <w:r>
        <w:rPr>
          <w:rFonts w:cs="Arial"/>
          <w:color w:val="000000"/>
        </w:rPr>
        <w:tab/>
      </w:r>
      <w:r w:rsidR="00D85665" w:rsidRPr="00854FC2">
        <w:rPr>
          <w:rFonts w:cs="Arial"/>
          <w:color w:val="000000"/>
        </w:rPr>
        <w:t>The</w:t>
      </w:r>
      <w:r w:rsidR="00E52B61">
        <w:rPr>
          <w:rFonts w:cs="Arial"/>
          <w:color w:val="000000"/>
        </w:rPr>
        <w:t xml:space="preserve"> 2008/2009</w:t>
      </w:r>
      <w:r w:rsidR="00D85665" w:rsidRPr="00854FC2">
        <w:rPr>
          <w:rFonts w:cs="Arial"/>
          <w:color w:val="000000"/>
        </w:rPr>
        <w:t xml:space="preserve"> </w:t>
      </w:r>
      <w:r w:rsidR="00E734A2">
        <w:rPr>
          <w:rFonts w:cs="Arial"/>
          <w:color w:val="000000"/>
        </w:rPr>
        <w:t>final</w:t>
      </w:r>
      <w:r w:rsidR="00D85665" w:rsidRPr="00854FC2">
        <w:rPr>
          <w:rFonts w:cs="Arial"/>
          <w:color w:val="000000"/>
        </w:rPr>
        <w:t xml:space="preserve"> amendments to the SPCC rule reduce</w:t>
      </w:r>
      <w:r w:rsidR="00E52B61">
        <w:rPr>
          <w:rFonts w:cs="Arial"/>
          <w:color w:val="000000"/>
        </w:rPr>
        <w:t>d</w:t>
      </w:r>
      <w:r w:rsidR="00D85665" w:rsidRPr="00854FC2">
        <w:rPr>
          <w:rFonts w:cs="Arial"/>
          <w:color w:val="000000"/>
        </w:rPr>
        <w:t xml:space="preserve"> the burden on small businesses to the extent that these businesses are eligible for </w:t>
      </w:r>
      <w:r w:rsidR="00866A08">
        <w:rPr>
          <w:rFonts w:cs="Arial"/>
          <w:color w:val="000000"/>
        </w:rPr>
        <w:t xml:space="preserve">amended </w:t>
      </w:r>
      <w:r w:rsidR="00D85665" w:rsidRPr="00854FC2">
        <w:rPr>
          <w:rFonts w:cs="Arial"/>
          <w:color w:val="000000"/>
        </w:rPr>
        <w:t xml:space="preserve">regulatory requirements offered to hot-mix asphalt facilities, </w:t>
      </w:r>
      <w:r w:rsidR="00E52B61">
        <w:rPr>
          <w:rFonts w:cs="Arial"/>
          <w:color w:val="000000"/>
        </w:rPr>
        <w:t xml:space="preserve">oil </w:t>
      </w:r>
      <w:r w:rsidR="00D85665" w:rsidRPr="00854FC2">
        <w:rPr>
          <w:rFonts w:cs="Arial"/>
          <w:color w:val="000000"/>
        </w:rPr>
        <w:t xml:space="preserve">production facilities, facilities that produce or process animal fats and vegetable oil, </w:t>
      </w:r>
      <w:r w:rsidR="00152058">
        <w:rPr>
          <w:rFonts w:cs="Arial"/>
          <w:color w:val="000000"/>
        </w:rPr>
        <w:t>Tier I</w:t>
      </w:r>
      <w:r w:rsidR="00D85665" w:rsidRPr="00854FC2">
        <w:rPr>
          <w:rFonts w:cs="Arial"/>
          <w:color w:val="000000"/>
        </w:rPr>
        <w:t xml:space="preserve"> qualified facilities, and others.</w:t>
      </w:r>
      <w:r w:rsidR="00E52B61">
        <w:rPr>
          <w:rFonts w:cs="Arial"/>
          <w:color w:val="000000"/>
        </w:rPr>
        <w:t xml:space="preserve"> </w:t>
      </w:r>
    </w:p>
    <w:p w:rsidR="00E52B61" w:rsidRDefault="00E52B61">
      <w:pPr>
        <w:numPr>
          <w:ilvl w:val="12"/>
          <w:numId w:val="0"/>
        </w:numPr>
        <w:tabs>
          <w:tab w:val="left" w:pos="0"/>
          <w:tab w:val="left" w:pos="720"/>
          <w:tab w:val="left" w:pos="1440"/>
          <w:tab w:val="left" w:pos="2160"/>
        </w:tabs>
        <w:rPr>
          <w:rFonts w:cs="Arial"/>
          <w:color w:val="000000"/>
        </w:rPr>
      </w:pPr>
    </w:p>
    <w:p w:rsidR="00D85665" w:rsidRPr="00854FC2" w:rsidRDefault="00E52B61">
      <w:pPr>
        <w:numPr>
          <w:ilvl w:val="12"/>
          <w:numId w:val="0"/>
        </w:numPr>
        <w:tabs>
          <w:tab w:val="left" w:pos="0"/>
          <w:tab w:val="left" w:pos="720"/>
          <w:tab w:val="left" w:pos="1440"/>
          <w:tab w:val="left" w:pos="2160"/>
        </w:tabs>
        <w:rPr>
          <w:rFonts w:cs="Arial"/>
          <w:szCs w:val="22"/>
        </w:rPr>
      </w:pPr>
      <w:r>
        <w:rPr>
          <w:rFonts w:cs="Arial"/>
          <w:color w:val="000000"/>
        </w:rPr>
        <w:tab/>
        <w:t xml:space="preserve">The 2011 final amendment exempted </w:t>
      </w:r>
      <w:r w:rsidRPr="00E52B61">
        <w:rPr>
          <w:rFonts w:cs="Arial"/>
          <w:color w:val="000000"/>
        </w:rPr>
        <w:t>milk and milk product containers,</w:t>
      </w:r>
      <w:r>
        <w:rPr>
          <w:rFonts w:cs="Arial"/>
          <w:color w:val="000000"/>
        </w:rPr>
        <w:t xml:space="preserve"> </w:t>
      </w:r>
      <w:r w:rsidRPr="00E52B61">
        <w:rPr>
          <w:rFonts w:cs="Arial"/>
          <w:color w:val="000000"/>
        </w:rPr>
        <w:t>associated piping and appurtenances</w:t>
      </w:r>
      <w:r>
        <w:rPr>
          <w:rFonts w:cs="Arial"/>
          <w:color w:val="000000"/>
        </w:rPr>
        <w:t xml:space="preserve"> from the SPCC rule. Facilities that only have milk and/or milk product containers</w:t>
      </w:r>
      <w:r w:rsidRPr="00854FC2">
        <w:rPr>
          <w:rFonts w:cs="Arial"/>
          <w:szCs w:val="22"/>
        </w:rPr>
        <w:t xml:space="preserve"> are no longer regulated, while other facilities with oil storage in addition to </w:t>
      </w:r>
      <w:r>
        <w:rPr>
          <w:rFonts w:cs="Arial"/>
          <w:color w:val="000000"/>
        </w:rPr>
        <w:t xml:space="preserve">milk and/or milk product </w:t>
      </w:r>
      <w:r w:rsidRPr="00854FC2">
        <w:rPr>
          <w:rFonts w:cs="Arial"/>
          <w:szCs w:val="22"/>
        </w:rPr>
        <w:t xml:space="preserve">containers may incur lower compliance costs.  </w:t>
      </w:r>
    </w:p>
    <w:p w:rsidR="00D85665" w:rsidRPr="00854FC2" w:rsidRDefault="00D85665">
      <w:pPr>
        <w:keepNext/>
        <w:keepLines/>
        <w:numPr>
          <w:ilvl w:val="12"/>
          <w:numId w:val="0"/>
        </w:numPr>
        <w:tabs>
          <w:tab w:val="left" w:pos="0"/>
          <w:tab w:val="left" w:pos="720"/>
          <w:tab w:val="left" w:pos="1440"/>
          <w:tab w:val="left" w:pos="2160"/>
        </w:tabs>
        <w:rPr>
          <w:rFonts w:cs="Arial"/>
          <w:b/>
          <w:bCs/>
          <w:szCs w:val="22"/>
        </w:rPr>
      </w:pPr>
      <w:r w:rsidRPr="00854FC2">
        <w:rPr>
          <w:rFonts w:cs="Arial"/>
          <w:b/>
          <w:bCs/>
          <w:szCs w:val="22"/>
        </w:rPr>
        <w:tab/>
      </w:r>
      <w:r w:rsidR="006563C6">
        <w:rPr>
          <w:rFonts w:cs="Arial"/>
          <w:b/>
          <w:bCs/>
          <w:szCs w:val="22"/>
        </w:rPr>
        <w:br w:type="page"/>
      </w:r>
      <w:r w:rsidR="006563C6">
        <w:rPr>
          <w:rFonts w:cs="Arial"/>
          <w:b/>
          <w:bCs/>
          <w:szCs w:val="22"/>
        </w:rPr>
        <w:lastRenderedPageBreak/>
        <w:tab/>
      </w:r>
      <w:r w:rsidRPr="00854FC2">
        <w:rPr>
          <w:rFonts w:cs="Arial"/>
          <w:b/>
          <w:bCs/>
          <w:szCs w:val="22"/>
        </w:rPr>
        <w:t>5(d)</w:t>
      </w:r>
      <w:r w:rsidR="00E44712">
        <w:rPr>
          <w:rFonts w:cs="Arial"/>
          <w:b/>
          <w:bCs/>
          <w:szCs w:val="22"/>
        </w:rPr>
        <w:t xml:space="preserve"> </w:t>
      </w:r>
      <w:r w:rsidRPr="00854FC2">
        <w:rPr>
          <w:rFonts w:cs="Arial"/>
          <w:b/>
          <w:bCs/>
          <w:szCs w:val="22"/>
        </w:rPr>
        <w:t>Collection Schedule</w:t>
      </w:r>
    </w:p>
    <w:p w:rsidR="00D85665" w:rsidRPr="00854FC2" w:rsidRDefault="00D85665">
      <w:pPr>
        <w:keepNext/>
        <w:numPr>
          <w:ilvl w:val="12"/>
          <w:numId w:val="0"/>
        </w:numPr>
        <w:tabs>
          <w:tab w:val="left" w:pos="0"/>
          <w:tab w:val="left" w:pos="720"/>
          <w:tab w:val="left" w:pos="1440"/>
          <w:tab w:val="left" w:pos="2160"/>
        </w:tabs>
        <w:rPr>
          <w:rFonts w:cs="Arial"/>
          <w:szCs w:val="22"/>
        </w:rPr>
      </w:pPr>
    </w:p>
    <w:p w:rsidR="006563C6" w:rsidRDefault="002348E6" w:rsidP="006563C6">
      <w:pPr>
        <w:pStyle w:val="BodyText"/>
        <w:spacing w:after="120"/>
        <w:ind w:firstLine="720"/>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t xml:space="preserve">The SPCC rule does not require a specific </w:t>
      </w:r>
      <w:r w:rsidR="00455E2D">
        <w:t>information</w:t>
      </w:r>
      <w:r w:rsidR="007A6A19">
        <w:t xml:space="preserve"> </w:t>
      </w:r>
      <w:r w:rsidR="00D85665" w:rsidRPr="00854FC2">
        <w:t xml:space="preserve">collection schedule.  However, a facility owner or operator must prepare, amend, and implement an SPCC Plan according to the compliance deadlines in §112.3(a), </w:t>
      </w:r>
      <w:r w:rsidR="006563C6">
        <w:t xml:space="preserve">and </w:t>
      </w:r>
      <w:r w:rsidR="00D85665" w:rsidRPr="00854FC2">
        <w:t xml:space="preserve">(b). </w:t>
      </w:r>
      <w:r w:rsidR="006563C6" w:rsidRPr="00DE4DAD">
        <w:t>The current compliance dates under §112.3(a)</w:t>
      </w:r>
      <w:r w:rsidR="006563C6">
        <w:t xml:space="preserve"> and </w:t>
      </w:r>
      <w:r w:rsidR="006563C6" w:rsidRPr="00DE4DAD">
        <w:t>(b)</w:t>
      </w:r>
      <w:r w:rsidR="006563C6">
        <w:t xml:space="preserve"> apply to all SPCC-regulated facilities, </w:t>
      </w:r>
      <w:r w:rsidR="006563C6" w:rsidRPr="00DE4DAD">
        <w:t>as follows:</w:t>
      </w:r>
      <w:r w:rsidR="006563C6">
        <w:t xml:space="preserve"> </w:t>
      </w:r>
    </w:p>
    <w:tbl>
      <w:tblPr>
        <w:tblW w:w="972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5670"/>
        <w:gridCol w:w="4050"/>
      </w:tblGrid>
      <w:tr w:rsidR="006563C6" w:rsidRPr="00BA3576" w:rsidTr="00FB6777">
        <w:trPr>
          <w:cantSplit/>
        </w:trPr>
        <w:tc>
          <w:tcPr>
            <w:tcW w:w="5670" w:type="dxa"/>
            <w:tcBorders>
              <w:top w:val="doub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Style w:val="Strong"/>
                <w:rFonts w:cs="Arial"/>
                <w:i/>
                <w:iCs/>
                <w:color w:val="000000"/>
              </w:rPr>
              <w:t>A farm, starting operation...</w:t>
            </w:r>
          </w:p>
        </w:tc>
        <w:tc>
          <w:tcPr>
            <w:tcW w:w="4050" w:type="dxa"/>
            <w:tcBorders>
              <w:top w:val="doub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i/>
              </w:rPr>
            </w:pPr>
            <w:r w:rsidRPr="00BA3576">
              <w:rPr>
                <w:rFonts w:cs="Arial"/>
                <w:b/>
                <w:i/>
              </w:rPr>
              <w:t>Must...</w:t>
            </w:r>
          </w:p>
        </w:tc>
      </w:tr>
      <w:tr w:rsidR="006563C6" w:rsidRPr="00BA357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after="120"/>
              <w:rPr>
                <w:rFonts w:cs="Arial"/>
              </w:rPr>
            </w:pPr>
            <w:r w:rsidRPr="00BA3576">
              <w:rPr>
                <w:rFonts w:cs="Arial"/>
                <w:color w:val="000000"/>
              </w:rPr>
              <w:t>On or before August 16, 2002</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Maintain its existing SPCC Plan</w:t>
            </w:r>
            <w:r w:rsidRPr="00BA3576">
              <w:rPr>
                <w:rFonts w:cs="Arial"/>
                <w:color w:val="000000"/>
              </w:rPr>
              <w:br/>
              <w:t xml:space="preserve">Amend and implement the amended SPCC Plan no later than </w:t>
            </w:r>
            <w:r w:rsidRPr="00BA3576">
              <w:rPr>
                <w:rStyle w:val="Strong"/>
                <w:rFonts w:cs="Arial"/>
                <w:color w:val="000000"/>
              </w:rPr>
              <w:t>May 10, 2013</w:t>
            </w:r>
          </w:p>
        </w:tc>
      </w:tr>
      <w:tr w:rsidR="006563C6" w:rsidRPr="00BA357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August 16, 2002 through </w:t>
            </w:r>
            <w:r w:rsidRPr="00BA3576">
              <w:rPr>
                <w:rStyle w:val="Strong"/>
                <w:rFonts w:cs="Arial"/>
                <w:color w:val="000000"/>
              </w:rPr>
              <w:t>May 10, 2013</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Prepare and implement an SPCC Plan no later than </w:t>
            </w:r>
            <w:r w:rsidRPr="00BA3576">
              <w:rPr>
                <w:rStyle w:val="Strong"/>
                <w:rFonts w:cs="Arial"/>
                <w:color w:val="000000"/>
              </w:rPr>
              <w:t>May 10, 2013</w:t>
            </w:r>
          </w:p>
        </w:tc>
      </w:tr>
      <w:tr w:rsidR="006563C6" w:rsidRPr="00BA357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w:t>
            </w:r>
            <w:r w:rsidRPr="00BA3576">
              <w:rPr>
                <w:rStyle w:val="Strong"/>
                <w:rFonts w:cs="Arial"/>
                <w:color w:val="000000"/>
              </w:rPr>
              <w:t>May 10, 2013</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Prepare and implement an SPCC Plan </w:t>
            </w:r>
            <w:r w:rsidRPr="00BA3576">
              <w:rPr>
                <w:rStyle w:val="Emphasis"/>
                <w:rFonts w:cs="Arial"/>
                <w:color w:val="000000"/>
              </w:rPr>
              <w:t>before</w:t>
            </w:r>
            <w:r w:rsidRPr="00BA3576">
              <w:rPr>
                <w:rFonts w:cs="Arial"/>
                <w:color w:val="000000"/>
              </w:rPr>
              <w:t xml:space="preserve"> beginning operations</w:t>
            </w:r>
          </w:p>
        </w:tc>
      </w:tr>
    </w:tbl>
    <w:p w:rsidR="006563C6" w:rsidRDefault="006563C6" w:rsidP="006563C6">
      <w:pPr>
        <w:pStyle w:val="BodyText"/>
      </w:pPr>
    </w:p>
    <w:tbl>
      <w:tblPr>
        <w:tblW w:w="972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5670"/>
        <w:gridCol w:w="4050"/>
      </w:tblGrid>
      <w:tr w:rsidR="006563C6" w:rsidRPr="00BA3576" w:rsidTr="00FB6777">
        <w:trPr>
          <w:cantSplit/>
        </w:trPr>
        <w:tc>
          <w:tcPr>
            <w:tcW w:w="5670" w:type="dxa"/>
            <w:tcBorders>
              <w:top w:val="doub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Style w:val="Strong"/>
                <w:rFonts w:cs="Arial"/>
                <w:i/>
                <w:iCs/>
                <w:color w:val="000000"/>
              </w:rPr>
              <w:t>A drilling, production or workover facility, including a mobile or portable facility, located offshore or with an offshore component; or an onshore facility that is required to have and submit FRPs starting operation...</w:t>
            </w:r>
          </w:p>
        </w:tc>
        <w:tc>
          <w:tcPr>
            <w:tcW w:w="4050" w:type="dxa"/>
            <w:tcBorders>
              <w:top w:val="doub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i/>
              </w:rPr>
            </w:pPr>
            <w:r w:rsidRPr="00BA3576">
              <w:rPr>
                <w:rFonts w:cs="Arial"/>
                <w:b/>
                <w:i/>
              </w:rPr>
              <w:t>Must...</w:t>
            </w:r>
          </w:p>
        </w:tc>
      </w:tr>
      <w:tr w:rsidR="006563C6" w:rsidRPr="00BA357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after="120"/>
              <w:rPr>
                <w:rFonts w:cs="Arial"/>
              </w:rPr>
            </w:pPr>
            <w:r w:rsidRPr="00BA3576">
              <w:rPr>
                <w:rFonts w:cs="Arial"/>
                <w:color w:val="000000"/>
              </w:rPr>
              <w:t>On or before August 16, 2002</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Maintain its existing SPCC Plan</w:t>
            </w:r>
            <w:r w:rsidRPr="00BA3576">
              <w:rPr>
                <w:rFonts w:cs="Arial"/>
                <w:color w:val="000000"/>
              </w:rPr>
              <w:br/>
              <w:t xml:space="preserve">Amend and implement the amended SPCC Plan no later than </w:t>
            </w:r>
            <w:r w:rsidRPr="00BA3576">
              <w:rPr>
                <w:rStyle w:val="Strong"/>
                <w:rFonts w:cs="Arial"/>
                <w:color w:val="000000"/>
              </w:rPr>
              <w:t>November 10, 2010</w:t>
            </w:r>
          </w:p>
        </w:tc>
      </w:tr>
      <w:tr w:rsidR="006563C6" w:rsidRPr="00BA357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August 16, 2002 through </w:t>
            </w:r>
            <w:r w:rsidRPr="00BA3576">
              <w:rPr>
                <w:rStyle w:val="Strong"/>
                <w:rFonts w:cs="Arial"/>
                <w:color w:val="000000"/>
              </w:rPr>
              <w:t>November 10, 2010</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Prepare and implement an SPCC Plan no later than </w:t>
            </w:r>
            <w:r w:rsidRPr="00BA3576">
              <w:rPr>
                <w:rStyle w:val="Strong"/>
                <w:rFonts w:cs="Arial"/>
                <w:color w:val="000000"/>
              </w:rPr>
              <w:t>November 10, 2010</w:t>
            </w:r>
          </w:p>
        </w:tc>
      </w:tr>
      <w:tr w:rsidR="006563C6" w:rsidRPr="00BA357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w:t>
            </w:r>
            <w:r w:rsidRPr="00BA3576">
              <w:rPr>
                <w:rStyle w:val="Strong"/>
                <w:rFonts w:cs="Arial"/>
                <w:color w:val="000000"/>
              </w:rPr>
              <w:t>November 10, 2010</w:t>
            </w:r>
            <w:r w:rsidRPr="00BA3576">
              <w:rPr>
                <w:rFonts w:cs="Arial"/>
                <w:color w:val="000000"/>
              </w:rPr>
              <w:t xml:space="preserve"> (excluding production facilities)</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Prepare and implement an SPCC Plan before beginning operations</w:t>
            </w:r>
          </w:p>
        </w:tc>
      </w:tr>
      <w:tr w:rsidR="006563C6" w:rsidRPr="00BA3576" w:rsidTr="00FB6777">
        <w:trPr>
          <w:cantSplit/>
        </w:trPr>
        <w:tc>
          <w:tcPr>
            <w:tcW w:w="5670" w:type="dxa"/>
            <w:tcBorders>
              <w:top w:val="single" w:sz="7" w:space="0" w:color="000000"/>
              <w:left w:val="double" w:sz="7" w:space="0" w:color="000000"/>
              <w:bottom w:val="double" w:sz="12"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w:t>
            </w:r>
            <w:r w:rsidRPr="00BA3576">
              <w:rPr>
                <w:rStyle w:val="Strong"/>
                <w:rFonts w:cs="Arial"/>
                <w:color w:val="000000"/>
              </w:rPr>
              <w:t>November 10, 2010</w:t>
            </w:r>
            <w:r w:rsidRPr="00BA3576">
              <w:rPr>
                <w:rFonts w:cs="Arial"/>
                <w:color w:val="000000"/>
              </w:rPr>
              <w:t xml:space="preserve"> (production facilities)</w:t>
            </w:r>
          </w:p>
        </w:tc>
        <w:tc>
          <w:tcPr>
            <w:tcW w:w="4050" w:type="dxa"/>
            <w:tcBorders>
              <w:top w:val="single" w:sz="7" w:space="0" w:color="000000"/>
              <w:left w:val="single" w:sz="7" w:space="0" w:color="000000"/>
              <w:bottom w:val="double" w:sz="12" w:space="0" w:color="000000"/>
              <w:right w:val="double" w:sz="7" w:space="0" w:color="000000"/>
            </w:tcBorders>
            <w:vAlign w:val="center"/>
          </w:tcPr>
          <w:p w:rsidR="006563C6" w:rsidRPr="00BA3576" w:rsidRDefault="006563C6" w:rsidP="00FB6777">
            <w:pPr>
              <w:autoSpaceDE w:val="0"/>
              <w:autoSpaceDN w:val="0"/>
              <w:adjustRightInd w:val="0"/>
              <w:spacing w:before="60" w:after="60"/>
              <w:rPr>
                <w:rFonts w:cs="Arial"/>
              </w:rPr>
            </w:pPr>
            <w:r w:rsidRPr="00BA3576">
              <w:rPr>
                <w:rFonts w:cs="Arial"/>
                <w:color w:val="000000"/>
              </w:rPr>
              <w:t>Prepare and implement an SPCC Plan within six months after beginning operations.</w:t>
            </w:r>
          </w:p>
        </w:tc>
      </w:tr>
    </w:tbl>
    <w:p w:rsidR="006563C6" w:rsidRDefault="006563C6" w:rsidP="006563C6">
      <w:pPr>
        <w:pStyle w:val="BodyText"/>
        <w:spacing w:before="120"/>
        <w:ind w:firstLine="720"/>
      </w:pPr>
      <w:r w:rsidDel="00A5380A">
        <w:t>T</w:t>
      </w:r>
      <w:r>
        <w:t xml:space="preserve">he December 2008 rule amendments (73 FR 74236, December 5, 2008) allow new oil production facilities a period of six months after the start of operations to prepare and implement an SPCC Plan. A “new” oil production facility is one that becomes operational after the applicable compliance date, not an existing production facility (in operation prior to the compliance date) that has changed name, owner, operator, or equipment. </w:t>
      </w:r>
    </w:p>
    <w:tbl>
      <w:tblPr>
        <w:tblW w:w="972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5670"/>
        <w:gridCol w:w="4050"/>
      </w:tblGrid>
      <w:tr w:rsidR="006563C6" w:rsidTr="00FB6777">
        <w:trPr>
          <w:cantSplit/>
        </w:trPr>
        <w:tc>
          <w:tcPr>
            <w:tcW w:w="5670" w:type="dxa"/>
            <w:tcBorders>
              <w:top w:val="doub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i/>
              </w:rPr>
            </w:pPr>
            <w:r w:rsidRPr="00BA3576">
              <w:rPr>
                <w:rFonts w:cs="Arial"/>
                <w:b/>
                <w:i/>
              </w:rPr>
              <w:lastRenderedPageBreak/>
              <w:t>A</w:t>
            </w:r>
            <w:r>
              <w:rPr>
                <w:rFonts w:cs="Arial"/>
                <w:b/>
                <w:i/>
              </w:rPr>
              <w:t>ll other</w:t>
            </w:r>
            <w:r w:rsidRPr="00BA3576">
              <w:rPr>
                <w:rFonts w:cs="Arial"/>
                <w:b/>
                <w:i/>
              </w:rPr>
              <w:t xml:space="preserve"> facilit</w:t>
            </w:r>
            <w:r>
              <w:rPr>
                <w:rFonts w:cs="Arial"/>
                <w:b/>
                <w:i/>
              </w:rPr>
              <w:t>ies</w:t>
            </w:r>
            <w:r w:rsidRPr="00BA3576">
              <w:rPr>
                <w:rFonts w:cs="Arial"/>
                <w:b/>
                <w:i/>
              </w:rPr>
              <w:t xml:space="preserve"> starting operation...</w:t>
            </w:r>
          </w:p>
        </w:tc>
        <w:tc>
          <w:tcPr>
            <w:tcW w:w="4050" w:type="dxa"/>
            <w:tcBorders>
              <w:top w:val="doub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i/>
              </w:rPr>
            </w:pPr>
            <w:r w:rsidRPr="00BA3576">
              <w:rPr>
                <w:rFonts w:cs="Arial"/>
                <w:b/>
                <w:i/>
              </w:rPr>
              <w:t>Must...</w:t>
            </w:r>
          </w:p>
        </w:tc>
      </w:tr>
      <w:tr w:rsidR="006563C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after="120"/>
              <w:rPr>
                <w:rFonts w:cs="Arial"/>
              </w:rPr>
            </w:pPr>
            <w:r w:rsidRPr="00BA3576">
              <w:rPr>
                <w:rFonts w:cs="Arial"/>
                <w:color w:val="000000"/>
              </w:rPr>
              <w:t>On or before August 16, 2002</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Maintain its existing SPCC Plan</w:t>
            </w:r>
            <w:r w:rsidRPr="00BA3576">
              <w:rPr>
                <w:rFonts w:cs="Arial"/>
                <w:color w:val="000000"/>
              </w:rPr>
              <w:br/>
              <w:t xml:space="preserve">Amend and implement the amended SPCC Plan no later than </w:t>
            </w:r>
            <w:r w:rsidRPr="00BA3576">
              <w:rPr>
                <w:rStyle w:val="Strong"/>
                <w:rFonts w:cs="Arial"/>
                <w:color w:val="000000"/>
              </w:rPr>
              <w:t>November 10, 2011</w:t>
            </w:r>
          </w:p>
        </w:tc>
      </w:tr>
      <w:tr w:rsidR="006563C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August 16, 2002 through </w:t>
            </w:r>
            <w:r w:rsidRPr="00BA3576">
              <w:rPr>
                <w:rStyle w:val="Strong"/>
                <w:rFonts w:cs="Arial"/>
                <w:color w:val="000000"/>
              </w:rPr>
              <w:t>November 10, 2011</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Prepare and implement an SPCC Plan no later than </w:t>
            </w:r>
            <w:r w:rsidRPr="00BA3576">
              <w:rPr>
                <w:rStyle w:val="Strong"/>
                <w:rFonts w:cs="Arial"/>
                <w:color w:val="000000"/>
              </w:rPr>
              <w:t>November 10, 2011</w:t>
            </w:r>
          </w:p>
        </w:tc>
      </w:tr>
      <w:tr w:rsidR="006563C6" w:rsidTr="00FB6777">
        <w:trPr>
          <w:cantSplit/>
        </w:trPr>
        <w:tc>
          <w:tcPr>
            <w:tcW w:w="5670" w:type="dxa"/>
            <w:tcBorders>
              <w:top w:val="single" w:sz="7" w:space="0" w:color="000000"/>
              <w:left w:val="double" w:sz="7" w:space="0" w:color="000000"/>
              <w:bottom w:val="single" w:sz="7"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w:t>
            </w:r>
            <w:r w:rsidRPr="00BA3576">
              <w:rPr>
                <w:rStyle w:val="Strong"/>
                <w:rFonts w:cs="Arial"/>
                <w:color w:val="000000"/>
              </w:rPr>
              <w:t>November 10, 2011</w:t>
            </w:r>
            <w:r w:rsidRPr="00BA3576">
              <w:rPr>
                <w:rFonts w:cs="Arial"/>
                <w:color w:val="000000"/>
              </w:rPr>
              <w:t xml:space="preserve"> (excluding production facilities)</w:t>
            </w:r>
            <w:r w:rsidRPr="00BA3576">
              <w:rPr>
                <w:rFonts w:cs="Arial"/>
              </w:rPr>
              <w:t xml:space="preserve"> </w:t>
            </w:r>
          </w:p>
        </w:tc>
        <w:tc>
          <w:tcPr>
            <w:tcW w:w="4050" w:type="dxa"/>
            <w:tcBorders>
              <w:top w:val="single" w:sz="7" w:space="0" w:color="000000"/>
              <w:left w:val="single" w:sz="7" w:space="0" w:color="000000"/>
              <w:bottom w:val="single" w:sz="7" w:space="0" w:color="000000"/>
              <w:right w:val="doub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Prepare and implement an SPCC Plan before beginning operations</w:t>
            </w:r>
          </w:p>
        </w:tc>
      </w:tr>
      <w:tr w:rsidR="006563C6" w:rsidTr="00FB6777">
        <w:trPr>
          <w:cantSplit/>
        </w:trPr>
        <w:tc>
          <w:tcPr>
            <w:tcW w:w="5670" w:type="dxa"/>
            <w:tcBorders>
              <w:top w:val="single" w:sz="7" w:space="0" w:color="000000"/>
              <w:left w:val="double" w:sz="7" w:space="0" w:color="000000"/>
              <w:bottom w:val="double" w:sz="12" w:space="0" w:color="000000"/>
              <w:right w:val="single" w:sz="7" w:space="0" w:color="000000"/>
            </w:tcBorders>
            <w:vAlign w:val="center"/>
          </w:tcPr>
          <w:p w:rsidR="006563C6" w:rsidRPr="00BA3576" w:rsidRDefault="006563C6" w:rsidP="00FB6777">
            <w:pPr>
              <w:keepNext/>
              <w:keepLines/>
              <w:spacing w:before="60" w:after="60"/>
              <w:rPr>
                <w:rFonts w:cs="Arial"/>
              </w:rPr>
            </w:pPr>
            <w:r w:rsidRPr="00BA3576">
              <w:rPr>
                <w:rFonts w:cs="Arial"/>
                <w:color w:val="000000"/>
              </w:rPr>
              <w:t xml:space="preserve">After </w:t>
            </w:r>
            <w:r w:rsidRPr="00BA3576">
              <w:rPr>
                <w:rStyle w:val="Strong"/>
                <w:rFonts w:cs="Arial"/>
                <w:color w:val="000000"/>
              </w:rPr>
              <w:t>November 10, 2011</w:t>
            </w:r>
            <w:r w:rsidRPr="00BA3576">
              <w:rPr>
                <w:rFonts w:cs="Arial"/>
                <w:color w:val="000000"/>
              </w:rPr>
              <w:t xml:space="preserve"> (production facilities)</w:t>
            </w:r>
            <w:r w:rsidRPr="00BA3576">
              <w:rPr>
                <w:rFonts w:cs="Arial"/>
              </w:rPr>
              <w:t xml:space="preserve"> </w:t>
            </w:r>
          </w:p>
        </w:tc>
        <w:tc>
          <w:tcPr>
            <w:tcW w:w="4050" w:type="dxa"/>
            <w:tcBorders>
              <w:top w:val="single" w:sz="7" w:space="0" w:color="000000"/>
              <w:left w:val="single" w:sz="7" w:space="0" w:color="000000"/>
              <w:bottom w:val="double" w:sz="12" w:space="0" w:color="000000"/>
              <w:right w:val="double" w:sz="7" w:space="0" w:color="000000"/>
            </w:tcBorders>
            <w:vAlign w:val="center"/>
          </w:tcPr>
          <w:p w:rsidR="006563C6" w:rsidRPr="00BA3576" w:rsidRDefault="006563C6" w:rsidP="00FB6777">
            <w:pPr>
              <w:autoSpaceDE w:val="0"/>
              <w:autoSpaceDN w:val="0"/>
              <w:adjustRightInd w:val="0"/>
              <w:spacing w:before="60" w:after="60"/>
              <w:rPr>
                <w:rFonts w:cs="Arial"/>
              </w:rPr>
            </w:pPr>
            <w:r w:rsidRPr="00BA3576">
              <w:rPr>
                <w:rFonts w:cs="Arial"/>
                <w:color w:val="000000"/>
              </w:rPr>
              <w:t>Prepare and implement an SPCC Plan within six months after beginning operations.</w:t>
            </w:r>
          </w:p>
        </w:tc>
      </w:tr>
      <w:tr w:rsidR="006563C6" w:rsidTr="00FB6777">
        <w:trPr>
          <w:cantSplit/>
        </w:trPr>
        <w:tc>
          <w:tcPr>
            <w:tcW w:w="9720" w:type="dxa"/>
            <w:gridSpan w:val="2"/>
            <w:tcBorders>
              <w:top w:val="double" w:sz="12" w:space="0" w:color="000000"/>
              <w:left w:val="nil"/>
              <w:bottom w:val="nil"/>
              <w:right w:val="nil"/>
            </w:tcBorders>
          </w:tcPr>
          <w:p w:rsidR="006563C6" w:rsidRPr="002E3A6D" w:rsidRDefault="006563C6" w:rsidP="00FB6777">
            <w:pPr>
              <w:autoSpaceDE w:val="0"/>
              <w:autoSpaceDN w:val="0"/>
              <w:adjustRightInd w:val="0"/>
              <w:rPr>
                <w:rFonts w:cs="Arial"/>
                <w:sz w:val="18"/>
                <w:szCs w:val="18"/>
              </w:rPr>
            </w:pPr>
          </w:p>
        </w:tc>
      </w:tr>
    </w:tbl>
    <w:p w:rsidR="006563C6" w:rsidRDefault="006563C6" w:rsidP="006563C6">
      <w:pPr>
        <w:pStyle w:val="BodyText"/>
        <w:ind w:firstLine="720"/>
        <w:rPr>
          <w:color w:val="000000"/>
        </w:rPr>
      </w:pPr>
      <w:r>
        <w:rPr>
          <w:color w:val="000000"/>
        </w:rPr>
        <w:t>The</w:t>
      </w:r>
      <w:r w:rsidRPr="00932D80">
        <w:rPr>
          <w:color w:val="000000"/>
        </w:rPr>
        <w:t xml:space="preserve"> compliance date amendments </w:t>
      </w:r>
      <w:r>
        <w:rPr>
          <w:color w:val="000000"/>
        </w:rPr>
        <w:t xml:space="preserve">described above </w:t>
      </w:r>
      <w:r w:rsidRPr="00932D80">
        <w:rPr>
          <w:color w:val="000000"/>
        </w:rPr>
        <w:t xml:space="preserve">affect only requirements of the rule amendments </w:t>
      </w:r>
      <w:r>
        <w:rPr>
          <w:color w:val="000000"/>
        </w:rPr>
        <w:t xml:space="preserve">(67 FR 47042, July 17, 2002; </w:t>
      </w:r>
      <w:r w:rsidRPr="00932D80">
        <w:rPr>
          <w:color w:val="000000"/>
        </w:rPr>
        <w:t>71 FR 77266</w:t>
      </w:r>
      <w:r>
        <w:rPr>
          <w:color w:val="000000"/>
        </w:rPr>
        <w:t xml:space="preserve">, </w:t>
      </w:r>
      <w:r w:rsidRPr="00932D80">
        <w:rPr>
          <w:color w:val="000000"/>
        </w:rPr>
        <w:t>December 26, 2006</w:t>
      </w:r>
      <w:r>
        <w:rPr>
          <w:color w:val="000000"/>
        </w:rPr>
        <w:t xml:space="preserve">; </w:t>
      </w:r>
      <w:r>
        <w:t>73 FR 74236, December 5, 2008; and 74 FR 58784, November 13, 2009</w:t>
      </w:r>
      <w:r w:rsidRPr="00932D80">
        <w:rPr>
          <w:color w:val="000000"/>
        </w:rPr>
        <w:t>) that impose new or more stringent compliance obligations than did the</w:t>
      </w:r>
      <w:r>
        <w:rPr>
          <w:color w:val="000000"/>
        </w:rPr>
        <w:t xml:space="preserve"> original</w:t>
      </w:r>
      <w:r w:rsidRPr="00932D80">
        <w:rPr>
          <w:color w:val="000000"/>
        </w:rPr>
        <w:t xml:space="preserve"> 1973 SPCC rule.</w:t>
      </w:r>
      <w:r>
        <w:rPr>
          <w:color w:val="000000"/>
        </w:rPr>
        <w:t xml:space="preserve"> </w:t>
      </w:r>
      <w:r w:rsidRPr="00932D80">
        <w:rPr>
          <w:color w:val="000000"/>
        </w:rPr>
        <w:t xml:space="preserve">Provisions in these amendments that provide regulatory relief are not affected by these compliance date amendments because they would not </w:t>
      </w:r>
      <w:r>
        <w:rPr>
          <w:color w:val="000000"/>
        </w:rPr>
        <w:t xml:space="preserve">typically </w:t>
      </w:r>
      <w:r w:rsidRPr="00932D80">
        <w:rPr>
          <w:color w:val="000000"/>
        </w:rPr>
        <w:t>require amendments to existing Plans ‘‘to ensure compliance’’ (</w:t>
      </w:r>
      <w:r w:rsidRPr="002C03A7">
        <w:rPr>
          <w:iCs/>
          <w:color w:val="000000"/>
        </w:rPr>
        <w:t>see</w:t>
      </w:r>
      <w:r w:rsidRPr="00932D80">
        <w:rPr>
          <w:i/>
          <w:iCs/>
          <w:color w:val="000000"/>
        </w:rPr>
        <w:t xml:space="preserve"> </w:t>
      </w:r>
      <w:r w:rsidRPr="00932D80">
        <w:rPr>
          <w:color w:val="000000"/>
        </w:rPr>
        <w:t>§112.3).</w:t>
      </w:r>
      <w:r>
        <w:rPr>
          <w:color w:val="000000"/>
        </w:rPr>
        <w:t xml:space="preserve"> </w:t>
      </w:r>
      <w:r w:rsidRPr="00932D80">
        <w:rPr>
          <w:color w:val="000000"/>
        </w:rPr>
        <w:t>Provisions in these amendments that provide regulatory relief to facilities are applicable as of the effective date of the amendment.</w:t>
      </w:r>
      <w:r>
        <w:rPr>
          <w:color w:val="000000"/>
        </w:rPr>
        <w:t xml:space="preserve"> </w:t>
      </w:r>
    </w:p>
    <w:p w:rsidR="006563C6" w:rsidRDefault="006563C6" w:rsidP="006563C6">
      <w:pPr>
        <w:pStyle w:val="BodyText"/>
        <w:rPr>
          <w:color w:val="000000"/>
        </w:rPr>
      </w:pPr>
    </w:p>
    <w:p w:rsidR="00D85665" w:rsidRPr="00854FC2" w:rsidRDefault="005B2180">
      <w:pPr>
        <w:pStyle w:val="BodyText"/>
        <w:numPr>
          <w:ilvl w:val="12"/>
          <w:numId w:val="0"/>
        </w:numPr>
        <w:tabs>
          <w:tab w:val="left" w:pos="0"/>
          <w:tab w:val="left" w:pos="720"/>
          <w:tab w:val="left" w:pos="1440"/>
          <w:tab w:val="left" w:pos="2160"/>
        </w:tabs>
      </w:pPr>
      <w:r>
        <w:tab/>
      </w:r>
      <w:r w:rsidR="00D85665" w:rsidRPr="00854FC2">
        <w:t xml:space="preserve">The owner or operator must review the SPCC Plan once every five years.  A periodic review is necessary to ensure that SPCC Plans reflect currently available and proven technology and techniques for preventing and controlling oil discharges.  </w:t>
      </w:r>
    </w:p>
    <w:p w:rsidR="00D85665" w:rsidRPr="00854FC2" w:rsidRDefault="00D85665">
      <w:pPr>
        <w:numPr>
          <w:ilvl w:val="12"/>
          <w:numId w:val="0"/>
        </w:numPr>
        <w:tabs>
          <w:tab w:val="left" w:pos="0"/>
          <w:tab w:val="left" w:pos="720"/>
          <w:tab w:val="left" w:pos="1440"/>
          <w:tab w:val="left" w:pos="2160"/>
        </w:tabs>
        <w:rPr>
          <w:rFonts w:cs="Arial"/>
          <w:szCs w:val="22"/>
        </w:rPr>
      </w:pPr>
    </w:p>
    <w:p w:rsidR="00D85665" w:rsidRPr="00854FC2" w:rsidRDefault="00D85665">
      <w:pPr>
        <w:keepNext/>
        <w:keepLines/>
        <w:numPr>
          <w:ilvl w:val="12"/>
          <w:numId w:val="0"/>
        </w:numPr>
        <w:tabs>
          <w:tab w:val="left" w:pos="0"/>
          <w:tab w:val="left" w:pos="720"/>
          <w:tab w:val="left" w:pos="1440"/>
          <w:tab w:val="left" w:pos="2160"/>
        </w:tabs>
        <w:rPr>
          <w:rFonts w:cs="Arial"/>
          <w:b/>
          <w:bCs/>
          <w:szCs w:val="22"/>
        </w:rPr>
      </w:pPr>
      <w:r w:rsidRPr="00854FC2">
        <w:rPr>
          <w:rFonts w:cs="Arial"/>
          <w:b/>
          <w:bCs/>
          <w:szCs w:val="22"/>
        </w:rPr>
        <w:t>6.</w:t>
      </w:r>
      <w:r w:rsidRPr="00854FC2">
        <w:rPr>
          <w:rFonts w:cs="Arial"/>
          <w:b/>
          <w:bCs/>
          <w:color w:val="00FF00"/>
          <w:szCs w:val="22"/>
        </w:rPr>
        <w:tab/>
      </w:r>
      <w:r w:rsidRPr="00854FC2">
        <w:rPr>
          <w:rFonts w:cs="Arial"/>
          <w:b/>
          <w:bCs/>
          <w:szCs w:val="22"/>
        </w:rPr>
        <w:t>ESTIMATING THE BURDEN AND COST OF THE COLLECTION</w:t>
      </w:r>
    </w:p>
    <w:p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szCs w:val="22"/>
        </w:rPr>
        <w:t xml:space="preserve">  </w:t>
      </w:r>
    </w:p>
    <w:p w:rsidR="00D85665" w:rsidRPr="00854FC2" w:rsidRDefault="00D85665">
      <w:pPr>
        <w:keepNext/>
        <w:keepLines/>
        <w:numPr>
          <w:ilvl w:val="12"/>
          <w:numId w:val="0"/>
        </w:numPr>
        <w:tabs>
          <w:tab w:val="left" w:pos="0"/>
          <w:tab w:val="left" w:pos="720"/>
          <w:tab w:val="left" w:pos="1440"/>
          <w:tab w:val="left" w:pos="2160"/>
        </w:tabs>
        <w:ind w:left="720"/>
        <w:rPr>
          <w:rFonts w:cs="Arial"/>
          <w:b/>
          <w:bCs/>
          <w:szCs w:val="22"/>
        </w:rPr>
      </w:pPr>
      <w:r w:rsidRPr="00854FC2">
        <w:rPr>
          <w:rFonts w:cs="Arial"/>
          <w:b/>
          <w:bCs/>
          <w:szCs w:val="22"/>
        </w:rPr>
        <w:t>6(a)</w:t>
      </w:r>
      <w:r w:rsidR="00E44712">
        <w:rPr>
          <w:rFonts w:cs="Arial"/>
          <w:b/>
          <w:bCs/>
          <w:szCs w:val="22"/>
        </w:rPr>
        <w:t xml:space="preserve"> </w:t>
      </w:r>
      <w:r w:rsidRPr="00854FC2">
        <w:rPr>
          <w:rFonts w:cs="Arial"/>
          <w:b/>
          <w:bCs/>
          <w:szCs w:val="22"/>
        </w:rPr>
        <w:t>Estimating Respondent Burden</w:t>
      </w:r>
    </w:p>
    <w:p w:rsidR="00D85665" w:rsidRPr="00854FC2" w:rsidRDefault="00D85665">
      <w:pPr>
        <w:keepNext/>
        <w:keepLines/>
        <w:numPr>
          <w:ilvl w:val="12"/>
          <w:numId w:val="0"/>
        </w:numPr>
        <w:tabs>
          <w:tab w:val="left" w:pos="0"/>
          <w:tab w:val="left" w:pos="720"/>
          <w:tab w:val="left" w:pos="1440"/>
          <w:tab w:val="left" w:pos="2160"/>
        </w:tabs>
        <w:rPr>
          <w:rFonts w:cs="Arial"/>
          <w:szCs w:val="22"/>
        </w:rPr>
      </w:pPr>
    </w:p>
    <w:p w:rsidR="00D85665" w:rsidRPr="00854FC2" w:rsidRDefault="002348E6" w:rsidP="00A15DF0">
      <w:pPr>
        <w:outlineLvl w:val="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ab/>
      </w:r>
      <w:r w:rsidR="00D85665" w:rsidRPr="00854FC2">
        <w:rPr>
          <w:rFonts w:cs="Arial"/>
          <w:szCs w:val="22"/>
          <w:u w:val="single"/>
        </w:rPr>
        <w:t>Facility Characteristics</w:t>
      </w:r>
    </w:p>
    <w:p w:rsidR="00D85665" w:rsidRPr="00854FC2" w:rsidRDefault="00D85665">
      <w:pPr>
        <w:rPr>
          <w:rFonts w:cs="Arial"/>
          <w:szCs w:val="22"/>
        </w:rPr>
      </w:pPr>
    </w:p>
    <w:p w:rsidR="00D85665" w:rsidRPr="00854FC2" w:rsidRDefault="00D85665" w:rsidP="005B2180">
      <w:pPr>
        <w:ind w:firstLine="720"/>
        <w:rPr>
          <w:rFonts w:cs="Arial"/>
          <w:szCs w:val="22"/>
        </w:rPr>
      </w:pPr>
      <w:r w:rsidRPr="00854FC2">
        <w:rPr>
          <w:rFonts w:cs="Arial"/>
          <w:szCs w:val="22"/>
        </w:rPr>
        <w:t xml:space="preserve">For the purpose of this analysis, EPA divided regulated facilities into four size categories based on their aggregate oil storage capacity (see </w:t>
      </w:r>
      <w:fldSimple w:instr=" REF _Ref141689305  \* MERGEFORMAT ">
        <w:r w:rsidR="00F61EFD" w:rsidRPr="00854FC2">
          <w:t xml:space="preserve">Exhibit </w:t>
        </w:r>
        <w:r w:rsidR="00F61EFD">
          <w:rPr>
            <w:noProof/>
          </w:rPr>
          <w:t>2</w:t>
        </w:r>
      </w:fldSimple>
      <w:r w:rsidRPr="00854FC2">
        <w:rPr>
          <w:rFonts w:cs="Arial"/>
          <w:szCs w:val="22"/>
        </w:rPr>
        <w:t xml:space="preserve">). These size categories help to (1) account for differences in the potential compliance </w:t>
      </w:r>
      <w:r w:rsidR="002F4F1C">
        <w:rPr>
          <w:rFonts w:cs="Arial"/>
          <w:szCs w:val="22"/>
        </w:rPr>
        <w:t xml:space="preserve">time </w:t>
      </w:r>
      <w:r w:rsidR="004A7C83">
        <w:rPr>
          <w:rFonts w:cs="Arial"/>
          <w:szCs w:val="22"/>
        </w:rPr>
        <w:t xml:space="preserve">burden and </w:t>
      </w:r>
      <w:r w:rsidRPr="00854FC2">
        <w:rPr>
          <w:rFonts w:cs="Arial"/>
          <w:szCs w:val="22"/>
        </w:rPr>
        <w:t xml:space="preserve">costs experienced by facilities of different sizes and (2) determine the number of facilities affected by each of the changes based on facility’s storage capacity.  </w:t>
      </w:r>
    </w:p>
    <w:p w:rsidR="00D85665" w:rsidRPr="00854FC2" w:rsidRDefault="00D85665">
      <w:pPr>
        <w:rPr>
          <w:rFonts w:cs="Arial"/>
          <w:szCs w:val="22"/>
        </w:rPr>
      </w:pPr>
    </w:p>
    <w:tbl>
      <w:tblPr>
        <w:tblW w:w="6204" w:type="dxa"/>
        <w:jc w:val="center"/>
        <w:tblCellMar>
          <w:left w:w="0" w:type="dxa"/>
          <w:right w:w="0" w:type="dxa"/>
        </w:tblCellMar>
        <w:tblLook w:val="0000"/>
      </w:tblPr>
      <w:tblGrid>
        <w:gridCol w:w="2086"/>
        <w:gridCol w:w="4118"/>
      </w:tblGrid>
      <w:tr w:rsidR="00D85665" w:rsidRPr="00854FC2">
        <w:trPr>
          <w:trHeight w:val="315"/>
          <w:jc w:val="center"/>
        </w:trPr>
        <w:tc>
          <w:tcPr>
            <w:tcW w:w="0" w:type="auto"/>
            <w:gridSpan w:val="2"/>
            <w:tcBorders>
              <w:top w:val="nil"/>
              <w:left w:val="nil"/>
              <w:right w:val="nil"/>
            </w:tcBorders>
            <w:noWrap/>
            <w:vAlign w:val="center"/>
          </w:tcPr>
          <w:p w:rsidR="00D85665" w:rsidRPr="00854FC2" w:rsidRDefault="00D85665" w:rsidP="00131227">
            <w:pPr>
              <w:pStyle w:val="Caption"/>
              <w:keepNext/>
              <w:keepLines/>
              <w:rPr>
                <w:rFonts w:eastAsia="Arial Unicode MS"/>
              </w:rPr>
            </w:pPr>
            <w:bookmarkStart w:id="2" w:name="_Ref141689305"/>
            <w:r w:rsidRPr="00854FC2">
              <w:lastRenderedPageBreak/>
              <w:t xml:space="preserve">Exhibit </w:t>
            </w:r>
            <w:r w:rsidR="002348E6">
              <w:fldChar w:fldCharType="begin"/>
            </w:r>
            <w:r w:rsidR="002348E6">
              <w:instrText xml:space="preserve"> SEQ Exhibit \* ARABIC </w:instrText>
            </w:r>
            <w:r w:rsidR="002348E6">
              <w:fldChar w:fldCharType="separate"/>
            </w:r>
            <w:r w:rsidR="00F61EFD">
              <w:rPr>
                <w:noProof/>
              </w:rPr>
              <w:t>2</w:t>
            </w:r>
            <w:r w:rsidR="002348E6">
              <w:fldChar w:fldCharType="end"/>
            </w:r>
            <w:bookmarkEnd w:id="2"/>
          </w:p>
        </w:tc>
      </w:tr>
      <w:tr w:rsidR="00D85665" w:rsidRPr="00854FC2">
        <w:trPr>
          <w:cantSplit/>
          <w:jc w:val="center"/>
        </w:trPr>
        <w:tc>
          <w:tcPr>
            <w:tcW w:w="0" w:type="auto"/>
            <w:gridSpan w:val="2"/>
            <w:tcBorders>
              <w:bottom w:val="double" w:sz="6" w:space="0" w:color="auto"/>
            </w:tcBorders>
            <w:noWrap/>
            <w:tcMar>
              <w:top w:w="29" w:type="dxa"/>
              <w:left w:w="29" w:type="dxa"/>
              <w:bottom w:w="29" w:type="dxa"/>
              <w:right w:w="29" w:type="dxa"/>
            </w:tcMar>
            <w:vAlign w:val="center"/>
          </w:tcPr>
          <w:p w:rsidR="00D85665" w:rsidRPr="00854FC2" w:rsidRDefault="00D85665" w:rsidP="00131227">
            <w:pPr>
              <w:keepNext/>
              <w:keepLines/>
              <w:jc w:val="center"/>
              <w:rPr>
                <w:rFonts w:eastAsia="Arial Unicode MS" w:cs="Arial"/>
                <w:b/>
                <w:bCs/>
                <w:sz w:val="20"/>
                <w:szCs w:val="20"/>
              </w:rPr>
            </w:pPr>
            <w:r w:rsidRPr="00854FC2">
              <w:rPr>
                <w:rFonts w:cs="Arial"/>
                <w:b/>
                <w:bCs/>
                <w:sz w:val="20"/>
                <w:szCs w:val="20"/>
              </w:rPr>
              <w:t>SPCC-Regulated Facility Size Categories</w:t>
            </w:r>
          </w:p>
        </w:tc>
      </w:tr>
      <w:tr w:rsidR="00D85665" w:rsidRPr="00854FC2">
        <w:trPr>
          <w:cantSplit/>
          <w:jc w:val="center"/>
        </w:trPr>
        <w:tc>
          <w:tcPr>
            <w:tcW w:w="0" w:type="auto"/>
            <w:tcBorders>
              <w:top w:val="nil"/>
              <w:left w:val="double" w:sz="6" w:space="0" w:color="auto"/>
              <w:bottom w:val="double" w:sz="6" w:space="0" w:color="auto"/>
              <w:right w:val="single" w:sz="4" w:space="0" w:color="000000"/>
            </w:tcBorders>
            <w:noWrap/>
            <w:tcMar>
              <w:top w:w="29" w:type="dxa"/>
              <w:left w:w="29" w:type="dxa"/>
              <w:bottom w:w="29" w:type="dxa"/>
              <w:right w:w="29" w:type="dxa"/>
            </w:tcMar>
            <w:vAlign w:val="center"/>
          </w:tcPr>
          <w:p w:rsidR="00D85665" w:rsidRPr="00854FC2" w:rsidRDefault="00D85665" w:rsidP="00131227">
            <w:pPr>
              <w:pStyle w:val="Heading1"/>
              <w:numPr>
                <w:ilvl w:val="0"/>
                <w:numId w:val="0"/>
              </w:numPr>
              <w:rPr>
                <w:rFonts w:eastAsia="Arial Unicode MS"/>
                <w:sz w:val="20"/>
                <w:szCs w:val="20"/>
              </w:rPr>
            </w:pPr>
            <w:r w:rsidRPr="00854FC2">
              <w:rPr>
                <w:sz w:val="20"/>
                <w:szCs w:val="20"/>
              </w:rPr>
              <w:t>Size Category</w:t>
            </w:r>
          </w:p>
        </w:tc>
        <w:tc>
          <w:tcPr>
            <w:tcW w:w="0" w:type="auto"/>
            <w:tcBorders>
              <w:top w:val="nil"/>
              <w:left w:val="nil"/>
              <w:bottom w:val="double" w:sz="6" w:space="0" w:color="000000"/>
              <w:right w:val="double" w:sz="6" w:space="0" w:color="auto"/>
            </w:tcBorders>
            <w:noWrap/>
            <w:tcMar>
              <w:top w:w="29" w:type="dxa"/>
              <w:left w:w="29" w:type="dxa"/>
              <w:bottom w:w="29" w:type="dxa"/>
              <w:right w:w="29" w:type="dxa"/>
            </w:tcMar>
            <w:vAlign w:val="center"/>
          </w:tcPr>
          <w:p w:rsidR="00D85665" w:rsidRPr="00854FC2" w:rsidRDefault="00D85665" w:rsidP="00131227">
            <w:pPr>
              <w:keepNext/>
              <w:keepLines/>
              <w:jc w:val="center"/>
              <w:rPr>
                <w:rFonts w:eastAsia="Arial Unicode MS" w:cs="Arial"/>
                <w:b/>
                <w:bCs/>
                <w:sz w:val="20"/>
                <w:szCs w:val="20"/>
              </w:rPr>
            </w:pPr>
            <w:r w:rsidRPr="00854FC2">
              <w:rPr>
                <w:rFonts w:cs="Arial"/>
                <w:b/>
                <w:bCs/>
                <w:sz w:val="20"/>
                <w:szCs w:val="20"/>
              </w:rPr>
              <w:t>Aggregate Capacity</w:t>
            </w:r>
          </w:p>
        </w:tc>
      </w:tr>
      <w:tr w:rsidR="00D85665" w:rsidRPr="00854FC2">
        <w:trPr>
          <w:cantSplit/>
          <w:jc w:val="center"/>
        </w:trPr>
        <w:tc>
          <w:tcPr>
            <w:tcW w:w="0" w:type="auto"/>
            <w:tcBorders>
              <w:top w:val="double" w:sz="6"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rsidR="00D85665" w:rsidRPr="00854FC2" w:rsidRDefault="00D85665" w:rsidP="00131227">
            <w:pPr>
              <w:keepNext/>
              <w:keepLines/>
              <w:jc w:val="center"/>
              <w:rPr>
                <w:rFonts w:eastAsia="Arial Unicode MS" w:cs="Arial"/>
                <w:sz w:val="20"/>
                <w:szCs w:val="20"/>
              </w:rPr>
            </w:pPr>
            <w:r w:rsidRPr="00854FC2">
              <w:rPr>
                <w:rFonts w:cs="Arial"/>
                <w:sz w:val="20"/>
                <w:szCs w:val="20"/>
              </w:rPr>
              <w:t>I</w:t>
            </w:r>
          </w:p>
        </w:tc>
        <w:tc>
          <w:tcPr>
            <w:tcW w:w="0" w:type="auto"/>
            <w:tcBorders>
              <w:top w:val="nil"/>
              <w:left w:val="nil"/>
              <w:bottom w:val="single" w:sz="4" w:space="0" w:color="auto"/>
              <w:right w:val="double" w:sz="6" w:space="0" w:color="auto"/>
            </w:tcBorders>
            <w:noWrap/>
            <w:tcMar>
              <w:top w:w="29" w:type="dxa"/>
              <w:left w:w="29" w:type="dxa"/>
              <w:bottom w:w="29" w:type="dxa"/>
              <w:right w:w="29" w:type="dxa"/>
            </w:tcMar>
            <w:vAlign w:val="center"/>
          </w:tcPr>
          <w:p w:rsidR="00D85665" w:rsidRPr="00854FC2" w:rsidRDefault="00D85665" w:rsidP="00131227">
            <w:pPr>
              <w:keepNext/>
              <w:keepLines/>
              <w:rPr>
                <w:rFonts w:eastAsia="Arial Unicode MS" w:cs="Arial"/>
                <w:sz w:val="20"/>
                <w:szCs w:val="20"/>
              </w:rPr>
            </w:pPr>
            <w:r w:rsidRPr="00854FC2">
              <w:rPr>
                <w:rFonts w:cs="Arial"/>
                <w:sz w:val="20"/>
                <w:szCs w:val="20"/>
              </w:rPr>
              <w:t xml:space="preserve">  1,321 to 10,000 gallons</w:t>
            </w:r>
          </w:p>
        </w:tc>
      </w:tr>
      <w:tr w:rsidR="00D85665" w:rsidRPr="00854FC2">
        <w:trPr>
          <w:cantSplit/>
          <w:jc w:val="center"/>
        </w:trPr>
        <w:tc>
          <w:tcPr>
            <w:tcW w:w="0" w:type="auto"/>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rsidR="00D85665" w:rsidRPr="00854FC2" w:rsidRDefault="00D85665" w:rsidP="00131227">
            <w:pPr>
              <w:keepNext/>
              <w:keepLines/>
              <w:jc w:val="center"/>
              <w:rPr>
                <w:rFonts w:eastAsia="Arial Unicode MS" w:cs="Arial"/>
                <w:sz w:val="20"/>
                <w:szCs w:val="20"/>
              </w:rPr>
            </w:pPr>
            <w:r w:rsidRPr="00854FC2">
              <w:rPr>
                <w:rFonts w:cs="Arial"/>
                <w:sz w:val="20"/>
                <w:szCs w:val="20"/>
              </w:rPr>
              <w:t>II</w:t>
            </w:r>
          </w:p>
        </w:tc>
        <w:tc>
          <w:tcPr>
            <w:tcW w:w="0" w:type="auto"/>
            <w:tcBorders>
              <w:top w:val="nil"/>
              <w:left w:val="nil"/>
              <w:bottom w:val="nil"/>
              <w:right w:val="double" w:sz="6" w:space="0" w:color="auto"/>
            </w:tcBorders>
            <w:noWrap/>
            <w:tcMar>
              <w:top w:w="29" w:type="dxa"/>
              <w:left w:w="29" w:type="dxa"/>
              <w:bottom w:w="29" w:type="dxa"/>
              <w:right w:w="29" w:type="dxa"/>
            </w:tcMar>
            <w:vAlign w:val="center"/>
          </w:tcPr>
          <w:p w:rsidR="00D85665" w:rsidRPr="00854FC2" w:rsidRDefault="00D85665" w:rsidP="00131227">
            <w:pPr>
              <w:keepNext/>
              <w:keepLines/>
              <w:rPr>
                <w:rFonts w:eastAsia="Arial Unicode MS" w:cs="Arial"/>
                <w:sz w:val="20"/>
                <w:szCs w:val="20"/>
              </w:rPr>
            </w:pPr>
            <w:r w:rsidRPr="00854FC2">
              <w:rPr>
                <w:rFonts w:cs="Arial"/>
                <w:sz w:val="20"/>
                <w:szCs w:val="20"/>
              </w:rPr>
              <w:t xml:space="preserve">  10,001 to 42,000 gallons</w:t>
            </w:r>
          </w:p>
        </w:tc>
      </w:tr>
      <w:tr w:rsidR="00D85665" w:rsidRPr="00854FC2">
        <w:trPr>
          <w:cantSplit/>
          <w:jc w:val="center"/>
        </w:trPr>
        <w:tc>
          <w:tcPr>
            <w:tcW w:w="0" w:type="auto"/>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rsidR="00D85665" w:rsidRPr="00854FC2" w:rsidRDefault="00D85665" w:rsidP="00131227">
            <w:pPr>
              <w:keepNext/>
              <w:keepLines/>
              <w:jc w:val="center"/>
              <w:rPr>
                <w:rFonts w:eastAsia="Arial Unicode MS" w:cs="Arial"/>
                <w:sz w:val="20"/>
                <w:szCs w:val="20"/>
              </w:rPr>
            </w:pPr>
            <w:r w:rsidRPr="00854FC2">
              <w:rPr>
                <w:rFonts w:cs="Arial"/>
                <w:sz w:val="20"/>
                <w:szCs w:val="20"/>
              </w:rPr>
              <w:t>III</w:t>
            </w:r>
          </w:p>
        </w:tc>
        <w:tc>
          <w:tcPr>
            <w:tcW w:w="0" w:type="auto"/>
            <w:tcBorders>
              <w:top w:val="single" w:sz="4" w:space="0" w:color="000000"/>
              <w:left w:val="nil"/>
              <w:bottom w:val="single" w:sz="4" w:space="0" w:color="000000"/>
              <w:right w:val="double" w:sz="6" w:space="0" w:color="auto"/>
            </w:tcBorders>
            <w:noWrap/>
            <w:tcMar>
              <w:top w:w="29" w:type="dxa"/>
              <w:left w:w="29" w:type="dxa"/>
              <w:bottom w:w="29" w:type="dxa"/>
              <w:right w:w="29" w:type="dxa"/>
            </w:tcMar>
            <w:vAlign w:val="center"/>
          </w:tcPr>
          <w:p w:rsidR="00D85665" w:rsidRPr="00854FC2" w:rsidRDefault="00D85665" w:rsidP="00131227">
            <w:pPr>
              <w:keepNext/>
              <w:keepLines/>
              <w:rPr>
                <w:rFonts w:eastAsia="Arial Unicode MS" w:cs="Arial"/>
                <w:sz w:val="20"/>
                <w:szCs w:val="20"/>
              </w:rPr>
            </w:pPr>
            <w:r w:rsidRPr="00854FC2">
              <w:rPr>
                <w:rFonts w:cs="Arial"/>
                <w:sz w:val="20"/>
                <w:szCs w:val="20"/>
              </w:rPr>
              <w:t xml:space="preserve">  42,001 to 1 million gallons</w:t>
            </w:r>
          </w:p>
        </w:tc>
      </w:tr>
      <w:tr w:rsidR="00D85665" w:rsidRPr="00854FC2">
        <w:trPr>
          <w:cantSplit/>
          <w:jc w:val="center"/>
        </w:trPr>
        <w:tc>
          <w:tcPr>
            <w:tcW w:w="0" w:type="auto"/>
            <w:tcBorders>
              <w:top w:val="single" w:sz="4" w:space="0" w:color="auto"/>
              <w:left w:val="double" w:sz="6" w:space="0" w:color="auto"/>
              <w:bottom w:val="double" w:sz="6" w:space="0" w:color="auto"/>
              <w:right w:val="single" w:sz="4" w:space="0" w:color="000000"/>
            </w:tcBorders>
            <w:noWrap/>
            <w:tcMar>
              <w:top w:w="29" w:type="dxa"/>
              <w:left w:w="29" w:type="dxa"/>
              <w:bottom w:w="29" w:type="dxa"/>
              <w:right w:w="29" w:type="dxa"/>
            </w:tcMar>
            <w:vAlign w:val="center"/>
          </w:tcPr>
          <w:p w:rsidR="00D85665" w:rsidRPr="00854FC2" w:rsidRDefault="00D85665" w:rsidP="00131227">
            <w:pPr>
              <w:keepNext/>
              <w:keepLines/>
              <w:jc w:val="center"/>
              <w:rPr>
                <w:rFonts w:eastAsia="Arial Unicode MS" w:cs="Arial"/>
                <w:sz w:val="20"/>
                <w:szCs w:val="20"/>
              </w:rPr>
            </w:pPr>
            <w:r w:rsidRPr="00854FC2">
              <w:rPr>
                <w:rFonts w:cs="Arial"/>
                <w:sz w:val="20"/>
                <w:szCs w:val="20"/>
              </w:rPr>
              <w:t>IV</w:t>
            </w:r>
          </w:p>
        </w:tc>
        <w:tc>
          <w:tcPr>
            <w:tcW w:w="0" w:type="auto"/>
            <w:tcBorders>
              <w:top w:val="nil"/>
              <w:left w:val="nil"/>
              <w:bottom w:val="double" w:sz="6" w:space="0" w:color="auto"/>
              <w:right w:val="double" w:sz="6" w:space="0" w:color="auto"/>
            </w:tcBorders>
            <w:noWrap/>
            <w:tcMar>
              <w:top w:w="29" w:type="dxa"/>
              <w:left w:w="29" w:type="dxa"/>
              <w:bottom w:w="29" w:type="dxa"/>
              <w:right w:w="29" w:type="dxa"/>
            </w:tcMar>
            <w:vAlign w:val="center"/>
          </w:tcPr>
          <w:p w:rsidR="00D85665" w:rsidRPr="00854FC2" w:rsidRDefault="00D85665" w:rsidP="00131227">
            <w:pPr>
              <w:keepNext/>
              <w:keepLines/>
              <w:rPr>
                <w:rFonts w:eastAsia="Arial Unicode MS" w:cs="Arial"/>
                <w:sz w:val="20"/>
                <w:szCs w:val="20"/>
              </w:rPr>
            </w:pPr>
            <w:r w:rsidRPr="00854FC2">
              <w:rPr>
                <w:rFonts w:cs="Arial"/>
                <w:sz w:val="20"/>
                <w:szCs w:val="20"/>
              </w:rPr>
              <w:t xml:space="preserve">  greater than 1 million gallons</w:t>
            </w:r>
          </w:p>
        </w:tc>
      </w:tr>
    </w:tbl>
    <w:p w:rsidR="00D85665" w:rsidRPr="00854FC2" w:rsidRDefault="00D85665">
      <w:pPr>
        <w:rPr>
          <w:rFonts w:cs="Arial"/>
          <w:szCs w:val="22"/>
        </w:rPr>
      </w:pPr>
    </w:p>
    <w:p w:rsidR="00D85665" w:rsidRPr="00854FC2" w:rsidRDefault="00D85665" w:rsidP="005B2180">
      <w:pPr>
        <w:ind w:firstLine="720"/>
        <w:rPr>
          <w:rFonts w:cs="Arial"/>
          <w:szCs w:val="22"/>
        </w:rPr>
      </w:pPr>
      <w:r w:rsidRPr="00854FC2">
        <w:rPr>
          <w:rFonts w:cs="Arial"/>
          <w:szCs w:val="22"/>
        </w:rPr>
        <w:t xml:space="preserve">For the purposes of this ICR, facilities are also grouped into two categories: </w:t>
      </w:r>
      <w:r w:rsidRPr="000D3B75">
        <w:rPr>
          <w:rFonts w:cs="Arial"/>
          <w:szCs w:val="22"/>
        </w:rPr>
        <w:t>production</w:t>
      </w:r>
      <w:r w:rsidRPr="00854FC2">
        <w:rPr>
          <w:rFonts w:cs="Arial"/>
          <w:szCs w:val="22"/>
        </w:rPr>
        <w:t xml:space="preserve"> facilities (facilities whose operations primarily involve oil production) and </w:t>
      </w:r>
      <w:r w:rsidRPr="000D3B75">
        <w:rPr>
          <w:rFonts w:cs="Arial"/>
          <w:szCs w:val="22"/>
        </w:rPr>
        <w:t>storage</w:t>
      </w:r>
      <w:r w:rsidRPr="00854FC2">
        <w:rPr>
          <w:rFonts w:cs="Arial"/>
          <w:szCs w:val="22"/>
        </w:rPr>
        <w:t xml:space="preserve"> facilities (all other industry groups). This categorization of facilities reflects differences in the estimated burden of compliance activities depending on the nature of the facility’s operations.</w:t>
      </w:r>
      <w:r w:rsidRPr="00854FC2">
        <w:rPr>
          <w:rFonts w:cs="Arial"/>
          <w:szCs w:val="22"/>
        </w:rPr>
        <w:tab/>
      </w:r>
    </w:p>
    <w:p w:rsidR="00D85665" w:rsidRPr="00854FC2" w:rsidRDefault="00D85665">
      <w:pPr>
        <w:rPr>
          <w:rFonts w:cs="Arial"/>
          <w:szCs w:val="22"/>
        </w:rPr>
      </w:pPr>
    </w:p>
    <w:p w:rsidR="00D85665" w:rsidRDefault="00D85665" w:rsidP="005B2180">
      <w:pPr>
        <w:ind w:firstLine="720"/>
        <w:rPr>
          <w:rFonts w:cs="Arial"/>
          <w:szCs w:val="22"/>
        </w:rPr>
      </w:pPr>
      <w:r w:rsidRPr="00854FC2">
        <w:rPr>
          <w:rFonts w:cs="Arial"/>
          <w:szCs w:val="22"/>
        </w:rPr>
        <w:t xml:space="preserve">Additionally, facilities are divided into </w:t>
      </w:r>
      <w:r w:rsidRPr="000D3B75">
        <w:rPr>
          <w:rFonts w:cs="Arial"/>
          <w:szCs w:val="22"/>
        </w:rPr>
        <w:t>existing</w:t>
      </w:r>
      <w:r w:rsidRPr="00854FC2">
        <w:rPr>
          <w:rFonts w:cs="Arial"/>
          <w:szCs w:val="22"/>
        </w:rPr>
        <w:t xml:space="preserve"> and </w:t>
      </w:r>
      <w:r w:rsidRPr="000D3B75">
        <w:rPr>
          <w:rFonts w:cs="Arial"/>
          <w:szCs w:val="22"/>
        </w:rPr>
        <w:t>new</w:t>
      </w:r>
      <w:r w:rsidRPr="00854FC2">
        <w:rPr>
          <w:rFonts w:cs="Arial"/>
          <w:szCs w:val="22"/>
        </w:rPr>
        <w:t xml:space="preserve"> facilities, to reflect the differences in compliance activities between these two groups. </w:t>
      </w:r>
      <w:r w:rsidRPr="000D3B75">
        <w:rPr>
          <w:rFonts w:cs="Arial"/>
          <w:szCs w:val="22"/>
        </w:rPr>
        <w:t>Existing</w:t>
      </w:r>
      <w:r w:rsidRPr="00854FC2">
        <w:rPr>
          <w:rFonts w:cs="Arial"/>
          <w:szCs w:val="22"/>
        </w:rPr>
        <w:t xml:space="preserve"> facilities include facilities that initiated operations prior to this ICR.  All facilities in operation at the start of this ICR period are assumed to have prepared their SPCC Plans. Consequently, existing facilities are assumed to have incurred all costs associated with initially preparing and implementing their SPCC Plans, but some are expected to incur costs to perform a technical five-year review, revise their SPCC Plan, submit information in the event of certain oil discharges, and maintain the Plan and keep records.  </w:t>
      </w:r>
      <w:r w:rsidRPr="00A97907">
        <w:rPr>
          <w:rFonts w:cs="Arial"/>
          <w:szCs w:val="22"/>
        </w:rPr>
        <w:t>New</w:t>
      </w:r>
      <w:r w:rsidRPr="00854FC2">
        <w:rPr>
          <w:rFonts w:cs="Arial"/>
          <w:szCs w:val="22"/>
        </w:rPr>
        <w:t xml:space="preserve"> facilities include those facilities that will initiate operations during the ICR period. For the purpose of this analysis, new facilities become existing facilities after the first year of operation.</w:t>
      </w:r>
    </w:p>
    <w:p w:rsidR="00E56F9D" w:rsidRPr="00854FC2" w:rsidRDefault="00E56F9D">
      <w:pPr>
        <w:rPr>
          <w:rFonts w:cs="Arial"/>
          <w:szCs w:val="22"/>
        </w:rPr>
      </w:pPr>
    </w:p>
    <w:p w:rsidR="00D85665" w:rsidRPr="00854FC2" w:rsidRDefault="00D85665" w:rsidP="00A15DF0">
      <w:pPr>
        <w:keepNext/>
        <w:keepLines/>
        <w:outlineLvl w:val="0"/>
        <w:rPr>
          <w:rFonts w:cs="Arial"/>
          <w:szCs w:val="22"/>
        </w:rPr>
      </w:pPr>
      <w:r w:rsidRPr="00854FC2">
        <w:rPr>
          <w:rFonts w:cs="Arial"/>
          <w:szCs w:val="22"/>
        </w:rPr>
        <w:tab/>
      </w:r>
      <w:r w:rsidRPr="00854FC2">
        <w:rPr>
          <w:rFonts w:cs="Arial"/>
          <w:szCs w:val="22"/>
          <w:u w:val="single"/>
        </w:rPr>
        <w:t>Estimating Burden of SPCC Plan</w:t>
      </w:r>
    </w:p>
    <w:p w:rsidR="00D85665" w:rsidRPr="00854FC2" w:rsidRDefault="00D85665">
      <w:pPr>
        <w:keepNext/>
        <w:rPr>
          <w:rFonts w:cs="Arial"/>
          <w:szCs w:val="22"/>
        </w:rPr>
      </w:pPr>
    </w:p>
    <w:p w:rsidR="00D85665" w:rsidRPr="00854FC2" w:rsidRDefault="00D85665" w:rsidP="005B2180">
      <w:pPr>
        <w:ind w:firstLine="720"/>
        <w:rPr>
          <w:rFonts w:cs="Arial"/>
          <w:color w:val="000000"/>
          <w:lang w:val="en-CA" w:eastAsia="en-CA"/>
        </w:rPr>
      </w:pPr>
      <w:r w:rsidRPr="00854FC2">
        <w:rPr>
          <w:rFonts w:cs="Arial"/>
          <w:color w:val="000000"/>
          <w:lang w:val="en-CA" w:eastAsia="en-CA"/>
        </w:rPr>
        <w:t xml:space="preserve">For </w:t>
      </w:r>
      <w:r w:rsidR="00C50875">
        <w:rPr>
          <w:rFonts w:cs="Arial"/>
          <w:color w:val="000000"/>
          <w:lang w:val="en-CA" w:eastAsia="en-CA"/>
        </w:rPr>
        <w:t>its</w:t>
      </w:r>
      <w:r w:rsidR="00944A33">
        <w:rPr>
          <w:rFonts w:cs="Arial"/>
          <w:color w:val="000000"/>
          <w:lang w:val="en-CA" w:eastAsia="en-CA"/>
        </w:rPr>
        <w:t xml:space="preserve"> Regulatory Impact A</w:t>
      </w:r>
      <w:r w:rsidRPr="00854FC2">
        <w:rPr>
          <w:rFonts w:cs="Arial"/>
          <w:color w:val="000000"/>
          <w:lang w:val="en-CA" w:eastAsia="en-CA"/>
        </w:rPr>
        <w:t>nalysis</w:t>
      </w:r>
      <w:r w:rsidR="00632951">
        <w:rPr>
          <w:rFonts w:cs="Arial"/>
          <w:color w:val="000000"/>
          <w:lang w:val="en-CA" w:eastAsia="en-CA"/>
        </w:rPr>
        <w:t xml:space="preserve"> (RIA)</w:t>
      </w:r>
      <w:r w:rsidRPr="00854FC2">
        <w:rPr>
          <w:rFonts w:cs="Arial"/>
          <w:color w:val="000000"/>
          <w:lang w:val="en-CA" w:eastAsia="en-CA"/>
        </w:rPr>
        <w:t>, EPA developed a unit cost inventory with cost estimates for each of the 2002 SPCC rule requirements. The Agency also assessed paperwork-related changes resulting from the 2006</w:t>
      </w:r>
      <w:r w:rsidR="0019410D">
        <w:rPr>
          <w:rFonts w:cs="Arial"/>
          <w:color w:val="000000"/>
          <w:lang w:val="en-CA" w:eastAsia="en-CA"/>
        </w:rPr>
        <w:t>, 2008,</w:t>
      </w:r>
      <w:r w:rsidRPr="00854FC2">
        <w:rPr>
          <w:rFonts w:cs="Arial"/>
          <w:color w:val="000000"/>
          <w:lang w:val="en-CA" w:eastAsia="en-CA"/>
        </w:rPr>
        <w:t xml:space="preserve"> 200</w:t>
      </w:r>
      <w:r w:rsidR="00235269">
        <w:rPr>
          <w:rFonts w:cs="Arial"/>
          <w:color w:val="000000"/>
          <w:lang w:val="en-CA" w:eastAsia="en-CA"/>
        </w:rPr>
        <w:t>9</w:t>
      </w:r>
      <w:r w:rsidR="004B1C4F">
        <w:rPr>
          <w:rFonts w:cs="Arial"/>
          <w:color w:val="000000"/>
          <w:lang w:val="en-CA" w:eastAsia="en-CA"/>
        </w:rPr>
        <w:t xml:space="preserve"> and 2011</w:t>
      </w:r>
      <w:r w:rsidRPr="00854FC2">
        <w:rPr>
          <w:rFonts w:cs="Arial"/>
          <w:color w:val="000000"/>
          <w:lang w:val="en-CA" w:eastAsia="en-CA"/>
        </w:rPr>
        <w:t xml:space="preserve"> </w:t>
      </w:r>
      <w:r w:rsidR="00E734A2" w:rsidRPr="00854FC2">
        <w:rPr>
          <w:rFonts w:cs="Arial"/>
          <w:color w:val="000000"/>
          <w:lang w:val="en-CA" w:eastAsia="en-CA"/>
        </w:rPr>
        <w:t xml:space="preserve">final </w:t>
      </w:r>
      <w:r w:rsidRPr="00854FC2">
        <w:rPr>
          <w:rFonts w:cs="Arial"/>
          <w:color w:val="000000"/>
          <w:lang w:val="en-CA" w:eastAsia="en-CA"/>
        </w:rPr>
        <w:t xml:space="preserve">amendments.  </w:t>
      </w:r>
      <w:r w:rsidRPr="00854FC2">
        <w:rPr>
          <w:rFonts w:cs="Arial"/>
          <w:color w:val="000000"/>
        </w:rPr>
        <w:t xml:space="preserve">EPA relied on the most recent cost estimates from </w:t>
      </w:r>
      <w:r w:rsidR="002119DC">
        <w:rPr>
          <w:rFonts w:cs="Arial"/>
          <w:color w:val="000000"/>
        </w:rPr>
        <w:t>the</w:t>
      </w:r>
      <w:r w:rsidR="002119DC" w:rsidRPr="00854FC2">
        <w:rPr>
          <w:rFonts w:cs="Arial"/>
          <w:color w:val="000000"/>
        </w:rPr>
        <w:t xml:space="preserve"> </w:t>
      </w:r>
      <w:r w:rsidRPr="00854FC2">
        <w:rPr>
          <w:rFonts w:cs="Arial"/>
          <w:color w:val="000000"/>
        </w:rPr>
        <w:t xml:space="preserve">unit cost inventory. </w:t>
      </w:r>
      <w:r w:rsidRPr="00854FC2">
        <w:rPr>
          <w:rFonts w:cs="Arial"/>
          <w:color w:val="000000"/>
          <w:lang w:val="en-CA" w:eastAsia="en-CA"/>
        </w:rPr>
        <w:t>To complete th</w:t>
      </w:r>
      <w:r w:rsidR="00E34F70">
        <w:rPr>
          <w:rFonts w:cs="Arial"/>
          <w:color w:val="000000"/>
          <w:lang w:val="en-CA" w:eastAsia="en-CA"/>
        </w:rPr>
        <w:t>e unit cost</w:t>
      </w:r>
      <w:r w:rsidRPr="00854FC2">
        <w:rPr>
          <w:rFonts w:cs="Arial"/>
          <w:color w:val="000000"/>
          <w:lang w:val="en-CA" w:eastAsia="en-CA"/>
        </w:rPr>
        <w:t xml:space="preserve"> inventory, the Agency developed a detailed list of the SPCC requirements that are expected to have a</w:t>
      </w:r>
      <w:r w:rsidR="002F4F1C">
        <w:rPr>
          <w:rFonts w:cs="Arial"/>
          <w:color w:val="000000"/>
          <w:lang w:val="en-CA" w:eastAsia="en-CA"/>
        </w:rPr>
        <w:t xml:space="preserve"> </w:t>
      </w:r>
      <w:r w:rsidR="00F24A9D">
        <w:rPr>
          <w:rFonts w:cs="Arial"/>
          <w:color w:val="000000"/>
          <w:lang w:val="en-CA" w:eastAsia="en-CA"/>
        </w:rPr>
        <w:t>labor</w:t>
      </w:r>
      <w:r w:rsidR="00F24A9D" w:rsidRPr="00854FC2">
        <w:rPr>
          <w:rFonts w:cs="Arial"/>
          <w:color w:val="000000"/>
          <w:lang w:val="en-CA" w:eastAsia="en-CA"/>
        </w:rPr>
        <w:t xml:space="preserve"> </w:t>
      </w:r>
      <w:r w:rsidR="004A7C83">
        <w:rPr>
          <w:rFonts w:cs="Arial"/>
          <w:color w:val="000000"/>
          <w:lang w:val="en-CA" w:eastAsia="en-CA"/>
        </w:rPr>
        <w:t xml:space="preserve">burden and </w:t>
      </w:r>
      <w:r w:rsidRPr="00854FC2">
        <w:rPr>
          <w:rFonts w:cs="Arial"/>
          <w:color w:val="000000"/>
          <w:lang w:val="en-CA" w:eastAsia="en-CA"/>
        </w:rPr>
        <w:t>cost impact, and obtained unit cost estimates for each of these requirements from a professional engineering firm with experience across a broad spectrum of industries, that serves the 48 contiguous states of the United States.</w:t>
      </w:r>
      <w:r w:rsidRPr="00854FC2">
        <w:rPr>
          <w:rStyle w:val="FootnoteReference"/>
          <w:rFonts w:cs="Arial"/>
          <w:color w:val="000000"/>
          <w:lang w:val="en-CA" w:eastAsia="en-CA"/>
        </w:rPr>
        <w:footnoteReference w:id="8"/>
      </w:r>
      <w:r w:rsidRPr="00854FC2">
        <w:rPr>
          <w:rFonts w:cs="Arial"/>
          <w:color w:val="000000"/>
          <w:lang w:val="en-CA" w:eastAsia="en-CA"/>
        </w:rPr>
        <w:t xml:space="preserve">  In addition, EPA also conducted interviews of </w:t>
      </w:r>
      <w:r w:rsidR="00362CE2">
        <w:rPr>
          <w:rFonts w:cs="Arial"/>
          <w:color w:val="000000"/>
          <w:lang w:val="en-CA" w:eastAsia="en-CA"/>
        </w:rPr>
        <w:t xml:space="preserve">seven </w:t>
      </w:r>
      <w:r w:rsidRPr="00854FC2">
        <w:rPr>
          <w:rFonts w:cs="Arial"/>
          <w:color w:val="000000"/>
          <w:lang w:val="en-CA" w:eastAsia="en-CA"/>
        </w:rPr>
        <w:t>regulated entities to obtain data on compliance measures at facilities and their associated costs to crosscheck the estimates and develop a better understanding of the ranges of cost estimates.</w:t>
      </w:r>
      <w:r w:rsidR="000F5676">
        <w:rPr>
          <w:rFonts w:cs="Arial"/>
          <w:color w:val="000000"/>
          <w:lang w:val="en-CA" w:eastAsia="en-CA"/>
        </w:rPr>
        <w:t xml:space="preserve"> </w:t>
      </w:r>
    </w:p>
    <w:p w:rsidR="00D85665" w:rsidRPr="00854FC2" w:rsidRDefault="00D85665">
      <w:pPr>
        <w:rPr>
          <w:rFonts w:cs="Arial"/>
          <w:szCs w:val="22"/>
        </w:rPr>
      </w:pPr>
    </w:p>
    <w:p w:rsidR="00D85665" w:rsidRPr="00854FC2" w:rsidRDefault="00D85665" w:rsidP="00A15DF0">
      <w:pPr>
        <w:outlineLvl w:val="0"/>
        <w:rPr>
          <w:rFonts w:cs="Arial"/>
          <w:szCs w:val="22"/>
        </w:rPr>
      </w:pPr>
      <w:r w:rsidRPr="00854FC2">
        <w:rPr>
          <w:rFonts w:cs="Arial"/>
          <w:szCs w:val="22"/>
        </w:rPr>
        <w:tab/>
      </w:r>
      <w:r w:rsidRPr="00854FC2">
        <w:rPr>
          <w:rFonts w:cs="Arial"/>
          <w:szCs w:val="22"/>
          <w:u w:val="single"/>
        </w:rPr>
        <w:t>Estimating Facility Labor Costs</w:t>
      </w:r>
    </w:p>
    <w:p w:rsidR="00D85665" w:rsidRPr="00854FC2" w:rsidRDefault="00D85665">
      <w:pPr>
        <w:rPr>
          <w:rFonts w:cs="Arial"/>
          <w:szCs w:val="22"/>
        </w:rPr>
      </w:pPr>
    </w:p>
    <w:p w:rsidR="00D85665" w:rsidRPr="00854FC2" w:rsidRDefault="00D85665" w:rsidP="005B2180">
      <w:pPr>
        <w:ind w:firstLine="720"/>
        <w:rPr>
          <w:rFonts w:cs="Arial"/>
          <w:szCs w:val="22"/>
        </w:rPr>
      </w:pPr>
      <w:r w:rsidRPr="00854FC2">
        <w:rPr>
          <w:rFonts w:cs="Arial"/>
          <w:szCs w:val="22"/>
        </w:rPr>
        <w:t xml:space="preserve">To determine the per-facility costs </w:t>
      </w:r>
      <w:r w:rsidR="006D1F24">
        <w:rPr>
          <w:rFonts w:cs="Arial"/>
          <w:szCs w:val="22"/>
        </w:rPr>
        <w:t xml:space="preserve">to develop the SPCC Plan and comply with other paperwork-related requirements </w:t>
      </w:r>
      <w:r w:rsidRPr="00854FC2">
        <w:rPr>
          <w:rFonts w:cs="Arial"/>
          <w:szCs w:val="22"/>
        </w:rPr>
        <w:t xml:space="preserve">for typical new and existing respondents in each facility size category, unit </w:t>
      </w:r>
      <w:r w:rsidR="00153A12">
        <w:rPr>
          <w:rFonts w:cs="Arial"/>
          <w:szCs w:val="22"/>
        </w:rPr>
        <w:t>labor</w:t>
      </w:r>
      <w:r w:rsidR="00153A12" w:rsidRPr="00854FC2">
        <w:rPr>
          <w:rFonts w:cs="Arial"/>
          <w:szCs w:val="22"/>
        </w:rPr>
        <w:t xml:space="preserve"> </w:t>
      </w:r>
      <w:r w:rsidRPr="00854FC2">
        <w:rPr>
          <w:rFonts w:cs="Arial"/>
          <w:szCs w:val="22"/>
        </w:rPr>
        <w:t xml:space="preserve">estimates for management, technical, and clerical personnel were multiplied </w:t>
      </w:r>
      <w:r w:rsidRPr="00854FC2">
        <w:rPr>
          <w:rFonts w:cs="Arial"/>
          <w:szCs w:val="22"/>
        </w:rPr>
        <w:lastRenderedPageBreak/>
        <w:t>by the hourly wage rate for each labor category and were then added to paperwork-related capital and operating and maintenance (O&amp;M) costs.</w:t>
      </w:r>
    </w:p>
    <w:p w:rsidR="00D85665" w:rsidRPr="00854FC2" w:rsidRDefault="00D85665">
      <w:pPr>
        <w:rPr>
          <w:rFonts w:cs="Arial"/>
          <w:szCs w:val="22"/>
        </w:rPr>
      </w:pPr>
    </w:p>
    <w:p w:rsidR="00D85665" w:rsidRPr="00854FC2" w:rsidRDefault="00D85665" w:rsidP="005B2180">
      <w:pPr>
        <w:ind w:firstLine="720"/>
        <w:rPr>
          <w:rFonts w:cs="Arial"/>
          <w:szCs w:val="22"/>
        </w:rPr>
      </w:pPr>
      <w:r w:rsidRPr="00854FC2">
        <w:rPr>
          <w:rFonts w:cs="Arial"/>
          <w:szCs w:val="22"/>
        </w:rPr>
        <w:t xml:space="preserve">The labor wage rates for private industry were derived from the </w:t>
      </w:r>
      <w:r w:rsidR="005535F5">
        <w:rPr>
          <w:rFonts w:cs="Arial"/>
          <w:szCs w:val="22"/>
        </w:rPr>
        <w:t>June</w:t>
      </w:r>
      <w:r w:rsidR="005535F5" w:rsidRPr="00854FC2">
        <w:rPr>
          <w:rFonts w:cs="Arial"/>
          <w:szCs w:val="22"/>
        </w:rPr>
        <w:t xml:space="preserve"> </w:t>
      </w:r>
      <w:r w:rsidR="002E6509">
        <w:rPr>
          <w:rFonts w:cs="Arial"/>
          <w:szCs w:val="22"/>
        </w:rPr>
        <w:t>2012</w:t>
      </w:r>
      <w:r w:rsidR="002E6509" w:rsidRPr="00854FC2">
        <w:rPr>
          <w:rFonts w:cs="Arial"/>
          <w:szCs w:val="22"/>
        </w:rPr>
        <w:t xml:space="preserve"> </w:t>
      </w:r>
      <w:r w:rsidRPr="00854FC2">
        <w:rPr>
          <w:rFonts w:cs="Arial"/>
          <w:szCs w:val="22"/>
        </w:rPr>
        <w:t>U.S. Department of Labor’s Employment Cost Indexes and Levels.</w:t>
      </w:r>
      <w:r w:rsidRPr="00854FC2">
        <w:rPr>
          <w:rStyle w:val="FootnoteReference"/>
        </w:rPr>
        <w:footnoteReference w:id="9"/>
      </w:r>
      <w:r w:rsidRPr="00854FC2">
        <w:rPr>
          <w:rFonts w:cs="Arial"/>
          <w:szCs w:val="22"/>
        </w:rPr>
        <w:t xml:space="preserve">  The </w:t>
      </w:r>
      <w:r w:rsidR="009A30DB">
        <w:rPr>
          <w:rFonts w:cs="Arial"/>
          <w:szCs w:val="22"/>
        </w:rPr>
        <w:t xml:space="preserve">June </w:t>
      </w:r>
      <w:r w:rsidR="002E6509" w:rsidRPr="00854FC2">
        <w:rPr>
          <w:rFonts w:cs="Arial"/>
          <w:szCs w:val="22"/>
        </w:rPr>
        <w:t>20</w:t>
      </w:r>
      <w:r w:rsidR="002E6509">
        <w:rPr>
          <w:rFonts w:cs="Arial"/>
          <w:szCs w:val="22"/>
        </w:rPr>
        <w:t>12</w:t>
      </w:r>
      <w:r w:rsidR="002E6509" w:rsidRPr="00854FC2">
        <w:rPr>
          <w:rFonts w:cs="Arial"/>
          <w:szCs w:val="22"/>
        </w:rPr>
        <w:t xml:space="preserve"> </w:t>
      </w:r>
      <w:r w:rsidRPr="00854FC2">
        <w:rPr>
          <w:rFonts w:cs="Arial"/>
          <w:szCs w:val="22"/>
        </w:rPr>
        <w:t xml:space="preserve">wage rates include wages and salaries; benefit costs, including paid leave, supplemental pay, insurance, retirement and savings, legally required benefits, severance pay, and supplemental unemployment benefits. These wage rates reflect private industry averages estimated by the Bureau of Labor Statistics (BLS) based on a survey of </w:t>
      </w:r>
      <w:r w:rsidR="005C5DBA">
        <w:rPr>
          <w:rFonts w:cs="Arial"/>
          <w:szCs w:val="22"/>
        </w:rPr>
        <w:t xml:space="preserve">47,400 </w:t>
      </w:r>
      <w:r w:rsidRPr="00854FC2">
        <w:rPr>
          <w:rFonts w:cs="Arial"/>
          <w:szCs w:val="22"/>
        </w:rPr>
        <w:t>occupations within</w:t>
      </w:r>
      <w:r w:rsidR="005C5DBA">
        <w:rPr>
          <w:rFonts w:cs="Arial"/>
          <w:szCs w:val="22"/>
        </w:rPr>
        <w:t xml:space="preserve"> 9,500 </w:t>
      </w:r>
      <w:r w:rsidRPr="00854FC2">
        <w:rPr>
          <w:rFonts w:cs="Arial"/>
          <w:szCs w:val="22"/>
        </w:rPr>
        <w:t>establishments in the private sector. These wage rates reflect industry averages, which may underestimate the actual wages received by some SPCC regulated facility personnel but overestimate the actual wages received by other facility personnel.  EPA further adjusted these rates to reflect overhead costs of 17 percent.</w:t>
      </w:r>
      <w:r w:rsidRPr="00854FC2">
        <w:rPr>
          <w:rStyle w:val="FootnoteReference"/>
        </w:rPr>
        <w:footnoteReference w:id="10"/>
      </w:r>
      <w:r w:rsidRPr="00854FC2">
        <w:rPr>
          <w:rFonts w:cs="Arial"/>
          <w:szCs w:val="22"/>
        </w:rPr>
        <w:t xml:space="preserve">  Following are the estimated loaded wage rates used in the analysis:</w:t>
      </w:r>
    </w:p>
    <w:p w:rsidR="00D85665" w:rsidRPr="00854FC2" w:rsidRDefault="00D85665">
      <w:pPr>
        <w:rPr>
          <w:rFonts w:cs="Arial"/>
          <w:szCs w:val="22"/>
        </w:rPr>
      </w:pPr>
    </w:p>
    <w:p w:rsidR="00D85665" w:rsidRPr="00854FC2" w:rsidRDefault="00D85665">
      <w:pPr>
        <w:keepNext/>
        <w:keepLines/>
        <w:numPr>
          <w:ilvl w:val="0"/>
          <w:numId w:val="6"/>
        </w:numPr>
        <w:rPr>
          <w:rFonts w:cs="Arial"/>
          <w:szCs w:val="22"/>
        </w:rPr>
      </w:pPr>
      <w:r w:rsidRPr="00854FC2">
        <w:rPr>
          <w:rFonts w:cs="Arial"/>
          <w:szCs w:val="22"/>
        </w:rPr>
        <w:t>Management:  $</w:t>
      </w:r>
      <w:r w:rsidR="005C5DBA">
        <w:rPr>
          <w:rFonts w:cs="Arial"/>
          <w:szCs w:val="22"/>
        </w:rPr>
        <w:t xml:space="preserve"> $69/hour;</w:t>
      </w:r>
    </w:p>
    <w:p w:rsidR="00D85665" w:rsidRPr="00854FC2" w:rsidRDefault="00D85665">
      <w:pPr>
        <w:keepNext/>
        <w:numPr>
          <w:ilvl w:val="0"/>
          <w:numId w:val="6"/>
        </w:numPr>
        <w:rPr>
          <w:rFonts w:cs="Arial"/>
          <w:szCs w:val="22"/>
        </w:rPr>
      </w:pPr>
      <w:r w:rsidRPr="00854FC2">
        <w:rPr>
          <w:rFonts w:cs="Arial"/>
          <w:szCs w:val="22"/>
        </w:rPr>
        <w:t xml:space="preserve">Technical:  </w:t>
      </w:r>
      <w:r w:rsidR="005C5DBA">
        <w:rPr>
          <w:rFonts w:cs="Arial"/>
          <w:szCs w:val="22"/>
        </w:rPr>
        <w:t xml:space="preserve">$58/hour; </w:t>
      </w:r>
      <w:r w:rsidRPr="00854FC2">
        <w:rPr>
          <w:rFonts w:cs="Arial"/>
          <w:szCs w:val="22"/>
        </w:rPr>
        <w:t>and</w:t>
      </w:r>
    </w:p>
    <w:p w:rsidR="00D85665" w:rsidRPr="00854FC2" w:rsidRDefault="00D85665">
      <w:pPr>
        <w:numPr>
          <w:ilvl w:val="0"/>
          <w:numId w:val="6"/>
        </w:numPr>
        <w:rPr>
          <w:rFonts w:cs="Arial"/>
          <w:szCs w:val="22"/>
        </w:rPr>
      </w:pPr>
      <w:r w:rsidRPr="00854FC2">
        <w:rPr>
          <w:rFonts w:cs="Arial"/>
          <w:szCs w:val="22"/>
        </w:rPr>
        <w:t xml:space="preserve">Clerical:  </w:t>
      </w:r>
      <w:r w:rsidR="005C5DBA">
        <w:rPr>
          <w:rFonts w:cs="Arial"/>
          <w:szCs w:val="22"/>
        </w:rPr>
        <w:t xml:space="preserve"> $30/hour.</w:t>
      </w:r>
    </w:p>
    <w:p w:rsidR="00D85665" w:rsidRPr="00854FC2" w:rsidRDefault="00D85665">
      <w:pPr>
        <w:rPr>
          <w:rFonts w:cs="Arial"/>
          <w:szCs w:val="22"/>
        </w:rPr>
      </w:pPr>
    </w:p>
    <w:p w:rsidR="00D85665" w:rsidRPr="00854FC2" w:rsidRDefault="00D85665" w:rsidP="005B2180">
      <w:pPr>
        <w:ind w:firstLine="720"/>
        <w:rPr>
          <w:rFonts w:cs="Arial"/>
          <w:szCs w:val="22"/>
        </w:rPr>
      </w:pPr>
      <w:r w:rsidRPr="00854FC2">
        <w:rPr>
          <w:rFonts w:cs="Arial"/>
          <w:szCs w:val="22"/>
        </w:rPr>
        <w:t>EPA assumed the above labor rates would apply to all scenarios when facilities use in-house personnel to satisfy requirements involving labor burden</w:t>
      </w:r>
      <w:r w:rsidR="00A2762A">
        <w:rPr>
          <w:rFonts w:cs="Arial"/>
          <w:szCs w:val="22"/>
        </w:rPr>
        <w:t xml:space="preserve"> such as preparing the SPCC P</w:t>
      </w:r>
      <w:r w:rsidR="00660479">
        <w:rPr>
          <w:rFonts w:cs="Arial"/>
          <w:szCs w:val="22"/>
        </w:rPr>
        <w:t>l</w:t>
      </w:r>
      <w:r w:rsidR="00A2762A">
        <w:rPr>
          <w:rFonts w:cs="Arial"/>
          <w:szCs w:val="22"/>
        </w:rPr>
        <w:t>an</w:t>
      </w:r>
      <w:r w:rsidRPr="00854FC2">
        <w:rPr>
          <w:rFonts w:cs="Arial"/>
          <w:szCs w:val="22"/>
        </w:rPr>
        <w:t xml:space="preserve">.  </w:t>
      </w:r>
      <w:r w:rsidR="00127A3D">
        <w:rPr>
          <w:rFonts w:cs="Arial"/>
          <w:szCs w:val="22"/>
        </w:rPr>
        <w:t xml:space="preserve">When required or needed, a facility owner/operator </w:t>
      </w:r>
      <w:r w:rsidR="00127A3D" w:rsidRPr="00854FC2">
        <w:rPr>
          <w:rFonts w:cs="Arial"/>
          <w:szCs w:val="22"/>
        </w:rPr>
        <w:t xml:space="preserve">would contract a PE to </w:t>
      </w:r>
      <w:r w:rsidR="00127A3D">
        <w:rPr>
          <w:rFonts w:cs="Arial"/>
          <w:szCs w:val="22"/>
        </w:rPr>
        <w:t xml:space="preserve">develop and/or </w:t>
      </w:r>
      <w:r w:rsidR="00127A3D" w:rsidRPr="00854FC2">
        <w:rPr>
          <w:rFonts w:cs="Arial"/>
          <w:szCs w:val="22"/>
        </w:rPr>
        <w:t xml:space="preserve">certify </w:t>
      </w:r>
      <w:r w:rsidR="00127A3D">
        <w:rPr>
          <w:rFonts w:cs="Arial"/>
          <w:szCs w:val="22"/>
        </w:rPr>
        <w:t>his</w:t>
      </w:r>
      <w:r w:rsidR="00127A3D" w:rsidRPr="00854FC2">
        <w:rPr>
          <w:rFonts w:cs="Arial"/>
          <w:szCs w:val="22"/>
        </w:rPr>
        <w:t xml:space="preserve"> Plans, </w:t>
      </w:r>
      <w:r w:rsidR="00DD50E0">
        <w:rPr>
          <w:rFonts w:cs="Arial"/>
          <w:szCs w:val="22"/>
        </w:rPr>
        <w:t xml:space="preserve">however, </w:t>
      </w:r>
      <w:r w:rsidRPr="00854FC2">
        <w:rPr>
          <w:rFonts w:cs="Arial"/>
          <w:szCs w:val="22"/>
        </w:rPr>
        <w:t xml:space="preserve">not all facility owners and operators are expected to contract a PE for activities that can be conducted by in-house personnel. On the one hand, a small facility is more likely to hire outside engineers because it may not have the in-house expertise to comply with the SPCC requirements. On the other hand, a small facility may not have the resources to hire outside engineers and may be in a better position to use in-house labor because the owner may be closely involved with all the operations. A similar two-sided argument can also be made for larger facilities. Therefore, EPA assumed that 50 percent of the facilities of all size categories use in-house labor and the remaining 50 percent use outside professional labor.  </w:t>
      </w:r>
    </w:p>
    <w:p w:rsidR="00D85665" w:rsidRPr="00854FC2" w:rsidRDefault="00D85665">
      <w:pPr>
        <w:rPr>
          <w:rFonts w:cs="Arial"/>
          <w:szCs w:val="22"/>
        </w:rPr>
      </w:pPr>
    </w:p>
    <w:p w:rsidR="00D85665" w:rsidRPr="00854FC2" w:rsidRDefault="00D85665" w:rsidP="005B2180">
      <w:pPr>
        <w:ind w:firstLine="720"/>
        <w:rPr>
          <w:rFonts w:cs="Arial"/>
          <w:szCs w:val="22"/>
        </w:rPr>
      </w:pPr>
      <w:r w:rsidRPr="00854FC2">
        <w:rPr>
          <w:rFonts w:cs="Arial"/>
          <w:szCs w:val="22"/>
        </w:rPr>
        <w:t xml:space="preserve">Overhead rates </w:t>
      </w:r>
      <w:r w:rsidR="00220F0A">
        <w:rPr>
          <w:rFonts w:cs="Arial"/>
          <w:szCs w:val="22"/>
        </w:rPr>
        <w:t xml:space="preserve">for SPCC paperwork-related activities </w:t>
      </w:r>
      <w:r w:rsidRPr="00854FC2">
        <w:rPr>
          <w:rFonts w:cs="Arial"/>
          <w:szCs w:val="22"/>
        </w:rPr>
        <w:t xml:space="preserve">can be calculated using various formulas. </w:t>
      </w:r>
      <w:r w:rsidR="00A15260">
        <w:rPr>
          <w:rFonts w:cs="Arial"/>
          <w:szCs w:val="22"/>
        </w:rPr>
        <w:t xml:space="preserve"> </w:t>
      </w:r>
      <w:r w:rsidRPr="00854FC2">
        <w:rPr>
          <w:rFonts w:cs="Arial"/>
          <w:szCs w:val="22"/>
        </w:rPr>
        <w:t xml:space="preserve">To see how overall costs might change under different overhead loading rate assumptions, EPA calculated alternative overhead rates based on recommendations in </w:t>
      </w:r>
      <w:r w:rsidRPr="00854FC2">
        <w:rPr>
          <w:rFonts w:cs="Arial"/>
          <w:i/>
          <w:iCs/>
          <w:szCs w:val="22"/>
        </w:rPr>
        <w:t>Estimating Costs for the Economic Benefits of RCRA Noncompliance</w:t>
      </w:r>
      <w:r w:rsidRPr="00854FC2">
        <w:rPr>
          <w:rFonts w:cs="Arial"/>
          <w:szCs w:val="22"/>
        </w:rPr>
        <w:t xml:space="preserve"> (September 1997). This document suggests that labor overhead and profit can be estimated at 50 to 100 percent of the base salary and fringe benefit costs. EPA estimated that raising the overhead rate to 50 percent would increase the wages listed above by 28 percent.  If a 100-percent overhead rate were used, these wages would increase by 71 percent. The 50-percent and 100-percent alternatives may be high because the rates include profit as well as overhead. The appropriate overhead loading rate is highly dependent on not only the industry in question, but also individual </w:t>
      </w:r>
      <w:r w:rsidRPr="00854FC2">
        <w:rPr>
          <w:rFonts w:cs="Arial"/>
          <w:szCs w:val="22"/>
        </w:rPr>
        <w:lastRenderedPageBreak/>
        <w:t>businesses. The alternative rates are explored in the discussion of total respondent costs in Section 6(e) of this document.</w:t>
      </w:r>
    </w:p>
    <w:p w:rsidR="00D85665" w:rsidRPr="00854FC2" w:rsidRDefault="00D85665">
      <w:pPr>
        <w:rPr>
          <w:rFonts w:cs="Arial"/>
          <w:szCs w:val="22"/>
        </w:rPr>
      </w:pPr>
    </w:p>
    <w:p w:rsidR="00D85665" w:rsidRPr="00854FC2" w:rsidRDefault="002E13B2" w:rsidP="00A15DF0">
      <w:pPr>
        <w:numPr>
          <w:ilvl w:val="12"/>
          <w:numId w:val="0"/>
        </w:numPr>
        <w:tabs>
          <w:tab w:val="left" w:pos="0"/>
          <w:tab w:val="left" w:pos="720"/>
        </w:tabs>
        <w:outlineLvl w:val="0"/>
        <w:rPr>
          <w:rFonts w:cs="Arial"/>
          <w:szCs w:val="22"/>
        </w:rPr>
      </w:pPr>
      <w:r w:rsidRPr="00E63BB2">
        <w:rPr>
          <w:rFonts w:cs="Arial"/>
          <w:szCs w:val="22"/>
        </w:rPr>
        <w:tab/>
      </w:r>
      <w:r w:rsidR="00D85665" w:rsidRPr="00854FC2">
        <w:rPr>
          <w:rFonts w:cs="Arial"/>
          <w:szCs w:val="22"/>
          <w:u w:val="single"/>
        </w:rPr>
        <w:t>Estimating Capital and Operating and Maintenance (O&amp;M) Costs</w:t>
      </w:r>
    </w:p>
    <w:p w:rsidR="00D85665" w:rsidRPr="00854FC2" w:rsidRDefault="00D85665">
      <w:pPr>
        <w:numPr>
          <w:ilvl w:val="12"/>
          <w:numId w:val="0"/>
        </w:numPr>
        <w:tabs>
          <w:tab w:val="left" w:pos="0"/>
          <w:tab w:val="left" w:pos="720"/>
        </w:tabs>
        <w:rPr>
          <w:rFonts w:cs="Arial"/>
          <w:szCs w:val="22"/>
        </w:rPr>
      </w:pPr>
    </w:p>
    <w:p w:rsidR="00D85665" w:rsidRPr="00854FC2" w:rsidRDefault="005B2180">
      <w:pPr>
        <w:pStyle w:val="BodyText"/>
        <w:numPr>
          <w:ilvl w:val="12"/>
          <w:numId w:val="0"/>
        </w:numPr>
        <w:tabs>
          <w:tab w:val="left" w:pos="0"/>
          <w:tab w:val="left" w:pos="720"/>
        </w:tabs>
      </w:pPr>
      <w:r>
        <w:tab/>
      </w:r>
      <w:r w:rsidR="00D85665" w:rsidRPr="00854FC2">
        <w:t xml:space="preserve">EPA expects that facilities will incur paperwork-related capital and </w:t>
      </w:r>
      <w:r w:rsidR="00B63607">
        <w:t>operating and maintenance (</w:t>
      </w:r>
      <w:r w:rsidR="00D85665" w:rsidRPr="00854FC2">
        <w:t>O&amp;M</w:t>
      </w:r>
      <w:r w:rsidR="00B63607">
        <w:t>)</w:t>
      </w:r>
      <w:r w:rsidR="00D85665" w:rsidRPr="00854FC2">
        <w:t xml:space="preserve"> costs in complying with the SPCC requirements to maintain the Plan and keep records (40 CFR 112.3 and 112.7(e)) and to submit required information in the event of certain discharges of oil (40 CFR 112.4).  EPA estimates that to maintain files, new facilities will purcha</w:t>
      </w:r>
      <w:r w:rsidR="00F63515">
        <w:t>se file cabinets at a cost of $3</w:t>
      </w:r>
      <w:r w:rsidR="00D85665" w:rsidRPr="00854FC2">
        <w:t>00. In the event of certain discharges, the owner or operator is required to submit information to the Regional Administrator and the state agency in charge of oil pollution control activities for the area in which it is located. Consequently, the owner or operator will incur costs for photocopying and postage. For costing purposes, EPA assumes that facilities will submit no more than 10 pages for a small facility; 20 pages for a medium facility; and 40 pages for a large facility.  Assuming the cost of photocopying to be $0.11 per page, photocopying costs are estimated to be $2.20 for a small facility; $4.40 for a medium facility; and $8.80 for a large facility, respectively.  EPA estimates that the cost to submit the information through the Post Office is approximately $1</w:t>
      </w:r>
      <w:r w:rsidR="00AD499F">
        <w:t>7</w:t>
      </w:r>
      <w:r w:rsidR="00D85665" w:rsidRPr="00854FC2">
        <w:t>.00, based on the cost to mail a two-pound package to two different recipients. Because only 0.15 percent of facilities are expected to incur oil discharges that trigger an information submission, the annual costs associated with submitting information to EPA are not measurable for the average facility.</w:t>
      </w:r>
    </w:p>
    <w:p w:rsidR="00D85665" w:rsidRPr="00854FC2" w:rsidRDefault="00D85665">
      <w:pPr>
        <w:pStyle w:val="BodyText"/>
        <w:numPr>
          <w:ilvl w:val="12"/>
          <w:numId w:val="0"/>
        </w:numPr>
        <w:tabs>
          <w:tab w:val="left" w:pos="0"/>
          <w:tab w:val="left" w:pos="720"/>
        </w:tabs>
      </w:pPr>
    </w:p>
    <w:p w:rsidR="00D85665" w:rsidRPr="00854FC2" w:rsidRDefault="00D85665" w:rsidP="005B2180">
      <w:pPr>
        <w:pStyle w:val="BodyText"/>
        <w:ind w:firstLine="720"/>
        <w:rPr>
          <w:color w:val="000000"/>
        </w:rPr>
      </w:pPr>
      <w:r w:rsidRPr="00854FC2">
        <w:rPr>
          <w:color w:val="000000"/>
        </w:rPr>
        <w:t>EPA assumed that the cost to a facility owner or operator to retain an outside PE to certify the SPCC Plan varies by the size</w:t>
      </w:r>
      <w:r w:rsidR="002F1EC4">
        <w:rPr>
          <w:color w:val="000000"/>
        </w:rPr>
        <w:t>, complexity and location</w:t>
      </w:r>
      <w:r w:rsidRPr="00854FC2">
        <w:rPr>
          <w:color w:val="000000"/>
        </w:rPr>
        <w:t xml:space="preserve"> of the facility.  EPA used this assumption because a larger facility likely has a more complex SPCC Plan, and more complex Plan amendments, than a smaller facility.  </w:t>
      </w:r>
      <w:r w:rsidR="008960FF">
        <w:rPr>
          <w:color w:val="000000"/>
        </w:rPr>
        <w:t xml:space="preserve">Unless facilities </w:t>
      </w:r>
      <w:r w:rsidR="008960FF" w:rsidRPr="00854FC2">
        <w:t>meet the “qualified facility” criteria</w:t>
      </w:r>
      <w:r w:rsidR="008960FF">
        <w:t xml:space="preserve">, </w:t>
      </w:r>
      <w:r w:rsidR="008960FF">
        <w:rPr>
          <w:color w:val="000000"/>
        </w:rPr>
        <w:t>t</w:t>
      </w:r>
      <w:r w:rsidRPr="00854FC2">
        <w:rPr>
          <w:color w:val="000000"/>
        </w:rPr>
        <w:t xml:space="preserve">he burden associated with certifying SPCC Plans and </w:t>
      </w:r>
      <w:r w:rsidR="00A57A74">
        <w:rPr>
          <w:color w:val="000000"/>
        </w:rPr>
        <w:t>their</w:t>
      </w:r>
      <w:r w:rsidR="008960FF">
        <w:rPr>
          <w:color w:val="000000"/>
        </w:rPr>
        <w:t xml:space="preserve"> </w:t>
      </w:r>
      <w:r w:rsidRPr="00854FC2">
        <w:rPr>
          <w:color w:val="000000"/>
        </w:rPr>
        <w:t xml:space="preserve">amendments requires </w:t>
      </w:r>
      <w:r w:rsidR="00DE67F4">
        <w:rPr>
          <w:color w:val="000000"/>
        </w:rPr>
        <w:t xml:space="preserve">a </w:t>
      </w:r>
      <w:r w:rsidR="009178D3">
        <w:rPr>
          <w:color w:val="000000"/>
        </w:rPr>
        <w:t>PE</w:t>
      </w:r>
      <w:r w:rsidRPr="00854FC2">
        <w:rPr>
          <w:color w:val="000000"/>
        </w:rPr>
        <w:t>. The estimated wages for PE labor used in this analysis are as follows</w:t>
      </w:r>
      <w:r w:rsidR="00275C92">
        <w:rPr>
          <w:color w:val="000000"/>
        </w:rPr>
        <w:t>:</w:t>
      </w:r>
      <w:r w:rsidRPr="00854FC2">
        <w:rPr>
          <w:rStyle w:val="FootnoteReference"/>
          <w:color w:val="000000"/>
        </w:rPr>
        <w:footnoteReference w:id="11"/>
      </w:r>
    </w:p>
    <w:p w:rsidR="00D85665" w:rsidRPr="00854FC2" w:rsidRDefault="00D85665">
      <w:pPr>
        <w:pStyle w:val="BodyText"/>
        <w:rPr>
          <w:color w:val="000000"/>
        </w:rPr>
      </w:pPr>
    </w:p>
    <w:p w:rsidR="00D85665" w:rsidRPr="00465FCC" w:rsidRDefault="00D85665">
      <w:pPr>
        <w:keepNext/>
        <w:keepLines/>
        <w:numPr>
          <w:ilvl w:val="0"/>
          <w:numId w:val="6"/>
        </w:numPr>
        <w:rPr>
          <w:rFonts w:cs="Arial"/>
          <w:szCs w:val="22"/>
        </w:rPr>
      </w:pPr>
      <w:r w:rsidRPr="00465FCC">
        <w:rPr>
          <w:rFonts w:cs="Arial"/>
          <w:szCs w:val="22"/>
        </w:rPr>
        <w:t xml:space="preserve">Management:  </w:t>
      </w:r>
      <w:r w:rsidR="00676D88">
        <w:rPr>
          <w:rFonts w:cs="Arial"/>
          <w:szCs w:val="22"/>
        </w:rPr>
        <w:t xml:space="preserve">$158/hour; </w:t>
      </w:r>
    </w:p>
    <w:p w:rsidR="00D85665" w:rsidRPr="00465FCC" w:rsidRDefault="00D85665">
      <w:pPr>
        <w:keepNext/>
        <w:keepLines/>
        <w:numPr>
          <w:ilvl w:val="0"/>
          <w:numId w:val="6"/>
        </w:numPr>
        <w:rPr>
          <w:rFonts w:cs="Arial"/>
          <w:szCs w:val="22"/>
        </w:rPr>
      </w:pPr>
      <w:r w:rsidRPr="00465FCC">
        <w:rPr>
          <w:rFonts w:cs="Arial"/>
          <w:szCs w:val="22"/>
        </w:rPr>
        <w:t xml:space="preserve">Technical:  </w:t>
      </w:r>
      <w:r w:rsidR="00676D88">
        <w:rPr>
          <w:rFonts w:cs="Arial"/>
          <w:szCs w:val="22"/>
        </w:rPr>
        <w:t xml:space="preserve"> $127/hour;</w:t>
      </w:r>
    </w:p>
    <w:p w:rsidR="00D85665" w:rsidRPr="00465FCC" w:rsidRDefault="00D85665">
      <w:pPr>
        <w:keepNext/>
        <w:keepLines/>
        <w:numPr>
          <w:ilvl w:val="0"/>
          <w:numId w:val="6"/>
        </w:numPr>
        <w:rPr>
          <w:rFonts w:cs="Arial"/>
          <w:szCs w:val="22"/>
        </w:rPr>
      </w:pPr>
      <w:r w:rsidRPr="00465FCC">
        <w:rPr>
          <w:rFonts w:cs="Arial"/>
          <w:szCs w:val="22"/>
        </w:rPr>
        <w:t xml:space="preserve">Drafter: </w:t>
      </w:r>
      <w:r w:rsidR="00676D88">
        <w:rPr>
          <w:rFonts w:cs="Arial"/>
          <w:szCs w:val="22"/>
        </w:rPr>
        <w:t xml:space="preserve">$79/hour; </w:t>
      </w:r>
      <w:r w:rsidRPr="00465FCC">
        <w:rPr>
          <w:rFonts w:cs="Arial"/>
          <w:szCs w:val="22"/>
        </w:rPr>
        <w:t>and</w:t>
      </w:r>
    </w:p>
    <w:p w:rsidR="00D85665" w:rsidRPr="00465FCC" w:rsidRDefault="00D85665">
      <w:pPr>
        <w:keepNext/>
        <w:keepLines/>
        <w:numPr>
          <w:ilvl w:val="0"/>
          <w:numId w:val="6"/>
        </w:numPr>
        <w:rPr>
          <w:rFonts w:cs="Arial"/>
          <w:szCs w:val="22"/>
        </w:rPr>
      </w:pPr>
      <w:r w:rsidRPr="00465FCC">
        <w:rPr>
          <w:rFonts w:cs="Arial"/>
          <w:szCs w:val="22"/>
        </w:rPr>
        <w:t xml:space="preserve">Clerical:  </w:t>
      </w:r>
      <w:r w:rsidR="00676D88">
        <w:rPr>
          <w:rFonts w:cs="Arial"/>
          <w:szCs w:val="22"/>
        </w:rPr>
        <w:t xml:space="preserve"> $58/hour.</w:t>
      </w:r>
    </w:p>
    <w:p w:rsidR="00D85665" w:rsidRPr="00854FC2" w:rsidRDefault="00D85665">
      <w:pPr>
        <w:keepNext/>
        <w:keepLines/>
        <w:rPr>
          <w:rFonts w:cs="Arial"/>
          <w:szCs w:val="22"/>
        </w:rPr>
      </w:pPr>
    </w:p>
    <w:p w:rsidR="00D85665" w:rsidRPr="00854FC2" w:rsidRDefault="005B2180">
      <w:pPr>
        <w:pStyle w:val="BodyText"/>
        <w:numPr>
          <w:ilvl w:val="12"/>
          <w:numId w:val="0"/>
        </w:numPr>
        <w:tabs>
          <w:tab w:val="left" w:pos="0"/>
          <w:tab w:val="left" w:pos="720"/>
        </w:tabs>
      </w:pPr>
      <w:r>
        <w:tab/>
      </w:r>
      <w:r w:rsidR="00D85665" w:rsidRPr="00854FC2">
        <w:t>Some facilities are expected to incur O&amp;M costs associated with retaining a PE to certify their SPCC Plans, along with any subsequent technical amendments that are made to the Plan.  In certifying the Plan, the engineer attests to have examined the facility and that the Plan has been prepared in accordance with good engineering practices that satisfy the SPCC requirements in 40 CFR part 112. Furthermore, a PE must certify any technical amendment to an SPCC Plan.</w:t>
      </w:r>
    </w:p>
    <w:p w:rsidR="00D85665" w:rsidRPr="00854FC2" w:rsidRDefault="00D85665">
      <w:pPr>
        <w:numPr>
          <w:ilvl w:val="12"/>
          <w:numId w:val="0"/>
        </w:numPr>
        <w:tabs>
          <w:tab w:val="left" w:pos="0"/>
          <w:tab w:val="left" w:pos="720"/>
        </w:tabs>
        <w:rPr>
          <w:rFonts w:cs="Arial"/>
          <w:szCs w:val="22"/>
        </w:rPr>
      </w:pPr>
    </w:p>
    <w:p w:rsidR="00D85665" w:rsidRPr="00854FC2" w:rsidRDefault="00864E8A">
      <w:pPr>
        <w:numPr>
          <w:ilvl w:val="12"/>
          <w:numId w:val="0"/>
        </w:numPr>
        <w:tabs>
          <w:tab w:val="left" w:pos="0"/>
          <w:tab w:val="left" w:pos="720"/>
        </w:tabs>
        <w:rPr>
          <w:rFonts w:cs="Arial"/>
          <w:szCs w:val="22"/>
        </w:rPr>
      </w:pPr>
      <w:r>
        <w:rPr>
          <w:rFonts w:cs="Arial"/>
          <w:szCs w:val="22"/>
        </w:rPr>
        <w:tab/>
      </w:r>
      <w:fldSimple w:instr=" REF _Ref141689613  \* MERGEFORMAT ">
        <w:r w:rsidR="00F61EFD" w:rsidRPr="006D5D5C">
          <w:t xml:space="preserve">Exhibit </w:t>
        </w:r>
        <w:r w:rsidR="00F61EFD">
          <w:t>3</w:t>
        </w:r>
      </w:fldSimple>
      <w:r w:rsidR="00D85665" w:rsidRPr="00854FC2">
        <w:rPr>
          <w:rFonts w:cs="Arial"/>
          <w:szCs w:val="22"/>
        </w:rPr>
        <w:t xml:space="preserve"> summarizes the </w:t>
      </w:r>
      <w:r w:rsidR="00EE22D6">
        <w:rPr>
          <w:rFonts w:cs="Arial"/>
          <w:szCs w:val="22"/>
        </w:rPr>
        <w:t xml:space="preserve">average </w:t>
      </w:r>
      <w:r w:rsidR="00D85665" w:rsidRPr="00854FC2">
        <w:rPr>
          <w:rFonts w:cs="Arial"/>
          <w:szCs w:val="22"/>
        </w:rPr>
        <w:t>expected costs for facilities of different sizes</w:t>
      </w:r>
      <w:r w:rsidR="00602FD6">
        <w:rPr>
          <w:rFonts w:cs="Arial"/>
          <w:szCs w:val="22"/>
        </w:rPr>
        <w:t xml:space="preserve"> for </w:t>
      </w:r>
      <w:r w:rsidR="00D85665" w:rsidRPr="00854FC2">
        <w:rPr>
          <w:rFonts w:cs="Arial"/>
          <w:szCs w:val="22"/>
        </w:rPr>
        <w:t>PE certification of a new Plan as well as any subsequent amendments.</w:t>
      </w:r>
    </w:p>
    <w:p w:rsidR="00D85665" w:rsidRPr="00854FC2" w:rsidRDefault="00D85665">
      <w:pPr>
        <w:pStyle w:val="Footer"/>
        <w:numPr>
          <w:ilvl w:val="12"/>
          <w:numId w:val="0"/>
        </w:numPr>
        <w:tabs>
          <w:tab w:val="clear" w:pos="4320"/>
          <w:tab w:val="clear" w:pos="8640"/>
          <w:tab w:val="left" w:pos="0"/>
          <w:tab w:val="left" w:pos="720"/>
        </w:tabs>
        <w:rPr>
          <w:rFonts w:cs="Arial"/>
          <w:szCs w:val="22"/>
        </w:rPr>
      </w:pPr>
    </w:p>
    <w:p w:rsidR="00D85665" w:rsidRPr="00854FC2" w:rsidRDefault="00D85665" w:rsidP="00A15DF0">
      <w:pPr>
        <w:pStyle w:val="Caption"/>
        <w:keepNext/>
        <w:keepLines/>
        <w:spacing w:line="240" w:lineRule="auto"/>
        <w:outlineLvl w:val="0"/>
      </w:pPr>
      <w:bookmarkStart w:id="3" w:name="_Ref141689613"/>
      <w:r w:rsidRPr="006D5D5C">
        <w:lastRenderedPageBreak/>
        <w:t xml:space="preserve">Exhibit </w:t>
      </w:r>
      <w:r w:rsidR="002348E6">
        <w:fldChar w:fldCharType="begin"/>
      </w:r>
      <w:r w:rsidR="002348E6">
        <w:instrText xml:space="preserve"> SEQ Exhibit \* ARABIC </w:instrText>
      </w:r>
      <w:r w:rsidR="002348E6">
        <w:fldChar w:fldCharType="separate"/>
      </w:r>
      <w:r w:rsidR="00F61EFD">
        <w:rPr>
          <w:noProof/>
        </w:rPr>
        <w:t>3</w:t>
      </w:r>
      <w:r w:rsidR="002348E6">
        <w:fldChar w:fldCharType="end"/>
      </w:r>
      <w:bookmarkEnd w:id="3"/>
    </w:p>
    <w:tbl>
      <w:tblPr>
        <w:tblW w:w="7454" w:type="dxa"/>
        <w:jc w:val="center"/>
        <w:tblInd w:w="1143" w:type="dxa"/>
        <w:tblCellMar>
          <w:left w:w="0" w:type="dxa"/>
          <w:right w:w="0" w:type="dxa"/>
        </w:tblCellMar>
        <w:tblLook w:val="0000"/>
      </w:tblPr>
      <w:tblGrid>
        <w:gridCol w:w="1760"/>
        <w:gridCol w:w="1922"/>
        <w:gridCol w:w="1303"/>
        <w:gridCol w:w="2485"/>
      </w:tblGrid>
      <w:tr w:rsidR="00D85665" w:rsidRPr="00854FC2" w:rsidTr="000E7DDF">
        <w:trPr>
          <w:trHeight w:val="315"/>
          <w:jc w:val="center"/>
        </w:trPr>
        <w:tc>
          <w:tcPr>
            <w:tcW w:w="7454" w:type="dxa"/>
            <w:gridSpan w:val="4"/>
            <w:tcBorders>
              <w:top w:val="nil"/>
              <w:left w:val="nil"/>
              <w:bottom w:val="double" w:sz="6" w:space="0" w:color="000000"/>
              <w:right w:val="nil"/>
            </w:tcBorders>
            <w:noWrap/>
            <w:vAlign w:val="bottom"/>
          </w:tcPr>
          <w:p w:rsidR="00D85665" w:rsidRPr="00854FC2" w:rsidRDefault="00D85665">
            <w:pPr>
              <w:keepNext/>
              <w:keepLines/>
              <w:spacing w:line="240" w:lineRule="auto"/>
              <w:jc w:val="center"/>
              <w:rPr>
                <w:rFonts w:eastAsia="Arial Unicode MS" w:cs="Arial"/>
                <w:b/>
                <w:bCs/>
                <w:szCs w:val="22"/>
              </w:rPr>
            </w:pPr>
            <w:r w:rsidRPr="00854FC2">
              <w:rPr>
                <w:rFonts w:cs="Arial"/>
                <w:b/>
                <w:bCs/>
                <w:szCs w:val="22"/>
              </w:rPr>
              <w:t xml:space="preserve">Cost </w:t>
            </w:r>
            <w:r w:rsidR="00E15D25">
              <w:rPr>
                <w:rFonts w:cs="Arial"/>
                <w:b/>
                <w:bCs/>
                <w:szCs w:val="22"/>
              </w:rPr>
              <w:t xml:space="preserve">of </w:t>
            </w:r>
            <w:r w:rsidRPr="00854FC2">
              <w:rPr>
                <w:rFonts w:cs="Arial"/>
                <w:b/>
                <w:bCs/>
                <w:szCs w:val="22"/>
              </w:rPr>
              <w:t>PE Certification</w:t>
            </w:r>
            <w:r w:rsidR="00C02916">
              <w:rPr>
                <w:rFonts w:cs="Arial"/>
                <w:b/>
                <w:bCs/>
                <w:szCs w:val="22"/>
              </w:rPr>
              <w:t xml:space="preserve"> </w:t>
            </w:r>
            <w:r w:rsidR="00B035BA">
              <w:rPr>
                <w:rFonts w:cs="Arial"/>
                <w:b/>
                <w:bCs/>
                <w:szCs w:val="22"/>
              </w:rPr>
              <w:t xml:space="preserve">for </w:t>
            </w:r>
            <w:r w:rsidR="00C02916">
              <w:rPr>
                <w:rFonts w:cs="Arial"/>
                <w:b/>
                <w:bCs/>
                <w:szCs w:val="22"/>
              </w:rPr>
              <w:t>the SPCC Plan</w:t>
            </w:r>
            <w:r w:rsidR="00E07395">
              <w:rPr>
                <w:rFonts w:cs="Arial"/>
                <w:b/>
                <w:bCs/>
                <w:szCs w:val="22"/>
              </w:rPr>
              <w:t xml:space="preserve"> </w:t>
            </w:r>
            <w:r w:rsidR="00E07395">
              <w:rPr>
                <w:rFonts w:cs="Arial"/>
                <w:b/>
                <w:bCs/>
                <w:sz w:val="20"/>
                <w:szCs w:val="20"/>
              </w:rPr>
              <w:t>(2009$)</w:t>
            </w:r>
            <w:r w:rsidR="002A0A77" w:rsidRPr="002A0A77">
              <w:rPr>
                <w:rFonts w:eastAsia="Arial Unicode MS" w:cs="Arial"/>
                <w:sz w:val="20"/>
                <w:szCs w:val="20"/>
                <w:vertAlign w:val="superscript"/>
              </w:rPr>
              <w:t>1</w:t>
            </w:r>
          </w:p>
        </w:tc>
      </w:tr>
      <w:tr w:rsidR="00D85665" w:rsidRPr="00854FC2" w:rsidTr="000E7DDF">
        <w:trPr>
          <w:trHeight w:val="285"/>
          <w:jc w:val="center"/>
        </w:trPr>
        <w:tc>
          <w:tcPr>
            <w:tcW w:w="1765" w:type="dxa"/>
            <w:tcBorders>
              <w:top w:val="nil"/>
              <w:left w:val="double" w:sz="6" w:space="0" w:color="000000"/>
              <w:bottom w:val="double" w:sz="6" w:space="0" w:color="000000"/>
              <w:right w:val="single" w:sz="4" w:space="0" w:color="000000"/>
            </w:tcBorders>
            <w:tcMar>
              <w:top w:w="29" w:type="dxa"/>
              <w:left w:w="58" w:type="dxa"/>
              <w:bottom w:w="29" w:type="dxa"/>
              <w:right w:w="58" w:type="dxa"/>
            </w:tcMar>
            <w:vAlign w:val="bottom"/>
          </w:tcPr>
          <w:p w:rsidR="00D85665" w:rsidRPr="00854FC2" w:rsidRDefault="00D85665">
            <w:pPr>
              <w:keepNext/>
              <w:keepLines/>
              <w:jc w:val="center"/>
              <w:rPr>
                <w:rFonts w:eastAsia="Arial Unicode MS" w:cs="Arial"/>
                <w:b/>
                <w:bCs/>
                <w:sz w:val="20"/>
                <w:szCs w:val="20"/>
              </w:rPr>
            </w:pPr>
            <w:r w:rsidRPr="00854FC2">
              <w:rPr>
                <w:rFonts w:cs="Arial"/>
                <w:b/>
                <w:bCs/>
                <w:sz w:val="20"/>
                <w:szCs w:val="20"/>
              </w:rPr>
              <w:t>Size Category</w:t>
            </w:r>
          </w:p>
        </w:tc>
        <w:tc>
          <w:tcPr>
            <w:tcW w:w="1927" w:type="dxa"/>
            <w:tcBorders>
              <w:top w:val="nil"/>
              <w:left w:val="nil"/>
              <w:bottom w:val="double" w:sz="6" w:space="0" w:color="000000"/>
              <w:right w:val="single" w:sz="4" w:space="0" w:color="000000"/>
            </w:tcBorders>
            <w:tcMar>
              <w:top w:w="29" w:type="dxa"/>
              <w:left w:w="58" w:type="dxa"/>
              <w:bottom w:w="29" w:type="dxa"/>
              <w:right w:w="58" w:type="dxa"/>
            </w:tcMar>
            <w:vAlign w:val="bottom"/>
          </w:tcPr>
          <w:p w:rsidR="00D85665" w:rsidRPr="00854FC2" w:rsidRDefault="00D85665">
            <w:pPr>
              <w:keepNext/>
              <w:keepLines/>
              <w:jc w:val="center"/>
              <w:rPr>
                <w:rFonts w:eastAsia="Arial Unicode MS" w:cs="Arial"/>
                <w:b/>
                <w:bCs/>
                <w:sz w:val="20"/>
                <w:szCs w:val="20"/>
              </w:rPr>
            </w:pPr>
            <w:r w:rsidRPr="00854FC2">
              <w:rPr>
                <w:rFonts w:eastAsia="Arial Unicode MS" w:cs="Arial"/>
                <w:b/>
                <w:bCs/>
                <w:sz w:val="20"/>
                <w:szCs w:val="20"/>
              </w:rPr>
              <w:t>Facility Type</w:t>
            </w:r>
          </w:p>
        </w:tc>
        <w:tc>
          <w:tcPr>
            <w:tcW w:w="1306" w:type="dxa"/>
            <w:tcBorders>
              <w:top w:val="nil"/>
              <w:left w:val="nil"/>
              <w:bottom w:val="double" w:sz="6" w:space="0" w:color="000000"/>
              <w:right w:val="single" w:sz="4" w:space="0" w:color="auto"/>
            </w:tcBorders>
            <w:tcMar>
              <w:top w:w="29" w:type="dxa"/>
              <w:left w:w="58" w:type="dxa"/>
              <w:bottom w:w="29" w:type="dxa"/>
              <w:right w:w="58" w:type="dxa"/>
            </w:tcMar>
            <w:vAlign w:val="bottom"/>
          </w:tcPr>
          <w:p w:rsidR="00D85665" w:rsidRPr="00854FC2" w:rsidRDefault="00D85665">
            <w:pPr>
              <w:keepNext/>
              <w:keepLines/>
              <w:jc w:val="center"/>
              <w:rPr>
                <w:rFonts w:eastAsia="Arial Unicode MS" w:cs="Arial"/>
                <w:b/>
                <w:bCs/>
                <w:sz w:val="20"/>
                <w:szCs w:val="20"/>
              </w:rPr>
            </w:pPr>
            <w:r w:rsidRPr="00854FC2">
              <w:rPr>
                <w:rFonts w:cs="Arial"/>
                <w:b/>
                <w:bCs/>
                <w:sz w:val="20"/>
                <w:szCs w:val="20"/>
              </w:rPr>
              <w:t>New Plan</w:t>
            </w:r>
          </w:p>
        </w:tc>
        <w:tc>
          <w:tcPr>
            <w:tcW w:w="2456" w:type="dxa"/>
            <w:tcBorders>
              <w:top w:val="nil"/>
              <w:left w:val="single" w:sz="4" w:space="0" w:color="auto"/>
              <w:bottom w:val="double" w:sz="6" w:space="0" w:color="000000"/>
              <w:right w:val="double" w:sz="6" w:space="0" w:color="000000"/>
            </w:tcBorders>
            <w:vAlign w:val="bottom"/>
          </w:tcPr>
          <w:p w:rsidR="00D85665" w:rsidRPr="00854FC2" w:rsidRDefault="00D85665">
            <w:pPr>
              <w:keepNext/>
              <w:keepLines/>
              <w:jc w:val="center"/>
              <w:rPr>
                <w:rFonts w:eastAsia="Arial Unicode MS" w:cs="Arial"/>
                <w:b/>
                <w:bCs/>
                <w:sz w:val="20"/>
                <w:szCs w:val="20"/>
              </w:rPr>
            </w:pPr>
            <w:r w:rsidRPr="00854FC2">
              <w:rPr>
                <w:rFonts w:cs="Arial"/>
                <w:b/>
                <w:bCs/>
                <w:sz w:val="20"/>
                <w:szCs w:val="20"/>
              </w:rPr>
              <w:t>Amendments</w:t>
            </w:r>
          </w:p>
        </w:tc>
      </w:tr>
      <w:tr w:rsidR="000E7DDF" w:rsidRPr="00854FC2" w:rsidTr="000E7DDF">
        <w:trPr>
          <w:cantSplit/>
          <w:trHeight w:val="270"/>
          <w:jc w:val="center"/>
        </w:trPr>
        <w:tc>
          <w:tcPr>
            <w:tcW w:w="1765" w:type="dxa"/>
            <w:vMerge w:val="restart"/>
            <w:tcBorders>
              <w:top w:val="double" w:sz="6" w:space="0" w:color="000000"/>
              <w:left w:val="double" w:sz="6" w:space="0" w:color="000000"/>
              <w:right w:val="single" w:sz="4" w:space="0" w:color="000000"/>
            </w:tcBorders>
            <w:tcMar>
              <w:top w:w="29" w:type="dxa"/>
              <w:left w:w="58" w:type="dxa"/>
              <w:bottom w:w="29" w:type="dxa"/>
              <w:right w:w="58" w:type="dxa"/>
            </w:tcMar>
            <w:vAlign w:val="center"/>
          </w:tcPr>
          <w:p w:rsidR="000E7DDF" w:rsidRPr="00854FC2" w:rsidRDefault="000E7DDF">
            <w:pPr>
              <w:keepNext/>
              <w:keepLines/>
              <w:jc w:val="center"/>
              <w:rPr>
                <w:rFonts w:eastAsia="Arial Unicode MS" w:cs="Arial"/>
                <w:sz w:val="20"/>
                <w:szCs w:val="20"/>
              </w:rPr>
            </w:pPr>
            <w:r w:rsidRPr="00854FC2">
              <w:rPr>
                <w:rFonts w:cs="Arial"/>
                <w:sz w:val="20"/>
                <w:szCs w:val="20"/>
              </w:rPr>
              <w:t>I</w:t>
            </w:r>
          </w:p>
        </w:tc>
        <w:tc>
          <w:tcPr>
            <w:tcW w:w="1927" w:type="dxa"/>
            <w:tcBorders>
              <w:top w:val="double" w:sz="6" w:space="0" w:color="000000"/>
              <w:left w:val="nil"/>
              <w:bottom w:val="single" w:sz="4" w:space="0" w:color="auto"/>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306" w:type="dxa"/>
            <w:tcBorders>
              <w:top w:val="double" w:sz="6" w:space="0" w:color="000000"/>
              <w:left w:val="single" w:sz="4" w:space="0" w:color="auto"/>
              <w:bottom w:val="single" w:sz="4" w:space="0" w:color="auto"/>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$1,5</w:t>
            </w:r>
            <w:r w:rsidR="00CF1134">
              <w:rPr>
                <w:rFonts w:eastAsia="Arial Unicode MS" w:cs="Arial"/>
                <w:sz w:val="20"/>
                <w:szCs w:val="20"/>
              </w:rPr>
              <w:t>9</w:t>
            </w:r>
            <w:r w:rsidRPr="00032412">
              <w:rPr>
                <w:rFonts w:eastAsia="Arial Unicode MS" w:cs="Arial"/>
                <w:sz w:val="20"/>
                <w:szCs w:val="20"/>
              </w:rPr>
              <w:t>0</w:t>
            </w:r>
          </w:p>
        </w:tc>
        <w:tc>
          <w:tcPr>
            <w:tcW w:w="2456" w:type="dxa"/>
            <w:tcBorders>
              <w:top w:val="double" w:sz="6" w:space="0" w:color="000000"/>
              <w:left w:val="single" w:sz="4" w:space="0" w:color="auto"/>
              <w:bottom w:val="single" w:sz="4" w:space="0" w:color="auto"/>
              <w:right w:val="double" w:sz="6" w:space="0" w:color="000000"/>
            </w:tcBorders>
            <w:vAlign w:val="bottom"/>
          </w:tcPr>
          <w:p w:rsidR="000E7DDF" w:rsidRPr="00032412" w:rsidRDefault="000E7DDF" w:rsidP="00CF1134">
            <w:pPr>
              <w:keepNext/>
              <w:keepLines/>
              <w:ind w:rightChars="42" w:right="92"/>
              <w:jc w:val="right"/>
              <w:rPr>
                <w:rFonts w:eastAsia="Arial Unicode MS" w:cs="Arial"/>
                <w:sz w:val="20"/>
                <w:szCs w:val="20"/>
              </w:rPr>
            </w:pPr>
            <w:r w:rsidRPr="00032412">
              <w:rPr>
                <w:rFonts w:eastAsia="Arial Unicode MS" w:cs="Arial"/>
                <w:sz w:val="20"/>
                <w:szCs w:val="20"/>
              </w:rPr>
              <w:t>$2,1</w:t>
            </w:r>
            <w:r w:rsidR="00CF1134">
              <w:rPr>
                <w:rFonts w:eastAsia="Arial Unicode MS" w:cs="Arial"/>
                <w:sz w:val="20"/>
                <w:szCs w:val="20"/>
              </w:rPr>
              <w:t>3</w:t>
            </w:r>
            <w:r w:rsidRPr="00032412">
              <w:rPr>
                <w:rFonts w:eastAsia="Arial Unicode MS" w:cs="Arial"/>
                <w:sz w:val="20"/>
                <w:szCs w:val="20"/>
              </w:rPr>
              <w:t>0</w:t>
            </w:r>
          </w:p>
        </w:tc>
      </w:tr>
      <w:tr w:rsidR="000E7DDF" w:rsidRPr="00854FC2" w:rsidTr="000E7DDF">
        <w:trPr>
          <w:cantSplit/>
          <w:trHeight w:val="255"/>
          <w:jc w:val="center"/>
        </w:trPr>
        <w:tc>
          <w:tcPr>
            <w:tcW w:w="1765" w:type="dxa"/>
            <w:vMerge/>
            <w:tcBorders>
              <w:top w:val="single" w:sz="4" w:space="0" w:color="auto"/>
              <w:left w:val="double" w:sz="6" w:space="0" w:color="000000"/>
              <w:right w:val="single" w:sz="4" w:space="0" w:color="000000"/>
            </w:tcBorders>
            <w:tcMar>
              <w:top w:w="29" w:type="dxa"/>
              <w:left w:w="58" w:type="dxa"/>
              <w:bottom w:w="29" w:type="dxa"/>
              <w:right w:w="58" w:type="dxa"/>
            </w:tcMar>
            <w:vAlign w:val="center"/>
          </w:tcPr>
          <w:p w:rsidR="000E7DDF" w:rsidRPr="00854FC2" w:rsidRDefault="000E7DDF">
            <w:pPr>
              <w:keepNext/>
              <w:keepLines/>
              <w:jc w:val="center"/>
              <w:rPr>
                <w:rFonts w:eastAsia="Arial Unicode MS" w:cs="Arial"/>
                <w:sz w:val="20"/>
                <w:szCs w:val="20"/>
              </w:rPr>
            </w:pPr>
          </w:p>
        </w:tc>
        <w:tc>
          <w:tcPr>
            <w:tcW w:w="1927"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30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$7</w:t>
            </w:r>
            <w:r w:rsidR="00CF1134">
              <w:rPr>
                <w:rFonts w:eastAsia="Arial Unicode MS" w:cs="Arial"/>
                <w:sz w:val="20"/>
                <w:szCs w:val="20"/>
              </w:rPr>
              <w:t>9</w:t>
            </w:r>
            <w:r w:rsidRPr="00032412">
              <w:rPr>
                <w:rFonts w:eastAsia="Arial Unicode MS" w:cs="Arial"/>
                <w:sz w:val="20"/>
                <w:szCs w:val="20"/>
              </w:rPr>
              <w:t>4</w:t>
            </w:r>
          </w:p>
        </w:tc>
        <w:tc>
          <w:tcPr>
            <w:tcW w:w="2456" w:type="dxa"/>
            <w:tcBorders>
              <w:top w:val="single" w:sz="4" w:space="0" w:color="auto"/>
              <w:left w:val="single" w:sz="4" w:space="0" w:color="auto"/>
              <w:bottom w:val="single" w:sz="4" w:space="0" w:color="auto"/>
              <w:right w:val="double" w:sz="6" w:space="0" w:color="000000"/>
            </w:tcBorders>
            <w:vAlign w:val="bottom"/>
          </w:tcPr>
          <w:p w:rsidR="000E7DDF" w:rsidRPr="00032412" w:rsidRDefault="000E7DDF" w:rsidP="00CF1134">
            <w:pPr>
              <w:keepNext/>
              <w:keepLines/>
              <w:ind w:rightChars="42" w:right="92"/>
              <w:jc w:val="right"/>
              <w:rPr>
                <w:rFonts w:eastAsia="Arial Unicode MS" w:cs="Arial"/>
                <w:sz w:val="20"/>
                <w:szCs w:val="20"/>
              </w:rPr>
            </w:pPr>
            <w:r w:rsidRPr="00032412">
              <w:rPr>
                <w:rFonts w:eastAsia="Arial Unicode MS" w:cs="Arial"/>
                <w:sz w:val="20"/>
                <w:szCs w:val="20"/>
              </w:rPr>
              <w:t>$1,0</w:t>
            </w:r>
            <w:r w:rsidR="00CF1134">
              <w:rPr>
                <w:rFonts w:eastAsia="Arial Unicode MS" w:cs="Arial"/>
                <w:sz w:val="20"/>
                <w:szCs w:val="20"/>
              </w:rPr>
              <w:t>7</w:t>
            </w:r>
            <w:r w:rsidRPr="00032412">
              <w:rPr>
                <w:rFonts w:eastAsia="Arial Unicode MS" w:cs="Arial"/>
                <w:sz w:val="20"/>
                <w:szCs w:val="20"/>
              </w:rPr>
              <w:t>0</w:t>
            </w:r>
          </w:p>
        </w:tc>
      </w:tr>
      <w:tr w:rsidR="000E7DDF" w:rsidRPr="00854FC2" w:rsidTr="000E7DDF">
        <w:trPr>
          <w:cantSplit/>
          <w:trHeight w:val="255"/>
          <w:jc w:val="center"/>
        </w:trPr>
        <w:tc>
          <w:tcPr>
            <w:tcW w:w="1765" w:type="dxa"/>
            <w:vMerge w:val="restart"/>
            <w:tcBorders>
              <w:top w:val="single" w:sz="4" w:space="0" w:color="auto"/>
              <w:left w:val="double" w:sz="6" w:space="0" w:color="000000"/>
              <w:right w:val="single" w:sz="4" w:space="0" w:color="000000"/>
            </w:tcBorders>
            <w:tcMar>
              <w:top w:w="29" w:type="dxa"/>
              <w:left w:w="58" w:type="dxa"/>
              <w:bottom w:w="29" w:type="dxa"/>
              <w:right w:w="58" w:type="dxa"/>
            </w:tcMar>
            <w:vAlign w:val="center"/>
          </w:tcPr>
          <w:p w:rsidR="000E7DDF" w:rsidRPr="00854FC2" w:rsidRDefault="000E7DDF">
            <w:pPr>
              <w:keepNext/>
              <w:keepLines/>
              <w:jc w:val="center"/>
              <w:rPr>
                <w:rFonts w:eastAsia="Arial Unicode MS" w:cs="Arial"/>
                <w:sz w:val="20"/>
                <w:szCs w:val="20"/>
              </w:rPr>
            </w:pPr>
            <w:r w:rsidRPr="00854FC2">
              <w:rPr>
                <w:rFonts w:cs="Arial"/>
                <w:sz w:val="20"/>
                <w:szCs w:val="20"/>
              </w:rPr>
              <w:t>II</w:t>
            </w:r>
          </w:p>
        </w:tc>
        <w:tc>
          <w:tcPr>
            <w:tcW w:w="1927"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30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w:t>
            </w:r>
            <w:r w:rsidR="00CF1134">
              <w:rPr>
                <w:rFonts w:eastAsia="Arial Unicode MS" w:cs="Arial"/>
                <w:sz w:val="20"/>
                <w:szCs w:val="20"/>
              </w:rPr>
              <w:t>3,170</w:t>
            </w:r>
          </w:p>
        </w:tc>
        <w:tc>
          <w:tcPr>
            <w:tcW w:w="2456" w:type="dxa"/>
            <w:tcBorders>
              <w:top w:val="single" w:sz="4" w:space="0" w:color="auto"/>
              <w:left w:val="single" w:sz="4" w:space="0" w:color="auto"/>
              <w:bottom w:val="single" w:sz="4" w:space="0" w:color="auto"/>
              <w:right w:val="double" w:sz="6" w:space="0" w:color="000000"/>
            </w:tcBorders>
            <w:vAlign w:val="bottom"/>
          </w:tcPr>
          <w:p w:rsidR="000E7DDF" w:rsidRPr="00032412" w:rsidRDefault="000E7DDF" w:rsidP="00CF1134">
            <w:pPr>
              <w:keepNext/>
              <w:keepLines/>
              <w:ind w:rightChars="42" w:right="92"/>
              <w:jc w:val="right"/>
              <w:rPr>
                <w:rFonts w:eastAsia="Arial Unicode MS" w:cs="Arial"/>
                <w:sz w:val="20"/>
                <w:szCs w:val="20"/>
              </w:rPr>
            </w:pPr>
            <w:r w:rsidRPr="00032412">
              <w:rPr>
                <w:rFonts w:eastAsia="Arial Unicode MS" w:cs="Arial"/>
                <w:sz w:val="20"/>
                <w:szCs w:val="20"/>
              </w:rPr>
              <w:t>$4,</w:t>
            </w:r>
            <w:r w:rsidR="00CF1134">
              <w:rPr>
                <w:rFonts w:eastAsia="Arial Unicode MS" w:cs="Arial"/>
                <w:sz w:val="20"/>
                <w:szCs w:val="20"/>
              </w:rPr>
              <w:t>280</w:t>
            </w:r>
          </w:p>
        </w:tc>
      </w:tr>
      <w:tr w:rsidR="000E7DDF" w:rsidRPr="00854FC2" w:rsidTr="000E7DDF">
        <w:trPr>
          <w:cantSplit/>
          <w:trHeight w:val="270"/>
          <w:jc w:val="center"/>
        </w:trPr>
        <w:tc>
          <w:tcPr>
            <w:tcW w:w="1765" w:type="dxa"/>
            <w:vMerge/>
            <w:tcBorders>
              <w:top w:val="single" w:sz="4" w:space="0" w:color="auto"/>
              <w:left w:val="double" w:sz="6" w:space="0" w:color="000000"/>
              <w:bottom w:val="nil"/>
              <w:right w:val="single" w:sz="4" w:space="0" w:color="000000"/>
            </w:tcBorders>
            <w:tcMar>
              <w:top w:w="29" w:type="dxa"/>
              <w:left w:w="58" w:type="dxa"/>
              <w:bottom w:w="29" w:type="dxa"/>
              <w:right w:w="58" w:type="dxa"/>
            </w:tcMar>
            <w:vAlign w:val="center"/>
          </w:tcPr>
          <w:p w:rsidR="000E7DDF" w:rsidRPr="00854FC2" w:rsidRDefault="000E7DDF">
            <w:pPr>
              <w:keepNext/>
              <w:keepLines/>
              <w:jc w:val="center"/>
              <w:rPr>
                <w:rFonts w:eastAsia="Arial Unicode MS" w:cs="Arial"/>
                <w:sz w:val="20"/>
                <w:szCs w:val="20"/>
              </w:rPr>
            </w:pPr>
          </w:p>
        </w:tc>
        <w:tc>
          <w:tcPr>
            <w:tcW w:w="1927"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30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$1,5</w:t>
            </w:r>
            <w:r w:rsidR="00CF1134">
              <w:rPr>
                <w:rFonts w:eastAsia="Arial Unicode MS" w:cs="Arial"/>
                <w:sz w:val="20"/>
                <w:szCs w:val="20"/>
              </w:rPr>
              <w:t>9</w:t>
            </w:r>
            <w:r w:rsidRPr="00032412">
              <w:rPr>
                <w:rFonts w:eastAsia="Arial Unicode MS" w:cs="Arial"/>
                <w:sz w:val="20"/>
                <w:szCs w:val="20"/>
              </w:rPr>
              <w:t>0</w:t>
            </w:r>
          </w:p>
        </w:tc>
        <w:tc>
          <w:tcPr>
            <w:tcW w:w="2456" w:type="dxa"/>
            <w:tcBorders>
              <w:top w:val="single" w:sz="4" w:space="0" w:color="auto"/>
              <w:left w:val="single" w:sz="4" w:space="0" w:color="auto"/>
              <w:bottom w:val="single" w:sz="4" w:space="0" w:color="auto"/>
              <w:right w:val="double" w:sz="6" w:space="0" w:color="000000"/>
            </w:tcBorders>
            <w:vAlign w:val="bottom"/>
          </w:tcPr>
          <w:p w:rsidR="000E7DDF" w:rsidRPr="00032412" w:rsidRDefault="000E7DDF" w:rsidP="00CF1134">
            <w:pPr>
              <w:keepNext/>
              <w:keepLines/>
              <w:ind w:rightChars="42" w:right="92"/>
              <w:jc w:val="right"/>
              <w:rPr>
                <w:rFonts w:eastAsia="Arial Unicode MS" w:cs="Arial"/>
                <w:sz w:val="20"/>
                <w:szCs w:val="20"/>
              </w:rPr>
            </w:pPr>
            <w:r w:rsidRPr="00032412">
              <w:rPr>
                <w:rFonts w:eastAsia="Arial Unicode MS" w:cs="Arial"/>
                <w:sz w:val="20"/>
                <w:szCs w:val="20"/>
              </w:rPr>
              <w:t>$2,1</w:t>
            </w:r>
            <w:r w:rsidR="00CF1134">
              <w:rPr>
                <w:rFonts w:eastAsia="Arial Unicode MS" w:cs="Arial"/>
                <w:sz w:val="20"/>
                <w:szCs w:val="20"/>
              </w:rPr>
              <w:t>3</w:t>
            </w:r>
            <w:r w:rsidRPr="00032412">
              <w:rPr>
                <w:rFonts w:eastAsia="Arial Unicode MS" w:cs="Arial"/>
                <w:sz w:val="20"/>
                <w:szCs w:val="20"/>
              </w:rPr>
              <w:t>0</w:t>
            </w:r>
          </w:p>
        </w:tc>
      </w:tr>
      <w:tr w:rsidR="000E7DDF" w:rsidRPr="00854FC2" w:rsidTr="000E7DDF">
        <w:trPr>
          <w:cantSplit/>
          <w:trHeight w:val="270"/>
          <w:jc w:val="center"/>
        </w:trPr>
        <w:tc>
          <w:tcPr>
            <w:tcW w:w="1765" w:type="dxa"/>
            <w:vMerge w:val="restart"/>
            <w:tcBorders>
              <w:top w:val="single" w:sz="4" w:space="0" w:color="auto"/>
              <w:left w:val="double" w:sz="6" w:space="0" w:color="000000"/>
              <w:right w:val="single" w:sz="4" w:space="0" w:color="000000"/>
            </w:tcBorders>
            <w:tcMar>
              <w:top w:w="29" w:type="dxa"/>
              <w:left w:w="58" w:type="dxa"/>
              <w:bottom w:w="29" w:type="dxa"/>
              <w:right w:w="58" w:type="dxa"/>
            </w:tcMar>
            <w:vAlign w:val="center"/>
          </w:tcPr>
          <w:p w:rsidR="000E7DDF" w:rsidRPr="00854FC2" w:rsidRDefault="000E7DDF">
            <w:pPr>
              <w:keepNext/>
              <w:keepLines/>
              <w:jc w:val="center"/>
              <w:rPr>
                <w:rFonts w:eastAsia="Arial Unicode MS" w:cs="Arial"/>
                <w:sz w:val="20"/>
                <w:szCs w:val="20"/>
              </w:rPr>
            </w:pPr>
            <w:r w:rsidRPr="00854FC2">
              <w:rPr>
                <w:rFonts w:cs="Arial"/>
                <w:sz w:val="20"/>
                <w:szCs w:val="20"/>
              </w:rPr>
              <w:t>III</w:t>
            </w:r>
          </w:p>
        </w:tc>
        <w:tc>
          <w:tcPr>
            <w:tcW w:w="1927"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30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$4,</w:t>
            </w:r>
            <w:r w:rsidR="00CF1134">
              <w:rPr>
                <w:rFonts w:eastAsia="Arial Unicode MS" w:cs="Arial"/>
                <w:sz w:val="20"/>
                <w:szCs w:val="20"/>
              </w:rPr>
              <w:t>76</w:t>
            </w:r>
            <w:r w:rsidRPr="00032412">
              <w:rPr>
                <w:rFonts w:eastAsia="Arial Unicode MS" w:cs="Arial"/>
                <w:sz w:val="20"/>
                <w:szCs w:val="20"/>
              </w:rPr>
              <w:t>0</w:t>
            </w:r>
          </w:p>
        </w:tc>
        <w:tc>
          <w:tcPr>
            <w:tcW w:w="2456" w:type="dxa"/>
            <w:tcBorders>
              <w:top w:val="single" w:sz="4" w:space="0" w:color="auto"/>
              <w:left w:val="single" w:sz="4" w:space="0" w:color="auto"/>
              <w:bottom w:val="single" w:sz="4" w:space="0" w:color="auto"/>
              <w:right w:val="double" w:sz="6" w:space="0" w:color="000000"/>
            </w:tcBorders>
            <w:vAlign w:val="bottom"/>
          </w:tcPr>
          <w:p w:rsidR="000E7DDF" w:rsidRPr="00032412" w:rsidRDefault="000E7DDF" w:rsidP="00CF1134">
            <w:pPr>
              <w:keepNext/>
              <w:keepLines/>
              <w:ind w:rightChars="42" w:right="92"/>
              <w:jc w:val="right"/>
              <w:rPr>
                <w:rFonts w:eastAsia="Arial Unicode MS" w:cs="Arial"/>
                <w:sz w:val="20"/>
                <w:szCs w:val="20"/>
              </w:rPr>
            </w:pPr>
            <w:r w:rsidRPr="00032412">
              <w:rPr>
                <w:rFonts w:eastAsia="Arial Unicode MS" w:cs="Arial"/>
                <w:sz w:val="20"/>
                <w:szCs w:val="20"/>
              </w:rPr>
              <w:t>$6,</w:t>
            </w:r>
            <w:r w:rsidR="00CF1134">
              <w:rPr>
                <w:rFonts w:eastAsia="Arial Unicode MS" w:cs="Arial"/>
                <w:sz w:val="20"/>
                <w:szCs w:val="20"/>
              </w:rPr>
              <w:t>410</w:t>
            </w:r>
          </w:p>
        </w:tc>
      </w:tr>
      <w:tr w:rsidR="000E7DDF" w:rsidRPr="00854FC2" w:rsidTr="000E7DDF">
        <w:trPr>
          <w:cantSplit/>
          <w:trHeight w:val="270"/>
          <w:jc w:val="center"/>
        </w:trPr>
        <w:tc>
          <w:tcPr>
            <w:tcW w:w="1765" w:type="dxa"/>
            <w:vMerge/>
            <w:tcBorders>
              <w:top w:val="single" w:sz="4" w:space="0" w:color="auto"/>
              <w:left w:val="double" w:sz="6" w:space="0" w:color="000000"/>
              <w:bottom w:val="single" w:sz="4" w:space="0" w:color="auto"/>
              <w:right w:val="single" w:sz="4" w:space="0" w:color="000000"/>
            </w:tcBorders>
            <w:tcMar>
              <w:top w:w="29" w:type="dxa"/>
              <w:left w:w="58" w:type="dxa"/>
              <w:bottom w:w="29" w:type="dxa"/>
              <w:right w:w="58" w:type="dxa"/>
            </w:tcMar>
            <w:vAlign w:val="center"/>
          </w:tcPr>
          <w:p w:rsidR="000E7DDF" w:rsidRPr="00854FC2" w:rsidRDefault="000E7DDF">
            <w:pPr>
              <w:keepNext/>
              <w:keepLines/>
              <w:jc w:val="center"/>
              <w:rPr>
                <w:rFonts w:eastAsia="Arial Unicode MS" w:cs="Arial"/>
                <w:sz w:val="20"/>
                <w:szCs w:val="20"/>
              </w:rPr>
            </w:pPr>
          </w:p>
        </w:tc>
        <w:tc>
          <w:tcPr>
            <w:tcW w:w="1927"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30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w:t>
            </w:r>
            <w:r w:rsidR="00CF1134">
              <w:rPr>
                <w:rFonts w:eastAsia="Arial Unicode MS" w:cs="Arial"/>
                <w:sz w:val="20"/>
                <w:szCs w:val="20"/>
              </w:rPr>
              <w:t>3,170</w:t>
            </w:r>
          </w:p>
        </w:tc>
        <w:tc>
          <w:tcPr>
            <w:tcW w:w="2456" w:type="dxa"/>
            <w:tcBorders>
              <w:top w:val="single" w:sz="4" w:space="0" w:color="auto"/>
              <w:left w:val="single" w:sz="4" w:space="0" w:color="auto"/>
              <w:bottom w:val="single" w:sz="4" w:space="0" w:color="auto"/>
              <w:right w:val="double" w:sz="6" w:space="0" w:color="000000"/>
            </w:tcBorders>
            <w:vAlign w:val="bottom"/>
          </w:tcPr>
          <w:p w:rsidR="000E7DDF" w:rsidRPr="00032412" w:rsidRDefault="000E7DDF" w:rsidP="00CF1134">
            <w:pPr>
              <w:keepNext/>
              <w:keepLines/>
              <w:ind w:leftChars="314" w:left="691" w:rightChars="42" w:right="92"/>
              <w:jc w:val="right"/>
              <w:rPr>
                <w:rFonts w:eastAsia="Arial Unicode MS" w:cs="Arial"/>
                <w:sz w:val="20"/>
                <w:szCs w:val="20"/>
              </w:rPr>
            </w:pPr>
            <w:r w:rsidRPr="00032412">
              <w:rPr>
                <w:rFonts w:eastAsia="Arial Unicode MS" w:cs="Arial"/>
                <w:sz w:val="20"/>
                <w:szCs w:val="20"/>
              </w:rPr>
              <w:t>$4,</w:t>
            </w:r>
            <w:r w:rsidR="00CF1134">
              <w:rPr>
                <w:rFonts w:eastAsia="Arial Unicode MS" w:cs="Arial"/>
                <w:sz w:val="20"/>
                <w:szCs w:val="20"/>
              </w:rPr>
              <w:t>280</w:t>
            </w:r>
          </w:p>
        </w:tc>
      </w:tr>
      <w:tr w:rsidR="000E7DDF" w:rsidRPr="00854FC2" w:rsidTr="000E7DDF">
        <w:trPr>
          <w:cantSplit/>
          <w:trHeight w:val="270"/>
          <w:jc w:val="center"/>
        </w:trPr>
        <w:tc>
          <w:tcPr>
            <w:tcW w:w="1765" w:type="dxa"/>
            <w:vMerge w:val="restart"/>
            <w:tcBorders>
              <w:top w:val="single" w:sz="4" w:space="0" w:color="auto"/>
              <w:left w:val="double" w:sz="6" w:space="0" w:color="000000"/>
              <w:bottom w:val="single" w:sz="4" w:space="0" w:color="auto"/>
              <w:right w:val="single" w:sz="4" w:space="0" w:color="000000"/>
            </w:tcBorders>
            <w:tcMar>
              <w:top w:w="29" w:type="dxa"/>
              <w:left w:w="58" w:type="dxa"/>
              <w:bottom w:w="29" w:type="dxa"/>
              <w:right w:w="58" w:type="dxa"/>
            </w:tcMar>
            <w:vAlign w:val="center"/>
          </w:tcPr>
          <w:p w:rsidR="000E7DDF" w:rsidRPr="00854FC2" w:rsidRDefault="000E7DDF">
            <w:pPr>
              <w:keepNext/>
              <w:keepLines/>
              <w:jc w:val="center"/>
              <w:rPr>
                <w:rFonts w:cs="Arial"/>
                <w:sz w:val="20"/>
                <w:szCs w:val="20"/>
              </w:rPr>
            </w:pPr>
            <w:r w:rsidRPr="00854FC2">
              <w:rPr>
                <w:rFonts w:cs="Arial"/>
                <w:sz w:val="20"/>
                <w:szCs w:val="20"/>
              </w:rPr>
              <w:t>IV</w:t>
            </w:r>
          </w:p>
        </w:tc>
        <w:tc>
          <w:tcPr>
            <w:tcW w:w="1927"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30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w:t>
            </w:r>
            <w:r w:rsidR="00CF1134">
              <w:rPr>
                <w:rFonts w:eastAsia="Arial Unicode MS" w:cs="Arial"/>
                <w:sz w:val="20"/>
                <w:szCs w:val="20"/>
              </w:rPr>
              <w:t>7,140</w:t>
            </w:r>
          </w:p>
        </w:tc>
        <w:tc>
          <w:tcPr>
            <w:tcW w:w="2456" w:type="dxa"/>
            <w:tcBorders>
              <w:top w:val="single" w:sz="4" w:space="0" w:color="auto"/>
              <w:left w:val="single" w:sz="4" w:space="0" w:color="auto"/>
              <w:bottom w:val="single" w:sz="4" w:space="0" w:color="auto"/>
              <w:right w:val="double" w:sz="6" w:space="0" w:color="000000"/>
            </w:tcBorders>
            <w:vAlign w:val="bottom"/>
          </w:tcPr>
          <w:p w:rsidR="000E7DDF" w:rsidRPr="00032412" w:rsidRDefault="000E7DDF" w:rsidP="00CF1134">
            <w:pPr>
              <w:keepNext/>
              <w:keepLines/>
              <w:ind w:rightChars="42" w:right="92"/>
              <w:jc w:val="right"/>
              <w:rPr>
                <w:rFonts w:eastAsia="Arial Unicode MS" w:cs="Arial"/>
                <w:sz w:val="20"/>
                <w:szCs w:val="20"/>
              </w:rPr>
            </w:pPr>
            <w:r w:rsidRPr="00032412">
              <w:rPr>
                <w:rFonts w:eastAsia="Arial Unicode MS" w:cs="Arial"/>
                <w:sz w:val="20"/>
                <w:szCs w:val="20"/>
              </w:rPr>
              <w:t>$9,</w:t>
            </w:r>
            <w:r w:rsidR="00CF1134">
              <w:rPr>
                <w:rFonts w:eastAsia="Arial Unicode MS" w:cs="Arial"/>
                <w:sz w:val="20"/>
                <w:szCs w:val="20"/>
              </w:rPr>
              <w:t>70</w:t>
            </w:r>
            <w:r w:rsidRPr="00032412">
              <w:rPr>
                <w:rFonts w:eastAsia="Arial Unicode MS" w:cs="Arial"/>
                <w:sz w:val="20"/>
                <w:szCs w:val="20"/>
              </w:rPr>
              <w:t>0</w:t>
            </w:r>
          </w:p>
        </w:tc>
      </w:tr>
      <w:tr w:rsidR="000E7DDF" w:rsidRPr="00854FC2" w:rsidTr="000E7DDF">
        <w:trPr>
          <w:cantSplit/>
          <w:trHeight w:val="270"/>
          <w:jc w:val="center"/>
        </w:trPr>
        <w:tc>
          <w:tcPr>
            <w:tcW w:w="1765" w:type="dxa"/>
            <w:vMerge/>
            <w:tcBorders>
              <w:top w:val="single" w:sz="4" w:space="0" w:color="auto"/>
              <w:left w:val="double" w:sz="6" w:space="0" w:color="000000"/>
              <w:bottom w:val="double" w:sz="6" w:space="0" w:color="000000"/>
              <w:right w:val="single" w:sz="4" w:space="0" w:color="000000"/>
            </w:tcBorders>
            <w:tcMar>
              <w:top w:w="29" w:type="dxa"/>
              <w:left w:w="58" w:type="dxa"/>
              <w:bottom w:w="29" w:type="dxa"/>
              <w:right w:w="58" w:type="dxa"/>
            </w:tcMar>
            <w:vAlign w:val="bottom"/>
          </w:tcPr>
          <w:p w:rsidR="000E7DDF" w:rsidRPr="00854FC2" w:rsidRDefault="000E7DDF">
            <w:pPr>
              <w:keepNext/>
              <w:keepLines/>
              <w:jc w:val="center"/>
              <w:rPr>
                <w:rFonts w:cs="Arial"/>
                <w:sz w:val="20"/>
                <w:szCs w:val="20"/>
              </w:rPr>
            </w:pPr>
          </w:p>
        </w:tc>
        <w:tc>
          <w:tcPr>
            <w:tcW w:w="1927" w:type="dxa"/>
            <w:tcBorders>
              <w:top w:val="single" w:sz="4" w:space="0" w:color="auto"/>
              <w:left w:val="nil"/>
              <w:bottom w:val="double" w:sz="6" w:space="0" w:color="000000"/>
              <w:right w:val="single" w:sz="4" w:space="0" w:color="auto"/>
            </w:tcBorders>
            <w:tcMar>
              <w:top w:w="29" w:type="dxa"/>
              <w:left w:w="58" w:type="dxa"/>
              <w:bottom w:w="29" w:type="dxa"/>
              <w:right w:w="58" w:type="dxa"/>
            </w:tcMar>
            <w:vAlign w:val="bottom"/>
          </w:tcPr>
          <w:p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306" w:type="dxa"/>
            <w:tcBorders>
              <w:top w:val="single" w:sz="4" w:space="0" w:color="auto"/>
              <w:left w:val="single" w:sz="4" w:space="0" w:color="auto"/>
              <w:bottom w:val="double" w:sz="6" w:space="0" w:color="000000"/>
              <w:right w:val="single" w:sz="4" w:space="0" w:color="auto"/>
            </w:tcBorders>
            <w:tcMar>
              <w:top w:w="29" w:type="dxa"/>
              <w:left w:w="58" w:type="dxa"/>
              <w:bottom w:w="29" w:type="dxa"/>
              <w:right w:w="58" w:type="dxa"/>
            </w:tcMar>
            <w:vAlign w:val="bottom"/>
          </w:tcPr>
          <w:p w:rsidR="000E7DDF" w:rsidRPr="00032412" w:rsidRDefault="000E7DDF" w:rsidP="00CF1134">
            <w:pPr>
              <w:keepNext/>
              <w:keepLines/>
              <w:jc w:val="right"/>
              <w:rPr>
                <w:rFonts w:eastAsia="Arial Unicode MS" w:cs="Arial"/>
                <w:sz w:val="20"/>
                <w:szCs w:val="20"/>
              </w:rPr>
            </w:pPr>
            <w:r w:rsidRPr="00032412">
              <w:rPr>
                <w:rFonts w:eastAsia="Arial Unicode MS" w:cs="Arial"/>
                <w:sz w:val="20"/>
                <w:szCs w:val="20"/>
              </w:rPr>
              <w:t>$4,</w:t>
            </w:r>
            <w:r w:rsidR="00CF1134">
              <w:rPr>
                <w:rFonts w:eastAsia="Arial Unicode MS" w:cs="Arial"/>
                <w:sz w:val="20"/>
                <w:szCs w:val="20"/>
              </w:rPr>
              <w:t>760</w:t>
            </w:r>
          </w:p>
        </w:tc>
        <w:tc>
          <w:tcPr>
            <w:tcW w:w="2456" w:type="dxa"/>
            <w:tcBorders>
              <w:top w:val="single" w:sz="4" w:space="0" w:color="auto"/>
              <w:left w:val="single" w:sz="4" w:space="0" w:color="auto"/>
              <w:bottom w:val="double" w:sz="6" w:space="0" w:color="000000"/>
              <w:right w:val="double" w:sz="6" w:space="0" w:color="000000"/>
            </w:tcBorders>
            <w:vAlign w:val="bottom"/>
          </w:tcPr>
          <w:p w:rsidR="000E7DDF" w:rsidRPr="00032412" w:rsidRDefault="000E7DDF" w:rsidP="00CF1134">
            <w:pPr>
              <w:keepNext/>
              <w:keepLines/>
              <w:ind w:rightChars="42" w:right="92"/>
              <w:jc w:val="right"/>
              <w:rPr>
                <w:rFonts w:eastAsia="Arial Unicode MS" w:cs="Arial"/>
                <w:sz w:val="20"/>
                <w:szCs w:val="20"/>
              </w:rPr>
            </w:pPr>
            <w:r w:rsidRPr="00032412">
              <w:rPr>
                <w:rFonts w:eastAsia="Arial Unicode MS" w:cs="Arial"/>
                <w:sz w:val="20"/>
                <w:szCs w:val="20"/>
              </w:rPr>
              <w:t>$6,4</w:t>
            </w:r>
            <w:r w:rsidR="00CF1134">
              <w:rPr>
                <w:rFonts w:eastAsia="Arial Unicode MS" w:cs="Arial"/>
                <w:sz w:val="20"/>
                <w:szCs w:val="20"/>
              </w:rPr>
              <w:t>1</w:t>
            </w:r>
            <w:r w:rsidRPr="00032412">
              <w:rPr>
                <w:rFonts w:eastAsia="Arial Unicode MS" w:cs="Arial"/>
                <w:sz w:val="20"/>
                <w:szCs w:val="20"/>
              </w:rPr>
              <w:t>0</w:t>
            </w:r>
          </w:p>
        </w:tc>
      </w:tr>
      <w:tr w:rsidR="00D85665" w:rsidRPr="00854FC2" w:rsidTr="000E7DDF">
        <w:trPr>
          <w:cantSplit/>
          <w:trHeight w:val="270"/>
          <w:jc w:val="center"/>
        </w:trPr>
        <w:tc>
          <w:tcPr>
            <w:tcW w:w="7454" w:type="dxa"/>
            <w:gridSpan w:val="4"/>
            <w:tcBorders>
              <w:top w:val="double" w:sz="6" w:space="0" w:color="000000"/>
            </w:tcBorders>
            <w:tcMar>
              <w:top w:w="29" w:type="dxa"/>
              <w:left w:w="58" w:type="dxa"/>
              <w:bottom w:w="29" w:type="dxa"/>
              <w:right w:w="58" w:type="dxa"/>
            </w:tcMar>
            <w:vAlign w:val="bottom"/>
          </w:tcPr>
          <w:p w:rsidR="00D85665" w:rsidRDefault="00D85665" w:rsidP="00231985">
            <w:pPr>
              <w:keepNext/>
              <w:keepLines/>
              <w:ind w:rightChars="42" w:right="92"/>
              <w:rPr>
                <w:rFonts w:eastAsia="Arial Unicode MS" w:cs="Arial"/>
                <w:sz w:val="20"/>
                <w:szCs w:val="20"/>
              </w:rPr>
            </w:pPr>
            <w:r w:rsidRPr="00854FC2">
              <w:rPr>
                <w:rFonts w:eastAsia="Arial Unicode MS" w:cs="Arial"/>
                <w:sz w:val="20"/>
                <w:szCs w:val="20"/>
              </w:rPr>
              <w:t>Source: SCS Engineers</w:t>
            </w:r>
            <w:r w:rsidR="00EE22D6">
              <w:rPr>
                <w:rFonts w:eastAsia="Arial Unicode MS" w:cs="Arial"/>
                <w:sz w:val="20"/>
                <w:szCs w:val="20"/>
              </w:rPr>
              <w:t xml:space="preserve"> adjusted with June 2012 BLS data published in September 2012</w:t>
            </w:r>
            <w:r w:rsidRPr="00854FC2">
              <w:rPr>
                <w:rFonts w:eastAsia="Arial Unicode MS" w:cs="Arial"/>
                <w:sz w:val="20"/>
                <w:szCs w:val="20"/>
              </w:rPr>
              <w:t>.</w:t>
            </w:r>
          </w:p>
          <w:p w:rsidR="002A0A77" w:rsidRPr="00854FC2" w:rsidRDefault="002A0A77" w:rsidP="00EE22D6">
            <w:pPr>
              <w:keepNext/>
              <w:keepLines/>
              <w:ind w:rightChars="42" w:right="92"/>
              <w:rPr>
                <w:rFonts w:eastAsia="Arial Unicode MS" w:cs="Arial"/>
                <w:sz w:val="20"/>
                <w:szCs w:val="20"/>
              </w:rPr>
            </w:pPr>
            <w:r w:rsidRPr="002A0A77">
              <w:rPr>
                <w:rFonts w:eastAsia="Arial Unicode MS" w:cs="Arial"/>
                <w:sz w:val="20"/>
                <w:szCs w:val="20"/>
                <w:vertAlign w:val="superscript"/>
              </w:rPr>
              <w:t xml:space="preserve">1 </w:t>
            </w:r>
            <w:r>
              <w:rPr>
                <w:rFonts w:eastAsia="Arial Unicode MS" w:cs="Arial"/>
                <w:sz w:val="20"/>
                <w:szCs w:val="20"/>
              </w:rPr>
              <w:t>One</w:t>
            </w:r>
            <w:r w:rsidR="00FD16CA">
              <w:rPr>
                <w:rFonts w:eastAsia="Arial Unicode MS" w:cs="Arial"/>
                <w:sz w:val="20"/>
                <w:szCs w:val="20"/>
              </w:rPr>
              <w:t>-</w:t>
            </w:r>
            <w:r>
              <w:rPr>
                <w:rFonts w:eastAsia="Arial Unicode MS" w:cs="Arial"/>
                <w:sz w:val="20"/>
                <w:szCs w:val="20"/>
              </w:rPr>
              <w:t>time</w:t>
            </w:r>
            <w:r w:rsidR="00EE22D6">
              <w:rPr>
                <w:rFonts w:eastAsia="Arial Unicode MS" w:cs="Arial"/>
                <w:sz w:val="20"/>
                <w:szCs w:val="20"/>
              </w:rPr>
              <w:t xml:space="preserve"> </w:t>
            </w:r>
            <w:r>
              <w:rPr>
                <w:rFonts w:eastAsia="Arial Unicode MS" w:cs="Arial"/>
                <w:sz w:val="20"/>
                <w:szCs w:val="20"/>
              </w:rPr>
              <w:t>costs</w:t>
            </w:r>
            <w:r w:rsidR="00C14262">
              <w:rPr>
                <w:rFonts w:eastAsia="Arial Unicode MS" w:cs="Arial"/>
                <w:sz w:val="20"/>
                <w:szCs w:val="20"/>
              </w:rPr>
              <w:t xml:space="preserve"> of compliance</w:t>
            </w:r>
            <w:r>
              <w:rPr>
                <w:rFonts w:eastAsia="Arial Unicode MS" w:cs="Arial"/>
                <w:sz w:val="20"/>
                <w:szCs w:val="20"/>
              </w:rPr>
              <w:t>.</w:t>
            </w:r>
          </w:p>
        </w:tc>
      </w:tr>
    </w:tbl>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b/>
          <w:bCs/>
          <w:szCs w:val="22"/>
        </w:rPr>
      </w:pP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b/>
          <w:bCs/>
          <w:szCs w:val="22"/>
        </w:rPr>
      </w:pP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2"/>
        </w:rPr>
      </w:pPr>
      <w:r w:rsidRPr="00854FC2">
        <w:rPr>
          <w:rFonts w:cs="Arial"/>
          <w:b/>
          <w:bCs/>
          <w:szCs w:val="22"/>
        </w:rPr>
        <w:t>6(b)</w:t>
      </w:r>
      <w:r w:rsidR="001C48CC">
        <w:rPr>
          <w:rFonts w:cs="Arial"/>
          <w:b/>
          <w:bCs/>
          <w:szCs w:val="22"/>
        </w:rPr>
        <w:t xml:space="preserve"> </w:t>
      </w:r>
      <w:r w:rsidR="002348E6" w:rsidRPr="00854FC2">
        <w:rPr>
          <w:rFonts w:cs="Courier New"/>
          <w:lang w:val="en-CA"/>
        </w:rPr>
        <w:fldChar w:fldCharType="begin"/>
      </w:r>
      <w:r w:rsidRPr="00854FC2">
        <w:rPr>
          <w:rFonts w:cs="Courier New"/>
          <w:lang w:val="en-CA"/>
        </w:rPr>
        <w:instrText xml:space="preserve"> SEQ CHAPTER \h \r 1</w:instrText>
      </w:r>
      <w:r w:rsidR="002348E6" w:rsidRPr="00854FC2">
        <w:rPr>
          <w:rFonts w:cs="Courier New"/>
          <w:lang w:val="en-CA"/>
        </w:rPr>
        <w:fldChar w:fldCharType="end"/>
      </w:r>
      <w:r w:rsidR="00EE22D6">
        <w:rPr>
          <w:rFonts w:cs="Arial"/>
          <w:b/>
          <w:bCs/>
          <w:szCs w:val="22"/>
        </w:rPr>
        <w:t>Burden and Costs per Facility</w:t>
      </w:r>
    </w:p>
    <w:p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D85665" w:rsidRPr="00854FC2" w:rsidRDefault="002348E6" w:rsidP="00864E8A">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 xml:space="preserve">This section discusses the potential paperwork-related burden and costs to facilities </w:t>
      </w:r>
      <w:r w:rsidR="007E2602">
        <w:rPr>
          <w:rFonts w:cs="Arial"/>
          <w:szCs w:val="22"/>
        </w:rPr>
        <w:t xml:space="preserve">that are </w:t>
      </w:r>
      <w:r w:rsidR="00D85665" w:rsidRPr="00854FC2">
        <w:rPr>
          <w:rFonts w:cs="Arial"/>
          <w:szCs w:val="22"/>
        </w:rPr>
        <w:t>regulated by the SPCC rule. Plan preparation</w:t>
      </w:r>
      <w:r w:rsidR="00320C4A">
        <w:rPr>
          <w:rFonts w:cs="Arial"/>
          <w:szCs w:val="22"/>
        </w:rPr>
        <w:t xml:space="preserve"> and PE certification</w:t>
      </w:r>
      <w:r w:rsidR="00D85665" w:rsidRPr="00854FC2">
        <w:rPr>
          <w:rFonts w:cs="Arial"/>
          <w:szCs w:val="22"/>
        </w:rPr>
        <w:t xml:space="preserve"> costs affect new facilities </w:t>
      </w:r>
      <w:r w:rsidR="00762FCA" w:rsidRPr="00854FC2">
        <w:rPr>
          <w:rFonts w:cs="Arial"/>
          <w:szCs w:val="22"/>
        </w:rPr>
        <w:t xml:space="preserve">that </w:t>
      </w:r>
      <w:r w:rsidR="00762FCA" w:rsidRPr="00403C8A">
        <w:rPr>
          <w:rFonts w:cs="Arial"/>
          <w:szCs w:val="22"/>
        </w:rPr>
        <w:t>become subject to the SPCC rule</w:t>
      </w:r>
      <w:r w:rsidR="00762FCA">
        <w:rPr>
          <w:rFonts w:cs="Arial"/>
          <w:szCs w:val="22"/>
        </w:rPr>
        <w:t xml:space="preserve"> unless they </w:t>
      </w:r>
      <w:r w:rsidR="00762FCA" w:rsidRPr="00854FC2">
        <w:rPr>
          <w:rFonts w:cs="Arial"/>
          <w:szCs w:val="22"/>
        </w:rPr>
        <w:t>meet the “qualified facility” criteria</w:t>
      </w:r>
      <w:r w:rsidR="00762FCA">
        <w:rPr>
          <w:rFonts w:cs="Arial"/>
          <w:szCs w:val="22"/>
        </w:rPr>
        <w:t>.</w:t>
      </w:r>
      <w:r w:rsidR="00D85665" w:rsidRPr="00403C8A">
        <w:rPr>
          <w:rFonts w:cs="Arial"/>
          <w:szCs w:val="22"/>
        </w:rPr>
        <w:t xml:space="preserve"> New</w:t>
      </w:r>
      <w:r w:rsidR="00D85665" w:rsidRPr="00854FC2">
        <w:rPr>
          <w:rFonts w:cs="Arial"/>
          <w:szCs w:val="22"/>
        </w:rPr>
        <w:t xml:space="preserve"> facilities include those facilities that will initiate operations during the ICR period. Owners or operators of new facilities are assumed to incur the total cost of preparing a Plan </w:t>
      </w:r>
      <w:r w:rsidR="00012DB3">
        <w:rPr>
          <w:rFonts w:cs="Arial"/>
          <w:szCs w:val="22"/>
        </w:rPr>
        <w:t>and PE certification</w:t>
      </w:r>
      <w:r w:rsidR="00012DB3" w:rsidRPr="00854FC2">
        <w:rPr>
          <w:rFonts w:cs="Arial"/>
          <w:szCs w:val="22"/>
        </w:rPr>
        <w:t xml:space="preserve"> </w:t>
      </w:r>
      <w:r w:rsidR="00D85665" w:rsidRPr="00854FC2">
        <w:rPr>
          <w:rFonts w:cs="Arial"/>
          <w:szCs w:val="22"/>
        </w:rPr>
        <w:t>in their first year.</w:t>
      </w:r>
      <w:r w:rsidR="007E2602">
        <w:rPr>
          <w:rFonts w:cs="Arial"/>
          <w:szCs w:val="22"/>
        </w:rPr>
        <w:t xml:space="preserve"> </w:t>
      </w:r>
      <w:r w:rsidR="00D85665" w:rsidRPr="00854FC2">
        <w:rPr>
          <w:rFonts w:cs="Arial"/>
          <w:szCs w:val="22"/>
        </w:rPr>
        <w:t xml:space="preserve"> In addition to preparing or reviewing SPCC Plans, owners or operators of all new and existing facilities will incur costs to prepare and maintain records.</w:t>
      </w:r>
    </w:p>
    <w:p w:rsidR="00D85665" w:rsidRPr="00854FC2" w:rsidRDefault="00D85665">
      <w:pPr>
        <w:spacing w:line="22" w:lineRule="atLeast"/>
        <w:rPr>
          <w:rFonts w:cs="Arial"/>
          <w:szCs w:val="22"/>
        </w:rPr>
      </w:pPr>
    </w:p>
    <w:p w:rsidR="00D85665" w:rsidRPr="00854FC2" w:rsidRDefault="00D85665" w:rsidP="00864E8A">
      <w:pPr>
        <w:spacing w:line="22" w:lineRule="atLeast"/>
        <w:ind w:firstLine="720"/>
        <w:rPr>
          <w:rFonts w:cs="Arial"/>
          <w:szCs w:val="22"/>
        </w:rPr>
      </w:pPr>
      <w:r w:rsidRPr="00854FC2">
        <w:rPr>
          <w:rFonts w:cs="Arial"/>
          <w:szCs w:val="22"/>
        </w:rPr>
        <w:t xml:space="preserve">EPA assumes that the formal five-year review of SPCC Plans will affect one-fifth of all existing facilities annually – i.e., owners or operators of one-fifth of all existing facilities will undergo their formal five-year review of their Plans in each year of the ICR period.  </w:t>
      </w:r>
    </w:p>
    <w:p w:rsidR="00D85665" w:rsidRPr="00854FC2" w:rsidRDefault="00D85665">
      <w:pPr>
        <w:spacing w:line="22" w:lineRule="atLeast"/>
        <w:rPr>
          <w:rFonts w:cs="Arial"/>
          <w:szCs w:val="22"/>
        </w:rPr>
      </w:pPr>
    </w:p>
    <w:p w:rsidR="00D85665" w:rsidRPr="00854FC2" w:rsidRDefault="00864E8A" w:rsidP="00864E8A">
      <w:pPr>
        <w:tabs>
          <w:tab w:val="left" w:pos="720"/>
        </w:tabs>
        <w:rPr>
          <w:rFonts w:cs="Arial"/>
          <w:szCs w:val="22"/>
        </w:rPr>
      </w:pPr>
      <w:r>
        <w:rPr>
          <w:rFonts w:cs="Arial"/>
          <w:szCs w:val="22"/>
        </w:rPr>
        <w:tab/>
      </w:r>
      <w:r w:rsidR="00D85665" w:rsidRPr="00854FC2">
        <w:rPr>
          <w:rFonts w:cs="Arial"/>
          <w:szCs w:val="22"/>
        </w:rPr>
        <w:t xml:space="preserve">Owners or operators of some new and existing facilities will submit information as a result of discharging oil and others will need to revise their Plan during the ICR period. </w:t>
      </w:r>
      <w:r w:rsidR="00D85665" w:rsidRPr="00854FC2">
        <w:t xml:space="preserve">For the 2002 rule ICR, based on spill data obtained from the Emergency Response Notification System database, EPA estimated that approximately 0.15 percent of all facilities would incur costs each year due to reporting requirements related to an oil discharge </w:t>
      </w:r>
      <w:r w:rsidR="00D85665" w:rsidRPr="00854FC2">
        <w:rPr>
          <w:rFonts w:cs="Arial"/>
          <w:szCs w:val="22"/>
        </w:rPr>
        <w:t>(see §112.4(a))</w:t>
      </w:r>
      <w:r w:rsidR="00D85665" w:rsidRPr="00854FC2">
        <w:t>.</w:t>
      </w:r>
      <w:r w:rsidR="00D85665" w:rsidRPr="00854FC2">
        <w:rPr>
          <w:rStyle w:val="FootnoteReference"/>
        </w:rPr>
        <w:footnoteReference w:id="12"/>
      </w:r>
      <w:r w:rsidR="00D85665" w:rsidRPr="00854FC2">
        <w:t xml:space="preserve">  In addition, based on conversations with EPA regional personnel involved with the SPCC program, EPA estimated that approximately 10 percent of all facilities would </w:t>
      </w:r>
      <w:r w:rsidR="00D85665" w:rsidRPr="00854FC2">
        <w:rPr>
          <w:rFonts w:cs="Arial"/>
          <w:szCs w:val="22"/>
        </w:rPr>
        <w:t xml:space="preserve">revise their Plan each year to address §112.5(a) or (c) or §112.4(d). </w:t>
      </w:r>
    </w:p>
    <w:p w:rsidR="00D85665" w:rsidRPr="00854FC2" w:rsidRDefault="00D85665">
      <w:pPr>
        <w:rPr>
          <w:rFonts w:cs="Arial"/>
          <w:szCs w:val="22"/>
        </w:rPr>
      </w:pPr>
    </w:p>
    <w:p w:rsidR="00D85665" w:rsidRPr="00854FC2" w:rsidRDefault="002348E6" w:rsidP="00E30DD3">
      <w:pPr>
        <w:ind w:firstLine="720"/>
        <w:rPr>
          <w:rFonts w:cs="Arial"/>
          <w:szCs w:val="22"/>
        </w:rPr>
      </w:pPr>
      <w:fldSimple w:instr=" REF _Ref141694923  \* MERGEFORMAT ">
        <w:r w:rsidR="00F61EFD" w:rsidRPr="009B64F9">
          <w:t xml:space="preserve">Exhibit </w:t>
        </w:r>
        <w:r w:rsidR="00F61EFD">
          <w:rPr>
            <w:noProof/>
          </w:rPr>
          <w:t>4</w:t>
        </w:r>
      </w:fldSimple>
      <w:r w:rsidR="00D85665" w:rsidRPr="00854FC2">
        <w:rPr>
          <w:rFonts w:cs="Arial"/>
          <w:szCs w:val="22"/>
        </w:rPr>
        <w:t xml:space="preserve"> through </w:t>
      </w:r>
      <w:fldSimple w:instr=" REF _Ref141694931  \* MERGEFORMAT ">
        <w:r w:rsidR="00F61EFD" w:rsidRPr="00C21B7E">
          <w:t xml:space="preserve">Exhibit </w:t>
        </w:r>
        <w:r w:rsidR="00F61EFD">
          <w:rPr>
            <w:noProof/>
          </w:rPr>
          <w:t>8</w:t>
        </w:r>
      </w:fldSimple>
      <w:r w:rsidR="00D85665" w:rsidRPr="00854FC2">
        <w:rPr>
          <w:rFonts w:cs="Arial"/>
          <w:szCs w:val="22"/>
        </w:rPr>
        <w:t xml:space="preserve"> provides average burden and cost estimates for </w:t>
      </w:r>
      <w:r w:rsidR="001C48CC">
        <w:rPr>
          <w:rFonts w:cs="Arial"/>
          <w:szCs w:val="22"/>
        </w:rPr>
        <w:t xml:space="preserve">each </w:t>
      </w:r>
      <w:r w:rsidR="00D85665" w:rsidRPr="00854FC2">
        <w:rPr>
          <w:rFonts w:cs="Arial"/>
          <w:szCs w:val="22"/>
        </w:rPr>
        <w:t>existing and new facilit</w:t>
      </w:r>
      <w:r w:rsidR="001C48CC">
        <w:rPr>
          <w:rFonts w:cs="Arial"/>
          <w:szCs w:val="22"/>
        </w:rPr>
        <w:t>y</w:t>
      </w:r>
      <w:r w:rsidR="00D85665" w:rsidRPr="00854FC2">
        <w:rPr>
          <w:rFonts w:cs="Arial"/>
          <w:szCs w:val="22"/>
        </w:rPr>
        <w:t>.</w:t>
      </w:r>
      <w:r w:rsidR="00032EB0">
        <w:rPr>
          <w:rFonts w:cs="Arial"/>
          <w:szCs w:val="22"/>
        </w:rPr>
        <w:t xml:space="preserve"> </w:t>
      </w:r>
      <w:r w:rsidR="00D85665" w:rsidRPr="00854FC2">
        <w:rPr>
          <w:rFonts w:cs="Arial"/>
          <w:szCs w:val="22"/>
        </w:rPr>
        <w:t xml:space="preserve">For existing facilities, the following activities are included: five-year review - §112.5(b); information submission in the event of certain oil discharges - §112.4(c); Plan </w:t>
      </w:r>
      <w:r w:rsidR="00D85665" w:rsidRPr="00854FC2">
        <w:rPr>
          <w:rFonts w:cs="Arial"/>
          <w:szCs w:val="22"/>
        </w:rPr>
        <w:lastRenderedPageBreak/>
        <w:t>modification - §112.5(a) and PE certifications of any technical amendment - §112.5(c); and recordkeeping.  For newly regulated facilities, paperwork-related activities include SPCC Plan preparation - §112.3(a); oil spill contingency plan preparation - §112.7(d); information submission in the event of certain oil discharges - §112.4(c); Plan modification - §112.5(a) and PE certifications of any technical amendment - §112.5(c); and recordkeeping §112.7(e).</w:t>
      </w:r>
    </w:p>
    <w:p w:rsidR="00D85665" w:rsidRPr="00854FC2" w:rsidRDefault="00D85665">
      <w:pPr>
        <w:rPr>
          <w:rFonts w:cs="Arial"/>
          <w:szCs w:val="22"/>
        </w:rPr>
      </w:pPr>
    </w:p>
    <w:p w:rsidR="00D85665" w:rsidRPr="00854FC2" w:rsidRDefault="00D85665" w:rsidP="00E30DD3">
      <w:pPr>
        <w:ind w:firstLine="720"/>
        <w:rPr>
          <w:rFonts w:cs="Arial"/>
          <w:szCs w:val="22"/>
        </w:rPr>
      </w:pPr>
      <w:r w:rsidRPr="00854FC2">
        <w:rPr>
          <w:rFonts w:cs="Arial"/>
          <w:szCs w:val="22"/>
        </w:rPr>
        <w:t>The option to self-certify a facility-specific SPCC Plan according to the requirements in §112.6 is available to any qualified facility having 10,000 gallons or less in storage capacity. EPA assumed that all new qualified facilities with storage capacity of 10,</w:t>
      </w:r>
      <w:r w:rsidR="00A50E49" w:rsidRPr="00854FC2">
        <w:rPr>
          <w:rFonts w:cs="Arial"/>
          <w:szCs w:val="22"/>
        </w:rPr>
        <w:t>00</w:t>
      </w:r>
      <w:r w:rsidR="00A50E49">
        <w:rPr>
          <w:rFonts w:cs="Arial"/>
          <w:szCs w:val="22"/>
        </w:rPr>
        <w:t>0</w:t>
      </w:r>
      <w:r w:rsidR="00A50E49" w:rsidRPr="00854FC2">
        <w:rPr>
          <w:rFonts w:cs="Arial"/>
          <w:szCs w:val="22"/>
        </w:rPr>
        <w:t xml:space="preserve"> </w:t>
      </w:r>
      <w:r w:rsidRPr="00854FC2">
        <w:rPr>
          <w:rFonts w:cs="Arial"/>
          <w:szCs w:val="22"/>
        </w:rPr>
        <w:t xml:space="preserve">gallons </w:t>
      </w:r>
      <w:r w:rsidR="00A50E49">
        <w:rPr>
          <w:rFonts w:cs="Arial"/>
          <w:szCs w:val="22"/>
        </w:rPr>
        <w:t xml:space="preserve">or </w:t>
      </w:r>
      <w:r w:rsidR="00A50E49" w:rsidRPr="00854FC2">
        <w:rPr>
          <w:rFonts w:cs="Arial"/>
          <w:szCs w:val="22"/>
        </w:rPr>
        <w:t xml:space="preserve">less </w:t>
      </w:r>
      <w:r w:rsidRPr="00854FC2">
        <w:rPr>
          <w:rFonts w:cs="Arial"/>
          <w:szCs w:val="22"/>
        </w:rPr>
        <w:t>would self-certify the Plan instead of having it certified by a PE. The Agency also assumed that under the</w:t>
      </w:r>
      <w:r w:rsidR="00685FAD">
        <w:rPr>
          <w:rFonts w:cs="Arial"/>
          <w:szCs w:val="22"/>
        </w:rPr>
        <w:t>se</w:t>
      </w:r>
      <w:r w:rsidRPr="00854FC2">
        <w:rPr>
          <w:rFonts w:cs="Arial"/>
          <w:szCs w:val="22"/>
        </w:rPr>
        <w:t xml:space="preserve"> requirements, owners and operators of all existing qualified facilities would not use a PE to certify a technical amendment to their Plan.</w:t>
      </w:r>
    </w:p>
    <w:p w:rsidR="00D85665" w:rsidRPr="00854FC2" w:rsidRDefault="00D85665">
      <w:pPr>
        <w:rPr>
          <w:rFonts w:cs="Arial"/>
          <w:szCs w:val="22"/>
        </w:rPr>
      </w:pPr>
    </w:p>
    <w:p w:rsidR="00D85665" w:rsidRPr="00854FC2" w:rsidRDefault="00D85665" w:rsidP="00E30DD3">
      <w:pPr>
        <w:ind w:firstLine="720"/>
        <w:rPr>
          <w:rFonts w:cs="Arial"/>
          <w:color w:val="000000"/>
        </w:rPr>
      </w:pPr>
      <w:r w:rsidRPr="00854FC2">
        <w:rPr>
          <w:rFonts w:cs="Arial"/>
          <w:color w:val="000000"/>
        </w:rPr>
        <w:t>A qualified facility would be a facility subject to the SPCC rule that, as described in 112.3(g), meets the storage capacity threshold and discharge history criteria.</w:t>
      </w:r>
      <w:r w:rsidR="00E63DA2">
        <w:rPr>
          <w:rFonts w:cs="Arial"/>
          <w:color w:val="000000"/>
        </w:rPr>
        <w:t xml:space="preserve"> </w:t>
      </w:r>
      <w:r w:rsidR="005B372F">
        <w:rPr>
          <w:rFonts w:cs="Arial"/>
          <w:color w:val="000000"/>
        </w:rPr>
        <w:t>A</w:t>
      </w:r>
      <w:r w:rsidR="005B372F" w:rsidRPr="00854FC2">
        <w:rPr>
          <w:rFonts w:cs="Arial"/>
          <w:color w:val="000000"/>
        </w:rPr>
        <w:t xml:space="preserve">dditional flexibility </w:t>
      </w:r>
      <w:r w:rsidR="005B372F">
        <w:rPr>
          <w:rFonts w:cs="Arial"/>
          <w:color w:val="000000"/>
        </w:rPr>
        <w:t xml:space="preserve">is available </w:t>
      </w:r>
      <w:r w:rsidR="005B372F" w:rsidRPr="00854FC2">
        <w:rPr>
          <w:rFonts w:cs="Arial"/>
          <w:color w:val="000000"/>
        </w:rPr>
        <w:t>for facilities with</w:t>
      </w:r>
      <w:r w:rsidR="005B372F">
        <w:rPr>
          <w:rFonts w:cs="Arial"/>
          <w:color w:val="000000"/>
        </w:rPr>
        <w:t xml:space="preserve"> aggregate aboveground oil storage</w:t>
      </w:r>
      <w:r w:rsidR="005B372F" w:rsidRPr="00854FC2">
        <w:rPr>
          <w:rFonts w:cs="Arial"/>
          <w:color w:val="000000"/>
        </w:rPr>
        <w:t xml:space="preserve"> capacity </w:t>
      </w:r>
      <w:r w:rsidR="005B372F">
        <w:rPr>
          <w:rFonts w:cs="Arial"/>
          <w:color w:val="000000"/>
        </w:rPr>
        <w:t>of</w:t>
      </w:r>
      <w:r w:rsidR="005B372F" w:rsidRPr="00854FC2">
        <w:rPr>
          <w:rFonts w:cs="Arial"/>
          <w:color w:val="000000"/>
        </w:rPr>
        <w:t xml:space="preserve"> 10,000 gallons </w:t>
      </w:r>
      <w:r w:rsidR="005B372F">
        <w:rPr>
          <w:rFonts w:cs="Arial"/>
          <w:color w:val="000000"/>
        </w:rPr>
        <w:t xml:space="preserve">or less </w:t>
      </w:r>
      <w:r w:rsidR="005B372F" w:rsidRPr="00854FC2">
        <w:rPr>
          <w:rFonts w:cs="Arial"/>
          <w:color w:val="000000"/>
        </w:rPr>
        <w:t xml:space="preserve">and no </w:t>
      </w:r>
      <w:r w:rsidR="005B372F">
        <w:rPr>
          <w:rFonts w:cs="Arial"/>
          <w:color w:val="000000"/>
        </w:rPr>
        <w:t xml:space="preserve">single </w:t>
      </w:r>
      <w:r w:rsidR="005B372F" w:rsidRPr="00854FC2">
        <w:rPr>
          <w:rFonts w:cs="Arial"/>
          <w:color w:val="000000"/>
        </w:rPr>
        <w:t>containers greater than 5,000 gallons</w:t>
      </w:r>
      <w:r w:rsidR="005B372F">
        <w:rPr>
          <w:rFonts w:cs="Arial"/>
          <w:color w:val="000000"/>
        </w:rPr>
        <w:t xml:space="preserve"> capacity (i.e. Tier I qualified facilities)</w:t>
      </w:r>
      <w:r w:rsidR="005B372F" w:rsidRPr="00854FC2">
        <w:rPr>
          <w:rFonts w:cs="Arial"/>
          <w:color w:val="000000"/>
        </w:rPr>
        <w:t xml:space="preserve">. </w:t>
      </w:r>
      <w:r w:rsidRPr="00854FC2">
        <w:rPr>
          <w:rFonts w:cs="Arial"/>
          <w:color w:val="000000"/>
        </w:rPr>
        <w:t xml:space="preserve">This option allows an owner/operator to </w:t>
      </w:r>
      <w:r w:rsidR="00F71300">
        <w:rPr>
          <w:rFonts w:cs="Arial"/>
          <w:color w:val="000000"/>
        </w:rPr>
        <w:t xml:space="preserve">complete the Tier </w:t>
      </w:r>
      <w:r w:rsidR="005B372F">
        <w:rPr>
          <w:rFonts w:cs="Arial"/>
          <w:color w:val="000000"/>
        </w:rPr>
        <w:t>I</w:t>
      </w:r>
      <w:r w:rsidR="005B372F" w:rsidRPr="00854FC2">
        <w:rPr>
          <w:rFonts w:cs="Arial"/>
          <w:color w:val="000000"/>
        </w:rPr>
        <w:t xml:space="preserve"> </w:t>
      </w:r>
      <w:r w:rsidRPr="00854FC2">
        <w:rPr>
          <w:rFonts w:cs="Arial"/>
          <w:color w:val="000000"/>
        </w:rPr>
        <w:t xml:space="preserve">SPCC Plan template to serve as </w:t>
      </w:r>
      <w:r w:rsidR="00895C1A">
        <w:rPr>
          <w:rFonts w:cs="Arial"/>
          <w:color w:val="000000"/>
        </w:rPr>
        <w:t>the</w:t>
      </w:r>
      <w:r w:rsidRPr="00854FC2">
        <w:rPr>
          <w:rFonts w:cs="Arial"/>
          <w:color w:val="000000"/>
        </w:rPr>
        <w:t xml:space="preserve"> SPCC Plan.  </w:t>
      </w:r>
    </w:p>
    <w:p w:rsidR="00D85665" w:rsidRPr="00854FC2" w:rsidRDefault="00D85665">
      <w:pPr>
        <w:rPr>
          <w:rFonts w:cs="Arial"/>
          <w:szCs w:val="22"/>
        </w:rPr>
      </w:pPr>
    </w:p>
    <w:p w:rsidR="00D85665" w:rsidRPr="00854FC2" w:rsidRDefault="00D85665" w:rsidP="00E30DD3">
      <w:pPr>
        <w:ind w:firstLine="720"/>
        <w:rPr>
          <w:rFonts w:cs="Arial"/>
          <w:szCs w:val="22"/>
        </w:rPr>
      </w:pPr>
      <w:r w:rsidRPr="00854FC2">
        <w:rPr>
          <w:rFonts w:cs="Arial"/>
          <w:color w:val="000000"/>
        </w:rPr>
        <w:t>The Agency assumed that owners and operators</w:t>
      </w:r>
      <w:r w:rsidR="0059095B">
        <w:rPr>
          <w:rFonts w:cs="Arial"/>
          <w:color w:val="000000"/>
        </w:rPr>
        <w:t xml:space="preserve"> of</w:t>
      </w:r>
      <w:r w:rsidRPr="00854FC2">
        <w:rPr>
          <w:rFonts w:cs="Arial"/>
          <w:color w:val="000000"/>
        </w:rPr>
        <w:t xml:space="preserve"> existing facilities would not use the </w:t>
      </w:r>
      <w:r w:rsidR="00E734A2">
        <w:rPr>
          <w:rFonts w:cs="Arial"/>
          <w:color w:val="000000"/>
        </w:rPr>
        <w:t>provided</w:t>
      </w:r>
      <w:r w:rsidRPr="00854FC2">
        <w:rPr>
          <w:rFonts w:cs="Arial"/>
          <w:color w:val="000000"/>
        </w:rPr>
        <w:t xml:space="preserve"> option</w:t>
      </w:r>
      <w:r w:rsidR="00E63DA2">
        <w:rPr>
          <w:rFonts w:cs="Arial"/>
          <w:color w:val="000000"/>
        </w:rPr>
        <w:t xml:space="preserve">, </w:t>
      </w:r>
      <w:r w:rsidRPr="00854FC2">
        <w:rPr>
          <w:rFonts w:cs="Arial"/>
          <w:color w:val="000000"/>
        </w:rPr>
        <w:t xml:space="preserve">because they are expected to have an SPCC Plan in place and preparing a template would present an additional expense for those facilities. Correspondingly, EPA assumed that owners and operators of </w:t>
      </w:r>
      <w:r w:rsidRPr="00854FC2">
        <w:rPr>
          <w:rFonts w:cs="Arial"/>
          <w:i/>
          <w:iCs/>
          <w:color w:val="000000"/>
        </w:rPr>
        <w:t xml:space="preserve">all </w:t>
      </w:r>
      <w:r w:rsidRPr="00854FC2">
        <w:rPr>
          <w:rFonts w:cs="Arial"/>
          <w:color w:val="000000"/>
        </w:rPr>
        <w:t xml:space="preserve">new qualified facilities with no </w:t>
      </w:r>
      <w:r w:rsidR="00FB374E">
        <w:rPr>
          <w:rFonts w:cs="Arial"/>
          <w:color w:val="000000"/>
        </w:rPr>
        <w:t xml:space="preserve">single </w:t>
      </w:r>
      <w:r w:rsidRPr="00854FC2">
        <w:rPr>
          <w:rFonts w:cs="Arial"/>
          <w:color w:val="000000"/>
        </w:rPr>
        <w:t xml:space="preserve">containers greater than 5,000 gallons would take advantage of the reduced requirements and </w:t>
      </w:r>
      <w:r w:rsidR="005B372F">
        <w:rPr>
          <w:rFonts w:cs="Arial"/>
          <w:color w:val="000000"/>
        </w:rPr>
        <w:t>complete</w:t>
      </w:r>
      <w:r w:rsidR="005B372F" w:rsidRPr="00854FC2">
        <w:rPr>
          <w:rFonts w:cs="Arial"/>
          <w:color w:val="000000"/>
        </w:rPr>
        <w:t xml:space="preserve"> </w:t>
      </w:r>
      <w:r w:rsidRPr="00854FC2">
        <w:rPr>
          <w:rFonts w:cs="Arial"/>
          <w:color w:val="000000"/>
        </w:rPr>
        <w:t xml:space="preserve">a </w:t>
      </w:r>
      <w:r w:rsidR="00396EA1">
        <w:rPr>
          <w:rFonts w:cs="Arial"/>
          <w:color w:val="000000"/>
        </w:rPr>
        <w:t xml:space="preserve">Tier </w:t>
      </w:r>
      <w:r w:rsidR="005B372F">
        <w:rPr>
          <w:rFonts w:cs="Arial"/>
          <w:color w:val="000000"/>
        </w:rPr>
        <w:t xml:space="preserve">I </w:t>
      </w:r>
      <w:r w:rsidRPr="00854FC2">
        <w:rPr>
          <w:rFonts w:cs="Arial"/>
          <w:color w:val="000000"/>
        </w:rPr>
        <w:t>template</w:t>
      </w:r>
      <w:r w:rsidR="005B372F">
        <w:rPr>
          <w:rFonts w:cs="Arial"/>
          <w:color w:val="000000"/>
        </w:rPr>
        <w:t xml:space="preserve"> to serve as the facility SPCC Plan</w:t>
      </w:r>
      <w:r w:rsidRPr="00854FC2">
        <w:rPr>
          <w:rFonts w:cs="Arial"/>
          <w:color w:val="000000"/>
        </w:rPr>
        <w:t>.</w:t>
      </w:r>
    </w:p>
    <w:p w:rsidR="00D85665" w:rsidRPr="00854FC2" w:rsidRDefault="00D85665">
      <w:pPr>
        <w:rPr>
          <w:rFonts w:cs="Arial"/>
          <w:szCs w:val="22"/>
        </w:rPr>
      </w:pPr>
    </w:p>
    <w:p w:rsidR="00D85665" w:rsidRPr="00854FC2" w:rsidRDefault="00D85665" w:rsidP="00E30DD3">
      <w:pPr>
        <w:ind w:firstLine="720"/>
        <w:rPr>
          <w:rFonts w:cs="Arial"/>
          <w:szCs w:val="22"/>
        </w:rPr>
      </w:pPr>
      <w:r w:rsidRPr="00854FC2">
        <w:rPr>
          <w:rFonts w:cs="Arial"/>
          <w:szCs w:val="22"/>
        </w:rPr>
        <w:t xml:space="preserve">The costs presented in </w:t>
      </w:r>
      <w:fldSimple w:instr=" REF _Ref141694923  \* MERGEFORMAT ">
        <w:r w:rsidR="00F61EFD" w:rsidRPr="009B64F9">
          <w:t xml:space="preserve">Exhibit </w:t>
        </w:r>
        <w:r w:rsidR="00F61EFD">
          <w:rPr>
            <w:noProof/>
          </w:rPr>
          <w:t>4</w:t>
        </w:r>
      </w:fldSimple>
      <w:r w:rsidRPr="00854FC2">
        <w:rPr>
          <w:rFonts w:cs="Arial"/>
          <w:szCs w:val="22"/>
        </w:rPr>
        <w:t xml:space="preserve"> through </w:t>
      </w:r>
      <w:fldSimple w:instr=" REF _Ref141694931  \* MERGEFORMAT ">
        <w:r w:rsidR="00F61EFD" w:rsidRPr="00C21B7E">
          <w:t xml:space="preserve">Exhibit </w:t>
        </w:r>
        <w:r w:rsidR="00F61EFD">
          <w:rPr>
            <w:noProof/>
          </w:rPr>
          <w:t>8</w:t>
        </w:r>
      </w:fldSimple>
      <w:r w:rsidRPr="00854FC2">
        <w:rPr>
          <w:rFonts w:cs="Arial"/>
          <w:szCs w:val="22"/>
        </w:rPr>
        <w:t xml:space="preserve"> represent the </w:t>
      </w:r>
      <w:r w:rsidRPr="00A44BEA">
        <w:rPr>
          <w:rFonts w:cs="Arial"/>
          <w:szCs w:val="22"/>
        </w:rPr>
        <w:t>average</w:t>
      </w:r>
      <w:r w:rsidRPr="00854FC2">
        <w:rPr>
          <w:rFonts w:cs="Arial"/>
          <w:szCs w:val="22"/>
        </w:rPr>
        <w:t xml:space="preserve"> costs for </w:t>
      </w:r>
      <w:r w:rsidR="00E63DA2">
        <w:rPr>
          <w:rFonts w:cs="Arial"/>
          <w:szCs w:val="22"/>
        </w:rPr>
        <w:t xml:space="preserve">each </w:t>
      </w:r>
      <w:r w:rsidRPr="00854FC2">
        <w:rPr>
          <w:rFonts w:cs="Arial"/>
          <w:szCs w:val="22"/>
        </w:rPr>
        <w:t>facilit</w:t>
      </w:r>
      <w:r w:rsidR="00E63DA2">
        <w:rPr>
          <w:rFonts w:cs="Arial"/>
          <w:szCs w:val="22"/>
        </w:rPr>
        <w:t>y</w:t>
      </w:r>
      <w:r w:rsidRPr="00854FC2">
        <w:rPr>
          <w:rFonts w:cs="Arial"/>
          <w:szCs w:val="22"/>
        </w:rPr>
        <w:t xml:space="preserve"> of different sizes, accounting for the probability that certain facilities will incur those costs (e.g., five-year reviews affect one-fifth of existing facilities) and for the estimated overlap between federal and state requirements. Low probability costs (e.g., complying with §112.4(c)) distributed across many facilities yield only nominal per-facility average costs, particularly when state overlap is taken into consideration.</w:t>
      </w:r>
    </w:p>
    <w:p w:rsidR="00D85665" w:rsidRPr="00854FC2" w:rsidRDefault="00D85665">
      <w:pPr>
        <w:rPr>
          <w:rFonts w:cs="Arial"/>
          <w:szCs w:val="22"/>
        </w:rPr>
      </w:pPr>
    </w:p>
    <w:p w:rsidR="00D85665" w:rsidRPr="00854FC2" w:rsidRDefault="00D85665" w:rsidP="00E30DD3">
      <w:pPr>
        <w:ind w:firstLine="720"/>
        <w:rPr>
          <w:rFonts w:cs="Arial"/>
          <w:szCs w:val="22"/>
        </w:rPr>
      </w:pPr>
      <w:r w:rsidRPr="00854FC2">
        <w:rPr>
          <w:rFonts w:cs="Arial"/>
          <w:szCs w:val="22"/>
        </w:rPr>
        <w:t>The state</w:t>
      </w:r>
      <w:r w:rsidR="00E63DA2">
        <w:rPr>
          <w:rFonts w:cs="Arial"/>
          <w:szCs w:val="22"/>
        </w:rPr>
        <w:t>-</w:t>
      </w:r>
      <w:r w:rsidRPr="00854FC2">
        <w:rPr>
          <w:rFonts w:cs="Arial"/>
          <w:szCs w:val="22"/>
        </w:rPr>
        <w:t>overlap assumptions are based on research conducted for the 2002 SPCC rule</w:t>
      </w:r>
      <w:r w:rsidRPr="00854FC2">
        <w:rPr>
          <w:rStyle w:val="FootnoteReference"/>
        </w:rPr>
        <w:footnoteReference w:id="13"/>
      </w:r>
      <w:r w:rsidRPr="00854FC2">
        <w:rPr>
          <w:rFonts w:cs="Arial"/>
          <w:szCs w:val="22"/>
        </w:rPr>
        <w:t xml:space="preserve"> and are described in the regulatory impact analysis for the SPCC </w:t>
      </w:r>
      <w:r w:rsidR="00E734A2">
        <w:rPr>
          <w:rFonts w:cs="Arial"/>
          <w:szCs w:val="22"/>
        </w:rPr>
        <w:t>final</w:t>
      </w:r>
      <w:r w:rsidRPr="00854FC2">
        <w:rPr>
          <w:rFonts w:cs="Arial"/>
          <w:szCs w:val="22"/>
        </w:rPr>
        <w:t xml:space="preserve"> rule.</w:t>
      </w:r>
      <w:r w:rsidRPr="00854FC2">
        <w:rPr>
          <w:rStyle w:val="CommentReference"/>
          <w:vanish/>
        </w:rPr>
        <w:t xml:space="preserve"> </w:t>
      </w:r>
      <w:r w:rsidRPr="00854FC2">
        <w:rPr>
          <w:rFonts w:cs="Arial"/>
          <w:szCs w:val="22"/>
        </w:rPr>
        <w:t xml:space="preserve"> Each state has its own regulations regarding the storage, handling, and containment of oil. In some cases, the effort required by these state regulations may be the same as what is required by SPCC.  Overall, in 2002 EPA found that </w:t>
      </w:r>
      <w:r w:rsidR="00727F8B">
        <w:rPr>
          <w:rFonts w:cs="Arial"/>
          <w:szCs w:val="22"/>
        </w:rPr>
        <w:t xml:space="preserve">about </w:t>
      </w:r>
      <w:r w:rsidRPr="00854FC2">
        <w:rPr>
          <w:rFonts w:cs="Arial"/>
          <w:szCs w:val="22"/>
        </w:rPr>
        <w:t xml:space="preserve">5.9 percent of facilities are in states with complete overlap; about 5.6 percent of facilities in states with substantial overlap; and about 5.7 percent of facilities in states with partial overlap. To develop the burden estimates, EPA multiplied the burden </w:t>
      </w:r>
      <w:r w:rsidR="00032EB0">
        <w:rPr>
          <w:rFonts w:cs="Arial"/>
          <w:szCs w:val="22"/>
        </w:rPr>
        <w:t xml:space="preserve">hours </w:t>
      </w:r>
      <w:r w:rsidRPr="00854FC2">
        <w:rPr>
          <w:rFonts w:cs="Arial"/>
          <w:szCs w:val="22"/>
        </w:rPr>
        <w:t>by both the percentage of facilities in each overlap category and the degree of overlap (i.e., 100 percent for complete overlap, 75 percent for substantial overlap, and 50 percent for partial overlap).</w:t>
      </w:r>
      <w:r w:rsidR="00E63DA2">
        <w:rPr>
          <w:rFonts w:cs="Arial"/>
          <w:szCs w:val="22"/>
        </w:rPr>
        <w:t xml:space="preserve"> </w:t>
      </w:r>
      <w:r w:rsidRPr="00854FC2">
        <w:rPr>
          <w:rFonts w:cs="Arial"/>
          <w:color w:val="000000"/>
        </w:rPr>
        <w:t>As part of the regulatory analysis for the 200</w:t>
      </w:r>
      <w:r w:rsidR="00235269">
        <w:rPr>
          <w:rFonts w:cs="Arial"/>
          <w:color w:val="000000"/>
        </w:rPr>
        <w:t>9</w:t>
      </w:r>
      <w:r w:rsidRPr="00854FC2">
        <w:rPr>
          <w:rFonts w:cs="Arial"/>
          <w:color w:val="000000"/>
        </w:rPr>
        <w:t xml:space="preserve"> </w:t>
      </w:r>
      <w:r w:rsidR="00E734A2">
        <w:rPr>
          <w:rFonts w:cs="Arial"/>
          <w:color w:val="000000"/>
        </w:rPr>
        <w:t>final</w:t>
      </w:r>
      <w:r w:rsidRPr="00854FC2">
        <w:rPr>
          <w:rFonts w:cs="Arial"/>
          <w:color w:val="000000"/>
        </w:rPr>
        <w:t xml:space="preserve"> SPCC </w:t>
      </w:r>
      <w:r w:rsidRPr="00854FC2">
        <w:rPr>
          <w:rFonts w:cs="Arial"/>
          <w:color w:val="000000"/>
        </w:rPr>
        <w:lastRenderedPageBreak/>
        <w:t xml:space="preserve">amendments, EPA </w:t>
      </w:r>
      <w:r w:rsidR="008E7CFD">
        <w:rPr>
          <w:rFonts w:cs="Arial"/>
          <w:color w:val="000000"/>
        </w:rPr>
        <w:t>analyzed</w:t>
      </w:r>
      <w:r w:rsidR="008E7CFD" w:rsidRPr="00854FC2">
        <w:rPr>
          <w:rFonts w:cs="Arial"/>
          <w:color w:val="000000"/>
        </w:rPr>
        <w:t xml:space="preserve"> </w:t>
      </w:r>
      <w:r w:rsidRPr="00854FC2">
        <w:rPr>
          <w:rFonts w:cs="Arial"/>
          <w:color w:val="000000"/>
        </w:rPr>
        <w:t>the overlap of state regulations to determine whether an adjustment of the estimate would more accurately account for recent changes in state requirements and/or refine the previously generated estimates. As a result of this review, the Agency concluded that there was no</w:t>
      </w:r>
      <w:r w:rsidR="00A54439">
        <w:rPr>
          <w:rFonts w:cs="Arial"/>
          <w:color w:val="000000"/>
        </w:rPr>
        <w:t xml:space="preserve"> </w:t>
      </w:r>
      <w:r w:rsidRPr="00854FC2">
        <w:rPr>
          <w:rFonts w:cs="Arial"/>
          <w:color w:val="000000"/>
        </w:rPr>
        <w:t>compelling evidence to adjust the overlap estimate between the SPCC rule and state regulations. When estimating paperwork-related burden resulting from the SPCC requirements, EPA takes into account the estimated degree of overlap to avoid double counting. The reduced burden due to state overlap was estimated by applying the overlap percentages to the total burden associated with each paperwork compliance activity.</w:t>
      </w:r>
    </w:p>
    <w:p w:rsidR="00D85665" w:rsidRPr="00854FC2" w:rsidRDefault="00D85665">
      <w:pPr>
        <w:rPr>
          <w:rFonts w:cs="Arial"/>
          <w:szCs w:val="22"/>
        </w:rPr>
      </w:pPr>
    </w:p>
    <w:p w:rsidR="00D85665" w:rsidRPr="00854FC2" w:rsidRDefault="00D85665" w:rsidP="00A15DF0">
      <w:pPr>
        <w:keepNext/>
        <w:keepLines/>
        <w:outlineLvl w:val="0"/>
        <w:rPr>
          <w:rFonts w:cs="Arial"/>
          <w:szCs w:val="22"/>
        </w:rPr>
      </w:pPr>
      <w:r w:rsidRPr="00854FC2">
        <w:rPr>
          <w:rFonts w:cs="Arial"/>
          <w:szCs w:val="22"/>
        </w:rPr>
        <w:tab/>
      </w:r>
      <w:r w:rsidRPr="00854FC2">
        <w:rPr>
          <w:rFonts w:cs="Arial"/>
          <w:szCs w:val="22"/>
          <w:u w:val="single"/>
        </w:rPr>
        <w:t>Total Annual Burden per Average Respondent</w:t>
      </w:r>
    </w:p>
    <w:p w:rsidR="00D85665" w:rsidRPr="00854FC2" w:rsidRDefault="00D85665">
      <w:pPr>
        <w:keepNext/>
        <w:keepLines/>
        <w:rPr>
          <w:rFonts w:cs="Arial"/>
          <w:szCs w:val="22"/>
        </w:rPr>
      </w:pPr>
    </w:p>
    <w:p w:rsidR="00D85665" w:rsidRPr="00854FC2" w:rsidRDefault="00D85665" w:rsidP="00E30DD3">
      <w:pPr>
        <w:pStyle w:val="BodyText"/>
        <w:ind w:firstLine="720"/>
      </w:pPr>
      <w:r w:rsidRPr="00854FC2">
        <w:t xml:space="preserve">Once the </w:t>
      </w:r>
      <w:r w:rsidR="001C6891" w:rsidRPr="00854FC2">
        <w:t>unit</w:t>
      </w:r>
      <w:r w:rsidR="001C6891">
        <w:t xml:space="preserve"> per-facility </w:t>
      </w:r>
      <w:r w:rsidRPr="00854FC2">
        <w:t xml:space="preserve">burden hours were determined for each compliance activity undertaken by the average facility in each size category, EPA calculated the total annual burden by summing the unit estimates for all compliance activities. The annual burden for an average facility differs for each size category based on the assumed differences in the </w:t>
      </w:r>
      <w:r w:rsidR="009820FE">
        <w:t xml:space="preserve">oil storage capacity </w:t>
      </w:r>
      <w:r w:rsidR="000A0610">
        <w:t xml:space="preserve">and </w:t>
      </w:r>
      <w:r w:rsidRPr="00854FC2">
        <w:t xml:space="preserve">complexity of the facility and its operations. The estimated annual burden hours for an average respondent in each size category for existing and new facilities are presented in </w:t>
      </w:r>
      <w:fldSimple w:instr=" REF _Ref141694923  \* MERGEFORMAT ">
        <w:r w:rsidR="00F61EFD" w:rsidRPr="009B64F9">
          <w:t xml:space="preserve">Exhibit </w:t>
        </w:r>
        <w:r w:rsidR="00F61EFD">
          <w:rPr>
            <w:noProof/>
          </w:rPr>
          <w:t>4</w:t>
        </w:r>
      </w:fldSimple>
      <w:r w:rsidRPr="00854FC2">
        <w:t xml:space="preserve"> through </w:t>
      </w:r>
      <w:fldSimple w:instr=" REF _Ref141694931  \* MERGEFORMAT ">
        <w:r w:rsidR="00F61EFD" w:rsidRPr="00C21B7E">
          <w:t xml:space="preserve">Exhibit </w:t>
        </w:r>
        <w:r w:rsidR="00F61EFD">
          <w:rPr>
            <w:noProof/>
          </w:rPr>
          <w:t>8</w:t>
        </w:r>
      </w:fldSimple>
      <w:r w:rsidRPr="00854FC2">
        <w:t>.</w:t>
      </w:r>
    </w:p>
    <w:p w:rsidR="00D85665" w:rsidRPr="00854FC2" w:rsidRDefault="00D85665">
      <w:pPr>
        <w:rPr>
          <w:rFonts w:cs="Arial"/>
          <w:szCs w:val="22"/>
        </w:rPr>
      </w:pPr>
    </w:p>
    <w:p w:rsidR="00D85665" w:rsidRPr="00854FC2" w:rsidRDefault="00D85665" w:rsidP="00A15DF0">
      <w:pPr>
        <w:keepNext/>
        <w:keepLines/>
        <w:outlineLvl w:val="0"/>
        <w:rPr>
          <w:rFonts w:cs="Arial"/>
          <w:szCs w:val="22"/>
        </w:rPr>
      </w:pPr>
      <w:r w:rsidRPr="00854FC2">
        <w:rPr>
          <w:rFonts w:cs="Arial"/>
          <w:szCs w:val="22"/>
        </w:rPr>
        <w:tab/>
      </w:r>
      <w:r w:rsidRPr="00854FC2">
        <w:rPr>
          <w:rFonts w:cs="Arial"/>
          <w:szCs w:val="22"/>
          <w:u w:val="single"/>
        </w:rPr>
        <w:t>Total Annual Cost per Average Respondent</w:t>
      </w:r>
    </w:p>
    <w:p w:rsidR="00D85665" w:rsidRPr="00854FC2" w:rsidRDefault="00D85665">
      <w:pPr>
        <w:keepNext/>
        <w:keepLines/>
        <w:rPr>
          <w:rFonts w:cs="Arial"/>
          <w:szCs w:val="22"/>
        </w:rPr>
      </w:pPr>
    </w:p>
    <w:p w:rsidR="00A71552" w:rsidRDefault="00D85665" w:rsidP="00E30DD3">
      <w:pPr>
        <w:ind w:firstLine="720"/>
        <w:rPr>
          <w:rFonts w:cs="Arial"/>
          <w:szCs w:val="22"/>
        </w:rPr>
      </w:pPr>
      <w:r w:rsidRPr="00854FC2">
        <w:rPr>
          <w:rFonts w:cs="Arial"/>
          <w:szCs w:val="22"/>
        </w:rPr>
        <w:t xml:space="preserve">In estimating the per-respondent costs for existing and new facilities in each size category, EPA calculated the unit cost for each compliance activity performed by the average facility. These average per-facility costs are shown in the right-hand column of </w:t>
      </w:r>
      <w:fldSimple w:instr=" REF _Ref141694923  \* MERGEFORMAT ">
        <w:r w:rsidR="00F61EFD" w:rsidRPr="009B64F9">
          <w:t xml:space="preserve">Exhibit </w:t>
        </w:r>
        <w:r w:rsidR="00F61EFD">
          <w:rPr>
            <w:noProof/>
          </w:rPr>
          <w:t>4</w:t>
        </w:r>
      </w:fldSimple>
      <w:r w:rsidRPr="00854FC2">
        <w:rPr>
          <w:rFonts w:cs="Arial"/>
          <w:szCs w:val="22"/>
        </w:rPr>
        <w:t xml:space="preserve"> through </w:t>
      </w:r>
      <w:fldSimple w:instr=" REF _Ref141694931  \* MERGEFORMAT ">
        <w:r w:rsidR="00F61EFD" w:rsidRPr="00C21B7E">
          <w:t xml:space="preserve">Exhibit </w:t>
        </w:r>
        <w:r w:rsidR="00F61EFD">
          <w:rPr>
            <w:noProof/>
          </w:rPr>
          <w:t>8</w:t>
        </w:r>
      </w:fldSimple>
      <w:r w:rsidRPr="00854FC2">
        <w:rPr>
          <w:rFonts w:cs="Arial"/>
          <w:szCs w:val="22"/>
        </w:rPr>
        <w:t xml:space="preserve">. To estimate the cost for each compliance activity performed by the average respondent facility in each size category under the rule, EPA multiplied the unit time estimates for management, technical, and clerical personnel by the hourly wage rate for each labor category and then added the result to the paperwork-related capital and O&amp;M (PE) costs.  </w:t>
      </w:r>
    </w:p>
    <w:p w:rsidR="00A71552" w:rsidRDefault="00A71552" w:rsidP="00E30DD3">
      <w:pPr>
        <w:ind w:firstLine="720"/>
        <w:rPr>
          <w:rFonts w:cs="Arial"/>
          <w:szCs w:val="22"/>
        </w:rPr>
      </w:pPr>
    </w:p>
    <w:p w:rsidR="00D85665" w:rsidRPr="00854FC2" w:rsidRDefault="00F0523B" w:rsidP="00E30DD3">
      <w:pPr>
        <w:ind w:firstLine="720"/>
        <w:rPr>
          <w:rFonts w:cs="Arial"/>
          <w:szCs w:val="22"/>
        </w:rPr>
      </w:pPr>
      <w:r>
        <w:rPr>
          <w:rFonts w:cs="Arial"/>
          <w:szCs w:val="22"/>
        </w:rPr>
        <w:t xml:space="preserve">Existing facilities include those facilities that have been in operation for longer than a year. </w:t>
      </w:r>
      <w:r w:rsidR="00462160">
        <w:rPr>
          <w:rFonts w:cs="Arial"/>
          <w:szCs w:val="22"/>
        </w:rPr>
        <w:t xml:space="preserve">Costs for existing </w:t>
      </w:r>
      <w:r w:rsidR="00151432">
        <w:rPr>
          <w:rFonts w:cs="Arial"/>
          <w:szCs w:val="22"/>
        </w:rPr>
        <w:t xml:space="preserve">facilities </w:t>
      </w:r>
      <w:r w:rsidR="00462160">
        <w:rPr>
          <w:rFonts w:cs="Arial"/>
          <w:szCs w:val="22"/>
        </w:rPr>
        <w:t xml:space="preserve">include </w:t>
      </w:r>
      <w:r w:rsidR="003D1569">
        <w:rPr>
          <w:rFonts w:cs="Arial"/>
          <w:szCs w:val="22"/>
        </w:rPr>
        <w:t xml:space="preserve">activities that incur continuously </w:t>
      </w:r>
      <w:r w:rsidR="000528F9">
        <w:rPr>
          <w:rFonts w:cs="Arial"/>
          <w:szCs w:val="22"/>
        </w:rPr>
        <w:t>such as recordkeeping or once every several years such as SPCC Plan review.</w:t>
      </w:r>
      <w:r w:rsidR="00B13B43">
        <w:rPr>
          <w:rStyle w:val="FootnoteReference"/>
          <w:rFonts w:cs="Arial"/>
          <w:szCs w:val="22"/>
        </w:rPr>
        <w:footnoteReference w:id="14"/>
      </w:r>
      <w:r w:rsidR="00C16AB1">
        <w:rPr>
          <w:rFonts w:cs="Arial"/>
          <w:szCs w:val="22"/>
        </w:rPr>
        <w:t xml:space="preserve"> </w:t>
      </w:r>
      <w:r w:rsidR="00D85665" w:rsidRPr="00854FC2">
        <w:rPr>
          <w:rFonts w:cs="Arial"/>
          <w:szCs w:val="22"/>
        </w:rPr>
        <w:t xml:space="preserve">For the average </w:t>
      </w:r>
      <w:r w:rsidR="00D85665" w:rsidRPr="00AA78ED">
        <w:rPr>
          <w:rFonts w:cs="Arial"/>
          <w:szCs w:val="22"/>
        </w:rPr>
        <w:t>existing</w:t>
      </w:r>
      <w:r w:rsidR="00D85665" w:rsidRPr="00854FC2">
        <w:rPr>
          <w:rFonts w:cs="Arial"/>
          <w:szCs w:val="22"/>
        </w:rPr>
        <w:t xml:space="preserve"> </w:t>
      </w:r>
      <w:r w:rsidR="00183833">
        <w:rPr>
          <w:rFonts w:cs="Arial"/>
          <w:szCs w:val="22"/>
        </w:rPr>
        <w:t xml:space="preserve">SPCC-regulated </w:t>
      </w:r>
      <w:r w:rsidR="00D85665" w:rsidRPr="00854FC2">
        <w:rPr>
          <w:rFonts w:cs="Arial"/>
          <w:szCs w:val="22"/>
        </w:rPr>
        <w:t xml:space="preserve">facility, following are the estimated total annual costs for all information collection activities required by the </w:t>
      </w:r>
      <w:r w:rsidR="00E734A2">
        <w:rPr>
          <w:rFonts w:cs="Arial"/>
          <w:szCs w:val="22"/>
        </w:rPr>
        <w:t>final</w:t>
      </w:r>
      <w:r w:rsidR="00D85665" w:rsidRPr="00854FC2">
        <w:rPr>
          <w:rFonts w:cs="Arial"/>
          <w:szCs w:val="22"/>
        </w:rPr>
        <w:t xml:space="preserve"> </w:t>
      </w:r>
      <w:r w:rsidR="00E734A2">
        <w:rPr>
          <w:rFonts w:cs="Arial"/>
          <w:szCs w:val="22"/>
        </w:rPr>
        <w:t>rule</w:t>
      </w:r>
      <w:r w:rsidR="00D85665" w:rsidRPr="00854FC2">
        <w:rPr>
          <w:rFonts w:cs="Arial"/>
          <w:szCs w:val="22"/>
        </w:rPr>
        <w:t>:</w:t>
      </w:r>
    </w:p>
    <w:p w:rsidR="00D85665" w:rsidRPr="00854FC2" w:rsidRDefault="00D85665">
      <w:pPr>
        <w:rPr>
          <w:rFonts w:cs="Arial"/>
          <w:szCs w:val="22"/>
        </w:rPr>
      </w:pPr>
    </w:p>
    <w:p w:rsidR="00D85665" w:rsidRPr="00B8074F" w:rsidRDefault="00D85665">
      <w:pPr>
        <w:numPr>
          <w:ilvl w:val="0"/>
          <w:numId w:val="10"/>
        </w:numPr>
        <w:rPr>
          <w:rFonts w:cs="Arial"/>
          <w:szCs w:val="22"/>
        </w:rPr>
      </w:pPr>
      <w:r w:rsidRPr="00B8074F">
        <w:rPr>
          <w:rFonts w:cs="Arial"/>
          <w:szCs w:val="22"/>
        </w:rPr>
        <w:t>Category I (</w:t>
      </w:r>
      <w:r w:rsidR="00152058" w:rsidRPr="00B8074F">
        <w:rPr>
          <w:rFonts w:cs="Arial"/>
          <w:szCs w:val="22"/>
        </w:rPr>
        <w:t>Tier I</w:t>
      </w:r>
      <w:r w:rsidRPr="00B8074F">
        <w:rPr>
          <w:rFonts w:cs="Arial"/>
          <w:szCs w:val="22"/>
        </w:rPr>
        <w:t xml:space="preserve">): </w:t>
      </w:r>
      <w:r w:rsidR="00A05D65">
        <w:rPr>
          <w:rFonts w:cs="Arial"/>
          <w:szCs w:val="22"/>
        </w:rPr>
        <w:t xml:space="preserve"> $970 </w:t>
      </w:r>
      <w:r w:rsidRPr="00B8074F">
        <w:rPr>
          <w:rFonts w:cs="Arial"/>
          <w:szCs w:val="22"/>
        </w:rPr>
        <w:t>per facility;</w:t>
      </w:r>
    </w:p>
    <w:p w:rsidR="00D85665" w:rsidRPr="00B8074F" w:rsidRDefault="00D85665">
      <w:pPr>
        <w:numPr>
          <w:ilvl w:val="0"/>
          <w:numId w:val="10"/>
        </w:numPr>
        <w:rPr>
          <w:rFonts w:cs="Arial"/>
          <w:szCs w:val="22"/>
        </w:rPr>
      </w:pPr>
      <w:r w:rsidRPr="00B8074F">
        <w:rPr>
          <w:rFonts w:cs="Arial"/>
          <w:szCs w:val="22"/>
        </w:rPr>
        <w:t xml:space="preserve">Category I: </w:t>
      </w:r>
      <w:r w:rsidR="00A05D65">
        <w:rPr>
          <w:rFonts w:cs="Arial"/>
          <w:szCs w:val="22"/>
        </w:rPr>
        <w:t xml:space="preserve"> $970 </w:t>
      </w:r>
      <w:r w:rsidRPr="00B8074F">
        <w:rPr>
          <w:rFonts w:cs="Arial"/>
          <w:szCs w:val="22"/>
        </w:rPr>
        <w:t>per facility;</w:t>
      </w:r>
    </w:p>
    <w:p w:rsidR="00D85665" w:rsidRPr="00B8074F" w:rsidRDefault="00D85665">
      <w:pPr>
        <w:numPr>
          <w:ilvl w:val="0"/>
          <w:numId w:val="7"/>
        </w:numPr>
        <w:rPr>
          <w:rFonts w:cs="Arial"/>
          <w:szCs w:val="22"/>
        </w:rPr>
      </w:pPr>
      <w:r w:rsidRPr="00B8074F">
        <w:rPr>
          <w:rFonts w:cs="Arial"/>
          <w:szCs w:val="22"/>
        </w:rPr>
        <w:t xml:space="preserve">Category II: </w:t>
      </w:r>
      <w:r w:rsidR="00A05D65">
        <w:rPr>
          <w:rFonts w:cs="Arial"/>
          <w:szCs w:val="22"/>
        </w:rPr>
        <w:t xml:space="preserve">$1,295 </w:t>
      </w:r>
      <w:r w:rsidRPr="00B8074F">
        <w:rPr>
          <w:rFonts w:cs="Arial"/>
          <w:szCs w:val="22"/>
        </w:rPr>
        <w:t>per facility;</w:t>
      </w:r>
    </w:p>
    <w:p w:rsidR="00D85665" w:rsidRPr="00B8074F" w:rsidRDefault="00D85665">
      <w:pPr>
        <w:numPr>
          <w:ilvl w:val="0"/>
          <w:numId w:val="7"/>
        </w:numPr>
        <w:rPr>
          <w:rFonts w:cs="Arial"/>
          <w:szCs w:val="22"/>
        </w:rPr>
      </w:pPr>
      <w:r w:rsidRPr="00B8074F">
        <w:rPr>
          <w:rFonts w:cs="Arial"/>
          <w:szCs w:val="22"/>
        </w:rPr>
        <w:t xml:space="preserve">Category III: </w:t>
      </w:r>
      <w:r w:rsidR="00A05D65">
        <w:rPr>
          <w:rFonts w:cs="Arial"/>
          <w:szCs w:val="22"/>
        </w:rPr>
        <w:t xml:space="preserve">$2,245 </w:t>
      </w:r>
      <w:r w:rsidRPr="00B8074F">
        <w:rPr>
          <w:rFonts w:cs="Arial"/>
          <w:szCs w:val="22"/>
        </w:rPr>
        <w:t>per facility; and</w:t>
      </w:r>
    </w:p>
    <w:p w:rsidR="00D85665" w:rsidRPr="00B8074F" w:rsidRDefault="00D85665">
      <w:pPr>
        <w:numPr>
          <w:ilvl w:val="0"/>
          <w:numId w:val="7"/>
        </w:numPr>
        <w:rPr>
          <w:rFonts w:cs="Arial"/>
          <w:szCs w:val="22"/>
        </w:rPr>
      </w:pPr>
      <w:r w:rsidRPr="00B8074F">
        <w:rPr>
          <w:rFonts w:cs="Arial"/>
          <w:szCs w:val="22"/>
        </w:rPr>
        <w:t xml:space="preserve">Category IV: </w:t>
      </w:r>
      <w:r w:rsidR="00A05D65">
        <w:rPr>
          <w:rFonts w:cs="Arial"/>
          <w:szCs w:val="22"/>
        </w:rPr>
        <w:t xml:space="preserve">$4,211 </w:t>
      </w:r>
      <w:r w:rsidRPr="00B8074F">
        <w:rPr>
          <w:rFonts w:cs="Arial"/>
          <w:szCs w:val="22"/>
        </w:rPr>
        <w:t>per facility.</w:t>
      </w:r>
    </w:p>
    <w:p w:rsidR="00D85665" w:rsidRPr="00B8074F" w:rsidRDefault="00D85665">
      <w:pPr>
        <w:rPr>
          <w:rFonts w:cs="Arial"/>
          <w:szCs w:val="22"/>
        </w:rPr>
      </w:pPr>
    </w:p>
    <w:p w:rsidR="00D85665" w:rsidRPr="00B8074F" w:rsidRDefault="00A71552" w:rsidP="00E30DD3">
      <w:pPr>
        <w:ind w:firstLine="720"/>
        <w:rPr>
          <w:rFonts w:cs="Arial"/>
          <w:szCs w:val="22"/>
        </w:rPr>
      </w:pPr>
      <w:r w:rsidRPr="00A97907">
        <w:rPr>
          <w:rFonts w:cs="Arial"/>
          <w:szCs w:val="22"/>
        </w:rPr>
        <w:t>New</w:t>
      </w:r>
      <w:r w:rsidRPr="00854FC2">
        <w:rPr>
          <w:rFonts w:cs="Arial"/>
          <w:szCs w:val="22"/>
        </w:rPr>
        <w:t xml:space="preserve"> facilities include those facilities that will initiate operations during the ICR period. For the purpose of this analysis, new facilities become existing facilities after the first year of operation</w:t>
      </w:r>
      <w:r>
        <w:rPr>
          <w:rFonts w:cs="Arial"/>
          <w:szCs w:val="22"/>
        </w:rPr>
        <w:t xml:space="preserve">. </w:t>
      </w:r>
      <w:r w:rsidR="00146D65">
        <w:rPr>
          <w:rFonts w:cs="Arial"/>
          <w:szCs w:val="22"/>
        </w:rPr>
        <w:t xml:space="preserve">Therefore, </w:t>
      </w:r>
      <w:r w:rsidR="000F563C">
        <w:rPr>
          <w:rFonts w:cs="Arial"/>
          <w:szCs w:val="22"/>
        </w:rPr>
        <w:t>each year</w:t>
      </w:r>
      <w:r w:rsidR="00146D65">
        <w:rPr>
          <w:rFonts w:cs="Arial"/>
          <w:szCs w:val="22"/>
        </w:rPr>
        <w:t xml:space="preserve"> a new set of facilities would incur the costs</w:t>
      </w:r>
      <w:r w:rsidR="001D364C">
        <w:rPr>
          <w:rFonts w:cs="Arial"/>
          <w:szCs w:val="22"/>
        </w:rPr>
        <w:t xml:space="preserve"> listed below</w:t>
      </w:r>
      <w:r w:rsidR="00146D65">
        <w:rPr>
          <w:rFonts w:cs="Arial"/>
          <w:szCs w:val="22"/>
        </w:rPr>
        <w:t xml:space="preserve">. </w:t>
      </w:r>
      <w:r w:rsidR="002D7EAF">
        <w:rPr>
          <w:rFonts w:cs="Arial"/>
          <w:szCs w:val="22"/>
        </w:rPr>
        <w:t>A</w:t>
      </w:r>
      <w:r w:rsidR="00F97268">
        <w:rPr>
          <w:rFonts w:cs="Arial"/>
          <w:szCs w:val="22"/>
        </w:rPr>
        <w:t xml:space="preserve"> </w:t>
      </w:r>
      <w:r w:rsidR="00F97268">
        <w:rPr>
          <w:rFonts w:cs="Arial"/>
          <w:szCs w:val="22"/>
        </w:rPr>
        <w:lastRenderedPageBreak/>
        <w:t>typical</w:t>
      </w:r>
      <w:r w:rsidR="00021860">
        <w:rPr>
          <w:rFonts w:cs="Arial"/>
          <w:szCs w:val="22"/>
        </w:rPr>
        <w:t xml:space="preserve"> SPCC-regulated </w:t>
      </w:r>
      <w:r w:rsidR="00F97268">
        <w:rPr>
          <w:rFonts w:cs="Arial"/>
          <w:szCs w:val="22"/>
        </w:rPr>
        <w:t>facility would incur the costs</w:t>
      </w:r>
      <w:r w:rsidR="00A43069">
        <w:rPr>
          <w:rFonts w:cs="Arial"/>
          <w:szCs w:val="22"/>
        </w:rPr>
        <w:t xml:space="preserve"> for new facilities</w:t>
      </w:r>
      <w:r w:rsidR="00F97268">
        <w:rPr>
          <w:rFonts w:cs="Arial"/>
          <w:szCs w:val="22"/>
        </w:rPr>
        <w:t xml:space="preserve"> in Year 1 and incur the costs for existing facilities presented above in each subsequent year. </w:t>
      </w:r>
      <w:r w:rsidR="00146D65">
        <w:rPr>
          <w:rFonts w:cs="Arial"/>
          <w:szCs w:val="22"/>
        </w:rPr>
        <w:t xml:space="preserve"> </w:t>
      </w:r>
      <w:r w:rsidR="00D85665" w:rsidRPr="00B8074F">
        <w:rPr>
          <w:rFonts w:cs="Arial"/>
          <w:szCs w:val="22"/>
        </w:rPr>
        <w:t xml:space="preserve">For the average </w:t>
      </w:r>
      <w:r w:rsidR="00D85665" w:rsidRPr="00183833">
        <w:rPr>
          <w:rFonts w:cs="Arial"/>
          <w:szCs w:val="22"/>
        </w:rPr>
        <w:t>new</w:t>
      </w:r>
      <w:r w:rsidR="00D85665" w:rsidRPr="00B8074F">
        <w:rPr>
          <w:rFonts w:cs="Arial"/>
          <w:szCs w:val="22"/>
        </w:rPr>
        <w:t xml:space="preserve"> </w:t>
      </w:r>
      <w:r w:rsidR="00183833">
        <w:rPr>
          <w:rFonts w:cs="Arial"/>
          <w:szCs w:val="22"/>
        </w:rPr>
        <w:t xml:space="preserve">SPCC-regulated </w:t>
      </w:r>
      <w:r w:rsidR="00D85665" w:rsidRPr="00B8074F">
        <w:rPr>
          <w:rFonts w:cs="Arial"/>
          <w:szCs w:val="22"/>
        </w:rPr>
        <w:t xml:space="preserve">facility, following are the estimated total annual costs for all information collection activities required by the </w:t>
      </w:r>
      <w:r w:rsidR="00DD2F76" w:rsidRPr="00B8074F">
        <w:rPr>
          <w:rFonts w:cs="Arial"/>
          <w:szCs w:val="22"/>
        </w:rPr>
        <w:t>final rule</w:t>
      </w:r>
      <w:r w:rsidR="00D85665" w:rsidRPr="00B8074F">
        <w:rPr>
          <w:rFonts w:cs="Arial"/>
          <w:szCs w:val="22"/>
        </w:rPr>
        <w:t>:</w:t>
      </w:r>
    </w:p>
    <w:p w:rsidR="00D85665" w:rsidRPr="00B8074F" w:rsidRDefault="00D85665">
      <w:pPr>
        <w:rPr>
          <w:rFonts w:cs="Arial"/>
          <w:szCs w:val="22"/>
        </w:rPr>
      </w:pPr>
    </w:p>
    <w:p w:rsidR="00D85665" w:rsidRPr="00B8074F" w:rsidRDefault="00D85665">
      <w:pPr>
        <w:numPr>
          <w:ilvl w:val="0"/>
          <w:numId w:val="10"/>
        </w:numPr>
        <w:rPr>
          <w:rFonts w:cs="Arial"/>
          <w:szCs w:val="22"/>
        </w:rPr>
      </w:pPr>
      <w:r w:rsidRPr="00B8074F">
        <w:rPr>
          <w:rFonts w:cs="Arial"/>
          <w:szCs w:val="22"/>
        </w:rPr>
        <w:t>Category I (</w:t>
      </w:r>
      <w:r w:rsidR="00152058" w:rsidRPr="00B8074F">
        <w:rPr>
          <w:rFonts w:cs="Arial"/>
          <w:szCs w:val="22"/>
        </w:rPr>
        <w:t>Tier I</w:t>
      </w:r>
      <w:r w:rsidRPr="00B8074F">
        <w:rPr>
          <w:rFonts w:cs="Arial"/>
          <w:szCs w:val="22"/>
        </w:rPr>
        <w:t>): $</w:t>
      </w:r>
      <w:r w:rsidR="008813FA">
        <w:rPr>
          <w:rFonts w:cs="Arial"/>
          <w:szCs w:val="22"/>
        </w:rPr>
        <w:t>9</w:t>
      </w:r>
      <w:r w:rsidR="00736E37">
        <w:rPr>
          <w:rFonts w:cs="Arial"/>
          <w:szCs w:val="22"/>
        </w:rPr>
        <w:t>32</w:t>
      </w:r>
      <w:r w:rsidR="008813FA" w:rsidRPr="00B8074F">
        <w:rPr>
          <w:rFonts w:cs="Arial"/>
          <w:szCs w:val="22"/>
        </w:rPr>
        <w:t xml:space="preserve"> </w:t>
      </w:r>
      <w:r w:rsidRPr="00B8074F">
        <w:rPr>
          <w:rFonts w:cs="Arial"/>
          <w:szCs w:val="22"/>
        </w:rPr>
        <w:t>per facility;</w:t>
      </w:r>
    </w:p>
    <w:p w:rsidR="00D85665" w:rsidRPr="00B8074F" w:rsidRDefault="00D85665">
      <w:pPr>
        <w:numPr>
          <w:ilvl w:val="0"/>
          <w:numId w:val="10"/>
        </w:numPr>
        <w:rPr>
          <w:rFonts w:cs="Arial"/>
          <w:szCs w:val="22"/>
        </w:rPr>
      </w:pPr>
      <w:r w:rsidRPr="00B8074F">
        <w:rPr>
          <w:rFonts w:cs="Arial"/>
          <w:szCs w:val="22"/>
        </w:rPr>
        <w:t>Category I: $</w:t>
      </w:r>
      <w:r w:rsidR="001E3F6E" w:rsidRPr="00B8074F">
        <w:rPr>
          <w:rFonts w:cs="Arial"/>
          <w:szCs w:val="22"/>
        </w:rPr>
        <w:t>4,</w:t>
      </w:r>
      <w:r w:rsidR="00736E37">
        <w:rPr>
          <w:rFonts w:cs="Arial"/>
          <w:szCs w:val="22"/>
        </w:rPr>
        <w:t>41</w:t>
      </w:r>
      <w:r w:rsidR="008813FA">
        <w:rPr>
          <w:rFonts w:cs="Arial"/>
          <w:szCs w:val="22"/>
        </w:rPr>
        <w:t>0</w:t>
      </w:r>
      <w:r w:rsidR="008813FA" w:rsidRPr="00B8074F">
        <w:rPr>
          <w:rFonts w:cs="Arial"/>
          <w:szCs w:val="22"/>
        </w:rPr>
        <w:t xml:space="preserve"> </w:t>
      </w:r>
      <w:r w:rsidRPr="00B8074F">
        <w:rPr>
          <w:rFonts w:cs="Arial"/>
          <w:szCs w:val="22"/>
        </w:rPr>
        <w:t>per facility;</w:t>
      </w:r>
    </w:p>
    <w:p w:rsidR="00D85665" w:rsidRPr="00B8074F" w:rsidRDefault="00D85665">
      <w:pPr>
        <w:numPr>
          <w:ilvl w:val="0"/>
          <w:numId w:val="8"/>
        </w:numPr>
        <w:rPr>
          <w:rFonts w:cs="Arial"/>
          <w:szCs w:val="22"/>
        </w:rPr>
      </w:pPr>
      <w:r w:rsidRPr="00B8074F">
        <w:rPr>
          <w:rFonts w:cs="Arial"/>
          <w:szCs w:val="22"/>
        </w:rPr>
        <w:t>Category II: $</w:t>
      </w:r>
      <w:r w:rsidR="007B2120" w:rsidRPr="00B8074F">
        <w:rPr>
          <w:rFonts w:cs="Arial"/>
          <w:szCs w:val="22"/>
        </w:rPr>
        <w:t>7,</w:t>
      </w:r>
      <w:r w:rsidR="00736E37">
        <w:rPr>
          <w:rFonts w:cs="Arial"/>
          <w:szCs w:val="22"/>
        </w:rPr>
        <w:t>92</w:t>
      </w:r>
      <w:r w:rsidR="008813FA" w:rsidRPr="00B8074F">
        <w:rPr>
          <w:rFonts w:cs="Arial"/>
          <w:szCs w:val="22"/>
        </w:rPr>
        <w:t xml:space="preserve">0 </w:t>
      </w:r>
      <w:r w:rsidRPr="00B8074F">
        <w:rPr>
          <w:rFonts w:cs="Arial"/>
          <w:szCs w:val="22"/>
        </w:rPr>
        <w:t>per facility;</w:t>
      </w:r>
    </w:p>
    <w:p w:rsidR="00D85665" w:rsidRPr="00B8074F" w:rsidRDefault="00D85665">
      <w:pPr>
        <w:numPr>
          <w:ilvl w:val="0"/>
          <w:numId w:val="8"/>
        </w:numPr>
        <w:rPr>
          <w:rFonts w:cs="Arial"/>
          <w:szCs w:val="22"/>
        </w:rPr>
      </w:pPr>
      <w:r w:rsidRPr="00B8074F">
        <w:rPr>
          <w:rFonts w:cs="Arial"/>
          <w:szCs w:val="22"/>
        </w:rPr>
        <w:t>Category III: $</w:t>
      </w:r>
      <w:r w:rsidR="00CF7F58" w:rsidRPr="00B8074F">
        <w:rPr>
          <w:rFonts w:cs="Arial"/>
          <w:szCs w:val="22"/>
        </w:rPr>
        <w:t>1</w:t>
      </w:r>
      <w:r w:rsidR="00736E37">
        <w:rPr>
          <w:rFonts w:cs="Arial"/>
          <w:szCs w:val="22"/>
        </w:rPr>
        <w:t>4</w:t>
      </w:r>
      <w:r w:rsidR="00CF7F58" w:rsidRPr="00B8074F">
        <w:rPr>
          <w:rFonts w:cs="Arial"/>
          <w:szCs w:val="22"/>
        </w:rPr>
        <w:t>,</w:t>
      </w:r>
      <w:r w:rsidR="00736E37">
        <w:rPr>
          <w:rFonts w:cs="Arial"/>
          <w:szCs w:val="22"/>
        </w:rPr>
        <w:t>18</w:t>
      </w:r>
      <w:r w:rsidR="00CF7F58" w:rsidRPr="00B8074F">
        <w:rPr>
          <w:rFonts w:cs="Arial"/>
          <w:szCs w:val="22"/>
        </w:rPr>
        <w:t>0</w:t>
      </w:r>
      <w:r w:rsidRPr="00B8074F">
        <w:rPr>
          <w:rFonts w:cs="Arial"/>
          <w:szCs w:val="22"/>
        </w:rPr>
        <w:t xml:space="preserve"> per facility; and</w:t>
      </w:r>
    </w:p>
    <w:p w:rsidR="00D85665" w:rsidRPr="00B8074F" w:rsidRDefault="00D85665">
      <w:pPr>
        <w:numPr>
          <w:ilvl w:val="0"/>
          <w:numId w:val="8"/>
        </w:numPr>
        <w:rPr>
          <w:rFonts w:cs="Arial"/>
          <w:szCs w:val="22"/>
        </w:rPr>
      </w:pPr>
      <w:r w:rsidRPr="00B8074F">
        <w:rPr>
          <w:rFonts w:cs="Arial"/>
          <w:szCs w:val="22"/>
        </w:rPr>
        <w:t>Category IV: $</w:t>
      </w:r>
      <w:r w:rsidR="00CF7F58" w:rsidRPr="00B8074F">
        <w:rPr>
          <w:rFonts w:cs="Arial"/>
          <w:szCs w:val="22"/>
        </w:rPr>
        <w:t>2</w:t>
      </w:r>
      <w:r w:rsidR="00736E37">
        <w:rPr>
          <w:rFonts w:cs="Arial"/>
          <w:szCs w:val="22"/>
        </w:rPr>
        <w:t>4</w:t>
      </w:r>
      <w:r w:rsidR="00CF7F58" w:rsidRPr="00B8074F">
        <w:rPr>
          <w:rFonts w:cs="Arial"/>
          <w:szCs w:val="22"/>
        </w:rPr>
        <w:t>,</w:t>
      </w:r>
      <w:r w:rsidR="00736E37">
        <w:rPr>
          <w:rFonts w:cs="Arial"/>
          <w:szCs w:val="22"/>
        </w:rPr>
        <w:t>22</w:t>
      </w:r>
      <w:r w:rsidR="008813FA" w:rsidRPr="00B8074F">
        <w:rPr>
          <w:rFonts w:cs="Arial"/>
          <w:szCs w:val="22"/>
        </w:rPr>
        <w:t xml:space="preserve">0 </w:t>
      </w:r>
      <w:r w:rsidRPr="00B8074F">
        <w:rPr>
          <w:rFonts w:cs="Arial"/>
          <w:szCs w:val="22"/>
        </w:rPr>
        <w:t>per facility.</w:t>
      </w:r>
    </w:p>
    <w:p w:rsidR="00D85665" w:rsidRPr="00854FC2" w:rsidRDefault="00D85665">
      <w:pPr>
        <w:rPr>
          <w:rFonts w:cs="Arial"/>
          <w:szCs w:val="22"/>
        </w:rPr>
      </w:pPr>
    </w:p>
    <w:p w:rsidR="00D85665" w:rsidRPr="00854FC2" w:rsidRDefault="00E30DD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b/>
      </w:r>
      <w:r w:rsidR="00D85665" w:rsidRPr="00854FC2">
        <w:rPr>
          <w:rFonts w:cs="Arial"/>
          <w:szCs w:val="22"/>
        </w:rPr>
        <w:t>Estimated annual costs for new facilities are higher than those for existing facilities because of the greater expenses associated with preparing a new SPCC Plan</w:t>
      </w:r>
      <w:r w:rsidR="008B1608">
        <w:rPr>
          <w:rFonts w:cs="Arial"/>
          <w:szCs w:val="22"/>
        </w:rPr>
        <w:t>, including PE certification when necessary,</w:t>
      </w:r>
      <w:r w:rsidR="00D85665" w:rsidRPr="00854FC2">
        <w:rPr>
          <w:rFonts w:cs="Arial"/>
          <w:szCs w:val="22"/>
        </w:rPr>
        <w:t xml:space="preserve"> and </w:t>
      </w:r>
      <w:r w:rsidR="00275C92">
        <w:rPr>
          <w:rFonts w:cs="Arial"/>
          <w:szCs w:val="22"/>
        </w:rPr>
        <w:t xml:space="preserve">an </w:t>
      </w:r>
      <w:r w:rsidR="00D85665" w:rsidRPr="00854FC2">
        <w:rPr>
          <w:rFonts w:cs="Arial"/>
          <w:szCs w:val="22"/>
        </w:rPr>
        <w:t>oil spill contingency plan.</w:t>
      </w:r>
      <w:r w:rsidR="00D85665" w:rsidRPr="00854FC2">
        <w:rPr>
          <w:rFonts w:cs="Arial"/>
          <w:szCs w:val="22"/>
        </w:rPr>
        <w:tab/>
      </w:r>
    </w:p>
    <w:p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54FC2">
        <w:rPr>
          <w:rFonts w:cs="Arial"/>
          <w:szCs w:val="22"/>
        </w:rPr>
        <w:tab/>
      </w:r>
    </w:p>
    <w:p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w:szCs w:val="22"/>
        </w:rPr>
        <w:sectPr w:rsidR="00D85665" w:rsidRPr="00854FC2">
          <w:footerReference w:type="even" r:id="rId9"/>
          <w:footerReference w:type="default" r:id="rId10"/>
          <w:type w:val="continuous"/>
          <w:pgSz w:w="12240" w:h="15840"/>
          <w:pgMar w:top="1440" w:right="1440" w:bottom="1260" w:left="1440" w:header="720" w:footer="720" w:gutter="0"/>
          <w:pgNumType w:start="1"/>
          <w:cols w:space="720"/>
          <w:noEndnote/>
        </w:sectPr>
      </w:pPr>
    </w:p>
    <w:p w:rsidR="00D85665" w:rsidRPr="00854FC2" w:rsidRDefault="00D85665" w:rsidP="00A15DF0">
      <w:pPr>
        <w:pStyle w:val="Caption"/>
        <w:keepNext/>
        <w:spacing w:before="0" w:after="0"/>
        <w:outlineLvl w:val="0"/>
        <w:rPr>
          <w:rFonts w:cs="Arial"/>
          <w:b w:val="0"/>
          <w:bCs w:val="0"/>
          <w:szCs w:val="22"/>
        </w:rPr>
      </w:pPr>
      <w:bookmarkStart w:id="4" w:name="_Ref141694923"/>
      <w:r w:rsidRPr="009B64F9">
        <w:lastRenderedPageBreak/>
        <w:t xml:space="preserve">Exhibit </w:t>
      </w:r>
      <w:r w:rsidR="002348E6">
        <w:fldChar w:fldCharType="begin"/>
      </w:r>
      <w:r w:rsidR="002348E6">
        <w:instrText xml:space="preserve"> SEQ Exhibit \* ARABIC </w:instrText>
      </w:r>
      <w:r w:rsidR="002348E6">
        <w:fldChar w:fldCharType="separate"/>
      </w:r>
      <w:r w:rsidR="00F61EFD">
        <w:rPr>
          <w:noProof/>
        </w:rPr>
        <w:t>4</w:t>
      </w:r>
      <w:r w:rsidR="002348E6">
        <w:fldChar w:fldCharType="end"/>
      </w:r>
      <w:bookmarkEnd w:id="4"/>
    </w:p>
    <w:tbl>
      <w:tblPr>
        <w:tblW w:w="13391" w:type="dxa"/>
        <w:tblInd w:w="-705" w:type="dxa"/>
        <w:tblCellMar>
          <w:left w:w="0" w:type="dxa"/>
          <w:right w:w="0" w:type="dxa"/>
        </w:tblCellMar>
        <w:tblLook w:val="0000"/>
      </w:tblPr>
      <w:tblGrid>
        <w:gridCol w:w="2654"/>
        <w:gridCol w:w="1479"/>
        <w:gridCol w:w="1478"/>
        <w:gridCol w:w="1477"/>
        <w:gridCol w:w="1477"/>
        <w:gridCol w:w="1350"/>
        <w:gridCol w:w="1540"/>
        <w:gridCol w:w="959"/>
        <w:gridCol w:w="977"/>
      </w:tblGrid>
      <w:tr w:rsidR="00D85665" w:rsidRPr="00854FC2" w:rsidTr="002534C6">
        <w:trPr>
          <w:trHeight w:val="300"/>
        </w:trPr>
        <w:tc>
          <w:tcPr>
            <w:tcW w:w="13391" w:type="dxa"/>
            <w:gridSpan w:val="9"/>
            <w:tcBorders>
              <w:top w:val="nil"/>
              <w:left w:val="nil"/>
              <w:bottom w:val="nil"/>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rsidTr="002534C6">
        <w:trPr>
          <w:trHeight w:val="315"/>
        </w:trPr>
        <w:tc>
          <w:tcPr>
            <w:tcW w:w="13391" w:type="dxa"/>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Average Category I Facility (</w:t>
            </w:r>
            <w:r w:rsidR="00152058">
              <w:rPr>
                <w:rFonts w:cs="Arial"/>
                <w:b/>
                <w:bCs/>
                <w:szCs w:val="22"/>
              </w:rPr>
              <w:t>Tier I</w:t>
            </w:r>
            <w:r w:rsidRPr="00854FC2">
              <w:rPr>
                <w:rFonts w:cs="Arial"/>
                <w:b/>
                <w:bCs/>
                <w:szCs w:val="22"/>
              </w:rPr>
              <w:t>)</w:t>
            </w:r>
          </w:p>
        </w:tc>
      </w:tr>
      <w:tr w:rsidR="00D85665" w:rsidRPr="00854FC2" w:rsidTr="002534C6">
        <w:trPr>
          <w:cantSplit/>
          <w:trHeight w:val="285"/>
        </w:trPr>
        <w:tc>
          <w:tcPr>
            <w:tcW w:w="2654"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911"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854FC2" w:rsidRDefault="00D85665">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50"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Total Burden Hours</w:t>
            </w:r>
          </w:p>
        </w:tc>
        <w:tc>
          <w:tcPr>
            <w:tcW w:w="1540"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Capital/Startup Costs</w:t>
            </w:r>
          </w:p>
        </w:tc>
        <w:tc>
          <w:tcPr>
            <w:tcW w:w="959"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PE Costs</w:t>
            </w:r>
          </w:p>
        </w:tc>
        <w:tc>
          <w:tcPr>
            <w:tcW w:w="977"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1F45F8" w:rsidRDefault="00526F29">
            <w:pPr>
              <w:jc w:val="center"/>
              <w:rPr>
                <w:rFonts w:cs="Arial"/>
                <w:b/>
                <w:bCs/>
                <w:sz w:val="20"/>
                <w:szCs w:val="20"/>
              </w:rPr>
            </w:pPr>
            <w:r w:rsidRPr="00CD5C71">
              <w:rPr>
                <w:rFonts w:cs="Arial"/>
                <w:b/>
                <w:bCs/>
                <w:sz w:val="20"/>
                <w:szCs w:val="20"/>
              </w:rPr>
              <w:t>Annual</w:t>
            </w:r>
            <w:r w:rsidRPr="00CD5C71">
              <w:rPr>
                <w:rFonts w:cs="Arial"/>
                <w:b/>
                <w:bCs/>
                <w:szCs w:val="22"/>
              </w:rPr>
              <w:t xml:space="preserve"> </w:t>
            </w:r>
            <w:r w:rsidR="00D85665" w:rsidRPr="00854FC2">
              <w:rPr>
                <w:rFonts w:cs="Arial"/>
                <w:b/>
                <w:bCs/>
                <w:sz w:val="20"/>
                <w:szCs w:val="20"/>
              </w:rPr>
              <w:t>Cost</w:t>
            </w:r>
          </w:p>
          <w:p w:rsidR="00D85665" w:rsidRPr="00854FC2" w:rsidRDefault="001F45F8">
            <w:pPr>
              <w:jc w:val="center"/>
              <w:rPr>
                <w:rFonts w:eastAsia="Arial Unicode MS" w:cs="Arial"/>
                <w:b/>
                <w:bCs/>
                <w:sz w:val="20"/>
                <w:szCs w:val="20"/>
              </w:rPr>
            </w:pPr>
            <w:r>
              <w:rPr>
                <w:rFonts w:cs="Arial"/>
                <w:b/>
                <w:bCs/>
                <w:sz w:val="20"/>
                <w:szCs w:val="20"/>
              </w:rPr>
              <w:t>(2012)</w:t>
            </w:r>
            <w:r w:rsidR="00D85665" w:rsidRPr="00854FC2">
              <w:rPr>
                <w:rFonts w:cs="Arial"/>
                <w:b/>
                <w:bCs/>
                <w:sz w:val="20"/>
                <w:szCs w:val="20"/>
                <w:vertAlign w:val="superscript"/>
              </w:rPr>
              <w:t>2</w:t>
            </w:r>
          </w:p>
        </w:tc>
      </w:tr>
      <w:tr w:rsidR="00D85665" w:rsidRPr="00854FC2" w:rsidTr="002534C6">
        <w:trPr>
          <w:cantSplit/>
          <w:trHeight w:val="324"/>
        </w:trPr>
        <w:tc>
          <w:tcPr>
            <w:tcW w:w="0" w:type="auto"/>
            <w:vMerge/>
            <w:tcBorders>
              <w:top w:val="nil"/>
              <w:left w:val="double" w:sz="6"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1479"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Management</w:t>
            </w:r>
          </w:p>
        </w:tc>
        <w:tc>
          <w:tcPr>
            <w:tcW w:w="147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Technical</w:t>
            </w:r>
          </w:p>
        </w:tc>
        <w:tc>
          <w:tcPr>
            <w:tcW w:w="147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Drafter</w:t>
            </w:r>
          </w:p>
        </w:tc>
        <w:tc>
          <w:tcPr>
            <w:tcW w:w="1477"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Clerical</w:t>
            </w:r>
          </w:p>
        </w:tc>
        <w:tc>
          <w:tcPr>
            <w:tcW w:w="1350" w:type="dxa"/>
            <w:vMerge/>
            <w:tcBorders>
              <w:top w:val="nil"/>
              <w:left w:val="nil"/>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854FC2" w:rsidRDefault="00D85665">
            <w:pPr>
              <w:rPr>
                <w:rFonts w:eastAsia="Arial Unicode MS" w:cs="Arial"/>
                <w:b/>
                <w:bCs/>
                <w:sz w:val="20"/>
                <w:szCs w:val="20"/>
              </w:rPr>
            </w:pPr>
          </w:p>
        </w:tc>
      </w:tr>
      <w:tr w:rsidR="00D85665" w:rsidRPr="00854FC2" w:rsidTr="002534C6">
        <w:trPr>
          <w:trHeight w:val="270"/>
        </w:trPr>
        <w:tc>
          <w:tcPr>
            <w:tcW w:w="1339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Existing Facilities</w:t>
            </w:r>
          </w:p>
        </w:tc>
      </w:tr>
      <w:tr w:rsidR="00571CD2" w:rsidRPr="00854FC2" w:rsidTr="002534C6">
        <w:trPr>
          <w:trHeight w:val="360"/>
        </w:trPr>
        <w:tc>
          <w:tcPr>
            <w:tcW w:w="2654" w:type="dxa"/>
            <w:tcBorders>
              <w:top w:val="nil"/>
              <w:left w:val="double" w:sz="6" w:space="0" w:color="000000"/>
              <w:bottom w:val="nil"/>
              <w:right w:val="nil"/>
            </w:tcBorders>
            <w:tcMar>
              <w:top w:w="15" w:type="dxa"/>
              <w:left w:w="15" w:type="dxa"/>
              <w:bottom w:w="0" w:type="dxa"/>
              <w:right w:w="15" w:type="dxa"/>
            </w:tcMar>
            <w:vAlign w:val="center"/>
          </w:tcPr>
          <w:p w:rsidR="00571CD2" w:rsidRPr="00854FC2" w:rsidRDefault="00571CD2">
            <w:pPr>
              <w:pStyle w:val="FootnoteText"/>
              <w:rPr>
                <w:rFonts w:eastAsia="Arial Unicode MS" w:cs="Arial"/>
              </w:rPr>
            </w:pPr>
            <w:r w:rsidRPr="00854FC2">
              <w:rPr>
                <w:rFonts w:cs="Arial"/>
              </w:rPr>
              <w:t>Review the SPCC Plan</w:t>
            </w:r>
          </w:p>
        </w:tc>
        <w:tc>
          <w:tcPr>
            <w:tcW w:w="147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0.4</w:t>
            </w:r>
          </w:p>
        </w:tc>
        <w:tc>
          <w:tcPr>
            <w:tcW w:w="1478"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2.9</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0.4</w:t>
            </w:r>
          </w:p>
        </w:tc>
        <w:tc>
          <w:tcPr>
            <w:tcW w:w="1350"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3.6</w:t>
            </w:r>
          </w:p>
        </w:tc>
        <w:tc>
          <w:tcPr>
            <w:tcW w:w="1540"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sz w:val="20"/>
                <w:szCs w:val="20"/>
              </w:rPr>
            </w:pPr>
            <w:r>
              <w:rPr>
                <w:rFonts w:cs="Arial"/>
                <w:sz w:val="20"/>
                <w:szCs w:val="20"/>
              </w:rPr>
              <w:t>$3</w:t>
            </w:r>
            <w:r w:rsidR="00BE2868">
              <w:rPr>
                <w:rFonts w:cs="Arial"/>
                <w:sz w:val="20"/>
                <w:szCs w:val="20"/>
              </w:rPr>
              <w:t>24</w:t>
            </w:r>
          </w:p>
        </w:tc>
      </w:tr>
      <w:tr w:rsidR="00571CD2" w:rsidRPr="00854FC2" w:rsidTr="002534C6">
        <w:trPr>
          <w:trHeight w:val="915"/>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47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8"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50"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40"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132294">
            <w:pPr>
              <w:jc w:val="right"/>
              <w:rPr>
                <w:rFonts w:cs="Arial"/>
                <w:sz w:val="20"/>
                <w:szCs w:val="20"/>
              </w:rPr>
            </w:pPr>
            <w:r>
              <w:rPr>
                <w:rFonts w:cs="Arial"/>
                <w:sz w:val="20"/>
                <w:szCs w:val="20"/>
              </w:rPr>
              <w:t>$0</w:t>
            </w:r>
          </w:p>
        </w:tc>
      </w:tr>
      <w:tr w:rsidR="00571CD2" w:rsidRPr="00854FC2" w:rsidTr="002534C6">
        <w:trPr>
          <w:trHeight w:val="540"/>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Revise the SPCC Plan</w:t>
            </w:r>
          </w:p>
        </w:tc>
        <w:tc>
          <w:tcPr>
            <w:tcW w:w="147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0.3</w:t>
            </w:r>
          </w:p>
        </w:tc>
        <w:tc>
          <w:tcPr>
            <w:tcW w:w="1478"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1.9</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0.2</w:t>
            </w:r>
          </w:p>
        </w:tc>
        <w:tc>
          <w:tcPr>
            <w:tcW w:w="1350"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2.4</w:t>
            </w:r>
          </w:p>
        </w:tc>
        <w:tc>
          <w:tcPr>
            <w:tcW w:w="1540"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sz w:val="20"/>
                <w:szCs w:val="20"/>
              </w:rPr>
            </w:pPr>
            <w:r>
              <w:rPr>
                <w:rFonts w:cs="Arial"/>
                <w:sz w:val="20"/>
                <w:szCs w:val="20"/>
              </w:rPr>
              <w:t>$4</w:t>
            </w:r>
            <w:r w:rsidR="00BE2868">
              <w:rPr>
                <w:rFonts w:cs="Arial"/>
                <w:sz w:val="20"/>
                <w:szCs w:val="20"/>
              </w:rPr>
              <w:t>92</w:t>
            </w:r>
          </w:p>
        </w:tc>
      </w:tr>
      <w:tr w:rsidR="00571CD2" w:rsidRPr="00854FC2" w:rsidTr="002534C6">
        <w:trPr>
          <w:trHeight w:val="570"/>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Maintain the SPCC Plan and Keep Records</w:t>
            </w:r>
          </w:p>
        </w:tc>
        <w:tc>
          <w:tcPr>
            <w:tcW w:w="1479"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8"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2.6</w:t>
            </w:r>
          </w:p>
        </w:tc>
        <w:tc>
          <w:tcPr>
            <w:tcW w:w="1477"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50"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2.6</w:t>
            </w:r>
          </w:p>
        </w:tc>
        <w:tc>
          <w:tcPr>
            <w:tcW w:w="1540"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nil"/>
              <w:left w:val="nil"/>
              <w:bottom w:val="double" w:sz="6" w:space="0" w:color="auto"/>
              <w:right w:val="double" w:sz="6" w:space="0" w:color="000000"/>
            </w:tcBorders>
            <w:tcMar>
              <w:top w:w="15" w:type="dxa"/>
              <w:left w:w="15" w:type="dxa"/>
              <w:bottom w:w="0" w:type="dxa"/>
              <w:right w:w="72" w:type="dxa"/>
            </w:tcMar>
            <w:vAlign w:val="center"/>
          </w:tcPr>
          <w:p w:rsidR="00571CD2" w:rsidRDefault="000E70F2" w:rsidP="00BE2868">
            <w:pPr>
              <w:jc w:val="right"/>
              <w:rPr>
                <w:rFonts w:cs="Arial"/>
                <w:sz w:val="20"/>
                <w:szCs w:val="20"/>
              </w:rPr>
            </w:pPr>
            <w:r>
              <w:rPr>
                <w:rFonts w:cs="Arial"/>
                <w:sz w:val="20"/>
                <w:szCs w:val="20"/>
              </w:rPr>
              <w:t>$1</w:t>
            </w:r>
            <w:r w:rsidR="00BE2868">
              <w:rPr>
                <w:rFonts w:cs="Arial"/>
                <w:sz w:val="20"/>
                <w:szCs w:val="20"/>
              </w:rPr>
              <w:t>5</w:t>
            </w:r>
            <w:r>
              <w:rPr>
                <w:rFonts w:cs="Arial"/>
                <w:sz w:val="20"/>
                <w:szCs w:val="20"/>
              </w:rPr>
              <w:t>4</w:t>
            </w:r>
          </w:p>
        </w:tc>
      </w:tr>
      <w:tr w:rsidR="009D7946" w:rsidRPr="00854FC2" w:rsidTr="002534C6">
        <w:trPr>
          <w:trHeight w:val="285"/>
        </w:trPr>
        <w:tc>
          <w:tcPr>
            <w:tcW w:w="2654"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bottom"/>
          </w:tcPr>
          <w:p w:rsidR="009D7946" w:rsidRPr="00854FC2" w:rsidRDefault="009D7946">
            <w:pPr>
              <w:rPr>
                <w:rFonts w:eastAsia="Arial Unicode MS" w:cs="Arial"/>
                <w:b/>
                <w:bCs/>
                <w:sz w:val="20"/>
                <w:szCs w:val="20"/>
              </w:rPr>
            </w:pPr>
            <w:r w:rsidRPr="00854FC2">
              <w:rPr>
                <w:rFonts w:cs="Arial"/>
                <w:b/>
                <w:bCs/>
                <w:sz w:val="20"/>
                <w:szCs w:val="20"/>
              </w:rPr>
              <w:t>TOTAL</w:t>
            </w:r>
          </w:p>
        </w:tc>
        <w:tc>
          <w:tcPr>
            <w:tcW w:w="1479" w:type="dxa"/>
            <w:tcBorders>
              <w:top w:val="nil"/>
              <w:left w:val="single" w:sz="4" w:space="0" w:color="000000"/>
              <w:bottom w:val="double" w:sz="6" w:space="0" w:color="auto"/>
              <w:right w:val="nil"/>
            </w:tcBorders>
            <w:tcMar>
              <w:top w:w="15" w:type="dxa"/>
              <w:left w:w="15" w:type="dxa"/>
              <w:bottom w:w="0" w:type="dxa"/>
              <w:right w:w="72" w:type="dxa"/>
            </w:tcMar>
            <w:vAlign w:val="center"/>
          </w:tcPr>
          <w:p w:rsidR="009D7946" w:rsidRDefault="009D7946">
            <w:pPr>
              <w:jc w:val="right"/>
              <w:rPr>
                <w:rFonts w:cs="Arial"/>
                <w:b/>
                <w:bCs/>
                <w:sz w:val="20"/>
                <w:szCs w:val="20"/>
              </w:rPr>
            </w:pPr>
            <w:r>
              <w:rPr>
                <w:rFonts w:cs="Arial"/>
                <w:b/>
                <w:bCs/>
                <w:sz w:val="20"/>
                <w:szCs w:val="20"/>
              </w:rPr>
              <w:t>0.7</w:t>
            </w:r>
          </w:p>
        </w:tc>
        <w:tc>
          <w:tcPr>
            <w:tcW w:w="1478" w:type="dxa"/>
            <w:tcBorders>
              <w:top w:val="nil"/>
              <w:left w:val="single" w:sz="4" w:space="0" w:color="000000"/>
              <w:bottom w:val="double" w:sz="6" w:space="0" w:color="auto"/>
              <w:right w:val="nil"/>
            </w:tcBorders>
            <w:tcMar>
              <w:top w:w="0" w:type="dxa"/>
              <w:left w:w="15" w:type="dxa"/>
              <w:bottom w:w="0" w:type="dxa"/>
              <w:right w:w="72" w:type="dxa"/>
            </w:tcMar>
            <w:vAlign w:val="center"/>
          </w:tcPr>
          <w:p w:rsidR="009D7946" w:rsidRDefault="009D7946">
            <w:pPr>
              <w:jc w:val="right"/>
              <w:rPr>
                <w:rFonts w:cs="Arial"/>
                <w:b/>
                <w:bCs/>
                <w:sz w:val="20"/>
                <w:szCs w:val="20"/>
              </w:rPr>
            </w:pPr>
            <w:r>
              <w:rPr>
                <w:rFonts w:cs="Arial"/>
                <w:b/>
                <w:bCs/>
                <w:sz w:val="20"/>
                <w:szCs w:val="20"/>
              </w:rPr>
              <w:t>7.4</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9D7946" w:rsidRDefault="009D7946">
            <w:pPr>
              <w:jc w:val="right"/>
              <w:rPr>
                <w:rFonts w:cs="Arial"/>
                <w:b/>
                <w:bCs/>
                <w:sz w:val="20"/>
                <w:szCs w:val="20"/>
              </w:rPr>
            </w:pPr>
            <w:r>
              <w:rPr>
                <w:rFonts w:cs="Arial"/>
                <w:b/>
                <w:bCs/>
                <w:sz w:val="20"/>
                <w:szCs w:val="20"/>
              </w:rPr>
              <w:t>0.0</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9D7946" w:rsidRDefault="009D7946">
            <w:pPr>
              <w:jc w:val="right"/>
              <w:rPr>
                <w:rFonts w:cs="Arial"/>
                <w:b/>
                <w:bCs/>
                <w:sz w:val="20"/>
                <w:szCs w:val="20"/>
              </w:rPr>
            </w:pPr>
            <w:r>
              <w:rPr>
                <w:rFonts w:cs="Arial"/>
                <w:b/>
                <w:bCs/>
                <w:sz w:val="20"/>
                <w:szCs w:val="20"/>
              </w:rPr>
              <w:t>0.6</w:t>
            </w:r>
          </w:p>
        </w:tc>
        <w:tc>
          <w:tcPr>
            <w:tcW w:w="1350" w:type="dxa"/>
            <w:tcBorders>
              <w:top w:val="nil"/>
              <w:left w:val="single" w:sz="4" w:space="0" w:color="000000"/>
              <w:bottom w:val="double" w:sz="6" w:space="0" w:color="auto"/>
              <w:right w:val="nil"/>
            </w:tcBorders>
            <w:tcMar>
              <w:top w:w="15" w:type="dxa"/>
              <w:left w:w="15" w:type="dxa"/>
              <w:bottom w:w="0" w:type="dxa"/>
              <w:right w:w="72" w:type="dxa"/>
            </w:tcMar>
            <w:vAlign w:val="center"/>
          </w:tcPr>
          <w:p w:rsidR="009D7946" w:rsidRDefault="009D7946">
            <w:pPr>
              <w:jc w:val="right"/>
              <w:rPr>
                <w:rFonts w:cs="Arial"/>
                <w:b/>
                <w:bCs/>
                <w:sz w:val="20"/>
                <w:szCs w:val="20"/>
              </w:rPr>
            </w:pPr>
            <w:r>
              <w:rPr>
                <w:rFonts w:cs="Arial"/>
                <w:b/>
                <w:bCs/>
                <w:sz w:val="20"/>
                <w:szCs w:val="20"/>
              </w:rPr>
              <w:t>8.7</w:t>
            </w:r>
          </w:p>
        </w:tc>
        <w:tc>
          <w:tcPr>
            <w:tcW w:w="1540" w:type="dxa"/>
            <w:tcBorders>
              <w:top w:val="nil"/>
              <w:left w:val="single" w:sz="4" w:space="0" w:color="000000"/>
              <w:bottom w:val="double" w:sz="6" w:space="0" w:color="auto"/>
              <w:right w:val="nil"/>
            </w:tcBorders>
            <w:tcMar>
              <w:top w:w="15" w:type="dxa"/>
              <w:left w:w="15" w:type="dxa"/>
              <w:bottom w:w="0" w:type="dxa"/>
              <w:right w:w="72" w:type="dxa"/>
            </w:tcMar>
            <w:vAlign w:val="center"/>
          </w:tcPr>
          <w:p w:rsidR="009D7946" w:rsidRDefault="00571CD2">
            <w:pPr>
              <w:jc w:val="right"/>
              <w:rPr>
                <w:rFonts w:cs="Arial"/>
                <w:b/>
                <w:bCs/>
                <w:sz w:val="20"/>
                <w:szCs w:val="20"/>
              </w:rPr>
            </w:pPr>
            <w:r>
              <w:rPr>
                <w:rFonts w:cs="Arial"/>
                <w:b/>
                <w:bCs/>
                <w:sz w:val="20"/>
                <w:szCs w:val="20"/>
              </w:rPr>
              <w:t>$</w:t>
            </w:r>
            <w:r w:rsidR="009D7946">
              <w:rPr>
                <w:rFonts w:cs="Arial"/>
                <w:b/>
                <w:bCs/>
                <w:sz w:val="20"/>
                <w:szCs w:val="20"/>
              </w:rPr>
              <w:t>0</w:t>
            </w:r>
          </w:p>
        </w:tc>
        <w:tc>
          <w:tcPr>
            <w:tcW w:w="959"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9D7946" w:rsidRDefault="00571CD2">
            <w:pPr>
              <w:jc w:val="right"/>
              <w:rPr>
                <w:rFonts w:cs="Arial"/>
                <w:b/>
                <w:bCs/>
                <w:sz w:val="20"/>
                <w:szCs w:val="20"/>
              </w:rPr>
            </w:pPr>
            <w:r>
              <w:rPr>
                <w:rFonts w:cs="Arial"/>
                <w:b/>
                <w:bCs/>
                <w:sz w:val="20"/>
                <w:szCs w:val="20"/>
              </w:rPr>
              <w:t>$</w:t>
            </w:r>
            <w:r w:rsidR="009D7946">
              <w:rPr>
                <w:rFonts w:cs="Arial"/>
                <w:b/>
                <w:bCs/>
                <w:sz w:val="20"/>
                <w:szCs w:val="20"/>
              </w:rPr>
              <w:t>0</w:t>
            </w:r>
          </w:p>
        </w:tc>
        <w:tc>
          <w:tcPr>
            <w:tcW w:w="977" w:type="dxa"/>
            <w:tcBorders>
              <w:top w:val="nil"/>
              <w:left w:val="nil"/>
              <w:bottom w:val="double" w:sz="6" w:space="0" w:color="auto"/>
              <w:right w:val="double" w:sz="6" w:space="0" w:color="000000"/>
            </w:tcBorders>
            <w:tcMar>
              <w:top w:w="15" w:type="dxa"/>
              <w:left w:w="15" w:type="dxa"/>
              <w:bottom w:w="0" w:type="dxa"/>
              <w:right w:w="72" w:type="dxa"/>
            </w:tcMar>
            <w:vAlign w:val="center"/>
          </w:tcPr>
          <w:p w:rsidR="009D7946" w:rsidRDefault="00C162D5" w:rsidP="00BE2868">
            <w:pPr>
              <w:jc w:val="right"/>
              <w:rPr>
                <w:rFonts w:cs="Arial"/>
                <w:b/>
                <w:bCs/>
                <w:sz w:val="20"/>
                <w:szCs w:val="20"/>
              </w:rPr>
            </w:pPr>
            <w:r>
              <w:rPr>
                <w:rFonts w:cs="Arial"/>
                <w:b/>
                <w:bCs/>
                <w:sz w:val="20"/>
                <w:szCs w:val="20"/>
              </w:rPr>
              <w:t>$</w:t>
            </w:r>
            <w:r w:rsidR="009D7946">
              <w:rPr>
                <w:rFonts w:cs="Arial"/>
                <w:b/>
                <w:bCs/>
                <w:sz w:val="20"/>
                <w:szCs w:val="20"/>
              </w:rPr>
              <w:t>9</w:t>
            </w:r>
            <w:r w:rsidR="00BE2868">
              <w:rPr>
                <w:rFonts w:cs="Arial"/>
                <w:b/>
                <w:bCs/>
                <w:sz w:val="20"/>
                <w:szCs w:val="20"/>
              </w:rPr>
              <w:t>70</w:t>
            </w:r>
          </w:p>
        </w:tc>
      </w:tr>
      <w:tr w:rsidR="00D85665" w:rsidRPr="00854FC2" w:rsidTr="002534C6">
        <w:trPr>
          <w:trHeight w:val="270"/>
        </w:trPr>
        <w:tc>
          <w:tcPr>
            <w:tcW w:w="1339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New Facilities</w:t>
            </w:r>
            <w:r w:rsidR="00F25CBD" w:rsidRPr="00854FC2">
              <w:rPr>
                <w:rFonts w:cs="Arial"/>
                <w:sz w:val="20"/>
                <w:szCs w:val="20"/>
                <w:vertAlign w:val="superscript"/>
              </w:rPr>
              <w:t>3</w:t>
            </w:r>
          </w:p>
        </w:tc>
      </w:tr>
      <w:tr w:rsidR="00571CD2" w:rsidRPr="00854FC2" w:rsidTr="002534C6">
        <w:trPr>
          <w:trHeight w:val="255"/>
        </w:trPr>
        <w:tc>
          <w:tcPr>
            <w:tcW w:w="2654" w:type="dxa"/>
            <w:tcBorders>
              <w:top w:val="nil"/>
              <w:left w:val="double" w:sz="6" w:space="0" w:color="000000"/>
              <w:bottom w:val="nil"/>
              <w:right w:val="nil"/>
            </w:tcBorders>
            <w:vAlign w:val="center"/>
          </w:tcPr>
          <w:p w:rsidR="00571CD2" w:rsidRPr="00854FC2" w:rsidRDefault="00571CD2">
            <w:pPr>
              <w:pStyle w:val="FootnoteText"/>
              <w:rPr>
                <w:rFonts w:eastAsia="Arial Unicode MS" w:cs="Arial"/>
              </w:rPr>
            </w:pPr>
            <w:r w:rsidRPr="00854FC2">
              <w:rPr>
                <w:rFonts w:cs="Arial"/>
              </w:rPr>
              <w:t>Prepare an SPCC Plan</w:t>
            </w:r>
          </w:p>
        </w:tc>
        <w:tc>
          <w:tcPr>
            <w:tcW w:w="1479"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8" w:type="dxa"/>
            <w:tcBorders>
              <w:top w:val="nil"/>
              <w:left w:val="single" w:sz="4" w:space="0" w:color="000000"/>
              <w:bottom w:val="nil"/>
              <w:right w:val="nil"/>
            </w:tcBorders>
            <w:tcMar>
              <w:right w:w="72" w:type="dxa"/>
            </w:tcMar>
            <w:vAlign w:val="center"/>
          </w:tcPr>
          <w:p w:rsidR="00571CD2" w:rsidRDefault="00707FA8">
            <w:pPr>
              <w:jc w:val="right"/>
              <w:rPr>
                <w:rFonts w:cs="Arial"/>
                <w:sz w:val="20"/>
                <w:szCs w:val="20"/>
              </w:rPr>
            </w:pPr>
            <w:r>
              <w:rPr>
                <w:rFonts w:cs="Arial"/>
                <w:sz w:val="20"/>
                <w:szCs w:val="20"/>
              </w:rPr>
              <w:t>3.0</w:t>
            </w:r>
          </w:p>
        </w:tc>
        <w:tc>
          <w:tcPr>
            <w:tcW w:w="1477" w:type="dxa"/>
            <w:tcBorders>
              <w:top w:val="nil"/>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50" w:type="dxa"/>
            <w:tcBorders>
              <w:top w:val="nil"/>
              <w:left w:val="single" w:sz="4" w:space="0" w:color="000000"/>
              <w:bottom w:val="nil"/>
              <w:right w:val="nil"/>
            </w:tcBorders>
            <w:tcMar>
              <w:top w:w="15" w:type="dxa"/>
              <w:left w:w="15" w:type="dxa"/>
              <w:bottom w:w="0" w:type="dxa"/>
              <w:right w:w="72" w:type="dxa"/>
            </w:tcMar>
            <w:vAlign w:val="center"/>
          </w:tcPr>
          <w:p w:rsidR="00571CD2" w:rsidRDefault="00564099">
            <w:pPr>
              <w:jc w:val="right"/>
              <w:rPr>
                <w:rFonts w:cs="Arial"/>
                <w:sz w:val="20"/>
                <w:szCs w:val="20"/>
              </w:rPr>
            </w:pPr>
            <w:r>
              <w:rPr>
                <w:rFonts w:cs="Arial"/>
                <w:sz w:val="20"/>
                <w:szCs w:val="20"/>
              </w:rPr>
              <w:t>3.0</w:t>
            </w:r>
          </w:p>
        </w:tc>
        <w:tc>
          <w:tcPr>
            <w:tcW w:w="1540" w:type="dxa"/>
            <w:tcBorders>
              <w:top w:val="nil"/>
              <w:left w:val="single" w:sz="4" w:space="0" w:color="000000"/>
              <w:bottom w:val="nil"/>
              <w:right w:val="nil"/>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nil"/>
              <w:left w:val="single" w:sz="4" w:space="0" w:color="000000"/>
              <w:bottom w:val="nil"/>
              <w:right w:val="nil"/>
            </w:tcBorders>
            <w:tcMar>
              <w:top w:w="0"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nil"/>
              <w:left w:val="single" w:sz="4" w:space="0" w:color="000000"/>
              <w:bottom w:val="nil"/>
              <w:right w:val="double" w:sz="6" w:space="0" w:color="000000"/>
            </w:tcBorders>
            <w:tcMar>
              <w:top w:w="15" w:type="dxa"/>
              <w:left w:w="15" w:type="dxa"/>
              <w:bottom w:w="0" w:type="dxa"/>
              <w:right w:w="72" w:type="dxa"/>
            </w:tcMar>
            <w:vAlign w:val="center"/>
          </w:tcPr>
          <w:p w:rsidR="00571CD2" w:rsidRDefault="00571CD2" w:rsidP="009E12E5">
            <w:pPr>
              <w:jc w:val="right"/>
              <w:rPr>
                <w:rFonts w:cs="Arial"/>
                <w:sz w:val="20"/>
                <w:szCs w:val="20"/>
              </w:rPr>
            </w:pPr>
            <w:r>
              <w:rPr>
                <w:rFonts w:cs="Arial"/>
                <w:sz w:val="20"/>
                <w:szCs w:val="20"/>
              </w:rPr>
              <w:t>$1</w:t>
            </w:r>
            <w:r w:rsidR="009E12E5">
              <w:rPr>
                <w:rFonts w:cs="Arial"/>
                <w:sz w:val="20"/>
                <w:szCs w:val="20"/>
              </w:rPr>
              <w:t>64</w:t>
            </w:r>
          </w:p>
        </w:tc>
      </w:tr>
      <w:tr w:rsidR="00571CD2" w:rsidRPr="00854FC2" w:rsidTr="002534C6">
        <w:trPr>
          <w:trHeight w:val="255"/>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Prepare a Contingency Plan</w:t>
            </w:r>
          </w:p>
        </w:tc>
        <w:tc>
          <w:tcPr>
            <w:tcW w:w="147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0.7</w:t>
            </w:r>
          </w:p>
        </w:tc>
        <w:tc>
          <w:tcPr>
            <w:tcW w:w="147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3.5</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1.0</w:t>
            </w:r>
          </w:p>
        </w:tc>
        <w:tc>
          <w:tcPr>
            <w:tcW w:w="135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5.1</w:t>
            </w:r>
          </w:p>
        </w:tc>
        <w:tc>
          <w:tcPr>
            <w:tcW w:w="15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571CD2" w:rsidP="009E12E5">
            <w:pPr>
              <w:jc w:val="right"/>
              <w:rPr>
                <w:rFonts w:cs="Arial"/>
                <w:sz w:val="20"/>
                <w:szCs w:val="20"/>
              </w:rPr>
            </w:pPr>
            <w:r>
              <w:rPr>
                <w:rFonts w:cs="Arial"/>
                <w:sz w:val="20"/>
                <w:szCs w:val="20"/>
              </w:rPr>
              <w:t>$2</w:t>
            </w:r>
            <w:r w:rsidR="009E12E5">
              <w:rPr>
                <w:rFonts w:cs="Arial"/>
                <w:sz w:val="20"/>
                <w:szCs w:val="20"/>
              </w:rPr>
              <w:t>34</w:t>
            </w:r>
          </w:p>
        </w:tc>
      </w:tr>
      <w:tr w:rsidR="00571CD2" w:rsidRPr="00854FC2" w:rsidTr="002534C6">
        <w:trPr>
          <w:trHeight w:val="795"/>
        </w:trPr>
        <w:tc>
          <w:tcPr>
            <w:tcW w:w="2654"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Submit Information in the Event of Certain Discharges of Oil</w:t>
            </w:r>
            <w:r w:rsidR="00F25CBD">
              <w:rPr>
                <w:rFonts w:cs="Arial"/>
                <w:sz w:val="20"/>
                <w:szCs w:val="20"/>
                <w:vertAlign w:val="superscript"/>
              </w:rPr>
              <w:t>4</w:t>
            </w:r>
          </w:p>
        </w:tc>
        <w:tc>
          <w:tcPr>
            <w:tcW w:w="147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5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132294">
            <w:pPr>
              <w:jc w:val="right"/>
              <w:rPr>
                <w:rFonts w:cs="Arial"/>
                <w:sz w:val="20"/>
                <w:szCs w:val="20"/>
              </w:rPr>
            </w:pPr>
            <w:r>
              <w:rPr>
                <w:rFonts w:cs="Arial"/>
                <w:sz w:val="20"/>
                <w:szCs w:val="20"/>
              </w:rPr>
              <w:t>$0</w:t>
            </w:r>
          </w:p>
        </w:tc>
      </w:tr>
      <w:tr w:rsidR="00571CD2" w:rsidRPr="00854FC2" w:rsidTr="002534C6">
        <w:trPr>
          <w:trHeight w:val="255"/>
        </w:trPr>
        <w:tc>
          <w:tcPr>
            <w:tcW w:w="2654" w:type="dxa"/>
            <w:tcBorders>
              <w:top w:val="nil"/>
              <w:left w:val="double" w:sz="6" w:space="0" w:color="000000"/>
              <w:bottom w:val="single" w:sz="4"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Revise the SPCC Plan</w:t>
            </w:r>
          </w:p>
        </w:tc>
        <w:tc>
          <w:tcPr>
            <w:tcW w:w="147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5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rsidP="001565C5">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132294">
            <w:pPr>
              <w:jc w:val="right"/>
              <w:rPr>
                <w:rFonts w:cs="Arial"/>
                <w:sz w:val="20"/>
                <w:szCs w:val="20"/>
              </w:rPr>
            </w:pPr>
            <w:r>
              <w:rPr>
                <w:rFonts w:cs="Arial"/>
                <w:sz w:val="20"/>
                <w:szCs w:val="20"/>
              </w:rPr>
              <w:t>$</w:t>
            </w:r>
            <w:r w:rsidR="00571CD2">
              <w:rPr>
                <w:rFonts w:cs="Arial"/>
                <w:sz w:val="20"/>
                <w:szCs w:val="20"/>
              </w:rPr>
              <w:t>6</w:t>
            </w:r>
          </w:p>
        </w:tc>
      </w:tr>
      <w:tr w:rsidR="00C162D5" w:rsidRPr="00854FC2" w:rsidTr="002534C6">
        <w:trPr>
          <w:trHeight w:val="525"/>
        </w:trPr>
        <w:tc>
          <w:tcPr>
            <w:tcW w:w="2654" w:type="dxa"/>
            <w:tcBorders>
              <w:top w:val="nil"/>
              <w:left w:val="double" w:sz="6" w:space="0" w:color="000000"/>
              <w:bottom w:val="double" w:sz="6" w:space="0" w:color="000000"/>
              <w:right w:val="nil"/>
            </w:tcBorders>
            <w:tcMar>
              <w:top w:w="15" w:type="dxa"/>
              <w:left w:w="15" w:type="dxa"/>
              <w:bottom w:w="0" w:type="dxa"/>
              <w:right w:w="15" w:type="dxa"/>
            </w:tcMar>
            <w:vAlign w:val="center"/>
          </w:tcPr>
          <w:p w:rsidR="00C162D5" w:rsidRPr="00854FC2" w:rsidRDefault="00C162D5">
            <w:pPr>
              <w:rPr>
                <w:rFonts w:eastAsia="Arial Unicode MS" w:cs="Arial"/>
                <w:sz w:val="20"/>
                <w:szCs w:val="20"/>
              </w:rPr>
            </w:pPr>
            <w:r w:rsidRPr="00854FC2">
              <w:rPr>
                <w:rFonts w:cs="Arial"/>
                <w:sz w:val="20"/>
                <w:szCs w:val="20"/>
              </w:rPr>
              <w:t>Maintain the SPCC Plan and Keep Records</w:t>
            </w:r>
          </w:p>
        </w:tc>
        <w:tc>
          <w:tcPr>
            <w:tcW w:w="147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8"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3.8</w:t>
            </w:r>
          </w:p>
        </w:tc>
        <w:tc>
          <w:tcPr>
            <w:tcW w:w="14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35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3.8</w:t>
            </w:r>
          </w:p>
        </w:tc>
        <w:tc>
          <w:tcPr>
            <w:tcW w:w="154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$100</w:t>
            </w:r>
          </w:p>
        </w:tc>
        <w:tc>
          <w:tcPr>
            <w:tcW w:w="95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571CD2">
            <w:pPr>
              <w:jc w:val="right"/>
              <w:rPr>
                <w:rFonts w:cs="Arial"/>
                <w:sz w:val="20"/>
                <w:szCs w:val="20"/>
              </w:rPr>
            </w:pPr>
            <w:r>
              <w:rPr>
                <w:rFonts w:cs="Arial"/>
                <w:sz w:val="20"/>
                <w:szCs w:val="20"/>
              </w:rPr>
              <w:t>$</w:t>
            </w:r>
            <w:r w:rsidR="00C162D5">
              <w:rPr>
                <w:rFonts w:cs="Arial"/>
                <w:sz w:val="20"/>
                <w:szCs w:val="20"/>
              </w:rPr>
              <w:t>0</w:t>
            </w:r>
          </w:p>
        </w:tc>
        <w:tc>
          <w:tcPr>
            <w:tcW w:w="977"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C162D5" w:rsidRDefault="000E70F2" w:rsidP="009E12E5">
            <w:pPr>
              <w:jc w:val="right"/>
              <w:rPr>
                <w:rFonts w:cs="Arial"/>
                <w:sz w:val="20"/>
                <w:szCs w:val="20"/>
              </w:rPr>
            </w:pPr>
            <w:r>
              <w:rPr>
                <w:rFonts w:cs="Arial"/>
                <w:sz w:val="20"/>
                <w:szCs w:val="20"/>
              </w:rPr>
              <w:t>$5</w:t>
            </w:r>
            <w:r w:rsidR="009E12E5">
              <w:rPr>
                <w:rFonts w:cs="Arial"/>
                <w:sz w:val="20"/>
                <w:szCs w:val="20"/>
              </w:rPr>
              <w:t>28</w:t>
            </w:r>
          </w:p>
        </w:tc>
      </w:tr>
      <w:tr w:rsidR="00C162D5" w:rsidRPr="00854FC2" w:rsidTr="002534C6">
        <w:trPr>
          <w:trHeight w:val="285"/>
        </w:trPr>
        <w:tc>
          <w:tcPr>
            <w:tcW w:w="2654" w:type="dxa"/>
            <w:tcBorders>
              <w:top w:val="nil"/>
              <w:left w:val="double" w:sz="6" w:space="0" w:color="000000"/>
              <w:bottom w:val="double" w:sz="6" w:space="0" w:color="auto"/>
              <w:right w:val="nil"/>
            </w:tcBorders>
            <w:tcMar>
              <w:top w:w="15" w:type="dxa"/>
              <w:left w:w="15" w:type="dxa"/>
              <w:bottom w:w="0" w:type="dxa"/>
              <w:right w:w="15" w:type="dxa"/>
            </w:tcMar>
            <w:vAlign w:val="bottom"/>
          </w:tcPr>
          <w:p w:rsidR="00C162D5" w:rsidRPr="00854FC2" w:rsidRDefault="00C162D5">
            <w:pPr>
              <w:rPr>
                <w:rFonts w:eastAsia="Arial Unicode MS" w:cs="Arial"/>
                <w:b/>
                <w:bCs/>
                <w:sz w:val="20"/>
                <w:szCs w:val="20"/>
              </w:rPr>
            </w:pPr>
            <w:r w:rsidRPr="00854FC2">
              <w:rPr>
                <w:rFonts w:cs="Arial"/>
                <w:b/>
                <w:bCs/>
                <w:sz w:val="20"/>
                <w:szCs w:val="20"/>
              </w:rPr>
              <w:t>TOTAL</w:t>
            </w:r>
          </w:p>
        </w:tc>
        <w:tc>
          <w:tcPr>
            <w:tcW w:w="1479"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0.7</w:t>
            </w:r>
          </w:p>
        </w:tc>
        <w:tc>
          <w:tcPr>
            <w:tcW w:w="1478"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10.2</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0.0</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1.0</w:t>
            </w:r>
          </w:p>
        </w:tc>
        <w:tc>
          <w:tcPr>
            <w:tcW w:w="1350"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11.</w:t>
            </w:r>
            <w:r w:rsidR="00187D6D">
              <w:rPr>
                <w:rFonts w:cs="Arial"/>
                <w:b/>
                <w:bCs/>
                <w:sz w:val="20"/>
                <w:szCs w:val="20"/>
              </w:rPr>
              <w:t>9</w:t>
            </w:r>
          </w:p>
        </w:tc>
        <w:tc>
          <w:tcPr>
            <w:tcW w:w="1540"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$100</w:t>
            </w:r>
          </w:p>
        </w:tc>
        <w:tc>
          <w:tcPr>
            <w:tcW w:w="959"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571CD2">
            <w:pPr>
              <w:jc w:val="right"/>
              <w:rPr>
                <w:rFonts w:cs="Arial"/>
                <w:b/>
                <w:bCs/>
                <w:sz w:val="20"/>
                <w:szCs w:val="20"/>
              </w:rPr>
            </w:pPr>
            <w:r>
              <w:rPr>
                <w:rFonts w:cs="Arial"/>
                <w:b/>
                <w:bCs/>
                <w:sz w:val="20"/>
                <w:szCs w:val="20"/>
              </w:rPr>
              <w:t>$</w:t>
            </w:r>
            <w:r w:rsidR="00C162D5">
              <w:rPr>
                <w:rFonts w:cs="Arial"/>
                <w:b/>
                <w:bCs/>
                <w:sz w:val="20"/>
                <w:szCs w:val="20"/>
              </w:rPr>
              <w:t>0</w:t>
            </w:r>
          </w:p>
        </w:tc>
        <w:tc>
          <w:tcPr>
            <w:tcW w:w="977"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C162D5" w:rsidRDefault="00C162D5" w:rsidP="00DA5A73">
            <w:pPr>
              <w:jc w:val="right"/>
              <w:rPr>
                <w:rFonts w:cs="Arial"/>
                <w:b/>
                <w:bCs/>
                <w:sz w:val="20"/>
                <w:szCs w:val="20"/>
              </w:rPr>
            </w:pPr>
            <w:r>
              <w:rPr>
                <w:rFonts w:cs="Arial"/>
                <w:b/>
                <w:bCs/>
                <w:sz w:val="20"/>
                <w:szCs w:val="20"/>
              </w:rPr>
              <w:t>$</w:t>
            </w:r>
            <w:r w:rsidR="000E70F2">
              <w:rPr>
                <w:rFonts w:cs="Arial"/>
                <w:b/>
                <w:bCs/>
                <w:sz w:val="20"/>
                <w:szCs w:val="20"/>
              </w:rPr>
              <w:t>9</w:t>
            </w:r>
            <w:r w:rsidR="00DA5A73">
              <w:rPr>
                <w:rFonts w:cs="Arial"/>
                <w:b/>
                <w:bCs/>
                <w:sz w:val="20"/>
                <w:szCs w:val="20"/>
              </w:rPr>
              <w:t>32</w:t>
            </w:r>
          </w:p>
        </w:tc>
      </w:tr>
      <w:tr w:rsidR="00D85665" w:rsidRPr="00854FC2" w:rsidTr="002534C6">
        <w:trPr>
          <w:cantSplit/>
          <w:trHeight w:val="228"/>
        </w:trPr>
        <w:tc>
          <w:tcPr>
            <w:tcW w:w="13391"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  The numbers in this exhibit may not add precisely due to rounding. </w:t>
            </w:r>
          </w:p>
        </w:tc>
      </w:tr>
      <w:tr w:rsidR="00D85665" w:rsidRPr="00854FC2" w:rsidTr="002534C6">
        <w:trPr>
          <w:cantSplit/>
          <w:trHeight w:val="255"/>
        </w:trPr>
        <w:tc>
          <w:tcPr>
            <w:tcW w:w="13391" w:type="dxa"/>
            <w:gridSpan w:val="9"/>
            <w:vMerge/>
            <w:tcBorders>
              <w:top w:val="double" w:sz="6" w:space="0" w:color="auto"/>
              <w:left w:val="nil"/>
              <w:bottom w:val="nil"/>
              <w:right w:val="nil"/>
            </w:tcBorders>
            <w:vAlign w:val="center"/>
          </w:tcPr>
          <w:p w:rsidR="00D85665" w:rsidRPr="00854FC2" w:rsidRDefault="00D85665">
            <w:pPr>
              <w:rPr>
                <w:rFonts w:eastAsia="Arial Unicode MS" w:cs="Arial"/>
                <w:sz w:val="18"/>
                <w:szCs w:val="18"/>
              </w:rPr>
            </w:pPr>
          </w:p>
        </w:tc>
      </w:tr>
      <w:tr w:rsidR="00D85665" w:rsidRPr="00854FC2" w:rsidTr="002534C6">
        <w:trPr>
          <w:trHeight w:val="270"/>
        </w:trPr>
        <w:tc>
          <w:tcPr>
            <w:tcW w:w="13391" w:type="dxa"/>
            <w:gridSpan w:val="9"/>
            <w:tcBorders>
              <w:top w:val="nil"/>
              <w:left w:val="nil"/>
              <w:bottom w:val="nil"/>
              <w:right w:val="nil"/>
            </w:tcBorders>
            <w:noWrap/>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rsidTr="002534C6">
        <w:trPr>
          <w:cantSplit/>
          <w:trHeight w:val="540"/>
        </w:trPr>
        <w:tc>
          <w:tcPr>
            <w:tcW w:w="13391" w:type="dxa"/>
            <w:gridSpan w:val="9"/>
            <w:vMerge w:val="restart"/>
            <w:tcBorders>
              <w:top w:val="nil"/>
              <w:left w:val="nil"/>
              <w:bottom w:val="nil"/>
              <w:right w:val="nil"/>
            </w:tcBorders>
            <w:tcMar>
              <w:top w:w="0" w:type="dxa"/>
              <w:left w:w="15" w:type="dxa"/>
              <w:bottom w:w="0" w:type="dxa"/>
              <w:right w:w="15" w:type="dxa"/>
            </w:tcMar>
            <w:vAlign w:val="bottom"/>
          </w:tcPr>
          <w:p w:rsidR="009A488D" w:rsidRDefault="00F90FEB" w:rsidP="009A488D">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009A488D" w:rsidRPr="009A488D">
              <w:rPr>
                <w:rFonts w:cs="Arial"/>
                <w:color w:val="000000"/>
                <w:sz w:val="18"/>
                <w:szCs w:val="18"/>
              </w:rPr>
              <w:t>New</w:t>
            </w:r>
            <w:r w:rsidR="008913F7">
              <w:rPr>
                <w:rFonts w:cs="Arial"/>
                <w:color w:val="000000"/>
                <w:sz w:val="18"/>
                <w:szCs w:val="18"/>
              </w:rPr>
              <w:t xml:space="preserve"> </w:t>
            </w:r>
            <w:r w:rsidR="009A488D" w:rsidRPr="009A488D">
              <w:rPr>
                <w:rFonts w:cs="Arial"/>
                <w:color w:val="000000"/>
                <w:sz w:val="18"/>
                <w:szCs w:val="18"/>
              </w:rPr>
              <w:t xml:space="preserve"> facilities include those facilities that will initiate operations during the ICR period. For the purpose of this analysis, new facilities become existing facilities after the first year of operation. As a result, in each year of this ICR, a different set of new facilities </w:t>
            </w:r>
            <w:r w:rsidR="00107F74">
              <w:rPr>
                <w:rFonts w:cs="Arial"/>
                <w:color w:val="000000"/>
                <w:sz w:val="18"/>
                <w:szCs w:val="18"/>
              </w:rPr>
              <w:t xml:space="preserve">will </w:t>
            </w:r>
            <w:r w:rsidR="009A488D" w:rsidRPr="009A488D">
              <w:rPr>
                <w:rFonts w:cs="Arial"/>
                <w:color w:val="000000"/>
                <w:sz w:val="18"/>
                <w:szCs w:val="18"/>
              </w:rPr>
              <w:t>become operational</w:t>
            </w:r>
            <w:r w:rsidR="009A488D">
              <w:rPr>
                <w:rFonts w:cs="Arial"/>
                <w:color w:val="000000"/>
                <w:sz w:val="18"/>
                <w:szCs w:val="18"/>
              </w:rPr>
              <w:t>.</w:t>
            </w:r>
          </w:p>
          <w:p w:rsidR="00F90FEB" w:rsidRPr="00F90FEB" w:rsidRDefault="00F90FEB" w:rsidP="00F90FEB">
            <w:pPr>
              <w:rPr>
                <w:rFonts w:cs="Arial"/>
                <w:sz w:val="18"/>
                <w:szCs w:val="18"/>
              </w:rPr>
            </w:pPr>
            <w:r>
              <w:rPr>
                <w:rFonts w:cs="Arial"/>
                <w:sz w:val="18"/>
                <w:szCs w:val="18"/>
                <w:vertAlign w:val="superscript"/>
              </w:rPr>
              <w:t>4</w:t>
            </w:r>
            <w:r w:rsidRPr="00854FC2">
              <w:rPr>
                <w:rFonts w:cs="Arial"/>
                <w:sz w:val="18"/>
                <w:szCs w:val="18"/>
              </w:rPr>
              <w:t xml:space="preserve"> The unit burden for a facility </w:t>
            </w:r>
            <w:r w:rsidRPr="004A5956">
              <w:rPr>
                <w:rFonts w:cs="Arial"/>
                <w:sz w:val="18"/>
                <w:szCs w:val="18"/>
              </w:rPr>
              <w:t>that needs to submit information because of a discharge is estimated to be one hour of management labor and one hour of technical labor, resulting in a total unit cost of $</w:t>
            </w:r>
            <w:r>
              <w:rPr>
                <w:rFonts w:cs="Arial"/>
                <w:sz w:val="18"/>
                <w:szCs w:val="18"/>
              </w:rPr>
              <w:t>139</w:t>
            </w:r>
            <w:r w:rsidRPr="004A5956">
              <w:rPr>
                <w:rFonts w:cs="Arial"/>
                <w:sz w:val="18"/>
                <w:szCs w:val="18"/>
              </w:rPr>
              <w:t xml:space="preserve">.  Because only 0.15 percent of all facilities are expected to meet the discharge criteria and submit information, the </w:t>
            </w:r>
            <w:r w:rsidRPr="009A488D">
              <w:rPr>
                <w:rFonts w:cs="Arial"/>
                <w:sz w:val="18"/>
                <w:szCs w:val="18"/>
              </w:rPr>
              <w:t>average unit burden is less than 0.1 hours, and is therefore indicated here as 0.  However, the actual unit burden and cost estimates are used in later calculations.</w:t>
            </w:r>
          </w:p>
        </w:tc>
      </w:tr>
      <w:tr w:rsidR="00D85665" w:rsidRPr="00854FC2" w:rsidTr="002534C6">
        <w:trPr>
          <w:cantSplit/>
          <w:trHeight w:val="255"/>
        </w:trPr>
        <w:tc>
          <w:tcPr>
            <w:tcW w:w="13391" w:type="dxa"/>
            <w:gridSpan w:val="9"/>
            <w:vMerge/>
            <w:tcBorders>
              <w:top w:val="nil"/>
              <w:left w:val="nil"/>
              <w:bottom w:val="nil"/>
              <w:right w:val="nil"/>
            </w:tcBorders>
            <w:vAlign w:val="center"/>
          </w:tcPr>
          <w:p w:rsidR="00D85665" w:rsidRPr="00854FC2" w:rsidRDefault="00D85665">
            <w:pPr>
              <w:rPr>
                <w:rFonts w:eastAsia="Arial Unicode MS" w:cs="Arial"/>
                <w:sz w:val="18"/>
                <w:szCs w:val="18"/>
              </w:rPr>
            </w:pPr>
          </w:p>
        </w:tc>
      </w:tr>
    </w:tbl>
    <w:p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type w:val="continuous"/>
          <w:pgSz w:w="15840" w:h="12240" w:orient="landscape"/>
          <w:pgMar w:top="1440" w:right="1440" w:bottom="720" w:left="1440" w:header="720" w:footer="720" w:gutter="0"/>
          <w:cols w:space="720"/>
          <w:noEndnote/>
        </w:sectPr>
      </w:pPr>
    </w:p>
    <w:p w:rsidR="00D85665" w:rsidRPr="00854FC2" w:rsidRDefault="00D85665" w:rsidP="00A15DF0">
      <w:pPr>
        <w:pStyle w:val="Caption"/>
        <w:keepNext/>
        <w:spacing w:before="0" w:after="0"/>
        <w:outlineLvl w:val="0"/>
      </w:pPr>
      <w:r w:rsidRPr="004413C2">
        <w:lastRenderedPageBreak/>
        <w:t xml:space="preserve">Exhibit </w:t>
      </w:r>
      <w:r w:rsidR="002348E6">
        <w:fldChar w:fldCharType="begin"/>
      </w:r>
      <w:r w:rsidR="002348E6">
        <w:instrText xml:space="preserve"> SEQ Exhibit \* ARABIC </w:instrText>
      </w:r>
      <w:r w:rsidR="002348E6">
        <w:fldChar w:fldCharType="separate"/>
      </w:r>
      <w:r w:rsidR="00F61EFD">
        <w:rPr>
          <w:noProof/>
        </w:rPr>
        <w:t>5</w:t>
      </w:r>
      <w:r w:rsidR="002348E6">
        <w:fldChar w:fldCharType="end"/>
      </w:r>
    </w:p>
    <w:tbl>
      <w:tblPr>
        <w:tblW w:w="13391" w:type="dxa"/>
        <w:tblInd w:w="-705" w:type="dxa"/>
        <w:tblCellMar>
          <w:left w:w="0" w:type="dxa"/>
          <w:right w:w="0" w:type="dxa"/>
        </w:tblCellMar>
        <w:tblLook w:val="0000"/>
      </w:tblPr>
      <w:tblGrid>
        <w:gridCol w:w="2654"/>
        <w:gridCol w:w="1479"/>
        <w:gridCol w:w="1478"/>
        <w:gridCol w:w="1477"/>
        <w:gridCol w:w="1477"/>
        <w:gridCol w:w="1350"/>
        <w:gridCol w:w="1540"/>
        <w:gridCol w:w="959"/>
        <w:gridCol w:w="977"/>
      </w:tblGrid>
      <w:tr w:rsidR="00D85665" w:rsidRPr="00854FC2" w:rsidTr="00EF0FF6">
        <w:trPr>
          <w:trHeight w:val="300"/>
        </w:trPr>
        <w:tc>
          <w:tcPr>
            <w:tcW w:w="13391" w:type="dxa"/>
            <w:gridSpan w:val="9"/>
            <w:tcBorders>
              <w:top w:val="nil"/>
              <w:left w:val="nil"/>
              <w:bottom w:val="nil"/>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rsidTr="00EF0FF6">
        <w:trPr>
          <w:trHeight w:val="315"/>
        </w:trPr>
        <w:tc>
          <w:tcPr>
            <w:tcW w:w="13391" w:type="dxa"/>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 xml:space="preserve">Average Category I Facility </w:t>
            </w:r>
          </w:p>
        </w:tc>
      </w:tr>
      <w:tr w:rsidR="00D85665" w:rsidRPr="00854FC2" w:rsidTr="00EF0FF6">
        <w:trPr>
          <w:cantSplit/>
          <w:trHeight w:val="285"/>
        </w:trPr>
        <w:tc>
          <w:tcPr>
            <w:tcW w:w="2654"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911"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854FC2" w:rsidRDefault="00D85665">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50"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Total Burden Hours</w:t>
            </w:r>
          </w:p>
        </w:tc>
        <w:tc>
          <w:tcPr>
            <w:tcW w:w="1540"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Capital/Startup Costs</w:t>
            </w:r>
          </w:p>
        </w:tc>
        <w:tc>
          <w:tcPr>
            <w:tcW w:w="959"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PE Costs</w:t>
            </w:r>
          </w:p>
        </w:tc>
        <w:tc>
          <w:tcPr>
            <w:tcW w:w="977"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1F45F8" w:rsidRDefault="00526F29">
            <w:pPr>
              <w:jc w:val="center"/>
              <w:rPr>
                <w:rFonts w:cs="Arial"/>
                <w:b/>
                <w:bCs/>
                <w:sz w:val="20"/>
                <w:szCs w:val="20"/>
              </w:rPr>
            </w:pPr>
            <w:r w:rsidRPr="00CD5C71">
              <w:rPr>
                <w:rFonts w:cs="Arial"/>
                <w:b/>
                <w:bCs/>
                <w:sz w:val="20"/>
                <w:szCs w:val="20"/>
              </w:rPr>
              <w:t>Annual</w:t>
            </w:r>
            <w:r w:rsidRPr="00CD5C71">
              <w:rPr>
                <w:rFonts w:cs="Arial"/>
                <w:b/>
                <w:bCs/>
                <w:szCs w:val="22"/>
              </w:rPr>
              <w:t xml:space="preserve"> </w:t>
            </w:r>
            <w:r w:rsidR="00D85665" w:rsidRPr="00854FC2">
              <w:rPr>
                <w:rFonts w:cs="Arial"/>
                <w:b/>
                <w:bCs/>
                <w:sz w:val="20"/>
                <w:szCs w:val="20"/>
              </w:rPr>
              <w:t>Cost</w:t>
            </w:r>
          </w:p>
          <w:p w:rsidR="00D85665" w:rsidRPr="00854FC2" w:rsidRDefault="001F45F8">
            <w:pPr>
              <w:jc w:val="center"/>
              <w:rPr>
                <w:rFonts w:eastAsia="Arial Unicode MS" w:cs="Arial"/>
                <w:b/>
                <w:bCs/>
                <w:sz w:val="20"/>
                <w:szCs w:val="20"/>
              </w:rPr>
            </w:pPr>
            <w:r>
              <w:rPr>
                <w:rFonts w:cs="Arial"/>
                <w:b/>
                <w:bCs/>
                <w:sz w:val="20"/>
                <w:szCs w:val="20"/>
              </w:rPr>
              <w:t>(2012)</w:t>
            </w:r>
            <w:r w:rsidR="00D85665" w:rsidRPr="00854FC2">
              <w:rPr>
                <w:rFonts w:cs="Arial"/>
                <w:b/>
                <w:bCs/>
                <w:sz w:val="20"/>
                <w:szCs w:val="20"/>
                <w:vertAlign w:val="superscript"/>
              </w:rPr>
              <w:t>2</w:t>
            </w:r>
          </w:p>
        </w:tc>
      </w:tr>
      <w:tr w:rsidR="00D85665" w:rsidRPr="00854FC2" w:rsidTr="00EF0FF6">
        <w:trPr>
          <w:cantSplit/>
          <w:trHeight w:val="324"/>
        </w:trPr>
        <w:tc>
          <w:tcPr>
            <w:tcW w:w="0" w:type="auto"/>
            <w:vMerge/>
            <w:tcBorders>
              <w:top w:val="nil"/>
              <w:left w:val="double" w:sz="6"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1479"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Management</w:t>
            </w:r>
          </w:p>
        </w:tc>
        <w:tc>
          <w:tcPr>
            <w:tcW w:w="147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Technical</w:t>
            </w:r>
          </w:p>
        </w:tc>
        <w:tc>
          <w:tcPr>
            <w:tcW w:w="147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Drafter</w:t>
            </w:r>
          </w:p>
        </w:tc>
        <w:tc>
          <w:tcPr>
            <w:tcW w:w="1477"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Clerical</w:t>
            </w:r>
          </w:p>
        </w:tc>
        <w:tc>
          <w:tcPr>
            <w:tcW w:w="1350" w:type="dxa"/>
            <w:vMerge/>
            <w:tcBorders>
              <w:top w:val="nil"/>
              <w:left w:val="nil"/>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854FC2" w:rsidRDefault="00D85665">
            <w:pPr>
              <w:rPr>
                <w:rFonts w:eastAsia="Arial Unicode MS" w:cs="Arial"/>
                <w:b/>
                <w:bCs/>
                <w:sz w:val="20"/>
                <w:szCs w:val="20"/>
              </w:rPr>
            </w:pPr>
          </w:p>
        </w:tc>
      </w:tr>
      <w:tr w:rsidR="00D85665" w:rsidRPr="00854FC2" w:rsidTr="00EF0FF6">
        <w:trPr>
          <w:trHeight w:val="270"/>
        </w:trPr>
        <w:tc>
          <w:tcPr>
            <w:tcW w:w="1339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Existing Facilities</w:t>
            </w:r>
          </w:p>
        </w:tc>
      </w:tr>
      <w:tr w:rsidR="00C162D5" w:rsidRPr="00854FC2" w:rsidTr="00EF0FF6">
        <w:trPr>
          <w:trHeight w:val="360"/>
        </w:trPr>
        <w:tc>
          <w:tcPr>
            <w:tcW w:w="2654" w:type="dxa"/>
            <w:tcBorders>
              <w:top w:val="nil"/>
              <w:left w:val="double" w:sz="6" w:space="0" w:color="000000"/>
              <w:bottom w:val="nil"/>
              <w:right w:val="nil"/>
            </w:tcBorders>
            <w:tcMar>
              <w:top w:w="15" w:type="dxa"/>
              <w:left w:w="15" w:type="dxa"/>
              <w:bottom w:w="0" w:type="dxa"/>
              <w:right w:w="15" w:type="dxa"/>
            </w:tcMar>
            <w:vAlign w:val="center"/>
          </w:tcPr>
          <w:p w:rsidR="00C162D5" w:rsidRPr="00854FC2" w:rsidRDefault="00C162D5">
            <w:pPr>
              <w:pStyle w:val="FootnoteText"/>
              <w:rPr>
                <w:rFonts w:eastAsia="Arial Unicode MS" w:cs="Arial"/>
              </w:rPr>
            </w:pPr>
            <w:r w:rsidRPr="00854FC2">
              <w:rPr>
                <w:rFonts w:cs="Arial"/>
              </w:rPr>
              <w:t>Review the SPCC Plan</w:t>
            </w:r>
          </w:p>
        </w:tc>
        <w:tc>
          <w:tcPr>
            <w:tcW w:w="147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0.4</w:t>
            </w:r>
          </w:p>
        </w:tc>
        <w:tc>
          <w:tcPr>
            <w:tcW w:w="1478"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2.9</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0.4</w:t>
            </w:r>
          </w:p>
        </w:tc>
        <w:tc>
          <w:tcPr>
            <w:tcW w:w="1350"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3.6</w:t>
            </w:r>
          </w:p>
        </w:tc>
        <w:tc>
          <w:tcPr>
            <w:tcW w:w="1540"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59"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nil"/>
              <w:left w:val="nil"/>
              <w:bottom w:val="single" w:sz="4" w:space="0" w:color="auto"/>
              <w:right w:val="double" w:sz="6" w:space="0" w:color="000000"/>
            </w:tcBorders>
            <w:tcMar>
              <w:top w:w="15" w:type="dxa"/>
              <w:left w:w="15" w:type="dxa"/>
              <w:bottom w:w="0" w:type="dxa"/>
              <w:right w:w="72" w:type="dxa"/>
            </w:tcMar>
            <w:vAlign w:val="center"/>
          </w:tcPr>
          <w:p w:rsidR="00C162D5" w:rsidRDefault="00C162D5" w:rsidP="00BE2868">
            <w:pPr>
              <w:jc w:val="right"/>
              <w:rPr>
                <w:rFonts w:cs="Arial"/>
                <w:sz w:val="20"/>
                <w:szCs w:val="20"/>
              </w:rPr>
            </w:pPr>
            <w:r>
              <w:rPr>
                <w:rFonts w:cs="Arial"/>
                <w:sz w:val="20"/>
                <w:szCs w:val="20"/>
              </w:rPr>
              <w:t>$3</w:t>
            </w:r>
            <w:r w:rsidR="00BE2868">
              <w:rPr>
                <w:rFonts w:cs="Arial"/>
                <w:sz w:val="20"/>
                <w:szCs w:val="20"/>
              </w:rPr>
              <w:t>24</w:t>
            </w:r>
          </w:p>
        </w:tc>
      </w:tr>
      <w:tr w:rsidR="00C162D5" w:rsidRPr="00854FC2" w:rsidTr="00EF0FF6">
        <w:trPr>
          <w:trHeight w:val="915"/>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center"/>
          </w:tcPr>
          <w:p w:rsidR="00C162D5" w:rsidRPr="00854FC2" w:rsidRDefault="00C162D5">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47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8"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350"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540"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59"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nil"/>
              <w:left w:val="nil"/>
              <w:bottom w:val="single" w:sz="4" w:space="0" w:color="auto"/>
              <w:right w:val="double" w:sz="6" w:space="0" w:color="000000"/>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r>
      <w:tr w:rsidR="00C162D5" w:rsidRPr="00854FC2" w:rsidTr="00EF0FF6">
        <w:trPr>
          <w:trHeight w:val="540"/>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center"/>
          </w:tcPr>
          <w:p w:rsidR="00C162D5" w:rsidRPr="00854FC2" w:rsidRDefault="00C162D5">
            <w:pPr>
              <w:rPr>
                <w:rFonts w:eastAsia="Arial Unicode MS" w:cs="Arial"/>
                <w:sz w:val="20"/>
                <w:szCs w:val="20"/>
              </w:rPr>
            </w:pPr>
            <w:r w:rsidRPr="00854FC2">
              <w:rPr>
                <w:rFonts w:cs="Arial"/>
                <w:sz w:val="20"/>
                <w:szCs w:val="20"/>
              </w:rPr>
              <w:t>Revise the SPCC Plan</w:t>
            </w:r>
          </w:p>
        </w:tc>
        <w:tc>
          <w:tcPr>
            <w:tcW w:w="147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0.3</w:t>
            </w:r>
          </w:p>
        </w:tc>
        <w:tc>
          <w:tcPr>
            <w:tcW w:w="1478"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1.9</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0.2</w:t>
            </w:r>
          </w:p>
        </w:tc>
        <w:tc>
          <w:tcPr>
            <w:tcW w:w="1350"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2.4</w:t>
            </w:r>
          </w:p>
        </w:tc>
        <w:tc>
          <w:tcPr>
            <w:tcW w:w="1540"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571CD2">
            <w:pPr>
              <w:jc w:val="right"/>
              <w:rPr>
                <w:rFonts w:cs="Arial"/>
                <w:sz w:val="20"/>
                <w:szCs w:val="20"/>
              </w:rPr>
            </w:pPr>
            <w:r>
              <w:rPr>
                <w:rFonts w:cs="Arial"/>
                <w:sz w:val="20"/>
                <w:szCs w:val="20"/>
              </w:rPr>
              <w:t>$</w:t>
            </w:r>
            <w:r w:rsidR="00C162D5">
              <w:rPr>
                <w:rFonts w:cs="Arial"/>
                <w:sz w:val="20"/>
                <w:szCs w:val="20"/>
              </w:rPr>
              <w:t>0</w:t>
            </w:r>
          </w:p>
        </w:tc>
        <w:tc>
          <w:tcPr>
            <w:tcW w:w="959" w:type="dxa"/>
            <w:tcBorders>
              <w:top w:val="nil"/>
              <w:left w:val="nil"/>
              <w:bottom w:val="single" w:sz="4"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nil"/>
              <w:left w:val="nil"/>
              <w:bottom w:val="single" w:sz="4" w:space="0" w:color="auto"/>
              <w:right w:val="double" w:sz="6" w:space="0" w:color="000000"/>
            </w:tcBorders>
            <w:tcMar>
              <w:top w:w="15" w:type="dxa"/>
              <w:left w:w="15" w:type="dxa"/>
              <w:bottom w:w="0" w:type="dxa"/>
              <w:right w:w="72" w:type="dxa"/>
            </w:tcMar>
            <w:vAlign w:val="center"/>
          </w:tcPr>
          <w:p w:rsidR="00C162D5" w:rsidRDefault="00C162D5" w:rsidP="00BE2868">
            <w:pPr>
              <w:jc w:val="right"/>
              <w:rPr>
                <w:rFonts w:cs="Arial"/>
                <w:sz w:val="20"/>
                <w:szCs w:val="20"/>
              </w:rPr>
            </w:pPr>
            <w:r>
              <w:rPr>
                <w:rFonts w:cs="Arial"/>
                <w:sz w:val="20"/>
                <w:szCs w:val="20"/>
              </w:rPr>
              <w:t>$4</w:t>
            </w:r>
            <w:r w:rsidR="00BE2868">
              <w:rPr>
                <w:rFonts w:cs="Arial"/>
                <w:sz w:val="20"/>
                <w:szCs w:val="20"/>
              </w:rPr>
              <w:t>92</w:t>
            </w:r>
          </w:p>
        </w:tc>
      </w:tr>
      <w:tr w:rsidR="00C162D5" w:rsidRPr="00854FC2" w:rsidTr="00EF0FF6">
        <w:trPr>
          <w:trHeight w:val="570"/>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center"/>
          </w:tcPr>
          <w:p w:rsidR="00C162D5" w:rsidRPr="00854FC2" w:rsidRDefault="00C162D5">
            <w:pPr>
              <w:rPr>
                <w:rFonts w:eastAsia="Arial Unicode MS" w:cs="Arial"/>
                <w:sz w:val="20"/>
                <w:szCs w:val="20"/>
              </w:rPr>
            </w:pPr>
            <w:r w:rsidRPr="00854FC2">
              <w:rPr>
                <w:rFonts w:cs="Arial"/>
                <w:sz w:val="20"/>
                <w:szCs w:val="20"/>
              </w:rPr>
              <w:t>Maintain the SPCC Plan and Keep Records</w:t>
            </w:r>
          </w:p>
        </w:tc>
        <w:tc>
          <w:tcPr>
            <w:tcW w:w="1479"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8" w:type="dxa"/>
            <w:tcBorders>
              <w:top w:val="nil"/>
              <w:left w:val="nil"/>
              <w:bottom w:val="double" w:sz="6"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2.6</w:t>
            </w:r>
          </w:p>
        </w:tc>
        <w:tc>
          <w:tcPr>
            <w:tcW w:w="1477" w:type="dxa"/>
            <w:tcBorders>
              <w:top w:val="nil"/>
              <w:left w:val="nil"/>
              <w:bottom w:val="double" w:sz="6"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nil"/>
              <w:left w:val="nil"/>
              <w:bottom w:val="double" w:sz="6"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350" w:type="dxa"/>
            <w:tcBorders>
              <w:top w:val="nil"/>
              <w:left w:val="nil"/>
              <w:bottom w:val="double" w:sz="6"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2.6</w:t>
            </w:r>
          </w:p>
        </w:tc>
        <w:tc>
          <w:tcPr>
            <w:tcW w:w="1540" w:type="dxa"/>
            <w:tcBorders>
              <w:top w:val="nil"/>
              <w:left w:val="nil"/>
              <w:bottom w:val="double" w:sz="6"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59" w:type="dxa"/>
            <w:tcBorders>
              <w:top w:val="nil"/>
              <w:left w:val="nil"/>
              <w:bottom w:val="double" w:sz="6" w:space="0" w:color="auto"/>
              <w:right w:val="single" w:sz="4" w:space="0" w:color="auto"/>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nil"/>
              <w:left w:val="nil"/>
              <w:bottom w:val="double" w:sz="6" w:space="0" w:color="auto"/>
              <w:right w:val="double" w:sz="6" w:space="0" w:color="000000"/>
            </w:tcBorders>
            <w:tcMar>
              <w:top w:w="15" w:type="dxa"/>
              <w:left w:w="15" w:type="dxa"/>
              <w:bottom w:w="0" w:type="dxa"/>
              <w:right w:w="72" w:type="dxa"/>
            </w:tcMar>
            <w:vAlign w:val="center"/>
          </w:tcPr>
          <w:p w:rsidR="00C162D5" w:rsidRDefault="00C162D5" w:rsidP="00BE2868">
            <w:pPr>
              <w:jc w:val="right"/>
              <w:rPr>
                <w:rFonts w:cs="Arial"/>
                <w:sz w:val="20"/>
                <w:szCs w:val="20"/>
              </w:rPr>
            </w:pPr>
            <w:r>
              <w:rPr>
                <w:rFonts w:cs="Arial"/>
                <w:sz w:val="20"/>
                <w:szCs w:val="20"/>
              </w:rPr>
              <w:t>$1</w:t>
            </w:r>
            <w:r w:rsidR="00BE2868">
              <w:rPr>
                <w:rFonts w:cs="Arial"/>
                <w:sz w:val="20"/>
                <w:szCs w:val="20"/>
              </w:rPr>
              <w:t>5</w:t>
            </w:r>
            <w:r>
              <w:rPr>
                <w:rFonts w:cs="Arial"/>
                <w:sz w:val="20"/>
                <w:szCs w:val="20"/>
              </w:rPr>
              <w:t>4</w:t>
            </w:r>
          </w:p>
        </w:tc>
      </w:tr>
      <w:tr w:rsidR="00C162D5" w:rsidRPr="00854FC2" w:rsidTr="00EF0FF6">
        <w:trPr>
          <w:trHeight w:val="285"/>
        </w:trPr>
        <w:tc>
          <w:tcPr>
            <w:tcW w:w="2654"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bottom"/>
          </w:tcPr>
          <w:p w:rsidR="00C162D5" w:rsidRPr="00854FC2" w:rsidRDefault="00C162D5">
            <w:pPr>
              <w:rPr>
                <w:rFonts w:eastAsia="Arial Unicode MS" w:cs="Arial"/>
                <w:b/>
                <w:bCs/>
                <w:sz w:val="20"/>
                <w:szCs w:val="20"/>
              </w:rPr>
            </w:pPr>
            <w:r w:rsidRPr="00854FC2">
              <w:rPr>
                <w:rFonts w:cs="Arial"/>
                <w:b/>
                <w:bCs/>
                <w:sz w:val="20"/>
                <w:szCs w:val="20"/>
              </w:rPr>
              <w:t>TOTAL</w:t>
            </w:r>
          </w:p>
        </w:tc>
        <w:tc>
          <w:tcPr>
            <w:tcW w:w="1479"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0.7</w:t>
            </w:r>
          </w:p>
        </w:tc>
        <w:tc>
          <w:tcPr>
            <w:tcW w:w="1478" w:type="dxa"/>
            <w:tcBorders>
              <w:top w:val="nil"/>
              <w:left w:val="single" w:sz="4" w:space="0" w:color="000000"/>
              <w:bottom w:val="double" w:sz="6" w:space="0" w:color="auto"/>
              <w:right w:val="nil"/>
            </w:tcBorders>
            <w:tcMar>
              <w:top w:w="0"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7.4</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0.0</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0.6</w:t>
            </w:r>
          </w:p>
        </w:tc>
        <w:tc>
          <w:tcPr>
            <w:tcW w:w="1350"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8.7</w:t>
            </w:r>
          </w:p>
        </w:tc>
        <w:tc>
          <w:tcPr>
            <w:tcW w:w="1540"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w:t>
            </w:r>
          </w:p>
        </w:tc>
        <w:tc>
          <w:tcPr>
            <w:tcW w:w="959"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w:t>
            </w:r>
          </w:p>
        </w:tc>
        <w:tc>
          <w:tcPr>
            <w:tcW w:w="977" w:type="dxa"/>
            <w:tcBorders>
              <w:top w:val="nil"/>
              <w:left w:val="nil"/>
              <w:bottom w:val="double" w:sz="6" w:space="0" w:color="auto"/>
              <w:right w:val="double" w:sz="6" w:space="0" w:color="000000"/>
            </w:tcBorders>
            <w:tcMar>
              <w:top w:w="15" w:type="dxa"/>
              <w:left w:w="15" w:type="dxa"/>
              <w:bottom w:w="0" w:type="dxa"/>
              <w:right w:w="72" w:type="dxa"/>
            </w:tcMar>
            <w:vAlign w:val="center"/>
          </w:tcPr>
          <w:p w:rsidR="00C162D5" w:rsidRDefault="00C162D5" w:rsidP="00BE2868">
            <w:pPr>
              <w:jc w:val="right"/>
              <w:rPr>
                <w:rFonts w:cs="Arial"/>
                <w:b/>
                <w:bCs/>
                <w:sz w:val="20"/>
                <w:szCs w:val="20"/>
              </w:rPr>
            </w:pPr>
            <w:r>
              <w:rPr>
                <w:rFonts w:cs="Arial"/>
                <w:b/>
                <w:bCs/>
                <w:sz w:val="20"/>
                <w:szCs w:val="20"/>
              </w:rPr>
              <w:t>$9</w:t>
            </w:r>
            <w:r w:rsidR="00BE2868">
              <w:rPr>
                <w:rFonts w:cs="Arial"/>
                <w:b/>
                <w:bCs/>
                <w:sz w:val="20"/>
                <w:szCs w:val="20"/>
              </w:rPr>
              <w:t>70</w:t>
            </w:r>
          </w:p>
        </w:tc>
      </w:tr>
      <w:tr w:rsidR="00D85665" w:rsidRPr="00854FC2" w:rsidTr="00EF0FF6">
        <w:trPr>
          <w:trHeight w:val="270"/>
        </w:trPr>
        <w:tc>
          <w:tcPr>
            <w:tcW w:w="1339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New Facilities</w:t>
            </w:r>
            <w:r w:rsidR="007F7390" w:rsidRPr="00854FC2">
              <w:rPr>
                <w:rFonts w:cs="Arial"/>
                <w:sz w:val="20"/>
                <w:szCs w:val="20"/>
                <w:vertAlign w:val="superscript"/>
              </w:rPr>
              <w:t>3</w:t>
            </w:r>
          </w:p>
        </w:tc>
      </w:tr>
      <w:tr w:rsidR="00C162D5" w:rsidRPr="00854FC2" w:rsidTr="00EF0FF6">
        <w:trPr>
          <w:trHeight w:val="255"/>
        </w:trPr>
        <w:tc>
          <w:tcPr>
            <w:tcW w:w="2654" w:type="dxa"/>
            <w:tcBorders>
              <w:top w:val="nil"/>
              <w:left w:val="double" w:sz="6" w:space="0" w:color="000000"/>
              <w:bottom w:val="nil"/>
              <w:right w:val="nil"/>
            </w:tcBorders>
            <w:vAlign w:val="bottom"/>
          </w:tcPr>
          <w:p w:rsidR="00C162D5" w:rsidRPr="00854FC2" w:rsidRDefault="00C162D5">
            <w:pPr>
              <w:rPr>
                <w:rFonts w:eastAsia="Arial Unicode MS" w:cs="Arial"/>
                <w:sz w:val="20"/>
                <w:szCs w:val="20"/>
              </w:rPr>
            </w:pPr>
            <w:r w:rsidRPr="00854FC2">
              <w:rPr>
                <w:rFonts w:cs="Arial"/>
                <w:sz w:val="20"/>
                <w:szCs w:val="20"/>
              </w:rPr>
              <w:t>Prepare an SPCC Plan</w:t>
            </w:r>
          </w:p>
        </w:tc>
        <w:tc>
          <w:tcPr>
            <w:tcW w:w="1479" w:type="dxa"/>
            <w:tcBorders>
              <w:top w:val="nil"/>
              <w:left w:val="single" w:sz="4" w:space="0" w:color="000000"/>
              <w:bottom w:val="nil"/>
              <w:right w:val="nil"/>
            </w:tcBorders>
            <w:tcMar>
              <w:top w:w="0" w:type="dxa"/>
              <w:left w:w="15" w:type="dxa"/>
              <w:bottom w:w="0" w:type="dxa"/>
              <w:right w:w="72" w:type="dxa"/>
            </w:tcMar>
            <w:vAlign w:val="center"/>
          </w:tcPr>
          <w:p w:rsidR="00C162D5" w:rsidRDefault="00C162D5">
            <w:pPr>
              <w:jc w:val="right"/>
              <w:rPr>
                <w:rFonts w:cs="Arial"/>
                <w:sz w:val="20"/>
                <w:szCs w:val="20"/>
              </w:rPr>
            </w:pPr>
            <w:r>
              <w:rPr>
                <w:rFonts w:cs="Arial"/>
                <w:sz w:val="20"/>
                <w:szCs w:val="20"/>
              </w:rPr>
              <w:t>1.8</w:t>
            </w:r>
          </w:p>
        </w:tc>
        <w:tc>
          <w:tcPr>
            <w:tcW w:w="1478" w:type="dxa"/>
            <w:tcBorders>
              <w:top w:val="nil"/>
              <w:left w:val="single" w:sz="4" w:space="0" w:color="000000"/>
              <w:bottom w:val="nil"/>
              <w:right w:val="nil"/>
            </w:tcBorders>
            <w:tcMar>
              <w:right w:w="72" w:type="dxa"/>
            </w:tcMar>
            <w:vAlign w:val="center"/>
          </w:tcPr>
          <w:p w:rsidR="00C162D5" w:rsidRDefault="00C162D5">
            <w:pPr>
              <w:jc w:val="right"/>
              <w:rPr>
                <w:rFonts w:cs="Arial"/>
                <w:sz w:val="20"/>
                <w:szCs w:val="20"/>
              </w:rPr>
            </w:pPr>
            <w:r>
              <w:rPr>
                <w:rFonts w:cs="Arial"/>
                <w:sz w:val="20"/>
                <w:szCs w:val="20"/>
              </w:rPr>
              <w:t>27.4</w:t>
            </w:r>
          </w:p>
        </w:tc>
        <w:tc>
          <w:tcPr>
            <w:tcW w:w="1477" w:type="dxa"/>
            <w:tcBorders>
              <w:top w:val="nil"/>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10.1</w:t>
            </w:r>
          </w:p>
        </w:tc>
        <w:tc>
          <w:tcPr>
            <w:tcW w:w="1477" w:type="dxa"/>
            <w:tcBorders>
              <w:top w:val="nil"/>
              <w:left w:val="single" w:sz="4" w:space="0" w:color="000000"/>
              <w:bottom w:val="nil"/>
              <w:right w:val="nil"/>
            </w:tcBorders>
            <w:tcMar>
              <w:top w:w="0" w:type="dxa"/>
              <w:left w:w="15" w:type="dxa"/>
              <w:bottom w:w="0" w:type="dxa"/>
              <w:right w:w="72" w:type="dxa"/>
            </w:tcMar>
            <w:vAlign w:val="center"/>
          </w:tcPr>
          <w:p w:rsidR="00C162D5" w:rsidRDefault="00C162D5">
            <w:pPr>
              <w:jc w:val="right"/>
              <w:rPr>
                <w:rFonts w:cs="Arial"/>
                <w:sz w:val="20"/>
                <w:szCs w:val="20"/>
              </w:rPr>
            </w:pPr>
            <w:r>
              <w:rPr>
                <w:rFonts w:cs="Arial"/>
                <w:sz w:val="20"/>
                <w:szCs w:val="20"/>
              </w:rPr>
              <w:t>3.7</w:t>
            </w:r>
          </w:p>
        </w:tc>
        <w:tc>
          <w:tcPr>
            <w:tcW w:w="1350" w:type="dxa"/>
            <w:tcBorders>
              <w:top w:val="nil"/>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43.0</w:t>
            </w:r>
          </w:p>
        </w:tc>
        <w:tc>
          <w:tcPr>
            <w:tcW w:w="1540" w:type="dxa"/>
            <w:tcBorders>
              <w:top w:val="nil"/>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59" w:type="dxa"/>
            <w:tcBorders>
              <w:top w:val="nil"/>
              <w:left w:val="single" w:sz="4" w:space="0" w:color="000000"/>
              <w:bottom w:val="nil"/>
              <w:right w:val="nil"/>
            </w:tcBorders>
            <w:tcMar>
              <w:top w:w="0"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nil"/>
              <w:left w:val="single" w:sz="4" w:space="0" w:color="000000"/>
              <w:bottom w:val="nil"/>
              <w:right w:val="double" w:sz="6" w:space="0" w:color="000000"/>
            </w:tcBorders>
            <w:tcMar>
              <w:top w:w="15" w:type="dxa"/>
              <w:left w:w="15" w:type="dxa"/>
              <w:bottom w:w="0" w:type="dxa"/>
              <w:right w:w="72" w:type="dxa"/>
            </w:tcMar>
            <w:vAlign w:val="center"/>
          </w:tcPr>
          <w:p w:rsidR="00C162D5" w:rsidRDefault="00C162D5" w:rsidP="009E12E5">
            <w:pPr>
              <w:jc w:val="right"/>
              <w:rPr>
                <w:rFonts w:cs="Arial"/>
                <w:sz w:val="20"/>
                <w:szCs w:val="20"/>
              </w:rPr>
            </w:pPr>
            <w:r>
              <w:rPr>
                <w:rFonts w:cs="Arial"/>
                <w:sz w:val="20"/>
                <w:szCs w:val="20"/>
              </w:rPr>
              <w:t>$3,</w:t>
            </w:r>
            <w:r w:rsidR="009E12E5">
              <w:rPr>
                <w:rFonts w:cs="Arial"/>
                <w:sz w:val="20"/>
                <w:szCs w:val="20"/>
              </w:rPr>
              <w:t>642</w:t>
            </w:r>
          </w:p>
        </w:tc>
      </w:tr>
      <w:tr w:rsidR="00C162D5" w:rsidRPr="00854FC2" w:rsidTr="00EF0FF6">
        <w:trPr>
          <w:trHeight w:val="255"/>
        </w:trPr>
        <w:tc>
          <w:tcPr>
            <w:tcW w:w="2654" w:type="dxa"/>
            <w:tcBorders>
              <w:top w:val="single" w:sz="4" w:space="0" w:color="000000"/>
              <w:left w:val="double" w:sz="6" w:space="0" w:color="000000"/>
              <w:bottom w:val="nil"/>
              <w:right w:val="nil"/>
            </w:tcBorders>
            <w:tcMar>
              <w:top w:w="15" w:type="dxa"/>
              <w:left w:w="15" w:type="dxa"/>
              <w:bottom w:w="0" w:type="dxa"/>
              <w:right w:w="15" w:type="dxa"/>
            </w:tcMar>
            <w:vAlign w:val="bottom"/>
          </w:tcPr>
          <w:p w:rsidR="00C162D5" w:rsidRPr="00854FC2" w:rsidRDefault="00C162D5">
            <w:pPr>
              <w:rPr>
                <w:rFonts w:eastAsia="Arial Unicode MS" w:cs="Arial"/>
                <w:sz w:val="20"/>
                <w:szCs w:val="20"/>
              </w:rPr>
            </w:pPr>
            <w:r w:rsidRPr="00854FC2">
              <w:rPr>
                <w:rFonts w:cs="Arial"/>
                <w:sz w:val="20"/>
                <w:szCs w:val="20"/>
              </w:rPr>
              <w:t>Prepare a Contingency Plan</w:t>
            </w:r>
          </w:p>
        </w:tc>
        <w:tc>
          <w:tcPr>
            <w:tcW w:w="147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0.7</w:t>
            </w:r>
          </w:p>
        </w:tc>
        <w:tc>
          <w:tcPr>
            <w:tcW w:w="147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3.5</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1.0</w:t>
            </w:r>
          </w:p>
        </w:tc>
        <w:tc>
          <w:tcPr>
            <w:tcW w:w="135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5.1</w:t>
            </w:r>
          </w:p>
        </w:tc>
        <w:tc>
          <w:tcPr>
            <w:tcW w:w="15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571CD2">
            <w:pPr>
              <w:jc w:val="right"/>
              <w:rPr>
                <w:rFonts w:cs="Arial"/>
                <w:sz w:val="20"/>
                <w:szCs w:val="20"/>
              </w:rPr>
            </w:pPr>
            <w:r>
              <w:rPr>
                <w:rFonts w:cs="Arial"/>
                <w:sz w:val="20"/>
                <w:szCs w:val="20"/>
              </w:rPr>
              <w:t>$</w:t>
            </w:r>
            <w:r w:rsidR="00C162D5">
              <w:rPr>
                <w:rFonts w:cs="Arial"/>
                <w:sz w:val="20"/>
                <w:szCs w:val="20"/>
              </w:rPr>
              <w:t>0</w:t>
            </w:r>
          </w:p>
        </w:tc>
        <w:tc>
          <w:tcPr>
            <w:tcW w:w="9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571CD2">
            <w:pPr>
              <w:jc w:val="right"/>
              <w:rPr>
                <w:rFonts w:cs="Arial"/>
                <w:sz w:val="20"/>
                <w:szCs w:val="20"/>
              </w:rPr>
            </w:pPr>
            <w:r>
              <w:rPr>
                <w:rFonts w:cs="Arial"/>
                <w:sz w:val="20"/>
                <w:szCs w:val="20"/>
              </w:rPr>
              <w:t>$</w:t>
            </w:r>
            <w:r w:rsidR="00C162D5">
              <w:rPr>
                <w:rFonts w:cs="Arial"/>
                <w:sz w:val="20"/>
                <w:szCs w:val="20"/>
              </w:rPr>
              <w:t>0</w:t>
            </w:r>
          </w:p>
        </w:tc>
        <w:tc>
          <w:tcPr>
            <w:tcW w:w="977"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C162D5" w:rsidRDefault="00571CD2" w:rsidP="009E12E5">
            <w:pPr>
              <w:jc w:val="right"/>
              <w:rPr>
                <w:rFonts w:cs="Arial"/>
                <w:sz w:val="20"/>
                <w:szCs w:val="20"/>
              </w:rPr>
            </w:pPr>
            <w:r>
              <w:rPr>
                <w:rFonts w:cs="Arial"/>
                <w:sz w:val="20"/>
                <w:szCs w:val="20"/>
              </w:rPr>
              <w:t>$</w:t>
            </w:r>
            <w:r w:rsidR="00C162D5">
              <w:rPr>
                <w:rFonts w:cs="Arial"/>
                <w:sz w:val="20"/>
                <w:szCs w:val="20"/>
              </w:rPr>
              <w:t>2</w:t>
            </w:r>
            <w:r w:rsidR="009E12E5">
              <w:rPr>
                <w:rFonts w:cs="Arial"/>
                <w:sz w:val="20"/>
                <w:szCs w:val="20"/>
              </w:rPr>
              <w:t>34</w:t>
            </w:r>
          </w:p>
        </w:tc>
      </w:tr>
      <w:tr w:rsidR="00C162D5" w:rsidRPr="00854FC2" w:rsidTr="00EF0FF6">
        <w:trPr>
          <w:trHeight w:val="795"/>
        </w:trPr>
        <w:tc>
          <w:tcPr>
            <w:tcW w:w="2654"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bottom"/>
          </w:tcPr>
          <w:p w:rsidR="00C162D5" w:rsidRPr="00854FC2" w:rsidRDefault="00C162D5">
            <w:pPr>
              <w:rPr>
                <w:rFonts w:eastAsia="Arial Unicode MS" w:cs="Arial"/>
                <w:sz w:val="20"/>
                <w:szCs w:val="20"/>
              </w:rPr>
            </w:pPr>
            <w:r w:rsidRPr="00854FC2">
              <w:rPr>
                <w:rFonts w:cs="Arial"/>
                <w:sz w:val="20"/>
                <w:szCs w:val="20"/>
              </w:rPr>
              <w:t xml:space="preserve">Submit Information in the Event of Certain Discharges of </w:t>
            </w:r>
            <w:r w:rsidR="007F7390" w:rsidRPr="00854FC2">
              <w:rPr>
                <w:rFonts w:cs="Arial"/>
                <w:sz w:val="20"/>
                <w:szCs w:val="20"/>
              </w:rPr>
              <w:t>Oil</w:t>
            </w:r>
            <w:r w:rsidR="007F7390">
              <w:rPr>
                <w:rFonts w:cs="Arial"/>
                <w:sz w:val="20"/>
                <w:szCs w:val="20"/>
                <w:vertAlign w:val="superscript"/>
              </w:rPr>
              <w:t>4</w:t>
            </w:r>
          </w:p>
        </w:tc>
        <w:tc>
          <w:tcPr>
            <w:tcW w:w="147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35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5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r>
      <w:tr w:rsidR="00C162D5" w:rsidRPr="00854FC2" w:rsidTr="00EF0FF6">
        <w:trPr>
          <w:trHeight w:val="255"/>
        </w:trPr>
        <w:tc>
          <w:tcPr>
            <w:tcW w:w="2654" w:type="dxa"/>
            <w:tcBorders>
              <w:top w:val="nil"/>
              <w:left w:val="double" w:sz="6" w:space="0" w:color="000000"/>
              <w:bottom w:val="single" w:sz="4" w:space="0" w:color="000000"/>
              <w:right w:val="nil"/>
            </w:tcBorders>
            <w:tcMar>
              <w:top w:w="15" w:type="dxa"/>
              <w:left w:w="15" w:type="dxa"/>
              <w:bottom w:w="0" w:type="dxa"/>
              <w:right w:w="15" w:type="dxa"/>
            </w:tcMar>
            <w:vAlign w:val="bottom"/>
          </w:tcPr>
          <w:p w:rsidR="00C162D5" w:rsidRPr="00854FC2" w:rsidRDefault="00C162D5">
            <w:pPr>
              <w:rPr>
                <w:rFonts w:eastAsia="Arial Unicode MS" w:cs="Arial"/>
                <w:sz w:val="20"/>
                <w:szCs w:val="20"/>
              </w:rPr>
            </w:pPr>
            <w:r w:rsidRPr="00854FC2">
              <w:rPr>
                <w:rFonts w:cs="Arial"/>
                <w:sz w:val="20"/>
                <w:szCs w:val="20"/>
              </w:rPr>
              <w:t>Revise the SPCC Plan</w:t>
            </w:r>
          </w:p>
        </w:tc>
        <w:tc>
          <w:tcPr>
            <w:tcW w:w="147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35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5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$6</w:t>
            </w:r>
          </w:p>
        </w:tc>
      </w:tr>
      <w:tr w:rsidR="00C162D5" w:rsidRPr="00854FC2" w:rsidTr="00EF0FF6">
        <w:trPr>
          <w:trHeight w:val="525"/>
        </w:trPr>
        <w:tc>
          <w:tcPr>
            <w:tcW w:w="2654" w:type="dxa"/>
            <w:tcBorders>
              <w:top w:val="nil"/>
              <w:left w:val="double" w:sz="6" w:space="0" w:color="000000"/>
              <w:bottom w:val="double" w:sz="6" w:space="0" w:color="000000"/>
              <w:right w:val="nil"/>
            </w:tcBorders>
            <w:tcMar>
              <w:top w:w="15" w:type="dxa"/>
              <w:left w:w="15" w:type="dxa"/>
              <w:bottom w:w="0" w:type="dxa"/>
              <w:right w:w="15" w:type="dxa"/>
            </w:tcMar>
            <w:vAlign w:val="bottom"/>
          </w:tcPr>
          <w:p w:rsidR="00C162D5" w:rsidRPr="00854FC2" w:rsidRDefault="00C162D5">
            <w:pPr>
              <w:rPr>
                <w:rFonts w:eastAsia="Arial Unicode MS" w:cs="Arial"/>
                <w:sz w:val="20"/>
                <w:szCs w:val="20"/>
              </w:rPr>
            </w:pPr>
            <w:r w:rsidRPr="00854FC2">
              <w:rPr>
                <w:rFonts w:cs="Arial"/>
                <w:sz w:val="20"/>
                <w:szCs w:val="20"/>
              </w:rPr>
              <w:t>Maintain the SPCC Plan and Keep Records</w:t>
            </w:r>
          </w:p>
        </w:tc>
        <w:tc>
          <w:tcPr>
            <w:tcW w:w="147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8"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3.8</w:t>
            </w:r>
          </w:p>
        </w:tc>
        <w:tc>
          <w:tcPr>
            <w:tcW w:w="14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4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0.0</w:t>
            </w:r>
          </w:p>
        </w:tc>
        <w:tc>
          <w:tcPr>
            <w:tcW w:w="135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3.8</w:t>
            </w:r>
          </w:p>
        </w:tc>
        <w:tc>
          <w:tcPr>
            <w:tcW w:w="154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$100</w:t>
            </w:r>
          </w:p>
        </w:tc>
        <w:tc>
          <w:tcPr>
            <w:tcW w:w="95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C162D5" w:rsidRDefault="00C162D5" w:rsidP="009E12E5">
            <w:pPr>
              <w:jc w:val="right"/>
              <w:rPr>
                <w:rFonts w:cs="Arial"/>
                <w:sz w:val="20"/>
                <w:szCs w:val="20"/>
              </w:rPr>
            </w:pPr>
            <w:r>
              <w:rPr>
                <w:rFonts w:cs="Arial"/>
                <w:sz w:val="20"/>
                <w:szCs w:val="20"/>
              </w:rPr>
              <w:t>$5</w:t>
            </w:r>
            <w:r w:rsidR="009E12E5">
              <w:rPr>
                <w:rFonts w:cs="Arial"/>
                <w:sz w:val="20"/>
                <w:szCs w:val="20"/>
              </w:rPr>
              <w:t>28</w:t>
            </w:r>
          </w:p>
        </w:tc>
      </w:tr>
      <w:tr w:rsidR="00C162D5" w:rsidRPr="00854FC2" w:rsidTr="00EF0FF6">
        <w:trPr>
          <w:trHeight w:val="285"/>
        </w:trPr>
        <w:tc>
          <w:tcPr>
            <w:tcW w:w="2654" w:type="dxa"/>
            <w:tcBorders>
              <w:top w:val="nil"/>
              <w:left w:val="double" w:sz="6" w:space="0" w:color="000000"/>
              <w:bottom w:val="double" w:sz="6" w:space="0" w:color="auto"/>
              <w:right w:val="nil"/>
            </w:tcBorders>
            <w:tcMar>
              <w:top w:w="15" w:type="dxa"/>
              <w:left w:w="15" w:type="dxa"/>
              <w:bottom w:w="0" w:type="dxa"/>
              <w:right w:w="15" w:type="dxa"/>
            </w:tcMar>
            <w:vAlign w:val="bottom"/>
          </w:tcPr>
          <w:p w:rsidR="00C162D5" w:rsidRPr="00854FC2" w:rsidRDefault="00C162D5">
            <w:pPr>
              <w:rPr>
                <w:rFonts w:eastAsia="Arial Unicode MS" w:cs="Arial"/>
                <w:b/>
                <w:bCs/>
                <w:sz w:val="20"/>
                <w:szCs w:val="20"/>
              </w:rPr>
            </w:pPr>
            <w:r w:rsidRPr="00854FC2">
              <w:rPr>
                <w:rFonts w:cs="Arial"/>
                <w:b/>
                <w:bCs/>
                <w:sz w:val="20"/>
                <w:szCs w:val="20"/>
              </w:rPr>
              <w:t>TOTAL</w:t>
            </w:r>
          </w:p>
        </w:tc>
        <w:tc>
          <w:tcPr>
            <w:tcW w:w="1479"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2.5</w:t>
            </w:r>
          </w:p>
        </w:tc>
        <w:tc>
          <w:tcPr>
            <w:tcW w:w="1478"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34.6</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10.1</w:t>
            </w:r>
          </w:p>
        </w:tc>
        <w:tc>
          <w:tcPr>
            <w:tcW w:w="1477"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4.6</w:t>
            </w:r>
          </w:p>
        </w:tc>
        <w:tc>
          <w:tcPr>
            <w:tcW w:w="1350"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51.9</w:t>
            </w:r>
          </w:p>
        </w:tc>
        <w:tc>
          <w:tcPr>
            <w:tcW w:w="1540"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$100</w:t>
            </w:r>
          </w:p>
        </w:tc>
        <w:tc>
          <w:tcPr>
            <w:tcW w:w="959" w:type="dxa"/>
            <w:tcBorders>
              <w:top w:val="nil"/>
              <w:left w:val="single" w:sz="4" w:space="0" w:color="000000"/>
              <w:bottom w:val="double" w:sz="6" w:space="0" w:color="auto"/>
              <w:right w:val="nil"/>
            </w:tcBorders>
            <w:tcMar>
              <w:top w:w="15" w:type="dxa"/>
              <w:left w:w="15" w:type="dxa"/>
              <w:bottom w:w="0" w:type="dxa"/>
              <w:right w:w="72" w:type="dxa"/>
            </w:tcMar>
            <w:vAlign w:val="center"/>
          </w:tcPr>
          <w:p w:rsidR="00C162D5" w:rsidRDefault="00C162D5">
            <w:pPr>
              <w:jc w:val="right"/>
              <w:rPr>
                <w:rFonts w:cs="Arial"/>
                <w:b/>
                <w:bCs/>
                <w:sz w:val="20"/>
                <w:szCs w:val="20"/>
              </w:rPr>
            </w:pPr>
            <w:r>
              <w:rPr>
                <w:rFonts w:cs="Arial"/>
                <w:b/>
                <w:bCs/>
                <w:sz w:val="20"/>
                <w:szCs w:val="20"/>
              </w:rPr>
              <w:t>$0</w:t>
            </w:r>
          </w:p>
        </w:tc>
        <w:tc>
          <w:tcPr>
            <w:tcW w:w="977"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C162D5" w:rsidRDefault="00C162D5" w:rsidP="00DA5A73">
            <w:pPr>
              <w:jc w:val="right"/>
              <w:rPr>
                <w:rFonts w:cs="Arial"/>
                <w:b/>
                <w:bCs/>
                <w:sz w:val="20"/>
                <w:szCs w:val="20"/>
              </w:rPr>
            </w:pPr>
            <w:r>
              <w:rPr>
                <w:rFonts w:cs="Arial"/>
                <w:b/>
                <w:bCs/>
                <w:sz w:val="20"/>
                <w:szCs w:val="20"/>
              </w:rPr>
              <w:t>$4,</w:t>
            </w:r>
            <w:r w:rsidR="00DA5A73">
              <w:rPr>
                <w:rFonts w:cs="Arial"/>
                <w:b/>
                <w:bCs/>
                <w:sz w:val="20"/>
                <w:szCs w:val="20"/>
              </w:rPr>
              <w:t>410</w:t>
            </w:r>
          </w:p>
        </w:tc>
      </w:tr>
      <w:tr w:rsidR="00D85665" w:rsidRPr="00854FC2" w:rsidTr="00EF0FF6">
        <w:trPr>
          <w:cantSplit/>
          <w:trHeight w:val="228"/>
        </w:trPr>
        <w:tc>
          <w:tcPr>
            <w:tcW w:w="13391"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  The numbers in this exhibit may not add precisely due to rounding. </w:t>
            </w:r>
          </w:p>
        </w:tc>
      </w:tr>
      <w:tr w:rsidR="00D85665" w:rsidRPr="00854FC2" w:rsidTr="00EF0FF6">
        <w:trPr>
          <w:cantSplit/>
          <w:trHeight w:val="255"/>
        </w:trPr>
        <w:tc>
          <w:tcPr>
            <w:tcW w:w="13391" w:type="dxa"/>
            <w:gridSpan w:val="9"/>
            <w:vMerge/>
            <w:tcBorders>
              <w:top w:val="double" w:sz="6" w:space="0" w:color="auto"/>
              <w:left w:val="nil"/>
              <w:bottom w:val="nil"/>
              <w:right w:val="nil"/>
            </w:tcBorders>
            <w:vAlign w:val="center"/>
          </w:tcPr>
          <w:p w:rsidR="00D85665" w:rsidRPr="00854FC2" w:rsidRDefault="00D85665">
            <w:pPr>
              <w:rPr>
                <w:rFonts w:eastAsia="Arial Unicode MS" w:cs="Arial"/>
                <w:sz w:val="18"/>
                <w:szCs w:val="18"/>
              </w:rPr>
            </w:pPr>
          </w:p>
        </w:tc>
      </w:tr>
      <w:tr w:rsidR="00D85665" w:rsidRPr="00854FC2" w:rsidTr="00EF0FF6">
        <w:trPr>
          <w:trHeight w:val="270"/>
        </w:trPr>
        <w:tc>
          <w:tcPr>
            <w:tcW w:w="13391" w:type="dxa"/>
            <w:gridSpan w:val="9"/>
            <w:tcBorders>
              <w:top w:val="nil"/>
              <w:left w:val="nil"/>
              <w:bottom w:val="nil"/>
              <w:right w:val="nil"/>
            </w:tcBorders>
            <w:noWrap/>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rsidTr="00EF0FF6">
        <w:trPr>
          <w:cantSplit/>
          <w:trHeight w:val="540"/>
        </w:trPr>
        <w:tc>
          <w:tcPr>
            <w:tcW w:w="13391" w:type="dxa"/>
            <w:gridSpan w:val="9"/>
            <w:vMerge w:val="restart"/>
            <w:tcBorders>
              <w:top w:val="nil"/>
              <w:left w:val="nil"/>
              <w:bottom w:val="nil"/>
              <w:right w:val="nil"/>
            </w:tcBorders>
            <w:tcMar>
              <w:top w:w="0" w:type="dxa"/>
              <w:left w:w="15" w:type="dxa"/>
              <w:bottom w:w="0" w:type="dxa"/>
              <w:right w:w="15" w:type="dxa"/>
            </w:tcMar>
            <w:vAlign w:val="bottom"/>
          </w:tcPr>
          <w:p w:rsidR="00693F70" w:rsidRDefault="00693F70" w:rsidP="00693F70">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Pr="009A488D">
              <w:rPr>
                <w:rFonts w:cs="Arial"/>
                <w:color w:val="000000"/>
                <w:sz w:val="18"/>
                <w:szCs w:val="18"/>
              </w:rPr>
              <w:t xml:space="preserve">New </w:t>
            </w:r>
            <w:r w:rsidR="008913F7">
              <w:rPr>
                <w:rFonts w:cs="Arial"/>
                <w:color w:val="000000"/>
                <w:sz w:val="18"/>
                <w:szCs w:val="18"/>
              </w:rPr>
              <w:t xml:space="preserve"> </w:t>
            </w:r>
            <w:r w:rsidRPr="009A488D">
              <w:rPr>
                <w:rFonts w:cs="Arial"/>
                <w:color w:val="000000"/>
                <w:sz w:val="18"/>
                <w:szCs w:val="18"/>
              </w:rPr>
              <w:t xml:space="preserve">facilities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rsidR="00D85665" w:rsidRPr="00854FC2" w:rsidRDefault="00293C33">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w:t>
            </w:r>
            <w:r w:rsidR="00D85665" w:rsidRPr="004A5956">
              <w:rPr>
                <w:rFonts w:cs="Arial"/>
                <w:sz w:val="18"/>
                <w:szCs w:val="18"/>
              </w:rPr>
              <w:t>cost of $</w:t>
            </w:r>
            <w:r w:rsidR="00840E5C">
              <w:rPr>
                <w:rFonts w:cs="Arial"/>
                <w:sz w:val="18"/>
                <w:szCs w:val="18"/>
              </w:rPr>
              <w:t>139</w:t>
            </w:r>
            <w:r w:rsidR="00D85665" w:rsidRPr="004A5956">
              <w:rPr>
                <w:rFonts w:cs="Arial"/>
                <w:sz w:val="18"/>
                <w:szCs w:val="18"/>
              </w:rPr>
              <w:t>.</w:t>
            </w:r>
            <w:r w:rsidR="00D85665" w:rsidRPr="00854FC2">
              <w:rPr>
                <w:rFonts w:cs="Arial"/>
                <w:sz w:val="18"/>
                <w:szCs w:val="18"/>
              </w:rPr>
              <w:t xml:space="preserve">  Because only 0.15 percent of all facilities are expected to meet the discharge criteria and submit information, the average unit burden is less than 0.1 hours, and is therefore indicated here as 0.  However, the actual unit burden and cost estimates are used in later calculations.</w:t>
            </w:r>
          </w:p>
        </w:tc>
      </w:tr>
      <w:tr w:rsidR="00D85665" w:rsidRPr="00854FC2" w:rsidTr="00EF0FF6">
        <w:trPr>
          <w:cantSplit/>
          <w:trHeight w:val="255"/>
        </w:trPr>
        <w:tc>
          <w:tcPr>
            <w:tcW w:w="13391" w:type="dxa"/>
            <w:gridSpan w:val="9"/>
            <w:vMerge/>
            <w:tcBorders>
              <w:top w:val="nil"/>
              <w:left w:val="nil"/>
              <w:bottom w:val="nil"/>
              <w:right w:val="nil"/>
            </w:tcBorders>
            <w:vAlign w:val="center"/>
          </w:tcPr>
          <w:p w:rsidR="00D85665" w:rsidRPr="00854FC2" w:rsidRDefault="00D85665">
            <w:pPr>
              <w:rPr>
                <w:rFonts w:eastAsia="Arial Unicode MS" w:cs="Arial"/>
                <w:sz w:val="18"/>
                <w:szCs w:val="18"/>
              </w:rPr>
            </w:pPr>
          </w:p>
        </w:tc>
      </w:tr>
    </w:tbl>
    <w:p w:rsidR="00D85665" w:rsidRPr="00854FC2" w:rsidRDefault="00D85665" w:rsidP="00A15DF0">
      <w:pPr>
        <w:pStyle w:val="Caption"/>
        <w:keepNext/>
        <w:spacing w:before="0" w:after="0"/>
        <w:outlineLvl w:val="0"/>
      </w:pPr>
      <w:r w:rsidRPr="00854FC2">
        <w:rPr>
          <w:rFonts w:cs="Arial"/>
          <w:b w:val="0"/>
          <w:bCs w:val="0"/>
          <w:szCs w:val="22"/>
        </w:rPr>
        <w:br w:type="page"/>
      </w:r>
      <w:r w:rsidRPr="00CA5E6A">
        <w:lastRenderedPageBreak/>
        <w:t xml:space="preserve">Exhibit </w:t>
      </w:r>
      <w:r w:rsidR="002348E6">
        <w:fldChar w:fldCharType="begin"/>
      </w:r>
      <w:r w:rsidR="002348E6">
        <w:instrText xml:space="preserve"> SEQ Exhibit \* ARABIC </w:instrText>
      </w:r>
      <w:r w:rsidR="002348E6">
        <w:fldChar w:fldCharType="separate"/>
      </w:r>
      <w:r w:rsidR="00F61EFD">
        <w:rPr>
          <w:noProof/>
        </w:rPr>
        <w:t>6</w:t>
      </w:r>
      <w:r w:rsidR="002348E6">
        <w:fldChar w:fldCharType="end"/>
      </w:r>
    </w:p>
    <w:tbl>
      <w:tblPr>
        <w:tblW w:w="13392" w:type="dxa"/>
        <w:tblInd w:w="-705" w:type="dxa"/>
        <w:tblCellMar>
          <w:left w:w="0" w:type="dxa"/>
          <w:right w:w="0" w:type="dxa"/>
        </w:tblCellMar>
        <w:tblLook w:val="0000"/>
      </w:tblPr>
      <w:tblGrid>
        <w:gridCol w:w="2585"/>
        <w:gridCol w:w="1469"/>
        <w:gridCol w:w="1454"/>
        <w:gridCol w:w="1441"/>
        <w:gridCol w:w="1444"/>
        <w:gridCol w:w="1342"/>
        <w:gridCol w:w="1536"/>
        <w:gridCol w:w="977"/>
        <w:gridCol w:w="1144"/>
      </w:tblGrid>
      <w:tr w:rsidR="00D85665" w:rsidRPr="00854FC2" w:rsidTr="00EF0FF6">
        <w:trPr>
          <w:trHeight w:val="300"/>
        </w:trPr>
        <w:tc>
          <w:tcPr>
            <w:tcW w:w="13392" w:type="dxa"/>
            <w:gridSpan w:val="9"/>
            <w:tcBorders>
              <w:top w:val="nil"/>
              <w:left w:val="nil"/>
              <w:bottom w:val="nil"/>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rsidTr="00EF0FF6">
        <w:trPr>
          <w:trHeight w:val="315"/>
        </w:trPr>
        <w:tc>
          <w:tcPr>
            <w:tcW w:w="13392" w:type="dxa"/>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 xml:space="preserve">Average Category II Facility </w:t>
            </w:r>
          </w:p>
        </w:tc>
      </w:tr>
      <w:tr w:rsidR="00D85665" w:rsidRPr="00854FC2" w:rsidTr="00EF0FF6">
        <w:trPr>
          <w:cantSplit/>
          <w:trHeight w:val="285"/>
        </w:trPr>
        <w:tc>
          <w:tcPr>
            <w:tcW w:w="258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808"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854FC2" w:rsidRDefault="00D85665">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42"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Total Burden Hours</w:t>
            </w:r>
          </w:p>
        </w:tc>
        <w:tc>
          <w:tcPr>
            <w:tcW w:w="1536"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Capital/Startup Costs</w:t>
            </w:r>
          </w:p>
        </w:tc>
        <w:tc>
          <w:tcPr>
            <w:tcW w:w="977"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PE Costs</w:t>
            </w:r>
          </w:p>
        </w:tc>
        <w:tc>
          <w:tcPr>
            <w:tcW w:w="1144"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854FC2" w:rsidRDefault="00526F29" w:rsidP="001F45F8">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00D85665" w:rsidRPr="00854FC2">
              <w:rPr>
                <w:rFonts w:cs="Arial"/>
                <w:b/>
                <w:bCs/>
                <w:sz w:val="20"/>
                <w:szCs w:val="20"/>
              </w:rPr>
              <w:t>Cost</w:t>
            </w:r>
            <w:r w:rsidR="00C21285">
              <w:rPr>
                <w:rFonts w:cs="Arial"/>
                <w:b/>
                <w:bCs/>
                <w:sz w:val="20"/>
                <w:szCs w:val="20"/>
              </w:rPr>
              <w:t xml:space="preserve"> (20</w:t>
            </w:r>
            <w:r w:rsidR="001F45F8">
              <w:rPr>
                <w:rFonts w:cs="Arial"/>
                <w:b/>
                <w:bCs/>
                <w:sz w:val="20"/>
                <w:szCs w:val="20"/>
              </w:rPr>
              <w:t>12</w:t>
            </w:r>
            <w:r w:rsidR="00C21285">
              <w:rPr>
                <w:rFonts w:cs="Arial"/>
                <w:b/>
                <w:bCs/>
                <w:sz w:val="20"/>
                <w:szCs w:val="20"/>
              </w:rPr>
              <w:t>$)</w:t>
            </w:r>
            <w:r w:rsidR="00D85665" w:rsidRPr="00854FC2">
              <w:rPr>
                <w:rFonts w:cs="Arial"/>
                <w:b/>
                <w:bCs/>
                <w:sz w:val="20"/>
                <w:szCs w:val="20"/>
                <w:vertAlign w:val="superscript"/>
              </w:rPr>
              <w:t>2</w:t>
            </w:r>
          </w:p>
        </w:tc>
      </w:tr>
      <w:tr w:rsidR="00D85665" w:rsidRPr="00854FC2" w:rsidTr="00EF0FF6">
        <w:trPr>
          <w:cantSplit/>
          <w:trHeight w:val="324"/>
        </w:trPr>
        <w:tc>
          <w:tcPr>
            <w:tcW w:w="0" w:type="auto"/>
            <w:vMerge/>
            <w:tcBorders>
              <w:top w:val="nil"/>
              <w:left w:val="double" w:sz="6"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1469"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Management</w:t>
            </w:r>
          </w:p>
        </w:tc>
        <w:tc>
          <w:tcPr>
            <w:tcW w:w="1454"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Technical</w:t>
            </w:r>
          </w:p>
        </w:tc>
        <w:tc>
          <w:tcPr>
            <w:tcW w:w="1441"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Drafter</w:t>
            </w:r>
          </w:p>
        </w:tc>
        <w:tc>
          <w:tcPr>
            <w:tcW w:w="1444"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Clerical</w:t>
            </w:r>
          </w:p>
        </w:tc>
        <w:tc>
          <w:tcPr>
            <w:tcW w:w="1342" w:type="dxa"/>
            <w:vMerge/>
            <w:tcBorders>
              <w:top w:val="nil"/>
              <w:left w:val="nil"/>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854FC2" w:rsidRDefault="00D85665">
            <w:pPr>
              <w:rPr>
                <w:rFonts w:eastAsia="Arial Unicode MS" w:cs="Arial"/>
                <w:b/>
                <w:bCs/>
                <w:sz w:val="20"/>
                <w:szCs w:val="20"/>
              </w:rPr>
            </w:pPr>
          </w:p>
        </w:tc>
      </w:tr>
      <w:tr w:rsidR="00D85665" w:rsidRPr="00854FC2" w:rsidTr="00EF0FF6">
        <w:trPr>
          <w:trHeight w:val="270"/>
        </w:trPr>
        <w:tc>
          <w:tcPr>
            <w:tcW w:w="13392"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Existing Facilities</w:t>
            </w:r>
          </w:p>
        </w:tc>
      </w:tr>
      <w:tr w:rsidR="00571CD2" w:rsidRPr="00854FC2" w:rsidTr="00EF0FF6">
        <w:trPr>
          <w:trHeight w:val="360"/>
        </w:trPr>
        <w:tc>
          <w:tcPr>
            <w:tcW w:w="2585" w:type="dxa"/>
            <w:tcBorders>
              <w:top w:val="nil"/>
              <w:left w:val="double" w:sz="6" w:space="0" w:color="000000"/>
              <w:bottom w:val="nil"/>
              <w:right w:val="nil"/>
            </w:tcBorders>
            <w:tcMar>
              <w:top w:w="15" w:type="dxa"/>
              <w:left w:w="15" w:type="dxa"/>
              <w:bottom w:w="0" w:type="dxa"/>
              <w:right w:w="15" w:type="dxa"/>
            </w:tcMar>
            <w:vAlign w:val="center"/>
          </w:tcPr>
          <w:p w:rsidR="00571CD2" w:rsidRPr="00854FC2" w:rsidRDefault="00571CD2">
            <w:pPr>
              <w:pStyle w:val="FootnoteText"/>
              <w:rPr>
                <w:rFonts w:eastAsia="Arial Unicode MS" w:cs="Arial"/>
              </w:rPr>
            </w:pPr>
            <w:r w:rsidRPr="00854FC2">
              <w:rPr>
                <w:rFonts w:cs="Arial"/>
              </w:rPr>
              <w:t>Review the SPCC Plan</w:t>
            </w:r>
          </w:p>
        </w:tc>
        <w:tc>
          <w:tcPr>
            <w:tcW w:w="146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0.3</w:t>
            </w:r>
          </w:p>
        </w:tc>
        <w:tc>
          <w:tcPr>
            <w:tcW w:w="1454"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4.1</w:t>
            </w:r>
          </w:p>
        </w:tc>
        <w:tc>
          <w:tcPr>
            <w:tcW w:w="1441"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0.3</w:t>
            </w:r>
          </w:p>
        </w:tc>
        <w:tc>
          <w:tcPr>
            <w:tcW w:w="1342"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4.6</w:t>
            </w:r>
          </w:p>
        </w:tc>
        <w:tc>
          <w:tcPr>
            <w:tcW w:w="1536"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144"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sz w:val="20"/>
                <w:szCs w:val="20"/>
              </w:rPr>
            </w:pPr>
            <w:r>
              <w:rPr>
                <w:rFonts w:cs="Arial"/>
                <w:sz w:val="20"/>
                <w:szCs w:val="20"/>
              </w:rPr>
              <w:t>$</w:t>
            </w:r>
            <w:r w:rsidR="00BE2868">
              <w:rPr>
                <w:rFonts w:cs="Arial"/>
                <w:sz w:val="20"/>
                <w:szCs w:val="20"/>
              </w:rPr>
              <w:t>415</w:t>
            </w:r>
          </w:p>
        </w:tc>
      </w:tr>
      <w:tr w:rsidR="00571CD2" w:rsidRPr="00854FC2" w:rsidTr="00EF0FF6">
        <w:trPr>
          <w:trHeight w:val="915"/>
        </w:trPr>
        <w:tc>
          <w:tcPr>
            <w:tcW w:w="258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46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54"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1"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42"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36"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144"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r>
      <w:tr w:rsidR="00571CD2" w:rsidRPr="00854FC2" w:rsidTr="00EF0FF6">
        <w:trPr>
          <w:trHeight w:val="540"/>
        </w:trPr>
        <w:tc>
          <w:tcPr>
            <w:tcW w:w="258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Revise the SPCC Plan</w:t>
            </w:r>
          </w:p>
        </w:tc>
        <w:tc>
          <w:tcPr>
            <w:tcW w:w="146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0.4</w:t>
            </w:r>
          </w:p>
        </w:tc>
        <w:tc>
          <w:tcPr>
            <w:tcW w:w="1454"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2.6</w:t>
            </w:r>
          </w:p>
        </w:tc>
        <w:tc>
          <w:tcPr>
            <w:tcW w:w="1441"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0.4</w:t>
            </w:r>
          </w:p>
        </w:tc>
        <w:tc>
          <w:tcPr>
            <w:tcW w:w="1342"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3.4</w:t>
            </w:r>
          </w:p>
        </w:tc>
        <w:tc>
          <w:tcPr>
            <w:tcW w:w="1536"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w:t>
            </w:r>
            <w:r w:rsidR="008D13BE">
              <w:rPr>
                <w:rFonts w:cs="Arial"/>
                <w:sz w:val="20"/>
                <w:szCs w:val="20"/>
              </w:rPr>
              <w:t>63</w:t>
            </w:r>
          </w:p>
        </w:tc>
        <w:tc>
          <w:tcPr>
            <w:tcW w:w="1144"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sz w:val="20"/>
                <w:szCs w:val="20"/>
              </w:rPr>
            </w:pPr>
            <w:r>
              <w:rPr>
                <w:rFonts w:cs="Arial"/>
                <w:sz w:val="20"/>
                <w:szCs w:val="20"/>
              </w:rPr>
              <w:t>$6</w:t>
            </w:r>
            <w:r w:rsidR="00BE2868">
              <w:rPr>
                <w:rFonts w:cs="Arial"/>
                <w:sz w:val="20"/>
                <w:szCs w:val="20"/>
              </w:rPr>
              <w:t>6</w:t>
            </w:r>
            <w:r w:rsidR="00CC79A3">
              <w:rPr>
                <w:rFonts w:cs="Arial"/>
                <w:sz w:val="20"/>
                <w:szCs w:val="20"/>
              </w:rPr>
              <w:t>6</w:t>
            </w:r>
          </w:p>
        </w:tc>
      </w:tr>
      <w:tr w:rsidR="00571CD2" w:rsidRPr="00854FC2" w:rsidTr="00EF0FF6">
        <w:trPr>
          <w:trHeight w:val="570"/>
        </w:trPr>
        <w:tc>
          <w:tcPr>
            <w:tcW w:w="258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Maintain the SPCC Plan and Keep Records</w:t>
            </w:r>
          </w:p>
        </w:tc>
        <w:tc>
          <w:tcPr>
            <w:tcW w:w="1469"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54"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3.6</w:t>
            </w:r>
          </w:p>
        </w:tc>
        <w:tc>
          <w:tcPr>
            <w:tcW w:w="1441"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42"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3.6</w:t>
            </w:r>
          </w:p>
        </w:tc>
        <w:tc>
          <w:tcPr>
            <w:tcW w:w="1536"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144" w:type="dxa"/>
            <w:tcBorders>
              <w:top w:val="nil"/>
              <w:left w:val="nil"/>
              <w:bottom w:val="double" w:sz="6"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sz w:val="20"/>
                <w:szCs w:val="20"/>
              </w:rPr>
            </w:pPr>
            <w:r>
              <w:rPr>
                <w:rFonts w:cs="Arial"/>
                <w:sz w:val="20"/>
                <w:szCs w:val="20"/>
              </w:rPr>
              <w:t>$</w:t>
            </w:r>
            <w:r w:rsidR="00CC79A3">
              <w:rPr>
                <w:rFonts w:cs="Arial"/>
                <w:sz w:val="20"/>
                <w:szCs w:val="20"/>
              </w:rPr>
              <w:t>2</w:t>
            </w:r>
            <w:r w:rsidR="00BE2868">
              <w:rPr>
                <w:rFonts w:cs="Arial"/>
                <w:sz w:val="20"/>
                <w:szCs w:val="20"/>
              </w:rPr>
              <w:t>14</w:t>
            </w:r>
          </w:p>
        </w:tc>
      </w:tr>
      <w:tr w:rsidR="00571CD2" w:rsidRPr="00854FC2" w:rsidTr="00EF0FF6">
        <w:trPr>
          <w:trHeight w:val="285"/>
        </w:trPr>
        <w:tc>
          <w:tcPr>
            <w:tcW w:w="258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571CD2" w:rsidRPr="00854FC2" w:rsidRDefault="00571CD2">
            <w:pPr>
              <w:pStyle w:val="Heading5"/>
              <w:rPr>
                <w:rFonts w:eastAsia="Arial Unicode MS"/>
                <w:szCs w:val="20"/>
              </w:rPr>
            </w:pPr>
            <w:r w:rsidRPr="00854FC2">
              <w:rPr>
                <w:szCs w:val="20"/>
              </w:rPr>
              <w:t>TOTAL</w:t>
            </w:r>
          </w:p>
        </w:tc>
        <w:tc>
          <w:tcPr>
            <w:tcW w:w="1469"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0.7</w:t>
            </w:r>
          </w:p>
        </w:tc>
        <w:tc>
          <w:tcPr>
            <w:tcW w:w="1454" w:type="dxa"/>
            <w:tcBorders>
              <w:top w:val="nil"/>
              <w:left w:val="single" w:sz="4" w:space="0" w:color="000000"/>
              <w:bottom w:val="double" w:sz="6" w:space="0" w:color="auto"/>
              <w:right w:val="nil"/>
            </w:tcBorders>
            <w:tcMar>
              <w:top w:w="0"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10.3</w:t>
            </w:r>
          </w:p>
        </w:tc>
        <w:tc>
          <w:tcPr>
            <w:tcW w:w="1441"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0.0</w:t>
            </w:r>
          </w:p>
        </w:tc>
        <w:tc>
          <w:tcPr>
            <w:tcW w:w="1444"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0.6</w:t>
            </w:r>
          </w:p>
        </w:tc>
        <w:tc>
          <w:tcPr>
            <w:tcW w:w="1342"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11.7</w:t>
            </w:r>
          </w:p>
        </w:tc>
        <w:tc>
          <w:tcPr>
            <w:tcW w:w="1536"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$0</w:t>
            </w:r>
          </w:p>
        </w:tc>
        <w:tc>
          <w:tcPr>
            <w:tcW w:w="977"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$3</w:t>
            </w:r>
            <w:r w:rsidR="008D13BE">
              <w:rPr>
                <w:rFonts w:cs="Arial"/>
                <w:b/>
                <w:bCs/>
                <w:sz w:val="20"/>
                <w:szCs w:val="20"/>
              </w:rPr>
              <w:t>63</w:t>
            </w:r>
          </w:p>
        </w:tc>
        <w:tc>
          <w:tcPr>
            <w:tcW w:w="1144" w:type="dxa"/>
            <w:tcBorders>
              <w:top w:val="nil"/>
              <w:left w:val="nil"/>
              <w:bottom w:val="double" w:sz="6"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b/>
                <w:bCs/>
                <w:sz w:val="20"/>
                <w:szCs w:val="20"/>
              </w:rPr>
            </w:pPr>
            <w:r>
              <w:rPr>
                <w:rFonts w:cs="Arial"/>
                <w:b/>
                <w:bCs/>
                <w:sz w:val="20"/>
                <w:szCs w:val="20"/>
              </w:rPr>
              <w:t>$1,2</w:t>
            </w:r>
            <w:r w:rsidR="00BE2868">
              <w:rPr>
                <w:rFonts w:cs="Arial"/>
                <w:b/>
                <w:bCs/>
                <w:sz w:val="20"/>
                <w:szCs w:val="20"/>
              </w:rPr>
              <w:t>9</w:t>
            </w:r>
            <w:r w:rsidR="00CC79A3">
              <w:rPr>
                <w:rFonts w:cs="Arial"/>
                <w:b/>
                <w:bCs/>
                <w:sz w:val="20"/>
                <w:szCs w:val="20"/>
              </w:rPr>
              <w:t>5</w:t>
            </w:r>
          </w:p>
        </w:tc>
      </w:tr>
      <w:tr w:rsidR="00D85665" w:rsidRPr="00854FC2" w:rsidTr="00EF0FF6">
        <w:trPr>
          <w:trHeight w:val="270"/>
        </w:trPr>
        <w:tc>
          <w:tcPr>
            <w:tcW w:w="13392"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854FC2" w:rsidRDefault="00D85665">
            <w:pPr>
              <w:rPr>
                <w:rFonts w:eastAsia="Arial Unicode MS" w:cs="Arial"/>
                <w:b/>
                <w:bCs/>
                <w:sz w:val="20"/>
                <w:szCs w:val="20"/>
              </w:rPr>
            </w:pPr>
            <w:r w:rsidRPr="00854FC2">
              <w:rPr>
                <w:rFonts w:cs="Arial"/>
                <w:b/>
                <w:bCs/>
                <w:sz w:val="20"/>
                <w:szCs w:val="20"/>
              </w:rPr>
              <w:t>New Facilities</w:t>
            </w:r>
            <w:r w:rsidR="007F7390" w:rsidRPr="00854FC2">
              <w:rPr>
                <w:rFonts w:cs="Arial"/>
                <w:sz w:val="20"/>
                <w:szCs w:val="20"/>
                <w:vertAlign w:val="superscript"/>
              </w:rPr>
              <w:t>3</w:t>
            </w:r>
          </w:p>
        </w:tc>
      </w:tr>
      <w:tr w:rsidR="00571CD2" w:rsidRPr="00854FC2" w:rsidTr="00EF0FF6">
        <w:trPr>
          <w:trHeight w:val="255"/>
        </w:trPr>
        <w:tc>
          <w:tcPr>
            <w:tcW w:w="2585" w:type="dxa"/>
            <w:tcBorders>
              <w:top w:val="nil"/>
              <w:left w:val="double" w:sz="6" w:space="0" w:color="000000"/>
              <w:bottom w:val="nil"/>
              <w:right w:val="nil"/>
            </w:tcBorders>
            <w:vAlign w:val="center"/>
          </w:tcPr>
          <w:p w:rsidR="00571CD2" w:rsidRPr="00854FC2" w:rsidRDefault="00571CD2">
            <w:pPr>
              <w:rPr>
                <w:rFonts w:eastAsia="Arial Unicode MS" w:cs="Arial"/>
                <w:sz w:val="20"/>
                <w:szCs w:val="20"/>
              </w:rPr>
            </w:pPr>
            <w:r w:rsidRPr="00854FC2">
              <w:rPr>
                <w:rFonts w:cs="Arial"/>
                <w:sz w:val="20"/>
                <w:szCs w:val="20"/>
              </w:rPr>
              <w:t>Prepare an SPCC Plan</w:t>
            </w:r>
          </w:p>
        </w:tc>
        <w:tc>
          <w:tcPr>
            <w:tcW w:w="1469"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2.8</w:t>
            </w:r>
          </w:p>
        </w:tc>
        <w:tc>
          <w:tcPr>
            <w:tcW w:w="1454" w:type="dxa"/>
            <w:tcBorders>
              <w:top w:val="nil"/>
              <w:left w:val="single" w:sz="4" w:space="0" w:color="000000"/>
              <w:bottom w:val="nil"/>
              <w:right w:val="nil"/>
            </w:tcBorders>
            <w:tcMar>
              <w:right w:w="72" w:type="dxa"/>
            </w:tcMar>
            <w:vAlign w:val="center"/>
          </w:tcPr>
          <w:p w:rsidR="00571CD2" w:rsidRDefault="006D2289">
            <w:pPr>
              <w:jc w:val="right"/>
              <w:rPr>
                <w:rFonts w:cs="Arial"/>
                <w:sz w:val="20"/>
                <w:szCs w:val="20"/>
              </w:rPr>
            </w:pPr>
            <w:r>
              <w:rPr>
                <w:rFonts w:cs="Arial"/>
                <w:sz w:val="20"/>
                <w:szCs w:val="20"/>
              </w:rPr>
              <w:t>38.9</w:t>
            </w:r>
          </w:p>
        </w:tc>
        <w:tc>
          <w:tcPr>
            <w:tcW w:w="1441" w:type="dxa"/>
            <w:tcBorders>
              <w:top w:val="nil"/>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15.1</w:t>
            </w:r>
          </w:p>
        </w:tc>
        <w:tc>
          <w:tcPr>
            <w:tcW w:w="1444"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5.1</w:t>
            </w:r>
          </w:p>
        </w:tc>
        <w:tc>
          <w:tcPr>
            <w:tcW w:w="1342" w:type="dxa"/>
            <w:tcBorders>
              <w:top w:val="nil"/>
              <w:left w:val="single" w:sz="4" w:space="0" w:color="000000"/>
              <w:bottom w:val="nil"/>
              <w:right w:val="nil"/>
            </w:tcBorders>
            <w:tcMar>
              <w:top w:w="15" w:type="dxa"/>
              <w:left w:w="15" w:type="dxa"/>
              <w:bottom w:w="0" w:type="dxa"/>
              <w:right w:w="72" w:type="dxa"/>
            </w:tcMar>
            <w:vAlign w:val="center"/>
          </w:tcPr>
          <w:p w:rsidR="00571CD2" w:rsidRDefault="006D2289">
            <w:pPr>
              <w:jc w:val="right"/>
              <w:rPr>
                <w:rFonts w:cs="Arial"/>
                <w:sz w:val="20"/>
                <w:szCs w:val="20"/>
              </w:rPr>
            </w:pPr>
            <w:r>
              <w:rPr>
                <w:rFonts w:cs="Arial"/>
                <w:sz w:val="20"/>
                <w:szCs w:val="20"/>
              </w:rPr>
              <w:t>61.9</w:t>
            </w:r>
          </w:p>
        </w:tc>
        <w:tc>
          <w:tcPr>
            <w:tcW w:w="1536" w:type="dxa"/>
            <w:tcBorders>
              <w:top w:val="nil"/>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w:t>
            </w:r>
            <w:r w:rsidR="00AB7204">
              <w:rPr>
                <w:rFonts w:cs="Arial"/>
                <w:sz w:val="20"/>
                <w:szCs w:val="20"/>
              </w:rPr>
              <w:t>1,960</w:t>
            </w:r>
          </w:p>
        </w:tc>
        <w:tc>
          <w:tcPr>
            <w:tcW w:w="1144" w:type="dxa"/>
            <w:tcBorders>
              <w:top w:val="nil"/>
              <w:left w:val="single" w:sz="4" w:space="0" w:color="000000"/>
              <w:bottom w:val="nil"/>
              <w:right w:val="double" w:sz="6" w:space="0" w:color="000000"/>
            </w:tcBorders>
            <w:tcMar>
              <w:top w:w="15" w:type="dxa"/>
              <w:left w:w="15" w:type="dxa"/>
              <w:bottom w:w="0" w:type="dxa"/>
              <w:right w:w="72" w:type="dxa"/>
            </w:tcMar>
            <w:vAlign w:val="center"/>
          </w:tcPr>
          <w:p w:rsidR="00571CD2" w:rsidRDefault="00571CD2" w:rsidP="009E12E5">
            <w:pPr>
              <w:jc w:val="right"/>
              <w:rPr>
                <w:rFonts w:cs="Arial"/>
                <w:sz w:val="20"/>
                <w:szCs w:val="20"/>
              </w:rPr>
            </w:pPr>
            <w:r>
              <w:rPr>
                <w:rFonts w:cs="Arial"/>
                <w:sz w:val="20"/>
                <w:szCs w:val="20"/>
              </w:rPr>
              <w:t>$</w:t>
            </w:r>
            <w:r w:rsidR="00CC79A3">
              <w:rPr>
                <w:rFonts w:cs="Arial"/>
                <w:sz w:val="20"/>
                <w:szCs w:val="20"/>
              </w:rPr>
              <w:t>7,</w:t>
            </w:r>
            <w:r w:rsidR="009E12E5">
              <w:rPr>
                <w:rFonts w:cs="Arial"/>
                <w:sz w:val="20"/>
                <w:szCs w:val="20"/>
              </w:rPr>
              <w:t>290</w:t>
            </w:r>
          </w:p>
        </w:tc>
      </w:tr>
      <w:tr w:rsidR="00571CD2" w:rsidRPr="00854FC2" w:rsidTr="00EF0FF6">
        <w:trPr>
          <w:trHeight w:val="255"/>
        </w:trPr>
        <w:tc>
          <w:tcPr>
            <w:tcW w:w="258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Prepare a Contingency Plan</w:t>
            </w:r>
          </w:p>
        </w:tc>
        <w:tc>
          <w:tcPr>
            <w:tcW w:w="146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0.7</w:t>
            </w:r>
          </w:p>
        </w:tc>
        <w:tc>
          <w:tcPr>
            <w:tcW w:w="145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3.5</w:t>
            </w:r>
          </w:p>
        </w:tc>
        <w:tc>
          <w:tcPr>
            <w:tcW w:w="144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1.0</w:t>
            </w:r>
          </w:p>
        </w:tc>
        <w:tc>
          <w:tcPr>
            <w:tcW w:w="134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5.1</w:t>
            </w:r>
          </w:p>
        </w:tc>
        <w:tc>
          <w:tcPr>
            <w:tcW w:w="153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144"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571CD2" w:rsidP="009E12E5">
            <w:pPr>
              <w:jc w:val="right"/>
              <w:rPr>
                <w:rFonts w:cs="Arial"/>
                <w:sz w:val="20"/>
                <w:szCs w:val="20"/>
              </w:rPr>
            </w:pPr>
            <w:r>
              <w:rPr>
                <w:rFonts w:cs="Arial"/>
                <w:sz w:val="20"/>
                <w:szCs w:val="20"/>
              </w:rPr>
              <w:t>$2</w:t>
            </w:r>
            <w:r w:rsidR="009E12E5">
              <w:rPr>
                <w:rFonts w:cs="Arial"/>
                <w:sz w:val="20"/>
                <w:szCs w:val="20"/>
              </w:rPr>
              <w:t>34</w:t>
            </w:r>
          </w:p>
        </w:tc>
      </w:tr>
      <w:tr w:rsidR="00571CD2" w:rsidRPr="00854FC2" w:rsidTr="00EF0FF6">
        <w:trPr>
          <w:trHeight w:val="795"/>
        </w:trPr>
        <w:tc>
          <w:tcPr>
            <w:tcW w:w="258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Submit Information in the Event of Certain Discharges of Oil</w:t>
            </w:r>
            <w:r w:rsidR="007F7390">
              <w:rPr>
                <w:rFonts w:cs="Arial"/>
                <w:sz w:val="20"/>
                <w:szCs w:val="20"/>
                <w:vertAlign w:val="superscript"/>
              </w:rPr>
              <w:t>4</w:t>
            </w:r>
          </w:p>
        </w:tc>
        <w:tc>
          <w:tcPr>
            <w:tcW w:w="146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5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4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3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144"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r>
      <w:tr w:rsidR="00571CD2" w:rsidRPr="00854FC2" w:rsidTr="00EF0FF6">
        <w:trPr>
          <w:trHeight w:val="255"/>
        </w:trPr>
        <w:tc>
          <w:tcPr>
            <w:tcW w:w="2585" w:type="dxa"/>
            <w:tcBorders>
              <w:top w:val="nil"/>
              <w:left w:val="double" w:sz="6" w:space="0" w:color="000000"/>
              <w:bottom w:val="single" w:sz="4"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Revise the SPCC Plan</w:t>
            </w:r>
          </w:p>
        </w:tc>
        <w:tc>
          <w:tcPr>
            <w:tcW w:w="146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5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4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3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$4</w:t>
            </w:r>
          </w:p>
        </w:tc>
        <w:tc>
          <w:tcPr>
            <w:tcW w:w="1144"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$7</w:t>
            </w:r>
          </w:p>
        </w:tc>
      </w:tr>
      <w:tr w:rsidR="00571CD2" w:rsidRPr="00854FC2" w:rsidTr="00EF0FF6">
        <w:trPr>
          <w:trHeight w:val="525"/>
        </w:trPr>
        <w:tc>
          <w:tcPr>
            <w:tcW w:w="2585" w:type="dxa"/>
            <w:tcBorders>
              <w:top w:val="nil"/>
              <w:left w:val="double" w:sz="6" w:space="0" w:color="000000"/>
              <w:bottom w:val="double" w:sz="6"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Maintain the SPCC Plan and Keep Records</w:t>
            </w:r>
          </w:p>
        </w:tc>
        <w:tc>
          <w:tcPr>
            <w:tcW w:w="146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5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1.4</w:t>
            </w:r>
          </w:p>
        </w:tc>
        <w:tc>
          <w:tcPr>
            <w:tcW w:w="1441"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4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42"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1.4</w:t>
            </w:r>
          </w:p>
        </w:tc>
        <w:tc>
          <w:tcPr>
            <w:tcW w:w="153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$100</w:t>
            </w:r>
          </w:p>
        </w:tc>
        <w:tc>
          <w:tcPr>
            <w:tcW w:w="9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144"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571CD2" w:rsidRDefault="00CC79A3" w:rsidP="009E12E5">
            <w:pPr>
              <w:jc w:val="right"/>
              <w:rPr>
                <w:rFonts w:cs="Arial"/>
                <w:sz w:val="20"/>
                <w:szCs w:val="20"/>
              </w:rPr>
            </w:pPr>
            <w:r>
              <w:rPr>
                <w:rFonts w:cs="Arial"/>
                <w:sz w:val="20"/>
                <w:szCs w:val="20"/>
              </w:rPr>
              <w:t>$3</w:t>
            </w:r>
            <w:r w:rsidR="009E12E5">
              <w:rPr>
                <w:rFonts w:cs="Arial"/>
                <w:sz w:val="20"/>
                <w:szCs w:val="20"/>
              </w:rPr>
              <w:t>89</w:t>
            </w:r>
          </w:p>
        </w:tc>
      </w:tr>
      <w:tr w:rsidR="00571CD2" w:rsidRPr="00854FC2" w:rsidTr="00EF0FF6">
        <w:trPr>
          <w:trHeight w:val="285"/>
        </w:trPr>
        <w:tc>
          <w:tcPr>
            <w:tcW w:w="2585" w:type="dxa"/>
            <w:tcBorders>
              <w:top w:val="nil"/>
              <w:left w:val="double" w:sz="6" w:space="0" w:color="000000"/>
              <w:bottom w:val="double" w:sz="6" w:space="0" w:color="auto"/>
              <w:right w:val="nil"/>
            </w:tcBorders>
            <w:tcMar>
              <w:top w:w="15" w:type="dxa"/>
              <w:left w:w="15" w:type="dxa"/>
              <w:bottom w:w="0" w:type="dxa"/>
              <w:right w:w="15" w:type="dxa"/>
            </w:tcMar>
            <w:vAlign w:val="center"/>
          </w:tcPr>
          <w:p w:rsidR="00571CD2" w:rsidRPr="00854FC2" w:rsidRDefault="00571CD2">
            <w:pPr>
              <w:pStyle w:val="Heading5"/>
              <w:rPr>
                <w:rFonts w:eastAsia="Arial Unicode MS"/>
                <w:szCs w:val="20"/>
              </w:rPr>
            </w:pPr>
            <w:r w:rsidRPr="00854FC2">
              <w:rPr>
                <w:szCs w:val="20"/>
              </w:rPr>
              <w:t>TOTAL</w:t>
            </w:r>
          </w:p>
        </w:tc>
        <w:tc>
          <w:tcPr>
            <w:tcW w:w="1469"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3.5</w:t>
            </w:r>
          </w:p>
        </w:tc>
        <w:tc>
          <w:tcPr>
            <w:tcW w:w="1454"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6D2289">
            <w:pPr>
              <w:jc w:val="right"/>
              <w:rPr>
                <w:rFonts w:cs="Arial"/>
                <w:b/>
                <w:bCs/>
                <w:sz w:val="20"/>
                <w:szCs w:val="20"/>
              </w:rPr>
            </w:pPr>
            <w:r>
              <w:rPr>
                <w:rFonts w:cs="Arial"/>
                <w:b/>
                <w:bCs/>
                <w:sz w:val="20"/>
                <w:szCs w:val="20"/>
              </w:rPr>
              <w:t>43.7</w:t>
            </w:r>
          </w:p>
        </w:tc>
        <w:tc>
          <w:tcPr>
            <w:tcW w:w="1441"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15.1</w:t>
            </w:r>
          </w:p>
        </w:tc>
        <w:tc>
          <w:tcPr>
            <w:tcW w:w="1444"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6.1</w:t>
            </w:r>
          </w:p>
        </w:tc>
        <w:tc>
          <w:tcPr>
            <w:tcW w:w="1342"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6D2289">
            <w:pPr>
              <w:jc w:val="right"/>
              <w:rPr>
                <w:rFonts w:cs="Arial"/>
                <w:b/>
                <w:bCs/>
                <w:sz w:val="20"/>
                <w:szCs w:val="20"/>
              </w:rPr>
            </w:pPr>
            <w:r>
              <w:rPr>
                <w:rFonts w:cs="Arial"/>
                <w:b/>
                <w:bCs/>
                <w:sz w:val="20"/>
                <w:szCs w:val="20"/>
              </w:rPr>
              <w:t>68.4</w:t>
            </w:r>
          </w:p>
        </w:tc>
        <w:tc>
          <w:tcPr>
            <w:tcW w:w="1536"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$100</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w:t>
            </w:r>
            <w:r w:rsidR="00AB7204">
              <w:rPr>
                <w:rFonts w:cs="Arial"/>
                <w:b/>
                <w:bCs/>
                <w:sz w:val="20"/>
                <w:szCs w:val="20"/>
              </w:rPr>
              <w:t>1,970</w:t>
            </w:r>
          </w:p>
        </w:tc>
        <w:tc>
          <w:tcPr>
            <w:tcW w:w="1144"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571CD2" w:rsidRDefault="00571CD2" w:rsidP="00DA5A73">
            <w:pPr>
              <w:jc w:val="right"/>
              <w:rPr>
                <w:rFonts w:cs="Arial"/>
                <w:b/>
                <w:bCs/>
                <w:sz w:val="20"/>
                <w:szCs w:val="20"/>
              </w:rPr>
            </w:pPr>
            <w:r>
              <w:rPr>
                <w:rFonts w:cs="Arial"/>
                <w:b/>
                <w:bCs/>
                <w:sz w:val="20"/>
                <w:szCs w:val="20"/>
              </w:rPr>
              <w:t>$</w:t>
            </w:r>
            <w:r w:rsidR="00CC79A3">
              <w:rPr>
                <w:rFonts w:cs="Arial"/>
                <w:b/>
                <w:bCs/>
                <w:sz w:val="20"/>
                <w:szCs w:val="20"/>
              </w:rPr>
              <w:t>7,</w:t>
            </w:r>
            <w:r w:rsidR="00DA5A73">
              <w:rPr>
                <w:rFonts w:cs="Arial"/>
                <w:b/>
                <w:bCs/>
                <w:sz w:val="20"/>
                <w:szCs w:val="20"/>
              </w:rPr>
              <w:t>920</w:t>
            </w:r>
          </w:p>
        </w:tc>
      </w:tr>
      <w:tr w:rsidR="00D85665" w:rsidRPr="00854FC2" w:rsidTr="00EF0FF6">
        <w:trPr>
          <w:cantSplit/>
          <w:trHeight w:val="228"/>
        </w:trPr>
        <w:tc>
          <w:tcPr>
            <w:tcW w:w="13392"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  The numbers in this exhibit may not add precisely due to rounding. </w:t>
            </w:r>
          </w:p>
        </w:tc>
      </w:tr>
      <w:tr w:rsidR="00D85665" w:rsidRPr="00854FC2" w:rsidTr="00EF0FF6">
        <w:trPr>
          <w:cantSplit/>
          <w:trHeight w:val="255"/>
        </w:trPr>
        <w:tc>
          <w:tcPr>
            <w:tcW w:w="13392" w:type="dxa"/>
            <w:gridSpan w:val="9"/>
            <w:vMerge/>
            <w:tcBorders>
              <w:top w:val="double" w:sz="6" w:space="0" w:color="auto"/>
              <w:left w:val="nil"/>
              <w:bottom w:val="nil"/>
              <w:right w:val="nil"/>
            </w:tcBorders>
            <w:vAlign w:val="center"/>
          </w:tcPr>
          <w:p w:rsidR="00D85665" w:rsidRPr="00854FC2" w:rsidRDefault="00D85665">
            <w:pPr>
              <w:rPr>
                <w:rFonts w:eastAsia="Arial Unicode MS" w:cs="Arial"/>
                <w:sz w:val="18"/>
                <w:szCs w:val="18"/>
              </w:rPr>
            </w:pPr>
          </w:p>
        </w:tc>
      </w:tr>
      <w:tr w:rsidR="00D85665" w:rsidRPr="00854FC2" w:rsidTr="00EF0FF6">
        <w:trPr>
          <w:trHeight w:val="270"/>
        </w:trPr>
        <w:tc>
          <w:tcPr>
            <w:tcW w:w="13392" w:type="dxa"/>
            <w:gridSpan w:val="9"/>
            <w:tcBorders>
              <w:top w:val="nil"/>
              <w:left w:val="nil"/>
              <w:bottom w:val="nil"/>
              <w:right w:val="nil"/>
            </w:tcBorders>
            <w:noWrap/>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rsidTr="00EF0FF6">
        <w:trPr>
          <w:cantSplit/>
          <w:trHeight w:val="540"/>
        </w:trPr>
        <w:tc>
          <w:tcPr>
            <w:tcW w:w="13392" w:type="dxa"/>
            <w:gridSpan w:val="9"/>
            <w:vMerge w:val="restart"/>
            <w:tcBorders>
              <w:top w:val="nil"/>
              <w:left w:val="nil"/>
              <w:bottom w:val="nil"/>
              <w:right w:val="nil"/>
            </w:tcBorders>
            <w:tcMar>
              <w:top w:w="0" w:type="dxa"/>
              <w:left w:w="15" w:type="dxa"/>
              <w:bottom w:w="0" w:type="dxa"/>
              <w:right w:w="15" w:type="dxa"/>
            </w:tcMar>
            <w:vAlign w:val="bottom"/>
          </w:tcPr>
          <w:p w:rsidR="0084442D" w:rsidRDefault="0084442D" w:rsidP="0084442D">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Pr="009A488D">
              <w:rPr>
                <w:rFonts w:cs="Arial"/>
                <w:color w:val="000000"/>
                <w:sz w:val="18"/>
                <w:szCs w:val="18"/>
              </w:rPr>
              <w:t xml:space="preserve">New </w:t>
            </w:r>
            <w:r w:rsidR="008913F7">
              <w:rPr>
                <w:rFonts w:cs="Arial"/>
                <w:color w:val="000000"/>
                <w:sz w:val="18"/>
                <w:szCs w:val="18"/>
              </w:rPr>
              <w:t xml:space="preserve"> </w:t>
            </w:r>
            <w:r w:rsidRPr="009A488D">
              <w:rPr>
                <w:rFonts w:cs="Arial"/>
                <w:color w:val="000000"/>
                <w:sz w:val="18"/>
                <w:szCs w:val="18"/>
              </w:rPr>
              <w:t xml:space="preserve">facilities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rsidR="00D85665" w:rsidRPr="00854FC2" w:rsidRDefault="00AE4149">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cost </w:t>
            </w:r>
            <w:r w:rsidR="00D85665" w:rsidRPr="004A5956">
              <w:rPr>
                <w:rFonts w:cs="Arial"/>
                <w:sz w:val="18"/>
                <w:szCs w:val="18"/>
              </w:rPr>
              <w:t>of $</w:t>
            </w:r>
            <w:r w:rsidR="00840E5C">
              <w:rPr>
                <w:rFonts w:cs="Arial"/>
                <w:sz w:val="18"/>
                <w:szCs w:val="18"/>
              </w:rPr>
              <w:t>139</w:t>
            </w:r>
            <w:r w:rsidR="00D85665" w:rsidRPr="004A5956">
              <w:rPr>
                <w:rFonts w:cs="Arial"/>
                <w:sz w:val="18"/>
                <w:szCs w:val="18"/>
              </w:rPr>
              <w:t>.  Because</w:t>
            </w:r>
            <w:r w:rsidR="00D85665" w:rsidRPr="00854FC2">
              <w:rPr>
                <w:rFonts w:cs="Arial"/>
                <w:sz w:val="18"/>
                <w:szCs w:val="18"/>
              </w:rPr>
              <w:t xml:space="preserve"> only 0.15 percent of all facilities are expected to meet the discharge criteria and submit information, the average unit burden is less than 0.1 hours, and is therefore indicated here as 0.  However, the actual unit burden and cost estimates are used in later calculations.</w:t>
            </w:r>
          </w:p>
        </w:tc>
      </w:tr>
      <w:tr w:rsidR="00D85665" w:rsidRPr="00854FC2" w:rsidTr="00EF0FF6">
        <w:trPr>
          <w:cantSplit/>
          <w:trHeight w:val="255"/>
        </w:trPr>
        <w:tc>
          <w:tcPr>
            <w:tcW w:w="13392" w:type="dxa"/>
            <w:gridSpan w:val="9"/>
            <w:vMerge/>
            <w:tcBorders>
              <w:top w:val="nil"/>
              <w:left w:val="nil"/>
              <w:bottom w:val="nil"/>
              <w:right w:val="nil"/>
            </w:tcBorders>
            <w:vAlign w:val="center"/>
          </w:tcPr>
          <w:p w:rsidR="00D85665" w:rsidRPr="00854FC2" w:rsidRDefault="00D85665">
            <w:pPr>
              <w:rPr>
                <w:rFonts w:eastAsia="Arial Unicode MS" w:cs="Arial"/>
                <w:sz w:val="18"/>
                <w:szCs w:val="18"/>
              </w:rPr>
            </w:pPr>
          </w:p>
        </w:tc>
      </w:tr>
    </w:tbl>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pgSz w:w="15840" w:h="12240" w:orient="landscape"/>
          <w:pgMar w:top="1440" w:right="1440" w:bottom="720" w:left="1440" w:header="720" w:footer="720" w:gutter="0"/>
          <w:cols w:space="720"/>
          <w:noEndnote/>
        </w:sectPr>
      </w:pPr>
    </w:p>
    <w:p w:rsidR="00D85665" w:rsidRPr="00854FC2" w:rsidRDefault="00D85665" w:rsidP="00A15DF0">
      <w:pPr>
        <w:pStyle w:val="Caption"/>
        <w:keepNext/>
        <w:spacing w:before="0" w:after="0"/>
        <w:outlineLvl w:val="0"/>
      </w:pPr>
      <w:r w:rsidRPr="009B1B87">
        <w:lastRenderedPageBreak/>
        <w:t xml:space="preserve">Exhibit </w:t>
      </w:r>
      <w:r w:rsidR="002348E6">
        <w:fldChar w:fldCharType="begin"/>
      </w:r>
      <w:r w:rsidR="002348E6">
        <w:instrText xml:space="preserve"> SEQ Exhibit \* ARABIC </w:instrText>
      </w:r>
      <w:r w:rsidR="002348E6">
        <w:fldChar w:fldCharType="separate"/>
      </w:r>
      <w:r w:rsidR="00F61EFD">
        <w:rPr>
          <w:noProof/>
        </w:rPr>
        <w:t>7</w:t>
      </w:r>
      <w:r w:rsidR="002348E6">
        <w:fldChar w:fldCharType="end"/>
      </w:r>
    </w:p>
    <w:tbl>
      <w:tblPr>
        <w:tblW w:w="13376" w:type="dxa"/>
        <w:tblInd w:w="-705" w:type="dxa"/>
        <w:tblCellMar>
          <w:left w:w="0" w:type="dxa"/>
          <w:right w:w="0" w:type="dxa"/>
        </w:tblCellMar>
        <w:tblLook w:val="0000"/>
      </w:tblPr>
      <w:tblGrid>
        <w:gridCol w:w="2519"/>
        <w:gridCol w:w="1459"/>
        <w:gridCol w:w="1431"/>
        <w:gridCol w:w="1406"/>
        <w:gridCol w:w="1413"/>
        <w:gridCol w:w="1327"/>
        <w:gridCol w:w="1532"/>
        <w:gridCol w:w="977"/>
        <w:gridCol w:w="1312"/>
      </w:tblGrid>
      <w:tr w:rsidR="00D85665" w:rsidRPr="00854FC2" w:rsidTr="00EF0FF6">
        <w:trPr>
          <w:trHeight w:val="300"/>
        </w:trPr>
        <w:tc>
          <w:tcPr>
            <w:tcW w:w="13376" w:type="dxa"/>
            <w:gridSpan w:val="9"/>
            <w:tcBorders>
              <w:top w:val="nil"/>
              <w:left w:val="nil"/>
              <w:bottom w:val="nil"/>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rsidTr="00EF0FF6">
        <w:trPr>
          <w:trHeight w:val="315"/>
        </w:trPr>
        <w:tc>
          <w:tcPr>
            <w:tcW w:w="13376" w:type="dxa"/>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 xml:space="preserve">Average Category III Facility </w:t>
            </w:r>
          </w:p>
        </w:tc>
      </w:tr>
      <w:tr w:rsidR="00D85665" w:rsidRPr="00854FC2" w:rsidTr="00EF0FF6">
        <w:trPr>
          <w:cantSplit/>
          <w:trHeight w:val="285"/>
        </w:trPr>
        <w:tc>
          <w:tcPr>
            <w:tcW w:w="2519"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709"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854FC2" w:rsidRDefault="00D85665">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27"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Total Burden Hours</w:t>
            </w:r>
          </w:p>
        </w:tc>
        <w:tc>
          <w:tcPr>
            <w:tcW w:w="1532"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Capital/Startup Costs</w:t>
            </w:r>
          </w:p>
        </w:tc>
        <w:tc>
          <w:tcPr>
            <w:tcW w:w="977"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PE Costs</w:t>
            </w:r>
          </w:p>
        </w:tc>
        <w:tc>
          <w:tcPr>
            <w:tcW w:w="1312"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854FC2" w:rsidRDefault="00526F29" w:rsidP="001F45F8">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00D85665" w:rsidRPr="00854FC2">
              <w:rPr>
                <w:rFonts w:cs="Arial"/>
                <w:b/>
                <w:bCs/>
                <w:sz w:val="20"/>
                <w:szCs w:val="20"/>
              </w:rPr>
              <w:t>Cost</w:t>
            </w:r>
            <w:r w:rsidR="00C21285">
              <w:rPr>
                <w:rFonts w:cs="Arial"/>
                <w:b/>
                <w:bCs/>
                <w:sz w:val="20"/>
                <w:szCs w:val="20"/>
              </w:rPr>
              <w:t xml:space="preserve"> (20</w:t>
            </w:r>
            <w:r w:rsidR="001F45F8">
              <w:rPr>
                <w:rFonts w:cs="Arial"/>
                <w:b/>
                <w:bCs/>
                <w:sz w:val="20"/>
                <w:szCs w:val="20"/>
              </w:rPr>
              <w:t>12</w:t>
            </w:r>
            <w:r w:rsidR="00C21285">
              <w:rPr>
                <w:rFonts w:cs="Arial"/>
                <w:b/>
                <w:bCs/>
                <w:sz w:val="20"/>
                <w:szCs w:val="20"/>
              </w:rPr>
              <w:t>$)</w:t>
            </w:r>
            <w:r w:rsidR="00C21285" w:rsidRPr="00854FC2">
              <w:rPr>
                <w:rFonts w:cs="Arial"/>
                <w:b/>
                <w:bCs/>
                <w:sz w:val="20"/>
                <w:szCs w:val="20"/>
                <w:vertAlign w:val="superscript"/>
              </w:rPr>
              <w:t>2</w:t>
            </w:r>
          </w:p>
        </w:tc>
      </w:tr>
      <w:tr w:rsidR="00D85665" w:rsidRPr="00854FC2" w:rsidTr="00EF0FF6">
        <w:trPr>
          <w:cantSplit/>
          <w:trHeight w:val="324"/>
        </w:trPr>
        <w:tc>
          <w:tcPr>
            <w:tcW w:w="0" w:type="auto"/>
            <w:vMerge/>
            <w:tcBorders>
              <w:top w:val="nil"/>
              <w:left w:val="double" w:sz="6"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1459"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Management</w:t>
            </w:r>
          </w:p>
        </w:tc>
        <w:tc>
          <w:tcPr>
            <w:tcW w:w="1431"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Technical</w:t>
            </w:r>
          </w:p>
        </w:tc>
        <w:tc>
          <w:tcPr>
            <w:tcW w:w="1406"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Drafter</w:t>
            </w:r>
          </w:p>
        </w:tc>
        <w:tc>
          <w:tcPr>
            <w:tcW w:w="1413"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Clerical</w:t>
            </w:r>
          </w:p>
        </w:tc>
        <w:tc>
          <w:tcPr>
            <w:tcW w:w="1327" w:type="dxa"/>
            <w:vMerge/>
            <w:tcBorders>
              <w:top w:val="nil"/>
              <w:left w:val="nil"/>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854FC2" w:rsidRDefault="00D85665">
            <w:pPr>
              <w:rPr>
                <w:rFonts w:eastAsia="Arial Unicode MS" w:cs="Arial"/>
                <w:b/>
                <w:bCs/>
                <w:sz w:val="20"/>
                <w:szCs w:val="20"/>
              </w:rPr>
            </w:pPr>
          </w:p>
        </w:tc>
      </w:tr>
      <w:tr w:rsidR="00D85665" w:rsidRPr="00854FC2" w:rsidTr="00EF0FF6">
        <w:trPr>
          <w:trHeight w:val="270"/>
        </w:trPr>
        <w:tc>
          <w:tcPr>
            <w:tcW w:w="13376"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Existing Facilities</w:t>
            </w:r>
          </w:p>
        </w:tc>
      </w:tr>
      <w:tr w:rsidR="00571CD2" w:rsidRPr="00854FC2" w:rsidTr="00EF0FF6">
        <w:trPr>
          <w:trHeight w:val="360"/>
        </w:trPr>
        <w:tc>
          <w:tcPr>
            <w:tcW w:w="2519" w:type="dxa"/>
            <w:tcBorders>
              <w:top w:val="nil"/>
              <w:left w:val="double" w:sz="6" w:space="0" w:color="000000"/>
              <w:bottom w:val="nil"/>
              <w:right w:val="nil"/>
            </w:tcBorders>
            <w:tcMar>
              <w:top w:w="15" w:type="dxa"/>
              <w:left w:w="15" w:type="dxa"/>
              <w:bottom w:w="0" w:type="dxa"/>
              <w:right w:w="15" w:type="dxa"/>
            </w:tcMar>
            <w:vAlign w:val="center"/>
          </w:tcPr>
          <w:p w:rsidR="00571CD2" w:rsidRPr="00854FC2" w:rsidRDefault="00571CD2">
            <w:pPr>
              <w:pStyle w:val="FootnoteText"/>
              <w:rPr>
                <w:rFonts w:eastAsia="Arial Unicode MS" w:cs="Arial"/>
              </w:rPr>
            </w:pPr>
            <w:r w:rsidRPr="00854FC2">
              <w:rPr>
                <w:rFonts w:cs="Arial"/>
              </w:rPr>
              <w:t>Review the SPCC Plan</w:t>
            </w:r>
          </w:p>
        </w:tc>
        <w:tc>
          <w:tcPr>
            <w:tcW w:w="145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0.5</w:t>
            </w:r>
          </w:p>
        </w:tc>
        <w:tc>
          <w:tcPr>
            <w:tcW w:w="1431"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7.4</w:t>
            </w:r>
          </w:p>
        </w:tc>
        <w:tc>
          <w:tcPr>
            <w:tcW w:w="1406"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0.5</w:t>
            </w:r>
          </w:p>
        </w:tc>
        <w:tc>
          <w:tcPr>
            <w:tcW w:w="132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8.4</w:t>
            </w:r>
          </w:p>
        </w:tc>
        <w:tc>
          <w:tcPr>
            <w:tcW w:w="1532"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312"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CC79A3" w:rsidP="00BE2868">
            <w:pPr>
              <w:jc w:val="right"/>
              <w:rPr>
                <w:rFonts w:cs="Arial"/>
                <w:sz w:val="20"/>
                <w:szCs w:val="20"/>
              </w:rPr>
            </w:pPr>
            <w:r>
              <w:rPr>
                <w:rFonts w:cs="Arial"/>
                <w:sz w:val="20"/>
                <w:szCs w:val="20"/>
              </w:rPr>
              <w:t>$76</w:t>
            </w:r>
            <w:r w:rsidR="00BE2868">
              <w:rPr>
                <w:rFonts w:cs="Arial"/>
                <w:sz w:val="20"/>
                <w:szCs w:val="20"/>
              </w:rPr>
              <w:t>3</w:t>
            </w:r>
          </w:p>
        </w:tc>
      </w:tr>
      <w:tr w:rsidR="00571CD2" w:rsidRPr="00854FC2" w:rsidTr="00EF0FF6">
        <w:trPr>
          <w:trHeight w:val="915"/>
        </w:trPr>
        <w:tc>
          <w:tcPr>
            <w:tcW w:w="2519"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45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31"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06"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2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32"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312"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r>
      <w:tr w:rsidR="00571CD2" w:rsidRPr="00854FC2" w:rsidTr="00EF0FF6">
        <w:trPr>
          <w:trHeight w:val="540"/>
        </w:trPr>
        <w:tc>
          <w:tcPr>
            <w:tcW w:w="2519"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Revise the SPCC Plan</w:t>
            </w:r>
          </w:p>
        </w:tc>
        <w:tc>
          <w:tcPr>
            <w:tcW w:w="145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0.8</w:t>
            </w:r>
          </w:p>
        </w:tc>
        <w:tc>
          <w:tcPr>
            <w:tcW w:w="1431"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4.8</w:t>
            </w:r>
          </w:p>
        </w:tc>
        <w:tc>
          <w:tcPr>
            <w:tcW w:w="1406"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0.6</w:t>
            </w:r>
          </w:p>
        </w:tc>
        <w:tc>
          <w:tcPr>
            <w:tcW w:w="132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6.3</w:t>
            </w:r>
          </w:p>
        </w:tc>
        <w:tc>
          <w:tcPr>
            <w:tcW w:w="1532"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$6</w:t>
            </w:r>
            <w:r w:rsidR="008D507D">
              <w:rPr>
                <w:rFonts w:cs="Arial"/>
                <w:sz w:val="20"/>
                <w:szCs w:val="20"/>
              </w:rPr>
              <w:t>61</w:t>
            </w:r>
          </w:p>
        </w:tc>
        <w:tc>
          <w:tcPr>
            <w:tcW w:w="1312" w:type="dxa"/>
            <w:tcBorders>
              <w:top w:val="nil"/>
              <w:left w:val="nil"/>
              <w:bottom w:val="single" w:sz="4"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sz w:val="20"/>
                <w:szCs w:val="20"/>
              </w:rPr>
            </w:pPr>
            <w:r>
              <w:rPr>
                <w:rFonts w:cs="Arial"/>
                <w:sz w:val="20"/>
                <w:szCs w:val="20"/>
              </w:rPr>
              <w:t>$1,</w:t>
            </w:r>
            <w:r w:rsidR="00CC79A3">
              <w:rPr>
                <w:rFonts w:cs="Arial"/>
                <w:sz w:val="20"/>
                <w:szCs w:val="20"/>
              </w:rPr>
              <w:t>2</w:t>
            </w:r>
            <w:r w:rsidR="00BE2868">
              <w:rPr>
                <w:rFonts w:cs="Arial"/>
                <w:sz w:val="20"/>
                <w:szCs w:val="20"/>
              </w:rPr>
              <w:t>21</w:t>
            </w:r>
          </w:p>
        </w:tc>
      </w:tr>
      <w:tr w:rsidR="00571CD2" w:rsidRPr="00854FC2" w:rsidTr="00EF0FF6">
        <w:trPr>
          <w:trHeight w:val="570"/>
        </w:trPr>
        <w:tc>
          <w:tcPr>
            <w:tcW w:w="2519"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Maintain the SPCC Plan and Keep Records</w:t>
            </w:r>
          </w:p>
        </w:tc>
        <w:tc>
          <w:tcPr>
            <w:tcW w:w="1459"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31"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4.5</w:t>
            </w:r>
          </w:p>
        </w:tc>
        <w:tc>
          <w:tcPr>
            <w:tcW w:w="1406"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27"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4.5</w:t>
            </w:r>
          </w:p>
        </w:tc>
        <w:tc>
          <w:tcPr>
            <w:tcW w:w="1532"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nil"/>
              <w:bottom w:val="double" w:sz="6" w:space="0" w:color="auto"/>
              <w:right w:val="single" w:sz="4" w:space="0" w:color="auto"/>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312" w:type="dxa"/>
            <w:tcBorders>
              <w:top w:val="nil"/>
              <w:left w:val="nil"/>
              <w:bottom w:val="double" w:sz="6"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sz w:val="20"/>
                <w:szCs w:val="20"/>
              </w:rPr>
            </w:pPr>
            <w:r>
              <w:rPr>
                <w:rFonts w:cs="Arial"/>
                <w:sz w:val="20"/>
                <w:szCs w:val="20"/>
              </w:rPr>
              <w:t>$2</w:t>
            </w:r>
            <w:r w:rsidR="00BE2868">
              <w:rPr>
                <w:rFonts w:cs="Arial"/>
                <w:sz w:val="20"/>
                <w:szCs w:val="20"/>
              </w:rPr>
              <w:t>61</w:t>
            </w:r>
          </w:p>
        </w:tc>
      </w:tr>
      <w:tr w:rsidR="00571CD2" w:rsidRPr="00854FC2" w:rsidTr="00EF0FF6">
        <w:trPr>
          <w:trHeight w:val="285"/>
        </w:trPr>
        <w:tc>
          <w:tcPr>
            <w:tcW w:w="2519"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bottom"/>
          </w:tcPr>
          <w:p w:rsidR="00571CD2" w:rsidRPr="00854FC2" w:rsidRDefault="00571CD2">
            <w:pPr>
              <w:rPr>
                <w:rFonts w:eastAsia="Arial Unicode MS" w:cs="Arial"/>
                <w:b/>
                <w:bCs/>
                <w:sz w:val="20"/>
                <w:szCs w:val="20"/>
              </w:rPr>
            </w:pPr>
            <w:r w:rsidRPr="00854FC2">
              <w:rPr>
                <w:rFonts w:cs="Arial"/>
                <w:b/>
                <w:bCs/>
                <w:sz w:val="20"/>
                <w:szCs w:val="20"/>
              </w:rPr>
              <w:t>TOTAL</w:t>
            </w:r>
          </w:p>
        </w:tc>
        <w:tc>
          <w:tcPr>
            <w:tcW w:w="1459"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1.3</w:t>
            </w:r>
          </w:p>
        </w:tc>
        <w:tc>
          <w:tcPr>
            <w:tcW w:w="1431" w:type="dxa"/>
            <w:tcBorders>
              <w:top w:val="nil"/>
              <w:left w:val="single" w:sz="4" w:space="0" w:color="000000"/>
              <w:bottom w:val="double" w:sz="6" w:space="0" w:color="auto"/>
              <w:right w:val="nil"/>
            </w:tcBorders>
            <w:tcMar>
              <w:top w:w="0"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16.7</w:t>
            </w:r>
          </w:p>
        </w:tc>
        <w:tc>
          <w:tcPr>
            <w:tcW w:w="1406"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0.0</w:t>
            </w:r>
          </w:p>
        </w:tc>
        <w:tc>
          <w:tcPr>
            <w:tcW w:w="1413"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1.1</w:t>
            </w:r>
          </w:p>
        </w:tc>
        <w:tc>
          <w:tcPr>
            <w:tcW w:w="1327"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19.2</w:t>
            </w:r>
          </w:p>
        </w:tc>
        <w:tc>
          <w:tcPr>
            <w:tcW w:w="1532"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$0</w:t>
            </w:r>
          </w:p>
        </w:tc>
        <w:tc>
          <w:tcPr>
            <w:tcW w:w="977"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$6</w:t>
            </w:r>
            <w:r w:rsidR="008D507D">
              <w:rPr>
                <w:rFonts w:cs="Arial"/>
                <w:b/>
                <w:bCs/>
                <w:sz w:val="20"/>
                <w:szCs w:val="20"/>
              </w:rPr>
              <w:t>61</w:t>
            </w:r>
          </w:p>
        </w:tc>
        <w:tc>
          <w:tcPr>
            <w:tcW w:w="1312" w:type="dxa"/>
            <w:tcBorders>
              <w:top w:val="nil"/>
              <w:left w:val="nil"/>
              <w:bottom w:val="double" w:sz="6" w:space="0" w:color="auto"/>
              <w:right w:val="double" w:sz="6" w:space="0" w:color="000000"/>
            </w:tcBorders>
            <w:tcMar>
              <w:top w:w="15" w:type="dxa"/>
              <w:left w:w="15" w:type="dxa"/>
              <w:bottom w:w="0" w:type="dxa"/>
              <w:right w:w="72" w:type="dxa"/>
            </w:tcMar>
            <w:vAlign w:val="center"/>
          </w:tcPr>
          <w:p w:rsidR="00571CD2" w:rsidRDefault="00571CD2" w:rsidP="00BE2868">
            <w:pPr>
              <w:jc w:val="right"/>
              <w:rPr>
                <w:rFonts w:cs="Arial"/>
                <w:b/>
                <w:bCs/>
                <w:sz w:val="20"/>
                <w:szCs w:val="20"/>
              </w:rPr>
            </w:pPr>
            <w:r>
              <w:rPr>
                <w:rFonts w:cs="Arial"/>
                <w:b/>
                <w:bCs/>
                <w:sz w:val="20"/>
                <w:szCs w:val="20"/>
              </w:rPr>
              <w:t>$2,</w:t>
            </w:r>
            <w:r w:rsidR="00BE2868">
              <w:rPr>
                <w:rFonts w:cs="Arial"/>
                <w:b/>
                <w:bCs/>
                <w:sz w:val="20"/>
                <w:szCs w:val="20"/>
              </w:rPr>
              <w:t>245</w:t>
            </w:r>
          </w:p>
        </w:tc>
      </w:tr>
      <w:tr w:rsidR="00D85665" w:rsidRPr="00854FC2" w:rsidTr="00EF0FF6">
        <w:trPr>
          <w:trHeight w:val="270"/>
        </w:trPr>
        <w:tc>
          <w:tcPr>
            <w:tcW w:w="13376"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New Facilities</w:t>
            </w:r>
            <w:r w:rsidR="007F7390" w:rsidRPr="00854FC2">
              <w:rPr>
                <w:rFonts w:cs="Arial"/>
                <w:sz w:val="20"/>
                <w:szCs w:val="20"/>
                <w:vertAlign w:val="superscript"/>
              </w:rPr>
              <w:t>3</w:t>
            </w:r>
          </w:p>
        </w:tc>
      </w:tr>
      <w:tr w:rsidR="00571CD2" w:rsidRPr="00854FC2" w:rsidTr="00EF0FF6">
        <w:trPr>
          <w:trHeight w:val="255"/>
        </w:trPr>
        <w:tc>
          <w:tcPr>
            <w:tcW w:w="2519" w:type="dxa"/>
            <w:tcBorders>
              <w:top w:val="nil"/>
              <w:left w:val="double" w:sz="6" w:space="0" w:color="000000"/>
              <w:bottom w:val="nil"/>
              <w:right w:val="nil"/>
            </w:tcBorders>
            <w:vAlign w:val="center"/>
          </w:tcPr>
          <w:p w:rsidR="00571CD2" w:rsidRPr="00854FC2" w:rsidRDefault="00571CD2">
            <w:pPr>
              <w:pStyle w:val="FootnoteText"/>
              <w:rPr>
                <w:rFonts w:eastAsia="Arial Unicode MS" w:cs="Arial"/>
              </w:rPr>
            </w:pPr>
            <w:r w:rsidRPr="00854FC2">
              <w:rPr>
                <w:rFonts w:cs="Arial"/>
              </w:rPr>
              <w:t>Prepare an SPCC Plan</w:t>
            </w:r>
          </w:p>
        </w:tc>
        <w:tc>
          <w:tcPr>
            <w:tcW w:w="1459"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5.5</w:t>
            </w:r>
          </w:p>
        </w:tc>
        <w:tc>
          <w:tcPr>
            <w:tcW w:w="1431" w:type="dxa"/>
            <w:tcBorders>
              <w:top w:val="nil"/>
              <w:left w:val="single" w:sz="4" w:space="0" w:color="000000"/>
              <w:bottom w:val="nil"/>
              <w:right w:val="nil"/>
            </w:tcBorders>
            <w:tcMar>
              <w:right w:w="72" w:type="dxa"/>
            </w:tcMar>
            <w:vAlign w:val="center"/>
          </w:tcPr>
          <w:p w:rsidR="00571CD2" w:rsidRDefault="00571CD2">
            <w:pPr>
              <w:jc w:val="right"/>
              <w:rPr>
                <w:rFonts w:cs="Arial"/>
                <w:sz w:val="20"/>
                <w:szCs w:val="20"/>
              </w:rPr>
            </w:pPr>
            <w:r>
              <w:rPr>
                <w:rFonts w:cs="Arial"/>
                <w:sz w:val="20"/>
                <w:szCs w:val="20"/>
              </w:rPr>
              <w:t>72.7</w:t>
            </w:r>
          </w:p>
        </w:tc>
        <w:tc>
          <w:tcPr>
            <w:tcW w:w="1406" w:type="dxa"/>
            <w:tcBorders>
              <w:top w:val="nil"/>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30.0</w:t>
            </w:r>
          </w:p>
        </w:tc>
        <w:tc>
          <w:tcPr>
            <w:tcW w:w="1413"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6.0</w:t>
            </w:r>
          </w:p>
        </w:tc>
        <w:tc>
          <w:tcPr>
            <w:tcW w:w="1327" w:type="dxa"/>
            <w:tcBorders>
              <w:top w:val="nil"/>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114</w:t>
            </w:r>
          </w:p>
        </w:tc>
        <w:tc>
          <w:tcPr>
            <w:tcW w:w="1532" w:type="dxa"/>
            <w:tcBorders>
              <w:top w:val="nil"/>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nil"/>
              <w:left w:val="single" w:sz="4" w:space="0" w:color="000000"/>
              <w:bottom w:val="nil"/>
              <w:right w:val="nil"/>
            </w:tcBorders>
            <w:tcMar>
              <w:top w:w="0" w:type="dxa"/>
              <w:left w:w="15" w:type="dxa"/>
              <w:bottom w:w="0" w:type="dxa"/>
              <w:right w:w="72" w:type="dxa"/>
            </w:tcMar>
            <w:vAlign w:val="center"/>
          </w:tcPr>
          <w:p w:rsidR="00571CD2" w:rsidRDefault="00571CD2">
            <w:pPr>
              <w:jc w:val="right"/>
              <w:rPr>
                <w:rFonts w:cs="Arial"/>
                <w:sz w:val="20"/>
                <w:szCs w:val="20"/>
              </w:rPr>
            </w:pPr>
            <w:r>
              <w:rPr>
                <w:rFonts w:cs="Arial"/>
                <w:sz w:val="20"/>
                <w:szCs w:val="20"/>
              </w:rPr>
              <w:t>$3,</w:t>
            </w:r>
            <w:r w:rsidR="001438D8">
              <w:rPr>
                <w:rFonts w:cs="Arial"/>
                <w:sz w:val="20"/>
                <w:szCs w:val="20"/>
              </w:rPr>
              <w:t>650</w:t>
            </w:r>
          </w:p>
        </w:tc>
        <w:tc>
          <w:tcPr>
            <w:tcW w:w="1312" w:type="dxa"/>
            <w:tcBorders>
              <w:top w:val="nil"/>
              <w:left w:val="single" w:sz="4" w:space="0" w:color="000000"/>
              <w:bottom w:val="nil"/>
              <w:right w:val="double" w:sz="6" w:space="0" w:color="000000"/>
            </w:tcBorders>
            <w:tcMar>
              <w:top w:w="15" w:type="dxa"/>
              <w:left w:w="15" w:type="dxa"/>
              <w:bottom w:w="0" w:type="dxa"/>
              <w:right w:w="72" w:type="dxa"/>
            </w:tcMar>
            <w:vAlign w:val="center"/>
          </w:tcPr>
          <w:p w:rsidR="00571CD2" w:rsidRDefault="00571CD2" w:rsidP="00FC38DA">
            <w:pPr>
              <w:jc w:val="right"/>
              <w:rPr>
                <w:rFonts w:cs="Arial"/>
                <w:sz w:val="20"/>
                <w:szCs w:val="20"/>
              </w:rPr>
            </w:pPr>
            <w:r>
              <w:rPr>
                <w:rFonts w:cs="Arial"/>
                <w:sz w:val="20"/>
                <w:szCs w:val="20"/>
              </w:rPr>
              <w:t>$</w:t>
            </w:r>
            <w:r w:rsidR="0051124E">
              <w:rPr>
                <w:rFonts w:cs="Arial"/>
                <w:sz w:val="20"/>
                <w:szCs w:val="20"/>
              </w:rPr>
              <w:t>13,</w:t>
            </w:r>
            <w:r w:rsidR="00FC38DA">
              <w:rPr>
                <w:rFonts w:cs="Arial"/>
                <w:sz w:val="20"/>
                <w:szCs w:val="20"/>
              </w:rPr>
              <w:t>448</w:t>
            </w:r>
          </w:p>
        </w:tc>
      </w:tr>
      <w:tr w:rsidR="00571CD2" w:rsidRPr="00854FC2" w:rsidTr="00EF0FF6">
        <w:trPr>
          <w:trHeight w:val="255"/>
        </w:trPr>
        <w:tc>
          <w:tcPr>
            <w:tcW w:w="2519" w:type="dxa"/>
            <w:tcBorders>
              <w:top w:val="single" w:sz="4" w:space="0" w:color="000000"/>
              <w:left w:val="double" w:sz="6" w:space="0" w:color="000000"/>
              <w:bottom w:val="nil"/>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Prepare a Contingency Plan</w:t>
            </w:r>
          </w:p>
        </w:tc>
        <w:tc>
          <w:tcPr>
            <w:tcW w:w="14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0.7</w:t>
            </w:r>
          </w:p>
        </w:tc>
        <w:tc>
          <w:tcPr>
            <w:tcW w:w="143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3.5</w:t>
            </w:r>
          </w:p>
        </w:tc>
        <w:tc>
          <w:tcPr>
            <w:tcW w:w="140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1.0</w:t>
            </w:r>
          </w:p>
        </w:tc>
        <w:tc>
          <w:tcPr>
            <w:tcW w:w="132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5.1</w:t>
            </w:r>
          </w:p>
        </w:tc>
        <w:tc>
          <w:tcPr>
            <w:tcW w:w="15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312"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571CD2" w:rsidP="00FC38DA">
            <w:pPr>
              <w:jc w:val="right"/>
              <w:rPr>
                <w:rFonts w:cs="Arial"/>
                <w:sz w:val="20"/>
                <w:szCs w:val="20"/>
              </w:rPr>
            </w:pPr>
            <w:r>
              <w:rPr>
                <w:rFonts w:cs="Arial"/>
                <w:sz w:val="20"/>
                <w:szCs w:val="20"/>
              </w:rPr>
              <w:t>$2</w:t>
            </w:r>
            <w:r w:rsidR="00FC38DA">
              <w:rPr>
                <w:rFonts w:cs="Arial"/>
                <w:sz w:val="20"/>
                <w:szCs w:val="20"/>
              </w:rPr>
              <w:t>34</w:t>
            </w:r>
          </w:p>
        </w:tc>
      </w:tr>
      <w:tr w:rsidR="00571CD2" w:rsidRPr="00854FC2" w:rsidTr="00EF0FF6">
        <w:trPr>
          <w:trHeight w:val="795"/>
        </w:trPr>
        <w:tc>
          <w:tcPr>
            <w:tcW w:w="2519"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Submit Information in the Event of Certain Discharges of Oil</w:t>
            </w:r>
            <w:r w:rsidR="007F7390">
              <w:rPr>
                <w:rFonts w:cs="Arial"/>
                <w:sz w:val="20"/>
                <w:szCs w:val="20"/>
                <w:vertAlign w:val="superscript"/>
              </w:rPr>
              <w:t>4</w:t>
            </w:r>
          </w:p>
        </w:tc>
        <w:tc>
          <w:tcPr>
            <w:tcW w:w="14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3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0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2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5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312"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r>
      <w:tr w:rsidR="00571CD2" w:rsidRPr="00854FC2" w:rsidTr="00EF0FF6">
        <w:trPr>
          <w:trHeight w:val="255"/>
        </w:trPr>
        <w:tc>
          <w:tcPr>
            <w:tcW w:w="2519" w:type="dxa"/>
            <w:tcBorders>
              <w:top w:val="nil"/>
              <w:left w:val="double" w:sz="6" w:space="0" w:color="000000"/>
              <w:bottom w:val="single" w:sz="4"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Revise the SPCC Plan</w:t>
            </w:r>
          </w:p>
        </w:tc>
        <w:tc>
          <w:tcPr>
            <w:tcW w:w="145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3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0.1</w:t>
            </w:r>
          </w:p>
        </w:tc>
        <w:tc>
          <w:tcPr>
            <w:tcW w:w="140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2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0.1</w:t>
            </w:r>
          </w:p>
        </w:tc>
        <w:tc>
          <w:tcPr>
            <w:tcW w:w="15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312"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r>
      <w:tr w:rsidR="00571CD2" w:rsidRPr="00854FC2" w:rsidTr="00EF0FF6">
        <w:trPr>
          <w:trHeight w:val="525"/>
        </w:trPr>
        <w:tc>
          <w:tcPr>
            <w:tcW w:w="2519" w:type="dxa"/>
            <w:tcBorders>
              <w:top w:val="nil"/>
              <w:left w:val="double" w:sz="6" w:space="0" w:color="000000"/>
              <w:bottom w:val="double" w:sz="6" w:space="0" w:color="000000"/>
              <w:right w:val="nil"/>
            </w:tcBorders>
            <w:tcMar>
              <w:top w:w="15" w:type="dxa"/>
              <w:left w:w="15" w:type="dxa"/>
              <w:bottom w:w="0" w:type="dxa"/>
              <w:right w:w="15" w:type="dxa"/>
            </w:tcMar>
            <w:vAlign w:val="center"/>
          </w:tcPr>
          <w:p w:rsidR="00571CD2" w:rsidRPr="00854FC2" w:rsidRDefault="00571CD2">
            <w:pPr>
              <w:rPr>
                <w:rFonts w:eastAsia="Arial Unicode MS" w:cs="Arial"/>
                <w:sz w:val="20"/>
                <w:szCs w:val="20"/>
              </w:rPr>
            </w:pPr>
            <w:r w:rsidRPr="00854FC2">
              <w:rPr>
                <w:rFonts w:cs="Arial"/>
                <w:sz w:val="20"/>
                <w:szCs w:val="20"/>
              </w:rPr>
              <w:t>Maintain the SPCC Plan and Keep Records</w:t>
            </w:r>
          </w:p>
        </w:tc>
        <w:tc>
          <w:tcPr>
            <w:tcW w:w="145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31"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1.9</w:t>
            </w:r>
          </w:p>
        </w:tc>
        <w:tc>
          <w:tcPr>
            <w:tcW w:w="140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413"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0.0</w:t>
            </w:r>
          </w:p>
        </w:tc>
        <w:tc>
          <w:tcPr>
            <w:tcW w:w="132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1.9</w:t>
            </w:r>
          </w:p>
        </w:tc>
        <w:tc>
          <w:tcPr>
            <w:tcW w:w="1532"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$126</w:t>
            </w:r>
          </w:p>
        </w:tc>
        <w:tc>
          <w:tcPr>
            <w:tcW w:w="9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sz w:val="20"/>
                <w:szCs w:val="20"/>
              </w:rPr>
            </w:pPr>
            <w:r>
              <w:rPr>
                <w:rFonts w:cs="Arial"/>
                <w:sz w:val="20"/>
                <w:szCs w:val="20"/>
              </w:rPr>
              <w:t>$0</w:t>
            </w:r>
          </w:p>
        </w:tc>
        <w:tc>
          <w:tcPr>
            <w:tcW w:w="1312"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571CD2" w:rsidRDefault="00CC79A3" w:rsidP="00FC38DA">
            <w:pPr>
              <w:jc w:val="right"/>
              <w:rPr>
                <w:rFonts w:cs="Arial"/>
                <w:sz w:val="20"/>
                <w:szCs w:val="20"/>
              </w:rPr>
            </w:pPr>
            <w:r>
              <w:rPr>
                <w:rFonts w:cs="Arial"/>
                <w:sz w:val="20"/>
                <w:szCs w:val="20"/>
              </w:rPr>
              <w:t>$4</w:t>
            </w:r>
            <w:r w:rsidR="00FC38DA">
              <w:rPr>
                <w:rFonts w:cs="Arial"/>
                <w:sz w:val="20"/>
                <w:szCs w:val="20"/>
              </w:rPr>
              <w:t>98</w:t>
            </w:r>
          </w:p>
        </w:tc>
      </w:tr>
      <w:tr w:rsidR="00571CD2" w:rsidRPr="00854FC2" w:rsidTr="00EF0FF6">
        <w:trPr>
          <w:trHeight w:val="285"/>
        </w:trPr>
        <w:tc>
          <w:tcPr>
            <w:tcW w:w="2519" w:type="dxa"/>
            <w:tcBorders>
              <w:top w:val="nil"/>
              <w:left w:val="double" w:sz="6" w:space="0" w:color="000000"/>
              <w:bottom w:val="double" w:sz="6" w:space="0" w:color="auto"/>
              <w:right w:val="nil"/>
            </w:tcBorders>
            <w:tcMar>
              <w:top w:w="15" w:type="dxa"/>
              <w:left w:w="15" w:type="dxa"/>
              <w:bottom w:w="0" w:type="dxa"/>
              <w:right w:w="15" w:type="dxa"/>
            </w:tcMar>
            <w:vAlign w:val="bottom"/>
          </w:tcPr>
          <w:p w:rsidR="00571CD2" w:rsidRPr="00854FC2" w:rsidRDefault="00571CD2">
            <w:pPr>
              <w:rPr>
                <w:rFonts w:eastAsia="Arial Unicode MS" w:cs="Arial"/>
                <w:b/>
                <w:bCs/>
                <w:sz w:val="20"/>
                <w:szCs w:val="20"/>
              </w:rPr>
            </w:pPr>
            <w:r w:rsidRPr="00854FC2">
              <w:rPr>
                <w:rFonts w:cs="Arial"/>
                <w:b/>
                <w:bCs/>
                <w:sz w:val="20"/>
                <w:szCs w:val="20"/>
              </w:rPr>
              <w:t>TOTAL</w:t>
            </w:r>
          </w:p>
        </w:tc>
        <w:tc>
          <w:tcPr>
            <w:tcW w:w="1459"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6.2</w:t>
            </w:r>
          </w:p>
        </w:tc>
        <w:tc>
          <w:tcPr>
            <w:tcW w:w="1431"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78.1</w:t>
            </w:r>
          </w:p>
        </w:tc>
        <w:tc>
          <w:tcPr>
            <w:tcW w:w="1406"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30.0</w:t>
            </w:r>
          </w:p>
        </w:tc>
        <w:tc>
          <w:tcPr>
            <w:tcW w:w="1413"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6.9</w:t>
            </w:r>
          </w:p>
        </w:tc>
        <w:tc>
          <w:tcPr>
            <w:tcW w:w="1327"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121</w:t>
            </w:r>
          </w:p>
        </w:tc>
        <w:tc>
          <w:tcPr>
            <w:tcW w:w="1532"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$126</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571CD2" w:rsidRDefault="00571CD2">
            <w:pPr>
              <w:jc w:val="right"/>
              <w:rPr>
                <w:rFonts w:cs="Arial"/>
                <w:b/>
                <w:bCs/>
                <w:sz w:val="20"/>
                <w:szCs w:val="20"/>
              </w:rPr>
            </w:pPr>
            <w:r>
              <w:rPr>
                <w:rFonts w:cs="Arial"/>
                <w:b/>
                <w:bCs/>
                <w:sz w:val="20"/>
                <w:szCs w:val="20"/>
              </w:rPr>
              <w:t>$3,</w:t>
            </w:r>
            <w:r w:rsidR="001438D8">
              <w:rPr>
                <w:rFonts w:cs="Arial"/>
                <w:b/>
                <w:bCs/>
                <w:sz w:val="20"/>
                <w:szCs w:val="20"/>
              </w:rPr>
              <w:t>650</w:t>
            </w:r>
          </w:p>
        </w:tc>
        <w:tc>
          <w:tcPr>
            <w:tcW w:w="1312"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571CD2" w:rsidRDefault="00571CD2" w:rsidP="00DA5A73">
            <w:pPr>
              <w:jc w:val="right"/>
              <w:rPr>
                <w:rFonts w:cs="Arial"/>
                <w:b/>
                <w:bCs/>
                <w:sz w:val="20"/>
                <w:szCs w:val="20"/>
              </w:rPr>
            </w:pPr>
            <w:r>
              <w:rPr>
                <w:rFonts w:cs="Arial"/>
                <w:b/>
                <w:bCs/>
                <w:sz w:val="20"/>
                <w:szCs w:val="20"/>
              </w:rPr>
              <w:t>$1</w:t>
            </w:r>
            <w:r w:rsidR="00DA5A73">
              <w:rPr>
                <w:rFonts w:cs="Arial"/>
                <w:b/>
                <w:bCs/>
                <w:sz w:val="20"/>
                <w:szCs w:val="20"/>
              </w:rPr>
              <w:t>4</w:t>
            </w:r>
            <w:r>
              <w:rPr>
                <w:rFonts w:cs="Arial"/>
                <w:b/>
                <w:bCs/>
                <w:sz w:val="20"/>
                <w:szCs w:val="20"/>
              </w:rPr>
              <w:t>,</w:t>
            </w:r>
            <w:r w:rsidR="00DA5A73">
              <w:rPr>
                <w:rFonts w:cs="Arial"/>
                <w:b/>
                <w:bCs/>
                <w:sz w:val="20"/>
                <w:szCs w:val="20"/>
              </w:rPr>
              <w:t>18</w:t>
            </w:r>
            <w:r>
              <w:rPr>
                <w:rFonts w:cs="Arial"/>
                <w:b/>
                <w:bCs/>
                <w:sz w:val="20"/>
                <w:szCs w:val="20"/>
              </w:rPr>
              <w:t>0</w:t>
            </w:r>
          </w:p>
        </w:tc>
      </w:tr>
      <w:tr w:rsidR="00D85665" w:rsidRPr="00854FC2" w:rsidTr="00EF0FF6">
        <w:trPr>
          <w:cantSplit/>
          <w:trHeight w:val="228"/>
        </w:trPr>
        <w:tc>
          <w:tcPr>
            <w:tcW w:w="13376"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  The numbers in this exhibit may not add precisely due to rounding. </w:t>
            </w:r>
          </w:p>
        </w:tc>
      </w:tr>
      <w:tr w:rsidR="00D85665" w:rsidRPr="00854FC2" w:rsidTr="00EF0FF6">
        <w:trPr>
          <w:cantSplit/>
          <w:trHeight w:val="255"/>
        </w:trPr>
        <w:tc>
          <w:tcPr>
            <w:tcW w:w="13376" w:type="dxa"/>
            <w:gridSpan w:val="9"/>
            <w:vMerge/>
            <w:tcBorders>
              <w:top w:val="double" w:sz="6" w:space="0" w:color="auto"/>
              <w:left w:val="nil"/>
              <w:bottom w:val="nil"/>
              <w:right w:val="nil"/>
            </w:tcBorders>
            <w:vAlign w:val="center"/>
          </w:tcPr>
          <w:p w:rsidR="00D85665" w:rsidRPr="00854FC2" w:rsidRDefault="00D85665">
            <w:pPr>
              <w:rPr>
                <w:rFonts w:eastAsia="Arial Unicode MS" w:cs="Arial"/>
                <w:sz w:val="18"/>
                <w:szCs w:val="18"/>
              </w:rPr>
            </w:pPr>
          </w:p>
        </w:tc>
      </w:tr>
      <w:tr w:rsidR="00D85665" w:rsidRPr="00854FC2" w:rsidTr="00EF0FF6">
        <w:trPr>
          <w:trHeight w:val="270"/>
        </w:trPr>
        <w:tc>
          <w:tcPr>
            <w:tcW w:w="13376" w:type="dxa"/>
            <w:gridSpan w:val="9"/>
            <w:tcBorders>
              <w:top w:val="nil"/>
              <w:left w:val="nil"/>
              <w:bottom w:val="nil"/>
              <w:right w:val="nil"/>
            </w:tcBorders>
            <w:noWrap/>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rsidTr="00EF0FF6">
        <w:trPr>
          <w:cantSplit/>
          <w:trHeight w:val="540"/>
        </w:trPr>
        <w:tc>
          <w:tcPr>
            <w:tcW w:w="13376" w:type="dxa"/>
            <w:gridSpan w:val="9"/>
            <w:vMerge w:val="restart"/>
            <w:tcBorders>
              <w:top w:val="nil"/>
              <w:left w:val="nil"/>
              <w:bottom w:val="nil"/>
              <w:right w:val="nil"/>
            </w:tcBorders>
            <w:tcMar>
              <w:top w:w="0" w:type="dxa"/>
              <w:left w:w="15" w:type="dxa"/>
              <w:bottom w:w="0" w:type="dxa"/>
              <w:right w:w="15" w:type="dxa"/>
            </w:tcMar>
            <w:vAlign w:val="bottom"/>
          </w:tcPr>
          <w:p w:rsidR="00E62C17" w:rsidRDefault="00E62C17" w:rsidP="00E62C17">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Pr="009A488D">
              <w:rPr>
                <w:rFonts w:cs="Arial"/>
                <w:color w:val="000000"/>
                <w:sz w:val="18"/>
                <w:szCs w:val="18"/>
              </w:rPr>
              <w:t xml:space="preserve">New facilities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rsidR="00D85665" w:rsidRPr="00854FC2" w:rsidRDefault="00E62C17">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cost </w:t>
            </w:r>
            <w:r w:rsidR="00D85665" w:rsidRPr="004A5956">
              <w:rPr>
                <w:rFonts w:cs="Arial"/>
                <w:sz w:val="18"/>
                <w:szCs w:val="18"/>
              </w:rPr>
              <w:t>of $</w:t>
            </w:r>
            <w:r w:rsidR="00840E5C">
              <w:rPr>
                <w:rFonts w:cs="Arial"/>
                <w:sz w:val="18"/>
                <w:szCs w:val="18"/>
              </w:rPr>
              <w:t>139</w:t>
            </w:r>
            <w:r w:rsidR="00D85665" w:rsidRPr="004A5956">
              <w:rPr>
                <w:rFonts w:cs="Arial"/>
                <w:sz w:val="18"/>
                <w:szCs w:val="18"/>
              </w:rPr>
              <w:t>.  Because only 0.15 percent of all facilities are expected to meet the discharge criteria and submit information, the average unit burden is less than 0.1 hours, and</w:t>
            </w:r>
            <w:r w:rsidR="00D85665" w:rsidRPr="00854FC2">
              <w:rPr>
                <w:rFonts w:cs="Arial"/>
                <w:sz w:val="18"/>
                <w:szCs w:val="18"/>
              </w:rPr>
              <w:t xml:space="preserve"> is therefore indicated here as 0.  However, the actual unit burden and cost estimates are used in later calculations.</w:t>
            </w:r>
          </w:p>
        </w:tc>
      </w:tr>
      <w:tr w:rsidR="00D85665" w:rsidRPr="00854FC2" w:rsidTr="00EF0FF6">
        <w:trPr>
          <w:cantSplit/>
          <w:trHeight w:val="255"/>
        </w:trPr>
        <w:tc>
          <w:tcPr>
            <w:tcW w:w="13376" w:type="dxa"/>
            <w:gridSpan w:val="9"/>
            <w:vMerge/>
            <w:tcBorders>
              <w:top w:val="nil"/>
              <w:left w:val="nil"/>
              <w:bottom w:val="nil"/>
              <w:right w:val="nil"/>
            </w:tcBorders>
            <w:vAlign w:val="center"/>
          </w:tcPr>
          <w:p w:rsidR="00D85665" w:rsidRPr="00854FC2" w:rsidRDefault="00D85665">
            <w:pPr>
              <w:rPr>
                <w:rFonts w:eastAsia="Arial Unicode MS" w:cs="Arial"/>
                <w:sz w:val="18"/>
                <w:szCs w:val="18"/>
              </w:rPr>
            </w:pPr>
          </w:p>
        </w:tc>
      </w:tr>
    </w:tbl>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pgSz w:w="15840" w:h="12240" w:orient="landscape"/>
          <w:pgMar w:top="1440" w:right="1440" w:bottom="720" w:left="1440" w:header="720" w:footer="720" w:gutter="0"/>
          <w:cols w:space="720"/>
          <w:noEndnote/>
        </w:sectPr>
      </w:pPr>
    </w:p>
    <w:p w:rsidR="00D85665" w:rsidRPr="00854FC2" w:rsidRDefault="00D85665" w:rsidP="007C2FD5">
      <w:pPr>
        <w:pStyle w:val="Caption"/>
        <w:framePr w:hSpace="180" w:wrap="around" w:vAnchor="page" w:hAnchor="page" w:x="7026" w:y="1441"/>
        <w:jc w:val="left"/>
      </w:pPr>
      <w:bookmarkStart w:id="5" w:name="_Ref141694931"/>
      <w:r w:rsidRPr="00C21B7E">
        <w:lastRenderedPageBreak/>
        <w:t xml:space="preserve">Exhibit </w:t>
      </w:r>
      <w:r w:rsidR="002348E6">
        <w:fldChar w:fldCharType="begin"/>
      </w:r>
      <w:r w:rsidR="002348E6">
        <w:instrText xml:space="preserve"> SEQ Exhibit \* ARABIC </w:instrText>
      </w:r>
      <w:r w:rsidR="002348E6">
        <w:fldChar w:fldCharType="separate"/>
      </w:r>
      <w:r w:rsidR="00F61EFD">
        <w:rPr>
          <w:noProof/>
        </w:rPr>
        <w:t>8</w:t>
      </w:r>
      <w:r w:rsidR="002348E6">
        <w:fldChar w:fldCharType="end"/>
      </w:r>
      <w:bookmarkEnd w:id="5"/>
    </w:p>
    <w:tbl>
      <w:tblPr>
        <w:tblW w:w="13618" w:type="dxa"/>
        <w:tblInd w:w="-705" w:type="dxa"/>
        <w:tblCellMar>
          <w:left w:w="0" w:type="dxa"/>
          <w:right w:w="0" w:type="dxa"/>
        </w:tblCellMar>
        <w:tblLook w:val="0000"/>
      </w:tblPr>
      <w:tblGrid>
        <w:gridCol w:w="2535"/>
        <w:gridCol w:w="1449"/>
        <w:gridCol w:w="1409"/>
        <w:gridCol w:w="1373"/>
        <w:gridCol w:w="1382"/>
        <w:gridCol w:w="1486"/>
        <w:gridCol w:w="1528"/>
        <w:gridCol w:w="1144"/>
        <w:gridCol w:w="1312"/>
      </w:tblGrid>
      <w:tr w:rsidR="00D85665" w:rsidRPr="00854FC2" w:rsidTr="00EF0FF6">
        <w:trPr>
          <w:trHeight w:val="300"/>
        </w:trPr>
        <w:tc>
          <w:tcPr>
            <w:tcW w:w="13618" w:type="dxa"/>
            <w:gridSpan w:val="9"/>
            <w:tcBorders>
              <w:top w:val="nil"/>
              <w:left w:val="nil"/>
              <w:bottom w:val="nil"/>
              <w:right w:val="nil"/>
            </w:tcBorders>
            <w:noWrap/>
            <w:tcMar>
              <w:top w:w="15" w:type="dxa"/>
              <w:left w:w="15" w:type="dxa"/>
              <w:bottom w:w="0" w:type="dxa"/>
              <w:right w:w="15" w:type="dxa"/>
            </w:tcMar>
            <w:vAlign w:val="bottom"/>
          </w:tcPr>
          <w:p w:rsidR="00D85665" w:rsidRPr="00854FC2" w:rsidRDefault="00C21B7E">
            <w:pPr>
              <w:jc w:val="center"/>
              <w:rPr>
                <w:rFonts w:eastAsia="Arial Unicode MS" w:cs="Arial"/>
                <w:b/>
                <w:bCs/>
                <w:szCs w:val="22"/>
              </w:rPr>
            </w:pPr>
            <w:r w:rsidRPr="00854FC2">
              <w:rPr>
                <w:rFonts w:cs="Arial"/>
                <w:b/>
                <w:bCs/>
                <w:szCs w:val="22"/>
              </w:rPr>
              <w:t>Annual Burden and Unit Costs for All Required Information Collection Activities</w:t>
            </w:r>
            <w:r w:rsidR="00237DE8">
              <w:rPr>
                <w:rFonts w:cs="Arial"/>
                <w:b/>
                <w:bCs/>
                <w:szCs w:val="22"/>
              </w:rPr>
              <w:t xml:space="preserve"> </w:t>
            </w:r>
          </w:p>
        </w:tc>
      </w:tr>
      <w:tr w:rsidR="00D85665" w:rsidRPr="00854FC2" w:rsidTr="00EF0FF6">
        <w:trPr>
          <w:trHeight w:val="315"/>
        </w:trPr>
        <w:tc>
          <w:tcPr>
            <w:tcW w:w="13618" w:type="dxa"/>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 xml:space="preserve">Average Category IV Facility </w:t>
            </w:r>
          </w:p>
        </w:tc>
      </w:tr>
      <w:tr w:rsidR="00D85665" w:rsidRPr="00854FC2" w:rsidTr="00EF0FF6">
        <w:trPr>
          <w:cantSplit/>
          <w:trHeight w:val="285"/>
        </w:trPr>
        <w:tc>
          <w:tcPr>
            <w:tcW w:w="253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613"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854FC2" w:rsidRDefault="00D85665">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486"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Total Burden Hours</w:t>
            </w:r>
          </w:p>
        </w:tc>
        <w:tc>
          <w:tcPr>
            <w:tcW w:w="1528"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Capital/Startup Costs</w:t>
            </w:r>
          </w:p>
        </w:tc>
        <w:tc>
          <w:tcPr>
            <w:tcW w:w="1144"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PE Costs</w:t>
            </w:r>
          </w:p>
        </w:tc>
        <w:tc>
          <w:tcPr>
            <w:tcW w:w="1312"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854FC2" w:rsidRDefault="00C21285" w:rsidP="001F45F8">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w:t>
            </w:r>
            <w:r w:rsidR="001F45F8">
              <w:rPr>
                <w:rFonts w:cs="Arial"/>
                <w:b/>
                <w:bCs/>
                <w:sz w:val="20"/>
                <w:szCs w:val="20"/>
              </w:rPr>
              <w:t>12</w:t>
            </w:r>
            <w:r>
              <w:rPr>
                <w:rFonts w:cs="Arial"/>
                <w:b/>
                <w:bCs/>
                <w:sz w:val="20"/>
                <w:szCs w:val="20"/>
              </w:rPr>
              <w:t>$)</w:t>
            </w:r>
            <w:r w:rsidRPr="00854FC2">
              <w:rPr>
                <w:rFonts w:cs="Arial"/>
                <w:b/>
                <w:bCs/>
                <w:sz w:val="20"/>
                <w:szCs w:val="20"/>
                <w:vertAlign w:val="superscript"/>
              </w:rPr>
              <w:t>2</w:t>
            </w:r>
          </w:p>
        </w:tc>
      </w:tr>
      <w:tr w:rsidR="00D85665" w:rsidRPr="00854FC2" w:rsidTr="00EF0FF6">
        <w:trPr>
          <w:cantSplit/>
          <w:trHeight w:val="261"/>
        </w:trPr>
        <w:tc>
          <w:tcPr>
            <w:tcW w:w="2535" w:type="dxa"/>
            <w:vMerge/>
            <w:tcBorders>
              <w:top w:val="nil"/>
              <w:left w:val="double" w:sz="6"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1449"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Management</w:t>
            </w:r>
          </w:p>
        </w:tc>
        <w:tc>
          <w:tcPr>
            <w:tcW w:w="1409"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Technical</w:t>
            </w:r>
          </w:p>
        </w:tc>
        <w:tc>
          <w:tcPr>
            <w:tcW w:w="1373"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Drafter</w:t>
            </w:r>
          </w:p>
        </w:tc>
        <w:tc>
          <w:tcPr>
            <w:tcW w:w="1382"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Clerical</w:t>
            </w:r>
          </w:p>
        </w:tc>
        <w:tc>
          <w:tcPr>
            <w:tcW w:w="1486" w:type="dxa"/>
            <w:vMerge/>
            <w:tcBorders>
              <w:top w:val="nil"/>
              <w:left w:val="nil"/>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854FC2" w:rsidRDefault="00D85665">
            <w:pPr>
              <w:rPr>
                <w:rFonts w:eastAsia="Arial Unicode MS" w:cs="Arial"/>
                <w:b/>
                <w:bCs/>
                <w:sz w:val="20"/>
                <w:szCs w:val="20"/>
              </w:rPr>
            </w:pPr>
          </w:p>
        </w:tc>
      </w:tr>
      <w:tr w:rsidR="00D85665" w:rsidRPr="00854FC2" w:rsidTr="00EF0FF6">
        <w:trPr>
          <w:trHeight w:val="90"/>
        </w:trPr>
        <w:tc>
          <w:tcPr>
            <w:tcW w:w="13618"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RDefault="00D85665">
            <w:pPr>
              <w:rPr>
                <w:rFonts w:eastAsia="Arial Unicode MS" w:cs="Arial"/>
                <w:b/>
                <w:bCs/>
                <w:sz w:val="20"/>
                <w:szCs w:val="20"/>
              </w:rPr>
            </w:pPr>
            <w:r w:rsidRPr="00854FC2">
              <w:rPr>
                <w:rFonts w:cs="Arial"/>
                <w:b/>
                <w:bCs/>
                <w:sz w:val="20"/>
                <w:szCs w:val="20"/>
              </w:rPr>
              <w:t>Existing Facilities</w:t>
            </w:r>
          </w:p>
        </w:tc>
      </w:tr>
      <w:tr w:rsidR="00CF7F58" w:rsidRPr="00854FC2" w:rsidTr="00EF0FF6">
        <w:trPr>
          <w:trHeight w:val="360"/>
        </w:trPr>
        <w:tc>
          <w:tcPr>
            <w:tcW w:w="2535" w:type="dxa"/>
            <w:tcBorders>
              <w:top w:val="nil"/>
              <w:left w:val="double" w:sz="6" w:space="0" w:color="000000"/>
              <w:bottom w:val="nil"/>
              <w:right w:val="nil"/>
            </w:tcBorders>
            <w:tcMar>
              <w:top w:w="15" w:type="dxa"/>
              <w:left w:w="15" w:type="dxa"/>
              <w:bottom w:w="0" w:type="dxa"/>
              <w:right w:w="15" w:type="dxa"/>
            </w:tcMar>
            <w:vAlign w:val="center"/>
          </w:tcPr>
          <w:p w:rsidR="00CF7F58" w:rsidRPr="00854FC2" w:rsidRDefault="00CF7F58">
            <w:pPr>
              <w:pStyle w:val="FootnoteText"/>
              <w:rPr>
                <w:rFonts w:eastAsia="Arial Unicode MS" w:cs="Arial"/>
              </w:rPr>
            </w:pPr>
            <w:r w:rsidRPr="00854FC2">
              <w:rPr>
                <w:rFonts w:cs="Arial"/>
              </w:rPr>
              <w:t>Review the SPCC Plan</w:t>
            </w:r>
          </w:p>
        </w:tc>
        <w:tc>
          <w:tcPr>
            <w:tcW w:w="144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0.9</w:t>
            </w:r>
          </w:p>
        </w:tc>
        <w:tc>
          <w:tcPr>
            <w:tcW w:w="1409"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13.1</w:t>
            </w:r>
          </w:p>
        </w:tc>
        <w:tc>
          <w:tcPr>
            <w:tcW w:w="1373"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0.9</w:t>
            </w:r>
          </w:p>
        </w:tc>
        <w:tc>
          <w:tcPr>
            <w:tcW w:w="1486"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14.8</w:t>
            </w:r>
          </w:p>
        </w:tc>
        <w:tc>
          <w:tcPr>
            <w:tcW w:w="1528"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144"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312" w:type="dxa"/>
            <w:tcBorders>
              <w:top w:val="nil"/>
              <w:left w:val="nil"/>
              <w:bottom w:val="single" w:sz="4" w:space="0" w:color="auto"/>
              <w:right w:val="double" w:sz="6" w:space="0" w:color="000000"/>
            </w:tcBorders>
            <w:tcMar>
              <w:top w:w="15" w:type="dxa"/>
              <w:left w:w="15" w:type="dxa"/>
              <w:bottom w:w="0" w:type="dxa"/>
              <w:right w:w="72" w:type="dxa"/>
            </w:tcMar>
            <w:vAlign w:val="center"/>
          </w:tcPr>
          <w:p w:rsidR="00CF7F58" w:rsidRPr="00854FC2" w:rsidRDefault="00CF7F58" w:rsidP="00BE2868">
            <w:pPr>
              <w:jc w:val="right"/>
              <w:rPr>
                <w:rFonts w:eastAsia="Arial Unicode MS" w:cs="Arial"/>
                <w:sz w:val="20"/>
                <w:szCs w:val="20"/>
              </w:rPr>
            </w:pPr>
            <w:r>
              <w:rPr>
                <w:rFonts w:cs="Arial"/>
                <w:sz w:val="20"/>
                <w:szCs w:val="20"/>
              </w:rPr>
              <w:t>$1,</w:t>
            </w:r>
            <w:r w:rsidR="00BE2868">
              <w:rPr>
                <w:rFonts w:cs="Arial"/>
                <w:sz w:val="20"/>
                <w:szCs w:val="20"/>
              </w:rPr>
              <w:t>346</w:t>
            </w:r>
          </w:p>
        </w:tc>
      </w:tr>
      <w:tr w:rsidR="00CF7F58" w:rsidRPr="00854FC2" w:rsidTr="00EF0FF6">
        <w:trPr>
          <w:trHeight w:val="915"/>
        </w:trPr>
        <w:tc>
          <w:tcPr>
            <w:tcW w:w="253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CF7F58" w:rsidRPr="00854FC2" w:rsidRDefault="00CF7F58">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44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09"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73"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86"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528"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144"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312" w:type="dxa"/>
            <w:tcBorders>
              <w:top w:val="nil"/>
              <w:left w:val="nil"/>
              <w:bottom w:val="single" w:sz="4" w:space="0" w:color="auto"/>
              <w:right w:val="double" w:sz="6" w:space="0" w:color="000000"/>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r>
      <w:tr w:rsidR="00CF7F58" w:rsidRPr="00854FC2" w:rsidTr="00EF0FF6">
        <w:trPr>
          <w:trHeight w:val="540"/>
        </w:trPr>
        <w:tc>
          <w:tcPr>
            <w:tcW w:w="253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CF7F58" w:rsidRPr="00854FC2" w:rsidRDefault="00CF7F58">
            <w:pPr>
              <w:rPr>
                <w:rFonts w:eastAsia="Arial Unicode MS" w:cs="Arial"/>
                <w:sz w:val="20"/>
                <w:szCs w:val="20"/>
              </w:rPr>
            </w:pPr>
            <w:r w:rsidRPr="00854FC2">
              <w:rPr>
                <w:rFonts w:cs="Arial"/>
                <w:sz w:val="20"/>
                <w:szCs w:val="20"/>
              </w:rPr>
              <w:t>Revise the SPCC Plan</w:t>
            </w:r>
          </w:p>
        </w:tc>
        <w:tc>
          <w:tcPr>
            <w:tcW w:w="1449"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1.4</w:t>
            </w:r>
          </w:p>
        </w:tc>
        <w:tc>
          <w:tcPr>
            <w:tcW w:w="1409"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8.5</w:t>
            </w:r>
          </w:p>
        </w:tc>
        <w:tc>
          <w:tcPr>
            <w:tcW w:w="1373"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1.1</w:t>
            </w:r>
          </w:p>
        </w:tc>
        <w:tc>
          <w:tcPr>
            <w:tcW w:w="1486"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11.0</w:t>
            </w:r>
          </w:p>
        </w:tc>
        <w:tc>
          <w:tcPr>
            <w:tcW w:w="1528"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144" w:type="dxa"/>
            <w:tcBorders>
              <w:top w:val="nil"/>
              <w:left w:val="nil"/>
              <w:bottom w:val="single" w:sz="4"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$1,1</w:t>
            </w:r>
            <w:r w:rsidR="009B47D6">
              <w:rPr>
                <w:rFonts w:cs="Arial"/>
                <w:sz w:val="20"/>
                <w:szCs w:val="20"/>
              </w:rPr>
              <w:t>70</w:t>
            </w:r>
          </w:p>
        </w:tc>
        <w:tc>
          <w:tcPr>
            <w:tcW w:w="1312" w:type="dxa"/>
            <w:tcBorders>
              <w:top w:val="nil"/>
              <w:left w:val="nil"/>
              <w:bottom w:val="single" w:sz="4" w:space="0" w:color="auto"/>
              <w:right w:val="double" w:sz="6" w:space="0" w:color="000000"/>
            </w:tcBorders>
            <w:tcMar>
              <w:top w:w="15" w:type="dxa"/>
              <w:left w:w="15" w:type="dxa"/>
              <w:bottom w:w="0" w:type="dxa"/>
              <w:right w:w="72" w:type="dxa"/>
            </w:tcMar>
            <w:vAlign w:val="center"/>
          </w:tcPr>
          <w:p w:rsidR="00CF7F58" w:rsidRPr="00854FC2" w:rsidRDefault="00AE123C" w:rsidP="00BE2868">
            <w:pPr>
              <w:jc w:val="right"/>
              <w:rPr>
                <w:rFonts w:eastAsia="Arial Unicode MS" w:cs="Arial"/>
                <w:sz w:val="20"/>
                <w:szCs w:val="20"/>
              </w:rPr>
            </w:pPr>
            <w:r>
              <w:rPr>
                <w:rFonts w:cs="Arial"/>
                <w:sz w:val="20"/>
                <w:szCs w:val="20"/>
              </w:rPr>
              <w:t>$2,1</w:t>
            </w:r>
            <w:r w:rsidR="00BE2868">
              <w:rPr>
                <w:rFonts w:cs="Arial"/>
                <w:sz w:val="20"/>
                <w:szCs w:val="20"/>
              </w:rPr>
              <w:t>56</w:t>
            </w:r>
          </w:p>
        </w:tc>
      </w:tr>
      <w:tr w:rsidR="00CF7F58" w:rsidRPr="00854FC2" w:rsidTr="00EF0FF6">
        <w:trPr>
          <w:trHeight w:val="570"/>
        </w:trPr>
        <w:tc>
          <w:tcPr>
            <w:tcW w:w="253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CF7F58" w:rsidRPr="00854FC2" w:rsidRDefault="00CF7F58">
            <w:pPr>
              <w:rPr>
                <w:rFonts w:eastAsia="Arial Unicode MS" w:cs="Arial"/>
                <w:sz w:val="20"/>
                <w:szCs w:val="20"/>
              </w:rPr>
            </w:pPr>
            <w:r w:rsidRPr="00854FC2">
              <w:rPr>
                <w:rFonts w:cs="Arial"/>
                <w:sz w:val="20"/>
                <w:szCs w:val="20"/>
              </w:rPr>
              <w:t>Maintain the SPCC Plan and Keep Records</w:t>
            </w:r>
          </w:p>
        </w:tc>
        <w:tc>
          <w:tcPr>
            <w:tcW w:w="1449"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0.3</w:t>
            </w:r>
          </w:p>
        </w:tc>
        <w:tc>
          <w:tcPr>
            <w:tcW w:w="1409" w:type="dxa"/>
            <w:tcBorders>
              <w:top w:val="nil"/>
              <w:left w:val="nil"/>
              <w:bottom w:val="double" w:sz="6"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11.5</w:t>
            </w:r>
          </w:p>
        </w:tc>
        <w:tc>
          <w:tcPr>
            <w:tcW w:w="1373" w:type="dxa"/>
            <w:tcBorders>
              <w:top w:val="nil"/>
              <w:left w:val="nil"/>
              <w:bottom w:val="double" w:sz="6"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nil"/>
              <w:left w:val="nil"/>
              <w:bottom w:val="double" w:sz="6"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0.7</w:t>
            </w:r>
          </w:p>
        </w:tc>
        <w:tc>
          <w:tcPr>
            <w:tcW w:w="1486" w:type="dxa"/>
            <w:tcBorders>
              <w:top w:val="nil"/>
              <w:left w:val="nil"/>
              <w:bottom w:val="double" w:sz="6"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12.5</w:t>
            </w:r>
          </w:p>
        </w:tc>
        <w:tc>
          <w:tcPr>
            <w:tcW w:w="1528" w:type="dxa"/>
            <w:tcBorders>
              <w:top w:val="nil"/>
              <w:left w:val="nil"/>
              <w:bottom w:val="double" w:sz="6"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144" w:type="dxa"/>
            <w:tcBorders>
              <w:top w:val="nil"/>
              <w:left w:val="nil"/>
              <w:bottom w:val="double" w:sz="6" w:space="0" w:color="auto"/>
              <w:right w:val="single" w:sz="4" w:space="0" w:color="auto"/>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312" w:type="dxa"/>
            <w:tcBorders>
              <w:top w:val="nil"/>
              <w:left w:val="nil"/>
              <w:bottom w:val="double" w:sz="6" w:space="0" w:color="auto"/>
              <w:right w:val="double" w:sz="6" w:space="0" w:color="000000"/>
            </w:tcBorders>
            <w:tcMar>
              <w:top w:w="15" w:type="dxa"/>
              <w:left w:w="15" w:type="dxa"/>
              <w:bottom w:w="0" w:type="dxa"/>
              <w:right w:w="72" w:type="dxa"/>
            </w:tcMar>
            <w:vAlign w:val="center"/>
          </w:tcPr>
          <w:p w:rsidR="00CF7F58" w:rsidRPr="00854FC2" w:rsidRDefault="00CF7F58" w:rsidP="00BE2868">
            <w:pPr>
              <w:jc w:val="right"/>
              <w:rPr>
                <w:rFonts w:eastAsia="Arial Unicode MS" w:cs="Arial"/>
                <w:sz w:val="20"/>
                <w:szCs w:val="20"/>
              </w:rPr>
            </w:pPr>
            <w:r>
              <w:rPr>
                <w:rFonts w:cs="Arial"/>
                <w:sz w:val="20"/>
                <w:szCs w:val="20"/>
              </w:rPr>
              <w:t>$</w:t>
            </w:r>
            <w:r w:rsidR="00AE123C">
              <w:rPr>
                <w:rFonts w:cs="Arial"/>
                <w:sz w:val="20"/>
                <w:szCs w:val="20"/>
              </w:rPr>
              <w:t>7</w:t>
            </w:r>
            <w:r w:rsidR="00BE2868">
              <w:rPr>
                <w:rFonts w:cs="Arial"/>
                <w:sz w:val="20"/>
                <w:szCs w:val="20"/>
              </w:rPr>
              <w:t>9</w:t>
            </w:r>
            <w:r w:rsidR="00AE123C">
              <w:rPr>
                <w:rFonts w:cs="Arial"/>
                <w:sz w:val="20"/>
                <w:szCs w:val="20"/>
              </w:rPr>
              <w:t>0</w:t>
            </w:r>
          </w:p>
        </w:tc>
      </w:tr>
      <w:tr w:rsidR="00CF7F58" w:rsidRPr="00854FC2" w:rsidTr="00EF0FF6">
        <w:trPr>
          <w:trHeight w:val="192"/>
        </w:trPr>
        <w:tc>
          <w:tcPr>
            <w:tcW w:w="253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CF7F58" w:rsidRPr="00854FC2" w:rsidRDefault="00CF7F58">
            <w:pPr>
              <w:rPr>
                <w:rFonts w:eastAsia="Arial Unicode MS" w:cs="Arial"/>
                <w:b/>
                <w:bCs/>
                <w:sz w:val="20"/>
                <w:szCs w:val="20"/>
              </w:rPr>
            </w:pPr>
            <w:r w:rsidRPr="00854FC2">
              <w:rPr>
                <w:rFonts w:cs="Arial"/>
                <w:b/>
                <w:bCs/>
                <w:sz w:val="20"/>
                <w:szCs w:val="20"/>
              </w:rPr>
              <w:t>TOTAL</w:t>
            </w:r>
          </w:p>
        </w:tc>
        <w:tc>
          <w:tcPr>
            <w:tcW w:w="1449"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2.6</w:t>
            </w:r>
          </w:p>
        </w:tc>
        <w:tc>
          <w:tcPr>
            <w:tcW w:w="1409" w:type="dxa"/>
            <w:tcBorders>
              <w:top w:val="nil"/>
              <w:left w:val="single" w:sz="4" w:space="0" w:color="000000"/>
              <w:bottom w:val="double" w:sz="6" w:space="0" w:color="auto"/>
              <w:right w:val="nil"/>
            </w:tcBorders>
            <w:tcMar>
              <w:top w:w="0"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33.1</w:t>
            </w:r>
          </w:p>
        </w:tc>
        <w:tc>
          <w:tcPr>
            <w:tcW w:w="1373"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0.0</w:t>
            </w:r>
          </w:p>
        </w:tc>
        <w:tc>
          <w:tcPr>
            <w:tcW w:w="1382"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2.7</w:t>
            </w:r>
          </w:p>
        </w:tc>
        <w:tc>
          <w:tcPr>
            <w:tcW w:w="1486"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38.4</w:t>
            </w:r>
          </w:p>
        </w:tc>
        <w:tc>
          <w:tcPr>
            <w:tcW w:w="1528"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$0</w:t>
            </w:r>
          </w:p>
        </w:tc>
        <w:tc>
          <w:tcPr>
            <w:tcW w:w="1144"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$1,170</w:t>
            </w:r>
          </w:p>
        </w:tc>
        <w:tc>
          <w:tcPr>
            <w:tcW w:w="1312" w:type="dxa"/>
            <w:tcBorders>
              <w:top w:val="nil"/>
              <w:left w:val="nil"/>
              <w:bottom w:val="double" w:sz="6" w:space="0" w:color="auto"/>
              <w:right w:val="double" w:sz="6" w:space="0" w:color="000000"/>
            </w:tcBorders>
            <w:tcMar>
              <w:top w:w="15" w:type="dxa"/>
              <w:left w:w="15" w:type="dxa"/>
              <w:bottom w:w="0" w:type="dxa"/>
              <w:right w:w="72" w:type="dxa"/>
            </w:tcMar>
            <w:vAlign w:val="center"/>
          </w:tcPr>
          <w:p w:rsidR="00CF7F58" w:rsidRPr="00854FC2" w:rsidRDefault="00AE123C" w:rsidP="00BE2868">
            <w:pPr>
              <w:jc w:val="right"/>
              <w:rPr>
                <w:rFonts w:eastAsia="Arial Unicode MS" w:cs="Arial"/>
                <w:b/>
                <w:bCs/>
                <w:sz w:val="20"/>
                <w:szCs w:val="20"/>
              </w:rPr>
            </w:pPr>
            <w:r>
              <w:rPr>
                <w:rFonts w:cs="Arial"/>
                <w:b/>
                <w:bCs/>
                <w:sz w:val="20"/>
                <w:szCs w:val="20"/>
              </w:rPr>
              <w:t>$4,</w:t>
            </w:r>
            <w:r w:rsidR="00BE2868">
              <w:rPr>
                <w:rFonts w:cs="Arial"/>
                <w:b/>
                <w:bCs/>
                <w:sz w:val="20"/>
                <w:szCs w:val="20"/>
              </w:rPr>
              <w:t>211</w:t>
            </w:r>
          </w:p>
        </w:tc>
      </w:tr>
      <w:tr w:rsidR="00D85665" w:rsidRPr="00854FC2" w:rsidTr="00EF0FF6">
        <w:trPr>
          <w:trHeight w:val="216"/>
        </w:trPr>
        <w:tc>
          <w:tcPr>
            <w:tcW w:w="13618"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854FC2" w:rsidRDefault="00D85665">
            <w:pPr>
              <w:pStyle w:val="Heading5"/>
              <w:rPr>
                <w:rFonts w:eastAsia="Arial Unicode MS"/>
                <w:szCs w:val="20"/>
              </w:rPr>
            </w:pPr>
            <w:r w:rsidRPr="00854FC2">
              <w:rPr>
                <w:szCs w:val="20"/>
              </w:rPr>
              <w:t>New Facilities</w:t>
            </w:r>
          </w:p>
        </w:tc>
      </w:tr>
      <w:tr w:rsidR="00CF7F58" w:rsidRPr="00854FC2" w:rsidTr="00EF0FF6">
        <w:trPr>
          <w:trHeight w:val="255"/>
        </w:trPr>
        <w:tc>
          <w:tcPr>
            <w:tcW w:w="2535" w:type="dxa"/>
            <w:tcBorders>
              <w:top w:val="nil"/>
              <w:left w:val="double" w:sz="6" w:space="0" w:color="000000"/>
              <w:bottom w:val="nil"/>
              <w:right w:val="nil"/>
            </w:tcBorders>
            <w:vAlign w:val="center"/>
          </w:tcPr>
          <w:p w:rsidR="00CF7F58" w:rsidRPr="00854FC2" w:rsidRDefault="00CF7F58">
            <w:pPr>
              <w:rPr>
                <w:rFonts w:eastAsia="Arial Unicode MS" w:cs="Arial"/>
                <w:sz w:val="20"/>
                <w:szCs w:val="20"/>
              </w:rPr>
            </w:pPr>
            <w:r w:rsidRPr="00854FC2">
              <w:rPr>
                <w:rFonts w:cs="Arial"/>
                <w:sz w:val="20"/>
                <w:szCs w:val="20"/>
              </w:rPr>
              <w:t>Prepare an SPCC Plan</w:t>
            </w:r>
          </w:p>
        </w:tc>
        <w:tc>
          <w:tcPr>
            <w:tcW w:w="1449" w:type="dxa"/>
            <w:tcBorders>
              <w:top w:val="nil"/>
              <w:left w:val="single" w:sz="4" w:space="0" w:color="000000"/>
              <w:bottom w:val="nil"/>
              <w:right w:val="nil"/>
            </w:tcBorders>
            <w:tcMar>
              <w:top w:w="0" w:type="dxa"/>
              <w:left w:w="15" w:type="dxa"/>
              <w:bottom w:w="0" w:type="dxa"/>
              <w:right w:w="72" w:type="dxa"/>
            </w:tcMar>
            <w:vAlign w:val="center"/>
          </w:tcPr>
          <w:p w:rsidR="00CF7F58" w:rsidRPr="00854FC2" w:rsidRDefault="00087953">
            <w:pPr>
              <w:jc w:val="right"/>
              <w:rPr>
                <w:rFonts w:eastAsia="Arial Unicode MS" w:cs="Arial"/>
                <w:sz w:val="20"/>
                <w:szCs w:val="20"/>
              </w:rPr>
            </w:pPr>
            <w:r>
              <w:rPr>
                <w:rFonts w:cs="Arial"/>
                <w:sz w:val="20"/>
                <w:szCs w:val="20"/>
              </w:rPr>
              <w:t>10.9</w:t>
            </w:r>
          </w:p>
        </w:tc>
        <w:tc>
          <w:tcPr>
            <w:tcW w:w="1409" w:type="dxa"/>
            <w:tcBorders>
              <w:top w:val="nil"/>
              <w:left w:val="single" w:sz="4" w:space="0" w:color="000000"/>
              <w:bottom w:val="nil"/>
              <w:right w:val="nil"/>
            </w:tcBorders>
            <w:tcMar>
              <w:right w:w="72" w:type="dxa"/>
            </w:tcMar>
            <w:vAlign w:val="center"/>
          </w:tcPr>
          <w:p w:rsidR="00CF7F58" w:rsidRPr="00854FC2" w:rsidRDefault="00087953">
            <w:pPr>
              <w:jc w:val="right"/>
              <w:rPr>
                <w:rFonts w:eastAsia="Arial Unicode MS" w:cs="Arial"/>
                <w:sz w:val="20"/>
                <w:szCs w:val="20"/>
              </w:rPr>
            </w:pPr>
            <w:r>
              <w:rPr>
                <w:rFonts w:cs="Arial"/>
                <w:sz w:val="20"/>
                <w:szCs w:val="20"/>
              </w:rPr>
              <w:t>126</w:t>
            </w:r>
          </w:p>
        </w:tc>
        <w:tc>
          <w:tcPr>
            <w:tcW w:w="1373" w:type="dxa"/>
            <w:tcBorders>
              <w:top w:val="nil"/>
              <w:left w:val="single" w:sz="4" w:space="0" w:color="000000"/>
              <w:bottom w:val="nil"/>
              <w:right w:val="nil"/>
            </w:tcBorders>
            <w:tcMar>
              <w:top w:w="15" w:type="dxa"/>
              <w:left w:w="15" w:type="dxa"/>
              <w:bottom w:w="0" w:type="dxa"/>
              <w:right w:w="72" w:type="dxa"/>
            </w:tcMar>
            <w:vAlign w:val="center"/>
          </w:tcPr>
          <w:p w:rsidR="00CF7F58" w:rsidRPr="00854FC2" w:rsidRDefault="00087953">
            <w:pPr>
              <w:jc w:val="right"/>
              <w:rPr>
                <w:rFonts w:eastAsia="Arial Unicode MS" w:cs="Arial"/>
                <w:sz w:val="20"/>
                <w:szCs w:val="20"/>
              </w:rPr>
            </w:pPr>
            <w:r>
              <w:rPr>
                <w:rFonts w:cs="Arial"/>
                <w:sz w:val="20"/>
                <w:szCs w:val="20"/>
              </w:rPr>
              <w:t>40.8</w:t>
            </w:r>
          </w:p>
        </w:tc>
        <w:tc>
          <w:tcPr>
            <w:tcW w:w="1382" w:type="dxa"/>
            <w:tcBorders>
              <w:top w:val="nil"/>
              <w:left w:val="single" w:sz="4" w:space="0" w:color="000000"/>
              <w:bottom w:val="nil"/>
              <w:right w:val="nil"/>
            </w:tcBorders>
            <w:tcMar>
              <w:top w:w="0" w:type="dxa"/>
              <w:left w:w="15" w:type="dxa"/>
              <w:bottom w:w="0" w:type="dxa"/>
              <w:right w:w="72" w:type="dxa"/>
            </w:tcMar>
            <w:vAlign w:val="center"/>
          </w:tcPr>
          <w:p w:rsidR="00CF7F58" w:rsidRPr="00854FC2" w:rsidRDefault="00087953">
            <w:pPr>
              <w:jc w:val="right"/>
              <w:rPr>
                <w:rFonts w:eastAsia="Arial Unicode MS" w:cs="Arial"/>
                <w:sz w:val="20"/>
                <w:szCs w:val="20"/>
              </w:rPr>
            </w:pPr>
            <w:r>
              <w:rPr>
                <w:rFonts w:cs="Arial"/>
                <w:sz w:val="20"/>
                <w:szCs w:val="20"/>
              </w:rPr>
              <w:t>13.6</w:t>
            </w:r>
          </w:p>
        </w:tc>
        <w:tc>
          <w:tcPr>
            <w:tcW w:w="1486" w:type="dxa"/>
            <w:tcBorders>
              <w:top w:val="nil"/>
              <w:left w:val="single" w:sz="4" w:space="0" w:color="000000"/>
              <w:bottom w:val="nil"/>
              <w:right w:val="nil"/>
            </w:tcBorders>
            <w:tcMar>
              <w:top w:w="15" w:type="dxa"/>
              <w:left w:w="15" w:type="dxa"/>
              <w:bottom w:w="0" w:type="dxa"/>
              <w:right w:w="72" w:type="dxa"/>
            </w:tcMar>
            <w:vAlign w:val="center"/>
          </w:tcPr>
          <w:p w:rsidR="00CF7F58" w:rsidRPr="00854FC2" w:rsidRDefault="00AE123C">
            <w:pPr>
              <w:jc w:val="right"/>
              <w:rPr>
                <w:rFonts w:eastAsia="Arial Unicode MS" w:cs="Arial"/>
                <w:sz w:val="20"/>
                <w:szCs w:val="20"/>
              </w:rPr>
            </w:pPr>
            <w:r>
              <w:rPr>
                <w:rFonts w:cs="Arial"/>
                <w:sz w:val="20"/>
                <w:szCs w:val="20"/>
              </w:rPr>
              <w:t>192</w:t>
            </w:r>
          </w:p>
        </w:tc>
        <w:tc>
          <w:tcPr>
            <w:tcW w:w="1528" w:type="dxa"/>
            <w:tcBorders>
              <w:top w:val="nil"/>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144" w:type="dxa"/>
            <w:tcBorders>
              <w:top w:val="nil"/>
              <w:left w:val="single" w:sz="4" w:space="0" w:color="000000"/>
              <w:bottom w:val="nil"/>
              <w:right w:val="nil"/>
            </w:tcBorders>
            <w:tcMar>
              <w:top w:w="0"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$6,5</w:t>
            </w:r>
            <w:r w:rsidR="009B47D6">
              <w:rPr>
                <w:rFonts w:cs="Arial"/>
                <w:sz w:val="20"/>
                <w:szCs w:val="20"/>
              </w:rPr>
              <w:t>2</w:t>
            </w:r>
            <w:r>
              <w:rPr>
                <w:rFonts w:cs="Arial"/>
                <w:sz w:val="20"/>
                <w:szCs w:val="20"/>
              </w:rPr>
              <w:t>0</w:t>
            </w:r>
          </w:p>
        </w:tc>
        <w:tc>
          <w:tcPr>
            <w:tcW w:w="1312" w:type="dxa"/>
            <w:tcBorders>
              <w:top w:val="nil"/>
              <w:left w:val="single" w:sz="4" w:space="0" w:color="000000"/>
              <w:bottom w:val="nil"/>
              <w:right w:val="double" w:sz="6" w:space="0" w:color="000000"/>
            </w:tcBorders>
            <w:tcMar>
              <w:top w:w="15" w:type="dxa"/>
              <w:left w:w="15" w:type="dxa"/>
              <w:bottom w:w="0" w:type="dxa"/>
              <w:right w:w="72" w:type="dxa"/>
            </w:tcMar>
            <w:vAlign w:val="center"/>
          </w:tcPr>
          <w:p w:rsidR="00CF7F58" w:rsidRPr="00854FC2" w:rsidRDefault="00CF7F58" w:rsidP="00FC38DA">
            <w:pPr>
              <w:jc w:val="right"/>
              <w:rPr>
                <w:rFonts w:eastAsia="Arial Unicode MS" w:cs="Arial"/>
                <w:sz w:val="20"/>
                <w:szCs w:val="20"/>
              </w:rPr>
            </w:pPr>
            <w:r>
              <w:rPr>
                <w:rFonts w:cs="Arial"/>
                <w:sz w:val="20"/>
                <w:szCs w:val="20"/>
              </w:rPr>
              <w:t>$2</w:t>
            </w:r>
            <w:r w:rsidR="00FC38DA">
              <w:rPr>
                <w:rFonts w:cs="Arial"/>
                <w:sz w:val="20"/>
                <w:szCs w:val="20"/>
              </w:rPr>
              <w:t>3,075</w:t>
            </w:r>
          </w:p>
        </w:tc>
      </w:tr>
      <w:tr w:rsidR="00CF7F58" w:rsidRPr="00854FC2" w:rsidTr="00EF0FF6">
        <w:trPr>
          <w:trHeight w:val="255"/>
        </w:trPr>
        <w:tc>
          <w:tcPr>
            <w:tcW w:w="253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CF7F58" w:rsidRPr="00854FC2" w:rsidRDefault="00CF7F58">
            <w:pPr>
              <w:rPr>
                <w:rFonts w:eastAsia="Arial Unicode MS" w:cs="Arial"/>
                <w:sz w:val="20"/>
                <w:szCs w:val="20"/>
              </w:rPr>
            </w:pPr>
            <w:r w:rsidRPr="00854FC2">
              <w:rPr>
                <w:rFonts w:cs="Arial"/>
                <w:sz w:val="20"/>
                <w:szCs w:val="20"/>
              </w:rPr>
              <w:t>Prepare a Contingency Plan</w:t>
            </w:r>
          </w:p>
        </w:tc>
        <w:tc>
          <w:tcPr>
            <w:tcW w:w="144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0.7</w:t>
            </w:r>
          </w:p>
        </w:tc>
        <w:tc>
          <w:tcPr>
            <w:tcW w:w="140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3.5</w:t>
            </w:r>
          </w:p>
        </w:tc>
        <w:tc>
          <w:tcPr>
            <w:tcW w:w="137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1.0</w:t>
            </w:r>
          </w:p>
        </w:tc>
        <w:tc>
          <w:tcPr>
            <w:tcW w:w="148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5.1</w:t>
            </w:r>
          </w:p>
        </w:tc>
        <w:tc>
          <w:tcPr>
            <w:tcW w:w="152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571CD2">
            <w:pPr>
              <w:jc w:val="right"/>
              <w:rPr>
                <w:rFonts w:eastAsia="Arial Unicode MS" w:cs="Arial"/>
                <w:sz w:val="20"/>
                <w:szCs w:val="20"/>
              </w:rPr>
            </w:pPr>
            <w:r>
              <w:rPr>
                <w:rFonts w:cs="Arial"/>
                <w:sz w:val="20"/>
                <w:szCs w:val="20"/>
              </w:rPr>
              <w:t>$</w:t>
            </w:r>
            <w:r w:rsidR="00CF7F58">
              <w:rPr>
                <w:rFonts w:cs="Arial"/>
                <w:sz w:val="20"/>
                <w:szCs w:val="20"/>
              </w:rPr>
              <w:t>0</w:t>
            </w:r>
          </w:p>
        </w:tc>
        <w:tc>
          <w:tcPr>
            <w:tcW w:w="11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571CD2">
            <w:pPr>
              <w:jc w:val="right"/>
              <w:rPr>
                <w:rFonts w:eastAsia="Arial Unicode MS" w:cs="Arial"/>
                <w:sz w:val="20"/>
                <w:szCs w:val="20"/>
              </w:rPr>
            </w:pPr>
            <w:r>
              <w:rPr>
                <w:rFonts w:cs="Arial"/>
                <w:sz w:val="20"/>
                <w:szCs w:val="20"/>
              </w:rPr>
              <w:t>$</w:t>
            </w:r>
            <w:r w:rsidR="00CF7F58">
              <w:rPr>
                <w:rFonts w:cs="Arial"/>
                <w:sz w:val="20"/>
                <w:szCs w:val="20"/>
              </w:rPr>
              <w:t>0</w:t>
            </w:r>
          </w:p>
        </w:tc>
        <w:tc>
          <w:tcPr>
            <w:tcW w:w="1312"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CF7F58" w:rsidRPr="00854FC2" w:rsidRDefault="00087953" w:rsidP="00FC38DA">
            <w:pPr>
              <w:jc w:val="right"/>
              <w:rPr>
                <w:rFonts w:eastAsia="Arial Unicode MS" w:cs="Arial"/>
                <w:sz w:val="20"/>
                <w:szCs w:val="20"/>
              </w:rPr>
            </w:pPr>
            <w:r>
              <w:rPr>
                <w:rFonts w:cs="Arial"/>
                <w:sz w:val="20"/>
                <w:szCs w:val="20"/>
              </w:rPr>
              <w:t>$</w:t>
            </w:r>
            <w:r w:rsidR="00CF7F58">
              <w:rPr>
                <w:rFonts w:cs="Arial"/>
                <w:sz w:val="20"/>
                <w:szCs w:val="20"/>
              </w:rPr>
              <w:t>2</w:t>
            </w:r>
            <w:r w:rsidR="00FC38DA">
              <w:rPr>
                <w:rFonts w:cs="Arial"/>
                <w:sz w:val="20"/>
                <w:szCs w:val="20"/>
              </w:rPr>
              <w:t>34</w:t>
            </w:r>
          </w:p>
        </w:tc>
      </w:tr>
      <w:tr w:rsidR="00CF7F58" w:rsidRPr="00854FC2" w:rsidTr="00EF0FF6">
        <w:trPr>
          <w:trHeight w:val="795"/>
        </w:trPr>
        <w:tc>
          <w:tcPr>
            <w:tcW w:w="253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CF7F58" w:rsidRPr="00854FC2" w:rsidRDefault="00CF7F58">
            <w:pPr>
              <w:rPr>
                <w:rFonts w:eastAsia="Arial Unicode MS" w:cs="Arial"/>
                <w:sz w:val="20"/>
                <w:szCs w:val="20"/>
              </w:rPr>
            </w:pPr>
            <w:r w:rsidRPr="00854FC2">
              <w:rPr>
                <w:rFonts w:cs="Arial"/>
                <w:sz w:val="20"/>
                <w:szCs w:val="20"/>
              </w:rPr>
              <w:t>Submit Information in the Event of Certain Discharges of Oil</w:t>
            </w:r>
            <w:r w:rsidR="007F7390">
              <w:rPr>
                <w:rFonts w:cs="Arial"/>
                <w:sz w:val="20"/>
                <w:szCs w:val="20"/>
                <w:vertAlign w:val="superscript"/>
              </w:rPr>
              <w:t>4</w:t>
            </w:r>
          </w:p>
        </w:tc>
        <w:tc>
          <w:tcPr>
            <w:tcW w:w="144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0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7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8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52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1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312"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r>
      <w:tr w:rsidR="00CF7F58" w:rsidRPr="00854FC2" w:rsidTr="00EF0FF6">
        <w:trPr>
          <w:trHeight w:val="255"/>
        </w:trPr>
        <w:tc>
          <w:tcPr>
            <w:tcW w:w="2535" w:type="dxa"/>
            <w:tcBorders>
              <w:top w:val="nil"/>
              <w:left w:val="double" w:sz="6" w:space="0" w:color="000000"/>
              <w:bottom w:val="single" w:sz="4" w:space="0" w:color="000000"/>
              <w:right w:val="nil"/>
            </w:tcBorders>
            <w:tcMar>
              <w:top w:w="15" w:type="dxa"/>
              <w:left w:w="15" w:type="dxa"/>
              <w:bottom w:w="0" w:type="dxa"/>
              <w:right w:w="15" w:type="dxa"/>
            </w:tcMar>
            <w:vAlign w:val="center"/>
          </w:tcPr>
          <w:p w:rsidR="00CF7F58" w:rsidRPr="00854FC2" w:rsidRDefault="00CF7F58">
            <w:pPr>
              <w:rPr>
                <w:rFonts w:eastAsia="Arial Unicode MS" w:cs="Arial"/>
                <w:sz w:val="20"/>
                <w:szCs w:val="20"/>
              </w:rPr>
            </w:pPr>
            <w:r w:rsidRPr="00854FC2">
              <w:rPr>
                <w:rFonts w:cs="Arial"/>
                <w:sz w:val="20"/>
                <w:szCs w:val="20"/>
              </w:rPr>
              <w:t>Revise the SPCC Plan</w:t>
            </w:r>
          </w:p>
        </w:tc>
        <w:tc>
          <w:tcPr>
            <w:tcW w:w="144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0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0.1</w:t>
            </w:r>
          </w:p>
        </w:tc>
        <w:tc>
          <w:tcPr>
            <w:tcW w:w="137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8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0.1</w:t>
            </w:r>
          </w:p>
        </w:tc>
        <w:tc>
          <w:tcPr>
            <w:tcW w:w="152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1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$13</w:t>
            </w:r>
          </w:p>
        </w:tc>
        <w:tc>
          <w:tcPr>
            <w:tcW w:w="1312"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CF7F58" w:rsidRPr="00854FC2" w:rsidRDefault="00CF7F58" w:rsidP="00FC38DA">
            <w:pPr>
              <w:jc w:val="right"/>
              <w:rPr>
                <w:rFonts w:eastAsia="Arial Unicode MS" w:cs="Arial"/>
                <w:sz w:val="20"/>
                <w:szCs w:val="20"/>
              </w:rPr>
            </w:pPr>
            <w:r>
              <w:rPr>
                <w:rFonts w:cs="Arial"/>
                <w:sz w:val="20"/>
                <w:szCs w:val="20"/>
              </w:rPr>
              <w:t>$2</w:t>
            </w:r>
            <w:r w:rsidR="00FC38DA">
              <w:rPr>
                <w:rFonts w:cs="Arial"/>
                <w:sz w:val="20"/>
                <w:szCs w:val="20"/>
              </w:rPr>
              <w:t>5</w:t>
            </w:r>
          </w:p>
        </w:tc>
      </w:tr>
      <w:tr w:rsidR="00CF7F58" w:rsidRPr="00854FC2" w:rsidTr="00EF0FF6">
        <w:trPr>
          <w:trHeight w:val="525"/>
        </w:trPr>
        <w:tc>
          <w:tcPr>
            <w:tcW w:w="2535" w:type="dxa"/>
            <w:tcBorders>
              <w:top w:val="nil"/>
              <w:left w:val="double" w:sz="6" w:space="0" w:color="000000"/>
              <w:bottom w:val="double" w:sz="6" w:space="0" w:color="000000"/>
              <w:right w:val="nil"/>
            </w:tcBorders>
            <w:tcMar>
              <w:top w:w="15" w:type="dxa"/>
              <w:left w:w="15" w:type="dxa"/>
              <w:bottom w:w="0" w:type="dxa"/>
              <w:right w:w="15" w:type="dxa"/>
            </w:tcMar>
            <w:vAlign w:val="center"/>
          </w:tcPr>
          <w:p w:rsidR="00CF7F58" w:rsidRPr="00854FC2" w:rsidRDefault="00CF7F58">
            <w:pPr>
              <w:rPr>
                <w:rFonts w:eastAsia="Arial Unicode MS" w:cs="Arial"/>
                <w:sz w:val="20"/>
                <w:szCs w:val="20"/>
              </w:rPr>
            </w:pPr>
            <w:r w:rsidRPr="00854FC2">
              <w:rPr>
                <w:rFonts w:cs="Arial"/>
                <w:sz w:val="20"/>
                <w:szCs w:val="20"/>
              </w:rPr>
              <w:t>Maintain the SPCC Plan and Keep Records</w:t>
            </w:r>
          </w:p>
        </w:tc>
        <w:tc>
          <w:tcPr>
            <w:tcW w:w="144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0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7.1</w:t>
            </w:r>
          </w:p>
        </w:tc>
        <w:tc>
          <w:tcPr>
            <w:tcW w:w="1373"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382"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0.0</w:t>
            </w:r>
          </w:p>
        </w:tc>
        <w:tc>
          <w:tcPr>
            <w:tcW w:w="148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7.1</w:t>
            </w:r>
          </w:p>
        </w:tc>
        <w:tc>
          <w:tcPr>
            <w:tcW w:w="1528"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$155</w:t>
            </w:r>
          </w:p>
        </w:tc>
        <w:tc>
          <w:tcPr>
            <w:tcW w:w="114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sz w:val="20"/>
                <w:szCs w:val="20"/>
              </w:rPr>
            </w:pPr>
            <w:r>
              <w:rPr>
                <w:rFonts w:cs="Arial"/>
                <w:sz w:val="20"/>
                <w:szCs w:val="20"/>
              </w:rPr>
              <w:t>$0</w:t>
            </w:r>
          </w:p>
        </w:tc>
        <w:tc>
          <w:tcPr>
            <w:tcW w:w="1312"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CF7F58" w:rsidRPr="00854FC2" w:rsidRDefault="00CF7F58" w:rsidP="00FC38DA">
            <w:pPr>
              <w:jc w:val="right"/>
              <w:rPr>
                <w:rFonts w:eastAsia="Arial Unicode MS" w:cs="Arial"/>
                <w:sz w:val="20"/>
                <w:szCs w:val="20"/>
              </w:rPr>
            </w:pPr>
            <w:r>
              <w:rPr>
                <w:rFonts w:cs="Arial"/>
                <w:sz w:val="20"/>
                <w:szCs w:val="20"/>
              </w:rPr>
              <w:t>$8</w:t>
            </w:r>
            <w:r w:rsidR="00FC38DA">
              <w:rPr>
                <w:rFonts w:cs="Arial"/>
                <w:sz w:val="20"/>
                <w:szCs w:val="20"/>
              </w:rPr>
              <w:t>86</w:t>
            </w:r>
          </w:p>
        </w:tc>
      </w:tr>
      <w:tr w:rsidR="00CF7F58" w:rsidRPr="00854FC2" w:rsidTr="00EF0FF6">
        <w:trPr>
          <w:trHeight w:val="198"/>
        </w:trPr>
        <w:tc>
          <w:tcPr>
            <w:tcW w:w="2535" w:type="dxa"/>
            <w:tcBorders>
              <w:top w:val="nil"/>
              <w:left w:val="double" w:sz="6" w:space="0" w:color="000000"/>
              <w:bottom w:val="double" w:sz="6" w:space="0" w:color="auto"/>
              <w:right w:val="nil"/>
            </w:tcBorders>
            <w:tcMar>
              <w:top w:w="15" w:type="dxa"/>
              <w:left w:w="15" w:type="dxa"/>
              <w:bottom w:w="0" w:type="dxa"/>
              <w:right w:w="15" w:type="dxa"/>
            </w:tcMar>
            <w:vAlign w:val="center"/>
          </w:tcPr>
          <w:p w:rsidR="00CF7F58" w:rsidRPr="00854FC2" w:rsidRDefault="00CF7F58">
            <w:pPr>
              <w:rPr>
                <w:rFonts w:eastAsia="Arial Unicode MS" w:cs="Arial"/>
                <w:b/>
                <w:bCs/>
                <w:sz w:val="20"/>
                <w:szCs w:val="20"/>
              </w:rPr>
            </w:pPr>
            <w:r w:rsidRPr="00854FC2">
              <w:rPr>
                <w:rFonts w:cs="Arial"/>
                <w:b/>
                <w:bCs/>
                <w:sz w:val="20"/>
                <w:szCs w:val="20"/>
              </w:rPr>
              <w:t>TOTAL</w:t>
            </w:r>
          </w:p>
        </w:tc>
        <w:tc>
          <w:tcPr>
            <w:tcW w:w="1449"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11.6</w:t>
            </w:r>
          </w:p>
        </w:tc>
        <w:tc>
          <w:tcPr>
            <w:tcW w:w="1409"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B14CDF">
            <w:pPr>
              <w:jc w:val="right"/>
              <w:rPr>
                <w:rFonts w:eastAsia="Arial Unicode MS" w:cs="Arial"/>
                <w:b/>
                <w:bCs/>
                <w:sz w:val="20"/>
                <w:szCs w:val="20"/>
              </w:rPr>
            </w:pPr>
            <w:r>
              <w:rPr>
                <w:rFonts w:cs="Arial"/>
                <w:b/>
                <w:bCs/>
                <w:sz w:val="20"/>
                <w:szCs w:val="20"/>
              </w:rPr>
              <w:t>137</w:t>
            </w:r>
            <w:r w:rsidR="00CF7F58" w:rsidRPr="00854FC2" w:rsidDel="00610DD3">
              <w:rPr>
                <w:rFonts w:cs="Arial"/>
                <w:b/>
                <w:bCs/>
                <w:sz w:val="20"/>
                <w:szCs w:val="20"/>
              </w:rPr>
              <w:t xml:space="preserve"> </w:t>
            </w:r>
          </w:p>
        </w:tc>
        <w:tc>
          <w:tcPr>
            <w:tcW w:w="1373"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087953">
            <w:pPr>
              <w:jc w:val="right"/>
              <w:rPr>
                <w:rFonts w:eastAsia="Arial Unicode MS" w:cs="Arial"/>
                <w:b/>
                <w:bCs/>
                <w:sz w:val="20"/>
                <w:szCs w:val="20"/>
              </w:rPr>
            </w:pPr>
            <w:r>
              <w:rPr>
                <w:rFonts w:cs="Arial"/>
                <w:b/>
                <w:bCs/>
                <w:sz w:val="20"/>
                <w:szCs w:val="20"/>
              </w:rPr>
              <w:t>40.8</w:t>
            </w:r>
          </w:p>
        </w:tc>
        <w:tc>
          <w:tcPr>
            <w:tcW w:w="1382"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087953">
            <w:pPr>
              <w:jc w:val="right"/>
              <w:rPr>
                <w:rFonts w:eastAsia="Arial Unicode MS" w:cs="Arial"/>
                <w:b/>
                <w:bCs/>
                <w:sz w:val="20"/>
                <w:szCs w:val="20"/>
              </w:rPr>
            </w:pPr>
            <w:r>
              <w:rPr>
                <w:rFonts w:cs="Arial"/>
                <w:b/>
                <w:bCs/>
                <w:sz w:val="20"/>
                <w:szCs w:val="20"/>
              </w:rPr>
              <w:t>14.5</w:t>
            </w:r>
          </w:p>
        </w:tc>
        <w:tc>
          <w:tcPr>
            <w:tcW w:w="1486"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6333F3">
            <w:pPr>
              <w:jc w:val="right"/>
              <w:rPr>
                <w:rFonts w:eastAsia="Arial Unicode MS" w:cs="Arial"/>
                <w:b/>
                <w:bCs/>
                <w:sz w:val="20"/>
                <w:szCs w:val="20"/>
              </w:rPr>
            </w:pPr>
            <w:r>
              <w:rPr>
                <w:rFonts w:cs="Arial"/>
                <w:b/>
                <w:bCs/>
                <w:sz w:val="20"/>
                <w:szCs w:val="20"/>
              </w:rPr>
              <w:t>204</w:t>
            </w:r>
          </w:p>
        </w:tc>
        <w:tc>
          <w:tcPr>
            <w:tcW w:w="1528"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$15</w:t>
            </w:r>
            <w:r w:rsidR="00A46FCC">
              <w:rPr>
                <w:rFonts w:cs="Arial"/>
                <w:b/>
                <w:bCs/>
                <w:sz w:val="20"/>
                <w:szCs w:val="20"/>
              </w:rPr>
              <w:t>5</w:t>
            </w:r>
          </w:p>
        </w:tc>
        <w:tc>
          <w:tcPr>
            <w:tcW w:w="1144" w:type="dxa"/>
            <w:tcBorders>
              <w:top w:val="nil"/>
              <w:left w:val="single" w:sz="4" w:space="0" w:color="000000"/>
              <w:bottom w:val="double" w:sz="6" w:space="0" w:color="auto"/>
              <w:right w:val="nil"/>
            </w:tcBorders>
            <w:tcMar>
              <w:top w:w="15" w:type="dxa"/>
              <w:left w:w="15" w:type="dxa"/>
              <w:bottom w:w="0" w:type="dxa"/>
              <w:right w:w="72" w:type="dxa"/>
            </w:tcMar>
            <w:vAlign w:val="center"/>
          </w:tcPr>
          <w:p w:rsidR="00CF7F58" w:rsidRPr="00854FC2" w:rsidRDefault="00CF7F58">
            <w:pPr>
              <w:jc w:val="right"/>
              <w:rPr>
                <w:rFonts w:eastAsia="Arial Unicode MS" w:cs="Arial"/>
                <w:b/>
                <w:bCs/>
                <w:sz w:val="20"/>
                <w:szCs w:val="20"/>
              </w:rPr>
            </w:pPr>
            <w:r>
              <w:rPr>
                <w:rFonts w:cs="Arial"/>
                <w:b/>
                <w:bCs/>
                <w:sz w:val="20"/>
                <w:szCs w:val="20"/>
              </w:rPr>
              <w:t>$6,5</w:t>
            </w:r>
            <w:r w:rsidR="009B47D6">
              <w:rPr>
                <w:rFonts w:cs="Arial"/>
                <w:b/>
                <w:bCs/>
                <w:sz w:val="20"/>
                <w:szCs w:val="20"/>
              </w:rPr>
              <w:t>3</w:t>
            </w:r>
            <w:r>
              <w:rPr>
                <w:rFonts w:cs="Arial"/>
                <w:b/>
                <w:bCs/>
                <w:sz w:val="20"/>
                <w:szCs w:val="20"/>
              </w:rPr>
              <w:t>0</w:t>
            </w:r>
          </w:p>
        </w:tc>
        <w:tc>
          <w:tcPr>
            <w:tcW w:w="1312"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CF7F58" w:rsidRPr="00854FC2" w:rsidRDefault="00CF7F58" w:rsidP="00DA5A73">
            <w:pPr>
              <w:jc w:val="right"/>
              <w:rPr>
                <w:rFonts w:eastAsia="Arial Unicode MS" w:cs="Arial"/>
                <w:b/>
                <w:bCs/>
                <w:sz w:val="20"/>
                <w:szCs w:val="20"/>
              </w:rPr>
            </w:pPr>
            <w:r>
              <w:rPr>
                <w:rFonts w:cs="Arial"/>
                <w:b/>
                <w:bCs/>
                <w:sz w:val="20"/>
                <w:szCs w:val="20"/>
              </w:rPr>
              <w:t>$2</w:t>
            </w:r>
            <w:r w:rsidR="00DA5A73">
              <w:rPr>
                <w:rFonts w:cs="Arial"/>
                <w:b/>
                <w:bCs/>
                <w:sz w:val="20"/>
                <w:szCs w:val="20"/>
              </w:rPr>
              <w:t>4</w:t>
            </w:r>
            <w:r>
              <w:rPr>
                <w:rFonts w:cs="Arial"/>
                <w:b/>
                <w:bCs/>
                <w:sz w:val="20"/>
                <w:szCs w:val="20"/>
              </w:rPr>
              <w:t>,</w:t>
            </w:r>
            <w:r w:rsidR="00DA5A73">
              <w:rPr>
                <w:rFonts w:cs="Arial"/>
                <w:b/>
                <w:bCs/>
                <w:sz w:val="20"/>
                <w:szCs w:val="20"/>
              </w:rPr>
              <w:t>22</w:t>
            </w:r>
            <w:r>
              <w:rPr>
                <w:rFonts w:cs="Arial"/>
                <w:b/>
                <w:bCs/>
                <w:sz w:val="20"/>
                <w:szCs w:val="20"/>
              </w:rPr>
              <w:t>0</w:t>
            </w:r>
          </w:p>
        </w:tc>
      </w:tr>
      <w:tr w:rsidR="00D85665" w:rsidRPr="00854FC2" w:rsidTr="00EF0FF6">
        <w:trPr>
          <w:cantSplit/>
          <w:trHeight w:val="228"/>
        </w:trPr>
        <w:tc>
          <w:tcPr>
            <w:tcW w:w="13618"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  The numbers in this exhibit may not add precisely due to rounding. </w:t>
            </w:r>
          </w:p>
        </w:tc>
      </w:tr>
      <w:tr w:rsidR="00D85665" w:rsidRPr="00854FC2" w:rsidTr="00EF0FF6">
        <w:trPr>
          <w:cantSplit/>
          <w:trHeight w:val="255"/>
        </w:trPr>
        <w:tc>
          <w:tcPr>
            <w:tcW w:w="13618" w:type="dxa"/>
            <w:gridSpan w:val="9"/>
            <w:vMerge/>
            <w:tcBorders>
              <w:top w:val="double" w:sz="6" w:space="0" w:color="auto"/>
              <w:left w:val="nil"/>
              <w:bottom w:val="nil"/>
              <w:right w:val="nil"/>
            </w:tcBorders>
            <w:vAlign w:val="center"/>
          </w:tcPr>
          <w:p w:rsidR="00D85665" w:rsidRPr="00854FC2" w:rsidRDefault="00D85665">
            <w:pPr>
              <w:rPr>
                <w:rFonts w:eastAsia="Arial Unicode MS" w:cs="Arial"/>
                <w:sz w:val="18"/>
                <w:szCs w:val="18"/>
              </w:rPr>
            </w:pPr>
          </w:p>
        </w:tc>
      </w:tr>
      <w:tr w:rsidR="00D85665" w:rsidRPr="00854FC2" w:rsidTr="00EF0FF6">
        <w:trPr>
          <w:trHeight w:val="270"/>
        </w:trPr>
        <w:tc>
          <w:tcPr>
            <w:tcW w:w="13618" w:type="dxa"/>
            <w:gridSpan w:val="9"/>
            <w:tcBorders>
              <w:top w:val="nil"/>
              <w:left w:val="nil"/>
              <w:bottom w:val="nil"/>
              <w:right w:val="nil"/>
            </w:tcBorders>
            <w:noWrap/>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rsidTr="00EF0FF6">
        <w:trPr>
          <w:cantSplit/>
          <w:trHeight w:val="540"/>
        </w:trPr>
        <w:tc>
          <w:tcPr>
            <w:tcW w:w="13618" w:type="dxa"/>
            <w:gridSpan w:val="9"/>
            <w:vMerge w:val="restart"/>
            <w:tcBorders>
              <w:top w:val="nil"/>
              <w:left w:val="nil"/>
              <w:bottom w:val="nil"/>
              <w:right w:val="nil"/>
            </w:tcBorders>
            <w:tcMar>
              <w:top w:w="0" w:type="dxa"/>
              <w:left w:w="15" w:type="dxa"/>
              <w:bottom w:w="0" w:type="dxa"/>
              <w:right w:w="15" w:type="dxa"/>
            </w:tcMar>
            <w:vAlign w:val="bottom"/>
          </w:tcPr>
          <w:p w:rsidR="00E329C7" w:rsidRDefault="00182143">
            <w:pPr>
              <w:rPr>
                <w:rFonts w:cs="Arial"/>
                <w:color w:val="000000"/>
                <w:sz w:val="18"/>
                <w:szCs w:val="18"/>
              </w:rPr>
            </w:pPr>
            <w:r>
              <w:rPr>
                <w:rFonts w:cs="Arial"/>
                <w:color w:val="000000"/>
                <w:sz w:val="18"/>
                <w:szCs w:val="18"/>
                <w:vertAlign w:val="superscript"/>
              </w:rPr>
              <w:t xml:space="preserve">3  </w:t>
            </w:r>
            <w:r w:rsidRPr="009A488D">
              <w:rPr>
                <w:rFonts w:cs="Arial"/>
                <w:color w:val="000000"/>
                <w:sz w:val="18"/>
                <w:szCs w:val="18"/>
              </w:rPr>
              <w:t>New</w:t>
            </w:r>
            <w:r w:rsidR="00AD7F67">
              <w:rPr>
                <w:rFonts w:cs="Arial"/>
                <w:color w:val="000000"/>
                <w:sz w:val="18"/>
                <w:szCs w:val="18"/>
              </w:rPr>
              <w:t xml:space="preserve"> </w:t>
            </w:r>
            <w:r w:rsidRPr="009A488D">
              <w:rPr>
                <w:rFonts w:cs="Arial"/>
                <w:color w:val="000000"/>
                <w:sz w:val="18"/>
                <w:szCs w:val="18"/>
              </w:rPr>
              <w:t xml:space="preserve">facilities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rsidR="00D85665" w:rsidRPr="00854FC2" w:rsidRDefault="00C9090E">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cost </w:t>
            </w:r>
            <w:r w:rsidR="00D85665" w:rsidRPr="004A5956">
              <w:rPr>
                <w:rFonts w:cs="Arial"/>
                <w:sz w:val="18"/>
                <w:szCs w:val="18"/>
              </w:rPr>
              <w:t>of $</w:t>
            </w:r>
            <w:r w:rsidR="00840E5C">
              <w:rPr>
                <w:rFonts w:cs="Arial"/>
                <w:sz w:val="18"/>
                <w:szCs w:val="18"/>
              </w:rPr>
              <w:t>139</w:t>
            </w:r>
            <w:r w:rsidR="00D85665" w:rsidRPr="004A5956">
              <w:rPr>
                <w:rFonts w:cs="Arial"/>
                <w:sz w:val="18"/>
                <w:szCs w:val="18"/>
              </w:rPr>
              <w:t>.  Because only 0.15 percent of all facilities are expected to meet the discharge criteria and submit information, the average unit burden is less than 0.1 hours, and</w:t>
            </w:r>
            <w:r w:rsidR="00D85665" w:rsidRPr="00854FC2">
              <w:rPr>
                <w:rFonts w:cs="Arial"/>
                <w:sz w:val="18"/>
                <w:szCs w:val="18"/>
              </w:rPr>
              <w:t xml:space="preserve"> is therefore indicated here as 0.  However, the actual unit burden and cost estimates are used in later calculations.</w:t>
            </w:r>
          </w:p>
        </w:tc>
      </w:tr>
      <w:tr w:rsidR="00D85665" w:rsidRPr="00854FC2" w:rsidTr="00EF0FF6">
        <w:trPr>
          <w:cantSplit/>
          <w:trHeight w:val="255"/>
        </w:trPr>
        <w:tc>
          <w:tcPr>
            <w:tcW w:w="13618" w:type="dxa"/>
            <w:gridSpan w:val="9"/>
            <w:vMerge/>
            <w:tcBorders>
              <w:top w:val="nil"/>
              <w:left w:val="nil"/>
              <w:bottom w:val="nil"/>
              <w:right w:val="nil"/>
            </w:tcBorders>
            <w:vAlign w:val="center"/>
          </w:tcPr>
          <w:p w:rsidR="00D85665" w:rsidRPr="00854FC2" w:rsidRDefault="00D85665">
            <w:pPr>
              <w:rPr>
                <w:rFonts w:eastAsia="Arial Unicode MS" w:cs="Arial"/>
                <w:sz w:val="18"/>
                <w:szCs w:val="18"/>
              </w:rPr>
            </w:pPr>
          </w:p>
        </w:tc>
      </w:tr>
    </w:tbl>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pgSz w:w="15840" w:h="12240" w:orient="landscape"/>
          <w:pgMar w:top="1440" w:right="1440" w:bottom="720" w:left="1440" w:header="720" w:footer="720" w:gutter="0"/>
          <w:cols w:space="720"/>
          <w:noEndnote/>
        </w:sectPr>
      </w:pP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54FC2">
        <w:rPr>
          <w:rFonts w:cs="Arial"/>
          <w:b/>
          <w:bCs/>
          <w:szCs w:val="22"/>
        </w:rPr>
        <w:lastRenderedPageBreak/>
        <w:t xml:space="preserve">6(c) </w:t>
      </w:r>
      <w:r w:rsidRPr="00854FC2">
        <w:rPr>
          <w:rFonts w:cs="Arial"/>
          <w:b/>
          <w:bCs/>
          <w:szCs w:val="22"/>
        </w:rPr>
        <w:tab/>
        <w:t>Estimating Agency Burden and Costs</w:t>
      </w:r>
    </w:p>
    <w:p w:rsidR="00D85665" w:rsidRPr="00854FC2" w:rsidRDefault="00D85665">
      <w:pPr>
        <w:keepNext/>
        <w:numPr>
          <w:ilvl w:val="12"/>
          <w:numId w:val="0"/>
        </w:numPr>
        <w:rPr>
          <w:rFonts w:cs="Arial"/>
          <w:szCs w:val="22"/>
        </w:rPr>
      </w:pPr>
    </w:p>
    <w:p w:rsidR="00D85665" w:rsidRPr="00854FC2" w:rsidRDefault="002348E6" w:rsidP="00C02B77">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 xml:space="preserve">EPA incurs costs associated with the evaluation of information submitted in accordance with §112.4 as well as consideration of appeals. This section summarizes the estimated burden and cost of these activities to EPA. Burden estimates are based on input from EPA regional staff involved directly with the implementation of 40 CFR part 112. </w:t>
      </w:r>
      <w:fldSimple w:instr=" REF _Ref141690222  \* MERGEFORMAT ">
        <w:r w:rsidR="00F61EFD" w:rsidRPr="000F60E5">
          <w:t xml:space="preserve">Exhibit </w:t>
        </w:r>
        <w:r w:rsidR="00F61EFD">
          <w:rPr>
            <w:noProof/>
          </w:rPr>
          <w:t>9</w:t>
        </w:r>
      </w:fldSimple>
      <w:r w:rsidR="00D85665" w:rsidRPr="00854FC2">
        <w:rPr>
          <w:rFonts w:cs="Arial"/>
          <w:szCs w:val="22"/>
        </w:rPr>
        <w:t xml:space="preserve"> shows the total burden and labor cost to EPA.  As described in Section 6(b), EPA assumed that 0.15 percent of regulated facilities would submit information to EPA for review. </w:t>
      </w:r>
      <w:r w:rsidR="005F1D8C">
        <w:rPr>
          <w:rFonts w:cs="Arial"/>
          <w:szCs w:val="22"/>
        </w:rPr>
        <w:t xml:space="preserve">The costs to EPA are not included in the </w:t>
      </w:r>
      <w:r w:rsidR="00F544A1">
        <w:rPr>
          <w:rFonts w:cs="Arial"/>
          <w:szCs w:val="22"/>
        </w:rPr>
        <w:t xml:space="preserve">calculation of total </w:t>
      </w:r>
      <w:r w:rsidR="005F1D8C">
        <w:rPr>
          <w:rFonts w:cs="Arial"/>
          <w:szCs w:val="22"/>
        </w:rPr>
        <w:t xml:space="preserve">cost and burden </w:t>
      </w:r>
      <w:r w:rsidR="0006508F">
        <w:rPr>
          <w:rFonts w:cs="Arial"/>
          <w:szCs w:val="22"/>
        </w:rPr>
        <w:t xml:space="preserve">hours </w:t>
      </w:r>
      <w:r w:rsidR="005F1D8C">
        <w:rPr>
          <w:rFonts w:cs="Arial"/>
          <w:szCs w:val="22"/>
        </w:rPr>
        <w:t xml:space="preserve">for regulated entities, because EPA is not </w:t>
      </w:r>
      <w:r w:rsidR="002E1D16">
        <w:rPr>
          <w:rFonts w:cs="Arial"/>
          <w:szCs w:val="22"/>
        </w:rPr>
        <w:t xml:space="preserve">considered </w:t>
      </w:r>
      <w:r w:rsidR="005F1D8C">
        <w:rPr>
          <w:rFonts w:cs="Arial"/>
          <w:szCs w:val="22"/>
        </w:rPr>
        <w:t xml:space="preserve">a “person” as the term </w:t>
      </w:r>
      <w:r w:rsidR="00973A07">
        <w:rPr>
          <w:rFonts w:cs="Arial"/>
          <w:szCs w:val="22"/>
        </w:rPr>
        <w:t xml:space="preserve">applies </w:t>
      </w:r>
      <w:r w:rsidR="005F1D8C">
        <w:rPr>
          <w:rFonts w:cs="Arial"/>
          <w:szCs w:val="22"/>
        </w:rPr>
        <w:t>to regulated entities.</w:t>
      </w:r>
    </w:p>
    <w:p w:rsidR="00D85665" w:rsidRPr="00854FC2" w:rsidRDefault="00D85665">
      <w:pPr>
        <w:rPr>
          <w:rFonts w:cs="Arial"/>
          <w:szCs w:val="22"/>
        </w:rPr>
      </w:pPr>
    </w:p>
    <w:p w:rsidR="00D85665" w:rsidRPr="00854FC2" w:rsidRDefault="00D85665" w:rsidP="00C02B77">
      <w:pPr>
        <w:numPr>
          <w:ilvl w:val="12"/>
          <w:numId w:val="0"/>
        </w:numPr>
        <w:ind w:firstLine="720"/>
        <w:rPr>
          <w:rFonts w:cs="Arial"/>
          <w:szCs w:val="22"/>
        </w:rPr>
      </w:pPr>
      <w:r w:rsidRPr="00854FC2">
        <w:rPr>
          <w:rFonts w:cs="Arial"/>
          <w:szCs w:val="22"/>
        </w:rPr>
        <w:t xml:space="preserve">EPA labor costs are based on the </w:t>
      </w:r>
      <w:r w:rsidR="00034689">
        <w:rPr>
          <w:rFonts w:cs="Arial"/>
          <w:szCs w:val="22"/>
        </w:rPr>
        <w:t xml:space="preserve">January </w:t>
      </w:r>
      <w:r w:rsidR="006C3317" w:rsidRPr="00854FC2">
        <w:rPr>
          <w:rFonts w:cs="Arial"/>
          <w:szCs w:val="22"/>
        </w:rPr>
        <w:t>20</w:t>
      </w:r>
      <w:r w:rsidR="00AD7F67">
        <w:rPr>
          <w:rFonts w:cs="Arial"/>
          <w:szCs w:val="22"/>
        </w:rPr>
        <w:t>12</w:t>
      </w:r>
      <w:r w:rsidR="006C3317" w:rsidRPr="00854FC2">
        <w:rPr>
          <w:rFonts w:cs="Arial"/>
          <w:szCs w:val="22"/>
        </w:rPr>
        <w:t xml:space="preserve"> </w:t>
      </w:r>
      <w:r w:rsidRPr="00854FC2">
        <w:rPr>
          <w:rFonts w:cs="Arial"/>
          <w:szCs w:val="22"/>
        </w:rPr>
        <w:t xml:space="preserve">General Schedule (GS) pay schedule.  EPA estimates an average hourly labor cost (labor plus overhead) of </w:t>
      </w:r>
      <w:r w:rsidR="00ED5628">
        <w:rPr>
          <w:rFonts w:cs="Arial"/>
          <w:szCs w:val="22"/>
        </w:rPr>
        <w:t xml:space="preserve">$63.40 </w:t>
      </w:r>
      <w:r w:rsidRPr="00854FC2">
        <w:rPr>
          <w:rFonts w:cs="Arial"/>
          <w:szCs w:val="22"/>
        </w:rPr>
        <w:t xml:space="preserve">for managerial staff (GS-13, Step-5), and </w:t>
      </w:r>
      <w:r w:rsidR="00ED5628">
        <w:rPr>
          <w:rFonts w:cs="Arial"/>
          <w:szCs w:val="22"/>
        </w:rPr>
        <w:t xml:space="preserve">$44.48 </w:t>
      </w:r>
      <w:r w:rsidRPr="00854FC2">
        <w:rPr>
          <w:rFonts w:cs="Arial"/>
          <w:szCs w:val="22"/>
        </w:rPr>
        <w:t xml:space="preserve">for technical staff (GS-11, Step-5). To derive hourly estimates, EPA divided annual compensation estimates by 2,080, which represents the number of hours in the federal work year. EPA then multiplied hourly rates by the standard government overhead factor of 1.6.  Unit costs were calculated as unit time estimates multiplied by the hourly </w:t>
      </w:r>
      <w:r w:rsidRPr="005E1ECF">
        <w:rPr>
          <w:rFonts w:cs="Arial"/>
          <w:szCs w:val="22"/>
        </w:rPr>
        <w:t>labor rates for EPA</w:t>
      </w:r>
      <w:r w:rsidRPr="00854FC2">
        <w:rPr>
          <w:rFonts w:cs="Arial"/>
          <w:szCs w:val="22"/>
        </w:rPr>
        <w:t xml:space="preserve"> personnel.  </w:t>
      </w:r>
    </w:p>
    <w:p w:rsidR="00D85665" w:rsidRPr="00854FC2" w:rsidRDefault="00D85665">
      <w:pPr>
        <w:numPr>
          <w:ilvl w:val="12"/>
          <w:numId w:val="0"/>
        </w:numPr>
        <w:rPr>
          <w:rFonts w:ascii="Tms Rmn" w:hAnsi="Tms Rmn"/>
          <w:szCs w:val="22"/>
        </w:rPr>
      </w:pPr>
    </w:p>
    <w:p w:rsidR="00D85665" w:rsidRPr="00854FC2" w:rsidRDefault="00D85665" w:rsidP="00A15DF0">
      <w:pPr>
        <w:pStyle w:val="Caption"/>
        <w:outlineLvl w:val="0"/>
      </w:pPr>
      <w:bookmarkStart w:id="6" w:name="_Ref141690222"/>
      <w:r w:rsidRPr="000F60E5">
        <w:t xml:space="preserve">Exhibit </w:t>
      </w:r>
      <w:r w:rsidR="002348E6">
        <w:fldChar w:fldCharType="begin"/>
      </w:r>
      <w:r w:rsidR="002348E6">
        <w:instrText xml:space="preserve"> SEQ Exhibit \* ARABIC </w:instrText>
      </w:r>
      <w:r w:rsidR="002348E6">
        <w:fldChar w:fldCharType="separate"/>
      </w:r>
      <w:r w:rsidR="00F61EFD">
        <w:rPr>
          <w:noProof/>
        </w:rPr>
        <w:t>9</w:t>
      </w:r>
      <w:r w:rsidR="002348E6">
        <w:fldChar w:fldCharType="end"/>
      </w:r>
      <w:bookmarkEnd w:id="6"/>
    </w:p>
    <w:tbl>
      <w:tblPr>
        <w:tblW w:w="7557" w:type="dxa"/>
        <w:jc w:val="center"/>
        <w:tblLook w:val="0000"/>
      </w:tblPr>
      <w:tblGrid>
        <w:gridCol w:w="1870"/>
        <w:gridCol w:w="1446"/>
        <w:gridCol w:w="1283"/>
        <w:gridCol w:w="1019"/>
        <w:gridCol w:w="873"/>
        <w:gridCol w:w="1066"/>
      </w:tblGrid>
      <w:tr w:rsidR="00D85665" w:rsidRPr="00854FC2">
        <w:trPr>
          <w:trHeight w:val="299"/>
          <w:jc w:val="center"/>
        </w:trPr>
        <w:tc>
          <w:tcPr>
            <w:tcW w:w="7557" w:type="dxa"/>
            <w:gridSpan w:val="6"/>
            <w:tcBorders>
              <w:top w:val="nil"/>
              <w:left w:val="nil"/>
              <w:bottom w:val="double" w:sz="6" w:space="0" w:color="000000"/>
              <w:right w:val="nil"/>
            </w:tcBorders>
            <w:noWrap/>
            <w:vAlign w:val="bottom"/>
          </w:tcPr>
          <w:p w:rsidR="00D85665" w:rsidRPr="00854FC2" w:rsidRDefault="00D85665">
            <w:pPr>
              <w:jc w:val="center"/>
              <w:rPr>
                <w:rFonts w:cs="Arial"/>
                <w:b/>
                <w:bCs/>
                <w:szCs w:val="22"/>
              </w:rPr>
            </w:pPr>
            <w:r w:rsidRPr="00854FC2">
              <w:rPr>
                <w:rFonts w:cs="Arial"/>
                <w:b/>
                <w:bCs/>
                <w:szCs w:val="22"/>
              </w:rPr>
              <w:t>Estimated Annual Burden and Cost to EPA</w:t>
            </w:r>
            <w:r w:rsidR="00E07395">
              <w:rPr>
                <w:rFonts w:cs="Arial"/>
                <w:b/>
                <w:bCs/>
                <w:szCs w:val="22"/>
              </w:rPr>
              <w:t xml:space="preserve"> </w:t>
            </w:r>
          </w:p>
        </w:tc>
      </w:tr>
      <w:tr w:rsidR="00D85665" w:rsidRPr="00854FC2">
        <w:trPr>
          <w:cantSplit/>
          <w:trHeight w:val="286"/>
          <w:jc w:val="center"/>
        </w:trPr>
        <w:tc>
          <w:tcPr>
            <w:tcW w:w="1870" w:type="dxa"/>
            <w:vMerge w:val="restart"/>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RDefault="00D85665">
            <w:pPr>
              <w:jc w:val="center"/>
              <w:rPr>
                <w:rFonts w:cs="Arial"/>
                <w:b/>
                <w:bCs/>
                <w:sz w:val="20"/>
                <w:szCs w:val="20"/>
              </w:rPr>
            </w:pPr>
            <w:r w:rsidRPr="00854FC2">
              <w:rPr>
                <w:rFonts w:cs="Arial"/>
                <w:b/>
                <w:bCs/>
                <w:sz w:val="20"/>
                <w:szCs w:val="20"/>
              </w:rPr>
              <w:t>Activity</w:t>
            </w:r>
          </w:p>
        </w:tc>
        <w:tc>
          <w:tcPr>
            <w:tcW w:w="4621" w:type="dxa"/>
            <w:gridSpan w:val="4"/>
            <w:tcBorders>
              <w:top w:val="double" w:sz="6" w:space="0" w:color="000000"/>
              <w:left w:val="nil"/>
              <w:bottom w:val="single" w:sz="4" w:space="0" w:color="auto"/>
              <w:right w:val="single" w:sz="4" w:space="0" w:color="000000"/>
            </w:tcBorders>
            <w:tcMar>
              <w:top w:w="29" w:type="dxa"/>
              <w:left w:w="115" w:type="dxa"/>
              <w:bottom w:w="29" w:type="dxa"/>
              <w:right w:w="115" w:type="dxa"/>
            </w:tcMar>
            <w:vAlign w:val="center"/>
          </w:tcPr>
          <w:p w:rsidR="00D85665" w:rsidRPr="00854FC2" w:rsidRDefault="00D85665">
            <w:pPr>
              <w:jc w:val="center"/>
              <w:rPr>
                <w:rFonts w:cs="Arial"/>
                <w:b/>
                <w:bCs/>
                <w:sz w:val="20"/>
                <w:szCs w:val="20"/>
              </w:rPr>
            </w:pPr>
            <w:r w:rsidRPr="00854FC2">
              <w:rPr>
                <w:rFonts w:cs="Arial"/>
                <w:b/>
                <w:bCs/>
                <w:sz w:val="20"/>
                <w:szCs w:val="20"/>
              </w:rPr>
              <w:t>Burden Hours</w:t>
            </w:r>
          </w:p>
        </w:tc>
        <w:tc>
          <w:tcPr>
            <w:tcW w:w="1066" w:type="dxa"/>
            <w:vMerge w:val="restart"/>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rsidRDefault="00D85665" w:rsidP="008B0DEE">
            <w:pPr>
              <w:jc w:val="center"/>
              <w:rPr>
                <w:rFonts w:cs="Arial"/>
                <w:b/>
                <w:bCs/>
                <w:sz w:val="20"/>
                <w:szCs w:val="20"/>
              </w:rPr>
            </w:pPr>
            <w:r w:rsidRPr="00854FC2">
              <w:rPr>
                <w:rFonts w:cs="Arial"/>
                <w:b/>
                <w:bCs/>
                <w:sz w:val="20"/>
                <w:szCs w:val="20"/>
              </w:rPr>
              <w:t>Total Cost</w:t>
            </w:r>
            <w:r w:rsidR="00C21285">
              <w:rPr>
                <w:rFonts w:cs="Arial"/>
                <w:b/>
                <w:bCs/>
                <w:sz w:val="20"/>
                <w:szCs w:val="20"/>
              </w:rPr>
              <w:t xml:space="preserve"> (20</w:t>
            </w:r>
            <w:r w:rsidR="008B0DEE">
              <w:rPr>
                <w:rFonts w:cs="Arial"/>
                <w:b/>
                <w:bCs/>
                <w:sz w:val="20"/>
                <w:szCs w:val="20"/>
              </w:rPr>
              <w:t>12</w:t>
            </w:r>
            <w:r w:rsidR="00C21285">
              <w:rPr>
                <w:rFonts w:cs="Arial"/>
                <w:b/>
                <w:bCs/>
                <w:sz w:val="20"/>
                <w:szCs w:val="20"/>
              </w:rPr>
              <w:t>$)</w:t>
            </w:r>
          </w:p>
        </w:tc>
      </w:tr>
      <w:tr w:rsidR="00D85665" w:rsidRPr="00854FC2">
        <w:trPr>
          <w:cantSplit/>
          <w:trHeight w:val="272"/>
          <w:jc w:val="center"/>
        </w:trPr>
        <w:tc>
          <w:tcPr>
            <w:tcW w:w="1870" w:type="dxa"/>
            <w:vMerge/>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RDefault="00D85665">
            <w:pPr>
              <w:rPr>
                <w:rFonts w:cs="Arial"/>
                <w:b/>
                <w:bCs/>
                <w:sz w:val="20"/>
                <w:szCs w:val="20"/>
              </w:rPr>
            </w:pPr>
          </w:p>
        </w:tc>
        <w:tc>
          <w:tcPr>
            <w:tcW w:w="1446" w:type="dxa"/>
            <w:tcBorders>
              <w:top w:val="nil"/>
              <w:left w:val="nil"/>
              <w:bottom w:val="nil"/>
              <w:right w:val="nil"/>
            </w:tcBorders>
            <w:tcMar>
              <w:top w:w="29" w:type="dxa"/>
              <w:left w:w="115" w:type="dxa"/>
              <w:bottom w:w="29" w:type="dxa"/>
              <w:right w:w="115" w:type="dxa"/>
            </w:tcMar>
            <w:vAlign w:val="center"/>
          </w:tcPr>
          <w:p w:rsidR="00D85665" w:rsidRPr="00854FC2" w:rsidRDefault="00D85665">
            <w:pPr>
              <w:jc w:val="center"/>
              <w:rPr>
                <w:rFonts w:cs="Arial"/>
                <w:b/>
                <w:bCs/>
                <w:sz w:val="20"/>
                <w:szCs w:val="20"/>
              </w:rPr>
            </w:pPr>
            <w:r w:rsidRPr="00854FC2">
              <w:rPr>
                <w:rFonts w:cs="Arial"/>
                <w:b/>
                <w:bCs/>
                <w:sz w:val="20"/>
                <w:szCs w:val="20"/>
              </w:rPr>
              <w:t>Managerial</w:t>
            </w:r>
          </w:p>
        </w:tc>
        <w:tc>
          <w:tcPr>
            <w:tcW w:w="1283" w:type="dxa"/>
            <w:tcBorders>
              <w:top w:val="nil"/>
              <w:left w:val="single" w:sz="4" w:space="0" w:color="000000"/>
              <w:bottom w:val="nil"/>
              <w:right w:val="nil"/>
            </w:tcBorders>
            <w:tcMar>
              <w:top w:w="29" w:type="dxa"/>
              <w:left w:w="115" w:type="dxa"/>
              <w:bottom w:w="29" w:type="dxa"/>
              <w:right w:w="115" w:type="dxa"/>
            </w:tcMar>
            <w:vAlign w:val="center"/>
          </w:tcPr>
          <w:p w:rsidR="00D85665" w:rsidRPr="00854FC2" w:rsidRDefault="00D85665">
            <w:pPr>
              <w:jc w:val="center"/>
              <w:rPr>
                <w:rFonts w:cs="Arial"/>
                <w:b/>
                <w:bCs/>
                <w:sz w:val="20"/>
                <w:szCs w:val="20"/>
              </w:rPr>
            </w:pPr>
            <w:r w:rsidRPr="00854FC2">
              <w:rPr>
                <w:rFonts w:cs="Arial"/>
                <w:b/>
                <w:bCs/>
                <w:sz w:val="20"/>
                <w:szCs w:val="20"/>
              </w:rPr>
              <w:t>Technical</w:t>
            </w:r>
          </w:p>
        </w:tc>
        <w:tc>
          <w:tcPr>
            <w:tcW w:w="1019" w:type="dxa"/>
            <w:vMerge w:val="restart"/>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RDefault="00D85665">
            <w:pPr>
              <w:jc w:val="center"/>
              <w:rPr>
                <w:rFonts w:cs="Arial"/>
                <w:b/>
                <w:bCs/>
                <w:sz w:val="20"/>
                <w:szCs w:val="20"/>
              </w:rPr>
            </w:pPr>
            <w:r w:rsidRPr="00854FC2">
              <w:rPr>
                <w:rFonts w:cs="Arial"/>
                <w:b/>
                <w:bCs/>
                <w:sz w:val="20"/>
                <w:szCs w:val="20"/>
              </w:rPr>
              <w:t>Clerical</w:t>
            </w:r>
          </w:p>
        </w:tc>
        <w:tc>
          <w:tcPr>
            <w:tcW w:w="873" w:type="dxa"/>
            <w:vMerge w:val="restart"/>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RDefault="00D85665">
            <w:pPr>
              <w:jc w:val="center"/>
              <w:rPr>
                <w:rFonts w:cs="Arial"/>
                <w:b/>
                <w:bCs/>
                <w:sz w:val="20"/>
                <w:szCs w:val="20"/>
              </w:rPr>
            </w:pPr>
            <w:r w:rsidRPr="00854FC2">
              <w:rPr>
                <w:rFonts w:cs="Arial"/>
                <w:b/>
                <w:bCs/>
                <w:sz w:val="20"/>
                <w:szCs w:val="20"/>
              </w:rPr>
              <w:t>Total</w:t>
            </w:r>
          </w:p>
        </w:tc>
        <w:tc>
          <w:tcPr>
            <w:tcW w:w="1066" w:type="dxa"/>
            <w:vMerge/>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rsidRDefault="00D85665">
            <w:pPr>
              <w:rPr>
                <w:rFonts w:cs="Arial"/>
                <w:b/>
                <w:bCs/>
                <w:sz w:val="20"/>
                <w:szCs w:val="20"/>
              </w:rPr>
            </w:pPr>
          </w:p>
        </w:tc>
      </w:tr>
      <w:tr w:rsidR="00D85665" w:rsidRPr="00854FC2">
        <w:trPr>
          <w:cantSplit/>
          <w:trHeight w:val="286"/>
          <w:jc w:val="center"/>
        </w:trPr>
        <w:tc>
          <w:tcPr>
            <w:tcW w:w="1870" w:type="dxa"/>
            <w:vMerge/>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RDefault="00D85665">
            <w:pPr>
              <w:rPr>
                <w:rFonts w:cs="Arial"/>
                <w:b/>
                <w:bCs/>
                <w:sz w:val="20"/>
                <w:szCs w:val="20"/>
              </w:rPr>
            </w:pPr>
          </w:p>
        </w:tc>
        <w:tc>
          <w:tcPr>
            <w:tcW w:w="1446" w:type="dxa"/>
            <w:tcBorders>
              <w:top w:val="nil"/>
              <w:left w:val="nil"/>
              <w:bottom w:val="double" w:sz="6" w:space="0" w:color="auto"/>
              <w:right w:val="nil"/>
            </w:tcBorders>
            <w:tcMar>
              <w:top w:w="29" w:type="dxa"/>
              <w:left w:w="115" w:type="dxa"/>
              <w:bottom w:w="29" w:type="dxa"/>
              <w:right w:w="115" w:type="dxa"/>
            </w:tcMar>
            <w:vAlign w:val="center"/>
          </w:tcPr>
          <w:p w:rsidR="00D85665" w:rsidRPr="00854FC2" w:rsidRDefault="00D85665" w:rsidP="00F25249">
            <w:pPr>
              <w:jc w:val="center"/>
              <w:rPr>
                <w:rFonts w:cs="Arial"/>
                <w:b/>
                <w:bCs/>
                <w:sz w:val="20"/>
                <w:szCs w:val="20"/>
              </w:rPr>
            </w:pPr>
            <w:r w:rsidRPr="00854FC2">
              <w:rPr>
                <w:rFonts w:cs="Arial"/>
                <w:b/>
                <w:bCs/>
                <w:sz w:val="20"/>
                <w:szCs w:val="20"/>
              </w:rPr>
              <w:t>($</w:t>
            </w:r>
            <w:r w:rsidR="00734196">
              <w:rPr>
                <w:rFonts w:cs="Arial"/>
                <w:b/>
                <w:bCs/>
                <w:sz w:val="20"/>
                <w:szCs w:val="20"/>
              </w:rPr>
              <w:t>6</w:t>
            </w:r>
            <w:r w:rsidR="00F25249">
              <w:rPr>
                <w:rFonts w:cs="Arial"/>
                <w:b/>
                <w:bCs/>
                <w:sz w:val="20"/>
                <w:szCs w:val="20"/>
              </w:rPr>
              <w:t>3.40</w:t>
            </w:r>
            <w:r w:rsidRPr="00854FC2">
              <w:rPr>
                <w:rFonts w:cs="Arial"/>
                <w:b/>
                <w:bCs/>
                <w:sz w:val="20"/>
                <w:szCs w:val="20"/>
              </w:rPr>
              <w:t>)</w:t>
            </w:r>
          </w:p>
        </w:tc>
        <w:tc>
          <w:tcPr>
            <w:tcW w:w="1283" w:type="dxa"/>
            <w:tcBorders>
              <w:top w:val="nil"/>
              <w:left w:val="single" w:sz="4" w:space="0" w:color="000000"/>
              <w:bottom w:val="double" w:sz="6" w:space="0" w:color="auto"/>
              <w:right w:val="nil"/>
            </w:tcBorders>
            <w:tcMar>
              <w:top w:w="29" w:type="dxa"/>
              <w:left w:w="115" w:type="dxa"/>
              <w:bottom w:w="29" w:type="dxa"/>
              <w:right w:w="115" w:type="dxa"/>
            </w:tcMar>
            <w:vAlign w:val="center"/>
          </w:tcPr>
          <w:p w:rsidR="00D85665" w:rsidRPr="00854FC2" w:rsidRDefault="00D85665">
            <w:pPr>
              <w:jc w:val="center"/>
              <w:rPr>
                <w:rFonts w:cs="Arial"/>
                <w:b/>
                <w:bCs/>
                <w:sz w:val="20"/>
                <w:szCs w:val="20"/>
              </w:rPr>
            </w:pPr>
            <w:r w:rsidRPr="00854FC2">
              <w:rPr>
                <w:rFonts w:cs="Arial"/>
                <w:b/>
                <w:bCs/>
                <w:sz w:val="20"/>
                <w:szCs w:val="20"/>
              </w:rPr>
              <w:t>($</w:t>
            </w:r>
            <w:r w:rsidR="00734196">
              <w:rPr>
                <w:rFonts w:cs="Arial"/>
                <w:b/>
                <w:bCs/>
                <w:sz w:val="20"/>
                <w:szCs w:val="20"/>
              </w:rPr>
              <w:t>44</w:t>
            </w:r>
            <w:r w:rsidR="00F25249">
              <w:rPr>
                <w:rFonts w:cs="Arial"/>
                <w:b/>
                <w:bCs/>
                <w:sz w:val="20"/>
                <w:szCs w:val="20"/>
              </w:rPr>
              <w:t>.48</w:t>
            </w:r>
            <w:r w:rsidRPr="00854FC2">
              <w:rPr>
                <w:rFonts w:cs="Arial"/>
                <w:b/>
                <w:bCs/>
                <w:sz w:val="20"/>
                <w:szCs w:val="20"/>
              </w:rPr>
              <w:t>)</w:t>
            </w:r>
          </w:p>
        </w:tc>
        <w:tc>
          <w:tcPr>
            <w:tcW w:w="1019" w:type="dxa"/>
            <w:vMerge/>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RDefault="00D85665">
            <w:pPr>
              <w:rPr>
                <w:rFonts w:cs="Arial"/>
                <w:b/>
                <w:bCs/>
                <w:sz w:val="20"/>
                <w:szCs w:val="20"/>
              </w:rPr>
            </w:pPr>
          </w:p>
        </w:tc>
        <w:tc>
          <w:tcPr>
            <w:tcW w:w="873" w:type="dxa"/>
            <w:vMerge/>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RDefault="00D85665">
            <w:pPr>
              <w:rPr>
                <w:rFonts w:cs="Arial"/>
                <w:b/>
                <w:bCs/>
                <w:sz w:val="20"/>
                <w:szCs w:val="20"/>
              </w:rPr>
            </w:pPr>
          </w:p>
        </w:tc>
        <w:tc>
          <w:tcPr>
            <w:tcW w:w="1066" w:type="dxa"/>
            <w:vMerge/>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rsidRDefault="00D85665">
            <w:pPr>
              <w:rPr>
                <w:rFonts w:cs="Arial"/>
                <w:b/>
                <w:bCs/>
                <w:sz w:val="20"/>
                <w:szCs w:val="20"/>
              </w:rPr>
            </w:pPr>
          </w:p>
        </w:tc>
      </w:tr>
      <w:tr w:rsidR="00F2451E" w:rsidRPr="00854FC2" w:rsidTr="0056744B">
        <w:trPr>
          <w:trHeight w:val="272"/>
          <w:jc w:val="center"/>
        </w:trPr>
        <w:tc>
          <w:tcPr>
            <w:tcW w:w="1870" w:type="dxa"/>
            <w:tcBorders>
              <w:top w:val="nil"/>
              <w:left w:val="double" w:sz="6" w:space="0" w:color="000000"/>
              <w:bottom w:val="nil"/>
              <w:right w:val="nil"/>
            </w:tcBorders>
            <w:tcMar>
              <w:top w:w="29" w:type="dxa"/>
              <w:left w:w="115" w:type="dxa"/>
              <w:bottom w:w="29" w:type="dxa"/>
              <w:right w:w="115" w:type="dxa"/>
            </w:tcMar>
            <w:vAlign w:val="bottom"/>
          </w:tcPr>
          <w:p w:rsidR="00F2451E" w:rsidRPr="00854FC2" w:rsidRDefault="00F2451E">
            <w:pPr>
              <w:rPr>
                <w:rFonts w:cs="Arial"/>
                <w:sz w:val="20"/>
                <w:szCs w:val="20"/>
              </w:rPr>
            </w:pPr>
            <w:r w:rsidRPr="00854FC2">
              <w:rPr>
                <w:rFonts w:cs="Arial"/>
                <w:sz w:val="20"/>
                <w:szCs w:val="20"/>
              </w:rPr>
              <w:t>Plans Evaluation</w:t>
            </w:r>
          </w:p>
        </w:tc>
        <w:tc>
          <w:tcPr>
            <w:tcW w:w="1446" w:type="dxa"/>
            <w:tcBorders>
              <w:top w:val="nil"/>
              <w:left w:val="single" w:sz="4" w:space="0" w:color="auto"/>
              <w:bottom w:val="single" w:sz="4" w:space="0" w:color="auto"/>
              <w:right w:val="single" w:sz="4" w:space="0" w:color="auto"/>
            </w:tcBorders>
            <w:tcMar>
              <w:top w:w="29" w:type="dxa"/>
              <w:left w:w="115" w:type="dxa"/>
              <w:bottom w:w="29" w:type="dxa"/>
              <w:right w:w="115" w:type="dxa"/>
            </w:tcMar>
            <w:vAlign w:val="center"/>
          </w:tcPr>
          <w:p w:rsidR="00F2451E" w:rsidRDefault="00172E5D" w:rsidP="0056744B">
            <w:pPr>
              <w:jc w:val="right"/>
              <w:rPr>
                <w:rFonts w:cs="Arial"/>
                <w:sz w:val="20"/>
                <w:szCs w:val="20"/>
              </w:rPr>
            </w:pPr>
            <w:r>
              <w:rPr>
                <w:rFonts w:cs="Arial"/>
                <w:sz w:val="20"/>
                <w:szCs w:val="20"/>
              </w:rPr>
              <w:t>1,005</w:t>
            </w:r>
          </w:p>
        </w:tc>
        <w:tc>
          <w:tcPr>
            <w:tcW w:w="1283" w:type="dxa"/>
            <w:tcBorders>
              <w:top w:val="nil"/>
              <w:left w:val="nil"/>
              <w:bottom w:val="single" w:sz="4" w:space="0" w:color="auto"/>
              <w:right w:val="single" w:sz="4" w:space="0" w:color="auto"/>
            </w:tcBorders>
            <w:tcMar>
              <w:top w:w="29" w:type="dxa"/>
              <w:left w:w="115" w:type="dxa"/>
              <w:bottom w:w="29" w:type="dxa"/>
              <w:right w:w="115" w:type="dxa"/>
            </w:tcMar>
            <w:vAlign w:val="center"/>
          </w:tcPr>
          <w:p w:rsidR="00F2451E" w:rsidRDefault="00172E5D" w:rsidP="0056744B">
            <w:pPr>
              <w:jc w:val="right"/>
              <w:rPr>
                <w:rFonts w:cs="Arial"/>
                <w:sz w:val="20"/>
                <w:szCs w:val="20"/>
              </w:rPr>
            </w:pPr>
            <w:r>
              <w:rPr>
                <w:rFonts w:cs="Arial"/>
                <w:sz w:val="20"/>
                <w:szCs w:val="20"/>
              </w:rPr>
              <w:t>10,051</w:t>
            </w:r>
          </w:p>
        </w:tc>
        <w:tc>
          <w:tcPr>
            <w:tcW w:w="1019" w:type="dxa"/>
            <w:tcBorders>
              <w:top w:val="nil"/>
              <w:left w:val="nil"/>
              <w:bottom w:val="single" w:sz="4" w:space="0" w:color="auto"/>
              <w:right w:val="single" w:sz="4" w:space="0" w:color="auto"/>
            </w:tcBorders>
            <w:tcMar>
              <w:top w:w="29" w:type="dxa"/>
              <w:left w:w="115" w:type="dxa"/>
              <w:bottom w:w="29" w:type="dxa"/>
              <w:right w:w="115" w:type="dxa"/>
            </w:tcMar>
            <w:vAlign w:val="center"/>
          </w:tcPr>
          <w:p w:rsidR="00F2451E" w:rsidRDefault="00F2451E" w:rsidP="0056744B">
            <w:pPr>
              <w:jc w:val="right"/>
              <w:rPr>
                <w:rFonts w:cs="Arial"/>
                <w:sz w:val="20"/>
                <w:szCs w:val="20"/>
              </w:rPr>
            </w:pPr>
            <w:r>
              <w:rPr>
                <w:rFonts w:cs="Arial"/>
                <w:sz w:val="20"/>
                <w:szCs w:val="20"/>
              </w:rPr>
              <w:t>0</w:t>
            </w:r>
          </w:p>
        </w:tc>
        <w:tc>
          <w:tcPr>
            <w:tcW w:w="873" w:type="dxa"/>
            <w:tcBorders>
              <w:top w:val="nil"/>
              <w:left w:val="nil"/>
              <w:bottom w:val="single" w:sz="4" w:space="0" w:color="auto"/>
              <w:right w:val="single" w:sz="4" w:space="0" w:color="auto"/>
            </w:tcBorders>
            <w:tcMar>
              <w:top w:w="29" w:type="dxa"/>
              <w:left w:w="115" w:type="dxa"/>
              <w:bottom w:w="29" w:type="dxa"/>
              <w:right w:w="115" w:type="dxa"/>
            </w:tcMar>
            <w:vAlign w:val="center"/>
          </w:tcPr>
          <w:p w:rsidR="00F2451E" w:rsidRDefault="00F2451E" w:rsidP="00172E5D">
            <w:pPr>
              <w:jc w:val="right"/>
              <w:rPr>
                <w:rFonts w:cs="Arial"/>
                <w:sz w:val="20"/>
                <w:szCs w:val="20"/>
              </w:rPr>
            </w:pPr>
            <w:r>
              <w:rPr>
                <w:rFonts w:cs="Arial"/>
                <w:sz w:val="20"/>
                <w:szCs w:val="20"/>
              </w:rPr>
              <w:t>1</w:t>
            </w:r>
            <w:r w:rsidR="00172E5D">
              <w:rPr>
                <w:rFonts w:cs="Arial"/>
                <w:sz w:val="20"/>
                <w:szCs w:val="20"/>
              </w:rPr>
              <w:t>1</w:t>
            </w:r>
            <w:r>
              <w:rPr>
                <w:rFonts w:cs="Arial"/>
                <w:sz w:val="20"/>
                <w:szCs w:val="20"/>
              </w:rPr>
              <w:t>,0</w:t>
            </w:r>
            <w:r w:rsidR="00172E5D">
              <w:rPr>
                <w:rFonts w:cs="Arial"/>
                <w:sz w:val="20"/>
                <w:szCs w:val="20"/>
              </w:rPr>
              <w:t>56</w:t>
            </w:r>
          </w:p>
        </w:tc>
        <w:tc>
          <w:tcPr>
            <w:tcW w:w="1066" w:type="dxa"/>
            <w:tcBorders>
              <w:top w:val="nil"/>
              <w:left w:val="nil"/>
              <w:bottom w:val="single" w:sz="4" w:space="0" w:color="auto"/>
              <w:right w:val="double" w:sz="6" w:space="0" w:color="000000"/>
            </w:tcBorders>
            <w:tcMar>
              <w:top w:w="29" w:type="dxa"/>
              <w:left w:w="115" w:type="dxa"/>
              <w:bottom w:w="29" w:type="dxa"/>
              <w:right w:w="115" w:type="dxa"/>
            </w:tcMar>
            <w:vAlign w:val="center"/>
          </w:tcPr>
          <w:p w:rsidR="00F2451E" w:rsidRDefault="001B6A90" w:rsidP="00172E5D">
            <w:pPr>
              <w:jc w:val="right"/>
              <w:rPr>
                <w:rFonts w:cs="Arial"/>
                <w:sz w:val="20"/>
                <w:szCs w:val="20"/>
              </w:rPr>
            </w:pPr>
            <w:r>
              <w:rPr>
                <w:rFonts w:cs="Arial"/>
                <w:sz w:val="20"/>
                <w:szCs w:val="20"/>
              </w:rPr>
              <w:t>$</w:t>
            </w:r>
            <w:r w:rsidR="00172E5D">
              <w:rPr>
                <w:rFonts w:cs="Arial"/>
                <w:sz w:val="20"/>
                <w:szCs w:val="20"/>
              </w:rPr>
              <w:t>511</w:t>
            </w:r>
            <w:r w:rsidR="00F2451E">
              <w:rPr>
                <w:rFonts w:cs="Arial"/>
                <w:sz w:val="20"/>
                <w:szCs w:val="20"/>
              </w:rPr>
              <w:t xml:space="preserve">,000 </w:t>
            </w:r>
          </w:p>
        </w:tc>
      </w:tr>
      <w:tr w:rsidR="00F2451E" w:rsidRPr="00854FC2" w:rsidTr="0056744B">
        <w:trPr>
          <w:trHeight w:val="258"/>
          <w:jc w:val="center"/>
        </w:trPr>
        <w:tc>
          <w:tcPr>
            <w:tcW w:w="1870" w:type="dxa"/>
            <w:tcBorders>
              <w:top w:val="single" w:sz="4" w:space="0" w:color="000000"/>
              <w:left w:val="double" w:sz="6" w:space="0" w:color="000000"/>
              <w:bottom w:val="single" w:sz="4" w:space="0" w:color="000000"/>
              <w:right w:val="nil"/>
            </w:tcBorders>
            <w:tcMar>
              <w:top w:w="29" w:type="dxa"/>
              <w:left w:w="115" w:type="dxa"/>
              <w:bottom w:w="29" w:type="dxa"/>
              <w:right w:w="115" w:type="dxa"/>
            </w:tcMar>
            <w:vAlign w:val="bottom"/>
          </w:tcPr>
          <w:p w:rsidR="00F2451E" w:rsidRPr="00854FC2" w:rsidRDefault="00F2451E">
            <w:pPr>
              <w:pStyle w:val="FootnoteText"/>
              <w:rPr>
                <w:rFonts w:cs="Arial"/>
              </w:rPr>
            </w:pPr>
            <w:r w:rsidRPr="00854FC2">
              <w:rPr>
                <w:rFonts w:cs="Arial"/>
              </w:rPr>
              <w:t>Review of Comments</w:t>
            </w:r>
          </w:p>
        </w:tc>
        <w:tc>
          <w:tcPr>
            <w:tcW w:w="1446" w:type="dxa"/>
            <w:tcBorders>
              <w:top w:val="nil"/>
              <w:left w:val="single" w:sz="4" w:space="0" w:color="auto"/>
              <w:bottom w:val="single" w:sz="4" w:space="0" w:color="auto"/>
              <w:right w:val="single" w:sz="4" w:space="0" w:color="auto"/>
            </w:tcBorders>
            <w:tcMar>
              <w:top w:w="29" w:type="dxa"/>
              <w:left w:w="115" w:type="dxa"/>
              <w:bottom w:w="29" w:type="dxa"/>
              <w:right w:w="115" w:type="dxa"/>
            </w:tcMar>
            <w:vAlign w:val="center"/>
          </w:tcPr>
          <w:p w:rsidR="00F2451E" w:rsidRDefault="00172E5D" w:rsidP="0056744B">
            <w:pPr>
              <w:jc w:val="right"/>
              <w:rPr>
                <w:rFonts w:cs="Arial"/>
                <w:sz w:val="20"/>
                <w:szCs w:val="20"/>
              </w:rPr>
            </w:pPr>
            <w:r>
              <w:rPr>
                <w:rFonts w:cs="Arial"/>
                <w:sz w:val="20"/>
                <w:szCs w:val="20"/>
              </w:rPr>
              <w:t>503</w:t>
            </w:r>
          </w:p>
        </w:tc>
        <w:tc>
          <w:tcPr>
            <w:tcW w:w="1283" w:type="dxa"/>
            <w:tcBorders>
              <w:top w:val="nil"/>
              <w:left w:val="nil"/>
              <w:bottom w:val="single" w:sz="4" w:space="0" w:color="auto"/>
              <w:right w:val="single" w:sz="4" w:space="0" w:color="auto"/>
            </w:tcBorders>
            <w:tcMar>
              <w:top w:w="29" w:type="dxa"/>
              <w:left w:w="115" w:type="dxa"/>
              <w:bottom w:w="29" w:type="dxa"/>
              <w:right w:w="115" w:type="dxa"/>
            </w:tcMar>
            <w:vAlign w:val="center"/>
          </w:tcPr>
          <w:p w:rsidR="00F2451E" w:rsidRDefault="00172E5D" w:rsidP="0056744B">
            <w:pPr>
              <w:jc w:val="right"/>
              <w:rPr>
                <w:rFonts w:cs="Arial"/>
                <w:sz w:val="20"/>
                <w:szCs w:val="20"/>
              </w:rPr>
            </w:pPr>
            <w:r>
              <w:rPr>
                <w:rFonts w:cs="Arial"/>
                <w:sz w:val="20"/>
                <w:szCs w:val="20"/>
              </w:rPr>
              <w:t>503</w:t>
            </w:r>
          </w:p>
        </w:tc>
        <w:tc>
          <w:tcPr>
            <w:tcW w:w="1019" w:type="dxa"/>
            <w:tcBorders>
              <w:top w:val="nil"/>
              <w:left w:val="nil"/>
              <w:bottom w:val="single" w:sz="4" w:space="0" w:color="auto"/>
              <w:right w:val="single" w:sz="4" w:space="0" w:color="auto"/>
            </w:tcBorders>
            <w:tcMar>
              <w:top w:w="29" w:type="dxa"/>
              <w:left w:w="115" w:type="dxa"/>
              <w:bottom w:w="29" w:type="dxa"/>
              <w:right w:w="115" w:type="dxa"/>
            </w:tcMar>
            <w:vAlign w:val="center"/>
          </w:tcPr>
          <w:p w:rsidR="00F2451E" w:rsidRDefault="00F2451E" w:rsidP="0056744B">
            <w:pPr>
              <w:jc w:val="right"/>
              <w:rPr>
                <w:rFonts w:cs="Arial"/>
                <w:sz w:val="20"/>
                <w:szCs w:val="20"/>
              </w:rPr>
            </w:pPr>
            <w:r>
              <w:rPr>
                <w:rFonts w:cs="Arial"/>
                <w:sz w:val="20"/>
                <w:szCs w:val="20"/>
              </w:rPr>
              <w:t>0</w:t>
            </w:r>
          </w:p>
        </w:tc>
        <w:tc>
          <w:tcPr>
            <w:tcW w:w="873" w:type="dxa"/>
            <w:tcBorders>
              <w:top w:val="nil"/>
              <w:left w:val="nil"/>
              <w:bottom w:val="single" w:sz="4" w:space="0" w:color="auto"/>
              <w:right w:val="single" w:sz="4" w:space="0" w:color="auto"/>
            </w:tcBorders>
            <w:tcMar>
              <w:top w:w="29" w:type="dxa"/>
              <w:left w:w="115" w:type="dxa"/>
              <w:bottom w:w="29" w:type="dxa"/>
              <w:right w:w="115" w:type="dxa"/>
            </w:tcMar>
            <w:vAlign w:val="center"/>
          </w:tcPr>
          <w:p w:rsidR="00F2451E" w:rsidRDefault="00172E5D" w:rsidP="0056744B">
            <w:pPr>
              <w:jc w:val="right"/>
              <w:rPr>
                <w:rFonts w:cs="Arial"/>
                <w:sz w:val="20"/>
                <w:szCs w:val="20"/>
              </w:rPr>
            </w:pPr>
            <w:r>
              <w:rPr>
                <w:rFonts w:cs="Arial"/>
                <w:sz w:val="20"/>
                <w:szCs w:val="20"/>
              </w:rPr>
              <w:t>1,005</w:t>
            </w:r>
          </w:p>
        </w:tc>
        <w:tc>
          <w:tcPr>
            <w:tcW w:w="1066" w:type="dxa"/>
            <w:tcBorders>
              <w:top w:val="nil"/>
              <w:left w:val="nil"/>
              <w:bottom w:val="single" w:sz="4" w:space="0" w:color="auto"/>
              <w:right w:val="double" w:sz="6" w:space="0" w:color="000000"/>
            </w:tcBorders>
            <w:tcMar>
              <w:top w:w="29" w:type="dxa"/>
              <w:left w:w="115" w:type="dxa"/>
              <w:bottom w:w="29" w:type="dxa"/>
              <w:right w:w="115" w:type="dxa"/>
            </w:tcMar>
            <w:vAlign w:val="center"/>
          </w:tcPr>
          <w:p w:rsidR="00F2451E" w:rsidRDefault="00F2451E" w:rsidP="00172E5D">
            <w:pPr>
              <w:jc w:val="right"/>
              <w:rPr>
                <w:rFonts w:cs="Arial"/>
                <w:sz w:val="20"/>
                <w:szCs w:val="20"/>
              </w:rPr>
            </w:pPr>
            <w:r>
              <w:rPr>
                <w:rFonts w:cs="Arial"/>
                <w:sz w:val="20"/>
                <w:szCs w:val="20"/>
              </w:rPr>
              <w:t>$5</w:t>
            </w:r>
            <w:r w:rsidR="00172E5D">
              <w:rPr>
                <w:rFonts w:cs="Arial"/>
                <w:sz w:val="20"/>
                <w:szCs w:val="20"/>
              </w:rPr>
              <w:t>4</w:t>
            </w:r>
            <w:r>
              <w:rPr>
                <w:rFonts w:cs="Arial"/>
                <w:sz w:val="20"/>
                <w:szCs w:val="20"/>
              </w:rPr>
              <w:t>,</w:t>
            </w:r>
            <w:r w:rsidR="001B6A90">
              <w:rPr>
                <w:rFonts w:cs="Arial"/>
                <w:sz w:val="20"/>
                <w:szCs w:val="20"/>
              </w:rPr>
              <w:t>0</w:t>
            </w:r>
            <w:r>
              <w:rPr>
                <w:rFonts w:cs="Arial"/>
                <w:sz w:val="20"/>
                <w:szCs w:val="20"/>
              </w:rPr>
              <w:t xml:space="preserve">00 </w:t>
            </w:r>
          </w:p>
        </w:tc>
      </w:tr>
      <w:tr w:rsidR="00F2451E" w:rsidRPr="00854FC2" w:rsidTr="0056744B">
        <w:trPr>
          <w:trHeight w:val="530"/>
          <w:jc w:val="center"/>
        </w:trPr>
        <w:tc>
          <w:tcPr>
            <w:tcW w:w="1870" w:type="dxa"/>
            <w:tcBorders>
              <w:top w:val="nil"/>
              <w:left w:val="double" w:sz="6" w:space="0" w:color="000000"/>
              <w:bottom w:val="double" w:sz="6" w:space="0" w:color="000000"/>
              <w:right w:val="nil"/>
            </w:tcBorders>
            <w:tcMar>
              <w:top w:w="29" w:type="dxa"/>
              <w:left w:w="115" w:type="dxa"/>
              <w:bottom w:w="29" w:type="dxa"/>
              <w:right w:w="115" w:type="dxa"/>
            </w:tcMar>
            <w:vAlign w:val="bottom"/>
          </w:tcPr>
          <w:p w:rsidR="00F2451E" w:rsidRPr="00854FC2" w:rsidRDefault="00F2451E">
            <w:pPr>
              <w:rPr>
                <w:rFonts w:cs="Arial"/>
                <w:sz w:val="20"/>
                <w:szCs w:val="20"/>
              </w:rPr>
            </w:pPr>
            <w:r w:rsidRPr="00854FC2">
              <w:rPr>
                <w:rFonts w:cs="Arial"/>
                <w:sz w:val="20"/>
                <w:szCs w:val="20"/>
              </w:rPr>
              <w:t>Consideration of Appeals</w:t>
            </w:r>
          </w:p>
        </w:tc>
        <w:tc>
          <w:tcPr>
            <w:tcW w:w="1446" w:type="dxa"/>
            <w:tcBorders>
              <w:top w:val="nil"/>
              <w:left w:val="single" w:sz="4" w:space="0" w:color="auto"/>
              <w:bottom w:val="double" w:sz="6" w:space="0" w:color="auto"/>
              <w:right w:val="single" w:sz="4" w:space="0" w:color="auto"/>
            </w:tcBorders>
            <w:tcMar>
              <w:top w:w="29" w:type="dxa"/>
              <w:left w:w="115" w:type="dxa"/>
              <w:bottom w:w="29" w:type="dxa"/>
              <w:right w:w="115" w:type="dxa"/>
            </w:tcMar>
            <w:vAlign w:val="center"/>
          </w:tcPr>
          <w:p w:rsidR="00F2451E" w:rsidRDefault="00172E5D" w:rsidP="0056744B">
            <w:pPr>
              <w:jc w:val="right"/>
              <w:rPr>
                <w:rFonts w:cs="Arial"/>
                <w:sz w:val="20"/>
                <w:szCs w:val="20"/>
              </w:rPr>
            </w:pPr>
            <w:r>
              <w:rPr>
                <w:rFonts w:cs="Arial"/>
                <w:sz w:val="20"/>
                <w:szCs w:val="20"/>
              </w:rPr>
              <w:t>804</w:t>
            </w:r>
          </w:p>
        </w:tc>
        <w:tc>
          <w:tcPr>
            <w:tcW w:w="1283" w:type="dxa"/>
            <w:tcBorders>
              <w:top w:val="nil"/>
              <w:left w:val="nil"/>
              <w:bottom w:val="double" w:sz="6" w:space="0" w:color="auto"/>
              <w:right w:val="single" w:sz="4" w:space="0" w:color="auto"/>
            </w:tcBorders>
            <w:tcMar>
              <w:top w:w="29" w:type="dxa"/>
              <w:left w:w="115" w:type="dxa"/>
              <w:bottom w:w="29" w:type="dxa"/>
              <w:right w:w="115" w:type="dxa"/>
            </w:tcMar>
            <w:vAlign w:val="center"/>
          </w:tcPr>
          <w:p w:rsidR="00F2451E" w:rsidRDefault="00F2451E" w:rsidP="0056744B">
            <w:pPr>
              <w:jc w:val="right"/>
              <w:rPr>
                <w:rFonts w:cs="Arial"/>
                <w:sz w:val="20"/>
                <w:szCs w:val="20"/>
              </w:rPr>
            </w:pPr>
            <w:r>
              <w:rPr>
                <w:rFonts w:cs="Arial"/>
                <w:sz w:val="20"/>
                <w:szCs w:val="20"/>
              </w:rPr>
              <w:t>0</w:t>
            </w:r>
          </w:p>
        </w:tc>
        <w:tc>
          <w:tcPr>
            <w:tcW w:w="1019" w:type="dxa"/>
            <w:tcBorders>
              <w:top w:val="nil"/>
              <w:left w:val="nil"/>
              <w:bottom w:val="double" w:sz="6" w:space="0" w:color="auto"/>
              <w:right w:val="single" w:sz="4" w:space="0" w:color="auto"/>
            </w:tcBorders>
            <w:tcMar>
              <w:top w:w="29" w:type="dxa"/>
              <w:left w:w="115" w:type="dxa"/>
              <w:bottom w:w="29" w:type="dxa"/>
              <w:right w:w="115" w:type="dxa"/>
            </w:tcMar>
            <w:vAlign w:val="center"/>
          </w:tcPr>
          <w:p w:rsidR="00F2451E" w:rsidRDefault="00F2451E" w:rsidP="0056744B">
            <w:pPr>
              <w:jc w:val="right"/>
              <w:rPr>
                <w:rFonts w:cs="Arial"/>
                <w:sz w:val="20"/>
                <w:szCs w:val="20"/>
              </w:rPr>
            </w:pPr>
            <w:r>
              <w:rPr>
                <w:rFonts w:cs="Arial"/>
                <w:sz w:val="20"/>
                <w:szCs w:val="20"/>
              </w:rPr>
              <w:t>0</w:t>
            </w:r>
          </w:p>
        </w:tc>
        <w:tc>
          <w:tcPr>
            <w:tcW w:w="873" w:type="dxa"/>
            <w:tcBorders>
              <w:top w:val="nil"/>
              <w:left w:val="nil"/>
              <w:bottom w:val="double" w:sz="6" w:space="0" w:color="auto"/>
              <w:right w:val="single" w:sz="4" w:space="0" w:color="auto"/>
            </w:tcBorders>
            <w:tcMar>
              <w:top w:w="29" w:type="dxa"/>
              <w:left w:w="115" w:type="dxa"/>
              <w:bottom w:w="29" w:type="dxa"/>
              <w:right w:w="115" w:type="dxa"/>
            </w:tcMar>
            <w:vAlign w:val="center"/>
          </w:tcPr>
          <w:p w:rsidR="00F2451E" w:rsidRDefault="00172E5D" w:rsidP="0056744B">
            <w:pPr>
              <w:jc w:val="right"/>
              <w:rPr>
                <w:rFonts w:cs="Arial"/>
                <w:sz w:val="20"/>
                <w:szCs w:val="20"/>
              </w:rPr>
            </w:pPr>
            <w:r>
              <w:rPr>
                <w:rFonts w:cs="Arial"/>
                <w:sz w:val="20"/>
                <w:szCs w:val="20"/>
              </w:rPr>
              <w:t>804</w:t>
            </w:r>
          </w:p>
        </w:tc>
        <w:tc>
          <w:tcPr>
            <w:tcW w:w="1066" w:type="dxa"/>
            <w:tcBorders>
              <w:top w:val="nil"/>
              <w:left w:val="nil"/>
              <w:bottom w:val="double" w:sz="6" w:space="0" w:color="auto"/>
              <w:right w:val="double" w:sz="6" w:space="0" w:color="000000"/>
            </w:tcBorders>
            <w:tcMar>
              <w:top w:w="29" w:type="dxa"/>
              <w:left w:w="115" w:type="dxa"/>
              <w:bottom w:w="29" w:type="dxa"/>
              <w:right w:w="115" w:type="dxa"/>
            </w:tcMar>
            <w:vAlign w:val="center"/>
          </w:tcPr>
          <w:p w:rsidR="00F2451E" w:rsidRDefault="001B6A90" w:rsidP="00172E5D">
            <w:pPr>
              <w:jc w:val="right"/>
              <w:rPr>
                <w:rFonts w:cs="Arial"/>
                <w:sz w:val="20"/>
                <w:szCs w:val="20"/>
              </w:rPr>
            </w:pPr>
            <w:r>
              <w:rPr>
                <w:rFonts w:cs="Arial"/>
                <w:sz w:val="20"/>
                <w:szCs w:val="20"/>
              </w:rPr>
              <w:t>$</w:t>
            </w:r>
            <w:r w:rsidR="00172E5D">
              <w:rPr>
                <w:rFonts w:cs="Arial"/>
                <w:sz w:val="20"/>
                <w:szCs w:val="20"/>
              </w:rPr>
              <w:t>51</w:t>
            </w:r>
            <w:r w:rsidR="00F2451E">
              <w:rPr>
                <w:rFonts w:cs="Arial"/>
                <w:sz w:val="20"/>
                <w:szCs w:val="20"/>
              </w:rPr>
              <w:t>,</w:t>
            </w:r>
            <w:r>
              <w:rPr>
                <w:rFonts w:cs="Arial"/>
                <w:sz w:val="20"/>
                <w:szCs w:val="20"/>
              </w:rPr>
              <w:t>0</w:t>
            </w:r>
            <w:r w:rsidR="00F2451E">
              <w:rPr>
                <w:rFonts w:cs="Arial"/>
                <w:sz w:val="20"/>
                <w:szCs w:val="20"/>
              </w:rPr>
              <w:t xml:space="preserve">00 </w:t>
            </w:r>
          </w:p>
        </w:tc>
      </w:tr>
      <w:tr w:rsidR="00F2451E" w:rsidRPr="00854FC2" w:rsidTr="0056744B">
        <w:trPr>
          <w:trHeight w:val="299"/>
          <w:jc w:val="center"/>
        </w:trPr>
        <w:tc>
          <w:tcPr>
            <w:tcW w:w="1870" w:type="dxa"/>
            <w:tcBorders>
              <w:top w:val="nil"/>
              <w:left w:val="double" w:sz="6" w:space="0" w:color="000000"/>
              <w:bottom w:val="double" w:sz="6" w:space="0" w:color="000000"/>
              <w:right w:val="single" w:sz="4" w:space="0" w:color="000000"/>
            </w:tcBorders>
            <w:tcMar>
              <w:top w:w="29" w:type="dxa"/>
              <w:left w:w="115" w:type="dxa"/>
              <w:bottom w:w="29" w:type="dxa"/>
              <w:right w:w="115" w:type="dxa"/>
            </w:tcMar>
            <w:vAlign w:val="bottom"/>
          </w:tcPr>
          <w:p w:rsidR="00F2451E" w:rsidRPr="00854FC2" w:rsidRDefault="00F2451E">
            <w:pPr>
              <w:rPr>
                <w:rFonts w:cs="Arial"/>
                <w:b/>
                <w:bCs/>
                <w:sz w:val="20"/>
                <w:szCs w:val="20"/>
              </w:rPr>
            </w:pPr>
            <w:r w:rsidRPr="00854FC2">
              <w:rPr>
                <w:rFonts w:cs="Arial"/>
                <w:b/>
                <w:bCs/>
                <w:sz w:val="20"/>
                <w:szCs w:val="20"/>
              </w:rPr>
              <w:t>Total</w:t>
            </w:r>
          </w:p>
        </w:tc>
        <w:tc>
          <w:tcPr>
            <w:tcW w:w="1446" w:type="dxa"/>
            <w:tcBorders>
              <w:top w:val="nil"/>
              <w:left w:val="nil"/>
              <w:bottom w:val="double" w:sz="6" w:space="0" w:color="000000"/>
              <w:right w:val="single" w:sz="4" w:space="0" w:color="auto"/>
            </w:tcBorders>
            <w:tcMar>
              <w:top w:w="29" w:type="dxa"/>
              <w:left w:w="115" w:type="dxa"/>
              <w:bottom w:w="29" w:type="dxa"/>
              <w:right w:w="115" w:type="dxa"/>
            </w:tcMar>
            <w:vAlign w:val="center"/>
          </w:tcPr>
          <w:p w:rsidR="00F2451E" w:rsidRDefault="00F2451E" w:rsidP="00172E5D">
            <w:pPr>
              <w:jc w:val="right"/>
              <w:rPr>
                <w:rFonts w:cs="Arial"/>
                <w:b/>
                <w:bCs/>
                <w:sz w:val="20"/>
                <w:szCs w:val="20"/>
              </w:rPr>
            </w:pPr>
            <w:r>
              <w:rPr>
                <w:rFonts w:cs="Arial"/>
                <w:b/>
                <w:bCs/>
                <w:sz w:val="20"/>
                <w:szCs w:val="20"/>
              </w:rPr>
              <w:t>2,</w:t>
            </w:r>
            <w:r w:rsidR="00172E5D">
              <w:rPr>
                <w:rFonts w:cs="Arial"/>
                <w:b/>
                <w:bCs/>
                <w:sz w:val="20"/>
                <w:szCs w:val="20"/>
              </w:rPr>
              <w:t>312</w:t>
            </w:r>
          </w:p>
        </w:tc>
        <w:tc>
          <w:tcPr>
            <w:tcW w:w="1283" w:type="dxa"/>
            <w:tcBorders>
              <w:top w:val="nil"/>
              <w:left w:val="nil"/>
              <w:bottom w:val="double" w:sz="6" w:space="0" w:color="000000"/>
              <w:right w:val="single" w:sz="4" w:space="0" w:color="auto"/>
            </w:tcBorders>
            <w:tcMar>
              <w:top w:w="29" w:type="dxa"/>
              <w:left w:w="115" w:type="dxa"/>
              <w:bottom w:w="29" w:type="dxa"/>
              <w:right w:w="115" w:type="dxa"/>
            </w:tcMar>
            <w:vAlign w:val="center"/>
          </w:tcPr>
          <w:p w:rsidR="00F2451E" w:rsidRDefault="00F2451E" w:rsidP="008B0DEE">
            <w:pPr>
              <w:jc w:val="right"/>
              <w:rPr>
                <w:rFonts w:cs="Arial"/>
                <w:b/>
                <w:bCs/>
                <w:sz w:val="20"/>
                <w:szCs w:val="20"/>
              </w:rPr>
            </w:pPr>
            <w:r>
              <w:rPr>
                <w:rFonts w:cs="Arial"/>
                <w:b/>
                <w:bCs/>
                <w:sz w:val="20"/>
                <w:szCs w:val="20"/>
              </w:rPr>
              <w:t>10,</w:t>
            </w:r>
            <w:r w:rsidR="008B0DEE">
              <w:rPr>
                <w:rFonts w:cs="Arial"/>
                <w:b/>
                <w:bCs/>
                <w:sz w:val="20"/>
                <w:szCs w:val="20"/>
              </w:rPr>
              <w:t>600</w:t>
            </w:r>
          </w:p>
        </w:tc>
        <w:tc>
          <w:tcPr>
            <w:tcW w:w="1019" w:type="dxa"/>
            <w:tcBorders>
              <w:top w:val="nil"/>
              <w:left w:val="nil"/>
              <w:bottom w:val="double" w:sz="6" w:space="0" w:color="000000"/>
              <w:right w:val="single" w:sz="4" w:space="0" w:color="auto"/>
            </w:tcBorders>
            <w:tcMar>
              <w:top w:w="29" w:type="dxa"/>
              <w:left w:w="115" w:type="dxa"/>
              <w:bottom w:w="29" w:type="dxa"/>
              <w:right w:w="115" w:type="dxa"/>
            </w:tcMar>
            <w:vAlign w:val="center"/>
          </w:tcPr>
          <w:p w:rsidR="00F2451E" w:rsidRDefault="00F2451E" w:rsidP="0056744B">
            <w:pPr>
              <w:jc w:val="right"/>
              <w:rPr>
                <w:rFonts w:cs="Arial"/>
                <w:b/>
                <w:bCs/>
                <w:sz w:val="20"/>
                <w:szCs w:val="20"/>
              </w:rPr>
            </w:pPr>
            <w:r>
              <w:rPr>
                <w:rFonts w:cs="Arial"/>
                <w:b/>
                <w:bCs/>
                <w:sz w:val="20"/>
                <w:szCs w:val="20"/>
              </w:rPr>
              <w:t>0</w:t>
            </w:r>
          </w:p>
        </w:tc>
        <w:tc>
          <w:tcPr>
            <w:tcW w:w="873" w:type="dxa"/>
            <w:tcBorders>
              <w:top w:val="nil"/>
              <w:left w:val="nil"/>
              <w:bottom w:val="double" w:sz="6" w:space="0" w:color="000000"/>
              <w:right w:val="single" w:sz="4" w:space="0" w:color="auto"/>
            </w:tcBorders>
            <w:tcMar>
              <w:top w:w="29" w:type="dxa"/>
              <w:left w:w="115" w:type="dxa"/>
              <w:bottom w:w="29" w:type="dxa"/>
              <w:right w:w="115" w:type="dxa"/>
            </w:tcMar>
            <w:vAlign w:val="center"/>
          </w:tcPr>
          <w:p w:rsidR="00F2451E" w:rsidRDefault="00F2451E" w:rsidP="00172E5D">
            <w:pPr>
              <w:jc w:val="right"/>
              <w:rPr>
                <w:rFonts w:cs="Arial"/>
                <w:b/>
                <w:bCs/>
                <w:sz w:val="20"/>
                <w:szCs w:val="20"/>
              </w:rPr>
            </w:pPr>
            <w:r>
              <w:rPr>
                <w:rFonts w:cs="Arial"/>
                <w:b/>
                <w:bCs/>
                <w:sz w:val="20"/>
                <w:szCs w:val="20"/>
              </w:rPr>
              <w:t>12,</w:t>
            </w:r>
            <w:r w:rsidR="00172E5D">
              <w:rPr>
                <w:rFonts w:cs="Arial"/>
                <w:b/>
                <w:bCs/>
                <w:sz w:val="20"/>
                <w:szCs w:val="20"/>
              </w:rPr>
              <w:t>9</w:t>
            </w:r>
            <w:r w:rsidR="00A2068C">
              <w:rPr>
                <w:rFonts w:cs="Arial"/>
                <w:b/>
                <w:bCs/>
                <w:sz w:val="20"/>
                <w:szCs w:val="20"/>
              </w:rPr>
              <w:t>00</w:t>
            </w:r>
          </w:p>
        </w:tc>
        <w:tc>
          <w:tcPr>
            <w:tcW w:w="1066" w:type="dxa"/>
            <w:tcBorders>
              <w:top w:val="nil"/>
              <w:left w:val="nil"/>
              <w:bottom w:val="double" w:sz="6" w:space="0" w:color="000000"/>
              <w:right w:val="double" w:sz="6" w:space="0" w:color="000000"/>
            </w:tcBorders>
            <w:tcMar>
              <w:top w:w="29" w:type="dxa"/>
              <w:left w:w="115" w:type="dxa"/>
              <w:bottom w:w="29" w:type="dxa"/>
              <w:right w:w="115" w:type="dxa"/>
            </w:tcMar>
            <w:vAlign w:val="center"/>
          </w:tcPr>
          <w:p w:rsidR="00F2451E" w:rsidRDefault="001B6A90" w:rsidP="00172E5D">
            <w:pPr>
              <w:jc w:val="right"/>
              <w:rPr>
                <w:rFonts w:cs="Arial"/>
                <w:b/>
                <w:bCs/>
                <w:sz w:val="20"/>
                <w:szCs w:val="20"/>
              </w:rPr>
            </w:pPr>
            <w:r>
              <w:rPr>
                <w:rFonts w:cs="Arial"/>
                <w:b/>
                <w:bCs/>
                <w:sz w:val="20"/>
                <w:szCs w:val="20"/>
              </w:rPr>
              <w:t>$</w:t>
            </w:r>
            <w:r w:rsidR="00172E5D">
              <w:rPr>
                <w:rFonts w:cs="Arial"/>
                <w:b/>
                <w:bCs/>
                <w:sz w:val="20"/>
                <w:szCs w:val="20"/>
              </w:rPr>
              <w:t>616</w:t>
            </w:r>
            <w:r w:rsidR="00F2451E">
              <w:rPr>
                <w:rFonts w:cs="Arial"/>
                <w:b/>
                <w:bCs/>
                <w:sz w:val="20"/>
                <w:szCs w:val="20"/>
              </w:rPr>
              <w:t>,</w:t>
            </w:r>
            <w:r w:rsidR="00A2068C">
              <w:rPr>
                <w:rFonts w:cs="Arial"/>
                <w:b/>
                <w:bCs/>
                <w:sz w:val="20"/>
                <w:szCs w:val="20"/>
              </w:rPr>
              <w:t>000</w:t>
            </w:r>
            <w:r w:rsidR="00F2451E">
              <w:rPr>
                <w:rFonts w:cs="Arial"/>
                <w:b/>
                <w:bCs/>
                <w:sz w:val="20"/>
                <w:szCs w:val="20"/>
              </w:rPr>
              <w:t xml:space="preserve"> </w:t>
            </w:r>
          </w:p>
        </w:tc>
      </w:tr>
    </w:tbl>
    <w:p w:rsidR="00D85665" w:rsidRPr="00854FC2" w:rsidRDefault="008B0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b/>
        <w:t>Note: costs may not total due to rounding</w:t>
      </w:r>
      <w:r w:rsidR="00F25249">
        <w:rPr>
          <w:rFonts w:cs="Arial"/>
          <w:szCs w:val="22"/>
        </w:rPr>
        <w:t>; January 2012 General Schedule.</w:t>
      </w: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2"/>
        </w:rPr>
      </w:pPr>
      <w:r w:rsidRPr="00854FC2">
        <w:rPr>
          <w:rFonts w:cs="Arial"/>
          <w:szCs w:val="22"/>
        </w:rPr>
        <w:tab/>
      </w: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2"/>
        </w:rPr>
      </w:pPr>
      <w:r w:rsidRPr="00854FC2">
        <w:rPr>
          <w:rFonts w:cs="Arial"/>
          <w:b/>
          <w:bCs/>
          <w:szCs w:val="22"/>
        </w:rPr>
        <w:t>6(d)</w:t>
      </w:r>
      <w:r w:rsidRPr="00854FC2">
        <w:rPr>
          <w:rFonts w:cs="Arial"/>
          <w:b/>
          <w:bCs/>
          <w:szCs w:val="22"/>
        </w:rPr>
        <w:tab/>
        <w:t>Estimating the Respondent Universe</w:t>
      </w:r>
    </w:p>
    <w:p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D85665" w:rsidRPr="00854FC2" w:rsidRDefault="002348E6" w:rsidP="00C02B77">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Pr="00854FC2">
        <w:rPr>
          <w:lang w:val="en-CA"/>
        </w:rPr>
        <w:fldChar w:fldCharType="begin"/>
      </w:r>
      <w:r w:rsidR="00D85665" w:rsidRPr="00854FC2">
        <w:rPr>
          <w:lang w:val="en-CA"/>
        </w:rPr>
        <w:instrText xml:space="preserve"> SEQ CHAPTER \h \r 1</w:instrText>
      </w:r>
      <w:r w:rsidRPr="00854FC2">
        <w:rPr>
          <w:lang w:val="en-CA"/>
        </w:rPr>
        <w:fldChar w:fldCharType="end"/>
      </w:r>
      <w:r w:rsidR="00D85665" w:rsidRPr="00854FC2">
        <w:rPr>
          <w:rFonts w:cs="Arial"/>
          <w:szCs w:val="22"/>
        </w:rPr>
        <w:t>This section describes the universe of facilities subject to SPCC regulations. Estimating the number of regulated entities is not straightforward. The SPCC rule does not include a notification requirement and, with certain exceptions, owners and operators do not submit their SPCC Plans to EPA.</w:t>
      </w:r>
    </w:p>
    <w:p w:rsidR="00D85665" w:rsidRPr="00854FC2" w:rsidRDefault="00D85665">
      <w:pPr>
        <w:rPr>
          <w:rFonts w:cs="Arial"/>
          <w:szCs w:val="22"/>
        </w:rPr>
      </w:pPr>
    </w:p>
    <w:p w:rsidR="00D85665" w:rsidRPr="00854FC2" w:rsidRDefault="00D85665" w:rsidP="00A15DF0">
      <w:pPr>
        <w:keepNext/>
        <w:keepLines/>
        <w:outlineLvl w:val="0"/>
        <w:rPr>
          <w:rFonts w:cs="Arial"/>
          <w:szCs w:val="22"/>
        </w:rPr>
      </w:pPr>
      <w:r w:rsidRPr="00854FC2">
        <w:rPr>
          <w:rFonts w:cs="Arial"/>
          <w:szCs w:val="22"/>
        </w:rPr>
        <w:tab/>
      </w:r>
      <w:r w:rsidRPr="00854FC2">
        <w:rPr>
          <w:rFonts w:cs="Arial"/>
          <w:szCs w:val="22"/>
          <w:u w:val="single"/>
        </w:rPr>
        <w:t>Previously Developed Estimates</w:t>
      </w:r>
    </w:p>
    <w:p w:rsidR="00D85665" w:rsidRPr="00854FC2" w:rsidRDefault="00D85665">
      <w:pPr>
        <w:keepNext/>
        <w:keepLines/>
        <w:rPr>
          <w:rFonts w:cs="Arial"/>
          <w:szCs w:val="22"/>
        </w:rPr>
      </w:pPr>
      <w:r w:rsidRPr="00854FC2">
        <w:rPr>
          <w:rFonts w:cs="Arial"/>
          <w:szCs w:val="22"/>
        </w:rPr>
        <w:tab/>
      </w:r>
    </w:p>
    <w:p w:rsidR="00D85665" w:rsidRPr="00854FC2" w:rsidRDefault="002348E6" w:rsidP="00C02B77">
      <w:pPr>
        <w:ind w:firstLine="720"/>
        <w:rPr>
          <w:rFonts w:cs="Arial"/>
          <w:szCs w:val="22"/>
        </w:rPr>
      </w:pPr>
      <w:r w:rsidRPr="00854FC2">
        <w:rPr>
          <w:lang w:val="en-CA"/>
        </w:rPr>
        <w:fldChar w:fldCharType="begin"/>
      </w:r>
      <w:r w:rsidR="00D85665" w:rsidRPr="00854FC2">
        <w:rPr>
          <w:lang w:val="en-CA"/>
        </w:rPr>
        <w:instrText xml:space="preserve"> SEQ CHAPTER \h \r 1</w:instrText>
      </w:r>
      <w:r w:rsidRPr="00854FC2">
        <w:rPr>
          <w:lang w:val="en-CA"/>
        </w:rPr>
        <w:fldChar w:fldCharType="end"/>
      </w:r>
      <w:r w:rsidR="00D85665" w:rsidRPr="00854FC2">
        <w:rPr>
          <w:rFonts w:cs="Arial"/>
          <w:szCs w:val="22"/>
        </w:rPr>
        <w:t xml:space="preserve">In 1991, EPA published the “Spill Prevention, Control, and Countermeasures Facilities Study,” which summarized information on small, medium, and large facilities in 16 industry sectors that store oil aboveground and underground. For each of these sectors, EPA collected and evaluated data from </w:t>
      </w:r>
      <w:r w:rsidR="00D56863">
        <w:rPr>
          <w:rFonts w:cs="Arial"/>
          <w:szCs w:val="22"/>
        </w:rPr>
        <w:t>ten</w:t>
      </w:r>
      <w:r w:rsidR="00D56863" w:rsidRPr="00854FC2">
        <w:rPr>
          <w:rFonts w:cs="Arial"/>
          <w:szCs w:val="22"/>
        </w:rPr>
        <w:t xml:space="preserve"> </w:t>
      </w:r>
      <w:r w:rsidR="00D85665" w:rsidRPr="00854FC2">
        <w:rPr>
          <w:rFonts w:cs="Arial"/>
          <w:szCs w:val="22"/>
        </w:rPr>
        <w:t xml:space="preserve">states on medium and large facilities. Information on small facilities </w:t>
      </w:r>
      <w:r w:rsidR="00D85665" w:rsidRPr="00854FC2">
        <w:rPr>
          <w:rFonts w:cs="Arial"/>
          <w:szCs w:val="22"/>
        </w:rPr>
        <w:lastRenderedPageBreak/>
        <w:t>came from New York.  In the end, the 1991 study estimated the number of facilities based on extrapolation of data from four state databases (</w:t>
      </w:r>
      <w:smartTag w:uri="urn:schemas-microsoft-com:office:smarttags" w:element="State">
        <w:r w:rsidR="00D85665" w:rsidRPr="00854FC2">
          <w:rPr>
            <w:rFonts w:cs="Arial"/>
            <w:szCs w:val="22"/>
          </w:rPr>
          <w:t>Illinois</w:t>
        </w:r>
      </w:smartTag>
      <w:r w:rsidR="00D85665" w:rsidRPr="00854FC2">
        <w:rPr>
          <w:rFonts w:cs="Arial"/>
          <w:szCs w:val="22"/>
        </w:rPr>
        <w:t xml:space="preserve">, </w:t>
      </w:r>
      <w:smartTag w:uri="urn:schemas-microsoft-com:office:smarttags" w:element="State">
        <w:r w:rsidR="00D85665" w:rsidRPr="00854FC2">
          <w:rPr>
            <w:rFonts w:cs="Arial"/>
            <w:szCs w:val="22"/>
          </w:rPr>
          <w:t>California</w:t>
        </w:r>
      </w:smartTag>
      <w:r w:rsidR="00D85665" w:rsidRPr="00854FC2">
        <w:rPr>
          <w:rFonts w:cs="Arial"/>
          <w:szCs w:val="22"/>
        </w:rPr>
        <w:t xml:space="preserve">, </w:t>
      </w:r>
      <w:smartTag w:uri="urn:schemas-microsoft-com:office:smarttags" w:element="State">
        <w:r w:rsidR="00D85665" w:rsidRPr="00854FC2">
          <w:rPr>
            <w:rFonts w:cs="Arial"/>
            <w:szCs w:val="22"/>
          </w:rPr>
          <w:t>Maryland</w:t>
        </w:r>
      </w:smartTag>
      <w:r w:rsidR="00D85665" w:rsidRPr="00854FC2">
        <w:rPr>
          <w:rFonts w:cs="Arial"/>
          <w:szCs w:val="22"/>
        </w:rPr>
        <w:t xml:space="preserve">, and </w:t>
      </w:r>
      <w:smartTag w:uri="urn:schemas-microsoft-com:office:smarttags" w:element="place">
        <w:smartTag w:uri="urn:schemas-microsoft-com:office:smarttags" w:element="State">
          <w:r w:rsidR="00D85665" w:rsidRPr="00854FC2">
            <w:rPr>
              <w:rFonts w:cs="Arial"/>
              <w:szCs w:val="22"/>
            </w:rPr>
            <w:t>New York</w:t>
          </w:r>
        </w:smartTag>
      </w:smartTag>
      <w:r w:rsidR="00D85665" w:rsidRPr="00854FC2">
        <w:rPr>
          <w:rFonts w:cs="Arial"/>
          <w:szCs w:val="22"/>
        </w:rPr>
        <w:t>) to the nation.</w:t>
      </w:r>
    </w:p>
    <w:p w:rsidR="00D85665" w:rsidRPr="00854FC2" w:rsidRDefault="00D85665">
      <w:pPr>
        <w:rPr>
          <w:rFonts w:cs="Arial"/>
          <w:szCs w:val="22"/>
        </w:rPr>
      </w:pPr>
    </w:p>
    <w:p w:rsidR="00D85665" w:rsidRPr="00854FC2" w:rsidRDefault="00D85665" w:rsidP="00C02B77">
      <w:pPr>
        <w:ind w:firstLine="720"/>
        <w:rPr>
          <w:rFonts w:cs="Arial"/>
          <w:szCs w:val="22"/>
        </w:rPr>
      </w:pPr>
      <w:r w:rsidRPr="00854FC2">
        <w:rPr>
          <w:rFonts w:cs="Arial"/>
          <w:szCs w:val="22"/>
        </w:rPr>
        <w:t>In 1995, EPA conducted a</w:t>
      </w:r>
      <w:r w:rsidR="00133EA0">
        <w:rPr>
          <w:rFonts w:cs="Arial"/>
          <w:szCs w:val="22"/>
        </w:rPr>
        <w:t xml:space="preserve">n OMB-approved </w:t>
      </w:r>
      <w:r w:rsidR="003728F3">
        <w:rPr>
          <w:rFonts w:cs="Arial"/>
          <w:szCs w:val="22"/>
        </w:rPr>
        <w:t xml:space="preserve">statistically based, random sample </w:t>
      </w:r>
      <w:r w:rsidRPr="00854FC2">
        <w:rPr>
          <w:rFonts w:cs="Arial"/>
          <w:szCs w:val="22"/>
        </w:rPr>
        <w:t>survey of approximately 30,000 facilities in the industries covered by the 1991 study. The 1995 survey yielded detailed information about the oil storage characteristics of the surveyed facilities, and was designed to allow statistical extrapolation to a broader universe. EPA compared the results of the 1995 survey to the 1991 facility study and to a 1989 American Petroleum Institute report and calculated a 1996 Adjusted National Estimate, which has been the basis of EPA’s approximation of the number of facilities regulated by the SPCC Program.</w:t>
      </w:r>
      <w:r w:rsidRPr="00854FC2">
        <w:rPr>
          <w:rStyle w:val="FootnoteReference"/>
        </w:rPr>
        <w:footnoteReference w:id="15"/>
      </w:r>
    </w:p>
    <w:p w:rsidR="00D85665" w:rsidRPr="00854FC2" w:rsidRDefault="00D85665">
      <w:pPr>
        <w:rPr>
          <w:rFonts w:cs="Arial"/>
          <w:szCs w:val="22"/>
        </w:rPr>
      </w:pPr>
    </w:p>
    <w:p w:rsidR="00D85665" w:rsidRPr="00854FC2" w:rsidRDefault="00D85665" w:rsidP="00A15DF0">
      <w:pPr>
        <w:outlineLvl w:val="0"/>
        <w:rPr>
          <w:rFonts w:cs="Arial"/>
          <w:szCs w:val="22"/>
          <w:u w:val="single"/>
        </w:rPr>
      </w:pPr>
      <w:r w:rsidRPr="00854FC2">
        <w:rPr>
          <w:rFonts w:cs="Arial"/>
          <w:szCs w:val="22"/>
        </w:rPr>
        <w:tab/>
      </w:r>
      <w:r w:rsidRPr="00854FC2">
        <w:rPr>
          <w:rFonts w:cs="Arial"/>
          <w:szCs w:val="22"/>
          <w:u w:val="single"/>
        </w:rPr>
        <w:t xml:space="preserve">Current Estimation Methodology </w:t>
      </w:r>
    </w:p>
    <w:p w:rsidR="00D85665" w:rsidRPr="00854FC2" w:rsidRDefault="00D85665">
      <w:pPr>
        <w:numPr>
          <w:ilvl w:val="12"/>
          <w:numId w:val="0"/>
        </w:numPr>
        <w:rPr>
          <w:rFonts w:cs="Arial"/>
          <w:szCs w:val="22"/>
        </w:rPr>
      </w:pPr>
      <w:r w:rsidRPr="00854FC2">
        <w:rPr>
          <w:rFonts w:cs="Arial"/>
          <w:szCs w:val="22"/>
        </w:rPr>
        <w:tab/>
      </w:r>
    </w:p>
    <w:p w:rsidR="00D85665" w:rsidRPr="00854FC2" w:rsidRDefault="002348E6" w:rsidP="00C02B77">
      <w:pPr>
        <w:numPr>
          <w:ilvl w:val="12"/>
          <w:numId w:val="0"/>
        </w:numPr>
        <w:ind w:firstLine="720"/>
        <w:rPr>
          <w:rFonts w:cs="Arial"/>
          <w:szCs w:val="22"/>
        </w:rPr>
      </w:pPr>
      <w:r w:rsidRPr="00854FC2">
        <w:rPr>
          <w:lang w:val="en-CA"/>
        </w:rPr>
        <w:fldChar w:fldCharType="begin"/>
      </w:r>
      <w:r w:rsidR="00D85665" w:rsidRPr="00854FC2">
        <w:rPr>
          <w:lang w:val="en-CA"/>
        </w:rPr>
        <w:instrText xml:space="preserve"> SEQ CHAPTER \h \r 1</w:instrText>
      </w:r>
      <w:r w:rsidRPr="00854FC2">
        <w:rPr>
          <w:lang w:val="en-CA"/>
        </w:rPr>
        <w:fldChar w:fldCharType="end"/>
      </w:r>
      <w:r w:rsidR="00D85665" w:rsidRPr="00854FC2">
        <w:rPr>
          <w:rFonts w:cs="Arial"/>
          <w:szCs w:val="22"/>
        </w:rPr>
        <w:t>EPA has updated its estimates of the number of facilities regulated by the SPCC rule, based on recent federal, state, and proprietary data on facilities that store or handle oil.</w:t>
      </w:r>
      <w:r w:rsidR="00D85665" w:rsidRPr="00854FC2">
        <w:rPr>
          <w:rStyle w:val="FootnoteReference"/>
          <w:rFonts w:cs="Arial"/>
          <w:szCs w:val="22"/>
        </w:rPr>
        <w:footnoteReference w:id="16"/>
      </w:r>
      <w:r w:rsidR="00D85665" w:rsidRPr="00854FC2">
        <w:rPr>
          <w:rFonts w:cs="Arial"/>
          <w:szCs w:val="22"/>
        </w:rPr>
        <w:t xml:space="preserve">  The estimates of the SPCC universe were developed for 30 industry sectors, including (but not limited to) those listed in </w:t>
      </w:r>
      <w:fldSimple w:instr=" REF _Ref141689202  \* MERGEFORMAT ">
        <w:r w:rsidR="00F61EFD" w:rsidRPr="00854FC2">
          <w:t xml:space="preserve">Exhibit </w:t>
        </w:r>
        <w:r w:rsidR="00F61EFD">
          <w:rPr>
            <w:noProof/>
          </w:rPr>
          <w:t>1</w:t>
        </w:r>
      </w:fldSimple>
      <w:r w:rsidR="00D85665" w:rsidRPr="00854FC2">
        <w:rPr>
          <w:rFonts w:cs="Arial"/>
          <w:szCs w:val="22"/>
        </w:rPr>
        <w:t>.  For sectors without reliable national-level data, the basic estimation procedure involved extrapolating from eight state databases using information from the U.S. Census Bureau.</w:t>
      </w:r>
      <w:r w:rsidR="00D85665" w:rsidRPr="00854FC2">
        <w:rPr>
          <w:rStyle w:val="FootnoteReference"/>
        </w:rPr>
        <w:footnoteReference w:id="17"/>
      </w:r>
    </w:p>
    <w:p w:rsidR="00D85665" w:rsidRPr="00854FC2" w:rsidRDefault="00D85665">
      <w:pPr>
        <w:numPr>
          <w:ilvl w:val="12"/>
          <w:numId w:val="0"/>
        </w:numPr>
        <w:rPr>
          <w:rFonts w:cs="Arial"/>
          <w:szCs w:val="22"/>
        </w:rPr>
      </w:pPr>
    </w:p>
    <w:p w:rsidR="00D85665" w:rsidRPr="00854FC2" w:rsidRDefault="00D85665" w:rsidP="00A15DF0">
      <w:pPr>
        <w:numPr>
          <w:ilvl w:val="12"/>
          <w:numId w:val="0"/>
        </w:numPr>
        <w:outlineLvl w:val="0"/>
        <w:rPr>
          <w:rFonts w:cs="Arial"/>
          <w:i/>
          <w:iCs/>
          <w:szCs w:val="22"/>
        </w:rPr>
      </w:pPr>
      <w:r w:rsidRPr="00854FC2">
        <w:rPr>
          <w:rFonts w:cs="Arial"/>
          <w:szCs w:val="22"/>
        </w:rPr>
        <w:tab/>
      </w:r>
      <w:r w:rsidRPr="00854FC2">
        <w:rPr>
          <w:rFonts w:cs="Arial"/>
          <w:i/>
          <w:iCs/>
          <w:szCs w:val="22"/>
        </w:rPr>
        <w:t>Estimates based on state-level data</w:t>
      </w:r>
    </w:p>
    <w:p w:rsidR="00D85665" w:rsidRPr="00854FC2" w:rsidRDefault="00D85665">
      <w:pPr>
        <w:numPr>
          <w:ilvl w:val="12"/>
          <w:numId w:val="0"/>
        </w:numPr>
        <w:rPr>
          <w:rFonts w:cs="Arial"/>
          <w:szCs w:val="22"/>
        </w:rPr>
      </w:pPr>
    </w:p>
    <w:p w:rsidR="00D85665" w:rsidRPr="00854FC2" w:rsidRDefault="002348E6" w:rsidP="00C02B77">
      <w:pPr>
        <w:ind w:firstLine="720"/>
        <w:rPr>
          <w:sz w:val="17"/>
          <w:szCs w:val="17"/>
        </w:rPr>
      </w:pPr>
      <w:r w:rsidRPr="00854FC2">
        <w:rPr>
          <w:lang w:val="en-CA"/>
        </w:rPr>
        <w:fldChar w:fldCharType="begin"/>
      </w:r>
      <w:r w:rsidR="00D85665" w:rsidRPr="00854FC2">
        <w:rPr>
          <w:lang w:val="en-CA"/>
        </w:rPr>
        <w:instrText xml:space="preserve"> SEQ CHAPTER \h \r 1</w:instrText>
      </w:r>
      <w:r w:rsidRPr="00854FC2">
        <w:rPr>
          <w:lang w:val="en-CA"/>
        </w:rPr>
        <w:fldChar w:fldCharType="end"/>
      </w:r>
      <w:r w:rsidR="00D85665" w:rsidRPr="00854FC2">
        <w:rPr>
          <w:rFonts w:cs="Arial"/>
          <w:szCs w:val="22"/>
        </w:rPr>
        <w:t>For many industry sectors affected by the SPCC rule, the basic estimation procedure used to update the regulated universe was similar to that used in the 1991 facilities study.  EPA used eight primary state databases (</w:t>
      </w:r>
      <w:smartTag w:uri="urn:schemas-microsoft-com:office:smarttags" w:element="State">
        <w:r w:rsidR="00D85665" w:rsidRPr="00854FC2">
          <w:rPr>
            <w:rFonts w:cs="Arial"/>
            <w:szCs w:val="22"/>
          </w:rPr>
          <w:t>Florida</w:t>
        </w:r>
      </w:smartTag>
      <w:r w:rsidR="00D85665" w:rsidRPr="00854FC2">
        <w:rPr>
          <w:rFonts w:cs="Arial"/>
          <w:szCs w:val="22"/>
        </w:rPr>
        <w:t xml:space="preserve">, </w:t>
      </w:r>
      <w:smartTag w:uri="urn:schemas-microsoft-com:office:smarttags" w:element="State">
        <w:r w:rsidR="00D85665" w:rsidRPr="00854FC2">
          <w:rPr>
            <w:rFonts w:cs="Arial"/>
            <w:szCs w:val="22"/>
          </w:rPr>
          <w:t>Kansas</w:t>
        </w:r>
      </w:smartTag>
      <w:r w:rsidR="00D85665" w:rsidRPr="00854FC2">
        <w:rPr>
          <w:rFonts w:cs="Arial"/>
          <w:szCs w:val="22"/>
        </w:rPr>
        <w:t xml:space="preserve">, </w:t>
      </w:r>
      <w:smartTag w:uri="urn:schemas-microsoft-com:office:smarttags" w:element="State">
        <w:r w:rsidR="00D85665" w:rsidRPr="00854FC2">
          <w:rPr>
            <w:rFonts w:cs="Arial"/>
            <w:szCs w:val="22"/>
          </w:rPr>
          <w:t>Maryland</w:t>
        </w:r>
      </w:smartTag>
      <w:r w:rsidR="00D85665" w:rsidRPr="00854FC2">
        <w:rPr>
          <w:rFonts w:cs="Arial"/>
          <w:szCs w:val="22"/>
        </w:rPr>
        <w:t xml:space="preserve">, </w:t>
      </w:r>
      <w:smartTag w:uri="urn:schemas-microsoft-com:office:smarttags" w:element="State">
        <w:r w:rsidR="00D85665" w:rsidRPr="00854FC2">
          <w:rPr>
            <w:rFonts w:cs="Arial"/>
            <w:szCs w:val="22"/>
          </w:rPr>
          <w:t>Minnesota</w:t>
        </w:r>
      </w:smartTag>
      <w:r w:rsidR="00D85665" w:rsidRPr="00854FC2">
        <w:rPr>
          <w:rFonts w:cs="Arial"/>
          <w:szCs w:val="22"/>
        </w:rPr>
        <w:t xml:space="preserve">, </w:t>
      </w:r>
      <w:smartTag w:uri="urn:schemas-microsoft-com:office:smarttags" w:element="City">
        <w:r w:rsidR="00D85665" w:rsidRPr="00854FC2">
          <w:rPr>
            <w:rFonts w:cs="Arial"/>
            <w:szCs w:val="22"/>
          </w:rPr>
          <w:t>New York</w:t>
        </w:r>
      </w:smartTag>
      <w:r w:rsidR="00D85665" w:rsidRPr="00854FC2">
        <w:rPr>
          <w:rFonts w:cs="Arial"/>
          <w:szCs w:val="22"/>
        </w:rPr>
        <w:t xml:space="preserve">, </w:t>
      </w:r>
      <w:smartTag w:uri="urn:schemas-microsoft-com:office:smarttags" w:element="State">
        <w:r w:rsidR="00D85665" w:rsidRPr="00854FC2">
          <w:rPr>
            <w:rFonts w:cs="Arial"/>
            <w:szCs w:val="22"/>
          </w:rPr>
          <w:t>Oklahoma</w:t>
        </w:r>
      </w:smartTag>
      <w:r w:rsidR="00D85665" w:rsidRPr="00854FC2">
        <w:rPr>
          <w:rFonts w:cs="Arial"/>
          <w:szCs w:val="22"/>
        </w:rPr>
        <w:t xml:space="preserve">, </w:t>
      </w:r>
      <w:smartTag w:uri="urn:schemas-microsoft-com:office:smarttags" w:element="State">
        <w:r w:rsidR="00D85665" w:rsidRPr="00854FC2">
          <w:rPr>
            <w:rFonts w:cs="Arial"/>
            <w:szCs w:val="22"/>
          </w:rPr>
          <w:t>Virginia</w:t>
        </w:r>
      </w:smartTag>
      <w:r w:rsidR="00D85665" w:rsidRPr="00854FC2">
        <w:rPr>
          <w:rFonts w:cs="Arial"/>
          <w:szCs w:val="22"/>
        </w:rPr>
        <w:t xml:space="preserve">, and </w:t>
      </w:r>
      <w:smartTag w:uri="urn:schemas-microsoft-com:office:smarttags" w:element="place">
        <w:smartTag w:uri="urn:schemas-microsoft-com:office:smarttags" w:element="State">
          <w:r w:rsidR="00D85665" w:rsidRPr="00854FC2">
            <w:rPr>
              <w:rFonts w:cs="Arial"/>
              <w:szCs w:val="22"/>
            </w:rPr>
            <w:t>Wisconsin</w:t>
          </w:r>
        </w:smartTag>
      </w:smartTag>
      <w:r w:rsidR="00D85665" w:rsidRPr="00854FC2">
        <w:rPr>
          <w:rFonts w:cs="Arial"/>
          <w:szCs w:val="22"/>
        </w:rPr>
        <w:t>) to determine the number of SPCC-regulated facilities in the state for each industry sector.</w:t>
      </w:r>
    </w:p>
    <w:p w:rsidR="00D85665" w:rsidRPr="00854FC2" w:rsidRDefault="00D85665">
      <w:pPr>
        <w:rPr>
          <w:sz w:val="17"/>
        </w:rPr>
      </w:pPr>
    </w:p>
    <w:p w:rsidR="00D85665" w:rsidRPr="00854FC2" w:rsidRDefault="00D85665" w:rsidP="00C02B77">
      <w:pPr>
        <w:numPr>
          <w:ilvl w:val="12"/>
          <w:numId w:val="0"/>
        </w:numPr>
        <w:ind w:firstLine="720"/>
        <w:rPr>
          <w:rFonts w:cs="Arial"/>
          <w:szCs w:val="17"/>
        </w:rPr>
      </w:pPr>
      <w:r w:rsidRPr="00854FC2">
        <w:rPr>
          <w:rFonts w:cs="Arial"/>
          <w:szCs w:val="17"/>
        </w:rPr>
        <w:t>The information in state databases was matched with the Dun &amp; Bradstreet (D&amp;B) Market Spectrum database to assign industry sectors.</w:t>
      </w:r>
      <w:r w:rsidRPr="00854FC2">
        <w:rPr>
          <w:rStyle w:val="FootnoteReference"/>
        </w:rPr>
        <w:footnoteReference w:id="18"/>
      </w:r>
      <w:r w:rsidRPr="00854FC2">
        <w:rPr>
          <w:rFonts w:cs="Arial"/>
          <w:szCs w:val="17"/>
        </w:rPr>
        <w:t xml:space="preserve"> To extrapolate the estimates to the entire country, these values were multiplied by a facility ratio. </w:t>
      </w:r>
      <w:r w:rsidRPr="00854FC2">
        <w:t>The facility ratio was estimated as the number of SPCC-regulated facilities in the eight states for an industry sector divided by the total number of facilities reported for that industry sector in those states.</w:t>
      </w:r>
      <w:r w:rsidRPr="00854FC2">
        <w:rPr>
          <w:rStyle w:val="FootnoteReference"/>
        </w:rPr>
        <w:footnoteReference w:id="19"/>
      </w:r>
      <w:r w:rsidRPr="00854FC2">
        <w:t xml:space="preserve">  </w:t>
      </w:r>
    </w:p>
    <w:p w:rsidR="00D85665" w:rsidRPr="00854FC2" w:rsidRDefault="00D85665">
      <w:pPr>
        <w:numPr>
          <w:ilvl w:val="12"/>
          <w:numId w:val="0"/>
        </w:numPr>
        <w:rPr>
          <w:rFonts w:cs="Arial"/>
          <w:szCs w:val="17"/>
        </w:rPr>
      </w:pPr>
    </w:p>
    <w:p w:rsidR="00D85665" w:rsidRPr="00854FC2" w:rsidRDefault="00D85665" w:rsidP="00A15DF0">
      <w:pPr>
        <w:keepNext/>
        <w:keepLines/>
        <w:numPr>
          <w:ilvl w:val="12"/>
          <w:numId w:val="0"/>
        </w:numPr>
        <w:outlineLvl w:val="0"/>
        <w:rPr>
          <w:rFonts w:cs="Arial"/>
          <w:i/>
          <w:iCs/>
          <w:szCs w:val="22"/>
        </w:rPr>
      </w:pPr>
      <w:r w:rsidRPr="00854FC2">
        <w:rPr>
          <w:rFonts w:cs="Arial"/>
          <w:szCs w:val="22"/>
        </w:rPr>
        <w:lastRenderedPageBreak/>
        <w:tab/>
      </w:r>
      <w:r w:rsidRPr="00854FC2">
        <w:rPr>
          <w:rFonts w:cs="Arial"/>
          <w:i/>
          <w:iCs/>
          <w:szCs w:val="22"/>
        </w:rPr>
        <w:t>Estimates based on national-level data</w:t>
      </w:r>
    </w:p>
    <w:p w:rsidR="00D85665" w:rsidRPr="00854FC2" w:rsidRDefault="00D85665">
      <w:pPr>
        <w:keepNext/>
        <w:keepLines/>
        <w:numPr>
          <w:ilvl w:val="12"/>
          <w:numId w:val="0"/>
        </w:numPr>
        <w:rPr>
          <w:rFonts w:cs="Arial"/>
          <w:szCs w:val="22"/>
        </w:rPr>
      </w:pPr>
    </w:p>
    <w:p w:rsidR="00D85665" w:rsidRPr="00854FC2" w:rsidRDefault="00D85665" w:rsidP="00C02B77">
      <w:pPr>
        <w:ind w:firstLine="720"/>
        <w:rPr>
          <w:rFonts w:cs="Arial"/>
        </w:rPr>
      </w:pPr>
      <w:r w:rsidRPr="00854FC2">
        <w:rPr>
          <w:rFonts w:cs="Arial"/>
          <w:lang w:val="en-CA"/>
        </w:rPr>
        <w:t>Because of the availability of federal and proprietary data, EPA used a</w:t>
      </w:r>
      <w:r w:rsidR="002348E6" w:rsidRPr="00854FC2">
        <w:rPr>
          <w:rFonts w:cs="Arial"/>
          <w:lang w:val="en-CA"/>
        </w:rPr>
        <w:fldChar w:fldCharType="begin"/>
      </w:r>
      <w:r w:rsidRPr="00854FC2">
        <w:rPr>
          <w:rFonts w:cs="Arial"/>
          <w:lang w:val="en-CA"/>
        </w:rPr>
        <w:instrText xml:space="preserve"> SEQ CHAPTER \h \r 1</w:instrText>
      </w:r>
      <w:r w:rsidR="002348E6" w:rsidRPr="00854FC2">
        <w:rPr>
          <w:rFonts w:cs="Arial"/>
          <w:lang w:val="en-CA"/>
        </w:rPr>
        <w:fldChar w:fldCharType="end"/>
      </w:r>
      <w:r w:rsidRPr="00854FC2">
        <w:rPr>
          <w:rFonts w:cs="Arial"/>
        </w:rPr>
        <w:t xml:space="preserve"> different estimation approach for the following industry sectors: petroleum bulk stations and terminals; fuel oil dealers; pipelines; petroleum refinery and related industries; oil and gas production; farms; electric utilities; and manufacturing facilities handling or storing animal fats and vegetable oils. These sectors represent 70 percent of the facilities affected by the SPCC rule.</w:t>
      </w:r>
    </w:p>
    <w:p w:rsidR="00D85665" w:rsidRPr="00854FC2" w:rsidRDefault="00D85665">
      <w:pPr>
        <w:rPr>
          <w:rFonts w:cs="Arial"/>
        </w:rPr>
      </w:pPr>
    </w:p>
    <w:p w:rsidR="00D85665" w:rsidRPr="00854FC2" w:rsidRDefault="00D85665" w:rsidP="00C02B77">
      <w:pPr>
        <w:ind w:firstLine="720"/>
        <w:rPr>
          <w:rFonts w:cs="Arial"/>
        </w:rPr>
      </w:pPr>
      <w:r w:rsidRPr="00854FC2">
        <w:rPr>
          <w:rFonts w:cs="Arial"/>
        </w:rPr>
        <w:t>The 2002 Economic Census was used to estimate the number of regulated facilities for the petroleum bulk stations and terminals, fuel oil dealers, pipelines, and petroleum refinery and related industries. As in previous analyses, all facilities in these industries were assumed to be regulated under the SPCC rule.</w:t>
      </w:r>
    </w:p>
    <w:p w:rsidR="00D85665" w:rsidRPr="00854FC2" w:rsidRDefault="00D85665">
      <w:pPr>
        <w:rPr>
          <w:rFonts w:cs="Arial"/>
        </w:rPr>
      </w:pPr>
    </w:p>
    <w:p w:rsidR="00D85665" w:rsidRPr="00854FC2" w:rsidRDefault="00D85665" w:rsidP="00C02B77">
      <w:pPr>
        <w:pStyle w:val="BodyText"/>
        <w:ind w:firstLine="720"/>
      </w:pPr>
      <w:r w:rsidRPr="00854FC2">
        <w:t>EPA assumed all oil production facilities are regulated under the SPCC rule. Certain gas production facilities may also be regulated, given that some gas wells have tanks for storing condensate oil generated during the gas-production process. EPA used Energy Information Administration (EIA) data to estimate the total number of oil-production wells as well as gas wells that produce condensate oil.</w:t>
      </w:r>
      <w:r w:rsidR="008A0E00">
        <w:t xml:space="preserve"> </w:t>
      </w:r>
      <w:r w:rsidRPr="00854FC2">
        <w:t>All active wells that were producing in 2004 are considered in the analysis.</w:t>
      </w:r>
      <w:r w:rsidR="00133EA0">
        <w:t xml:space="preserve"> </w:t>
      </w:r>
      <w:r w:rsidRPr="00854FC2">
        <w:t>The EIA database contains historical data on oil and gas wells, including marginal wells, compiled from government and commercial sources.</w:t>
      </w:r>
      <w:r w:rsidRPr="00854FC2">
        <w:rPr>
          <w:rStyle w:val="FootnoteReference"/>
        </w:rPr>
        <w:footnoteReference w:id="20"/>
      </w:r>
      <w:r w:rsidRPr="00854FC2">
        <w:t xml:space="preserve">  EIA provides data on oil and oil-condensate produced at oil and gas production wells according to various production-rate classes. Gas wells that do not produce oil condensate are not included. To convert the number of wells that produce oil and oil condensate to the total number of SPCC-regulated production facilities, EPA assumed four wells per facility based on personal communication with industry experts.</w:t>
      </w:r>
      <w:r w:rsidRPr="00854FC2">
        <w:rPr>
          <w:vertAlign w:val="superscript"/>
        </w:rPr>
        <w:footnoteReference w:id="21"/>
      </w:r>
      <w:r w:rsidRPr="00854FC2">
        <w:t xml:space="preserve">  Under this assumption, EPA estimated that approximately 166,000 oil production facilities are SPCC-regulated.</w:t>
      </w:r>
    </w:p>
    <w:p w:rsidR="00D85665" w:rsidRPr="00854FC2" w:rsidRDefault="00D85665">
      <w:pPr>
        <w:rPr>
          <w:rFonts w:cs="Arial"/>
        </w:rPr>
      </w:pPr>
    </w:p>
    <w:p w:rsidR="00D85665" w:rsidRPr="00854FC2" w:rsidRDefault="00D85665" w:rsidP="00C02B77">
      <w:pPr>
        <w:ind w:firstLine="720"/>
        <w:rPr>
          <w:rFonts w:cs="Arial"/>
        </w:rPr>
      </w:pPr>
      <w:r w:rsidRPr="00854FC2">
        <w:rPr>
          <w:rFonts w:cs="Arial"/>
        </w:rPr>
        <w:t xml:space="preserve">The number of farms was calculated based on Census of Agriculture data on production expenses related to petroleum-related purchases from 2002 and 1997 and on diesel storage data from 1982.  In the 2002 Census of Agriculture, expenditure data are available only in aggregate for all fuels. To arrive at the expenditure on diesel (gasoline) in 2002, EPA multiplied the total expenditure on fuels in 2002 by the ratio of diesel (gasoline) expenditure to total expenditure from the 1997 data. The Agency assumed that the percentage of diesel (gasoline) expenditure remained the same from 1997 through 2002. </w:t>
      </w:r>
      <w:r w:rsidR="00133EA0">
        <w:rPr>
          <w:rFonts w:cs="Arial"/>
        </w:rPr>
        <w:t xml:space="preserve"> </w:t>
      </w:r>
      <w:r w:rsidRPr="00854FC2">
        <w:rPr>
          <w:rFonts w:cs="Arial"/>
        </w:rPr>
        <w:t>Finally, the total quantity of diesel (gasoline) purchased in 2002 was calculated by dividing the expenditure on diesel (gasoline) by diesel (gasoline) prices. Using 1982 data on fuel storage and expenditures on farms, the ratio of diesel (gasoline) storage with respect to the annual quantity of diesel (gasoline) purchased was calculated.  On average approximately one-fifth of the annual quantity of diesel purchased and about one fourth of the annual quantity of gasoline purchased is stored on farms.</w:t>
      </w:r>
      <w:r w:rsidR="00133EA0">
        <w:rPr>
          <w:rFonts w:cs="Arial"/>
        </w:rPr>
        <w:t xml:space="preserve"> </w:t>
      </w:r>
      <w:r w:rsidRPr="00854FC2">
        <w:rPr>
          <w:rFonts w:cs="Arial"/>
        </w:rPr>
        <w:t xml:space="preserve"> Since no data were available on the type of storage (i.e., aboveground or underground) EPA assumed that the entire storage is aboveground. The expenditure ranges were converted to capacity ranges and assigned to a percentage of farms that are regulated within the capacity ranges.</w:t>
      </w:r>
    </w:p>
    <w:p w:rsidR="00D85665" w:rsidRPr="00854FC2" w:rsidRDefault="00D85665">
      <w:pPr>
        <w:rPr>
          <w:rFonts w:cs="Arial"/>
          <w:szCs w:val="17"/>
        </w:rPr>
      </w:pPr>
    </w:p>
    <w:p w:rsidR="00D85665" w:rsidRPr="00854FC2" w:rsidRDefault="00D85665" w:rsidP="00C02B77">
      <w:pPr>
        <w:ind w:firstLine="720"/>
        <w:rPr>
          <w:rFonts w:cs="Arial"/>
          <w:szCs w:val="17"/>
        </w:rPr>
      </w:pPr>
      <w:r w:rsidRPr="00854FC2">
        <w:rPr>
          <w:rFonts w:cs="Arial"/>
          <w:szCs w:val="17"/>
        </w:rPr>
        <w:lastRenderedPageBreak/>
        <w:t>EPA calculated the number of SPCC-regulated electric utility plants as a combination of the number of substations and the number of power plants in the United States. All electricity generation facilities and substations are assumed to contain enough oil to be subject to SPCC requirements. The number of electric utility plants was estimated based on data reported by the Energy Information Administration (EIA). The number of substations was estimated based on the number of substations listed by each major utility reporting to the Federal Energy Regulatory Commission (FERC).</w:t>
      </w:r>
      <w:r w:rsidRPr="00854FC2">
        <w:rPr>
          <w:rStyle w:val="FootnoteReference"/>
        </w:rPr>
        <w:footnoteReference w:id="22"/>
      </w:r>
      <w:r w:rsidRPr="00854FC2">
        <w:rPr>
          <w:rFonts w:cs="Arial"/>
          <w:szCs w:val="17"/>
        </w:rPr>
        <w:t xml:space="preserve">  A national estimate was extrapolated from these data using the ratio of the megawatt hours sold by utilities to the estimated total retail megawatt hours of electricity sold nationwide according to the EIA.</w:t>
      </w:r>
    </w:p>
    <w:p w:rsidR="00D85665" w:rsidRPr="00854FC2" w:rsidRDefault="00D85665">
      <w:pPr>
        <w:rPr>
          <w:rFonts w:cs="Arial"/>
          <w:szCs w:val="17"/>
        </w:rPr>
      </w:pPr>
    </w:p>
    <w:p w:rsidR="00D85665" w:rsidRDefault="00D85665" w:rsidP="00C02B77">
      <w:pPr>
        <w:ind w:firstLine="720"/>
        <w:rPr>
          <w:rFonts w:cs="Arial"/>
          <w:szCs w:val="17"/>
        </w:rPr>
      </w:pPr>
      <w:r w:rsidRPr="002A385A">
        <w:rPr>
          <w:rFonts w:cs="Arial"/>
          <w:szCs w:val="17"/>
        </w:rPr>
        <w:t>Facilities handling or storing non-petroleum oil are also subject to SPCC regulations.  Non-petroleum oils include, but are not limited to, animal fats and oils and greases, or fish and marine mammal oils; and, oils of vegetable origin, including oils from seeds, nuts, fruits, and kernels. To estimate the number of facilities that could produce or store animal fat or vegetable oil, EPA used data on the number of manufacturing establishments from the 2005 U.S. Census of Manufacturing.  Four possible types of AFVO facilities were considered:  (1) industries that produce AFVO; (2) industries that use AFVO as a primary input; (3) industries that use AFVO in moderate amounts; and (4) industries that use AFVO as a minor component of their input. EPA assumed that all facilities that produce AFVO (group 1) are SPCC-regulated. Then, low, medium, and high estimates were developed using professional judgment for industries in the remaining three groups regarding the percentage of each industry group assumed to be regulated by the SPCC rule. EPA also identified a category of “other” facility types that may produce or use AFVO.  For these facilities, specific information on the number of regulated facilities was available and was used instead of the assumed percentages. This methodology yielded estimates of the number of facilities that may be regulated based only on their storage of AFVO. Some of these facilities are probably regulated because they also store petroleum oils</w:t>
      </w:r>
      <w:r w:rsidRPr="00854FC2">
        <w:rPr>
          <w:rFonts w:cs="Arial"/>
          <w:szCs w:val="17"/>
        </w:rPr>
        <w:t>.</w:t>
      </w:r>
    </w:p>
    <w:p w:rsidR="008A0E00" w:rsidRDefault="008A0E00" w:rsidP="00C02B77">
      <w:pPr>
        <w:ind w:firstLine="720"/>
        <w:rPr>
          <w:rFonts w:cs="Arial"/>
          <w:szCs w:val="17"/>
        </w:rPr>
      </w:pPr>
    </w:p>
    <w:p w:rsidR="008A0E00" w:rsidRPr="00854FC2" w:rsidRDefault="009201E1" w:rsidP="00C02B77">
      <w:pPr>
        <w:ind w:firstLine="720"/>
        <w:rPr>
          <w:rFonts w:cs="Arial"/>
          <w:szCs w:val="17"/>
        </w:rPr>
      </w:pPr>
      <w:r>
        <w:rPr>
          <w:rFonts w:cs="Arial"/>
          <w:szCs w:val="17"/>
        </w:rPr>
        <w:t xml:space="preserve">On April 18, 2011, EPA published a final rule that exempted milk and milk product containers and appurtenances from the SPCC regulations. As a result, a portion of the universe of dairy farms and milk manufacturing facilities became exempt from the SPCC regulations or shifted to a lower category.  For example, a Category I facility that could self certify their SPCC plan may be eligible to use a Tier I qualified facility template plan. This change in the SPCC facility regulatory requirements is reflected in the adjustment to the farm universe in this ICR, that led to a lower number of farms for 2014.  </w:t>
      </w:r>
    </w:p>
    <w:p w:rsidR="00D85665" w:rsidRPr="00854FC2" w:rsidRDefault="00D85665">
      <w:pPr>
        <w:numPr>
          <w:ilvl w:val="12"/>
          <w:numId w:val="0"/>
        </w:numPr>
        <w:rPr>
          <w:rFonts w:cs="Arial"/>
          <w:szCs w:val="22"/>
        </w:rPr>
      </w:pPr>
    </w:p>
    <w:p w:rsidR="00D85665" w:rsidRPr="00854FC2" w:rsidRDefault="00D85665" w:rsidP="00A15DF0">
      <w:pPr>
        <w:keepNext/>
        <w:keepLines/>
        <w:numPr>
          <w:ilvl w:val="12"/>
          <w:numId w:val="0"/>
        </w:numPr>
        <w:outlineLvl w:val="0"/>
        <w:rPr>
          <w:rFonts w:cs="Arial"/>
          <w:szCs w:val="22"/>
        </w:rPr>
      </w:pPr>
      <w:r w:rsidRPr="00854FC2">
        <w:rPr>
          <w:rFonts w:cs="Arial"/>
          <w:szCs w:val="22"/>
        </w:rPr>
        <w:t xml:space="preserve"> </w:t>
      </w:r>
      <w:r w:rsidRPr="00854FC2">
        <w:rPr>
          <w:rFonts w:cs="Arial"/>
          <w:szCs w:val="22"/>
        </w:rPr>
        <w:tab/>
      </w:r>
      <w:r w:rsidRPr="00854FC2">
        <w:rPr>
          <w:rFonts w:cs="Arial"/>
          <w:szCs w:val="22"/>
          <w:u w:val="single"/>
        </w:rPr>
        <w:t>Industry Growth Rates</w:t>
      </w:r>
    </w:p>
    <w:p w:rsidR="00D85665" w:rsidRPr="00854FC2" w:rsidRDefault="00D85665">
      <w:pPr>
        <w:keepNext/>
        <w:keepLines/>
        <w:numPr>
          <w:ilvl w:val="12"/>
          <w:numId w:val="0"/>
        </w:numPr>
        <w:rPr>
          <w:rFonts w:cs="Arial"/>
          <w:szCs w:val="22"/>
        </w:rPr>
      </w:pPr>
    </w:p>
    <w:p w:rsidR="00D85665" w:rsidRPr="00854FC2" w:rsidRDefault="00D85665" w:rsidP="00C02B77">
      <w:pPr>
        <w:numPr>
          <w:ilvl w:val="12"/>
          <w:numId w:val="0"/>
        </w:numPr>
        <w:ind w:firstLine="720"/>
        <w:rPr>
          <w:rFonts w:cs="Arial"/>
          <w:szCs w:val="22"/>
        </w:rPr>
      </w:pPr>
      <w:r w:rsidRPr="00854FC2">
        <w:rPr>
          <w:rFonts w:cs="Arial"/>
          <w:szCs w:val="22"/>
        </w:rPr>
        <w:t xml:space="preserve">To project the number of existing and new facilities regulated under the SPCC rule over the </w:t>
      </w:r>
      <w:r w:rsidR="00133EA0">
        <w:rPr>
          <w:rFonts w:cs="Arial"/>
          <w:szCs w:val="22"/>
        </w:rPr>
        <w:t xml:space="preserve">2014 through 2016 </w:t>
      </w:r>
      <w:r w:rsidRPr="00854FC2">
        <w:rPr>
          <w:rFonts w:cs="Arial"/>
          <w:szCs w:val="22"/>
        </w:rPr>
        <w:t>ICR period, EPA used industry-specific growth rates for new and existing facilities.  EPA’s previous approach was to apply a uniform one</w:t>
      </w:r>
      <w:r w:rsidRPr="00854FC2">
        <w:rPr>
          <w:rFonts w:cs="Arial"/>
          <w:szCs w:val="22"/>
        </w:rPr>
        <w:noBreakHyphen/>
      </w:r>
      <w:proofErr w:type="spellStart"/>
      <w:r w:rsidRPr="00854FC2">
        <w:rPr>
          <w:rFonts w:cs="Arial"/>
          <w:szCs w:val="22"/>
        </w:rPr>
        <w:t>percent</w:t>
      </w:r>
      <w:proofErr w:type="spellEnd"/>
      <w:r w:rsidRPr="00854FC2">
        <w:rPr>
          <w:rFonts w:cs="Arial"/>
          <w:szCs w:val="22"/>
        </w:rPr>
        <w:t xml:space="preserve"> growth rate across all sectors, which did not account for significant variations (including negative growth rates) among the sectors.</w:t>
      </w:r>
    </w:p>
    <w:p w:rsidR="00D85665" w:rsidRPr="00854FC2" w:rsidRDefault="00D85665">
      <w:pPr>
        <w:numPr>
          <w:ilvl w:val="12"/>
          <w:numId w:val="0"/>
        </w:numPr>
        <w:rPr>
          <w:rFonts w:cs="Arial"/>
          <w:szCs w:val="22"/>
        </w:rPr>
      </w:pPr>
    </w:p>
    <w:p w:rsidR="00D85665" w:rsidRPr="00854FC2" w:rsidRDefault="00D85665" w:rsidP="00C02B77">
      <w:pPr>
        <w:numPr>
          <w:ilvl w:val="12"/>
          <w:numId w:val="0"/>
        </w:numPr>
        <w:ind w:firstLine="720"/>
      </w:pPr>
      <w:r w:rsidRPr="00854FC2">
        <w:lastRenderedPageBreak/>
        <w:t xml:space="preserve">To estimate industry-specific growth rates for existing facilities of all SPCC-related industry categories except farms and oil production, EPA used 1992, 1997, and 2002 U.S. Economic Census data on the number of establishments in each industry. The use of an extended time period to estimate industry-specific growth rates attempted to account for diverse economic conditions under which SPCC-regulated industries operate. To estimate annual growth rates for agricultural establishments, EPA used data reported by the USDA National Agricultural Statistics Service on the number of farms in the United States over the past 10 years (1996 through 2005). The data for the past 10 years were expected to be more representative of the latest developments in the agricultural business than data for years prior to 1996. </w:t>
      </w:r>
    </w:p>
    <w:p w:rsidR="00D85665" w:rsidRPr="00854FC2" w:rsidRDefault="00D85665">
      <w:pPr>
        <w:numPr>
          <w:ilvl w:val="12"/>
          <w:numId w:val="0"/>
        </w:numPr>
      </w:pPr>
    </w:p>
    <w:p w:rsidR="00D85665" w:rsidRPr="00854FC2" w:rsidRDefault="00D85665" w:rsidP="00C02B77">
      <w:pPr>
        <w:numPr>
          <w:ilvl w:val="12"/>
          <w:numId w:val="0"/>
        </w:numPr>
        <w:ind w:firstLine="720"/>
      </w:pPr>
      <w:r w:rsidRPr="00854FC2">
        <w:t>EPA estimated the growth rates for new facilities only using commercially available data obtained on the number of businesses (by NAICS code) in 2005 from the D&amp;B Market Spectrum database. These data allowed for an estimation of the fraction of businesses that became operational in 2005 relative to the total number of businesses in that year. This analysis assumed that industry growth rates would be constant over the 10-year analytical period for all industries except oil production, which may or may not adequately represent the trends for individual sectors.</w:t>
      </w:r>
    </w:p>
    <w:p w:rsidR="00D85665" w:rsidRPr="00854FC2" w:rsidRDefault="00D85665">
      <w:pPr>
        <w:numPr>
          <w:ilvl w:val="12"/>
          <w:numId w:val="0"/>
        </w:numPr>
      </w:pPr>
    </w:p>
    <w:p w:rsidR="00D85665" w:rsidRPr="00854FC2" w:rsidRDefault="00D85665" w:rsidP="00C02B77">
      <w:pPr>
        <w:numPr>
          <w:ilvl w:val="12"/>
          <w:numId w:val="0"/>
        </w:numPr>
        <w:ind w:firstLine="720"/>
        <w:rPr>
          <w:rFonts w:cs="Arial"/>
          <w:szCs w:val="22"/>
        </w:rPr>
      </w:pPr>
      <w:r w:rsidRPr="00854FC2">
        <w:t xml:space="preserve">Because oil production facilities account for the largest fraction of SPCC-regulated facilities across all industry categories and represent a dynamic industry, an alternative approach was used for estimating future oil production industry growth rates.  EPA relied on industry-specific forecasting information, which was expected to reflect growth rates better than an approach based on historical trends.  EPA estimated annual growth rates for the oil production facilities relying on historical and forecasted </w:t>
      </w:r>
      <w:smartTag w:uri="urn:schemas-microsoft-com:office:smarttags" w:element="place">
        <w:smartTag w:uri="urn:schemas-microsoft-com:office:smarttags" w:element="country-region">
          <w:r w:rsidRPr="00854FC2">
            <w:t>U.S.</w:t>
          </w:r>
        </w:smartTag>
      </w:smartTag>
      <w:r w:rsidRPr="00854FC2">
        <w:t xml:space="preserve"> oil production data and historical number of oil wells.  The approach used to estimate the growth rates for oil production facilities is described in</w:t>
      </w:r>
      <w:r w:rsidRPr="00854FC2">
        <w:rPr>
          <w:rFonts w:cs="Arial"/>
          <w:szCs w:val="22"/>
        </w:rPr>
        <w:t xml:space="preserve"> the regulatory impact analysis for the </w:t>
      </w:r>
      <w:r w:rsidR="00A728A1">
        <w:rPr>
          <w:rFonts w:cs="Arial"/>
          <w:szCs w:val="22"/>
        </w:rPr>
        <w:t xml:space="preserve">2008 </w:t>
      </w:r>
      <w:r w:rsidRPr="00854FC2">
        <w:rPr>
          <w:rFonts w:cs="Arial"/>
          <w:szCs w:val="22"/>
        </w:rPr>
        <w:t xml:space="preserve">SPCC </w:t>
      </w:r>
      <w:r w:rsidR="00DD2F76">
        <w:rPr>
          <w:rFonts w:cs="Arial"/>
          <w:szCs w:val="22"/>
        </w:rPr>
        <w:t>final</w:t>
      </w:r>
      <w:r w:rsidRPr="00854FC2">
        <w:rPr>
          <w:rFonts w:cs="Arial"/>
          <w:szCs w:val="22"/>
        </w:rPr>
        <w:t xml:space="preserve"> rule.</w:t>
      </w:r>
      <w:r w:rsidRPr="00854FC2">
        <w:rPr>
          <w:rStyle w:val="CommentReference"/>
          <w:vanish/>
        </w:rPr>
        <w:t xml:space="preserve"> </w:t>
      </w:r>
      <w:r w:rsidRPr="00854FC2">
        <w:rPr>
          <w:rFonts w:cs="Arial"/>
          <w:szCs w:val="22"/>
        </w:rPr>
        <w:t xml:space="preserve">  </w:t>
      </w:r>
      <w:r w:rsidRPr="00854FC2">
        <w:rPr>
          <w:lang w:val="en-CA"/>
        </w:rPr>
        <w:t xml:space="preserve"> </w:t>
      </w:r>
      <w:r w:rsidR="002348E6" w:rsidRPr="00854FC2">
        <w:rPr>
          <w:lang w:val="en-CA"/>
        </w:rPr>
        <w:fldChar w:fldCharType="begin"/>
      </w:r>
      <w:r w:rsidRPr="00854FC2">
        <w:rPr>
          <w:lang w:val="en-CA"/>
        </w:rPr>
        <w:instrText xml:space="preserve"> SEQ CHAPTER \h \r 1</w:instrText>
      </w:r>
      <w:r w:rsidR="002348E6" w:rsidRPr="00854FC2">
        <w:rPr>
          <w:lang w:val="en-CA"/>
        </w:rPr>
        <w:fldChar w:fldCharType="end"/>
      </w:r>
      <w:r w:rsidRPr="00854FC2">
        <w:t xml:space="preserve">  </w:t>
      </w:r>
    </w:p>
    <w:p w:rsidR="00D85665" w:rsidRPr="00854FC2" w:rsidRDefault="00D85665">
      <w:pPr>
        <w:numPr>
          <w:ilvl w:val="12"/>
          <w:numId w:val="0"/>
        </w:numPr>
        <w:rPr>
          <w:rFonts w:cs="Arial"/>
          <w:szCs w:val="22"/>
        </w:rPr>
      </w:pPr>
    </w:p>
    <w:p w:rsidR="00D85665" w:rsidRPr="00854FC2" w:rsidRDefault="00C02B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b/>
      </w:r>
      <w:r w:rsidR="00D85665" w:rsidRPr="00854FC2">
        <w:rPr>
          <w:rFonts w:cs="Arial"/>
          <w:szCs w:val="22"/>
        </w:rPr>
        <w:t xml:space="preserve">In total, EPA estimated </w:t>
      </w:r>
      <w:r w:rsidR="00D85665" w:rsidRPr="005B5C9F">
        <w:rPr>
          <w:rFonts w:cs="Arial"/>
          <w:szCs w:val="22"/>
        </w:rPr>
        <w:t>that 6</w:t>
      </w:r>
      <w:r w:rsidR="005B5C9F" w:rsidRPr="005B5C9F">
        <w:rPr>
          <w:rFonts w:cs="Arial"/>
          <w:szCs w:val="22"/>
        </w:rPr>
        <w:t>4</w:t>
      </w:r>
      <w:r w:rsidR="00D85665" w:rsidRPr="005B5C9F">
        <w:rPr>
          <w:rFonts w:cs="Arial"/>
          <w:szCs w:val="22"/>
        </w:rPr>
        <w:t>0,000 facilities would be regulated by the SPCC rule in 20</w:t>
      </w:r>
      <w:r w:rsidR="00D579DB">
        <w:rPr>
          <w:rFonts w:cs="Arial"/>
          <w:szCs w:val="22"/>
        </w:rPr>
        <w:t>10</w:t>
      </w:r>
      <w:r w:rsidR="00D85665" w:rsidRPr="005B5C9F">
        <w:rPr>
          <w:rFonts w:cs="Arial"/>
          <w:szCs w:val="22"/>
        </w:rPr>
        <w:t>.  Oil production facilities (3</w:t>
      </w:r>
      <w:r w:rsidR="005B5C9F" w:rsidRPr="005B5C9F">
        <w:rPr>
          <w:rFonts w:cs="Arial"/>
          <w:szCs w:val="22"/>
        </w:rPr>
        <w:t>4</w:t>
      </w:r>
      <w:r w:rsidR="00D85665" w:rsidRPr="005B5C9F">
        <w:rPr>
          <w:rFonts w:cs="Arial"/>
          <w:szCs w:val="22"/>
        </w:rPr>
        <w:t xml:space="preserve"> percent), farms (2</w:t>
      </w:r>
      <w:r w:rsidR="005B5C9F" w:rsidRPr="005B5C9F">
        <w:rPr>
          <w:rFonts w:cs="Arial"/>
          <w:szCs w:val="22"/>
        </w:rPr>
        <w:t>3</w:t>
      </w:r>
      <w:r w:rsidR="00D85665" w:rsidRPr="005B5C9F">
        <w:rPr>
          <w:rFonts w:cs="Arial"/>
          <w:szCs w:val="22"/>
        </w:rPr>
        <w:t xml:space="preserve"> percent), and electric utilities (</w:t>
      </w:r>
      <w:r w:rsidR="005B5C9F" w:rsidRPr="005B5C9F">
        <w:rPr>
          <w:rFonts w:cs="Arial"/>
          <w:szCs w:val="22"/>
        </w:rPr>
        <w:t>10</w:t>
      </w:r>
      <w:r w:rsidR="00D85665" w:rsidRPr="005B5C9F">
        <w:rPr>
          <w:rFonts w:cs="Arial"/>
          <w:szCs w:val="22"/>
        </w:rPr>
        <w:t xml:space="preserve"> percent) account for the majority of SPCC-regulated facilities.</w:t>
      </w:r>
    </w:p>
    <w:p w:rsidR="00EF1078" w:rsidRDefault="00EF1078" w:rsidP="00F21434">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rPr>
      </w:pPr>
      <w:bookmarkStart w:id="7" w:name="_Toc156740902"/>
      <w:bookmarkEnd w:id="7"/>
    </w:p>
    <w:p w:rsidR="00D85665" w:rsidRPr="00854FC2" w:rsidRDefault="00C02B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lang w:val="en-CA"/>
        </w:rPr>
        <w:tab/>
      </w:r>
      <w:r w:rsidR="002348E6" w:rsidRPr="00157CBE">
        <w:rPr>
          <w:lang w:val="en-CA"/>
        </w:rPr>
        <w:fldChar w:fldCharType="begin"/>
      </w:r>
      <w:r w:rsidR="00D85665" w:rsidRPr="00157CBE">
        <w:rPr>
          <w:lang w:val="en-CA"/>
        </w:rPr>
        <w:instrText xml:space="preserve"> SEQ CHAPTER \h \r 1</w:instrText>
      </w:r>
      <w:r w:rsidR="002348E6" w:rsidRPr="00157CBE">
        <w:rPr>
          <w:lang w:val="en-CA"/>
        </w:rPr>
        <w:fldChar w:fldCharType="end"/>
      </w:r>
      <w:fldSimple w:instr=" REF _Ref141690303  \* MERGEFORMAT ">
        <w:r w:rsidR="00F61EFD" w:rsidRPr="002E74C4">
          <w:t xml:space="preserve">Exhibit </w:t>
        </w:r>
        <w:r w:rsidR="00F61EFD">
          <w:rPr>
            <w:noProof/>
          </w:rPr>
          <w:t>10</w:t>
        </w:r>
      </w:fldSimple>
      <w:r w:rsidR="00D85665" w:rsidRPr="00157CBE">
        <w:rPr>
          <w:rFonts w:cs="Courier New"/>
          <w:lang w:val="en-CA"/>
        </w:rPr>
        <w:t xml:space="preserve"> </w:t>
      </w:r>
      <w:r w:rsidR="00827763">
        <w:rPr>
          <w:rFonts w:cs="Courier New"/>
          <w:lang w:val="en-CA"/>
        </w:rPr>
        <w:t xml:space="preserve">and </w:t>
      </w:r>
      <w:r w:rsidR="002348E6">
        <w:rPr>
          <w:rFonts w:cs="Courier New"/>
          <w:lang w:val="en-CA"/>
        </w:rPr>
        <w:fldChar w:fldCharType="begin"/>
      </w:r>
      <w:r w:rsidR="00827763">
        <w:rPr>
          <w:rFonts w:cs="Courier New"/>
          <w:lang w:val="en-CA"/>
        </w:rPr>
        <w:instrText xml:space="preserve"> REF _Ref244074430 </w:instrText>
      </w:r>
      <w:r w:rsidR="002348E6">
        <w:rPr>
          <w:rFonts w:cs="Courier New"/>
          <w:lang w:val="en-CA"/>
        </w:rPr>
        <w:fldChar w:fldCharType="separate"/>
      </w:r>
      <w:r w:rsidR="00F61EFD" w:rsidRPr="003B2390">
        <w:t xml:space="preserve">Exhibit </w:t>
      </w:r>
      <w:r w:rsidR="00F61EFD">
        <w:rPr>
          <w:noProof/>
        </w:rPr>
        <w:t>11</w:t>
      </w:r>
      <w:r w:rsidR="002348E6">
        <w:rPr>
          <w:rFonts w:cs="Courier New"/>
          <w:lang w:val="en-CA"/>
        </w:rPr>
        <w:fldChar w:fldCharType="end"/>
      </w:r>
      <w:r w:rsidR="00827763">
        <w:rPr>
          <w:rFonts w:cs="Courier New"/>
          <w:lang w:val="en-CA"/>
        </w:rPr>
        <w:t xml:space="preserve"> </w:t>
      </w:r>
      <w:r w:rsidR="00D85665" w:rsidRPr="00157CBE">
        <w:rPr>
          <w:rFonts w:cs="Arial"/>
          <w:szCs w:val="22"/>
        </w:rPr>
        <w:t xml:space="preserve">present the estimated number of existing and new SPCC-regulated facilities that are expected to incur paperwork-related burden associated with the </w:t>
      </w:r>
      <w:r w:rsidR="00DD2F76" w:rsidRPr="00157CBE">
        <w:rPr>
          <w:rFonts w:cs="Arial"/>
          <w:szCs w:val="22"/>
        </w:rPr>
        <w:t>final</w:t>
      </w:r>
      <w:r w:rsidR="00D85665" w:rsidRPr="00157CBE">
        <w:rPr>
          <w:rFonts w:cs="Arial"/>
          <w:szCs w:val="22"/>
        </w:rPr>
        <w:t xml:space="preserve"> amendments to the SPCC rule.</w:t>
      </w:r>
      <w:r w:rsidR="00D85665" w:rsidRPr="00854FC2">
        <w:rPr>
          <w:rFonts w:cs="Arial"/>
          <w:szCs w:val="22"/>
        </w:rPr>
        <w:t xml:space="preserve"> </w:t>
      </w:r>
      <w:fldSimple w:instr=" REF _Ref141690303  \* MERGEFORMAT ">
        <w:r w:rsidR="00F61EFD" w:rsidRPr="002E74C4">
          <w:t xml:space="preserve">Exhibit </w:t>
        </w:r>
        <w:r w:rsidR="00F61EFD">
          <w:rPr>
            <w:noProof/>
          </w:rPr>
          <w:t>10</w:t>
        </w:r>
      </w:fldSimple>
      <w:r w:rsidR="004A5AA4">
        <w:rPr>
          <w:rFonts w:cs="Courier New"/>
          <w:lang w:val="en-CA"/>
        </w:rPr>
        <w:t xml:space="preserve"> presents the number of facilities by facility type</w:t>
      </w:r>
      <w:r w:rsidR="00EC0783">
        <w:rPr>
          <w:rFonts w:cs="Courier New"/>
          <w:lang w:val="en-CA"/>
        </w:rPr>
        <w:t xml:space="preserve"> - </w:t>
      </w:r>
      <w:r w:rsidR="004A5AA4">
        <w:rPr>
          <w:rFonts w:cs="Courier New"/>
          <w:lang w:val="en-CA"/>
        </w:rPr>
        <w:t>storage and production facilities</w:t>
      </w:r>
      <w:r w:rsidR="00D21059">
        <w:rPr>
          <w:rFonts w:cs="Courier New"/>
          <w:lang w:val="en-CA"/>
        </w:rPr>
        <w:t xml:space="preserve"> </w:t>
      </w:r>
      <w:r w:rsidR="00EC0783">
        <w:rPr>
          <w:rFonts w:cs="Courier New"/>
          <w:lang w:val="en-CA"/>
        </w:rPr>
        <w:t xml:space="preserve">- </w:t>
      </w:r>
      <w:r w:rsidR="00D21059">
        <w:rPr>
          <w:rFonts w:cs="Courier New"/>
          <w:lang w:val="en-CA"/>
        </w:rPr>
        <w:t>for the first year of the ICR, 201</w:t>
      </w:r>
      <w:r w:rsidR="00FE527E">
        <w:rPr>
          <w:rFonts w:cs="Courier New"/>
          <w:lang w:val="en-CA"/>
        </w:rPr>
        <w:t>4</w:t>
      </w:r>
      <w:r w:rsidR="004A5AA4">
        <w:rPr>
          <w:rFonts w:cs="Courier New"/>
          <w:lang w:val="en-CA"/>
        </w:rPr>
        <w:t xml:space="preserve">. </w:t>
      </w:r>
      <w:r w:rsidR="002348E6">
        <w:rPr>
          <w:rFonts w:cs="Courier New"/>
          <w:lang w:val="en-CA"/>
        </w:rPr>
        <w:fldChar w:fldCharType="begin"/>
      </w:r>
      <w:r w:rsidR="00D21059">
        <w:rPr>
          <w:rFonts w:cs="Courier New"/>
          <w:lang w:val="en-CA"/>
        </w:rPr>
        <w:instrText xml:space="preserve"> REF _Ref244074430 </w:instrText>
      </w:r>
      <w:r w:rsidR="002348E6">
        <w:rPr>
          <w:rFonts w:cs="Courier New"/>
          <w:lang w:val="en-CA"/>
        </w:rPr>
        <w:fldChar w:fldCharType="separate"/>
      </w:r>
      <w:r w:rsidR="00F61EFD" w:rsidRPr="003B2390">
        <w:t xml:space="preserve">Exhibit </w:t>
      </w:r>
      <w:r w:rsidR="00F61EFD">
        <w:rPr>
          <w:noProof/>
        </w:rPr>
        <w:t>11</w:t>
      </w:r>
      <w:r w:rsidR="002348E6">
        <w:rPr>
          <w:rFonts w:cs="Courier New"/>
          <w:lang w:val="en-CA"/>
        </w:rPr>
        <w:fldChar w:fldCharType="end"/>
      </w:r>
      <w:r w:rsidR="005C5026" w:rsidRPr="005C5026">
        <w:rPr>
          <w:rFonts w:cs="Courier New"/>
          <w:lang w:val="en-CA"/>
        </w:rPr>
        <w:t xml:space="preserve"> </w:t>
      </w:r>
      <w:r w:rsidR="005C5026">
        <w:rPr>
          <w:rFonts w:cs="Courier New"/>
          <w:lang w:val="en-CA"/>
        </w:rPr>
        <w:t>presents the number of facilities for the entire analysis period, 201</w:t>
      </w:r>
      <w:r w:rsidR="00FE527E">
        <w:rPr>
          <w:rFonts w:cs="Courier New"/>
          <w:lang w:val="en-CA"/>
        </w:rPr>
        <w:t xml:space="preserve">4 </w:t>
      </w:r>
      <w:r w:rsidR="005C5026">
        <w:rPr>
          <w:rFonts w:cs="Courier New"/>
          <w:lang w:val="en-CA"/>
        </w:rPr>
        <w:t>-</w:t>
      </w:r>
      <w:r w:rsidR="00FE527E">
        <w:rPr>
          <w:rFonts w:cs="Courier New"/>
          <w:lang w:val="en-CA"/>
        </w:rPr>
        <w:t xml:space="preserve"> 2</w:t>
      </w:r>
      <w:r w:rsidR="005C5026">
        <w:rPr>
          <w:rFonts w:cs="Courier New"/>
          <w:lang w:val="en-CA"/>
        </w:rPr>
        <w:t>01</w:t>
      </w:r>
      <w:r w:rsidR="00FE527E">
        <w:rPr>
          <w:rFonts w:cs="Courier New"/>
          <w:lang w:val="en-CA"/>
        </w:rPr>
        <w:t>6</w:t>
      </w:r>
      <w:r w:rsidR="005C5026">
        <w:rPr>
          <w:rFonts w:cs="Courier New"/>
          <w:lang w:val="en-CA"/>
        </w:rPr>
        <w:t>.</w:t>
      </w:r>
    </w:p>
    <w:p w:rsidR="00D85665" w:rsidRPr="00854FC2" w:rsidRDefault="00D85665" w:rsidP="00412311">
      <w:pPr>
        <w:pStyle w:val="Caption"/>
        <w:keepNext/>
        <w:keepLines/>
        <w:outlineLvl w:val="0"/>
      </w:pPr>
      <w:bookmarkStart w:id="8" w:name="_Ref141690303"/>
      <w:r w:rsidRPr="002E74C4">
        <w:lastRenderedPageBreak/>
        <w:t xml:space="preserve">Exhibit </w:t>
      </w:r>
      <w:r w:rsidR="002348E6">
        <w:fldChar w:fldCharType="begin"/>
      </w:r>
      <w:r w:rsidR="002348E6">
        <w:instrText xml:space="preserve"> SEQ Exhibit \* ARABIC </w:instrText>
      </w:r>
      <w:r w:rsidR="002348E6">
        <w:fldChar w:fldCharType="separate"/>
      </w:r>
      <w:r w:rsidR="00F61EFD">
        <w:rPr>
          <w:noProof/>
        </w:rPr>
        <w:t>10</w:t>
      </w:r>
      <w:r w:rsidR="002348E6">
        <w:fldChar w:fldCharType="end"/>
      </w:r>
      <w:bookmarkEnd w:id="8"/>
    </w:p>
    <w:p w:rsidR="00D85665" w:rsidRPr="00854FC2" w:rsidRDefault="00D85665" w:rsidP="00412311">
      <w:pPr>
        <w:keepNext/>
        <w:keepLines/>
        <w:jc w:val="center"/>
        <w:rPr>
          <w:b/>
          <w:bCs/>
        </w:rPr>
      </w:pPr>
      <w:r w:rsidRPr="00854FC2">
        <w:rPr>
          <w:b/>
          <w:bCs/>
        </w:rPr>
        <w:t>Number of Existing and New Facilities</w:t>
      </w:r>
    </w:p>
    <w:p w:rsidR="00D85665" w:rsidRPr="00854FC2" w:rsidRDefault="00D85665" w:rsidP="00412311">
      <w:pPr>
        <w:keepNext/>
        <w:keepLines/>
        <w:jc w:val="center"/>
      </w:pPr>
      <w:r w:rsidRPr="00854FC2">
        <w:rPr>
          <w:b/>
          <w:bCs/>
        </w:rPr>
        <w:t>(First Year</w:t>
      </w:r>
      <w:r w:rsidR="00341BDC">
        <w:rPr>
          <w:b/>
          <w:bCs/>
        </w:rPr>
        <w:t xml:space="preserve"> of ICR: 201</w:t>
      </w:r>
      <w:r w:rsidR="00BB078E">
        <w:rPr>
          <w:b/>
          <w:bCs/>
        </w:rPr>
        <w:t>4</w:t>
      </w:r>
      <w:r w:rsidRPr="00854FC2">
        <w:rPr>
          <w:b/>
          <w:bCs/>
        </w:rPr>
        <w:t>)</w:t>
      </w:r>
    </w:p>
    <w:tbl>
      <w:tblPr>
        <w:tblW w:w="4806" w:type="pct"/>
        <w:jc w:val="center"/>
        <w:tblInd w:w="-1923" w:type="dxa"/>
        <w:tblLook w:val="0000"/>
      </w:tblPr>
      <w:tblGrid>
        <w:gridCol w:w="1142"/>
        <w:gridCol w:w="1424"/>
        <w:gridCol w:w="1350"/>
        <w:gridCol w:w="1391"/>
        <w:gridCol w:w="1432"/>
        <w:gridCol w:w="1391"/>
        <w:gridCol w:w="1088"/>
      </w:tblGrid>
      <w:tr w:rsidR="00D85665" w:rsidRPr="00854FC2" w:rsidTr="00EF0FF6">
        <w:trPr>
          <w:trHeight w:val="843"/>
          <w:jc w:val="center"/>
        </w:trPr>
        <w:tc>
          <w:tcPr>
            <w:tcW w:w="2566" w:type="dxa"/>
            <w:gridSpan w:val="2"/>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rsidRDefault="00D85665" w:rsidP="00412311">
            <w:pPr>
              <w:keepNext/>
              <w:keepLines/>
              <w:jc w:val="center"/>
              <w:rPr>
                <w:rFonts w:cs="Arial"/>
                <w:b/>
                <w:bCs/>
                <w:sz w:val="20"/>
                <w:szCs w:val="20"/>
              </w:rPr>
            </w:pPr>
            <w:r w:rsidRPr="00854FC2">
              <w:rPr>
                <w:rFonts w:cs="Arial"/>
                <w:b/>
                <w:bCs/>
                <w:sz w:val="20"/>
                <w:szCs w:val="20"/>
              </w:rPr>
              <w:t>Facility Type</w:t>
            </w:r>
          </w:p>
        </w:tc>
        <w:tc>
          <w:tcPr>
            <w:tcW w:w="1350" w:type="dxa"/>
            <w:tcBorders>
              <w:top w:val="double" w:sz="6" w:space="0" w:color="000000"/>
              <w:left w:val="nil"/>
              <w:bottom w:val="double" w:sz="6" w:space="0" w:color="000000"/>
              <w:right w:val="single" w:sz="4" w:space="0" w:color="auto"/>
            </w:tcBorders>
            <w:tcMar>
              <w:top w:w="29" w:type="dxa"/>
              <w:left w:w="115" w:type="dxa"/>
              <w:bottom w:w="29" w:type="dxa"/>
              <w:right w:w="115" w:type="dxa"/>
            </w:tcMar>
            <w:vAlign w:val="center"/>
          </w:tcPr>
          <w:p w:rsidR="00D85665" w:rsidRPr="00854FC2" w:rsidRDefault="00D85665" w:rsidP="00412311">
            <w:pPr>
              <w:keepNext/>
              <w:keepLines/>
              <w:jc w:val="center"/>
              <w:rPr>
                <w:rFonts w:cs="Arial"/>
                <w:b/>
                <w:bCs/>
                <w:sz w:val="20"/>
                <w:szCs w:val="20"/>
              </w:rPr>
            </w:pPr>
            <w:r w:rsidRPr="00854FC2">
              <w:rPr>
                <w:rFonts w:cs="Arial"/>
                <w:b/>
                <w:bCs/>
                <w:sz w:val="20"/>
                <w:szCs w:val="20"/>
              </w:rPr>
              <w:t>Category I (1,320-10,000 gallons)</w:t>
            </w:r>
          </w:p>
        </w:tc>
        <w:tc>
          <w:tcPr>
            <w:tcW w:w="1391" w:type="dxa"/>
            <w:tcBorders>
              <w:top w:val="double" w:sz="6" w:space="0" w:color="000000"/>
              <w:left w:val="nil"/>
              <w:bottom w:val="double" w:sz="6" w:space="0" w:color="000000"/>
              <w:right w:val="nil"/>
            </w:tcBorders>
            <w:tcMar>
              <w:top w:w="29" w:type="dxa"/>
              <w:left w:w="115" w:type="dxa"/>
              <w:bottom w:w="29" w:type="dxa"/>
              <w:right w:w="115" w:type="dxa"/>
            </w:tcMar>
            <w:vAlign w:val="center"/>
          </w:tcPr>
          <w:p w:rsidR="00D85665" w:rsidRPr="00854FC2" w:rsidRDefault="00D85665" w:rsidP="00412311">
            <w:pPr>
              <w:keepNext/>
              <w:keepLines/>
              <w:jc w:val="center"/>
              <w:rPr>
                <w:rFonts w:cs="Arial"/>
                <w:b/>
                <w:bCs/>
                <w:sz w:val="20"/>
                <w:szCs w:val="20"/>
              </w:rPr>
            </w:pPr>
            <w:r w:rsidRPr="00854FC2">
              <w:rPr>
                <w:rFonts w:cs="Arial"/>
                <w:b/>
                <w:bCs/>
                <w:sz w:val="20"/>
                <w:szCs w:val="20"/>
              </w:rPr>
              <w:t>Category II (10,001-42,000 gallons)</w:t>
            </w:r>
          </w:p>
        </w:tc>
        <w:tc>
          <w:tcPr>
            <w:tcW w:w="1432" w:type="dxa"/>
            <w:tcBorders>
              <w:top w:val="double" w:sz="6" w:space="0" w:color="000000"/>
              <w:left w:val="single" w:sz="4" w:space="0" w:color="000000"/>
              <w:bottom w:val="double" w:sz="6" w:space="0" w:color="000000"/>
              <w:right w:val="nil"/>
            </w:tcBorders>
            <w:tcMar>
              <w:top w:w="29" w:type="dxa"/>
              <w:left w:w="115" w:type="dxa"/>
              <w:bottom w:w="29" w:type="dxa"/>
              <w:right w:w="115" w:type="dxa"/>
            </w:tcMar>
            <w:vAlign w:val="center"/>
          </w:tcPr>
          <w:p w:rsidR="00D85665" w:rsidRPr="00854FC2" w:rsidRDefault="00D85665" w:rsidP="00412311">
            <w:pPr>
              <w:keepNext/>
              <w:keepLines/>
              <w:jc w:val="center"/>
              <w:rPr>
                <w:rFonts w:cs="Arial"/>
                <w:b/>
                <w:bCs/>
                <w:sz w:val="20"/>
                <w:szCs w:val="20"/>
              </w:rPr>
            </w:pPr>
            <w:r w:rsidRPr="00854FC2">
              <w:rPr>
                <w:rFonts w:cs="Arial"/>
                <w:b/>
                <w:bCs/>
                <w:sz w:val="20"/>
                <w:szCs w:val="20"/>
              </w:rPr>
              <w:t>Category III (42,001 to 1 million gallons)</w:t>
            </w:r>
          </w:p>
        </w:tc>
        <w:tc>
          <w:tcPr>
            <w:tcW w:w="1391" w:type="dxa"/>
            <w:tcBorders>
              <w:top w:val="double" w:sz="6" w:space="0" w:color="000000"/>
              <w:left w:val="single" w:sz="4" w:space="0" w:color="000000"/>
              <w:bottom w:val="double" w:sz="6" w:space="0" w:color="000000"/>
              <w:right w:val="nil"/>
            </w:tcBorders>
            <w:tcMar>
              <w:top w:w="29" w:type="dxa"/>
              <w:left w:w="115" w:type="dxa"/>
              <w:bottom w:w="29" w:type="dxa"/>
              <w:right w:w="115" w:type="dxa"/>
            </w:tcMar>
            <w:vAlign w:val="center"/>
          </w:tcPr>
          <w:p w:rsidR="00D85665" w:rsidRPr="00854FC2" w:rsidRDefault="00D85665" w:rsidP="00412311">
            <w:pPr>
              <w:keepNext/>
              <w:keepLines/>
              <w:jc w:val="center"/>
              <w:rPr>
                <w:rFonts w:cs="Arial"/>
                <w:b/>
                <w:bCs/>
                <w:sz w:val="20"/>
                <w:szCs w:val="20"/>
              </w:rPr>
            </w:pPr>
            <w:r w:rsidRPr="00854FC2">
              <w:rPr>
                <w:rFonts w:cs="Arial"/>
                <w:b/>
                <w:bCs/>
                <w:sz w:val="20"/>
                <w:szCs w:val="20"/>
              </w:rPr>
              <w:t>Category IV (&gt;1 million gallons)</w:t>
            </w:r>
          </w:p>
        </w:tc>
        <w:tc>
          <w:tcPr>
            <w:tcW w:w="1088" w:type="dxa"/>
            <w:tcBorders>
              <w:top w:val="double" w:sz="6" w:space="0" w:color="000000"/>
              <w:left w:val="single" w:sz="4"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rsidRDefault="00D85665" w:rsidP="00412311">
            <w:pPr>
              <w:keepNext/>
              <w:keepLines/>
              <w:jc w:val="center"/>
              <w:rPr>
                <w:rFonts w:cs="Arial"/>
                <w:b/>
                <w:bCs/>
                <w:sz w:val="20"/>
                <w:szCs w:val="20"/>
              </w:rPr>
            </w:pPr>
            <w:r w:rsidRPr="00854FC2">
              <w:rPr>
                <w:rFonts w:cs="Arial"/>
                <w:b/>
                <w:bCs/>
                <w:sz w:val="20"/>
                <w:szCs w:val="20"/>
              </w:rPr>
              <w:t>Total</w:t>
            </w:r>
          </w:p>
        </w:tc>
      </w:tr>
      <w:tr w:rsidR="005B5DD8" w:rsidRPr="00854FC2" w:rsidTr="00EF0FF6">
        <w:trPr>
          <w:trHeight w:val="326"/>
          <w:jc w:val="center"/>
        </w:trPr>
        <w:tc>
          <w:tcPr>
            <w:tcW w:w="1142" w:type="dxa"/>
            <w:tcBorders>
              <w:top w:val="nil"/>
              <w:left w:val="double" w:sz="6" w:space="0" w:color="000000"/>
              <w:bottom w:val="nil"/>
              <w:right w:val="nil"/>
            </w:tcBorders>
            <w:tcMar>
              <w:top w:w="29" w:type="dxa"/>
              <w:left w:w="115" w:type="dxa"/>
              <w:bottom w:w="29" w:type="dxa"/>
              <w:right w:w="115" w:type="dxa"/>
            </w:tcMar>
            <w:vAlign w:val="bottom"/>
          </w:tcPr>
          <w:p w:rsidR="005B5DD8" w:rsidRPr="00854FC2" w:rsidRDefault="005B5DD8" w:rsidP="00412311">
            <w:pPr>
              <w:keepNext/>
              <w:keepLines/>
            </w:pPr>
            <w:r w:rsidRPr="00854FC2">
              <w:t> </w:t>
            </w:r>
          </w:p>
        </w:tc>
        <w:tc>
          <w:tcPr>
            <w:tcW w:w="1424" w:type="dxa"/>
            <w:tcBorders>
              <w:top w:val="nil"/>
              <w:left w:val="single" w:sz="4" w:space="0" w:color="000000"/>
              <w:bottom w:val="single" w:sz="4" w:space="0" w:color="000000"/>
              <w:right w:val="double" w:sz="6" w:space="0" w:color="000000"/>
            </w:tcBorders>
            <w:tcMar>
              <w:top w:w="29" w:type="dxa"/>
              <w:left w:w="115" w:type="dxa"/>
              <w:bottom w:w="29" w:type="dxa"/>
              <w:right w:w="115" w:type="dxa"/>
            </w:tcMar>
            <w:vAlign w:val="bottom"/>
          </w:tcPr>
          <w:p w:rsidR="005B5DD8" w:rsidRPr="00854FC2" w:rsidRDefault="005B5DD8" w:rsidP="00412311">
            <w:pPr>
              <w:keepNext/>
              <w:keepLines/>
              <w:rPr>
                <w:rFonts w:cs="Arial"/>
                <w:sz w:val="20"/>
                <w:szCs w:val="20"/>
              </w:rPr>
            </w:pPr>
            <w:r w:rsidRPr="00854FC2">
              <w:rPr>
                <w:rFonts w:cs="Arial"/>
                <w:sz w:val="20"/>
                <w:szCs w:val="20"/>
              </w:rPr>
              <w:t>Storage</w:t>
            </w:r>
          </w:p>
        </w:tc>
        <w:tc>
          <w:tcPr>
            <w:tcW w:w="1350" w:type="dxa"/>
            <w:tcBorders>
              <w:top w:val="nil"/>
              <w:left w:val="single" w:sz="4" w:space="0" w:color="000000"/>
              <w:bottom w:val="single" w:sz="4" w:space="0" w:color="000000"/>
              <w:right w:val="nil"/>
            </w:tcBorders>
            <w:tcMar>
              <w:top w:w="29" w:type="dxa"/>
              <w:left w:w="115" w:type="dxa"/>
              <w:bottom w:w="29" w:type="dxa"/>
              <w:right w:w="115" w:type="dxa"/>
            </w:tcMar>
            <w:vAlign w:val="bottom"/>
          </w:tcPr>
          <w:p w:rsidR="005B5DD8" w:rsidRDefault="00BB078E" w:rsidP="00412311">
            <w:pPr>
              <w:keepNext/>
              <w:keepLines/>
              <w:jc w:val="right"/>
              <w:rPr>
                <w:rFonts w:cs="Arial"/>
                <w:sz w:val="20"/>
                <w:szCs w:val="20"/>
              </w:rPr>
            </w:pPr>
            <w:r>
              <w:rPr>
                <w:rFonts w:cs="Arial"/>
                <w:sz w:val="20"/>
                <w:szCs w:val="20"/>
              </w:rPr>
              <w:t>288</w:t>
            </w:r>
            <w:r w:rsidR="005B5DD8">
              <w:rPr>
                <w:rFonts w:cs="Arial"/>
                <w:sz w:val="20"/>
                <w:szCs w:val="20"/>
              </w:rPr>
              <w:t>,</w:t>
            </w:r>
            <w:r w:rsidR="005F63F7">
              <w:rPr>
                <w:rFonts w:cs="Arial"/>
                <w:sz w:val="20"/>
                <w:szCs w:val="20"/>
              </w:rPr>
              <w:t>000</w:t>
            </w:r>
          </w:p>
        </w:tc>
        <w:tc>
          <w:tcPr>
            <w:tcW w:w="1391" w:type="dxa"/>
            <w:tcBorders>
              <w:top w:val="nil"/>
              <w:left w:val="single" w:sz="4" w:space="0" w:color="000000"/>
              <w:bottom w:val="single" w:sz="4" w:space="0" w:color="000000"/>
              <w:right w:val="nil"/>
            </w:tcBorders>
            <w:tcMar>
              <w:top w:w="29" w:type="dxa"/>
              <w:left w:w="115" w:type="dxa"/>
              <w:bottom w:w="29" w:type="dxa"/>
              <w:right w:w="115" w:type="dxa"/>
            </w:tcMar>
            <w:vAlign w:val="bottom"/>
          </w:tcPr>
          <w:p w:rsidR="005B5DD8" w:rsidRDefault="00BB078E" w:rsidP="00BB078E">
            <w:pPr>
              <w:keepNext/>
              <w:keepLines/>
              <w:jc w:val="right"/>
              <w:rPr>
                <w:rFonts w:cs="Arial"/>
                <w:sz w:val="20"/>
                <w:szCs w:val="20"/>
              </w:rPr>
            </w:pPr>
            <w:r>
              <w:rPr>
                <w:rFonts w:cs="Arial"/>
                <w:sz w:val="20"/>
                <w:szCs w:val="20"/>
              </w:rPr>
              <w:t>80,800</w:t>
            </w:r>
          </w:p>
        </w:tc>
        <w:tc>
          <w:tcPr>
            <w:tcW w:w="1432" w:type="dxa"/>
            <w:tcBorders>
              <w:top w:val="nil"/>
              <w:left w:val="single" w:sz="4" w:space="0" w:color="000000"/>
              <w:bottom w:val="single" w:sz="4" w:space="0" w:color="000000"/>
              <w:right w:val="nil"/>
            </w:tcBorders>
            <w:tcMar>
              <w:top w:w="29" w:type="dxa"/>
              <w:left w:w="115" w:type="dxa"/>
              <w:bottom w:w="29" w:type="dxa"/>
              <w:right w:w="115" w:type="dxa"/>
            </w:tcMar>
            <w:vAlign w:val="bottom"/>
          </w:tcPr>
          <w:p w:rsidR="005B5DD8" w:rsidRDefault="005B5DD8" w:rsidP="00345CFA">
            <w:pPr>
              <w:keepNext/>
              <w:keepLines/>
              <w:jc w:val="right"/>
              <w:rPr>
                <w:rFonts w:cs="Arial"/>
                <w:sz w:val="20"/>
                <w:szCs w:val="20"/>
              </w:rPr>
            </w:pPr>
            <w:r>
              <w:rPr>
                <w:rFonts w:cs="Arial"/>
                <w:sz w:val="20"/>
                <w:szCs w:val="20"/>
              </w:rPr>
              <w:t>3</w:t>
            </w:r>
            <w:r w:rsidR="00345CFA">
              <w:rPr>
                <w:rFonts w:cs="Arial"/>
                <w:sz w:val="20"/>
                <w:szCs w:val="20"/>
              </w:rPr>
              <w:t>5</w:t>
            </w:r>
            <w:r>
              <w:rPr>
                <w:rFonts w:cs="Arial"/>
                <w:sz w:val="20"/>
                <w:szCs w:val="20"/>
              </w:rPr>
              <w:t>,</w:t>
            </w:r>
            <w:r w:rsidR="00345CFA">
              <w:rPr>
                <w:rFonts w:cs="Arial"/>
                <w:sz w:val="20"/>
                <w:szCs w:val="20"/>
              </w:rPr>
              <w:t>7</w:t>
            </w:r>
            <w:r w:rsidR="0014702A">
              <w:rPr>
                <w:rFonts w:cs="Arial"/>
                <w:sz w:val="20"/>
                <w:szCs w:val="20"/>
              </w:rPr>
              <w:t>0</w:t>
            </w:r>
            <w:r>
              <w:rPr>
                <w:rFonts w:cs="Arial"/>
                <w:sz w:val="20"/>
                <w:szCs w:val="20"/>
              </w:rPr>
              <w:t>0</w:t>
            </w:r>
          </w:p>
        </w:tc>
        <w:tc>
          <w:tcPr>
            <w:tcW w:w="1391" w:type="dxa"/>
            <w:tcBorders>
              <w:top w:val="nil"/>
              <w:left w:val="single" w:sz="4" w:space="0" w:color="000000"/>
              <w:bottom w:val="single" w:sz="4" w:space="0" w:color="000000"/>
              <w:right w:val="nil"/>
            </w:tcBorders>
            <w:tcMar>
              <w:top w:w="29" w:type="dxa"/>
              <w:left w:w="115" w:type="dxa"/>
              <w:bottom w:w="29" w:type="dxa"/>
              <w:right w:w="115" w:type="dxa"/>
            </w:tcMar>
            <w:vAlign w:val="bottom"/>
          </w:tcPr>
          <w:p w:rsidR="005B5DD8" w:rsidRDefault="005B5DD8" w:rsidP="00412311">
            <w:pPr>
              <w:keepNext/>
              <w:keepLines/>
              <w:jc w:val="right"/>
              <w:rPr>
                <w:rFonts w:cs="Arial"/>
                <w:sz w:val="20"/>
                <w:szCs w:val="20"/>
              </w:rPr>
            </w:pPr>
            <w:r>
              <w:rPr>
                <w:rFonts w:cs="Arial"/>
                <w:sz w:val="20"/>
                <w:szCs w:val="20"/>
              </w:rPr>
              <w:t>2,</w:t>
            </w:r>
            <w:r w:rsidR="00FF256C">
              <w:rPr>
                <w:rFonts w:cs="Arial"/>
                <w:sz w:val="20"/>
                <w:szCs w:val="20"/>
              </w:rPr>
              <w:t>980</w:t>
            </w:r>
          </w:p>
        </w:tc>
        <w:tc>
          <w:tcPr>
            <w:tcW w:w="1088" w:type="dxa"/>
            <w:tcBorders>
              <w:top w:val="nil"/>
              <w:left w:val="single" w:sz="4" w:space="0" w:color="000000"/>
              <w:bottom w:val="single" w:sz="4" w:space="0" w:color="000000"/>
              <w:right w:val="double" w:sz="6" w:space="0" w:color="000000"/>
            </w:tcBorders>
            <w:tcMar>
              <w:top w:w="29" w:type="dxa"/>
              <w:left w:w="115" w:type="dxa"/>
              <w:bottom w:w="29" w:type="dxa"/>
              <w:right w:w="115" w:type="dxa"/>
            </w:tcMar>
            <w:vAlign w:val="bottom"/>
          </w:tcPr>
          <w:p w:rsidR="005B5DD8" w:rsidRDefault="005B5DD8" w:rsidP="00E91650">
            <w:pPr>
              <w:keepNext/>
              <w:keepLines/>
              <w:jc w:val="right"/>
              <w:rPr>
                <w:rFonts w:cs="Arial"/>
                <w:sz w:val="20"/>
                <w:szCs w:val="20"/>
              </w:rPr>
            </w:pPr>
            <w:r>
              <w:rPr>
                <w:rFonts w:cs="Arial"/>
                <w:sz w:val="20"/>
                <w:szCs w:val="20"/>
              </w:rPr>
              <w:t>4</w:t>
            </w:r>
            <w:r w:rsidR="00E91650">
              <w:rPr>
                <w:rFonts w:cs="Arial"/>
                <w:sz w:val="20"/>
                <w:szCs w:val="20"/>
              </w:rPr>
              <w:t>08</w:t>
            </w:r>
            <w:r>
              <w:rPr>
                <w:rFonts w:cs="Arial"/>
                <w:sz w:val="20"/>
                <w:szCs w:val="20"/>
              </w:rPr>
              <w:t>,</w:t>
            </w:r>
            <w:r w:rsidR="00FF256C">
              <w:rPr>
                <w:rFonts w:cs="Arial"/>
                <w:sz w:val="20"/>
                <w:szCs w:val="20"/>
              </w:rPr>
              <w:t>000</w:t>
            </w:r>
          </w:p>
        </w:tc>
      </w:tr>
      <w:tr w:rsidR="001565C5" w:rsidRPr="00854FC2" w:rsidTr="00EF0FF6">
        <w:trPr>
          <w:trHeight w:val="272"/>
          <w:jc w:val="center"/>
        </w:trPr>
        <w:tc>
          <w:tcPr>
            <w:tcW w:w="1142" w:type="dxa"/>
            <w:tcBorders>
              <w:top w:val="nil"/>
              <w:left w:val="double" w:sz="6" w:space="0" w:color="000000"/>
              <w:bottom w:val="nil"/>
              <w:right w:val="nil"/>
            </w:tcBorders>
            <w:tcMar>
              <w:top w:w="29" w:type="dxa"/>
              <w:left w:w="115" w:type="dxa"/>
              <w:bottom w:w="29" w:type="dxa"/>
              <w:right w:w="115" w:type="dxa"/>
            </w:tcMar>
            <w:vAlign w:val="bottom"/>
          </w:tcPr>
          <w:p w:rsidR="001565C5" w:rsidRPr="00854FC2" w:rsidRDefault="001565C5" w:rsidP="00412311">
            <w:pPr>
              <w:pStyle w:val="Heading5"/>
              <w:keepLines/>
              <w:rPr>
                <w:szCs w:val="20"/>
              </w:rPr>
            </w:pPr>
            <w:r w:rsidRPr="00854FC2">
              <w:rPr>
                <w:szCs w:val="20"/>
              </w:rPr>
              <w:t>Existing</w:t>
            </w:r>
          </w:p>
        </w:tc>
        <w:tc>
          <w:tcPr>
            <w:tcW w:w="1424" w:type="dxa"/>
            <w:tcBorders>
              <w:top w:val="nil"/>
              <w:left w:val="single" w:sz="4" w:space="0" w:color="000000"/>
              <w:bottom w:val="nil"/>
              <w:right w:val="double" w:sz="6" w:space="0" w:color="000000"/>
            </w:tcBorders>
            <w:tcMar>
              <w:top w:w="29" w:type="dxa"/>
              <w:left w:w="115" w:type="dxa"/>
              <w:bottom w:w="29" w:type="dxa"/>
              <w:right w:w="115" w:type="dxa"/>
            </w:tcMar>
            <w:vAlign w:val="bottom"/>
          </w:tcPr>
          <w:p w:rsidR="001565C5" w:rsidRPr="00854FC2" w:rsidRDefault="001565C5" w:rsidP="00412311">
            <w:pPr>
              <w:keepNext/>
              <w:keepLines/>
              <w:rPr>
                <w:rFonts w:cs="Arial"/>
                <w:sz w:val="20"/>
                <w:szCs w:val="20"/>
              </w:rPr>
            </w:pPr>
            <w:r w:rsidRPr="00854FC2">
              <w:rPr>
                <w:rFonts w:cs="Arial"/>
                <w:sz w:val="20"/>
                <w:szCs w:val="20"/>
              </w:rPr>
              <w:t>Production</w:t>
            </w:r>
          </w:p>
        </w:tc>
        <w:tc>
          <w:tcPr>
            <w:tcW w:w="1350" w:type="dxa"/>
            <w:tcBorders>
              <w:top w:val="nil"/>
              <w:left w:val="nil"/>
              <w:bottom w:val="nil"/>
              <w:right w:val="single" w:sz="4" w:space="0" w:color="auto"/>
            </w:tcBorders>
            <w:tcMar>
              <w:top w:w="29" w:type="dxa"/>
              <w:left w:w="115" w:type="dxa"/>
              <w:bottom w:w="29" w:type="dxa"/>
              <w:right w:w="115" w:type="dxa"/>
            </w:tcMar>
            <w:vAlign w:val="bottom"/>
          </w:tcPr>
          <w:p w:rsidR="001565C5" w:rsidRDefault="001565C5" w:rsidP="00BB078E">
            <w:pPr>
              <w:keepNext/>
              <w:keepLines/>
              <w:jc w:val="right"/>
              <w:rPr>
                <w:rFonts w:cs="Arial"/>
                <w:sz w:val="20"/>
                <w:szCs w:val="20"/>
              </w:rPr>
            </w:pPr>
            <w:r>
              <w:rPr>
                <w:rFonts w:cs="Arial"/>
                <w:sz w:val="20"/>
                <w:szCs w:val="20"/>
              </w:rPr>
              <w:t>2</w:t>
            </w:r>
            <w:r w:rsidR="00BB078E">
              <w:rPr>
                <w:rFonts w:cs="Arial"/>
                <w:sz w:val="20"/>
                <w:szCs w:val="20"/>
              </w:rPr>
              <w:t>9</w:t>
            </w:r>
            <w:r>
              <w:rPr>
                <w:rFonts w:cs="Arial"/>
                <w:sz w:val="20"/>
                <w:szCs w:val="20"/>
              </w:rPr>
              <w:t>,</w:t>
            </w:r>
            <w:r w:rsidR="00BB078E">
              <w:rPr>
                <w:rFonts w:cs="Arial"/>
                <w:sz w:val="20"/>
                <w:szCs w:val="20"/>
              </w:rPr>
              <w:t>0</w:t>
            </w:r>
            <w:r>
              <w:rPr>
                <w:rFonts w:cs="Arial"/>
                <w:sz w:val="20"/>
                <w:szCs w:val="20"/>
              </w:rPr>
              <w:t>00</w:t>
            </w:r>
          </w:p>
        </w:tc>
        <w:tc>
          <w:tcPr>
            <w:tcW w:w="1391" w:type="dxa"/>
            <w:tcBorders>
              <w:top w:val="nil"/>
              <w:left w:val="nil"/>
              <w:bottom w:val="nil"/>
              <w:right w:val="nil"/>
            </w:tcBorders>
            <w:tcMar>
              <w:top w:w="29" w:type="dxa"/>
              <w:left w:w="115" w:type="dxa"/>
              <w:bottom w:w="29" w:type="dxa"/>
              <w:right w:w="115" w:type="dxa"/>
            </w:tcMar>
            <w:vAlign w:val="bottom"/>
          </w:tcPr>
          <w:p w:rsidR="001565C5" w:rsidRDefault="001565C5" w:rsidP="00BB078E">
            <w:pPr>
              <w:keepNext/>
              <w:keepLines/>
              <w:jc w:val="right"/>
              <w:rPr>
                <w:rFonts w:cs="Arial"/>
                <w:sz w:val="20"/>
                <w:szCs w:val="20"/>
              </w:rPr>
            </w:pPr>
            <w:r>
              <w:rPr>
                <w:rFonts w:cs="Arial"/>
                <w:sz w:val="20"/>
                <w:szCs w:val="20"/>
              </w:rPr>
              <w:t>1</w:t>
            </w:r>
            <w:r w:rsidR="00BB078E">
              <w:rPr>
                <w:rFonts w:cs="Arial"/>
                <w:sz w:val="20"/>
                <w:szCs w:val="20"/>
              </w:rPr>
              <w:t>57,0</w:t>
            </w:r>
            <w:r>
              <w:rPr>
                <w:rFonts w:cs="Arial"/>
                <w:sz w:val="20"/>
                <w:szCs w:val="20"/>
              </w:rPr>
              <w:t>00</w:t>
            </w:r>
          </w:p>
        </w:tc>
        <w:tc>
          <w:tcPr>
            <w:tcW w:w="1432" w:type="dxa"/>
            <w:tcBorders>
              <w:top w:val="nil"/>
              <w:left w:val="single" w:sz="4" w:space="0" w:color="000000"/>
              <w:bottom w:val="nil"/>
              <w:right w:val="nil"/>
            </w:tcBorders>
            <w:tcMar>
              <w:top w:w="29" w:type="dxa"/>
              <w:left w:w="115" w:type="dxa"/>
              <w:bottom w:w="29" w:type="dxa"/>
              <w:right w:w="115" w:type="dxa"/>
            </w:tcMar>
            <w:vAlign w:val="bottom"/>
          </w:tcPr>
          <w:p w:rsidR="001565C5" w:rsidRDefault="00345CFA" w:rsidP="00412311">
            <w:pPr>
              <w:keepNext/>
              <w:keepLines/>
              <w:jc w:val="right"/>
              <w:rPr>
                <w:rFonts w:cs="Arial"/>
                <w:sz w:val="20"/>
                <w:szCs w:val="20"/>
              </w:rPr>
            </w:pPr>
            <w:r>
              <w:rPr>
                <w:rFonts w:cs="Arial"/>
                <w:sz w:val="20"/>
                <w:szCs w:val="20"/>
              </w:rPr>
              <w:t>41,3</w:t>
            </w:r>
            <w:r w:rsidR="001565C5">
              <w:rPr>
                <w:rFonts w:cs="Arial"/>
                <w:sz w:val="20"/>
                <w:szCs w:val="20"/>
              </w:rPr>
              <w:t>00</w:t>
            </w:r>
          </w:p>
        </w:tc>
        <w:tc>
          <w:tcPr>
            <w:tcW w:w="1391" w:type="dxa"/>
            <w:tcBorders>
              <w:top w:val="nil"/>
              <w:left w:val="single" w:sz="4" w:space="0" w:color="000000"/>
              <w:bottom w:val="nil"/>
              <w:right w:val="nil"/>
            </w:tcBorders>
            <w:tcMar>
              <w:top w:w="29" w:type="dxa"/>
              <w:left w:w="115" w:type="dxa"/>
              <w:bottom w:w="29" w:type="dxa"/>
              <w:right w:w="115" w:type="dxa"/>
            </w:tcMar>
            <w:vAlign w:val="bottom"/>
          </w:tcPr>
          <w:p w:rsidR="001565C5" w:rsidRDefault="00F361DD" w:rsidP="00412311">
            <w:pPr>
              <w:keepNext/>
              <w:keepLines/>
              <w:jc w:val="right"/>
              <w:rPr>
                <w:rFonts w:cs="Arial"/>
                <w:sz w:val="20"/>
                <w:szCs w:val="20"/>
              </w:rPr>
            </w:pPr>
            <w:r>
              <w:rPr>
                <w:rFonts w:cs="Arial"/>
                <w:sz w:val="20"/>
                <w:szCs w:val="20"/>
              </w:rPr>
              <w:t>405</w:t>
            </w:r>
          </w:p>
        </w:tc>
        <w:tc>
          <w:tcPr>
            <w:tcW w:w="1088" w:type="dxa"/>
            <w:tcBorders>
              <w:top w:val="nil"/>
              <w:left w:val="single" w:sz="4" w:space="0" w:color="000000"/>
              <w:bottom w:val="nil"/>
              <w:right w:val="double" w:sz="6" w:space="0" w:color="000000"/>
            </w:tcBorders>
            <w:tcMar>
              <w:top w:w="29" w:type="dxa"/>
              <w:left w:w="115" w:type="dxa"/>
              <w:bottom w:w="29" w:type="dxa"/>
              <w:right w:w="115" w:type="dxa"/>
            </w:tcMar>
            <w:vAlign w:val="bottom"/>
          </w:tcPr>
          <w:p w:rsidR="001565C5" w:rsidRDefault="001565C5" w:rsidP="00E91650">
            <w:pPr>
              <w:keepNext/>
              <w:keepLines/>
              <w:jc w:val="right"/>
              <w:rPr>
                <w:rFonts w:cs="Arial"/>
                <w:sz w:val="20"/>
                <w:szCs w:val="20"/>
              </w:rPr>
            </w:pPr>
            <w:r>
              <w:rPr>
                <w:rFonts w:cs="Arial"/>
                <w:sz w:val="20"/>
                <w:szCs w:val="20"/>
              </w:rPr>
              <w:t>2</w:t>
            </w:r>
            <w:r w:rsidR="00E91650">
              <w:rPr>
                <w:rFonts w:cs="Arial"/>
                <w:sz w:val="20"/>
                <w:szCs w:val="20"/>
              </w:rPr>
              <w:t>28</w:t>
            </w:r>
            <w:r>
              <w:rPr>
                <w:rFonts w:cs="Arial"/>
                <w:sz w:val="20"/>
                <w:szCs w:val="20"/>
              </w:rPr>
              <w:t>,000</w:t>
            </w:r>
          </w:p>
        </w:tc>
      </w:tr>
      <w:tr w:rsidR="001565C5" w:rsidRPr="00854FC2" w:rsidTr="00EF0FF6">
        <w:trPr>
          <w:trHeight w:val="326"/>
          <w:jc w:val="center"/>
        </w:trPr>
        <w:tc>
          <w:tcPr>
            <w:tcW w:w="1142" w:type="dxa"/>
            <w:tcBorders>
              <w:top w:val="nil"/>
              <w:left w:val="double" w:sz="6" w:space="0" w:color="000000"/>
              <w:bottom w:val="nil"/>
              <w:right w:val="nil"/>
            </w:tcBorders>
            <w:tcMar>
              <w:top w:w="29" w:type="dxa"/>
              <w:left w:w="115" w:type="dxa"/>
              <w:bottom w:w="29" w:type="dxa"/>
              <w:right w:w="115" w:type="dxa"/>
            </w:tcMar>
            <w:vAlign w:val="bottom"/>
          </w:tcPr>
          <w:p w:rsidR="001565C5" w:rsidRPr="00854FC2" w:rsidRDefault="001565C5" w:rsidP="00412311">
            <w:pPr>
              <w:keepNext/>
              <w:keepLines/>
            </w:pPr>
            <w:r w:rsidRPr="00854FC2">
              <w:t> </w:t>
            </w:r>
          </w:p>
        </w:tc>
        <w:tc>
          <w:tcPr>
            <w:tcW w:w="1424" w:type="dxa"/>
            <w:tcBorders>
              <w:top w:val="single" w:sz="4" w:space="0" w:color="000000"/>
              <w:left w:val="single" w:sz="4" w:space="0" w:color="000000"/>
              <w:bottom w:val="nil"/>
              <w:right w:val="double" w:sz="6" w:space="0" w:color="000000"/>
            </w:tcBorders>
            <w:tcMar>
              <w:top w:w="29" w:type="dxa"/>
              <w:left w:w="115" w:type="dxa"/>
              <w:bottom w:w="29" w:type="dxa"/>
              <w:right w:w="115" w:type="dxa"/>
            </w:tcMar>
            <w:vAlign w:val="bottom"/>
          </w:tcPr>
          <w:p w:rsidR="001565C5" w:rsidRPr="00854FC2" w:rsidRDefault="001565C5" w:rsidP="00412311">
            <w:pPr>
              <w:keepNext/>
              <w:keepLines/>
              <w:rPr>
                <w:rFonts w:cs="Arial"/>
                <w:b/>
                <w:bCs/>
                <w:sz w:val="20"/>
                <w:szCs w:val="20"/>
              </w:rPr>
            </w:pPr>
            <w:r w:rsidRPr="00854FC2">
              <w:rPr>
                <w:rFonts w:cs="Arial"/>
                <w:b/>
                <w:bCs/>
                <w:sz w:val="20"/>
                <w:szCs w:val="20"/>
              </w:rPr>
              <w:t>Total</w:t>
            </w:r>
          </w:p>
        </w:tc>
        <w:tc>
          <w:tcPr>
            <w:tcW w:w="1350" w:type="dxa"/>
            <w:tcBorders>
              <w:top w:val="single" w:sz="4" w:space="0" w:color="000000"/>
              <w:left w:val="nil"/>
              <w:bottom w:val="nil"/>
              <w:right w:val="single" w:sz="4" w:space="0" w:color="auto"/>
            </w:tcBorders>
            <w:tcMar>
              <w:top w:w="29" w:type="dxa"/>
              <w:left w:w="115" w:type="dxa"/>
              <w:bottom w:w="29" w:type="dxa"/>
              <w:right w:w="115" w:type="dxa"/>
            </w:tcMar>
            <w:vAlign w:val="bottom"/>
          </w:tcPr>
          <w:p w:rsidR="001565C5" w:rsidRDefault="001565C5" w:rsidP="00BB078E">
            <w:pPr>
              <w:keepNext/>
              <w:keepLines/>
              <w:jc w:val="right"/>
              <w:rPr>
                <w:rFonts w:cs="Arial"/>
                <w:b/>
                <w:bCs/>
                <w:sz w:val="20"/>
                <w:szCs w:val="20"/>
              </w:rPr>
            </w:pPr>
            <w:r>
              <w:rPr>
                <w:rFonts w:cs="Arial"/>
                <w:b/>
                <w:bCs/>
                <w:sz w:val="20"/>
                <w:szCs w:val="20"/>
              </w:rPr>
              <w:t>3</w:t>
            </w:r>
            <w:r w:rsidR="00BB078E">
              <w:rPr>
                <w:rFonts w:cs="Arial"/>
                <w:b/>
                <w:bCs/>
                <w:sz w:val="20"/>
                <w:szCs w:val="20"/>
              </w:rPr>
              <w:t>17</w:t>
            </w:r>
            <w:r>
              <w:rPr>
                <w:rFonts w:cs="Arial"/>
                <w:b/>
                <w:bCs/>
                <w:sz w:val="20"/>
                <w:szCs w:val="20"/>
              </w:rPr>
              <w:t>,000</w:t>
            </w:r>
          </w:p>
        </w:tc>
        <w:tc>
          <w:tcPr>
            <w:tcW w:w="1391" w:type="dxa"/>
            <w:tcBorders>
              <w:top w:val="single" w:sz="4" w:space="0" w:color="000000"/>
              <w:left w:val="nil"/>
              <w:bottom w:val="nil"/>
              <w:right w:val="single" w:sz="4" w:space="0" w:color="auto"/>
            </w:tcBorders>
            <w:tcMar>
              <w:top w:w="29" w:type="dxa"/>
              <w:left w:w="115" w:type="dxa"/>
              <w:bottom w:w="29" w:type="dxa"/>
              <w:right w:w="115" w:type="dxa"/>
            </w:tcMar>
            <w:vAlign w:val="bottom"/>
          </w:tcPr>
          <w:p w:rsidR="001565C5" w:rsidRDefault="001565C5" w:rsidP="00BB078E">
            <w:pPr>
              <w:keepNext/>
              <w:keepLines/>
              <w:jc w:val="right"/>
              <w:rPr>
                <w:rFonts w:cs="Arial"/>
                <w:b/>
                <w:bCs/>
                <w:sz w:val="20"/>
                <w:szCs w:val="20"/>
              </w:rPr>
            </w:pPr>
            <w:r>
              <w:rPr>
                <w:rFonts w:cs="Arial"/>
                <w:b/>
                <w:bCs/>
                <w:sz w:val="20"/>
                <w:szCs w:val="20"/>
              </w:rPr>
              <w:t>2</w:t>
            </w:r>
            <w:r w:rsidR="00BB078E">
              <w:rPr>
                <w:rFonts w:cs="Arial"/>
                <w:b/>
                <w:bCs/>
                <w:sz w:val="20"/>
                <w:szCs w:val="20"/>
              </w:rPr>
              <w:t>38</w:t>
            </w:r>
            <w:r>
              <w:rPr>
                <w:rFonts w:cs="Arial"/>
                <w:b/>
                <w:bCs/>
                <w:sz w:val="20"/>
                <w:szCs w:val="20"/>
              </w:rPr>
              <w:t>,000</w:t>
            </w:r>
          </w:p>
        </w:tc>
        <w:tc>
          <w:tcPr>
            <w:tcW w:w="1432" w:type="dxa"/>
            <w:tcBorders>
              <w:top w:val="single" w:sz="4" w:space="0" w:color="000000"/>
              <w:left w:val="nil"/>
              <w:bottom w:val="nil"/>
              <w:right w:val="single" w:sz="4" w:space="0" w:color="auto"/>
            </w:tcBorders>
            <w:tcMar>
              <w:top w:w="29" w:type="dxa"/>
              <w:left w:w="115" w:type="dxa"/>
              <w:bottom w:w="29" w:type="dxa"/>
              <w:right w:w="115" w:type="dxa"/>
            </w:tcMar>
            <w:vAlign w:val="bottom"/>
          </w:tcPr>
          <w:p w:rsidR="001565C5" w:rsidRDefault="001565C5" w:rsidP="00345CFA">
            <w:pPr>
              <w:keepNext/>
              <w:keepLines/>
              <w:jc w:val="right"/>
              <w:rPr>
                <w:rFonts w:cs="Arial"/>
                <w:b/>
                <w:bCs/>
                <w:sz w:val="20"/>
                <w:szCs w:val="20"/>
              </w:rPr>
            </w:pPr>
            <w:r>
              <w:rPr>
                <w:rFonts w:cs="Arial"/>
                <w:b/>
                <w:bCs/>
                <w:sz w:val="20"/>
                <w:szCs w:val="20"/>
              </w:rPr>
              <w:t>7</w:t>
            </w:r>
            <w:r w:rsidR="00345CFA">
              <w:rPr>
                <w:rFonts w:cs="Arial"/>
                <w:b/>
                <w:bCs/>
                <w:sz w:val="20"/>
                <w:szCs w:val="20"/>
              </w:rPr>
              <w:t>7</w:t>
            </w:r>
            <w:r>
              <w:rPr>
                <w:rFonts w:cs="Arial"/>
                <w:b/>
                <w:bCs/>
                <w:sz w:val="20"/>
                <w:szCs w:val="20"/>
              </w:rPr>
              <w:t>,</w:t>
            </w:r>
            <w:r w:rsidR="00345CFA">
              <w:rPr>
                <w:rFonts w:cs="Arial"/>
                <w:b/>
                <w:bCs/>
                <w:sz w:val="20"/>
                <w:szCs w:val="20"/>
              </w:rPr>
              <w:t>0</w:t>
            </w:r>
            <w:r>
              <w:rPr>
                <w:rFonts w:cs="Arial"/>
                <w:b/>
                <w:bCs/>
                <w:sz w:val="20"/>
                <w:szCs w:val="20"/>
              </w:rPr>
              <w:t>00</w:t>
            </w:r>
          </w:p>
        </w:tc>
        <w:tc>
          <w:tcPr>
            <w:tcW w:w="1391"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bottom"/>
          </w:tcPr>
          <w:p w:rsidR="001565C5" w:rsidRDefault="001565C5" w:rsidP="00F361DD">
            <w:pPr>
              <w:keepNext/>
              <w:keepLines/>
              <w:jc w:val="right"/>
              <w:rPr>
                <w:rFonts w:cs="Arial"/>
                <w:b/>
                <w:bCs/>
                <w:sz w:val="20"/>
                <w:szCs w:val="20"/>
              </w:rPr>
            </w:pPr>
            <w:r>
              <w:rPr>
                <w:rFonts w:cs="Arial"/>
                <w:b/>
                <w:bCs/>
                <w:sz w:val="20"/>
                <w:szCs w:val="20"/>
              </w:rPr>
              <w:t>3,3</w:t>
            </w:r>
            <w:r w:rsidR="00F361DD">
              <w:rPr>
                <w:rFonts w:cs="Arial"/>
                <w:b/>
                <w:bCs/>
                <w:sz w:val="20"/>
                <w:szCs w:val="20"/>
              </w:rPr>
              <w:t>8</w:t>
            </w:r>
            <w:r>
              <w:rPr>
                <w:rFonts w:cs="Arial"/>
                <w:b/>
                <w:bCs/>
                <w:sz w:val="20"/>
                <w:szCs w:val="20"/>
              </w:rPr>
              <w:t>0</w:t>
            </w:r>
          </w:p>
        </w:tc>
        <w:tc>
          <w:tcPr>
            <w:tcW w:w="1088" w:type="dxa"/>
            <w:tcBorders>
              <w:top w:val="single" w:sz="4" w:space="0" w:color="000000"/>
              <w:left w:val="single" w:sz="4" w:space="0" w:color="000000"/>
              <w:bottom w:val="nil"/>
              <w:right w:val="double" w:sz="6" w:space="0" w:color="000000"/>
            </w:tcBorders>
            <w:tcMar>
              <w:top w:w="29" w:type="dxa"/>
              <w:left w:w="115" w:type="dxa"/>
              <w:bottom w:w="29" w:type="dxa"/>
              <w:right w:w="115" w:type="dxa"/>
            </w:tcMar>
            <w:vAlign w:val="bottom"/>
          </w:tcPr>
          <w:p w:rsidR="001565C5" w:rsidRDefault="001565C5" w:rsidP="00E91650">
            <w:pPr>
              <w:keepNext/>
              <w:keepLines/>
              <w:jc w:val="right"/>
              <w:rPr>
                <w:rFonts w:cs="Arial"/>
                <w:b/>
                <w:bCs/>
                <w:sz w:val="20"/>
                <w:szCs w:val="20"/>
              </w:rPr>
            </w:pPr>
            <w:r>
              <w:rPr>
                <w:rFonts w:cs="Arial"/>
                <w:b/>
                <w:bCs/>
                <w:sz w:val="20"/>
                <w:szCs w:val="20"/>
              </w:rPr>
              <w:t>63</w:t>
            </w:r>
            <w:r w:rsidR="00E91650">
              <w:rPr>
                <w:rFonts w:cs="Arial"/>
                <w:b/>
                <w:bCs/>
                <w:sz w:val="20"/>
                <w:szCs w:val="20"/>
              </w:rPr>
              <w:t>6</w:t>
            </w:r>
            <w:r>
              <w:rPr>
                <w:rFonts w:cs="Arial"/>
                <w:b/>
                <w:bCs/>
                <w:sz w:val="20"/>
                <w:szCs w:val="20"/>
              </w:rPr>
              <w:t>,000</w:t>
            </w:r>
          </w:p>
        </w:tc>
      </w:tr>
      <w:tr w:rsidR="005B5DD8" w:rsidRPr="00854FC2" w:rsidTr="00EF0FF6">
        <w:trPr>
          <w:trHeight w:val="326"/>
          <w:jc w:val="center"/>
        </w:trPr>
        <w:tc>
          <w:tcPr>
            <w:tcW w:w="1142" w:type="dxa"/>
            <w:tcBorders>
              <w:top w:val="double" w:sz="6" w:space="0" w:color="000000"/>
              <w:left w:val="double" w:sz="6" w:space="0" w:color="000000"/>
              <w:bottom w:val="nil"/>
              <w:right w:val="nil"/>
            </w:tcBorders>
            <w:tcMar>
              <w:top w:w="29" w:type="dxa"/>
              <w:left w:w="115" w:type="dxa"/>
              <w:bottom w:w="29" w:type="dxa"/>
              <w:right w:w="115" w:type="dxa"/>
            </w:tcMar>
            <w:vAlign w:val="bottom"/>
          </w:tcPr>
          <w:p w:rsidR="005B5DD8" w:rsidRPr="00854FC2" w:rsidRDefault="005B5DD8" w:rsidP="00412311">
            <w:pPr>
              <w:keepNext/>
              <w:keepLines/>
            </w:pPr>
            <w:r w:rsidRPr="00854FC2">
              <w:t> </w:t>
            </w:r>
          </w:p>
        </w:tc>
        <w:tc>
          <w:tcPr>
            <w:tcW w:w="1424" w:type="dxa"/>
            <w:tcBorders>
              <w:top w:val="double" w:sz="6" w:space="0" w:color="000000"/>
              <w:left w:val="single" w:sz="4" w:space="0" w:color="000000"/>
              <w:bottom w:val="single" w:sz="4" w:space="0" w:color="000000"/>
              <w:right w:val="double" w:sz="6" w:space="0" w:color="000000"/>
            </w:tcBorders>
            <w:tcMar>
              <w:top w:w="29" w:type="dxa"/>
              <w:left w:w="115" w:type="dxa"/>
              <w:bottom w:w="29" w:type="dxa"/>
              <w:right w:w="115" w:type="dxa"/>
            </w:tcMar>
            <w:vAlign w:val="bottom"/>
          </w:tcPr>
          <w:p w:rsidR="005B5DD8" w:rsidRPr="00854FC2" w:rsidRDefault="005B5DD8" w:rsidP="00412311">
            <w:pPr>
              <w:keepNext/>
              <w:keepLines/>
              <w:rPr>
                <w:rFonts w:cs="Arial"/>
                <w:sz w:val="20"/>
                <w:szCs w:val="20"/>
              </w:rPr>
            </w:pPr>
            <w:r w:rsidRPr="00854FC2">
              <w:rPr>
                <w:rFonts w:cs="Arial"/>
                <w:sz w:val="20"/>
                <w:szCs w:val="20"/>
              </w:rPr>
              <w:t>Storage</w:t>
            </w:r>
          </w:p>
        </w:tc>
        <w:tc>
          <w:tcPr>
            <w:tcW w:w="1350" w:type="dxa"/>
            <w:tcBorders>
              <w:top w:val="double" w:sz="6" w:space="0" w:color="000000"/>
              <w:left w:val="nil"/>
              <w:bottom w:val="single" w:sz="4" w:space="0" w:color="000000"/>
              <w:right w:val="single" w:sz="4" w:space="0" w:color="auto"/>
            </w:tcBorders>
            <w:tcMar>
              <w:top w:w="29" w:type="dxa"/>
              <w:left w:w="115" w:type="dxa"/>
              <w:bottom w:w="29" w:type="dxa"/>
              <w:right w:w="115" w:type="dxa"/>
            </w:tcMar>
            <w:vAlign w:val="bottom"/>
          </w:tcPr>
          <w:p w:rsidR="005B5DD8" w:rsidRDefault="005B5DD8" w:rsidP="00BB078E">
            <w:pPr>
              <w:keepNext/>
              <w:keepLines/>
              <w:jc w:val="right"/>
              <w:rPr>
                <w:rFonts w:cs="Arial"/>
                <w:sz w:val="20"/>
                <w:szCs w:val="20"/>
              </w:rPr>
            </w:pPr>
            <w:r>
              <w:rPr>
                <w:rFonts w:cs="Arial"/>
                <w:sz w:val="20"/>
                <w:szCs w:val="20"/>
              </w:rPr>
              <w:t>5,7</w:t>
            </w:r>
            <w:r w:rsidR="00BB078E">
              <w:rPr>
                <w:rFonts w:cs="Arial"/>
                <w:sz w:val="20"/>
                <w:szCs w:val="20"/>
              </w:rPr>
              <w:t>50</w:t>
            </w:r>
          </w:p>
        </w:tc>
        <w:tc>
          <w:tcPr>
            <w:tcW w:w="1391" w:type="dxa"/>
            <w:tcBorders>
              <w:top w:val="double" w:sz="6" w:space="0" w:color="000000"/>
              <w:left w:val="nil"/>
              <w:bottom w:val="single" w:sz="4" w:space="0" w:color="000000"/>
              <w:right w:val="single" w:sz="4" w:space="0" w:color="auto"/>
            </w:tcBorders>
            <w:tcMar>
              <w:top w:w="29" w:type="dxa"/>
              <w:left w:w="115" w:type="dxa"/>
              <w:bottom w:w="29" w:type="dxa"/>
              <w:right w:w="115" w:type="dxa"/>
            </w:tcMar>
            <w:vAlign w:val="bottom"/>
          </w:tcPr>
          <w:p w:rsidR="005B5DD8" w:rsidRDefault="005B5DD8" w:rsidP="00BB078E">
            <w:pPr>
              <w:keepNext/>
              <w:keepLines/>
              <w:jc w:val="right"/>
              <w:rPr>
                <w:rFonts w:cs="Arial"/>
                <w:sz w:val="20"/>
                <w:szCs w:val="20"/>
              </w:rPr>
            </w:pPr>
            <w:r>
              <w:rPr>
                <w:rFonts w:cs="Arial"/>
                <w:sz w:val="20"/>
                <w:szCs w:val="20"/>
              </w:rPr>
              <w:t>2,</w:t>
            </w:r>
            <w:r w:rsidR="00BB078E">
              <w:rPr>
                <w:rFonts w:cs="Arial"/>
                <w:sz w:val="20"/>
                <w:szCs w:val="20"/>
              </w:rPr>
              <w:t>4</w:t>
            </w:r>
            <w:r>
              <w:rPr>
                <w:rFonts w:cs="Arial"/>
                <w:sz w:val="20"/>
                <w:szCs w:val="20"/>
              </w:rPr>
              <w:t>0</w:t>
            </w:r>
            <w:r w:rsidR="008A3ACF">
              <w:rPr>
                <w:rFonts w:cs="Arial"/>
                <w:sz w:val="20"/>
                <w:szCs w:val="20"/>
              </w:rPr>
              <w:t>0</w:t>
            </w:r>
          </w:p>
        </w:tc>
        <w:tc>
          <w:tcPr>
            <w:tcW w:w="1432" w:type="dxa"/>
            <w:tcBorders>
              <w:top w:val="double" w:sz="6" w:space="0" w:color="000000"/>
              <w:left w:val="nil"/>
              <w:bottom w:val="single" w:sz="4" w:space="0" w:color="000000"/>
              <w:right w:val="single" w:sz="4" w:space="0" w:color="auto"/>
            </w:tcBorders>
            <w:tcMar>
              <w:top w:w="29" w:type="dxa"/>
              <w:left w:w="115" w:type="dxa"/>
              <w:bottom w:w="29" w:type="dxa"/>
              <w:right w:w="115" w:type="dxa"/>
            </w:tcMar>
            <w:vAlign w:val="bottom"/>
          </w:tcPr>
          <w:p w:rsidR="005B5DD8" w:rsidRDefault="00345CFA" w:rsidP="00412311">
            <w:pPr>
              <w:keepNext/>
              <w:keepLines/>
              <w:jc w:val="right"/>
              <w:rPr>
                <w:rFonts w:cs="Arial"/>
                <w:sz w:val="20"/>
                <w:szCs w:val="20"/>
              </w:rPr>
            </w:pPr>
            <w:r>
              <w:rPr>
                <w:rFonts w:cs="Arial"/>
                <w:sz w:val="20"/>
                <w:szCs w:val="20"/>
              </w:rPr>
              <w:t>1,070</w:t>
            </w:r>
          </w:p>
        </w:tc>
        <w:tc>
          <w:tcPr>
            <w:tcW w:w="1391" w:type="dxa"/>
            <w:tcBorders>
              <w:top w:val="double" w:sz="6" w:space="0" w:color="000000"/>
              <w:left w:val="nil"/>
              <w:bottom w:val="single" w:sz="4" w:space="0" w:color="000000"/>
              <w:right w:val="single" w:sz="4" w:space="0" w:color="000000"/>
            </w:tcBorders>
            <w:tcMar>
              <w:top w:w="29" w:type="dxa"/>
              <w:left w:w="115" w:type="dxa"/>
              <w:bottom w:w="29" w:type="dxa"/>
              <w:right w:w="115" w:type="dxa"/>
            </w:tcMar>
            <w:vAlign w:val="bottom"/>
          </w:tcPr>
          <w:p w:rsidR="005B5DD8" w:rsidRDefault="00F361DD" w:rsidP="00412311">
            <w:pPr>
              <w:keepNext/>
              <w:keepLines/>
              <w:jc w:val="right"/>
              <w:rPr>
                <w:rFonts w:cs="Arial"/>
                <w:sz w:val="20"/>
                <w:szCs w:val="20"/>
              </w:rPr>
            </w:pPr>
            <w:r>
              <w:rPr>
                <w:rFonts w:cs="Arial"/>
                <w:sz w:val="20"/>
                <w:szCs w:val="20"/>
              </w:rPr>
              <w:t>80</w:t>
            </w:r>
          </w:p>
        </w:tc>
        <w:tc>
          <w:tcPr>
            <w:tcW w:w="1088" w:type="dxa"/>
            <w:tcBorders>
              <w:top w:val="double" w:sz="6" w:space="0" w:color="000000"/>
              <w:left w:val="single" w:sz="4" w:space="0" w:color="000000"/>
              <w:bottom w:val="single" w:sz="4" w:space="0" w:color="000000"/>
              <w:right w:val="double" w:sz="6" w:space="0" w:color="000000"/>
            </w:tcBorders>
            <w:tcMar>
              <w:top w:w="29" w:type="dxa"/>
              <w:left w:w="115" w:type="dxa"/>
              <w:bottom w:w="29" w:type="dxa"/>
              <w:right w:w="115" w:type="dxa"/>
            </w:tcMar>
            <w:vAlign w:val="bottom"/>
          </w:tcPr>
          <w:p w:rsidR="005B5DD8" w:rsidRDefault="00E91650" w:rsidP="00412311">
            <w:pPr>
              <w:keepNext/>
              <w:keepLines/>
              <w:jc w:val="right"/>
              <w:rPr>
                <w:rFonts w:cs="Arial"/>
                <w:sz w:val="20"/>
                <w:szCs w:val="20"/>
              </w:rPr>
            </w:pPr>
            <w:r>
              <w:rPr>
                <w:rFonts w:cs="Arial"/>
                <w:sz w:val="20"/>
                <w:szCs w:val="20"/>
              </w:rPr>
              <w:t>9,30</w:t>
            </w:r>
            <w:r w:rsidR="008C08D6">
              <w:rPr>
                <w:rFonts w:cs="Arial"/>
                <w:sz w:val="20"/>
                <w:szCs w:val="20"/>
              </w:rPr>
              <w:t>0</w:t>
            </w:r>
          </w:p>
        </w:tc>
      </w:tr>
      <w:tr w:rsidR="001565C5" w:rsidRPr="00854FC2" w:rsidTr="00EF0FF6">
        <w:trPr>
          <w:trHeight w:val="272"/>
          <w:jc w:val="center"/>
        </w:trPr>
        <w:tc>
          <w:tcPr>
            <w:tcW w:w="1142" w:type="dxa"/>
            <w:tcBorders>
              <w:top w:val="nil"/>
              <w:left w:val="double" w:sz="6" w:space="0" w:color="000000"/>
              <w:bottom w:val="nil"/>
              <w:right w:val="nil"/>
            </w:tcBorders>
            <w:tcMar>
              <w:top w:w="29" w:type="dxa"/>
              <w:left w:w="115" w:type="dxa"/>
              <w:bottom w:w="29" w:type="dxa"/>
              <w:right w:w="115" w:type="dxa"/>
            </w:tcMar>
            <w:vAlign w:val="bottom"/>
          </w:tcPr>
          <w:p w:rsidR="001565C5" w:rsidRPr="00854FC2" w:rsidRDefault="001565C5" w:rsidP="00412311">
            <w:pPr>
              <w:keepNext/>
              <w:keepLines/>
              <w:rPr>
                <w:rFonts w:cs="Arial"/>
                <w:b/>
                <w:bCs/>
                <w:sz w:val="20"/>
                <w:szCs w:val="20"/>
              </w:rPr>
            </w:pPr>
            <w:r w:rsidRPr="00854FC2">
              <w:rPr>
                <w:rFonts w:cs="Arial"/>
                <w:b/>
                <w:bCs/>
                <w:sz w:val="20"/>
                <w:szCs w:val="20"/>
              </w:rPr>
              <w:t>New</w:t>
            </w:r>
          </w:p>
        </w:tc>
        <w:tc>
          <w:tcPr>
            <w:tcW w:w="1424" w:type="dxa"/>
            <w:tcBorders>
              <w:top w:val="nil"/>
              <w:left w:val="single" w:sz="4" w:space="0" w:color="000000"/>
              <w:bottom w:val="nil"/>
              <w:right w:val="double" w:sz="6" w:space="0" w:color="000000"/>
            </w:tcBorders>
            <w:tcMar>
              <w:top w:w="29" w:type="dxa"/>
              <w:left w:w="115" w:type="dxa"/>
              <w:bottom w:w="29" w:type="dxa"/>
              <w:right w:w="115" w:type="dxa"/>
            </w:tcMar>
            <w:vAlign w:val="bottom"/>
          </w:tcPr>
          <w:p w:rsidR="001565C5" w:rsidRPr="00854FC2" w:rsidRDefault="001565C5" w:rsidP="00412311">
            <w:pPr>
              <w:keepNext/>
              <w:keepLines/>
              <w:rPr>
                <w:rFonts w:cs="Arial"/>
                <w:sz w:val="20"/>
                <w:szCs w:val="20"/>
              </w:rPr>
            </w:pPr>
            <w:r w:rsidRPr="00854FC2">
              <w:rPr>
                <w:rFonts w:cs="Arial"/>
                <w:sz w:val="20"/>
                <w:szCs w:val="20"/>
              </w:rPr>
              <w:t>Production</w:t>
            </w:r>
          </w:p>
        </w:tc>
        <w:tc>
          <w:tcPr>
            <w:tcW w:w="1350" w:type="dxa"/>
            <w:tcBorders>
              <w:top w:val="nil"/>
              <w:left w:val="nil"/>
              <w:bottom w:val="nil"/>
              <w:right w:val="single" w:sz="4" w:space="0" w:color="auto"/>
            </w:tcBorders>
            <w:tcMar>
              <w:top w:w="29" w:type="dxa"/>
              <w:left w:w="115" w:type="dxa"/>
              <w:bottom w:w="29" w:type="dxa"/>
              <w:right w:w="115" w:type="dxa"/>
            </w:tcMar>
            <w:vAlign w:val="bottom"/>
          </w:tcPr>
          <w:p w:rsidR="001565C5" w:rsidRDefault="001565C5" w:rsidP="00BB078E">
            <w:pPr>
              <w:keepNext/>
              <w:keepLines/>
              <w:jc w:val="right"/>
              <w:rPr>
                <w:rFonts w:cs="Arial"/>
                <w:sz w:val="20"/>
                <w:szCs w:val="20"/>
              </w:rPr>
            </w:pPr>
            <w:r>
              <w:rPr>
                <w:rFonts w:cs="Arial"/>
                <w:sz w:val="20"/>
                <w:szCs w:val="20"/>
              </w:rPr>
              <w:t>1,</w:t>
            </w:r>
            <w:r w:rsidR="00BB078E">
              <w:rPr>
                <w:rFonts w:cs="Arial"/>
                <w:sz w:val="20"/>
                <w:szCs w:val="20"/>
              </w:rPr>
              <w:t>54</w:t>
            </w:r>
            <w:r>
              <w:rPr>
                <w:rFonts w:cs="Arial"/>
                <w:sz w:val="20"/>
                <w:szCs w:val="20"/>
              </w:rPr>
              <w:t>0</w:t>
            </w:r>
          </w:p>
        </w:tc>
        <w:tc>
          <w:tcPr>
            <w:tcW w:w="1391" w:type="dxa"/>
            <w:tcBorders>
              <w:top w:val="nil"/>
              <w:left w:val="nil"/>
              <w:bottom w:val="nil"/>
              <w:right w:val="nil"/>
            </w:tcBorders>
            <w:tcMar>
              <w:top w:w="29" w:type="dxa"/>
              <w:left w:w="115" w:type="dxa"/>
              <w:bottom w:w="29" w:type="dxa"/>
              <w:right w:w="115" w:type="dxa"/>
            </w:tcMar>
            <w:vAlign w:val="bottom"/>
          </w:tcPr>
          <w:p w:rsidR="001565C5" w:rsidRDefault="00BB078E" w:rsidP="00BB078E">
            <w:pPr>
              <w:keepNext/>
              <w:keepLines/>
              <w:jc w:val="right"/>
              <w:rPr>
                <w:rFonts w:cs="Arial"/>
                <w:sz w:val="20"/>
                <w:szCs w:val="20"/>
              </w:rPr>
            </w:pPr>
            <w:r>
              <w:rPr>
                <w:rFonts w:cs="Arial"/>
                <w:sz w:val="20"/>
                <w:szCs w:val="20"/>
              </w:rPr>
              <w:t>8,27</w:t>
            </w:r>
            <w:r w:rsidR="001565C5">
              <w:rPr>
                <w:rFonts w:cs="Arial"/>
                <w:sz w:val="20"/>
                <w:szCs w:val="20"/>
              </w:rPr>
              <w:t>0</w:t>
            </w:r>
          </w:p>
        </w:tc>
        <w:tc>
          <w:tcPr>
            <w:tcW w:w="1432" w:type="dxa"/>
            <w:tcBorders>
              <w:top w:val="nil"/>
              <w:left w:val="single" w:sz="4" w:space="0" w:color="000000"/>
              <w:bottom w:val="nil"/>
              <w:right w:val="nil"/>
            </w:tcBorders>
            <w:tcMar>
              <w:top w:w="29" w:type="dxa"/>
              <w:left w:w="115" w:type="dxa"/>
              <w:bottom w:w="29" w:type="dxa"/>
              <w:right w:w="115" w:type="dxa"/>
            </w:tcMar>
            <w:vAlign w:val="bottom"/>
          </w:tcPr>
          <w:p w:rsidR="001565C5" w:rsidRDefault="00345CFA" w:rsidP="00412311">
            <w:pPr>
              <w:keepNext/>
              <w:keepLines/>
              <w:jc w:val="right"/>
              <w:rPr>
                <w:rFonts w:cs="Arial"/>
                <w:sz w:val="20"/>
                <w:szCs w:val="20"/>
              </w:rPr>
            </w:pPr>
            <w:r>
              <w:rPr>
                <w:rFonts w:cs="Arial"/>
                <w:sz w:val="20"/>
                <w:szCs w:val="20"/>
              </w:rPr>
              <w:t>2,170</w:t>
            </w:r>
          </w:p>
        </w:tc>
        <w:tc>
          <w:tcPr>
            <w:tcW w:w="1391" w:type="dxa"/>
            <w:tcBorders>
              <w:top w:val="single" w:sz="4" w:space="0" w:color="000000"/>
              <w:left w:val="single" w:sz="4" w:space="0" w:color="000000"/>
              <w:bottom w:val="single" w:sz="4" w:space="0" w:color="000000"/>
              <w:right w:val="nil"/>
            </w:tcBorders>
            <w:tcMar>
              <w:top w:w="29" w:type="dxa"/>
              <w:left w:w="115" w:type="dxa"/>
              <w:bottom w:w="29" w:type="dxa"/>
              <w:right w:w="115" w:type="dxa"/>
            </w:tcMar>
            <w:vAlign w:val="bottom"/>
          </w:tcPr>
          <w:p w:rsidR="001565C5" w:rsidRDefault="00F361DD" w:rsidP="00F361DD">
            <w:pPr>
              <w:keepNext/>
              <w:keepLines/>
              <w:jc w:val="right"/>
              <w:rPr>
                <w:rFonts w:cs="Arial"/>
                <w:sz w:val="20"/>
                <w:szCs w:val="20"/>
              </w:rPr>
            </w:pPr>
            <w:r>
              <w:rPr>
                <w:rFonts w:cs="Arial"/>
                <w:sz w:val="20"/>
                <w:szCs w:val="20"/>
              </w:rPr>
              <w:t>21</w:t>
            </w:r>
          </w:p>
        </w:tc>
        <w:tc>
          <w:tcPr>
            <w:tcW w:w="1088" w:type="dxa"/>
            <w:tcBorders>
              <w:top w:val="nil"/>
              <w:left w:val="single" w:sz="4" w:space="0" w:color="000000"/>
              <w:bottom w:val="nil"/>
              <w:right w:val="double" w:sz="6" w:space="0" w:color="000000"/>
            </w:tcBorders>
            <w:tcMar>
              <w:top w:w="29" w:type="dxa"/>
              <w:left w:w="115" w:type="dxa"/>
              <w:bottom w:w="29" w:type="dxa"/>
              <w:right w:w="115" w:type="dxa"/>
            </w:tcMar>
            <w:vAlign w:val="bottom"/>
          </w:tcPr>
          <w:p w:rsidR="001565C5" w:rsidRDefault="00E91650" w:rsidP="00412311">
            <w:pPr>
              <w:keepNext/>
              <w:keepLines/>
              <w:jc w:val="right"/>
              <w:rPr>
                <w:rFonts w:cs="Arial"/>
                <w:sz w:val="20"/>
                <w:szCs w:val="20"/>
              </w:rPr>
            </w:pPr>
            <w:r>
              <w:rPr>
                <w:rFonts w:cs="Arial"/>
                <w:sz w:val="20"/>
                <w:szCs w:val="20"/>
              </w:rPr>
              <w:t>12,0</w:t>
            </w:r>
            <w:r w:rsidR="001565C5">
              <w:rPr>
                <w:rFonts w:cs="Arial"/>
                <w:sz w:val="20"/>
                <w:szCs w:val="20"/>
              </w:rPr>
              <w:t>00</w:t>
            </w:r>
          </w:p>
        </w:tc>
      </w:tr>
      <w:tr w:rsidR="001565C5" w:rsidRPr="00854FC2" w:rsidTr="00EF0FF6">
        <w:trPr>
          <w:trHeight w:val="326"/>
          <w:jc w:val="center"/>
        </w:trPr>
        <w:tc>
          <w:tcPr>
            <w:tcW w:w="1142" w:type="dxa"/>
            <w:tcBorders>
              <w:top w:val="nil"/>
              <w:left w:val="double" w:sz="6" w:space="0" w:color="000000"/>
              <w:bottom w:val="double" w:sz="6" w:space="0" w:color="000000"/>
              <w:right w:val="nil"/>
            </w:tcBorders>
            <w:tcMar>
              <w:top w:w="29" w:type="dxa"/>
              <w:left w:w="115" w:type="dxa"/>
              <w:bottom w:w="29" w:type="dxa"/>
              <w:right w:w="115" w:type="dxa"/>
            </w:tcMar>
            <w:vAlign w:val="bottom"/>
          </w:tcPr>
          <w:p w:rsidR="001565C5" w:rsidRPr="00854FC2" w:rsidRDefault="001565C5" w:rsidP="00412311">
            <w:pPr>
              <w:keepNext/>
              <w:keepLines/>
            </w:pPr>
            <w:r w:rsidRPr="00854FC2">
              <w:t> </w:t>
            </w:r>
          </w:p>
        </w:tc>
        <w:tc>
          <w:tcPr>
            <w:tcW w:w="1424" w:type="dxa"/>
            <w:tcBorders>
              <w:top w:val="single" w:sz="4" w:space="0" w:color="000000"/>
              <w:left w:val="single" w:sz="4" w:space="0" w:color="000000"/>
              <w:bottom w:val="double" w:sz="6" w:space="0" w:color="000000"/>
              <w:right w:val="double" w:sz="6" w:space="0" w:color="000000"/>
            </w:tcBorders>
            <w:tcMar>
              <w:top w:w="29" w:type="dxa"/>
              <w:left w:w="115" w:type="dxa"/>
              <w:bottom w:w="29" w:type="dxa"/>
              <w:right w:w="115" w:type="dxa"/>
            </w:tcMar>
            <w:vAlign w:val="bottom"/>
          </w:tcPr>
          <w:p w:rsidR="001565C5" w:rsidRPr="00854FC2" w:rsidRDefault="001565C5" w:rsidP="00412311">
            <w:pPr>
              <w:keepNext/>
              <w:keepLines/>
              <w:rPr>
                <w:rFonts w:cs="Arial"/>
                <w:b/>
                <w:bCs/>
                <w:sz w:val="20"/>
                <w:szCs w:val="20"/>
              </w:rPr>
            </w:pPr>
            <w:r w:rsidRPr="00854FC2">
              <w:rPr>
                <w:rFonts w:cs="Arial"/>
                <w:b/>
                <w:bCs/>
                <w:sz w:val="20"/>
                <w:szCs w:val="20"/>
              </w:rPr>
              <w:t>Total</w:t>
            </w:r>
          </w:p>
        </w:tc>
        <w:tc>
          <w:tcPr>
            <w:tcW w:w="1350"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bottom"/>
          </w:tcPr>
          <w:p w:rsidR="001565C5" w:rsidRDefault="00BB078E" w:rsidP="00BB078E">
            <w:pPr>
              <w:keepNext/>
              <w:keepLines/>
              <w:jc w:val="right"/>
              <w:rPr>
                <w:rFonts w:cs="Arial"/>
                <w:b/>
                <w:bCs/>
                <w:sz w:val="20"/>
                <w:szCs w:val="20"/>
              </w:rPr>
            </w:pPr>
            <w:r>
              <w:rPr>
                <w:rFonts w:cs="Arial"/>
                <w:b/>
                <w:bCs/>
                <w:sz w:val="20"/>
                <w:szCs w:val="20"/>
              </w:rPr>
              <w:t>7,290</w:t>
            </w:r>
          </w:p>
        </w:tc>
        <w:tc>
          <w:tcPr>
            <w:tcW w:w="1391"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bottom"/>
          </w:tcPr>
          <w:p w:rsidR="001565C5" w:rsidRDefault="00BB078E" w:rsidP="00BB078E">
            <w:pPr>
              <w:keepNext/>
              <w:keepLines/>
              <w:jc w:val="right"/>
              <w:rPr>
                <w:rFonts w:cs="Arial"/>
                <w:b/>
                <w:bCs/>
                <w:sz w:val="20"/>
                <w:szCs w:val="20"/>
              </w:rPr>
            </w:pPr>
            <w:r>
              <w:rPr>
                <w:rFonts w:cs="Arial"/>
                <w:b/>
                <w:bCs/>
                <w:sz w:val="20"/>
                <w:szCs w:val="20"/>
              </w:rPr>
              <w:t>10</w:t>
            </w:r>
            <w:r w:rsidR="001565C5">
              <w:rPr>
                <w:rFonts w:cs="Arial"/>
                <w:b/>
                <w:bCs/>
                <w:sz w:val="20"/>
                <w:szCs w:val="20"/>
              </w:rPr>
              <w:t>,</w:t>
            </w:r>
            <w:r>
              <w:rPr>
                <w:rFonts w:cs="Arial"/>
                <w:b/>
                <w:bCs/>
                <w:sz w:val="20"/>
                <w:szCs w:val="20"/>
              </w:rPr>
              <w:t>67</w:t>
            </w:r>
            <w:r w:rsidR="001565C5">
              <w:rPr>
                <w:rFonts w:cs="Arial"/>
                <w:b/>
                <w:bCs/>
                <w:sz w:val="20"/>
                <w:szCs w:val="20"/>
              </w:rPr>
              <w:t>0</w:t>
            </w:r>
          </w:p>
        </w:tc>
        <w:tc>
          <w:tcPr>
            <w:tcW w:w="1432"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bottom"/>
          </w:tcPr>
          <w:p w:rsidR="001565C5" w:rsidRDefault="00345CFA" w:rsidP="00412311">
            <w:pPr>
              <w:keepNext/>
              <w:keepLines/>
              <w:jc w:val="right"/>
              <w:rPr>
                <w:rFonts w:cs="Arial"/>
                <w:b/>
                <w:bCs/>
                <w:sz w:val="20"/>
                <w:szCs w:val="20"/>
              </w:rPr>
            </w:pPr>
            <w:r>
              <w:rPr>
                <w:rFonts w:cs="Arial"/>
                <w:b/>
                <w:bCs/>
                <w:sz w:val="20"/>
                <w:szCs w:val="20"/>
              </w:rPr>
              <w:t>3,240</w:t>
            </w:r>
          </w:p>
        </w:tc>
        <w:tc>
          <w:tcPr>
            <w:tcW w:w="1391" w:type="dxa"/>
            <w:tcBorders>
              <w:top w:val="single" w:sz="4" w:space="0" w:color="000000"/>
              <w:left w:val="nil"/>
              <w:bottom w:val="double" w:sz="6" w:space="0" w:color="000000"/>
              <w:right w:val="nil"/>
            </w:tcBorders>
            <w:tcMar>
              <w:top w:w="29" w:type="dxa"/>
              <w:left w:w="115" w:type="dxa"/>
              <w:bottom w:w="29" w:type="dxa"/>
              <w:right w:w="115" w:type="dxa"/>
            </w:tcMar>
            <w:vAlign w:val="bottom"/>
          </w:tcPr>
          <w:p w:rsidR="001565C5" w:rsidRDefault="00F361DD" w:rsidP="00412311">
            <w:pPr>
              <w:keepNext/>
              <w:keepLines/>
              <w:jc w:val="right"/>
              <w:rPr>
                <w:rFonts w:cs="Arial"/>
                <w:b/>
                <w:bCs/>
                <w:sz w:val="20"/>
                <w:szCs w:val="20"/>
              </w:rPr>
            </w:pPr>
            <w:r>
              <w:rPr>
                <w:rFonts w:cs="Arial"/>
                <w:b/>
                <w:bCs/>
                <w:sz w:val="20"/>
                <w:szCs w:val="20"/>
              </w:rPr>
              <w:t>101</w:t>
            </w:r>
          </w:p>
        </w:tc>
        <w:tc>
          <w:tcPr>
            <w:tcW w:w="1088" w:type="dxa"/>
            <w:tcBorders>
              <w:top w:val="single" w:sz="4" w:space="0" w:color="000000"/>
              <w:left w:val="single" w:sz="4" w:space="0" w:color="000000"/>
              <w:bottom w:val="double" w:sz="6" w:space="0" w:color="000000"/>
              <w:right w:val="double" w:sz="6" w:space="0" w:color="000000"/>
            </w:tcBorders>
            <w:tcMar>
              <w:top w:w="29" w:type="dxa"/>
              <w:left w:w="115" w:type="dxa"/>
              <w:bottom w:w="29" w:type="dxa"/>
              <w:right w:w="115" w:type="dxa"/>
            </w:tcMar>
            <w:vAlign w:val="bottom"/>
          </w:tcPr>
          <w:p w:rsidR="001565C5" w:rsidRDefault="00E91650" w:rsidP="00412311">
            <w:pPr>
              <w:keepNext/>
              <w:keepLines/>
              <w:jc w:val="right"/>
              <w:rPr>
                <w:rFonts w:cs="Arial"/>
                <w:b/>
                <w:bCs/>
                <w:sz w:val="20"/>
                <w:szCs w:val="20"/>
              </w:rPr>
            </w:pPr>
            <w:r>
              <w:rPr>
                <w:rFonts w:cs="Arial"/>
                <w:b/>
                <w:bCs/>
                <w:sz w:val="20"/>
                <w:szCs w:val="20"/>
              </w:rPr>
              <w:t>21,3</w:t>
            </w:r>
            <w:r w:rsidR="001565C5">
              <w:rPr>
                <w:rFonts w:cs="Arial"/>
                <w:b/>
                <w:bCs/>
                <w:sz w:val="20"/>
                <w:szCs w:val="20"/>
              </w:rPr>
              <w:t>00</w:t>
            </w:r>
          </w:p>
        </w:tc>
      </w:tr>
      <w:tr w:rsidR="001565C5" w:rsidRPr="00854FC2" w:rsidTr="00EF0FF6">
        <w:trPr>
          <w:trHeight w:val="299"/>
          <w:jc w:val="center"/>
        </w:trPr>
        <w:tc>
          <w:tcPr>
            <w:tcW w:w="2566" w:type="dxa"/>
            <w:gridSpan w:val="2"/>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bottom"/>
          </w:tcPr>
          <w:p w:rsidR="001565C5" w:rsidRPr="00854FC2" w:rsidRDefault="001565C5" w:rsidP="00412311">
            <w:pPr>
              <w:keepNext/>
              <w:keepLines/>
              <w:rPr>
                <w:rFonts w:cs="Arial"/>
                <w:b/>
                <w:bCs/>
                <w:sz w:val="20"/>
                <w:szCs w:val="20"/>
              </w:rPr>
            </w:pPr>
            <w:r w:rsidRPr="00854FC2">
              <w:rPr>
                <w:rFonts w:cs="Arial"/>
                <w:b/>
                <w:bCs/>
                <w:sz w:val="20"/>
                <w:szCs w:val="20"/>
              </w:rPr>
              <w:t>Total</w:t>
            </w:r>
          </w:p>
        </w:tc>
        <w:tc>
          <w:tcPr>
            <w:tcW w:w="1350" w:type="dxa"/>
            <w:tcBorders>
              <w:top w:val="nil"/>
              <w:left w:val="nil"/>
              <w:bottom w:val="double" w:sz="6" w:space="0" w:color="000000"/>
              <w:right w:val="single" w:sz="4" w:space="0" w:color="auto"/>
            </w:tcBorders>
            <w:tcMar>
              <w:top w:w="29" w:type="dxa"/>
              <w:left w:w="115" w:type="dxa"/>
              <w:bottom w:w="29" w:type="dxa"/>
              <w:right w:w="115" w:type="dxa"/>
            </w:tcMar>
            <w:vAlign w:val="bottom"/>
          </w:tcPr>
          <w:p w:rsidR="001565C5" w:rsidRDefault="001565C5" w:rsidP="00BB078E">
            <w:pPr>
              <w:keepNext/>
              <w:keepLines/>
              <w:jc w:val="right"/>
              <w:rPr>
                <w:rFonts w:cs="Arial"/>
                <w:b/>
                <w:bCs/>
                <w:sz w:val="20"/>
                <w:szCs w:val="20"/>
              </w:rPr>
            </w:pPr>
            <w:r>
              <w:rPr>
                <w:rFonts w:cs="Arial"/>
                <w:b/>
                <w:bCs/>
                <w:sz w:val="20"/>
                <w:szCs w:val="20"/>
              </w:rPr>
              <w:t>3</w:t>
            </w:r>
            <w:r w:rsidR="00BB078E">
              <w:rPr>
                <w:rFonts w:cs="Arial"/>
                <w:b/>
                <w:bCs/>
                <w:sz w:val="20"/>
                <w:szCs w:val="20"/>
              </w:rPr>
              <w:t>24</w:t>
            </w:r>
            <w:r>
              <w:rPr>
                <w:rFonts w:cs="Arial"/>
                <w:b/>
                <w:bCs/>
                <w:sz w:val="20"/>
                <w:szCs w:val="20"/>
              </w:rPr>
              <w:t>,000</w:t>
            </w:r>
          </w:p>
        </w:tc>
        <w:tc>
          <w:tcPr>
            <w:tcW w:w="1391" w:type="dxa"/>
            <w:tcBorders>
              <w:top w:val="nil"/>
              <w:left w:val="nil"/>
              <w:bottom w:val="double" w:sz="6" w:space="0" w:color="000000"/>
              <w:right w:val="single" w:sz="4" w:space="0" w:color="auto"/>
            </w:tcBorders>
            <w:tcMar>
              <w:top w:w="29" w:type="dxa"/>
              <w:left w:w="115" w:type="dxa"/>
              <w:bottom w:w="29" w:type="dxa"/>
              <w:right w:w="115" w:type="dxa"/>
            </w:tcMar>
            <w:vAlign w:val="bottom"/>
          </w:tcPr>
          <w:p w:rsidR="001565C5" w:rsidRDefault="001565C5" w:rsidP="00BB078E">
            <w:pPr>
              <w:keepNext/>
              <w:keepLines/>
              <w:jc w:val="right"/>
              <w:rPr>
                <w:rFonts w:cs="Arial"/>
                <w:b/>
                <w:bCs/>
                <w:sz w:val="20"/>
                <w:szCs w:val="20"/>
              </w:rPr>
            </w:pPr>
            <w:r>
              <w:rPr>
                <w:rFonts w:cs="Arial"/>
                <w:b/>
                <w:bCs/>
                <w:sz w:val="20"/>
                <w:szCs w:val="20"/>
              </w:rPr>
              <w:t>2</w:t>
            </w:r>
            <w:r w:rsidR="00BB078E">
              <w:rPr>
                <w:rFonts w:cs="Arial"/>
                <w:b/>
                <w:bCs/>
                <w:sz w:val="20"/>
                <w:szCs w:val="20"/>
              </w:rPr>
              <w:t>49</w:t>
            </w:r>
            <w:r>
              <w:rPr>
                <w:rFonts w:cs="Arial"/>
                <w:b/>
                <w:bCs/>
                <w:sz w:val="20"/>
                <w:szCs w:val="20"/>
              </w:rPr>
              <w:t>,000</w:t>
            </w:r>
          </w:p>
        </w:tc>
        <w:tc>
          <w:tcPr>
            <w:tcW w:w="1432" w:type="dxa"/>
            <w:tcBorders>
              <w:top w:val="nil"/>
              <w:left w:val="nil"/>
              <w:bottom w:val="double" w:sz="6" w:space="0" w:color="000000"/>
              <w:right w:val="single" w:sz="4" w:space="0" w:color="auto"/>
            </w:tcBorders>
            <w:tcMar>
              <w:top w:w="29" w:type="dxa"/>
              <w:left w:w="115" w:type="dxa"/>
              <w:bottom w:w="29" w:type="dxa"/>
              <w:right w:w="115" w:type="dxa"/>
            </w:tcMar>
            <w:vAlign w:val="bottom"/>
          </w:tcPr>
          <w:p w:rsidR="001565C5" w:rsidRDefault="00345CFA" w:rsidP="00345CFA">
            <w:pPr>
              <w:keepNext/>
              <w:keepLines/>
              <w:jc w:val="right"/>
              <w:rPr>
                <w:rFonts w:cs="Arial"/>
                <w:b/>
                <w:bCs/>
                <w:sz w:val="20"/>
                <w:szCs w:val="20"/>
              </w:rPr>
            </w:pPr>
            <w:r>
              <w:rPr>
                <w:rFonts w:cs="Arial"/>
                <w:b/>
                <w:bCs/>
                <w:sz w:val="20"/>
                <w:szCs w:val="20"/>
              </w:rPr>
              <w:t>80,2</w:t>
            </w:r>
            <w:r w:rsidR="001565C5">
              <w:rPr>
                <w:rFonts w:cs="Arial"/>
                <w:b/>
                <w:bCs/>
                <w:sz w:val="20"/>
                <w:szCs w:val="20"/>
              </w:rPr>
              <w:t>00</w:t>
            </w:r>
          </w:p>
        </w:tc>
        <w:tc>
          <w:tcPr>
            <w:tcW w:w="1391" w:type="dxa"/>
            <w:tcBorders>
              <w:top w:val="nil"/>
              <w:left w:val="nil"/>
              <w:bottom w:val="double" w:sz="6" w:space="0" w:color="000000"/>
              <w:right w:val="single" w:sz="4" w:space="0" w:color="auto"/>
            </w:tcBorders>
            <w:tcMar>
              <w:top w:w="29" w:type="dxa"/>
              <w:left w:w="115" w:type="dxa"/>
              <w:bottom w:w="29" w:type="dxa"/>
              <w:right w:w="115" w:type="dxa"/>
            </w:tcMar>
            <w:vAlign w:val="bottom"/>
          </w:tcPr>
          <w:p w:rsidR="001565C5" w:rsidRDefault="001565C5" w:rsidP="00F361DD">
            <w:pPr>
              <w:keepNext/>
              <w:keepLines/>
              <w:jc w:val="right"/>
              <w:rPr>
                <w:rFonts w:cs="Arial"/>
                <w:b/>
                <w:bCs/>
                <w:sz w:val="20"/>
                <w:szCs w:val="20"/>
              </w:rPr>
            </w:pPr>
            <w:r>
              <w:rPr>
                <w:rFonts w:cs="Arial"/>
                <w:b/>
                <w:bCs/>
                <w:sz w:val="20"/>
                <w:szCs w:val="20"/>
              </w:rPr>
              <w:t>3,4</w:t>
            </w:r>
            <w:r w:rsidR="00F361DD">
              <w:rPr>
                <w:rFonts w:cs="Arial"/>
                <w:b/>
                <w:bCs/>
                <w:sz w:val="20"/>
                <w:szCs w:val="20"/>
              </w:rPr>
              <w:t>8</w:t>
            </w:r>
            <w:r>
              <w:rPr>
                <w:rFonts w:cs="Arial"/>
                <w:b/>
                <w:bCs/>
                <w:sz w:val="20"/>
                <w:szCs w:val="20"/>
              </w:rPr>
              <w:t>0</w:t>
            </w:r>
          </w:p>
        </w:tc>
        <w:tc>
          <w:tcPr>
            <w:tcW w:w="1088" w:type="dxa"/>
            <w:tcBorders>
              <w:top w:val="nil"/>
              <w:left w:val="nil"/>
              <w:bottom w:val="double" w:sz="6" w:space="0" w:color="000000"/>
              <w:right w:val="double" w:sz="6" w:space="0" w:color="000000"/>
            </w:tcBorders>
            <w:tcMar>
              <w:top w:w="29" w:type="dxa"/>
              <w:left w:w="115" w:type="dxa"/>
              <w:bottom w:w="29" w:type="dxa"/>
              <w:right w:w="115" w:type="dxa"/>
            </w:tcMar>
            <w:vAlign w:val="bottom"/>
          </w:tcPr>
          <w:p w:rsidR="001565C5" w:rsidRDefault="001565C5" w:rsidP="00E91650">
            <w:pPr>
              <w:keepNext/>
              <w:keepLines/>
              <w:jc w:val="right"/>
              <w:rPr>
                <w:rFonts w:cs="Arial"/>
                <w:b/>
                <w:bCs/>
                <w:sz w:val="20"/>
                <w:szCs w:val="20"/>
              </w:rPr>
            </w:pPr>
            <w:r>
              <w:rPr>
                <w:rFonts w:cs="Arial"/>
                <w:b/>
                <w:bCs/>
                <w:sz w:val="20"/>
                <w:szCs w:val="20"/>
              </w:rPr>
              <w:t>6</w:t>
            </w:r>
            <w:r w:rsidR="00E91650">
              <w:rPr>
                <w:rFonts w:cs="Arial"/>
                <w:b/>
                <w:bCs/>
                <w:sz w:val="20"/>
                <w:szCs w:val="20"/>
              </w:rPr>
              <w:t>57</w:t>
            </w:r>
            <w:r>
              <w:rPr>
                <w:rFonts w:cs="Arial"/>
                <w:b/>
                <w:bCs/>
                <w:sz w:val="20"/>
                <w:szCs w:val="20"/>
              </w:rPr>
              <w:t>,000</w:t>
            </w:r>
          </w:p>
        </w:tc>
      </w:tr>
    </w:tbl>
    <w:p w:rsidR="00D85665" w:rsidRPr="00854FC2" w:rsidRDefault="00FE527E">
      <w:pPr>
        <w:numPr>
          <w:ilvl w:val="12"/>
          <w:numId w:val="0"/>
        </w:numPr>
        <w:tabs>
          <w:tab w:val="left" w:pos="0"/>
          <w:tab w:val="left" w:pos="720"/>
        </w:tabs>
        <w:rPr>
          <w:rFonts w:cs="Arial"/>
          <w:b/>
          <w:bCs/>
          <w:szCs w:val="22"/>
        </w:rPr>
      </w:pPr>
      <w:r w:rsidRPr="00FE527E">
        <w:rPr>
          <w:rFonts w:cs="Arial"/>
          <w:bCs/>
          <w:szCs w:val="22"/>
        </w:rPr>
        <w:t>Note: values may not total due to</w:t>
      </w:r>
      <w:r>
        <w:rPr>
          <w:rFonts w:cs="Arial"/>
          <w:b/>
          <w:bCs/>
          <w:szCs w:val="22"/>
        </w:rPr>
        <w:t xml:space="preserve"> </w:t>
      </w:r>
      <w:r w:rsidRPr="00FE527E">
        <w:rPr>
          <w:rFonts w:cs="Arial"/>
          <w:bCs/>
          <w:szCs w:val="22"/>
        </w:rPr>
        <w:t>rounding.</w:t>
      </w:r>
    </w:p>
    <w:p w:rsidR="006420B8" w:rsidRPr="00854FC2" w:rsidRDefault="006420B8" w:rsidP="006420B8">
      <w:pPr>
        <w:pStyle w:val="Caption"/>
        <w:keepNext/>
        <w:keepLines/>
        <w:outlineLvl w:val="0"/>
      </w:pPr>
      <w:bookmarkStart w:id="9" w:name="_Ref244074430"/>
      <w:r w:rsidRPr="003B2390">
        <w:t xml:space="preserve">Exhibit </w:t>
      </w:r>
      <w:r w:rsidR="002348E6">
        <w:fldChar w:fldCharType="begin"/>
      </w:r>
      <w:r w:rsidR="002348E6">
        <w:instrText xml:space="preserve"> SEQ Exhibit \* ARABIC </w:instrText>
      </w:r>
      <w:r w:rsidR="002348E6">
        <w:fldChar w:fldCharType="separate"/>
      </w:r>
      <w:r w:rsidR="00F61EFD">
        <w:rPr>
          <w:noProof/>
        </w:rPr>
        <w:t>11</w:t>
      </w:r>
      <w:r w:rsidR="002348E6">
        <w:fldChar w:fldCharType="end"/>
      </w:r>
      <w:bookmarkEnd w:id="9"/>
    </w:p>
    <w:p w:rsidR="006420B8" w:rsidRPr="00854FC2" w:rsidRDefault="006420B8" w:rsidP="006420B8">
      <w:pPr>
        <w:keepNext/>
        <w:keepLines/>
        <w:jc w:val="center"/>
        <w:rPr>
          <w:b/>
          <w:bCs/>
        </w:rPr>
      </w:pPr>
      <w:r w:rsidRPr="00854FC2">
        <w:rPr>
          <w:b/>
          <w:bCs/>
        </w:rPr>
        <w:t>Number of Existing and New Facilities</w:t>
      </w:r>
    </w:p>
    <w:p w:rsidR="006420B8" w:rsidRPr="00854FC2" w:rsidRDefault="006420B8" w:rsidP="006420B8">
      <w:pPr>
        <w:keepNext/>
        <w:keepLines/>
        <w:jc w:val="center"/>
      </w:pPr>
      <w:r w:rsidRPr="00854FC2">
        <w:rPr>
          <w:b/>
          <w:bCs/>
        </w:rPr>
        <w:t>(</w:t>
      </w:r>
      <w:r>
        <w:rPr>
          <w:b/>
          <w:bCs/>
        </w:rPr>
        <w:t>ICR Period: 201</w:t>
      </w:r>
      <w:r w:rsidR="00F9399F">
        <w:rPr>
          <w:b/>
          <w:bCs/>
        </w:rPr>
        <w:t>4</w:t>
      </w:r>
      <w:r w:rsidR="00DA0C30">
        <w:rPr>
          <w:b/>
          <w:bCs/>
        </w:rPr>
        <w:t xml:space="preserve"> </w:t>
      </w:r>
      <w:r>
        <w:rPr>
          <w:b/>
          <w:bCs/>
        </w:rPr>
        <w:t>-</w:t>
      </w:r>
      <w:r w:rsidR="00DA0C30">
        <w:rPr>
          <w:b/>
          <w:bCs/>
        </w:rPr>
        <w:t xml:space="preserve"> </w:t>
      </w:r>
      <w:r>
        <w:rPr>
          <w:b/>
          <w:bCs/>
        </w:rPr>
        <w:t>201</w:t>
      </w:r>
      <w:r w:rsidR="00F9399F">
        <w:rPr>
          <w:b/>
          <w:bCs/>
        </w:rPr>
        <w:t>6</w:t>
      </w:r>
      <w:r w:rsidRPr="00854FC2">
        <w:rPr>
          <w:b/>
          <w:bCs/>
        </w:rPr>
        <w:t>)</w:t>
      </w:r>
    </w:p>
    <w:p w:rsidR="006420B8" w:rsidRDefault="006420B8" w:rsidP="006420B8"/>
    <w:tbl>
      <w:tblPr>
        <w:tblW w:w="9895" w:type="dxa"/>
        <w:tblInd w:w="-425" w:type="dxa"/>
        <w:tblLook w:val="0000"/>
      </w:tblPr>
      <w:tblGrid>
        <w:gridCol w:w="1008"/>
        <w:gridCol w:w="1567"/>
        <w:gridCol w:w="1440"/>
        <w:gridCol w:w="1560"/>
        <w:gridCol w:w="1800"/>
        <w:gridCol w:w="1320"/>
        <w:gridCol w:w="1200"/>
      </w:tblGrid>
      <w:tr w:rsidR="006420B8" w:rsidRPr="00A62391" w:rsidTr="00EF0FF6">
        <w:trPr>
          <w:trHeight w:val="770"/>
        </w:trPr>
        <w:tc>
          <w:tcPr>
            <w:tcW w:w="2575" w:type="dxa"/>
            <w:gridSpan w:val="2"/>
            <w:tcBorders>
              <w:top w:val="double" w:sz="4" w:space="0" w:color="auto"/>
              <w:left w:val="double" w:sz="4" w:space="0" w:color="auto"/>
              <w:bottom w:val="double" w:sz="4" w:space="0" w:color="auto"/>
              <w:right w:val="double" w:sz="4" w:space="0" w:color="auto"/>
            </w:tcBorders>
            <w:shd w:val="clear" w:color="auto" w:fill="FFFFFF"/>
            <w:tcMar>
              <w:top w:w="29" w:type="dxa"/>
              <w:left w:w="115" w:type="dxa"/>
              <w:bottom w:w="29" w:type="dxa"/>
              <w:right w:w="115" w:type="dxa"/>
            </w:tcMar>
            <w:vAlign w:val="center"/>
          </w:tcPr>
          <w:p w:rsidR="006420B8" w:rsidRPr="00A62391" w:rsidRDefault="006420B8" w:rsidP="000E27B4">
            <w:pPr>
              <w:jc w:val="center"/>
              <w:rPr>
                <w:rFonts w:cs="Arial"/>
                <w:b/>
                <w:bCs/>
                <w:sz w:val="20"/>
                <w:szCs w:val="20"/>
              </w:rPr>
            </w:pPr>
            <w:r w:rsidRPr="00A62391">
              <w:rPr>
                <w:rFonts w:cs="Arial"/>
                <w:b/>
                <w:bCs/>
                <w:sz w:val="20"/>
                <w:szCs w:val="20"/>
              </w:rPr>
              <w:t>Facility Type/ Year</w:t>
            </w:r>
          </w:p>
        </w:tc>
        <w:tc>
          <w:tcPr>
            <w:tcW w:w="1440" w:type="dxa"/>
            <w:tcBorders>
              <w:top w:val="double" w:sz="4" w:space="0" w:color="auto"/>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rsidR="006420B8" w:rsidRPr="00A62391" w:rsidRDefault="006420B8" w:rsidP="000E27B4">
            <w:pPr>
              <w:keepNext/>
              <w:keepLines/>
              <w:jc w:val="center"/>
              <w:rPr>
                <w:rFonts w:cs="Arial"/>
                <w:b/>
                <w:bCs/>
                <w:sz w:val="20"/>
                <w:szCs w:val="20"/>
              </w:rPr>
            </w:pPr>
            <w:r w:rsidRPr="00A62391">
              <w:rPr>
                <w:rFonts w:cs="Arial"/>
                <w:b/>
                <w:bCs/>
                <w:sz w:val="20"/>
                <w:szCs w:val="20"/>
              </w:rPr>
              <w:t>Category I (1,320-10,000 gallons)</w:t>
            </w:r>
          </w:p>
        </w:tc>
        <w:tc>
          <w:tcPr>
            <w:tcW w:w="1560" w:type="dxa"/>
            <w:tcBorders>
              <w:top w:val="double" w:sz="4" w:space="0" w:color="auto"/>
              <w:left w:val="nil"/>
              <w:bottom w:val="double" w:sz="4" w:space="0" w:color="auto"/>
              <w:right w:val="single" w:sz="4" w:space="0" w:color="auto"/>
            </w:tcBorders>
            <w:shd w:val="clear" w:color="auto" w:fill="FFFFFF"/>
            <w:tcMar>
              <w:top w:w="29" w:type="dxa"/>
              <w:left w:w="115" w:type="dxa"/>
              <w:bottom w:w="29" w:type="dxa"/>
              <w:right w:w="115" w:type="dxa"/>
            </w:tcMar>
            <w:vAlign w:val="center"/>
          </w:tcPr>
          <w:p w:rsidR="006420B8" w:rsidRPr="00A62391" w:rsidRDefault="006420B8" w:rsidP="000E27B4">
            <w:pPr>
              <w:keepNext/>
              <w:keepLines/>
              <w:jc w:val="center"/>
              <w:rPr>
                <w:rFonts w:cs="Arial"/>
                <w:b/>
                <w:bCs/>
                <w:sz w:val="20"/>
                <w:szCs w:val="20"/>
              </w:rPr>
            </w:pPr>
            <w:r w:rsidRPr="00A62391">
              <w:rPr>
                <w:rFonts w:cs="Arial"/>
                <w:b/>
                <w:bCs/>
                <w:sz w:val="20"/>
                <w:szCs w:val="20"/>
              </w:rPr>
              <w:t>Category II (10,001-42,000 gallons)</w:t>
            </w:r>
          </w:p>
        </w:tc>
        <w:tc>
          <w:tcPr>
            <w:tcW w:w="1800" w:type="dxa"/>
            <w:tcBorders>
              <w:top w:val="double" w:sz="4" w:space="0" w:color="auto"/>
              <w:left w:val="nil"/>
              <w:bottom w:val="double" w:sz="4" w:space="0" w:color="auto"/>
              <w:right w:val="single" w:sz="4" w:space="0" w:color="auto"/>
            </w:tcBorders>
            <w:shd w:val="clear" w:color="auto" w:fill="FFFFFF"/>
            <w:tcMar>
              <w:top w:w="29" w:type="dxa"/>
              <w:left w:w="115" w:type="dxa"/>
              <w:bottom w:w="29" w:type="dxa"/>
              <w:right w:w="115" w:type="dxa"/>
            </w:tcMar>
            <w:vAlign w:val="center"/>
          </w:tcPr>
          <w:p w:rsidR="006420B8" w:rsidRPr="00A62391" w:rsidRDefault="006420B8" w:rsidP="000E27B4">
            <w:pPr>
              <w:keepNext/>
              <w:keepLines/>
              <w:jc w:val="center"/>
              <w:rPr>
                <w:rFonts w:cs="Arial"/>
                <w:b/>
                <w:bCs/>
                <w:sz w:val="20"/>
                <w:szCs w:val="20"/>
              </w:rPr>
            </w:pPr>
            <w:r w:rsidRPr="00A62391">
              <w:rPr>
                <w:rFonts w:cs="Arial"/>
                <w:b/>
                <w:bCs/>
                <w:sz w:val="20"/>
                <w:szCs w:val="20"/>
              </w:rPr>
              <w:t>Category III (42,001 to 1 million gallons)</w:t>
            </w:r>
          </w:p>
        </w:tc>
        <w:tc>
          <w:tcPr>
            <w:tcW w:w="1320" w:type="dxa"/>
            <w:tcBorders>
              <w:top w:val="double" w:sz="4" w:space="0" w:color="auto"/>
              <w:left w:val="nil"/>
              <w:bottom w:val="double" w:sz="4" w:space="0" w:color="auto"/>
              <w:right w:val="single" w:sz="4" w:space="0" w:color="auto"/>
            </w:tcBorders>
            <w:shd w:val="clear" w:color="auto" w:fill="FFFFFF"/>
            <w:tcMar>
              <w:top w:w="29" w:type="dxa"/>
              <w:left w:w="115" w:type="dxa"/>
              <w:bottom w:w="29" w:type="dxa"/>
              <w:right w:w="115" w:type="dxa"/>
            </w:tcMar>
            <w:vAlign w:val="center"/>
          </w:tcPr>
          <w:p w:rsidR="006420B8" w:rsidRPr="00A62391" w:rsidRDefault="006420B8" w:rsidP="000E27B4">
            <w:pPr>
              <w:keepNext/>
              <w:keepLines/>
              <w:jc w:val="center"/>
              <w:rPr>
                <w:rFonts w:cs="Arial"/>
                <w:b/>
                <w:bCs/>
                <w:sz w:val="20"/>
                <w:szCs w:val="20"/>
              </w:rPr>
            </w:pPr>
            <w:r w:rsidRPr="00A62391">
              <w:rPr>
                <w:rFonts w:cs="Arial"/>
                <w:b/>
                <w:bCs/>
                <w:sz w:val="20"/>
                <w:szCs w:val="20"/>
              </w:rPr>
              <w:t>Category IV (&gt;1 million gallons)</w:t>
            </w:r>
          </w:p>
        </w:tc>
        <w:tc>
          <w:tcPr>
            <w:tcW w:w="1200" w:type="dxa"/>
            <w:tcBorders>
              <w:top w:val="double" w:sz="4" w:space="0" w:color="auto"/>
              <w:left w:val="nil"/>
              <w:bottom w:val="double" w:sz="4" w:space="0" w:color="auto"/>
              <w:right w:val="double" w:sz="4" w:space="0" w:color="auto"/>
            </w:tcBorders>
            <w:shd w:val="clear" w:color="auto" w:fill="FFFFFF"/>
            <w:tcMar>
              <w:top w:w="29" w:type="dxa"/>
              <w:left w:w="115" w:type="dxa"/>
              <w:bottom w:w="29" w:type="dxa"/>
              <w:right w:w="115" w:type="dxa"/>
            </w:tcMar>
            <w:vAlign w:val="center"/>
          </w:tcPr>
          <w:p w:rsidR="006420B8" w:rsidRPr="00A62391" w:rsidRDefault="006420B8" w:rsidP="000E27B4">
            <w:pPr>
              <w:keepNext/>
              <w:keepLines/>
              <w:jc w:val="center"/>
              <w:rPr>
                <w:rFonts w:cs="Arial"/>
                <w:b/>
                <w:bCs/>
                <w:sz w:val="20"/>
                <w:szCs w:val="20"/>
              </w:rPr>
            </w:pPr>
            <w:r w:rsidRPr="00A62391">
              <w:rPr>
                <w:rFonts w:cs="Arial"/>
                <w:b/>
                <w:bCs/>
                <w:sz w:val="20"/>
                <w:szCs w:val="20"/>
              </w:rPr>
              <w:t>Total</w:t>
            </w:r>
          </w:p>
        </w:tc>
      </w:tr>
      <w:tr w:rsidR="003B2303" w:rsidRPr="00A62391" w:rsidTr="00EF0FF6">
        <w:trPr>
          <w:trHeight w:val="257"/>
        </w:trPr>
        <w:tc>
          <w:tcPr>
            <w:tcW w:w="1008"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rsidR="006420B8" w:rsidRPr="00A62391" w:rsidRDefault="006420B8" w:rsidP="000E27B4">
            <w:pPr>
              <w:rPr>
                <w:rFonts w:cs="Arial"/>
                <w:b/>
                <w:sz w:val="20"/>
                <w:szCs w:val="20"/>
              </w:rPr>
            </w:pPr>
            <w:r w:rsidRPr="00A62391">
              <w:rPr>
                <w:rFonts w:cs="Arial"/>
                <w:b/>
                <w:sz w:val="20"/>
                <w:szCs w:val="20"/>
              </w:rPr>
              <w:t>Existing</w:t>
            </w:r>
          </w:p>
        </w:tc>
        <w:tc>
          <w:tcPr>
            <w:tcW w:w="1567"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1 - 201</w:t>
            </w:r>
            <w:r w:rsidR="00DB0AAD">
              <w:rPr>
                <w:rFonts w:cs="Arial"/>
                <w:sz w:val="20"/>
                <w:szCs w:val="20"/>
              </w:rPr>
              <w:t>4</w:t>
            </w:r>
          </w:p>
        </w:tc>
        <w:tc>
          <w:tcPr>
            <w:tcW w:w="1440" w:type="dxa"/>
            <w:tcBorders>
              <w:top w:val="doub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DF1223">
            <w:pPr>
              <w:jc w:val="right"/>
              <w:rPr>
                <w:rFonts w:cs="Arial"/>
                <w:sz w:val="20"/>
                <w:szCs w:val="20"/>
              </w:rPr>
            </w:pPr>
            <w:r w:rsidRPr="00A62391">
              <w:rPr>
                <w:rFonts w:cs="Arial"/>
                <w:sz w:val="20"/>
                <w:szCs w:val="20"/>
              </w:rPr>
              <w:t>3</w:t>
            </w:r>
            <w:r w:rsidR="009B58AA">
              <w:rPr>
                <w:rFonts w:cs="Arial"/>
                <w:sz w:val="20"/>
                <w:szCs w:val="20"/>
              </w:rPr>
              <w:t>1</w:t>
            </w:r>
            <w:r w:rsidR="00DF1223">
              <w:rPr>
                <w:rFonts w:cs="Arial"/>
                <w:sz w:val="20"/>
                <w:szCs w:val="20"/>
              </w:rPr>
              <w:t>8</w:t>
            </w:r>
            <w:r w:rsidRPr="00A62391">
              <w:rPr>
                <w:rFonts w:cs="Arial"/>
                <w:sz w:val="20"/>
                <w:szCs w:val="20"/>
              </w:rPr>
              <w:t>,</w:t>
            </w:r>
            <w:r w:rsidR="00E343FA">
              <w:rPr>
                <w:rFonts w:cs="Arial"/>
                <w:sz w:val="20"/>
                <w:szCs w:val="20"/>
              </w:rPr>
              <w:t>000</w:t>
            </w:r>
            <w:r w:rsidRPr="00A62391">
              <w:rPr>
                <w:rFonts w:cs="Arial"/>
                <w:sz w:val="20"/>
                <w:szCs w:val="20"/>
              </w:rPr>
              <w:t xml:space="preserve"> </w:t>
            </w:r>
          </w:p>
        </w:tc>
        <w:tc>
          <w:tcPr>
            <w:tcW w:w="156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AE0CF3">
            <w:pPr>
              <w:jc w:val="right"/>
              <w:rPr>
                <w:rFonts w:cs="Arial"/>
                <w:sz w:val="20"/>
                <w:szCs w:val="20"/>
              </w:rPr>
            </w:pPr>
            <w:r w:rsidRPr="00A62391">
              <w:rPr>
                <w:rFonts w:cs="Arial"/>
                <w:sz w:val="20"/>
                <w:szCs w:val="20"/>
              </w:rPr>
              <w:t>2</w:t>
            </w:r>
            <w:r w:rsidR="00AE0CF3">
              <w:rPr>
                <w:rFonts w:cs="Arial"/>
                <w:sz w:val="20"/>
                <w:szCs w:val="20"/>
              </w:rPr>
              <w:t>38</w:t>
            </w:r>
            <w:r w:rsidRPr="00A62391">
              <w:rPr>
                <w:rFonts w:cs="Arial"/>
                <w:sz w:val="20"/>
                <w:szCs w:val="20"/>
              </w:rPr>
              <w:t>,</w:t>
            </w:r>
            <w:r w:rsidR="009D57B4">
              <w:rPr>
                <w:rFonts w:cs="Arial"/>
                <w:sz w:val="20"/>
                <w:szCs w:val="20"/>
              </w:rPr>
              <w:t>000</w:t>
            </w:r>
          </w:p>
        </w:tc>
        <w:tc>
          <w:tcPr>
            <w:tcW w:w="180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8175EF" w:rsidRDefault="008175EF" w:rsidP="00EC6651">
            <w:pPr>
              <w:jc w:val="right"/>
              <w:rPr>
                <w:rFonts w:cs="Arial"/>
                <w:sz w:val="20"/>
                <w:szCs w:val="20"/>
              </w:rPr>
            </w:pPr>
            <w:r w:rsidRPr="008175EF">
              <w:rPr>
                <w:rFonts w:cs="Arial"/>
                <w:bCs/>
                <w:sz w:val="20"/>
                <w:szCs w:val="20"/>
              </w:rPr>
              <w:t>7</w:t>
            </w:r>
            <w:r w:rsidR="00EC6651">
              <w:rPr>
                <w:rFonts w:cs="Arial"/>
                <w:bCs/>
                <w:sz w:val="20"/>
                <w:szCs w:val="20"/>
              </w:rPr>
              <w:t>7</w:t>
            </w:r>
            <w:r w:rsidRPr="008175EF">
              <w:rPr>
                <w:rFonts w:cs="Arial"/>
                <w:bCs/>
                <w:sz w:val="20"/>
                <w:szCs w:val="20"/>
              </w:rPr>
              <w:t>,</w:t>
            </w:r>
            <w:r w:rsidR="00EC6651">
              <w:rPr>
                <w:rFonts w:cs="Arial"/>
                <w:bCs/>
                <w:sz w:val="20"/>
                <w:szCs w:val="20"/>
              </w:rPr>
              <w:t>0</w:t>
            </w:r>
            <w:r w:rsidRPr="008175EF">
              <w:rPr>
                <w:rFonts w:cs="Arial"/>
                <w:bCs/>
                <w:sz w:val="20"/>
                <w:szCs w:val="20"/>
              </w:rPr>
              <w:t>00</w:t>
            </w:r>
          </w:p>
        </w:tc>
        <w:tc>
          <w:tcPr>
            <w:tcW w:w="132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8175EF" w:rsidRDefault="006420B8" w:rsidP="00EC6651">
            <w:pPr>
              <w:jc w:val="right"/>
              <w:rPr>
                <w:rFonts w:cs="Arial"/>
                <w:sz w:val="20"/>
                <w:szCs w:val="20"/>
              </w:rPr>
            </w:pPr>
            <w:r w:rsidRPr="008175EF">
              <w:rPr>
                <w:rFonts w:cs="Arial"/>
                <w:sz w:val="20"/>
                <w:szCs w:val="20"/>
              </w:rPr>
              <w:t>3,</w:t>
            </w:r>
            <w:r w:rsidR="004B3245">
              <w:rPr>
                <w:rFonts w:cs="Arial"/>
                <w:sz w:val="20"/>
                <w:szCs w:val="20"/>
              </w:rPr>
              <w:t>3</w:t>
            </w:r>
            <w:r w:rsidR="00EC6651">
              <w:rPr>
                <w:rFonts w:cs="Arial"/>
                <w:sz w:val="20"/>
                <w:szCs w:val="20"/>
              </w:rPr>
              <w:t>8</w:t>
            </w:r>
            <w:r w:rsidR="008260B7" w:rsidRPr="008175EF">
              <w:rPr>
                <w:rFonts w:cs="Arial"/>
                <w:sz w:val="20"/>
                <w:szCs w:val="20"/>
              </w:rPr>
              <w:t>0</w:t>
            </w:r>
            <w:r w:rsidRPr="008175EF">
              <w:rPr>
                <w:rFonts w:cs="Arial"/>
                <w:sz w:val="20"/>
                <w:szCs w:val="20"/>
              </w:rPr>
              <w:t xml:space="preserve"> </w:t>
            </w:r>
          </w:p>
        </w:tc>
        <w:tc>
          <w:tcPr>
            <w:tcW w:w="1200" w:type="dxa"/>
            <w:tcBorders>
              <w:top w:val="double" w:sz="4" w:space="0" w:color="auto"/>
              <w:left w:val="nil"/>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FB3E91">
            <w:pPr>
              <w:jc w:val="right"/>
              <w:rPr>
                <w:rFonts w:cs="Arial"/>
                <w:b/>
                <w:bCs/>
                <w:sz w:val="20"/>
                <w:szCs w:val="20"/>
              </w:rPr>
            </w:pPr>
            <w:r w:rsidRPr="00A62391">
              <w:rPr>
                <w:rFonts w:cs="Arial"/>
                <w:b/>
                <w:bCs/>
                <w:sz w:val="20"/>
                <w:szCs w:val="20"/>
              </w:rPr>
              <w:t>6</w:t>
            </w:r>
            <w:r w:rsidR="00FB3E91">
              <w:rPr>
                <w:rFonts w:cs="Arial"/>
                <w:b/>
                <w:bCs/>
                <w:sz w:val="20"/>
                <w:szCs w:val="20"/>
              </w:rPr>
              <w:t>36</w:t>
            </w:r>
            <w:r w:rsidRPr="00A62391">
              <w:rPr>
                <w:rFonts w:cs="Arial"/>
                <w:b/>
                <w:bCs/>
                <w:sz w:val="20"/>
                <w:szCs w:val="20"/>
              </w:rPr>
              <w:t>,</w:t>
            </w:r>
            <w:r w:rsidR="008260B7">
              <w:rPr>
                <w:rFonts w:cs="Arial"/>
                <w:b/>
                <w:bCs/>
                <w:sz w:val="20"/>
                <w:szCs w:val="20"/>
              </w:rPr>
              <w:t>000</w:t>
            </w:r>
            <w:r w:rsidRPr="00A62391">
              <w:rPr>
                <w:rFonts w:cs="Arial"/>
                <w:b/>
                <w:bCs/>
                <w:sz w:val="20"/>
                <w:szCs w:val="20"/>
              </w:rPr>
              <w:t xml:space="preserve"> </w:t>
            </w:r>
          </w:p>
        </w:tc>
      </w:tr>
      <w:tr w:rsidR="003B2303" w:rsidRPr="00A62391" w:rsidTr="00EF0FF6">
        <w:trPr>
          <w:trHeight w:val="257"/>
        </w:trPr>
        <w:tc>
          <w:tcPr>
            <w:tcW w:w="1008" w:type="dxa"/>
            <w:vMerge/>
            <w:tcBorders>
              <w:left w:val="double" w:sz="4" w:space="0" w:color="auto"/>
              <w:right w:val="single" w:sz="4" w:space="0" w:color="auto"/>
            </w:tcBorders>
            <w:shd w:val="clear" w:color="auto" w:fill="FFFFFF"/>
            <w:tcMar>
              <w:top w:w="29" w:type="dxa"/>
              <w:left w:w="115" w:type="dxa"/>
              <w:bottom w:w="29" w:type="dxa"/>
              <w:right w:w="115" w:type="dxa"/>
            </w:tcMar>
          </w:tcPr>
          <w:p w:rsidR="006420B8" w:rsidRPr="00A62391" w:rsidRDefault="006420B8" w:rsidP="000E27B4">
            <w:pPr>
              <w:rPr>
                <w:rFonts w:cs="Arial"/>
                <w:b/>
                <w:sz w:val="20"/>
                <w:szCs w:val="20"/>
              </w:rPr>
            </w:pPr>
          </w:p>
        </w:tc>
        <w:tc>
          <w:tcPr>
            <w:tcW w:w="1567"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2 - 201</w:t>
            </w:r>
            <w:r w:rsidR="00DB0AAD">
              <w:rPr>
                <w:rFonts w:cs="Arial"/>
                <w:sz w:val="20"/>
                <w:szCs w:val="20"/>
              </w:rPr>
              <w:t>5</w:t>
            </w:r>
          </w:p>
        </w:tc>
        <w:tc>
          <w:tcPr>
            <w:tcW w:w="1440" w:type="dxa"/>
            <w:tcBorders>
              <w:top w:val="nil"/>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9B58AA">
            <w:pPr>
              <w:jc w:val="right"/>
              <w:rPr>
                <w:rFonts w:cs="Arial"/>
                <w:sz w:val="20"/>
                <w:szCs w:val="20"/>
              </w:rPr>
            </w:pPr>
            <w:r w:rsidRPr="00A62391">
              <w:rPr>
                <w:rFonts w:cs="Arial"/>
                <w:sz w:val="20"/>
                <w:szCs w:val="20"/>
              </w:rPr>
              <w:t>3</w:t>
            </w:r>
            <w:r w:rsidR="009B58AA">
              <w:rPr>
                <w:rFonts w:cs="Arial"/>
                <w:sz w:val="20"/>
                <w:szCs w:val="20"/>
              </w:rPr>
              <w:t>21</w:t>
            </w:r>
            <w:r w:rsidRPr="00A62391">
              <w:rPr>
                <w:rFonts w:cs="Arial"/>
                <w:sz w:val="20"/>
                <w:szCs w:val="20"/>
              </w:rPr>
              <w:t>,</w:t>
            </w:r>
            <w:r w:rsidR="009D57B4">
              <w:rPr>
                <w:rFonts w:cs="Arial"/>
                <w:sz w:val="20"/>
                <w:szCs w:val="20"/>
              </w:rPr>
              <w:t>000</w:t>
            </w:r>
            <w:r w:rsidRPr="00A62391">
              <w:rPr>
                <w:rFonts w:cs="Arial"/>
                <w:sz w:val="20"/>
                <w:szCs w:val="20"/>
              </w:rPr>
              <w:t xml:space="preserve"> </w:t>
            </w:r>
          </w:p>
        </w:tc>
        <w:tc>
          <w:tcPr>
            <w:tcW w:w="156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AE0CF3">
            <w:pPr>
              <w:jc w:val="right"/>
              <w:rPr>
                <w:rFonts w:cs="Arial"/>
                <w:sz w:val="20"/>
                <w:szCs w:val="20"/>
              </w:rPr>
            </w:pPr>
            <w:r w:rsidRPr="00A62391">
              <w:rPr>
                <w:rFonts w:cs="Arial"/>
                <w:sz w:val="20"/>
                <w:szCs w:val="20"/>
              </w:rPr>
              <w:t>2</w:t>
            </w:r>
            <w:r w:rsidR="00AE0CF3">
              <w:rPr>
                <w:rFonts w:cs="Arial"/>
                <w:sz w:val="20"/>
                <w:szCs w:val="20"/>
              </w:rPr>
              <w:t>43</w:t>
            </w:r>
            <w:r w:rsidRPr="00A62391">
              <w:rPr>
                <w:rFonts w:cs="Arial"/>
                <w:sz w:val="20"/>
                <w:szCs w:val="20"/>
              </w:rPr>
              <w:t>,</w:t>
            </w:r>
            <w:r w:rsidR="009D57B4">
              <w:rPr>
                <w:rFonts w:cs="Arial"/>
                <w:sz w:val="20"/>
                <w:szCs w:val="20"/>
              </w:rPr>
              <w:t>000</w:t>
            </w:r>
          </w:p>
        </w:tc>
        <w:tc>
          <w:tcPr>
            <w:tcW w:w="180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EC6651">
            <w:pPr>
              <w:jc w:val="right"/>
              <w:rPr>
                <w:rFonts w:cs="Arial"/>
                <w:sz w:val="20"/>
                <w:szCs w:val="20"/>
              </w:rPr>
            </w:pPr>
            <w:r w:rsidRPr="00A62391">
              <w:rPr>
                <w:rFonts w:cs="Arial"/>
                <w:sz w:val="20"/>
                <w:szCs w:val="20"/>
              </w:rPr>
              <w:t>7</w:t>
            </w:r>
            <w:r w:rsidR="00EC6651">
              <w:rPr>
                <w:rFonts w:cs="Arial"/>
                <w:sz w:val="20"/>
                <w:szCs w:val="20"/>
              </w:rPr>
              <w:t>8</w:t>
            </w:r>
            <w:r w:rsidRPr="00A62391">
              <w:rPr>
                <w:rFonts w:cs="Arial"/>
                <w:sz w:val="20"/>
                <w:szCs w:val="20"/>
              </w:rPr>
              <w:t>,</w:t>
            </w:r>
            <w:r w:rsidR="00EC6651">
              <w:rPr>
                <w:rFonts w:cs="Arial"/>
                <w:sz w:val="20"/>
                <w:szCs w:val="20"/>
              </w:rPr>
              <w:t>4</w:t>
            </w:r>
            <w:r w:rsidR="00C72E1F">
              <w:rPr>
                <w:rFonts w:cs="Arial"/>
                <w:sz w:val="20"/>
                <w:szCs w:val="20"/>
              </w:rPr>
              <w:t>00</w:t>
            </w:r>
          </w:p>
        </w:tc>
        <w:tc>
          <w:tcPr>
            <w:tcW w:w="132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EC6651">
            <w:pPr>
              <w:jc w:val="right"/>
              <w:rPr>
                <w:rFonts w:cs="Arial"/>
                <w:sz w:val="20"/>
                <w:szCs w:val="20"/>
              </w:rPr>
            </w:pPr>
            <w:r w:rsidRPr="00A62391">
              <w:rPr>
                <w:rFonts w:cs="Arial"/>
                <w:sz w:val="20"/>
                <w:szCs w:val="20"/>
              </w:rPr>
              <w:t>3,</w:t>
            </w:r>
            <w:r w:rsidR="00EC6651">
              <w:rPr>
                <w:rFonts w:cs="Arial"/>
                <w:sz w:val="20"/>
                <w:szCs w:val="20"/>
              </w:rPr>
              <w:t>41</w:t>
            </w:r>
            <w:r w:rsidR="008260B7">
              <w:rPr>
                <w:rFonts w:cs="Arial"/>
                <w:sz w:val="20"/>
                <w:szCs w:val="20"/>
              </w:rPr>
              <w:t>0</w:t>
            </w:r>
            <w:r w:rsidRPr="00A62391">
              <w:rPr>
                <w:rFonts w:cs="Arial"/>
                <w:sz w:val="20"/>
                <w:szCs w:val="20"/>
              </w:rPr>
              <w:t xml:space="preserve"> </w:t>
            </w:r>
          </w:p>
        </w:tc>
        <w:tc>
          <w:tcPr>
            <w:tcW w:w="1200" w:type="dxa"/>
            <w:tcBorders>
              <w:top w:val="nil"/>
              <w:left w:val="nil"/>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FB3E91">
            <w:pPr>
              <w:jc w:val="right"/>
              <w:rPr>
                <w:rFonts w:cs="Arial"/>
                <w:b/>
                <w:bCs/>
                <w:sz w:val="20"/>
                <w:szCs w:val="20"/>
              </w:rPr>
            </w:pPr>
            <w:r w:rsidRPr="00A62391">
              <w:rPr>
                <w:rFonts w:cs="Arial"/>
                <w:b/>
                <w:bCs/>
                <w:sz w:val="20"/>
                <w:szCs w:val="20"/>
              </w:rPr>
              <w:t>6</w:t>
            </w:r>
            <w:r w:rsidR="00FB3E91">
              <w:rPr>
                <w:rFonts w:cs="Arial"/>
                <w:b/>
                <w:bCs/>
                <w:sz w:val="20"/>
                <w:szCs w:val="20"/>
              </w:rPr>
              <w:t>45</w:t>
            </w:r>
            <w:r w:rsidRPr="00A62391">
              <w:rPr>
                <w:rFonts w:cs="Arial"/>
                <w:b/>
                <w:bCs/>
                <w:sz w:val="20"/>
                <w:szCs w:val="20"/>
              </w:rPr>
              <w:t>,</w:t>
            </w:r>
            <w:r w:rsidR="008260B7">
              <w:rPr>
                <w:rFonts w:cs="Arial"/>
                <w:b/>
                <w:bCs/>
                <w:sz w:val="20"/>
                <w:szCs w:val="20"/>
              </w:rPr>
              <w:t>000</w:t>
            </w:r>
            <w:r w:rsidRPr="00A62391">
              <w:rPr>
                <w:rFonts w:cs="Arial"/>
                <w:b/>
                <w:bCs/>
                <w:sz w:val="20"/>
                <w:szCs w:val="20"/>
              </w:rPr>
              <w:t xml:space="preserve"> </w:t>
            </w:r>
          </w:p>
        </w:tc>
      </w:tr>
      <w:tr w:rsidR="003B2303" w:rsidRPr="00A62391" w:rsidTr="00EF0FF6">
        <w:trPr>
          <w:trHeight w:val="257"/>
        </w:trPr>
        <w:tc>
          <w:tcPr>
            <w:tcW w:w="1008"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tcPr>
          <w:p w:rsidR="006420B8" w:rsidRPr="00A62391" w:rsidRDefault="006420B8" w:rsidP="000E27B4">
            <w:pPr>
              <w:rPr>
                <w:rFonts w:cs="Arial"/>
                <w:b/>
                <w:sz w:val="20"/>
                <w:szCs w:val="20"/>
              </w:rPr>
            </w:pPr>
          </w:p>
        </w:tc>
        <w:tc>
          <w:tcPr>
            <w:tcW w:w="1567"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3 - 201</w:t>
            </w:r>
            <w:r w:rsidR="00DB0AAD">
              <w:rPr>
                <w:rFonts w:cs="Arial"/>
                <w:sz w:val="20"/>
                <w:szCs w:val="20"/>
              </w:rPr>
              <w:t>6</w:t>
            </w:r>
          </w:p>
        </w:tc>
        <w:tc>
          <w:tcPr>
            <w:tcW w:w="1440" w:type="dxa"/>
            <w:tcBorders>
              <w:top w:val="nil"/>
              <w:left w:val="double" w:sz="4" w:space="0" w:color="auto"/>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9B58AA">
            <w:pPr>
              <w:jc w:val="right"/>
              <w:rPr>
                <w:rFonts w:cs="Arial"/>
                <w:sz w:val="20"/>
                <w:szCs w:val="20"/>
              </w:rPr>
            </w:pPr>
            <w:r w:rsidRPr="00A62391">
              <w:rPr>
                <w:rFonts w:cs="Arial"/>
                <w:sz w:val="20"/>
                <w:szCs w:val="20"/>
              </w:rPr>
              <w:t>3</w:t>
            </w:r>
            <w:r w:rsidR="009B58AA">
              <w:rPr>
                <w:rFonts w:cs="Arial"/>
                <w:sz w:val="20"/>
                <w:szCs w:val="20"/>
              </w:rPr>
              <w:t>24</w:t>
            </w:r>
            <w:r w:rsidRPr="00A62391">
              <w:rPr>
                <w:rFonts w:cs="Arial"/>
                <w:sz w:val="20"/>
                <w:szCs w:val="20"/>
              </w:rPr>
              <w:t>,</w:t>
            </w:r>
            <w:r w:rsidR="009D57B4">
              <w:rPr>
                <w:rFonts w:cs="Arial"/>
                <w:sz w:val="20"/>
                <w:szCs w:val="20"/>
              </w:rPr>
              <w:t>000</w:t>
            </w:r>
            <w:r w:rsidRPr="00A62391">
              <w:rPr>
                <w:rFonts w:cs="Arial"/>
                <w:sz w:val="20"/>
                <w:szCs w:val="20"/>
              </w:rPr>
              <w:t xml:space="preserve"> </w:t>
            </w:r>
          </w:p>
        </w:tc>
        <w:tc>
          <w:tcPr>
            <w:tcW w:w="156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AE0CF3">
            <w:pPr>
              <w:jc w:val="right"/>
              <w:rPr>
                <w:rFonts w:cs="Arial"/>
                <w:sz w:val="20"/>
                <w:szCs w:val="20"/>
              </w:rPr>
            </w:pPr>
            <w:r w:rsidRPr="00A62391">
              <w:rPr>
                <w:rFonts w:cs="Arial"/>
                <w:sz w:val="20"/>
                <w:szCs w:val="20"/>
              </w:rPr>
              <w:t>2</w:t>
            </w:r>
            <w:r w:rsidR="00AE0CF3">
              <w:rPr>
                <w:rFonts w:cs="Arial"/>
                <w:sz w:val="20"/>
                <w:szCs w:val="20"/>
              </w:rPr>
              <w:t>46</w:t>
            </w:r>
            <w:r w:rsidRPr="00A62391">
              <w:rPr>
                <w:rFonts w:cs="Arial"/>
                <w:sz w:val="20"/>
                <w:szCs w:val="20"/>
              </w:rPr>
              <w:t>,</w:t>
            </w:r>
            <w:r w:rsidR="009D57B4">
              <w:rPr>
                <w:rFonts w:cs="Arial"/>
                <w:sz w:val="20"/>
                <w:szCs w:val="20"/>
              </w:rPr>
              <w:t>000</w:t>
            </w:r>
          </w:p>
        </w:tc>
        <w:tc>
          <w:tcPr>
            <w:tcW w:w="180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EC6651">
            <w:pPr>
              <w:jc w:val="right"/>
              <w:rPr>
                <w:rFonts w:cs="Arial"/>
                <w:sz w:val="20"/>
                <w:szCs w:val="20"/>
              </w:rPr>
            </w:pPr>
            <w:r w:rsidRPr="00A62391">
              <w:rPr>
                <w:rFonts w:cs="Arial"/>
                <w:sz w:val="20"/>
                <w:szCs w:val="20"/>
              </w:rPr>
              <w:t>7</w:t>
            </w:r>
            <w:r w:rsidR="00EC6651">
              <w:rPr>
                <w:rFonts w:cs="Arial"/>
                <w:sz w:val="20"/>
                <w:szCs w:val="20"/>
              </w:rPr>
              <w:t>9</w:t>
            </w:r>
            <w:r w:rsidRPr="00A62391">
              <w:rPr>
                <w:rFonts w:cs="Arial"/>
                <w:sz w:val="20"/>
                <w:szCs w:val="20"/>
              </w:rPr>
              <w:t>,</w:t>
            </w:r>
            <w:r w:rsidR="0036047F">
              <w:rPr>
                <w:rFonts w:cs="Arial"/>
                <w:sz w:val="20"/>
                <w:szCs w:val="20"/>
              </w:rPr>
              <w:t>4</w:t>
            </w:r>
            <w:r w:rsidR="00C72E1F">
              <w:rPr>
                <w:rFonts w:cs="Arial"/>
                <w:sz w:val="20"/>
                <w:szCs w:val="20"/>
              </w:rPr>
              <w:t>00</w:t>
            </w:r>
            <w:r w:rsidRPr="00A62391">
              <w:rPr>
                <w:rFonts w:cs="Arial"/>
                <w:sz w:val="20"/>
                <w:szCs w:val="20"/>
              </w:rPr>
              <w:t xml:space="preserve"> </w:t>
            </w:r>
          </w:p>
        </w:tc>
        <w:tc>
          <w:tcPr>
            <w:tcW w:w="132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EC6651">
            <w:pPr>
              <w:jc w:val="right"/>
              <w:rPr>
                <w:rFonts w:cs="Arial"/>
                <w:sz w:val="20"/>
                <w:szCs w:val="20"/>
              </w:rPr>
            </w:pPr>
            <w:r w:rsidRPr="00A62391">
              <w:rPr>
                <w:rFonts w:cs="Arial"/>
                <w:sz w:val="20"/>
                <w:szCs w:val="20"/>
              </w:rPr>
              <w:t>3,</w:t>
            </w:r>
            <w:r w:rsidR="00EC6651">
              <w:rPr>
                <w:rFonts w:cs="Arial"/>
                <w:sz w:val="20"/>
                <w:szCs w:val="20"/>
              </w:rPr>
              <w:t>43</w:t>
            </w:r>
            <w:r w:rsidR="008260B7">
              <w:rPr>
                <w:rFonts w:cs="Arial"/>
                <w:sz w:val="20"/>
                <w:szCs w:val="20"/>
              </w:rPr>
              <w:t>0</w:t>
            </w:r>
            <w:r w:rsidRPr="00A62391">
              <w:rPr>
                <w:rFonts w:cs="Arial"/>
                <w:sz w:val="20"/>
                <w:szCs w:val="20"/>
              </w:rPr>
              <w:t xml:space="preserve"> </w:t>
            </w:r>
          </w:p>
        </w:tc>
        <w:tc>
          <w:tcPr>
            <w:tcW w:w="1200" w:type="dxa"/>
            <w:tcBorders>
              <w:top w:val="nil"/>
              <w:left w:val="nil"/>
              <w:bottom w:val="doub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FB3E91">
            <w:pPr>
              <w:jc w:val="right"/>
              <w:rPr>
                <w:rFonts w:cs="Arial"/>
                <w:b/>
                <w:bCs/>
                <w:sz w:val="20"/>
                <w:szCs w:val="20"/>
              </w:rPr>
            </w:pPr>
            <w:r w:rsidRPr="00A62391">
              <w:rPr>
                <w:rFonts w:cs="Arial"/>
                <w:b/>
                <w:bCs/>
                <w:sz w:val="20"/>
                <w:szCs w:val="20"/>
              </w:rPr>
              <w:t>6</w:t>
            </w:r>
            <w:r w:rsidR="00FB3E91">
              <w:rPr>
                <w:rFonts w:cs="Arial"/>
                <w:b/>
                <w:bCs/>
                <w:sz w:val="20"/>
                <w:szCs w:val="20"/>
              </w:rPr>
              <w:t>53</w:t>
            </w:r>
            <w:r w:rsidRPr="00A62391">
              <w:rPr>
                <w:rFonts w:cs="Arial"/>
                <w:b/>
                <w:bCs/>
                <w:sz w:val="20"/>
                <w:szCs w:val="20"/>
              </w:rPr>
              <w:t>,</w:t>
            </w:r>
            <w:r w:rsidR="008260B7">
              <w:rPr>
                <w:rFonts w:cs="Arial"/>
                <w:b/>
                <w:bCs/>
                <w:sz w:val="20"/>
                <w:szCs w:val="20"/>
              </w:rPr>
              <w:t>000</w:t>
            </w:r>
            <w:r w:rsidRPr="00A62391">
              <w:rPr>
                <w:rFonts w:cs="Arial"/>
                <w:b/>
                <w:bCs/>
                <w:sz w:val="20"/>
                <w:szCs w:val="20"/>
              </w:rPr>
              <w:t xml:space="preserve"> </w:t>
            </w:r>
          </w:p>
        </w:tc>
      </w:tr>
      <w:tr w:rsidR="003B2303" w:rsidRPr="00A62391" w:rsidTr="00EF0FF6">
        <w:trPr>
          <w:trHeight w:val="257"/>
        </w:trPr>
        <w:tc>
          <w:tcPr>
            <w:tcW w:w="1008"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rsidR="006420B8" w:rsidRPr="00A62391" w:rsidRDefault="006420B8" w:rsidP="000E27B4">
            <w:pPr>
              <w:rPr>
                <w:rFonts w:cs="Arial"/>
                <w:b/>
                <w:sz w:val="20"/>
                <w:szCs w:val="20"/>
              </w:rPr>
            </w:pPr>
            <w:r w:rsidRPr="00A62391">
              <w:rPr>
                <w:rFonts w:cs="Arial"/>
                <w:b/>
                <w:sz w:val="20"/>
                <w:szCs w:val="20"/>
              </w:rPr>
              <w:t>New</w:t>
            </w:r>
          </w:p>
        </w:tc>
        <w:tc>
          <w:tcPr>
            <w:tcW w:w="1567"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1 - 201</w:t>
            </w:r>
            <w:r w:rsidR="00DB0AAD">
              <w:rPr>
                <w:rFonts w:cs="Arial"/>
                <w:sz w:val="20"/>
                <w:szCs w:val="20"/>
              </w:rPr>
              <w:t>4</w:t>
            </w:r>
          </w:p>
        </w:tc>
        <w:tc>
          <w:tcPr>
            <w:tcW w:w="1440" w:type="dxa"/>
            <w:tcBorders>
              <w:top w:val="doub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9B58AA" w:rsidP="000E27B4">
            <w:pPr>
              <w:jc w:val="right"/>
              <w:rPr>
                <w:rFonts w:cs="Arial"/>
                <w:sz w:val="20"/>
                <w:szCs w:val="20"/>
              </w:rPr>
            </w:pPr>
            <w:r>
              <w:rPr>
                <w:rFonts w:cs="Arial"/>
                <w:sz w:val="20"/>
                <w:szCs w:val="20"/>
              </w:rPr>
              <w:t>7,28</w:t>
            </w:r>
            <w:r w:rsidR="00A967F7">
              <w:rPr>
                <w:rFonts w:cs="Arial"/>
                <w:sz w:val="20"/>
                <w:szCs w:val="20"/>
              </w:rPr>
              <w:t>0</w:t>
            </w:r>
            <w:r w:rsidR="006420B8" w:rsidRPr="00A62391">
              <w:rPr>
                <w:rFonts w:cs="Arial"/>
                <w:sz w:val="20"/>
                <w:szCs w:val="20"/>
              </w:rPr>
              <w:t xml:space="preserve"> </w:t>
            </w:r>
          </w:p>
        </w:tc>
        <w:tc>
          <w:tcPr>
            <w:tcW w:w="156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AE0CF3" w:rsidP="00AE0CF3">
            <w:pPr>
              <w:jc w:val="right"/>
              <w:rPr>
                <w:rFonts w:cs="Arial"/>
                <w:sz w:val="20"/>
                <w:szCs w:val="20"/>
              </w:rPr>
            </w:pPr>
            <w:r>
              <w:rPr>
                <w:rFonts w:cs="Arial"/>
                <w:sz w:val="20"/>
                <w:szCs w:val="20"/>
              </w:rPr>
              <w:t>10,70</w:t>
            </w:r>
            <w:r w:rsidR="00A967F7">
              <w:rPr>
                <w:rFonts w:cs="Arial"/>
                <w:sz w:val="20"/>
                <w:szCs w:val="20"/>
              </w:rPr>
              <w:t>0</w:t>
            </w:r>
            <w:r w:rsidR="006420B8" w:rsidRPr="00A62391">
              <w:rPr>
                <w:rFonts w:cs="Arial"/>
                <w:sz w:val="20"/>
                <w:szCs w:val="20"/>
              </w:rPr>
              <w:t xml:space="preserve"> </w:t>
            </w:r>
          </w:p>
        </w:tc>
        <w:tc>
          <w:tcPr>
            <w:tcW w:w="180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EC6651">
            <w:pPr>
              <w:jc w:val="right"/>
              <w:rPr>
                <w:rFonts w:cs="Arial"/>
                <w:sz w:val="20"/>
                <w:szCs w:val="20"/>
              </w:rPr>
            </w:pPr>
            <w:r>
              <w:rPr>
                <w:rFonts w:cs="Arial"/>
                <w:sz w:val="20"/>
                <w:szCs w:val="20"/>
              </w:rPr>
              <w:t>3,24</w:t>
            </w:r>
            <w:r w:rsidR="00A967F7">
              <w:rPr>
                <w:rFonts w:cs="Arial"/>
                <w:sz w:val="20"/>
                <w:szCs w:val="20"/>
              </w:rPr>
              <w:t>0</w:t>
            </w:r>
            <w:r w:rsidR="006420B8" w:rsidRPr="00A62391">
              <w:rPr>
                <w:rFonts w:cs="Arial"/>
                <w:sz w:val="20"/>
                <w:szCs w:val="20"/>
              </w:rPr>
              <w:t xml:space="preserve"> </w:t>
            </w:r>
          </w:p>
        </w:tc>
        <w:tc>
          <w:tcPr>
            <w:tcW w:w="132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0E27B4">
            <w:pPr>
              <w:jc w:val="right"/>
              <w:rPr>
                <w:rFonts w:cs="Arial"/>
                <w:sz w:val="20"/>
                <w:szCs w:val="20"/>
              </w:rPr>
            </w:pPr>
            <w:r>
              <w:rPr>
                <w:rFonts w:cs="Arial"/>
                <w:sz w:val="20"/>
                <w:szCs w:val="20"/>
              </w:rPr>
              <w:t>102</w:t>
            </w:r>
            <w:r w:rsidR="006420B8" w:rsidRPr="00A62391">
              <w:rPr>
                <w:rFonts w:cs="Arial"/>
                <w:sz w:val="20"/>
                <w:szCs w:val="20"/>
              </w:rPr>
              <w:t xml:space="preserve"> </w:t>
            </w:r>
          </w:p>
        </w:tc>
        <w:tc>
          <w:tcPr>
            <w:tcW w:w="1200" w:type="dxa"/>
            <w:tcBorders>
              <w:top w:val="double" w:sz="4" w:space="0" w:color="auto"/>
              <w:left w:val="nil"/>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FB3E91" w:rsidP="000E27B4">
            <w:pPr>
              <w:jc w:val="right"/>
              <w:rPr>
                <w:rFonts w:cs="Arial"/>
                <w:b/>
                <w:bCs/>
                <w:sz w:val="20"/>
                <w:szCs w:val="20"/>
              </w:rPr>
            </w:pPr>
            <w:r>
              <w:rPr>
                <w:rFonts w:cs="Arial"/>
                <w:b/>
                <w:bCs/>
                <w:sz w:val="20"/>
                <w:szCs w:val="20"/>
              </w:rPr>
              <w:t>21,3</w:t>
            </w:r>
            <w:r w:rsidR="00BD7E2B">
              <w:rPr>
                <w:rFonts w:cs="Arial"/>
                <w:b/>
                <w:bCs/>
                <w:sz w:val="20"/>
                <w:szCs w:val="20"/>
              </w:rPr>
              <w:t>00</w:t>
            </w:r>
            <w:r w:rsidR="006420B8" w:rsidRPr="00A62391">
              <w:rPr>
                <w:rFonts w:cs="Arial"/>
                <w:b/>
                <w:bCs/>
                <w:sz w:val="20"/>
                <w:szCs w:val="20"/>
              </w:rPr>
              <w:t xml:space="preserve"> </w:t>
            </w:r>
          </w:p>
        </w:tc>
      </w:tr>
      <w:tr w:rsidR="003B2303" w:rsidRPr="00A62391" w:rsidTr="00EF0FF6">
        <w:trPr>
          <w:trHeight w:val="257"/>
        </w:trPr>
        <w:tc>
          <w:tcPr>
            <w:tcW w:w="1008" w:type="dxa"/>
            <w:vMerge/>
            <w:tcBorders>
              <w:left w:val="double" w:sz="4" w:space="0" w:color="auto"/>
              <w:right w:val="single" w:sz="4" w:space="0" w:color="auto"/>
            </w:tcBorders>
            <w:shd w:val="clear" w:color="auto" w:fill="FFFFFF"/>
            <w:tcMar>
              <w:top w:w="29" w:type="dxa"/>
              <w:left w:w="115" w:type="dxa"/>
              <w:bottom w:w="29" w:type="dxa"/>
              <w:right w:w="115" w:type="dxa"/>
            </w:tcMar>
          </w:tcPr>
          <w:p w:rsidR="006420B8" w:rsidRPr="00A62391" w:rsidRDefault="006420B8" w:rsidP="000E27B4">
            <w:pPr>
              <w:rPr>
                <w:rFonts w:cs="Arial"/>
                <w:b/>
                <w:sz w:val="20"/>
                <w:szCs w:val="20"/>
              </w:rPr>
            </w:pPr>
          </w:p>
        </w:tc>
        <w:tc>
          <w:tcPr>
            <w:tcW w:w="1567"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2 - 201</w:t>
            </w:r>
            <w:r w:rsidR="00DB0AAD">
              <w:rPr>
                <w:rFonts w:cs="Arial"/>
                <w:sz w:val="20"/>
                <w:szCs w:val="20"/>
              </w:rPr>
              <w:t>5</w:t>
            </w:r>
          </w:p>
        </w:tc>
        <w:tc>
          <w:tcPr>
            <w:tcW w:w="1440" w:type="dxa"/>
            <w:tcBorders>
              <w:top w:val="nil"/>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9B58AA" w:rsidP="000E27B4">
            <w:pPr>
              <w:jc w:val="right"/>
              <w:rPr>
                <w:rFonts w:cs="Arial"/>
                <w:sz w:val="20"/>
                <w:szCs w:val="20"/>
              </w:rPr>
            </w:pPr>
            <w:r>
              <w:rPr>
                <w:rFonts w:cs="Arial"/>
                <w:sz w:val="20"/>
                <w:szCs w:val="20"/>
              </w:rPr>
              <w:t>7,84</w:t>
            </w:r>
            <w:r w:rsidR="00A967F7">
              <w:rPr>
                <w:rFonts w:cs="Arial"/>
                <w:sz w:val="20"/>
                <w:szCs w:val="20"/>
              </w:rPr>
              <w:t>0</w:t>
            </w:r>
            <w:r w:rsidR="006420B8" w:rsidRPr="00A62391">
              <w:rPr>
                <w:rFonts w:cs="Arial"/>
                <w:sz w:val="20"/>
                <w:szCs w:val="20"/>
              </w:rPr>
              <w:t xml:space="preserve"> </w:t>
            </w:r>
          </w:p>
        </w:tc>
        <w:tc>
          <w:tcPr>
            <w:tcW w:w="156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AE0CF3" w:rsidP="000E27B4">
            <w:pPr>
              <w:jc w:val="right"/>
              <w:rPr>
                <w:rFonts w:cs="Arial"/>
                <w:sz w:val="20"/>
                <w:szCs w:val="20"/>
              </w:rPr>
            </w:pPr>
            <w:r>
              <w:rPr>
                <w:rFonts w:cs="Arial"/>
                <w:sz w:val="20"/>
                <w:szCs w:val="20"/>
              </w:rPr>
              <w:t>12,8</w:t>
            </w:r>
            <w:r w:rsidR="006420B8" w:rsidRPr="00A62391">
              <w:rPr>
                <w:rFonts w:cs="Arial"/>
                <w:sz w:val="20"/>
                <w:szCs w:val="20"/>
              </w:rPr>
              <w:t>0</w:t>
            </w:r>
            <w:r w:rsidR="00A967F7">
              <w:rPr>
                <w:rFonts w:cs="Arial"/>
                <w:sz w:val="20"/>
                <w:szCs w:val="20"/>
              </w:rPr>
              <w:t>0</w:t>
            </w:r>
            <w:r w:rsidR="006420B8" w:rsidRPr="00A62391">
              <w:rPr>
                <w:rFonts w:cs="Arial"/>
                <w:sz w:val="20"/>
                <w:szCs w:val="20"/>
              </w:rPr>
              <w:t xml:space="preserve"> </w:t>
            </w:r>
          </w:p>
        </w:tc>
        <w:tc>
          <w:tcPr>
            <w:tcW w:w="180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EC6651">
            <w:pPr>
              <w:jc w:val="right"/>
              <w:rPr>
                <w:rFonts w:cs="Arial"/>
                <w:sz w:val="20"/>
                <w:szCs w:val="20"/>
              </w:rPr>
            </w:pPr>
            <w:r>
              <w:rPr>
                <w:rFonts w:cs="Arial"/>
                <w:sz w:val="20"/>
                <w:szCs w:val="20"/>
              </w:rPr>
              <w:t>3,83</w:t>
            </w:r>
            <w:r w:rsidR="00A967F7">
              <w:rPr>
                <w:rFonts w:cs="Arial"/>
                <w:sz w:val="20"/>
                <w:szCs w:val="20"/>
              </w:rPr>
              <w:t>0</w:t>
            </w:r>
            <w:r w:rsidR="006420B8" w:rsidRPr="00A62391">
              <w:rPr>
                <w:rFonts w:cs="Arial"/>
                <w:sz w:val="20"/>
                <w:szCs w:val="20"/>
              </w:rPr>
              <w:t xml:space="preserve"> </w:t>
            </w:r>
          </w:p>
        </w:tc>
        <w:tc>
          <w:tcPr>
            <w:tcW w:w="132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0E27B4">
            <w:pPr>
              <w:jc w:val="right"/>
              <w:rPr>
                <w:rFonts w:cs="Arial"/>
                <w:sz w:val="20"/>
                <w:szCs w:val="20"/>
              </w:rPr>
            </w:pPr>
            <w:r>
              <w:rPr>
                <w:rFonts w:cs="Arial"/>
                <w:sz w:val="20"/>
                <w:szCs w:val="20"/>
              </w:rPr>
              <w:t>110</w:t>
            </w:r>
            <w:r w:rsidR="006420B8" w:rsidRPr="00A62391">
              <w:rPr>
                <w:rFonts w:cs="Arial"/>
                <w:sz w:val="20"/>
                <w:szCs w:val="20"/>
              </w:rPr>
              <w:t xml:space="preserve"> </w:t>
            </w:r>
          </w:p>
        </w:tc>
        <w:tc>
          <w:tcPr>
            <w:tcW w:w="1200" w:type="dxa"/>
            <w:tcBorders>
              <w:top w:val="nil"/>
              <w:left w:val="nil"/>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FB3E91" w:rsidP="000E27B4">
            <w:pPr>
              <w:jc w:val="right"/>
              <w:rPr>
                <w:rFonts w:cs="Arial"/>
                <w:b/>
                <w:bCs/>
                <w:sz w:val="20"/>
                <w:szCs w:val="20"/>
              </w:rPr>
            </w:pPr>
            <w:r>
              <w:rPr>
                <w:rFonts w:cs="Arial"/>
                <w:b/>
                <w:bCs/>
                <w:sz w:val="20"/>
                <w:szCs w:val="20"/>
              </w:rPr>
              <w:t>24,6</w:t>
            </w:r>
            <w:r w:rsidR="00BD7E2B">
              <w:rPr>
                <w:rFonts w:cs="Arial"/>
                <w:b/>
                <w:bCs/>
                <w:sz w:val="20"/>
                <w:szCs w:val="20"/>
              </w:rPr>
              <w:t>00</w:t>
            </w:r>
            <w:r w:rsidR="006420B8" w:rsidRPr="00A62391">
              <w:rPr>
                <w:rFonts w:cs="Arial"/>
                <w:b/>
                <w:bCs/>
                <w:sz w:val="20"/>
                <w:szCs w:val="20"/>
              </w:rPr>
              <w:t xml:space="preserve"> </w:t>
            </w:r>
          </w:p>
        </w:tc>
      </w:tr>
      <w:tr w:rsidR="003B2303" w:rsidRPr="00A62391" w:rsidTr="00EF0FF6">
        <w:trPr>
          <w:trHeight w:val="257"/>
        </w:trPr>
        <w:tc>
          <w:tcPr>
            <w:tcW w:w="1008"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tcPr>
          <w:p w:rsidR="006420B8" w:rsidRPr="00A62391" w:rsidRDefault="006420B8" w:rsidP="000E27B4">
            <w:pPr>
              <w:rPr>
                <w:rFonts w:cs="Arial"/>
                <w:b/>
                <w:sz w:val="20"/>
                <w:szCs w:val="20"/>
              </w:rPr>
            </w:pPr>
          </w:p>
        </w:tc>
        <w:tc>
          <w:tcPr>
            <w:tcW w:w="1567"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3 - 201</w:t>
            </w:r>
            <w:r w:rsidR="00DB0AAD">
              <w:rPr>
                <w:rFonts w:cs="Arial"/>
                <w:sz w:val="20"/>
                <w:szCs w:val="20"/>
              </w:rPr>
              <w:t>6</w:t>
            </w:r>
          </w:p>
        </w:tc>
        <w:tc>
          <w:tcPr>
            <w:tcW w:w="1440" w:type="dxa"/>
            <w:tcBorders>
              <w:top w:val="nil"/>
              <w:left w:val="double" w:sz="4" w:space="0" w:color="auto"/>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9B58AA" w:rsidP="009B58AA">
            <w:pPr>
              <w:jc w:val="right"/>
              <w:rPr>
                <w:rFonts w:cs="Arial"/>
                <w:sz w:val="20"/>
                <w:szCs w:val="20"/>
              </w:rPr>
            </w:pPr>
            <w:r>
              <w:rPr>
                <w:rFonts w:cs="Arial"/>
                <w:sz w:val="20"/>
                <w:szCs w:val="20"/>
              </w:rPr>
              <w:t>8,680</w:t>
            </w:r>
            <w:r w:rsidR="006420B8" w:rsidRPr="00A62391">
              <w:rPr>
                <w:rFonts w:cs="Arial"/>
                <w:sz w:val="20"/>
                <w:szCs w:val="20"/>
              </w:rPr>
              <w:t xml:space="preserve"> </w:t>
            </w:r>
          </w:p>
        </w:tc>
        <w:tc>
          <w:tcPr>
            <w:tcW w:w="156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AE0CF3" w:rsidP="00AE0CF3">
            <w:pPr>
              <w:jc w:val="right"/>
              <w:rPr>
                <w:rFonts w:cs="Arial"/>
                <w:sz w:val="20"/>
                <w:szCs w:val="20"/>
              </w:rPr>
            </w:pPr>
            <w:r>
              <w:rPr>
                <w:rFonts w:cs="Arial"/>
                <w:sz w:val="20"/>
                <w:szCs w:val="20"/>
              </w:rPr>
              <w:t>16,40</w:t>
            </w:r>
            <w:r w:rsidR="00A967F7">
              <w:rPr>
                <w:rFonts w:cs="Arial"/>
                <w:sz w:val="20"/>
                <w:szCs w:val="20"/>
              </w:rPr>
              <w:t>0</w:t>
            </w:r>
            <w:r w:rsidR="006420B8" w:rsidRPr="00A62391">
              <w:rPr>
                <w:rFonts w:cs="Arial"/>
                <w:sz w:val="20"/>
                <w:szCs w:val="20"/>
              </w:rPr>
              <w:t xml:space="preserve"> </w:t>
            </w:r>
          </w:p>
        </w:tc>
        <w:tc>
          <w:tcPr>
            <w:tcW w:w="180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0E27B4">
            <w:pPr>
              <w:jc w:val="right"/>
              <w:rPr>
                <w:rFonts w:cs="Arial"/>
                <w:sz w:val="20"/>
                <w:szCs w:val="20"/>
              </w:rPr>
            </w:pPr>
            <w:r>
              <w:rPr>
                <w:rFonts w:cs="Arial"/>
                <w:sz w:val="20"/>
                <w:szCs w:val="20"/>
              </w:rPr>
              <w:t>4,79</w:t>
            </w:r>
            <w:r w:rsidR="006420B8" w:rsidRPr="00A62391">
              <w:rPr>
                <w:rFonts w:cs="Arial"/>
                <w:sz w:val="20"/>
                <w:szCs w:val="20"/>
              </w:rPr>
              <w:t xml:space="preserve">0 </w:t>
            </w:r>
          </w:p>
        </w:tc>
        <w:tc>
          <w:tcPr>
            <w:tcW w:w="132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0E27B4">
            <w:pPr>
              <w:jc w:val="right"/>
              <w:rPr>
                <w:rFonts w:cs="Arial"/>
                <w:sz w:val="20"/>
                <w:szCs w:val="20"/>
              </w:rPr>
            </w:pPr>
            <w:r>
              <w:rPr>
                <w:rFonts w:cs="Arial"/>
                <w:sz w:val="20"/>
                <w:szCs w:val="20"/>
              </w:rPr>
              <w:t>123</w:t>
            </w:r>
            <w:r w:rsidR="006420B8" w:rsidRPr="00A62391">
              <w:rPr>
                <w:rFonts w:cs="Arial"/>
                <w:sz w:val="20"/>
                <w:szCs w:val="20"/>
              </w:rPr>
              <w:t xml:space="preserve"> </w:t>
            </w:r>
          </w:p>
        </w:tc>
        <w:tc>
          <w:tcPr>
            <w:tcW w:w="1200" w:type="dxa"/>
            <w:tcBorders>
              <w:top w:val="nil"/>
              <w:left w:val="nil"/>
              <w:bottom w:val="doub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FB3E91" w:rsidP="000E27B4">
            <w:pPr>
              <w:jc w:val="right"/>
              <w:rPr>
                <w:rFonts w:cs="Arial"/>
                <w:b/>
                <w:bCs/>
                <w:sz w:val="20"/>
                <w:szCs w:val="20"/>
              </w:rPr>
            </w:pPr>
            <w:r>
              <w:rPr>
                <w:rFonts w:cs="Arial"/>
                <w:b/>
                <w:bCs/>
                <w:sz w:val="20"/>
                <w:szCs w:val="20"/>
              </w:rPr>
              <w:t>30,0</w:t>
            </w:r>
            <w:r w:rsidR="00BD7E2B">
              <w:rPr>
                <w:rFonts w:cs="Arial"/>
                <w:b/>
                <w:bCs/>
                <w:sz w:val="20"/>
                <w:szCs w:val="20"/>
              </w:rPr>
              <w:t>00</w:t>
            </w:r>
            <w:r w:rsidR="006420B8" w:rsidRPr="00A62391">
              <w:rPr>
                <w:rFonts w:cs="Arial"/>
                <w:b/>
                <w:bCs/>
                <w:sz w:val="20"/>
                <w:szCs w:val="20"/>
              </w:rPr>
              <w:t xml:space="preserve"> </w:t>
            </w:r>
          </w:p>
        </w:tc>
      </w:tr>
      <w:tr w:rsidR="003B2303" w:rsidRPr="00A62391" w:rsidTr="00EF0FF6">
        <w:trPr>
          <w:trHeight w:val="257"/>
        </w:trPr>
        <w:tc>
          <w:tcPr>
            <w:tcW w:w="1008"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rsidR="006420B8" w:rsidRPr="00A62391" w:rsidRDefault="006420B8" w:rsidP="000E27B4">
            <w:pPr>
              <w:rPr>
                <w:rFonts w:cs="Arial"/>
                <w:b/>
                <w:sz w:val="20"/>
                <w:szCs w:val="20"/>
              </w:rPr>
            </w:pPr>
            <w:r w:rsidRPr="00A62391">
              <w:rPr>
                <w:rFonts w:cs="Arial"/>
                <w:b/>
                <w:sz w:val="20"/>
                <w:szCs w:val="20"/>
              </w:rPr>
              <w:t>Total</w:t>
            </w:r>
          </w:p>
        </w:tc>
        <w:tc>
          <w:tcPr>
            <w:tcW w:w="1567"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1 - 201</w:t>
            </w:r>
            <w:r w:rsidR="00DB0AAD">
              <w:rPr>
                <w:rFonts w:cs="Arial"/>
                <w:sz w:val="20"/>
                <w:szCs w:val="20"/>
              </w:rPr>
              <w:t>4</w:t>
            </w:r>
          </w:p>
        </w:tc>
        <w:tc>
          <w:tcPr>
            <w:tcW w:w="1440" w:type="dxa"/>
            <w:tcBorders>
              <w:top w:val="doub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DF1223">
            <w:pPr>
              <w:jc w:val="right"/>
              <w:rPr>
                <w:rFonts w:cs="Arial"/>
                <w:sz w:val="20"/>
                <w:szCs w:val="20"/>
              </w:rPr>
            </w:pPr>
            <w:r w:rsidRPr="00A62391">
              <w:rPr>
                <w:rFonts w:cs="Arial"/>
                <w:sz w:val="20"/>
                <w:szCs w:val="20"/>
              </w:rPr>
              <w:t>3</w:t>
            </w:r>
            <w:r w:rsidR="009B58AA">
              <w:rPr>
                <w:rFonts w:cs="Arial"/>
                <w:sz w:val="20"/>
                <w:szCs w:val="20"/>
              </w:rPr>
              <w:t>2</w:t>
            </w:r>
            <w:r w:rsidR="00DF1223">
              <w:rPr>
                <w:rFonts w:cs="Arial"/>
                <w:sz w:val="20"/>
                <w:szCs w:val="20"/>
              </w:rPr>
              <w:t>5</w:t>
            </w:r>
            <w:r w:rsidRPr="00A62391">
              <w:rPr>
                <w:rFonts w:cs="Arial"/>
                <w:sz w:val="20"/>
                <w:szCs w:val="20"/>
              </w:rPr>
              <w:t>,</w:t>
            </w:r>
            <w:r w:rsidR="000071FC">
              <w:rPr>
                <w:rFonts w:cs="Arial"/>
                <w:sz w:val="20"/>
                <w:szCs w:val="20"/>
              </w:rPr>
              <w:t>000</w:t>
            </w:r>
            <w:r w:rsidRPr="00A62391">
              <w:rPr>
                <w:rFonts w:cs="Arial"/>
                <w:sz w:val="20"/>
                <w:szCs w:val="20"/>
              </w:rPr>
              <w:t xml:space="preserve"> </w:t>
            </w:r>
          </w:p>
        </w:tc>
        <w:tc>
          <w:tcPr>
            <w:tcW w:w="156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AE0CF3">
            <w:pPr>
              <w:jc w:val="right"/>
              <w:rPr>
                <w:rFonts w:cs="Arial"/>
                <w:sz w:val="20"/>
                <w:szCs w:val="20"/>
              </w:rPr>
            </w:pPr>
            <w:r w:rsidRPr="00A62391">
              <w:rPr>
                <w:rFonts w:cs="Arial"/>
                <w:sz w:val="20"/>
                <w:szCs w:val="20"/>
              </w:rPr>
              <w:t>2</w:t>
            </w:r>
            <w:r w:rsidR="00AE0CF3">
              <w:rPr>
                <w:rFonts w:cs="Arial"/>
                <w:sz w:val="20"/>
                <w:szCs w:val="20"/>
              </w:rPr>
              <w:t>49</w:t>
            </w:r>
            <w:r w:rsidRPr="00A62391">
              <w:rPr>
                <w:rFonts w:cs="Arial"/>
                <w:sz w:val="20"/>
                <w:szCs w:val="20"/>
              </w:rPr>
              <w:t>,</w:t>
            </w:r>
            <w:r w:rsidR="000071FC">
              <w:rPr>
                <w:rFonts w:cs="Arial"/>
                <w:sz w:val="20"/>
                <w:szCs w:val="20"/>
              </w:rPr>
              <w:t>000</w:t>
            </w:r>
            <w:r w:rsidRPr="00A62391">
              <w:rPr>
                <w:rFonts w:cs="Arial"/>
                <w:sz w:val="20"/>
                <w:szCs w:val="20"/>
              </w:rPr>
              <w:t xml:space="preserve"> </w:t>
            </w:r>
          </w:p>
        </w:tc>
        <w:tc>
          <w:tcPr>
            <w:tcW w:w="180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0E27B4">
            <w:pPr>
              <w:jc w:val="right"/>
              <w:rPr>
                <w:rFonts w:cs="Arial"/>
                <w:sz w:val="20"/>
                <w:szCs w:val="20"/>
              </w:rPr>
            </w:pPr>
            <w:r>
              <w:rPr>
                <w:rFonts w:cs="Arial"/>
                <w:sz w:val="20"/>
                <w:szCs w:val="20"/>
              </w:rPr>
              <w:t>80,2</w:t>
            </w:r>
            <w:r w:rsidR="00AA2C47">
              <w:rPr>
                <w:rFonts w:cs="Arial"/>
                <w:sz w:val="20"/>
                <w:szCs w:val="20"/>
              </w:rPr>
              <w:t>00</w:t>
            </w:r>
            <w:r w:rsidR="006420B8" w:rsidRPr="00A62391">
              <w:rPr>
                <w:rFonts w:cs="Arial"/>
                <w:sz w:val="20"/>
                <w:szCs w:val="20"/>
              </w:rPr>
              <w:t xml:space="preserve"> </w:t>
            </w:r>
          </w:p>
        </w:tc>
        <w:tc>
          <w:tcPr>
            <w:tcW w:w="132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EC6651">
            <w:pPr>
              <w:jc w:val="right"/>
              <w:rPr>
                <w:rFonts w:cs="Arial"/>
                <w:sz w:val="20"/>
                <w:szCs w:val="20"/>
              </w:rPr>
            </w:pPr>
            <w:r w:rsidRPr="00A62391">
              <w:rPr>
                <w:rFonts w:cs="Arial"/>
                <w:sz w:val="20"/>
                <w:szCs w:val="20"/>
              </w:rPr>
              <w:t>3,4</w:t>
            </w:r>
            <w:r w:rsidR="00EC6651">
              <w:rPr>
                <w:rFonts w:cs="Arial"/>
                <w:sz w:val="20"/>
                <w:szCs w:val="20"/>
              </w:rPr>
              <w:t>90</w:t>
            </w:r>
            <w:r w:rsidRPr="00A62391">
              <w:rPr>
                <w:rFonts w:cs="Arial"/>
                <w:sz w:val="20"/>
                <w:szCs w:val="20"/>
              </w:rPr>
              <w:t xml:space="preserve"> </w:t>
            </w:r>
          </w:p>
        </w:tc>
        <w:tc>
          <w:tcPr>
            <w:tcW w:w="1200" w:type="dxa"/>
            <w:tcBorders>
              <w:top w:val="double" w:sz="4" w:space="0" w:color="auto"/>
              <w:left w:val="nil"/>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FB3E91">
            <w:pPr>
              <w:jc w:val="right"/>
              <w:rPr>
                <w:rFonts w:cs="Arial"/>
                <w:b/>
                <w:bCs/>
                <w:sz w:val="20"/>
                <w:szCs w:val="20"/>
              </w:rPr>
            </w:pPr>
            <w:r w:rsidRPr="00A62391">
              <w:rPr>
                <w:rFonts w:cs="Arial"/>
                <w:b/>
                <w:bCs/>
                <w:sz w:val="20"/>
                <w:szCs w:val="20"/>
              </w:rPr>
              <w:t>6</w:t>
            </w:r>
            <w:r w:rsidR="00FB3E91">
              <w:rPr>
                <w:rFonts w:cs="Arial"/>
                <w:b/>
                <w:bCs/>
                <w:sz w:val="20"/>
                <w:szCs w:val="20"/>
              </w:rPr>
              <w:t>57</w:t>
            </w:r>
            <w:r w:rsidRPr="00A62391">
              <w:rPr>
                <w:rFonts w:cs="Arial"/>
                <w:b/>
                <w:bCs/>
                <w:sz w:val="20"/>
                <w:szCs w:val="20"/>
              </w:rPr>
              <w:t>,</w:t>
            </w:r>
            <w:r w:rsidR="00AA2C47">
              <w:rPr>
                <w:rFonts w:cs="Arial"/>
                <w:b/>
                <w:bCs/>
                <w:sz w:val="20"/>
                <w:szCs w:val="20"/>
              </w:rPr>
              <w:t>000</w:t>
            </w:r>
            <w:r w:rsidRPr="00A62391">
              <w:rPr>
                <w:rFonts w:cs="Arial"/>
                <w:b/>
                <w:bCs/>
                <w:sz w:val="20"/>
                <w:szCs w:val="20"/>
              </w:rPr>
              <w:t xml:space="preserve"> </w:t>
            </w:r>
          </w:p>
        </w:tc>
      </w:tr>
      <w:tr w:rsidR="003B2303" w:rsidRPr="00A62391" w:rsidTr="00EF0FF6">
        <w:trPr>
          <w:trHeight w:val="257"/>
        </w:trPr>
        <w:tc>
          <w:tcPr>
            <w:tcW w:w="1008" w:type="dxa"/>
            <w:vMerge/>
            <w:tcBorders>
              <w:left w:val="double" w:sz="4" w:space="0" w:color="auto"/>
              <w:right w:val="single" w:sz="4" w:space="0" w:color="auto"/>
            </w:tcBorders>
            <w:shd w:val="clear" w:color="auto" w:fill="FFFFFF"/>
            <w:tcMar>
              <w:top w:w="29" w:type="dxa"/>
              <w:left w:w="115" w:type="dxa"/>
              <w:bottom w:w="29" w:type="dxa"/>
              <w:right w:w="115" w:type="dxa"/>
            </w:tcMar>
          </w:tcPr>
          <w:p w:rsidR="006420B8" w:rsidRPr="00A62391" w:rsidRDefault="006420B8" w:rsidP="000E27B4">
            <w:pPr>
              <w:rPr>
                <w:rFonts w:cs="Arial"/>
                <w:sz w:val="20"/>
                <w:szCs w:val="20"/>
              </w:rPr>
            </w:pPr>
          </w:p>
        </w:tc>
        <w:tc>
          <w:tcPr>
            <w:tcW w:w="1567"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2 - 201</w:t>
            </w:r>
            <w:r w:rsidR="00DB0AAD">
              <w:rPr>
                <w:rFonts w:cs="Arial"/>
                <w:sz w:val="20"/>
                <w:szCs w:val="20"/>
              </w:rPr>
              <w:t>5</w:t>
            </w:r>
          </w:p>
        </w:tc>
        <w:tc>
          <w:tcPr>
            <w:tcW w:w="1440" w:type="dxa"/>
            <w:tcBorders>
              <w:top w:val="nil"/>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9B58AA">
            <w:pPr>
              <w:jc w:val="right"/>
              <w:rPr>
                <w:rFonts w:cs="Arial"/>
                <w:sz w:val="20"/>
                <w:szCs w:val="20"/>
              </w:rPr>
            </w:pPr>
            <w:r w:rsidRPr="00A62391">
              <w:rPr>
                <w:rFonts w:cs="Arial"/>
                <w:sz w:val="20"/>
                <w:szCs w:val="20"/>
              </w:rPr>
              <w:t>3</w:t>
            </w:r>
            <w:r w:rsidR="009B58AA">
              <w:rPr>
                <w:rFonts w:cs="Arial"/>
                <w:sz w:val="20"/>
                <w:szCs w:val="20"/>
              </w:rPr>
              <w:t>29</w:t>
            </w:r>
            <w:r w:rsidRPr="00A62391">
              <w:rPr>
                <w:rFonts w:cs="Arial"/>
                <w:sz w:val="20"/>
                <w:szCs w:val="20"/>
              </w:rPr>
              <w:t>,</w:t>
            </w:r>
            <w:r w:rsidR="000071FC">
              <w:rPr>
                <w:rFonts w:cs="Arial"/>
                <w:sz w:val="20"/>
                <w:szCs w:val="20"/>
              </w:rPr>
              <w:t>000</w:t>
            </w:r>
            <w:r w:rsidRPr="00A62391">
              <w:rPr>
                <w:rFonts w:cs="Arial"/>
                <w:sz w:val="20"/>
                <w:szCs w:val="20"/>
              </w:rPr>
              <w:t xml:space="preserve"> </w:t>
            </w:r>
          </w:p>
        </w:tc>
        <w:tc>
          <w:tcPr>
            <w:tcW w:w="156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AE0CF3">
            <w:pPr>
              <w:jc w:val="right"/>
              <w:rPr>
                <w:rFonts w:cs="Arial"/>
                <w:sz w:val="20"/>
                <w:szCs w:val="20"/>
              </w:rPr>
            </w:pPr>
            <w:r w:rsidRPr="00A62391">
              <w:rPr>
                <w:rFonts w:cs="Arial"/>
                <w:sz w:val="20"/>
                <w:szCs w:val="20"/>
              </w:rPr>
              <w:t>2</w:t>
            </w:r>
            <w:r w:rsidR="00AE0CF3">
              <w:rPr>
                <w:rFonts w:cs="Arial"/>
                <w:sz w:val="20"/>
                <w:szCs w:val="20"/>
              </w:rPr>
              <w:t>56</w:t>
            </w:r>
            <w:r w:rsidRPr="00A62391">
              <w:rPr>
                <w:rFonts w:cs="Arial"/>
                <w:sz w:val="20"/>
                <w:szCs w:val="20"/>
              </w:rPr>
              <w:t>,</w:t>
            </w:r>
            <w:r w:rsidR="000071FC">
              <w:rPr>
                <w:rFonts w:cs="Arial"/>
                <w:sz w:val="20"/>
                <w:szCs w:val="20"/>
              </w:rPr>
              <w:t>000</w:t>
            </w:r>
            <w:r w:rsidRPr="00A62391">
              <w:rPr>
                <w:rFonts w:cs="Arial"/>
                <w:sz w:val="20"/>
                <w:szCs w:val="20"/>
              </w:rPr>
              <w:t xml:space="preserve"> </w:t>
            </w:r>
          </w:p>
        </w:tc>
        <w:tc>
          <w:tcPr>
            <w:tcW w:w="180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0E27B4">
            <w:pPr>
              <w:jc w:val="right"/>
              <w:rPr>
                <w:rFonts w:cs="Arial"/>
                <w:sz w:val="20"/>
                <w:szCs w:val="20"/>
              </w:rPr>
            </w:pPr>
            <w:r>
              <w:rPr>
                <w:rFonts w:cs="Arial"/>
                <w:sz w:val="20"/>
                <w:szCs w:val="20"/>
              </w:rPr>
              <w:t>82,0</w:t>
            </w:r>
            <w:r w:rsidR="00AA2C47">
              <w:rPr>
                <w:rFonts w:cs="Arial"/>
                <w:sz w:val="20"/>
                <w:szCs w:val="20"/>
              </w:rPr>
              <w:t>00</w:t>
            </w:r>
            <w:r w:rsidR="006420B8" w:rsidRPr="00A62391">
              <w:rPr>
                <w:rFonts w:cs="Arial"/>
                <w:sz w:val="20"/>
                <w:szCs w:val="20"/>
              </w:rPr>
              <w:t xml:space="preserve"> </w:t>
            </w:r>
          </w:p>
        </w:tc>
        <w:tc>
          <w:tcPr>
            <w:tcW w:w="132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EC6651">
            <w:pPr>
              <w:jc w:val="right"/>
              <w:rPr>
                <w:rFonts w:cs="Arial"/>
                <w:sz w:val="20"/>
                <w:szCs w:val="20"/>
              </w:rPr>
            </w:pPr>
            <w:r w:rsidRPr="00A62391">
              <w:rPr>
                <w:rFonts w:cs="Arial"/>
                <w:sz w:val="20"/>
                <w:szCs w:val="20"/>
              </w:rPr>
              <w:t>3,</w:t>
            </w:r>
            <w:r w:rsidR="00EC6651">
              <w:rPr>
                <w:rFonts w:cs="Arial"/>
                <w:sz w:val="20"/>
                <w:szCs w:val="20"/>
              </w:rPr>
              <w:t>52</w:t>
            </w:r>
            <w:r w:rsidR="00AA2C47">
              <w:rPr>
                <w:rFonts w:cs="Arial"/>
                <w:sz w:val="20"/>
                <w:szCs w:val="20"/>
              </w:rPr>
              <w:t>0</w:t>
            </w:r>
            <w:r w:rsidRPr="00A62391">
              <w:rPr>
                <w:rFonts w:cs="Arial"/>
                <w:sz w:val="20"/>
                <w:szCs w:val="20"/>
              </w:rPr>
              <w:t xml:space="preserve"> </w:t>
            </w:r>
          </w:p>
        </w:tc>
        <w:tc>
          <w:tcPr>
            <w:tcW w:w="1200" w:type="dxa"/>
            <w:tcBorders>
              <w:top w:val="nil"/>
              <w:left w:val="nil"/>
              <w:bottom w:val="sing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FB3E91">
            <w:pPr>
              <w:jc w:val="right"/>
              <w:rPr>
                <w:rFonts w:cs="Arial"/>
                <w:b/>
                <w:bCs/>
                <w:sz w:val="20"/>
                <w:szCs w:val="20"/>
              </w:rPr>
            </w:pPr>
            <w:r w:rsidRPr="00A62391">
              <w:rPr>
                <w:rFonts w:cs="Arial"/>
                <w:b/>
                <w:bCs/>
                <w:sz w:val="20"/>
                <w:szCs w:val="20"/>
              </w:rPr>
              <w:t>6</w:t>
            </w:r>
            <w:r w:rsidR="00FB3E91">
              <w:rPr>
                <w:rFonts w:cs="Arial"/>
                <w:b/>
                <w:bCs/>
                <w:sz w:val="20"/>
                <w:szCs w:val="20"/>
              </w:rPr>
              <w:t>70</w:t>
            </w:r>
            <w:r w:rsidRPr="00A62391">
              <w:rPr>
                <w:rFonts w:cs="Arial"/>
                <w:b/>
                <w:bCs/>
                <w:sz w:val="20"/>
                <w:szCs w:val="20"/>
              </w:rPr>
              <w:t>,</w:t>
            </w:r>
            <w:r w:rsidR="00AA2C47">
              <w:rPr>
                <w:rFonts w:cs="Arial"/>
                <w:b/>
                <w:bCs/>
                <w:sz w:val="20"/>
                <w:szCs w:val="20"/>
              </w:rPr>
              <w:t>000</w:t>
            </w:r>
            <w:r w:rsidRPr="00A62391">
              <w:rPr>
                <w:rFonts w:cs="Arial"/>
                <w:b/>
                <w:bCs/>
                <w:sz w:val="20"/>
                <w:szCs w:val="20"/>
              </w:rPr>
              <w:t xml:space="preserve"> </w:t>
            </w:r>
          </w:p>
        </w:tc>
      </w:tr>
      <w:tr w:rsidR="003B2303" w:rsidRPr="00A62391" w:rsidTr="00EF0FF6">
        <w:trPr>
          <w:trHeight w:val="257"/>
        </w:trPr>
        <w:tc>
          <w:tcPr>
            <w:tcW w:w="1008"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tcPr>
          <w:p w:rsidR="006420B8" w:rsidRPr="00A62391" w:rsidRDefault="006420B8" w:rsidP="000E27B4">
            <w:pPr>
              <w:rPr>
                <w:rFonts w:cs="Arial"/>
                <w:sz w:val="20"/>
                <w:szCs w:val="20"/>
              </w:rPr>
            </w:pPr>
          </w:p>
        </w:tc>
        <w:tc>
          <w:tcPr>
            <w:tcW w:w="1567"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DB0AAD">
            <w:pPr>
              <w:rPr>
                <w:rFonts w:cs="Arial"/>
                <w:sz w:val="20"/>
                <w:szCs w:val="20"/>
              </w:rPr>
            </w:pPr>
            <w:r w:rsidRPr="00A62391">
              <w:rPr>
                <w:rFonts w:cs="Arial"/>
                <w:sz w:val="20"/>
                <w:szCs w:val="20"/>
              </w:rPr>
              <w:t>Year 3 - 201</w:t>
            </w:r>
            <w:r w:rsidR="00DB0AAD">
              <w:rPr>
                <w:rFonts w:cs="Arial"/>
                <w:sz w:val="20"/>
                <w:szCs w:val="20"/>
              </w:rPr>
              <w:t>6</w:t>
            </w:r>
          </w:p>
        </w:tc>
        <w:tc>
          <w:tcPr>
            <w:tcW w:w="1440" w:type="dxa"/>
            <w:tcBorders>
              <w:top w:val="nil"/>
              <w:left w:val="double" w:sz="4" w:space="0" w:color="auto"/>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9B58AA">
            <w:pPr>
              <w:jc w:val="right"/>
              <w:rPr>
                <w:rFonts w:cs="Arial"/>
                <w:sz w:val="20"/>
                <w:szCs w:val="20"/>
              </w:rPr>
            </w:pPr>
            <w:r w:rsidRPr="00A62391">
              <w:rPr>
                <w:rFonts w:cs="Arial"/>
                <w:sz w:val="20"/>
                <w:szCs w:val="20"/>
              </w:rPr>
              <w:t>3</w:t>
            </w:r>
            <w:r w:rsidR="009B58AA">
              <w:rPr>
                <w:rFonts w:cs="Arial"/>
                <w:sz w:val="20"/>
                <w:szCs w:val="20"/>
              </w:rPr>
              <w:t>33</w:t>
            </w:r>
            <w:r w:rsidRPr="00A62391">
              <w:rPr>
                <w:rFonts w:cs="Arial"/>
                <w:sz w:val="20"/>
                <w:szCs w:val="20"/>
              </w:rPr>
              <w:t>,</w:t>
            </w:r>
            <w:r w:rsidR="000071FC">
              <w:rPr>
                <w:rFonts w:cs="Arial"/>
                <w:sz w:val="20"/>
                <w:szCs w:val="20"/>
              </w:rPr>
              <w:t>000</w:t>
            </w:r>
            <w:r w:rsidRPr="00A62391">
              <w:rPr>
                <w:rFonts w:cs="Arial"/>
                <w:sz w:val="20"/>
                <w:szCs w:val="20"/>
              </w:rPr>
              <w:t xml:space="preserve"> </w:t>
            </w:r>
          </w:p>
        </w:tc>
        <w:tc>
          <w:tcPr>
            <w:tcW w:w="156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AE0CF3">
            <w:pPr>
              <w:jc w:val="right"/>
              <w:rPr>
                <w:rFonts w:cs="Arial"/>
                <w:sz w:val="20"/>
                <w:szCs w:val="20"/>
              </w:rPr>
            </w:pPr>
            <w:r w:rsidRPr="00A62391">
              <w:rPr>
                <w:rFonts w:cs="Arial"/>
                <w:sz w:val="20"/>
                <w:szCs w:val="20"/>
              </w:rPr>
              <w:t>2</w:t>
            </w:r>
            <w:r w:rsidR="00AE0CF3">
              <w:rPr>
                <w:rFonts w:cs="Arial"/>
                <w:sz w:val="20"/>
                <w:szCs w:val="20"/>
              </w:rPr>
              <w:t>62</w:t>
            </w:r>
            <w:r w:rsidRPr="00A62391">
              <w:rPr>
                <w:rFonts w:cs="Arial"/>
                <w:sz w:val="20"/>
                <w:szCs w:val="20"/>
              </w:rPr>
              <w:t>,</w:t>
            </w:r>
            <w:r w:rsidR="000071FC">
              <w:rPr>
                <w:rFonts w:cs="Arial"/>
                <w:sz w:val="20"/>
                <w:szCs w:val="20"/>
              </w:rPr>
              <w:t>000</w:t>
            </w:r>
            <w:r w:rsidRPr="00A62391">
              <w:rPr>
                <w:rFonts w:cs="Arial"/>
                <w:sz w:val="20"/>
                <w:szCs w:val="20"/>
              </w:rPr>
              <w:t xml:space="preserve"> </w:t>
            </w:r>
          </w:p>
        </w:tc>
        <w:tc>
          <w:tcPr>
            <w:tcW w:w="180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EC6651" w:rsidP="00EC6651">
            <w:pPr>
              <w:jc w:val="right"/>
              <w:rPr>
                <w:rFonts w:cs="Arial"/>
                <w:sz w:val="20"/>
                <w:szCs w:val="20"/>
              </w:rPr>
            </w:pPr>
            <w:r>
              <w:rPr>
                <w:rFonts w:cs="Arial"/>
                <w:sz w:val="20"/>
                <w:szCs w:val="20"/>
              </w:rPr>
              <w:t>84</w:t>
            </w:r>
            <w:r w:rsidR="006420B8" w:rsidRPr="00A62391">
              <w:rPr>
                <w:rFonts w:cs="Arial"/>
                <w:sz w:val="20"/>
                <w:szCs w:val="20"/>
              </w:rPr>
              <w:t>,0</w:t>
            </w:r>
            <w:r w:rsidR="00AA2C47">
              <w:rPr>
                <w:rFonts w:cs="Arial"/>
                <w:sz w:val="20"/>
                <w:szCs w:val="20"/>
              </w:rPr>
              <w:t>00</w:t>
            </w:r>
            <w:r w:rsidR="006420B8" w:rsidRPr="00A62391">
              <w:rPr>
                <w:rFonts w:cs="Arial"/>
                <w:sz w:val="20"/>
                <w:szCs w:val="20"/>
              </w:rPr>
              <w:t xml:space="preserve"> </w:t>
            </w:r>
          </w:p>
        </w:tc>
        <w:tc>
          <w:tcPr>
            <w:tcW w:w="132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bottom"/>
          </w:tcPr>
          <w:p w:rsidR="006420B8" w:rsidRPr="00A62391" w:rsidRDefault="006420B8" w:rsidP="00EC6651">
            <w:pPr>
              <w:jc w:val="right"/>
              <w:rPr>
                <w:rFonts w:cs="Arial"/>
                <w:sz w:val="20"/>
                <w:szCs w:val="20"/>
              </w:rPr>
            </w:pPr>
            <w:r w:rsidRPr="00A62391">
              <w:rPr>
                <w:rFonts w:cs="Arial"/>
                <w:sz w:val="20"/>
                <w:szCs w:val="20"/>
              </w:rPr>
              <w:t>3,</w:t>
            </w:r>
            <w:r w:rsidR="00EC6651">
              <w:rPr>
                <w:rFonts w:cs="Arial"/>
                <w:sz w:val="20"/>
                <w:szCs w:val="20"/>
              </w:rPr>
              <w:t>550</w:t>
            </w:r>
            <w:r w:rsidRPr="00A62391">
              <w:rPr>
                <w:rFonts w:cs="Arial"/>
                <w:sz w:val="20"/>
                <w:szCs w:val="20"/>
              </w:rPr>
              <w:t xml:space="preserve"> </w:t>
            </w:r>
          </w:p>
        </w:tc>
        <w:tc>
          <w:tcPr>
            <w:tcW w:w="1200" w:type="dxa"/>
            <w:tcBorders>
              <w:top w:val="nil"/>
              <w:left w:val="nil"/>
              <w:bottom w:val="double" w:sz="4" w:space="0" w:color="auto"/>
              <w:right w:val="double" w:sz="4" w:space="0" w:color="auto"/>
            </w:tcBorders>
            <w:shd w:val="clear" w:color="auto" w:fill="FFFFFF"/>
            <w:noWrap/>
            <w:tcMar>
              <w:top w:w="29" w:type="dxa"/>
              <w:left w:w="115" w:type="dxa"/>
              <w:bottom w:w="29" w:type="dxa"/>
              <w:right w:w="115" w:type="dxa"/>
            </w:tcMar>
            <w:vAlign w:val="bottom"/>
          </w:tcPr>
          <w:p w:rsidR="006420B8" w:rsidRPr="00A62391" w:rsidRDefault="006420B8" w:rsidP="00FB3E91">
            <w:pPr>
              <w:jc w:val="right"/>
              <w:rPr>
                <w:rFonts w:cs="Arial"/>
                <w:b/>
                <w:bCs/>
                <w:sz w:val="20"/>
                <w:szCs w:val="20"/>
              </w:rPr>
            </w:pPr>
            <w:r w:rsidRPr="00A62391">
              <w:rPr>
                <w:rFonts w:cs="Arial"/>
                <w:b/>
                <w:bCs/>
                <w:sz w:val="20"/>
                <w:szCs w:val="20"/>
              </w:rPr>
              <w:t>6</w:t>
            </w:r>
            <w:r w:rsidR="00FB3E91">
              <w:rPr>
                <w:rFonts w:cs="Arial"/>
                <w:b/>
                <w:bCs/>
                <w:sz w:val="20"/>
                <w:szCs w:val="20"/>
              </w:rPr>
              <w:t>83</w:t>
            </w:r>
            <w:r w:rsidRPr="00A62391">
              <w:rPr>
                <w:rFonts w:cs="Arial"/>
                <w:b/>
                <w:bCs/>
                <w:sz w:val="20"/>
                <w:szCs w:val="20"/>
              </w:rPr>
              <w:t>,</w:t>
            </w:r>
            <w:r w:rsidR="00AA2C47">
              <w:rPr>
                <w:rFonts w:cs="Arial"/>
                <w:b/>
                <w:bCs/>
                <w:sz w:val="20"/>
                <w:szCs w:val="20"/>
              </w:rPr>
              <w:t>000</w:t>
            </w:r>
            <w:r w:rsidRPr="00A62391">
              <w:rPr>
                <w:rFonts w:cs="Arial"/>
                <w:b/>
                <w:bCs/>
                <w:sz w:val="20"/>
                <w:szCs w:val="20"/>
              </w:rPr>
              <w:t xml:space="preserve"> </w:t>
            </w:r>
          </w:p>
        </w:tc>
      </w:tr>
    </w:tbl>
    <w:p w:rsidR="00D85665" w:rsidRDefault="00FE527E">
      <w:pPr>
        <w:numPr>
          <w:ilvl w:val="12"/>
          <w:numId w:val="0"/>
        </w:numPr>
        <w:tabs>
          <w:tab w:val="left" w:pos="0"/>
          <w:tab w:val="left" w:pos="720"/>
        </w:tabs>
        <w:rPr>
          <w:rFonts w:cs="Arial"/>
          <w:szCs w:val="22"/>
        </w:rPr>
      </w:pPr>
      <w:r>
        <w:rPr>
          <w:rFonts w:cs="Arial"/>
          <w:szCs w:val="22"/>
        </w:rPr>
        <w:t>Note: values may not total due to rounding.</w:t>
      </w:r>
    </w:p>
    <w:p w:rsidR="00FE527E" w:rsidRPr="00854FC2" w:rsidRDefault="00FE527E">
      <w:pPr>
        <w:numPr>
          <w:ilvl w:val="12"/>
          <w:numId w:val="0"/>
        </w:numPr>
        <w:tabs>
          <w:tab w:val="left" w:pos="0"/>
          <w:tab w:val="left" w:pos="720"/>
        </w:tabs>
        <w:rPr>
          <w:rFonts w:cs="Arial"/>
          <w:szCs w:val="22"/>
        </w:rPr>
      </w:pPr>
    </w:p>
    <w:p w:rsidR="00D85665" w:rsidRPr="00854FC2" w:rsidRDefault="00D85665">
      <w:pPr>
        <w:keepNext/>
        <w:keepLines/>
        <w:numPr>
          <w:ilvl w:val="12"/>
          <w:numId w:val="0"/>
        </w:numPr>
        <w:tabs>
          <w:tab w:val="left" w:pos="0"/>
          <w:tab w:val="left" w:pos="720"/>
          <w:tab w:val="left" w:pos="1440"/>
          <w:tab w:val="left" w:pos="2160"/>
          <w:tab w:val="left" w:pos="3600"/>
        </w:tabs>
        <w:ind w:left="1440" w:hanging="1440"/>
        <w:rPr>
          <w:rFonts w:cs="Arial"/>
          <w:szCs w:val="22"/>
        </w:rPr>
      </w:pPr>
      <w:r w:rsidRPr="00854FC2">
        <w:rPr>
          <w:rFonts w:cs="Arial"/>
          <w:b/>
          <w:bCs/>
          <w:szCs w:val="22"/>
        </w:rPr>
        <w:tab/>
        <w:t>6(e)</w:t>
      </w:r>
      <w:r w:rsidRPr="00854FC2">
        <w:rPr>
          <w:rFonts w:cs="Arial"/>
          <w:b/>
          <w:bCs/>
          <w:szCs w:val="22"/>
        </w:rPr>
        <w:tab/>
        <w:t>Estimated Total Annual Burden for All Respondents</w:t>
      </w:r>
    </w:p>
    <w:p w:rsidR="00D85665" w:rsidRPr="00854FC2" w:rsidRDefault="00D85665">
      <w:pPr>
        <w:keepNext/>
        <w:numPr>
          <w:ilvl w:val="12"/>
          <w:numId w:val="0"/>
        </w:numPr>
        <w:tabs>
          <w:tab w:val="left" w:pos="0"/>
          <w:tab w:val="left" w:pos="720"/>
          <w:tab w:val="left" w:pos="1440"/>
          <w:tab w:val="left" w:pos="2160"/>
          <w:tab w:val="left" w:pos="3600"/>
        </w:tabs>
        <w:rPr>
          <w:rFonts w:cs="Arial"/>
          <w:szCs w:val="22"/>
        </w:rPr>
      </w:pPr>
    </w:p>
    <w:p w:rsidR="00D85665" w:rsidRPr="0055396E" w:rsidRDefault="002348E6" w:rsidP="00074F8C">
      <w:pPr>
        <w:ind w:firstLine="720"/>
        <w:rPr>
          <w:rFonts w:cs="Arial"/>
          <w:szCs w:val="22"/>
        </w:rPr>
      </w:pPr>
      <w:r w:rsidRPr="00854FC2">
        <w:rPr>
          <w:rFonts w:cs="Courier New"/>
          <w:lang w:val="en-CA"/>
        </w:rPr>
        <w:fldChar w:fldCharType="begin"/>
      </w:r>
      <w:r w:rsidR="00D85665" w:rsidRPr="00854FC2">
        <w:rPr>
          <w:rFonts w:cs="Courier New"/>
          <w:lang w:val="en-CA"/>
        </w:rPr>
        <w:instrText xml:space="preserve"> SEQ CHAPTER \h \r 1</w:instrText>
      </w:r>
      <w:r w:rsidRPr="00854FC2">
        <w:rPr>
          <w:rFonts w:cs="Courier New"/>
          <w:lang w:val="en-CA"/>
        </w:rPr>
        <w:fldChar w:fldCharType="end"/>
      </w:r>
      <w:r w:rsidR="00D85665" w:rsidRPr="00854FC2">
        <w:rPr>
          <w:rFonts w:cs="Arial"/>
          <w:szCs w:val="22"/>
        </w:rPr>
        <w:t xml:space="preserve">The total hour burden is estimated as the average per-facility burden multiplied by the number of affected facilities. Similarly, the total cost burden for all respondents is estimated by multiplying the number of facilities in each size category by the unit costs for each compliance activity. The total annual burden and costs for all respondents in each category are presented in </w:t>
      </w:r>
      <w:fldSimple w:instr=" REF _Ref141695125  \* MERGEFORMAT ">
        <w:r w:rsidR="00F61EFD" w:rsidRPr="00342898">
          <w:t xml:space="preserve">Exhibit </w:t>
        </w:r>
        <w:r w:rsidR="00F61EFD">
          <w:rPr>
            <w:noProof/>
          </w:rPr>
          <w:t>13</w:t>
        </w:r>
      </w:fldSimple>
      <w:r w:rsidR="00D85665" w:rsidRPr="00854FC2">
        <w:rPr>
          <w:rFonts w:cs="Arial"/>
          <w:szCs w:val="22"/>
        </w:rPr>
        <w:t xml:space="preserve"> through </w:t>
      </w:r>
      <w:fldSimple w:instr=" REF _Ref141695135  \* MERGEFORMAT ">
        <w:r w:rsidR="00F61EFD" w:rsidRPr="00CB5A33">
          <w:t xml:space="preserve">Exhibit </w:t>
        </w:r>
        <w:r w:rsidR="00F61EFD">
          <w:rPr>
            <w:noProof/>
          </w:rPr>
          <w:t>17</w:t>
        </w:r>
      </w:fldSimple>
      <w:r w:rsidR="00D85665" w:rsidRPr="00E66568">
        <w:rPr>
          <w:rFonts w:cs="Arial"/>
          <w:szCs w:val="22"/>
        </w:rPr>
        <w:t xml:space="preserve"> for each facility size. The annual average total burden is estimated </w:t>
      </w:r>
      <w:r w:rsidR="00D85665" w:rsidRPr="00455805">
        <w:rPr>
          <w:rFonts w:cs="Arial"/>
          <w:szCs w:val="22"/>
        </w:rPr>
        <w:t xml:space="preserve">at </w:t>
      </w:r>
      <w:r w:rsidR="0024774C" w:rsidRPr="00455805">
        <w:rPr>
          <w:rFonts w:cs="Arial"/>
          <w:szCs w:val="22"/>
        </w:rPr>
        <w:t>8</w:t>
      </w:r>
      <w:r w:rsidR="006E603E" w:rsidRPr="00455805">
        <w:rPr>
          <w:rFonts w:cs="Arial"/>
          <w:szCs w:val="22"/>
        </w:rPr>
        <w:t>.</w:t>
      </w:r>
      <w:r w:rsidR="004760E5">
        <w:rPr>
          <w:rFonts w:cs="Arial"/>
          <w:szCs w:val="22"/>
        </w:rPr>
        <w:t>8</w:t>
      </w:r>
      <w:r w:rsidR="00D85665" w:rsidRPr="00455805">
        <w:rPr>
          <w:rFonts w:cs="Arial"/>
          <w:szCs w:val="22"/>
        </w:rPr>
        <w:t xml:space="preserve"> million hours</w:t>
      </w:r>
      <w:r w:rsidR="00D85665" w:rsidRPr="0055396E">
        <w:rPr>
          <w:rFonts w:cs="Arial"/>
          <w:szCs w:val="22"/>
        </w:rPr>
        <w:t xml:space="preserve">; the annual average total cost is estimated </w:t>
      </w:r>
      <w:r w:rsidR="00D85665" w:rsidRPr="00F74B24">
        <w:rPr>
          <w:rFonts w:cs="Arial"/>
          <w:szCs w:val="22"/>
        </w:rPr>
        <w:t>at $</w:t>
      </w:r>
      <w:r w:rsidR="0016312C">
        <w:rPr>
          <w:rFonts w:cs="Arial"/>
          <w:szCs w:val="22"/>
        </w:rPr>
        <w:t>9</w:t>
      </w:r>
      <w:r w:rsidR="00455805" w:rsidRPr="00F74B24">
        <w:rPr>
          <w:rFonts w:cs="Arial"/>
          <w:szCs w:val="22"/>
        </w:rPr>
        <w:t xml:space="preserve">87 </w:t>
      </w:r>
      <w:r w:rsidR="00D85665" w:rsidRPr="00F74B24">
        <w:rPr>
          <w:rFonts w:cs="Arial"/>
          <w:szCs w:val="22"/>
        </w:rPr>
        <w:t>million</w:t>
      </w:r>
      <w:r w:rsidR="00D85665" w:rsidRPr="0055396E">
        <w:rPr>
          <w:rFonts w:cs="Arial"/>
          <w:szCs w:val="22"/>
        </w:rPr>
        <w:t>.</w:t>
      </w:r>
    </w:p>
    <w:p w:rsidR="00D85665" w:rsidRDefault="00D85665">
      <w:pPr>
        <w:rPr>
          <w:rFonts w:cs="Arial"/>
          <w:szCs w:val="22"/>
        </w:rPr>
      </w:pPr>
      <w:r w:rsidRPr="0055396E">
        <w:rPr>
          <w:rFonts w:cs="Arial"/>
          <w:szCs w:val="22"/>
        </w:rPr>
        <w:lastRenderedPageBreak/>
        <w:tab/>
      </w:r>
    </w:p>
    <w:p w:rsidR="00D85665" w:rsidRPr="0055396E" w:rsidRDefault="00D85665" w:rsidP="00A15DF0">
      <w:pPr>
        <w:outlineLvl w:val="0"/>
        <w:rPr>
          <w:rFonts w:cs="Arial"/>
          <w:szCs w:val="22"/>
        </w:rPr>
      </w:pPr>
      <w:r w:rsidRPr="0055396E">
        <w:rPr>
          <w:rFonts w:cs="Arial"/>
          <w:szCs w:val="22"/>
        </w:rPr>
        <w:tab/>
      </w:r>
      <w:r w:rsidRPr="0055396E">
        <w:rPr>
          <w:rFonts w:cs="Arial"/>
          <w:szCs w:val="22"/>
          <w:u w:val="single"/>
        </w:rPr>
        <w:t>Alternative Estimates</w:t>
      </w:r>
    </w:p>
    <w:p w:rsidR="00D85665" w:rsidRPr="0055396E" w:rsidRDefault="00D85665">
      <w:pPr>
        <w:rPr>
          <w:rFonts w:cs="Arial"/>
          <w:szCs w:val="22"/>
        </w:rPr>
      </w:pPr>
      <w:r w:rsidRPr="0055396E">
        <w:rPr>
          <w:rFonts w:cs="Arial"/>
          <w:szCs w:val="22"/>
        </w:rPr>
        <w:tab/>
      </w:r>
    </w:p>
    <w:p w:rsidR="00D85665" w:rsidRDefault="00D85665" w:rsidP="00074F8C">
      <w:pPr>
        <w:ind w:firstLine="720"/>
        <w:rPr>
          <w:rFonts w:cs="Arial"/>
          <w:szCs w:val="22"/>
        </w:rPr>
      </w:pPr>
      <w:r w:rsidRPr="0055396E">
        <w:rPr>
          <w:rFonts w:cs="Arial"/>
          <w:szCs w:val="22"/>
        </w:rPr>
        <w:t xml:space="preserve">EPA also calculated alternative cost estimates based on higher overhead rates for labor costs, which are presented in </w:t>
      </w:r>
      <w:fldSimple w:instr=" REF _Ref141690364  \* MERGEFORMAT ">
        <w:r w:rsidR="00F61EFD" w:rsidRPr="00F93EDB">
          <w:t xml:space="preserve">Exhibit </w:t>
        </w:r>
        <w:r w:rsidR="00F61EFD">
          <w:rPr>
            <w:noProof/>
          </w:rPr>
          <w:t>12</w:t>
        </w:r>
      </w:fldSimple>
      <w:r w:rsidRPr="0055396E">
        <w:rPr>
          <w:rFonts w:cs="Arial"/>
          <w:szCs w:val="22"/>
        </w:rPr>
        <w:t xml:space="preserve">. The primary estimates are based on a 17 percent overhead rate and the alternatives are calculated assuming a 50 percent overhead rate and a 100 percent overhead rate.  The discussion of facility labor costs in section 6(a) describes how the overhead rates affect wage rates.  </w:t>
      </w:r>
      <w:r w:rsidRPr="00E93986">
        <w:rPr>
          <w:rFonts w:cs="Arial"/>
          <w:szCs w:val="22"/>
        </w:rPr>
        <w:t>Under the primary assumption, the estimated total annualized burden of the information collection is $</w:t>
      </w:r>
      <w:r w:rsidR="00185F50">
        <w:rPr>
          <w:rFonts w:cs="Arial"/>
          <w:szCs w:val="22"/>
        </w:rPr>
        <w:t>9</w:t>
      </w:r>
      <w:r w:rsidR="00E93986" w:rsidRPr="00E93986">
        <w:rPr>
          <w:rFonts w:cs="Arial"/>
          <w:szCs w:val="22"/>
        </w:rPr>
        <w:t>8</w:t>
      </w:r>
      <w:r w:rsidR="00E93986">
        <w:rPr>
          <w:rFonts w:cs="Arial"/>
          <w:szCs w:val="22"/>
        </w:rPr>
        <w:t>7</w:t>
      </w:r>
      <w:r w:rsidR="00E93986" w:rsidRPr="00E93986">
        <w:rPr>
          <w:rFonts w:cs="Arial"/>
          <w:szCs w:val="22"/>
        </w:rPr>
        <w:t xml:space="preserve"> </w:t>
      </w:r>
      <w:r w:rsidRPr="00E93986">
        <w:rPr>
          <w:rFonts w:cs="Arial"/>
          <w:szCs w:val="22"/>
        </w:rPr>
        <w:t>million. Under the alternative assumptions, the estimated total burden ranges from $</w:t>
      </w:r>
      <w:r w:rsidR="0024774C" w:rsidRPr="00E93986">
        <w:rPr>
          <w:rFonts w:cs="Arial"/>
          <w:szCs w:val="22"/>
        </w:rPr>
        <w:t>1,</w:t>
      </w:r>
      <w:r w:rsidR="00185F50">
        <w:rPr>
          <w:rFonts w:cs="Arial"/>
          <w:szCs w:val="22"/>
        </w:rPr>
        <w:t>211</w:t>
      </w:r>
      <w:r w:rsidR="00E93986" w:rsidRPr="00E93986">
        <w:rPr>
          <w:rFonts w:cs="Arial"/>
          <w:szCs w:val="22"/>
        </w:rPr>
        <w:t xml:space="preserve"> </w:t>
      </w:r>
      <w:r w:rsidRPr="00E93986">
        <w:rPr>
          <w:rFonts w:cs="Arial"/>
          <w:szCs w:val="22"/>
        </w:rPr>
        <w:t>to $</w:t>
      </w:r>
      <w:r w:rsidR="00134ECC" w:rsidRPr="00E93986">
        <w:rPr>
          <w:rFonts w:cs="Arial"/>
          <w:szCs w:val="22"/>
        </w:rPr>
        <w:t>1,</w:t>
      </w:r>
      <w:r w:rsidR="00185F50">
        <w:rPr>
          <w:rFonts w:cs="Arial"/>
          <w:szCs w:val="22"/>
        </w:rPr>
        <w:t>556</w:t>
      </w:r>
      <w:r w:rsidR="00E93986" w:rsidRPr="00E93986">
        <w:rPr>
          <w:rFonts w:cs="Arial"/>
          <w:szCs w:val="22"/>
        </w:rPr>
        <w:t xml:space="preserve"> </w:t>
      </w:r>
      <w:r w:rsidR="00021C19" w:rsidRPr="00E93986">
        <w:rPr>
          <w:rFonts w:cs="Arial"/>
          <w:szCs w:val="22"/>
        </w:rPr>
        <w:t>million.</w:t>
      </w:r>
    </w:p>
    <w:p w:rsidR="00B004D6" w:rsidRPr="00854FC2" w:rsidRDefault="00B004D6" w:rsidP="00134ECC">
      <w:pPr>
        <w:rPr>
          <w:rFonts w:cs="Arial"/>
          <w:szCs w:val="22"/>
        </w:rPr>
      </w:pPr>
    </w:p>
    <w:p w:rsidR="00D85665" w:rsidRPr="00854FC2" w:rsidRDefault="00D85665" w:rsidP="00A15DF0">
      <w:pPr>
        <w:pStyle w:val="Caption"/>
        <w:keepNext/>
        <w:keepLines/>
        <w:outlineLvl w:val="0"/>
      </w:pPr>
      <w:bookmarkStart w:id="10" w:name="_Ref141690364"/>
      <w:r w:rsidRPr="00F93EDB">
        <w:t xml:space="preserve">Exhibit </w:t>
      </w:r>
      <w:r w:rsidR="002348E6">
        <w:fldChar w:fldCharType="begin"/>
      </w:r>
      <w:r w:rsidR="002348E6">
        <w:instrText xml:space="preserve"> SEQ Exhibit \* ARABIC </w:instrText>
      </w:r>
      <w:r w:rsidR="002348E6">
        <w:fldChar w:fldCharType="separate"/>
      </w:r>
      <w:r w:rsidR="00F61EFD">
        <w:rPr>
          <w:noProof/>
        </w:rPr>
        <w:t>12</w:t>
      </w:r>
      <w:r w:rsidR="002348E6">
        <w:fldChar w:fldCharType="end"/>
      </w:r>
      <w:bookmarkEnd w:id="10"/>
    </w:p>
    <w:tbl>
      <w:tblPr>
        <w:tblW w:w="8016" w:type="dxa"/>
        <w:jc w:val="center"/>
        <w:tblLook w:val="0000"/>
      </w:tblPr>
      <w:tblGrid>
        <w:gridCol w:w="2355"/>
        <w:gridCol w:w="1660"/>
        <w:gridCol w:w="1416"/>
        <w:gridCol w:w="1228"/>
        <w:gridCol w:w="1357"/>
      </w:tblGrid>
      <w:tr w:rsidR="00D85665" w:rsidRPr="00650FA4">
        <w:trPr>
          <w:trHeight w:val="286"/>
          <w:jc w:val="center"/>
        </w:trPr>
        <w:tc>
          <w:tcPr>
            <w:tcW w:w="8016" w:type="dxa"/>
            <w:gridSpan w:val="5"/>
            <w:tcBorders>
              <w:top w:val="nil"/>
              <w:left w:val="nil"/>
              <w:bottom w:val="nil"/>
              <w:right w:val="nil"/>
            </w:tcBorders>
            <w:noWrap/>
            <w:vAlign w:val="bottom"/>
          </w:tcPr>
          <w:p w:rsidR="009106D9" w:rsidRDefault="009106D9" w:rsidP="009106D9">
            <w:pPr>
              <w:keepNext/>
              <w:keepLines/>
              <w:jc w:val="center"/>
              <w:rPr>
                <w:rFonts w:cs="Arial"/>
                <w:b/>
                <w:bCs/>
                <w:szCs w:val="22"/>
              </w:rPr>
            </w:pPr>
            <w:r>
              <w:rPr>
                <w:rFonts w:cs="Arial"/>
                <w:b/>
                <w:bCs/>
                <w:szCs w:val="22"/>
              </w:rPr>
              <w:t xml:space="preserve">Sensitivity Analysis for </w:t>
            </w:r>
            <w:r w:rsidRPr="00650FA4">
              <w:rPr>
                <w:rFonts w:cs="Arial"/>
                <w:b/>
                <w:bCs/>
                <w:szCs w:val="22"/>
              </w:rPr>
              <w:t>Total</w:t>
            </w:r>
            <w:r w:rsidR="008E7D6F">
              <w:rPr>
                <w:rFonts w:cs="Arial"/>
                <w:b/>
                <w:bCs/>
                <w:szCs w:val="22"/>
              </w:rPr>
              <w:t xml:space="preserve"> </w:t>
            </w:r>
            <w:r w:rsidRPr="00650FA4">
              <w:rPr>
                <w:rFonts w:cs="Arial"/>
                <w:b/>
                <w:bCs/>
                <w:szCs w:val="22"/>
              </w:rPr>
              <w:t xml:space="preserve">Cost </w:t>
            </w:r>
          </w:p>
          <w:p w:rsidR="00D85665" w:rsidRPr="00650FA4" w:rsidRDefault="009106D9" w:rsidP="009106D9">
            <w:pPr>
              <w:keepNext/>
              <w:keepLines/>
              <w:jc w:val="center"/>
              <w:rPr>
                <w:rFonts w:cs="Arial"/>
                <w:b/>
                <w:bCs/>
                <w:szCs w:val="22"/>
              </w:rPr>
            </w:pPr>
            <w:r>
              <w:rPr>
                <w:rFonts w:cs="Arial"/>
                <w:b/>
                <w:bCs/>
                <w:szCs w:val="22"/>
              </w:rPr>
              <w:t>Varying Overhead Rates</w:t>
            </w:r>
          </w:p>
        </w:tc>
      </w:tr>
      <w:tr w:rsidR="00D85665" w:rsidRPr="00650FA4">
        <w:trPr>
          <w:trHeight w:val="299"/>
          <w:jc w:val="center"/>
        </w:trPr>
        <w:tc>
          <w:tcPr>
            <w:tcW w:w="8016" w:type="dxa"/>
            <w:gridSpan w:val="5"/>
            <w:tcBorders>
              <w:top w:val="nil"/>
              <w:left w:val="nil"/>
              <w:bottom w:val="nil"/>
              <w:right w:val="nil"/>
            </w:tcBorders>
            <w:noWrap/>
            <w:vAlign w:val="bottom"/>
          </w:tcPr>
          <w:p w:rsidR="00D85665" w:rsidRPr="00650FA4" w:rsidRDefault="00D85665" w:rsidP="004760E5">
            <w:pPr>
              <w:keepNext/>
              <w:keepLines/>
              <w:jc w:val="center"/>
              <w:rPr>
                <w:rFonts w:cs="Arial"/>
                <w:b/>
                <w:bCs/>
                <w:szCs w:val="22"/>
              </w:rPr>
            </w:pPr>
            <w:r w:rsidRPr="00650FA4">
              <w:rPr>
                <w:rFonts w:cs="Arial"/>
                <w:b/>
                <w:bCs/>
                <w:szCs w:val="22"/>
              </w:rPr>
              <w:t>(</w:t>
            </w:r>
            <w:r w:rsidR="00AD3F30">
              <w:rPr>
                <w:rFonts w:cs="Arial"/>
                <w:b/>
                <w:bCs/>
                <w:szCs w:val="22"/>
              </w:rPr>
              <w:t>20</w:t>
            </w:r>
            <w:r w:rsidR="004760E5">
              <w:rPr>
                <w:rFonts w:cs="Arial"/>
                <w:b/>
                <w:bCs/>
                <w:szCs w:val="22"/>
              </w:rPr>
              <w:t>12</w:t>
            </w:r>
            <w:r w:rsidR="00AD3F30">
              <w:rPr>
                <w:rFonts w:cs="Arial"/>
                <w:b/>
                <w:bCs/>
                <w:szCs w:val="22"/>
              </w:rPr>
              <w:t xml:space="preserve">$, </w:t>
            </w:r>
            <w:r w:rsidRPr="00650FA4">
              <w:rPr>
                <w:rFonts w:cs="Arial"/>
                <w:b/>
                <w:bCs/>
                <w:szCs w:val="22"/>
              </w:rPr>
              <w:t>Millions)</w:t>
            </w:r>
          </w:p>
        </w:tc>
      </w:tr>
      <w:tr w:rsidR="00D85665" w:rsidRPr="00650FA4">
        <w:trPr>
          <w:cantSplit/>
          <w:trHeight w:val="299"/>
          <w:jc w:val="center"/>
        </w:trPr>
        <w:tc>
          <w:tcPr>
            <w:tcW w:w="2355" w:type="dxa"/>
            <w:vMerge w:val="restart"/>
            <w:tcBorders>
              <w:top w:val="double" w:sz="6" w:space="0" w:color="auto"/>
              <w:left w:val="double" w:sz="6" w:space="0" w:color="auto"/>
              <w:right w:val="single" w:sz="4" w:space="0" w:color="auto"/>
            </w:tcBorders>
            <w:shd w:val="clear" w:color="auto" w:fill="FFFFFF"/>
            <w:noWrap/>
            <w:tcMar>
              <w:top w:w="29" w:type="dxa"/>
              <w:left w:w="115" w:type="dxa"/>
              <w:bottom w:w="29" w:type="dxa"/>
              <w:right w:w="115" w:type="dxa"/>
            </w:tcMar>
            <w:vAlign w:val="center"/>
          </w:tcPr>
          <w:p w:rsidR="00D85665" w:rsidRPr="00650FA4" w:rsidRDefault="00D85665" w:rsidP="00054912">
            <w:pPr>
              <w:keepNext/>
              <w:keepLines/>
              <w:jc w:val="center"/>
              <w:rPr>
                <w:rFonts w:cs="Arial"/>
                <w:b/>
                <w:bCs/>
                <w:sz w:val="20"/>
                <w:szCs w:val="20"/>
              </w:rPr>
            </w:pPr>
            <w:r w:rsidRPr="00650FA4">
              <w:rPr>
                <w:rFonts w:cs="Arial"/>
                <w:b/>
                <w:bCs/>
                <w:sz w:val="20"/>
                <w:szCs w:val="20"/>
              </w:rPr>
              <w:t>Assumption</w:t>
            </w:r>
          </w:p>
        </w:tc>
        <w:tc>
          <w:tcPr>
            <w:tcW w:w="1660" w:type="dxa"/>
            <w:tcBorders>
              <w:top w:val="double" w:sz="6" w:space="0" w:color="auto"/>
              <w:left w:val="nil"/>
              <w:bottom w:val="single" w:sz="8" w:space="0" w:color="auto"/>
              <w:right w:val="single" w:sz="4" w:space="0" w:color="auto"/>
            </w:tcBorders>
            <w:shd w:val="clear" w:color="auto" w:fill="FFFFFF"/>
            <w:noWrap/>
            <w:tcMar>
              <w:top w:w="29" w:type="dxa"/>
              <w:left w:w="115" w:type="dxa"/>
              <w:bottom w:w="29" w:type="dxa"/>
              <w:right w:w="115" w:type="dxa"/>
            </w:tcMar>
            <w:vAlign w:val="bottom"/>
          </w:tcPr>
          <w:p w:rsidR="00D85665" w:rsidRPr="00650FA4" w:rsidRDefault="00D85665" w:rsidP="00054912">
            <w:pPr>
              <w:keepNext/>
              <w:keepLines/>
              <w:jc w:val="center"/>
              <w:rPr>
                <w:rFonts w:cs="Arial"/>
                <w:b/>
                <w:bCs/>
                <w:sz w:val="20"/>
                <w:szCs w:val="20"/>
              </w:rPr>
            </w:pPr>
            <w:r w:rsidRPr="00650FA4">
              <w:rPr>
                <w:rFonts w:cs="Arial"/>
                <w:b/>
                <w:bCs/>
                <w:sz w:val="20"/>
                <w:szCs w:val="20"/>
              </w:rPr>
              <w:t>Labor</w:t>
            </w:r>
          </w:p>
        </w:tc>
        <w:tc>
          <w:tcPr>
            <w:tcW w:w="1416" w:type="dxa"/>
            <w:tcBorders>
              <w:top w:val="double" w:sz="6" w:space="0" w:color="auto"/>
              <w:left w:val="nil"/>
              <w:bottom w:val="single" w:sz="8" w:space="0" w:color="auto"/>
              <w:right w:val="single" w:sz="4" w:space="0" w:color="auto"/>
            </w:tcBorders>
            <w:shd w:val="clear" w:color="auto" w:fill="FFFFFF"/>
            <w:noWrap/>
            <w:tcMar>
              <w:top w:w="29" w:type="dxa"/>
              <w:left w:w="115" w:type="dxa"/>
              <w:bottom w:w="29" w:type="dxa"/>
              <w:right w:w="115" w:type="dxa"/>
            </w:tcMar>
            <w:vAlign w:val="bottom"/>
          </w:tcPr>
          <w:p w:rsidR="00D85665" w:rsidRPr="00650FA4" w:rsidRDefault="00D85665" w:rsidP="00054912">
            <w:pPr>
              <w:keepNext/>
              <w:keepLines/>
              <w:jc w:val="center"/>
              <w:rPr>
                <w:rFonts w:cs="Arial"/>
                <w:b/>
                <w:bCs/>
                <w:sz w:val="20"/>
                <w:szCs w:val="20"/>
              </w:rPr>
            </w:pPr>
            <w:r w:rsidRPr="00650FA4">
              <w:rPr>
                <w:rFonts w:cs="Arial"/>
                <w:b/>
                <w:bCs/>
                <w:sz w:val="20"/>
                <w:szCs w:val="20"/>
              </w:rPr>
              <w:t>Capital</w:t>
            </w:r>
          </w:p>
        </w:tc>
        <w:tc>
          <w:tcPr>
            <w:tcW w:w="1228" w:type="dxa"/>
            <w:tcBorders>
              <w:top w:val="double" w:sz="6" w:space="0" w:color="auto"/>
              <w:left w:val="nil"/>
              <w:bottom w:val="single" w:sz="8" w:space="0" w:color="auto"/>
              <w:right w:val="single" w:sz="4" w:space="0" w:color="auto"/>
            </w:tcBorders>
            <w:shd w:val="clear" w:color="auto" w:fill="FFFFFF"/>
            <w:noWrap/>
            <w:tcMar>
              <w:top w:w="29" w:type="dxa"/>
              <w:left w:w="115" w:type="dxa"/>
              <w:bottom w:w="29" w:type="dxa"/>
              <w:right w:w="115" w:type="dxa"/>
            </w:tcMar>
            <w:vAlign w:val="bottom"/>
          </w:tcPr>
          <w:p w:rsidR="00D85665" w:rsidRPr="00650FA4" w:rsidRDefault="00D85665" w:rsidP="00054912">
            <w:pPr>
              <w:keepNext/>
              <w:keepLines/>
              <w:jc w:val="center"/>
              <w:rPr>
                <w:rFonts w:cs="Arial"/>
                <w:b/>
                <w:bCs/>
                <w:sz w:val="20"/>
                <w:szCs w:val="20"/>
              </w:rPr>
            </w:pPr>
            <w:r w:rsidRPr="00650FA4">
              <w:rPr>
                <w:rFonts w:cs="Arial"/>
                <w:b/>
                <w:bCs/>
                <w:sz w:val="20"/>
                <w:szCs w:val="20"/>
              </w:rPr>
              <w:t>O&amp;M</w:t>
            </w:r>
          </w:p>
        </w:tc>
        <w:tc>
          <w:tcPr>
            <w:tcW w:w="1357" w:type="dxa"/>
            <w:tcBorders>
              <w:top w:val="double" w:sz="6" w:space="0" w:color="auto"/>
              <w:left w:val="nil"/>
              <w:bottom w:val="single" w:sz="8" w:space="0" w:color="auto"/>
              <w:right w:val="double" w:sz="6" w:space="0" w:color="auto"/>
            </w:tcBorders>
            <w:shd w:val="clear" w:color="auto" w:fill="FFFFFF"/>
            <w:noWrap/>
            <w:tcMar>
              <w:top w:w="29" w:type="dxa"/>
              <w:left w:w="115" w:type="dxa"/>
              <w:bottom w:w="29" w:type="dxa"/>
              <w:right w:w="115" w:type="dxa"/>
            </w:tcMar>
            <w:vAlign w:val="bottom"/>
          </w:tcPr>
          <w:p w:rsidR="00D85665" w:rsidRPr="00650FA4" w:rsidRDefault="00D85665" w:rsidP="00054912">
            <w:pPr>
              <w:keepNext/>
              <w:keepLines/>
              <w:jc w:val="center"/>
              <w:rPr>
                <w:rFonts w:cs="Arial"/>
                <w:b/>
                <w:bCs/>
                <w:sz w:val="20"/>
                <w:szCs w:val="20"/>
              </w:rPr>
            </w:pPr>
            <w:r w:rsidRPr="00650FA4">
              <w:rPr>
                <w:rFonts w:cs="Arial"/>
                <w:b/>
                <w:bCs/>
                <w:sz w:val="20"/>
                <w:szCs w:val="20"/>
              </w:rPr>
              <w:t>Total</w:t>
            </w:r>
          </w:p>
        </w:tc>
      </w:tr>
      <w:tr w:rsidR="00D85665" w:rsidRPr="00650FA4">
        <w:trPr>
          <w:cantSplit/>
          <w:trHeight w:val="286"/>
          <w:jc w:val="center"/>
        </w:trPr>
        <w:tc>
          <w:tcPr>
            <w:tcW w:w="2355" w:type="dxa"/>
            <w:vMerge/>
            <w:tcBorders>
              <w:left w:val="double" w:sz="6" w:space="0" w:color="auto"/>
              <w:bottom w:val="double" w:sz="6" w:space="0" w:color="auto"/>
              <w:right w:val="single" w:sz="4" w:space="0" w:color="auto"/>
            </w:tcBorders>
            <w:shd w:val="clear" w:color="auto" w:fill="FFFFFF"/>
            <w:noWrap/>
            <w:tcMar>
              <w:top w:w="29" w:type="dxa"/>
              <w:left w:w="115" w:type="dxa"/>
              <w:bottom w:w="29" w:type="dxa"/>
              <w:right w:w="115" w:type="dxa"/>
            </w:tcMar>
            <w:vAlign w:val="bottom"/>
          </w:tcPr>
          <w:p w:rsidR="00D85665" w:rsidRPr="00650FA4" w:rsidRDefault="00D85665" w:rsidP="00054912">
            <w:pPr>
              <w:keepNext/>
              <w:keepLines/>
              <w:rPr>
                <w:rFonts w:cs="Arial"/>
                <w:b/>
                <w:bCs/>
                <w:sz w:val="20"/>
                <w:szCs w:val="20"/>
              </w:rPr>
            </w:pPr>
          </w:p>
        </w:tc>
        <w:tc>
          <w:tcPr>
            <w:tcW w:w="5661" w:type="dxa"/>
            <w:gridSpan w:val="4"/>
            <w:tcBorders>
              <w:top w:val="nil"/>
              <w:left w:val="nil"/>
              <w:bottom w:val="double" w:sz="6" w:space="0" w:color="auto"/>
              <w:right w:val="double" w:sz="6" w:space="0" w:color="auto"/>
            </w:tcBorders>
            <w:shd w:val="clear" w:color="auto" w:fill="FFFFFF"/>
            <w:tcMar>
              <w:top w:w="29" w:type="dxa"/>
              <w:left w:w="115" w:type="dxa"/>
              <w:bottom w:w="29" w:type="dxa"/>
              <w:right w:w="115" w:type="dxa"/>
            </w:tcMar>
            <w:vAlign w:val="center"/>
          </w:tcPr>
          <w:p w:rsidR="00D85665" w:rsidRPr="00650FA4" w:rsidRDefault="00D85665" w:rsidP="00054912">
            <w:pPr>
              <w:keepNext/>
              <w:keepLines/>
              <w:jc w:val="center"/>
              <w:rPr>
                <w:rFonts w:cs="Arial"/>
                <w:b/>
                <w:bCs/>
                <w:sz w:val="20"/>
                <w:szCs w:val="20"/>
              </w:rPr>
            </w:pPr>
            <w:r w:rsidRPr="00650FA4">
              <w:rPr>
                <w:rFonts w:cs="Arial"/>
                <w:b/>
                <w:bCs/>
                <w:sz w:val="20"/>
                <w:szCs w:val="20"/>
              </w:rPr>
              <w:t>Baseline Burden</w:t>
            </w:r>
          </w:p>
        </w:tc>
      </w:tr>
      <w:tr w:rsidR="001565C5" w:rsidRPr="00650FA4">
        <w:trPr>
          <w:trHeight w:val="286"/>
          <w:jc w:val="center"/>
        </w:trPr>
        <w:tc>
          <w:tcPr>
            <w:tcW w:w="2355" w:type="dxa"/>
            <w:tcBorders>
              <w:top w:val="nil"/>
              <w:left w:val="double" w:sz="6"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1565C5" w:rsidRPr="00650FA4" w:rsidRDefault="001565C5" w:rsidP="00054912">
            <w:pPr>
              <w:keepNext/>
              <w:keepLines/>
              <w:rPr>
                <w:rFonts w:cs="Arial"/>
                <w:b/>
                <w:bCs/>
                <w:sz w:val="20"/>
                <w:szCs w:val="20"/>
              </w:rPr>
            </w:pPr>
            <w:r w:rsidRPr="00650FA4">
              <w:rPr>
                <w:rFonts w:cs="Arial"/>
                <w:b/>
                <w:bCs/>
                <w:sz w:val="20"/>
                <w:szCs w:val="20"/>
              </w:rPr>
              <w:t>17% Overhead</w:t>
            </w:r>
          </w:p>
        </w:tc>
        <w:tc>
          <w:tcPr>
            <w:tcW w:w="166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w:t>
            </w:r>
            <w:r w:rsidR="00F21434">
              <w:rPr>
                <w:rFonts w:cs="Arial"/>
                <w:sz w:val="20"/>
                <w:szCs w:val="20"/>
              </w:rPr>
              <w:t>801</w:t>
            </w:r>
            <w:r w:rsidRPr="00650FA4">
              <w:rPr>
                <w:rFonts w:cs="Arial"/>
                <w:sz w:val="20"/>
                <w:szCs w:val="20"/>
              </w:rPr>
              <w:t xml:space="preserve"> </w:t>
            </w:r>
          </w:p>
        </w:tc>
        <w:tc>
          <w:tcPr>
            <w:tcW w:w="1416" w:type="dxa"/>
            <w:tcBorders>
              <w:top w:val="nil"/>
              <w:left w:val="nil"/>
              <w:bottom w:val="single" w:sz="4" w:space="0" w:color="auto"/>
              <w:right w:val="single" w:sz="4" w:space="0" w:color="auto"/>
            </w:tcBorders>
            <w:noWrap/>
            <w:tcMar>
              <w:top w:w="29" w:type="dxa"/>
              <w:left w:w="115" w:type="dxa"/>
              <w:bottom w:w="29" w:type="dxa"/>
              <w:right w:w="115" w:type="dxa"/>
            </w:tcMar>
            <w:vAlign w:val="center"/>
          </w:tcPr>
          <w:p w:rsidR="001565C5" w:rsidRPr="00650FA4" w:rsidRDefault="001B6A90" w:rsidP="00F21434">
            <w:pPr>
              <w:keepNext/>
              <w:keepLines/>
              <w:jc w:val="right"/>
              <w:rPr>
                <w:rFonts w:cs="Arial"/>
                <w:sz w:val="20"/>
                <w:szCs w:val="20"/>
              </w:rPr>
            </w:pPr>
            <w:r>
              <w:rPr>
                <w:rFonts w:cs="Arial"/>
                <w:sz w:val="20"/>
                <w:szCs w:val="20"/>
              </w:rPr>
              <w:t>$</w:t>
            </w:r>
            <w:r w:rsidR="00F21434">
              <w:rPr>
                <w:rFonts w:cs="Arial"/>
                <w:sz w:val="20"/>
                <w:szCs w:val="20"/>
              </w:rPr>
              <w:t>3.0</w:t>
            </w:r>
            <w:r w:rsidR="001565C5" w:rsidRPr="00650FA4">
              <w:rPr>
                <w:rFonts w:cs="Arial"/>
                <w:sz w:val="20"/>
                <w:szCs w:val="20"/>
              </w:rPr>
              <w:t xml:space="preserve"> </w:t>
            </w:r>
          </w:p>
        </w:tc>
        <w:tc>
          <w:tcPr>
            <w:tcW w:w="1228"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w:t>
            </w:r>
            <w:r w:rsidR="001B6A90">
              <w:rPr>
                <w:rFonts w:cs="Arial"/>
                <w:sz w:val="20"/>
                <w:szCs w:val="20"/>
              </w:rPr>
              <w:t>1</w:t>
            </w:r>
            <w:r w:rsidR="00F21434">
              <w:rPr>
                <w:rFonts w:cs="Arial"/>
                <w:sz w:val="20"/>
                <w:szCs w:val="20"/>
              </w:rPr>
              <w:t>84</w:t>
            </w:r>
            <w:r w:rsidRPr="00650FA4">
              <w:rPr>
                <w:rFonts w:cs="Arial"/>
                <w:sz w:val="20"/>
                <w:szCs w:val="20"/>
              </w:rPr>
              <w:t xml:space="preserve"> </w:t>
            </w:r>
          </w:p>
        </w:tc>
        <w:tc>
          <w:tcPr>
            <w:tcW w:w="1357" w:type="dxa"/>
            <w:tcBorders>
              <w:top w:val="nil"/>
              <w:left w:val="nil"/>
              <w:bottom w:val="single" w:sz="4" w:space="0" w:color="auto"/>
              <w:right w:val="double" w:sz="6" w:space="0" w:color="auto"/>
            </w:tcBorders>
            <w:shd w:val="clear" w:color="auto" w:fill="FFFFFF"/>
            <w:noWrap/>
            <w:tcMar>
              <w:top w:w="29" w:type="dxa"/>
              <w:left w:w="115" w:type="dxa"/>
              <w:bottom w:w="29" w:type="dxa"/>
              <w:right w:w="115" w:type="dxa"/>
            </w:tcMar>
            <w:vAlign w:val="center"/>
          </w:tcPr>
          <w:p w:rsidR="001565C5" w:rsidRPr="00650FA4" w:rsidRDefault="00A15DF0" w:rsidP="00F21434">
            <w:pPr>
              <w:keepNext/>
              <w:keepLines/>
              <w:jc w:val="right"/>
              <w:rPr>
                <w:rFonts w:cs="Arial"/>
                <w:sz w:val="20"/>
                <w:szCs w:val="20"/>
              </w:rPr>
            </w:pPr>
            <w:r w:rsidRPr="00650FA4">
              <w:rPr>
                <w:rFonts w:cs="Arial"/>
                <w:sz w:val="20"/>
                <w:szCs w:val="20"/>
              </w:rPr>
              <w:t>$</w:t>
            </w:r>
            <w:r w:rsidR="00F21434">
              <w:rPr>
                <w:rFonts w:cs="Arial"/>
                <w:sz w:val="20"/>
                <w:szCs w:val="20"/>
              </w:rPr>
              <w:t>9</w:t>
            </w:r>
            <w:r w:rsidR="00E0554E" w:rsidRPr="00650FA4">
              <w:rPr>
                <w:rFonts w:cs="Arial"/>
                <w:sz w:val="20"/>
                <w:szCs w:val="20"/>
              </w:rPr>
              <w:t>8</w:t>
            </w:r>
            <w:r w:rsidR="001B6A90">
              <w:rPr>
                <w:rFonts w:cs="Arial"/>
                <w:sz w:val="20"/>
                <w:szCs w:val="20"/>
              </w:rPr>
              <w:t>7</w:t>
            </w:r>
            <w:r w:rsidR="001565C5" w:rsidRPr="00650FA4">
              <w:rPr>
                <w:rFonts w:cs="Arial"/>
                <w:sz w:val="20"/>
                <w:szCs w:val="20"/>
              </w:rPr>
              <w:t xml:space="preserve"> </w:t>
            </w:r>
          </w:p>
        </w:tc>
      </w:tr>
      <w:tr w:rsidR="001565C5" w:rsidRPr="00650FA4">
        <w:trPr>
          <w:trHeight w:val="272"/>
          <w:jc w:val="center"/>
        </w:trPr>
        <w:tc>
          <w:tcPr>
            <w:tcW w:w="2355" w:type="dxa"/>
            <w:tcBorders>
              <w:top w:val="nil"/>
              <w:left w:val="double" w:sz="6"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rsidR="001565C5" w:rsidRPr="00650FA4" w:rsidRDefault="001565C5" w:rsidP="00054912">
            <w:pPr>
              <w:keepNext/>
              <w:keepLines/>
              <w:rPr>
                <w:rFonts w:cs="Arial"/>
                <w:b/>
                <w:bCs/>
                <w:sz w:val="20"/>
                <w:szCs w:val="20"/>
              </w:rPr>
            </w:pPr>
            <w:r w:rsidRPr="00650FA4">
              <w:rPr>
                <w:rFonts w:cs="Arial"/>
                <w:b/>
                <w:bCs/>
                <w:sz w:val="20"/>
                <w:szCs w:val="20"/>
              </w:rPr>
              <w:t>50% Overhead</w:t>
            </w:r>
          </w:p>
        </w:tc>
        <w:tc>
          <w:tcPr>
            <w:tcW w:w="166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w:t>
            </w:r>
            <w:r w:rsidR="00F21434">
              <w:rPr>
                <w:rFonts w:cs="Arial"/>
                <w:sz w:val="20"/>
                <w:szCs w:val="20"/>
              </w:rPr>
              <w:t>1,025</w:t>
            </w:r>
            <w:r w:rsidRPr="00650FA4">
              <w:rPr>
                <w:rFonts w:cs="Arial"/>
                <w:sz w:val="20"/>
                <w:szCs w:val="20"/>
              </w:rPr>
              <w:t xml:space="preserve"> </w:t>
            </w:r>
          </w:p>
        </w:tc>
        <w:tc>
          <w:tcPr>
            <w:tcW w:w="1416" w:type="dxa"/>
            <w:tcBorders>
              <w:top w:val="nil"/>
              <w:left w:val="nil"/>
              <w:bottom w:val="single" w:sz="4" w:space="0" w:color="auto"/>
              <w:right w:val="single" w:sz="4" w:space="0" w:color="auto"/>
            </w:tcBorders>
            <w:noWrap/>
            <w:tcMar>
              <w:top w:w="29" w:type="dxa"/>
              <w:left w:w="115" w:type="dxa"/>
              <w:bottom w:w="29" w:type="dxa"/>
              <w:right w:w="115" w:type="dxa"/>
            </w:tcMar>
            <w:vAlign w:val="center"/>
          </w:tcPr>
          <w:p w:rsidR="001565C5" w:rsidRPr="00650FA4" w:rsidRDefault="001B6A90" w:rsidP="00F21434">
            <w:pPr>
              <w:keepNext/>
              <w:keepLines/>
              <w:jc w:val="right"/>
              <w:rPr>
                <w:rFonts w:cs="Arial"/>
                <w:sz w:val="20"/>
                <w:szCs w:val="20"/>
              </w:rPr>
            </w:pPr>
            <w:r>
              <w:rPr>
                <w:rFonts w:cs="Arial"/>
                <w:sz w:val="20"/>
                <w:szCs w:val="20"/>
              </w:rPr>
              <w:t>$</w:t>
            </w:r>
            <w:r w:rsidR="00F21434">
              <w:rPr>
                <w:rFonts w:cs="Arial"/>
                <w:sz w:val="20"/>
                <w:szCs w:val="20"/>
              </w:rPr>
              <w:t>3.0</w:t>
            </w:r>
            <w:r w:rsidR="001565C5" w:rsidRPr="00650FA4">
              <w:rPr>
                <w:rFonts w:cs="Arial"/>
                <w:sz w:val="20"/>
                <w:szCs w:val="20"/>
              </w:rPr>
              <w:t xml:space="preserve"> </w:t>
            </w:r>
          </w:p>
        </w:tc>
        <w:tc>
          <w:tcPr>
            <w:tcW w:w="1228"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w:t>
            </w:r>
            <w:r w:rsidR="00A65E74">
              <w:rPr>
                <w:rFonts w:cs="Arial"/>
                <w:sz w:val="20"/>
                <w:szCs w:val="20"/>
              </w:rPr>
              <w:t>1</w:t>
            </w:r>
            <w:r w:rsidR="00F21434">
              <w:rPr>
                <w:rFonts w:cs="Arial"/>
                <w:sz w:val="20"/>
                <w:szCs w:val="20"/>
              </w:rPr>
              <w:t>84</w:t>
            </w:r>
          </w:p>
        </w:tc>
        <w:tc>
          <w:tcPr>
            <w:tcW w:w="1357" w:type="dxa"/>
            <w:tcBorders>
              <w:top w:val="nil"/>
              <w:left w:val="nil"/>
              <w:bottom w:val="single" w:sz="4" w:space="0" w:color="auto"/>
              <w:right w:val="double" w:sz="6"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w:t>
            </w:r>
            <w:r w:rsidR="00B72B5E">
              <w:rPr>
                <w:rFonts w:cs="Arial"/>
                <w:sz w:val="20"/>
                <w:szCs w:val="20"/>
              </w:rPr>
              <w:t>1,</w:t>
            </w:r>
            <w:r w:rsidR="00F21434">
              <w:rPr>
                <w:rFonts w:cs="Arial"/>
                <w:sz w:val="20"/>
                <w:szCs w:val="20"/>
              </w:rPr>
              <w:t>211</w:t>
            </w:r>
            <w:r w:rsidRPr="00650FA4">
              <w:rPr>
                <w:rFonts w:cs="Arial"/>
                <w:sz w:val="20"/>
                <w:szCs w:val="20"/>
              </w:rPr>
              <w:t xml:space="preserve"> </w:t>
            </w:r>
          </w:p>
        </w:tc>
      </w:tr>
      <w:tr w:rsidR="001565C5" w:rsidRPr="00650FA4">
        <w:trPr>
          <w:trHeight w:val="286"/>
          <w:jc w:val="center"/>
        </w:trPr>
        <w:tc>
          <w:tcPr>
            <w:tcW w:w="2355" w:type="dxa"/>
            <w:tcBorders>
              <w:top w:val="nil"/>
              <w:left w:val="double" w:sz="6" w:space="0" w:color="auto"/>
              <w:bottom w:val="double" w:sz="6" w:space="0" w:color="auto"/>
              <w:right w:val="single" w:sz="4" w:space="0" w:color="auto"/>
            </w:tcBorders>
            <w:shd w:val="clear" w:color="auto" w:fill="FFFFFF"/>
            <w:noWrap/>
            <w:tcMar>
              <w:top w:w="29" w:type="dxa"/>
              <w:left w:w="115" w:type="dxa"/>
              <w:bottom w:w="29" w:type="dxa"/>
              <w:right w:w="115" w:type="dxa"/>
            </w:tcMar>
            <w:vAlign w:val="bottom"/>
          </w:tcPr>
          <w:p w:rsidR="001565C5" w:rsidRPr="00650FA4" w:rsidRDefault="001565C5" w:rsidP="00054912">
            <w:pPr>
              <w:keepNext/>
              <w:keepLines/>
              <w:rPr>
                <w:rFonts w:cs="Arial"/>
                <w:b/>
                <w:bCs/>
                <w:sz w:val="20"/>
                <w:szCs w:val="20"/>
              </w:rPr>
            </w:pPr>
            <w:r w:rsidRPr="00650FA4">
              <w:rPr>
                <w:rFonts w:cs="Arial"/>
                <w:b/>
                <w:bCs/>
                <w:sz w:val="20"/>
                <w:szCs w:val="20"/>
              </w:rPr>
              <w:t>100% Overhead</w:t>
            </w:r>
          </w:p>
        </w:tc>
        <w:tc>
          <w:tcPr>
            <w:tcW w:w="1660" w:type="dxa"/>
            <w:tcBorders>
              <w:top w:val="nil"/>
              <w:left w:val="nil"/>
              <w:bottom w:val="double" w:sz="6" w:space="0" w:color="auto"/>
              <w:right w:val="single" w:sz="4"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$1,</w:t>
            </w:r>
            <w:r w:rsidR="00F21434">
              <w:rPr>
                <w:rFonts w:cs="Arial"/>
                <w:sz w:val="20"/>
                <w:szCs w:val="20"/>
              </w:rPr>
              <w:t>369</w:t>
            </w:r>
          </w:p>
        </w:tc>
        <w:tc>
          <w:tcPr>
            <w:tcW w:w="1416" w:type="dxa"/>
            <w:tcBorders>
              <w:top w:val="nil"/>
              <w:left w:val="nil"/>
              <w:bottom w:val="double" w:sz="6" w:space="0" w:color="auto"/>
              <w:right w:val="single" w:sz="4" w:space="0" w:color="auto"/>
            </w:tcBorders>
            <w:noWrap/>
            <w:tcMar>
              <w:top w:w="29" w:type="dxa"/>
              <w:left w:w="115" w:type="dxa"/>
              <w:bottom w:w="29" w:type="dxa"/>
              <w:right w:w="115" w:type="dxa"/>
            </w:tcMar>
            <w:vAlign w:val="center"/>
          </w:tcPr>
          <w:p w:rsidR="001565C5" w:rsidRPr="00650FA4" w:rsidRDefault="001B6A90" w:rsidP="00F21434">
            <w:pPr>
              <w:keepNext/>
              <w:keepLines/>
              <w:jc w:val="right"/>
              <w:rPr>
                <w:rFonts w:cs="Arial"/>
                <w:sz w:val="20"/>
                <w:szCs w:val="20"/>
              </w:rPr>
            </w:pPr>
            <w:r>
              <w:rPr>
                <w:rFonts w:cs="Arial"/>
                <w:sz w:val="20"/>
                <w:szCs w:val="20"/>
              </w:rPr>
              <w:t>$</w:t>
            </w:r>
            <w:r w:rsidR="00F21434">
              <w:rPr>
                <w:rFonts w:cs="Arial"/>
                <w:sz w:val="20"/>
                <w:szCs w:val="20"/>
              </w:rPr>
              <w:t>3.0</w:t>
            </w:r>
            <w:r w:rsidR="001565C5" w:rsidRPr="00650FA4">
              <w:rPr>
                <w:rFonts w:cs="Arial"/>
                <w:sz w:val="20"/>
                <w:szCs w:val="20"/>
              </w:rPr>
              <w:t xml:space="preserve"> </w:t>
            </w:r>
          </w:p>
        </w:tc>
        <w:tc>
          <w:tcPr>
            <w:tcW w:w="1228" w:type="dxa"/>
            <w:tcBorders>
              <w:top w:val="nil"/>
              <w:left w:val="nil"/>
              <w:bottom w:val="double" w:sz="6" w:space="0" w:color="auto"/>
              <w:right w:val="single" w:sz="4"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w:t>
            </w:r>
            <w:r w:rsidR="00A65E74">
              <w:rPr>
                <w:rFonts w:cs="Arial"/>
                <w:sz w:val="20"/>
                <w:szCs w:val="20"/>
              </w:rPr>
              <w:t>1</w:t>
            </w:r>
            <w:r w:rsidR="00F21434">
              <w:rPr>
                <w:rFonts w:cs="Arial"/>
                <w:sz w:val="20"/>
                <w:szCs w:val="20"/>
              </w:rPr>
              <w:t>84</w:t>
            </w:r>
          </w:p>
        </w:tc>
        <w:tc>
          <w:tcPr>
            <w:tcW w:w="1357" w:type="dxa"/>
            <w:tcBorders>
              <w:top w:val="nil"/>
              <w:left w:val="nil"/>
              <w:bottom w:val="double" w:sz="6" w:space="0" w:color="auto"/>
              <w:right w:val="double" w:sz="6" w:space="0" w:color="auto"/>
            </w:tcBorders>
            <w:shd w:val="clear" w:color="auto" w:fill="FFFFFF"/>
            <w:noWrap/>
            <w:tcMar>
              <w:top w:w="29" w:type="dxa"/>
              <w:left w:w="115" w:type="dxa"/>
              <w:bottom w:w="29" w:type="dxa"/>
              <w:right w:w="115" w:type="dxa"/>
            </w:tcMar>
            <w:vAlign w:val="center"/>
          </w:tcPr>
          <w:p w:rsidR="001565C5" w:rsidRPr="00650FA4" w:rsidRDefault="001565C5" w:rsidP="00F21434">
            <w:pPr>
              <w:keepNext/>
              <w:keepLines/>
              <w:jc w:val="right"/>
              <w:rPr>
                <w:rFonts w:cs="Arial"/>
                <w:sz w:val="20"/>
                <w:szCs w:val="20"/>
              </w:rPr>
            </w:pPr>
            <w:r w:rsidRPr="00650FA4">
              <w:rPr>
                <w:rFonts w:cs="Arial"/>
                <w:sz w:val="20"/>
                <w:szCs w:val="20"/>
              </w:rPr>
              <w:t>$</w:t>
            </w:r>
            <w:r w:rsidR="00A15DF0" w:rsidRPr="00650FA4">
              <w:rPr>
                <w:rFonts w:cs="Arial"/>
                <w:sz w:val="20"/>
                <w:szCs w:val="20"/>
              </w:rPr>
              <w:t>1,</w:t>
            </w:r>
            <w:r w:rsidR="00F21434">
              <w:rPr>
                <w:rFonts w:cs="Arial"/>
                <w:sz w:val="20"/>
                <w:szCs w:val="20"/>
              </w:rPr>
              <w:t>556</w:t>
            </w:r>
            <w:r w:rsidRPr="00650FA4">
              <w:rPr>
                <w:rFonts w:cs="Arial"/>
                <w:sz w:val="20"/>
                <w:szCs w:val="20"/>
              </w:rPr>
              <w:t xml:space="preserve"> </w:t>
            </w:r>
          </w:p>
        </w:tc>
      </w:tr>
    </w:tbl>
    <w:p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85665" w:rsidRPr="00854FC2" w:rsidRDefault="00D85665">
      <w:pPr>
        <w:pStyle w:val="Foote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w:rPr>
        <w:sectPr w:rsidR="00D85665" w:rsidRPr="00854FC2">
          <w:pgSz w:w="12240" w:h="15840"/>
          <w:pgMar w:top="1440" w:right="1440" w:bottom="720" w:left="1440" w:header="720" w:footer="720" w:gutter="0"/>
          <w:cols w:space="720"/>
          <w:noEndnote/>
        </w:sectPr>
      </w:pPr>
    </w:p>
    <w:p w:rsidR="00D85665" w:rsidRPr="00674FAE" w:rsidRDefault="00D85665" w:rsidP="00A15DF0">
      <w:pPr>
        <w:pStyle w:val="Caption"/>
        <w:keepNext/>
        <w:outlineLvl w:val="0"/>
      </w:pPr>
      <w:bookmarkStart w:id="11" w:name="_Ref141695125"/>
      <w:r w:rsidRPr="00342898">
        <w:lastRenderedPageBreak/>
        <w:t xml:space="preserve">Exhibit </w:t>
      </w:r>
      <w:r w:rsidR="002348E6">
        <w:fldChar w:fldCharType="begin"/>
      </w:r>
      <w:r w:rsidR="002348E6">
        <w:instrText xml:space="preserve"> SEQ Exhibit \* ARABIC </w:instrText>
      </w:r>
      <w:r w:rsidR="002348E6">
        <w:fldChar w:fldCharType="separate"/>
      </w:r>
      <w:r w:rsidR="00F61EFD">
        <w:rPr>
          <w:noProof/>
        </w:rPr>
        <w:t>13</w:t>
      </w:r>
      <w:r w:rsidR="002348E6">
        <w:fldChar w:fldCharType="end"/>
      </w:r>
      <w:bookmarkEnd w:id="11"/>
    </w:p>
    <w:tbl>
      <w:tblPr>
        <w:tblW w:w="13000" w:type="dxa"/>
        <w:tblInd w:w="-705" w:type="dxa"/>
        <w:tblCellMar>
          <w:left w:w="0" w:type="dxa"/>
          <w:right w:w="0" w:type="dxa"/>
        </w:tblCellMar>
        <w:tblLook w:val="0000"/>
      </w:tblPr>
      <w:tblGrid>
        <w:gridCol w:w="2526"/>
        <w:gridCol w:w="1460"/>
        <w:gridCol w:w="1436"/>
        <w:gridCol w:w="1410"/>
        <w:gridCol w:w="1421"/>
        <w:gridCol w:w="977"/>
        <w:gridCol w:w="1532"/>
        <w:gridCol w:w="927"/>
        <w:gridCol w:w="1311"/>
      </w:tblGrid>
      <w:tr w:rsidR="00D85665" w:rsidRPr="00674FAE" w:rsidTr="002C302E">
        <w:trPr>
          <w:trHeight w:val="300"/>
        </w:trPr>
        <w:tc>
          <w:tcPr>
            <w:tcW w:w="13000" w:type="dxa"/>
            <w:gridSpan w:val="9"/>
            <w:tcBorders>
              <w:top w:val="nil"/>
              <w:left w:val="nil"/>
              <w:bottom w:val="nil"/>
              <w:right w:val="nil"/>
            </w:tcBorders>
            <w:noWrap/>
            <w:tcMar>
              <w:top w:w="15" w:type="dxa"/>
              <w:left w:w="15" w:type="dxa"/>
              <w:bottom w:w="0" w:type="dxa"/>
              <w:right w:w="15" w:type="dxa"/>
            </w:tcMar>
            <w:vAlign w:val="bottom"/>
          </w:tcPr>
          <w:p w:rsidR="00D85665" w:rsidRPr="00674FAE" w:rsidRDefault="00C05D24">
            <w:pPr>
              <w:jc w:val="center"/>
              <w:rPr>
                <w:rFonts w:eastAsia="Arial Unicode MS" w:cs="Arial"/>
                <w:b/>
                <w:bCs/>
                <w:szCs w:val="22"/>
              </w:rPr>
            </w:pPr>
            <w:r w:rsidRPr="00674FAE">
              <w:rPr>
                <w:rFonts w:cs="Arial"/>
                <w:b/>
                <w:bCs/>
                <w:szCs w:val="22"/>
              </w:rPr>
              <w:t xml:space="preserve">Total </w:t>
            </w:r>
            <w:r w:rsidR="00D85665" w:rsidRPr="00674FAE">
              <w:rPr>
                <w:rFonts w:cs="Arial"/>
                <w:b/>
                <w:bCs/>
                <w:szCs w:val="22"/>
              </w:rPr>
              <w:t>Annual Burden and Costs</w:t>
            </w:r>
            <w:r w:rsidR="009B2E9E">
              <w:rPr>
                <w:rFonts w:cs="Arial"/>
                <w:b/>
                <w:bCs/>
                <w:szCs w:val="22"/>
              </w:rPr>
              <w:t xml:space="preserve"> for All Facilities</w:t>
            </w:r>
          </w:p>
        </w:tc>
      </w:tr>
      <w:tr w:rsidR="00D85665" w:rsidRPr="00674FAE" w:rsidTr="002C302E">
        <w:trPr>
          <w:trHeight w:val="315"/>
        </w:trPr>
        <w:tc>
          <w:tcPr>
            <w:tcW w:w="0" w:type="auto"/>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674FAE" w:rsidRDefault="00D85665">
            <w:pPr>
              <w:jc w:val="center"/>
              <w:rPr>
                <w:rFonts w:eastAsia="Arial Unicode MS" w:cs="Arial"/>
                <w:b/>
                <w:bCs/>
                <w:szCs w:val="22"/>
              </w:rPr>
            </w:pPr>
            <w:r w:rsidRPr="00674FAE">
              <w:rPr>
                <w:rFonts w:cs="Arial"/>
                <w:b/>
                <w:bCs/>
                <w:szCs w:val="22"/>
              </w:rPr>
              <w:t>Average Category I Facilit</w:t>
            </w:r>
            <w:r w:rsidR="00AA0535">
              <w:rPr>
                <w:rFonts w:cs="Arial"/>
                <w:b/>
                <w:bCs/>
                <w:szCs w:val="22"/>
              </w:rPr>
              <w:t>ies</w:t>
            </w:r>
            <w:r w:rsidRPr="00674FAE">
              <w:rPr>
                <w:rFonts w:cs="Arial"/>
                <w:b/>
                <w:bCs/>
                <w:szCs w:val="22"/>
              </w:rPr>
              <w:t xml:space="preserve"> (</w:t>
            </w:r>
            <w:r w:rsidR="00152058">
              <w:rPr>
                <w:rFonts w:cs="Arial"/>
                <w:b/>
                <w:bCs/>
                <w:szCs w:val="22"/>
              </w:rPr>
              <w:t>Tier I</w:t>
            </w:r>
            <w:r w:rsidRPr="00674FAE">
              <w:rPr>
                <w:rFonts w:cs="Arial"/>
                <w:b/>
                <w:bCs/>
                <w:szCs w:val="22"/>
              </w:rPr>
              <w:t>)</w:t>
            </w:r>
          </w:p>
        </w:tc>
      </w:tr>
      <w:tr w:rsidR="00D85665" w:rsidRPr="00674FAE" w:rsidTr="002C302E">
        <w:trPr>
          <w:cantSplit/>
          <w:trHeight w:val="285"/>
        </w:trPr>
        <w:tc>
          <w:tcPr>
            <w:tcW w:w="2526"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727"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674FAE" w:rsidRDefault="00D85665">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977"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Total Burden Hours</w:t>
            </w:r>
          </w:p>
        </w:tc>
        <w:tc>
          <w:tcPr>
            <w:tcW w:w="1532"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Capital/Startup Costs</w:t>
            </w:r>
          </w:p>
        </w:tc>
        <w:tc>
          <w:tcPr>
            <w:tcW w:w="927"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PE Costs</w:t>
            </w:r>
          </w:p>
        </w:tc>
        <w:tc>
          <w:tcPr>
            <w:tcW w:w="1311"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674FAE" w:rsidRDefault="002C0EBA" w:rsidP="007D2182">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w:t>
            </w:r>
            <w:r w:rsidR="007D2182">
              <w:rPr>
                <w:rFonts w:cs="Arial"/>
                <w:b/>
                <w:bCs/>
                <w:sz w:val="20"/>
                <w:szCs w:val="20"/>
              </w:rPr>
              <w:t>12</w:t>
            </w:r>
            <w:r>
              <w:rPr>
                <w:rFonts w:cs="Arial"/>
                <w:b/>
                <w:bCs/>
                <w:sz w:val="20"/>
                <w:szCs w:val="20"/>
              </w:rPr>
              <w:t>$)</w:t>
            </w:r>
            <w:r w:rsidRPr="00854FC2">
              <w:rPr>
                <w:rFonts w:cs="Arial"/>
                <w:b/>
                <w:bCs/>
                <w:sz w:val="20"/>
                <w:szCs w:val="20"/>
                <w:vertAlign w:val="superscript"/>
              </w:rPr>
              <w:t>2</w:t>
            </w:r>
          </w:p>
        </w:tc>
      </w:tr>
      <w:tr w:rsidR="00E74E6B" w:rsidRPr="00674FAE" w:rsidTr="002C302E">
        <w:trPr>
          <w:cantSplit/>
          <w:trHeight w:val="480"/>
        </w:trPr>
        <w:tc>
          <w:tcPr>
            <w:tcW w:w="0" w:type="auto"/>
            <w:vMerge/>
            <w:tcBorders>
              <w:top w:val="nil"/>
              <w:left w:val="double" w:sz="6"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1460"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Management</w:t>
            </w:r>
          </w:p>
        </w:tc>
        <w:tc>
          <w:tcPr>
            <w:tcW w:w="1436"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Technical</w:t>
            </w:r>
          </w:p>
        </w:tc>
        <w:tc>
          <w:tcPr>
            <w:tcW w:w="1410"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Drafter</w:t>
            </w:r>
          </w:p>
        </w:tc>
        <w:tc>
          <w:tcPr>
            <w:tcW w:w="1421"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Clerical</w:t>
            </w:r>
          </w:p>
        </w:tc>
        <w:tc>
          <w:tcPr>
            <w:tcW w:w="0" w:type="auto"/>
            <w:vMerge/>
            <w:tcBorders>
              <w:top w:val="nil"/>
              <w:left w:val="nil"/>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674FAE" w:rsidRDefault="00D85665">
            <w:pPr>
              <w:rPr>
                <w:rFonts w:eastAsia="Arial Unicode MS" w:cs="Arial"/>
                <w:b/>
                <w:bCs/>
                <w:sz w:val="20"/>
                <w:szCs w:val="20"/>
              </w:rPr>
            </w:pPr>
          </w:p>
        </w:tc>
      </w:tr>
      <w:tr w:rsidR="00D85665" w:rsidRPr="00674FAE" w:rsidTr="002C302E">
        <w:trPr>
          <w:trHeight w:val="270"/>
        </w:trPr>
        <w:tc>
          <w:tcPr>
            <w:tcW w:w="13000"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rsidRDefault="00D85665">
            <w:pPr>
              <w:pStyle w:val="Heading5"/>
              <w:rPr>
                <w:rFonts w:eastAsia="Arial Unicode MS"/>
                <w:szCs w:val="20"/>
              </w:rPr>
            </w:pPr>
            <w:r w:rsidRPr="00674FAE">
              <w:rPr>
                <w:szCs w:val="20"/>
              </w:rPr>
              <w:t>Existing Facilities</w:t>
            </w:r>
          </w:p>
        </w:tc>
      </w:tr>
      <w:tr w:rsidR="00E74E6B" w:rsidRPr="00674FAE" w:rsidTr="002C302E">
        <w:trPr>
          <w:trHeight w:val="360"/>
        </w:trPr>
        <w:tc>
          <w:tcPr>
            <w:tcW w:w="2526" w:type="dxa"/>
            <w:tcBorders>
              <w:top w:val="nil"/>
              <w:left w:val="double" w:sz="6" w:space="0" w:color="000000"/>
              <w:bottom w:val="nil"/>
              <w:right w:val="nil"/>
            </w:tcBorders>
            <w:tcMar>
              <w:top w:w="15" w:type="dxa"/>
              <w:left w:w="15" w:type="dxa"/>
              <w:bottom w:w="0" w:type="dxa"/>
              <w:right w:w="15" w:type="dxa"/>
            </w:tcMar>
            <w:vAlign w:val="center"/>
          </w:tcPr>
          <w:p w:rsidR="00BA14A3" w:rsidRPr="00674FAE" w:rsidRDefault="00BA14A3">
            <w:pPr>
              <w:pStyle w:val="FootnoteText"/>
              <w:rPr>
                <w:rFonts w:eastAsia="Arial Unicode MS" w:cs="Arial"/>
              </w:rPr>
            </w:pPr>
            <w:r w:rsidRPr="00674FAE">
              <w:rPr>
                <w:rFonts w:cs="Arial"/>
              </w:rPr>
              <w:t>Review the SPCC Plan</w:t>
            </w:r>
          </w:p>
        </w:tc>
        <w:tc>
          <w:tcPr>
            <w:tcW w:w="1460"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9</w:t>
            </w:r>
            <w:r w:rsidR="00E74E6B">
              <w:rPr>
                <w:rFonts w:cs="Arial"/>
                <w:sz w:val="20"/>
                <w:szCs w:val="20"/>
              </w:rPr>
              <w:t>2</w:t>
            </w:r>
            <w:r w:rsidRPr="00674FAE">
              <w:rPr>
                <w:rFonts w:cs="Arial"/>
                <w:sz w:val="20"/>
                <w:szCs w:val="20"/>
              </w:rPr>
              <w:t>,</w:t>
            </w:r>
            <w:r w:rsidR="00E74E6B">
              <w:rPr>
                <w:rFonts w:cs="Arial"/>
                <w:sz w:val="20"/>
                <w:szCs w:val="20"/>
              </w:rPr>
              <w:t>0</w:t>
            </w:r>
            <w:r w:rsidRPr="00674FAE">
              <w:rPr>
                <w:rFonts w:cs="Arial"/>
                <w:sz w:val="20"/>
                <w:szCs w:val="20"/>
              </w:rPr>
              <w:t>00</w:t>
            </w:r>
          </w:p>
        </w:tc>
        <w:tc>
          <w:tcPr>
            <w:tcW w:w="1436"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7</w:t>
            </w:r>
            <w:r w:rsidR="00E74E6B">
              <w:rPr>
                <w:rFonts w:cs="Arial"/>
                <w:sz w:val="20"/>
                <w:szCs w:val="20"/>
              </w:rPr>
              <w:t>07</w:t>
            </w:r>
            <w:r w:rsidRPr="00674FAE">
              <w:rPr>
                <w:rFonts w:cs="Arial"/>
                <w:sz w:val="20"/>
                <w:szCs w:val="20"/>
              </w:rPr>
              <w:t>,000</w:t>
            </w:r>
          </w:p>
        </w:tc>
        <w:tc>
          <w:tcPr>
            <w:tcW w:w="1410"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9</w:t>
            </w:r>
            <w:r w:rsidR="00E74E6B">
              <w:rPr>
                <w:rFonts w:cs="Arial"/>
                <w:sz w:val="20"/>
                <w:szCs w:val="20"/>
              </w:rPr>
              <w:t>2</w:t>
            </w:r>
            <w:r w:rsidRPr="00674FAE">
              <w:rPr>
                <w:rFonts w:cs="Arial"/>
                <w:sz w:val="20"/>
                <w:szCs w:val="20"/>
              </w:rPr>
              <w:t>,00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E74E6B" w:rsidP="00BA14A3">
            <w:pPr>
              <w:jc w:val="right"/>
              <w:rPr>
                <w:rFonts w:cs="Arial"/>
                <w:sz w:val="20"/>
                <w:szCs w:val="20"/>
              </w:rPr>
            </w:pPr>
            <w:r>
              <w:rPr>
                <w:rFonts w:cs="Arial"/>
                <w:sz w:val="20"/>
                <w:szCs w:val="20"/>
              </w:rPr>
              <w:t>861</w:t>
            </w:r>
            <w:r w:rsidR="00BA14A3" w:rsidRPr="00674FAE">
              <w:rPr>
                <w:rFonts w:cs="Arial"/>
                <w:sz w:val="20"/>
                <w:szCs w:val="20"/>
              </w:rPr>
              <w:t>,000</w:t>
            </w:r>
          </w:p>
        </w:tc>
        <w:tc>
          <w:tcPr>
            <w:tcW w:w="153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27"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BA14A3" w:rsidRPr="00674FAE" w:rsidRDefault="00890A99" w:rsidP="00E74E6B">
            <w:pPr>
              <w:jc w:val="right"/>
              <w:rPr>
                <w:rFonts w:cs="Arial"/>
                <w:sz w:val="20"/>
                <w:szCs w:val="20"/>
              </w:rPr>
            </w:pPr>
            <w:r>
              <w:rPr>
                <w:rFonts w:cs="Arial"/>
                <w:sz w:val="20"/>
                <w:szCs w:val="20"/>
              </w:rPr>
              <w:t>$</w:t>
            </w:r>
            <w:r w:rsidR="00E74E6B">
              <w:rPr>
                <w:rFonts w:cs="Arial"/>
                <w:sz w:val="20"/>
                <w:szCs w:val="20"/>
              </w:rPr>
              <w:t>80</w:t>
            </w:r>
            <w:r>
              <w:rPr>
                <w:rFonts w:cs="Arial"/>
                <w:sz w:val="20"/>
                <w:szCs w:val="20"/>
              </w:rPr>
              <w:t>,</w:t>
            </w:r>
            <w:r w:rsidR="00E74E6B">
              <w:rPr>
                <w:rFonts w:cs="Arial"/>
                <w:sz w:val="20"/>
                <w:szCs w:val="20"/>
              </w:rPr>
              <w:t>1</w:t>
            </w:r>
            <w:r w:rsidR="00BA14A3" w:rsidRPr="00674FAE">
              <w:rPr>
                <w:rFonts w:cs="Arial"/>
                <w:sz w:val="20"/>
                <w:szCs w:val="20"/>
              </w:rPr>
              <w:t>00,000</w:t>
            </w:r>
          </w:p>
        </w:tc>
      </w:tr>
      <w:tr w:rsidR="00E74E6B" w:rsidRPr="00674FAE" w:rsidTr="002C302E">
        <w:trPr>
          <w:trHeight w:val="915"/>
        </w:trPr>
        <w:tc>
          <w:tcPr>
            <w:tcW w:w="2526"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Submit Information in the Event of Certain Discharges of Oil</w:t>
            </w:r>
          </w:p>
        </w:tc>
        <w:tc>
          <w:tcPr>
            <w:tcW w:w="1460"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3</w:t>
            </w:r>
            <w:r w:rsidR="00E74E6B">
              <w:rPr>
                <w:rFonts w:cs="Arial"/>
                <w:sz w:val="20"/>
                <w:szCs w:val="20"/>
              </w:rPr>
              <w:t>70</w:t>
            </w:r>
          </w:p>
        </w:tc>
        <w:tc>
          <w:tcPr>
            <w:tcW w:w="1436"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3</w:t>
            </w:r>
            <w:r w:rsidR="00E74E6B">
              <w:rPr>
                <w:rFonts w:cs="Arial"/>
                <w:sz w:val="20"/>
                <w:szCs w:val="20"/>
              </w:rPr>
              <w:t>70</w:t>
            </w:r>
          </w:p>
        </w:tc>
        <w:tc>
          <w:tcPr>
            <w:tcW w:w="1410"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7</w:t>
            </w:r>
            <w:r w:rsidR="00E74E6B">
              <w:rPr>
                <w:rFonts w:cs="Arial"/>
                <w:sz w:val="20"/>
                <w:szCs w:val="20"/>
              </w:rPr>
              <w:t>41</w:t>
            </w:r>
          </w:p>
        </w:tc>
        <w:tc>
          <w:tcPr>
            <w:tcW w:w="153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890A99" w:rsidP="00E74E6B">
            <w:pPr>
              <w:jc w:val="right"/>
              <w:rPr>
                <w:rFonts w:cs="Arial"/>
                <w:sz w:val="20"/>
                <w:szCs w:val="20"/>
              </w:rPr>
            </w:pPr>
            <w:r>
              <w:rPr>
                <w:rFonts w:cs="Arial"/>
                <w:sz w:val="20"/>
                <w:szCs w:val="20"/>
              </w:rPr>
              <w:t>$7,</w:t>
            </w:r>
            <w:r w:rsidR="00E74E6B">
              <w:rPr>
                <w:rFonts w:cs="Arial"/>
                <w:sz w:val="20"/>
                <w:szCs w:val="20"/>
              </w:rPr>
              <w:t>434</w:t>
            </w:r>
          </w:p>
        </w:tc>
        <w:tc>
          <w:tcPr>
            <w:tcW w:w="927"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BA14A3" w:rsidRPr="00674FAE" w:rsidRDefault="00890A99" w:rsidP="00E74E6B">
            <w:pPr>
              <w:jc w:val="right"/>
              <w:rPr>
                <w:rFonts w:cs="Arial"/>
                <w:sz w:val="20"/>
                <w:szCs w:val="20"/>
              </w:rPr>
            </w:pPr>
            <w:r>
              <w:rPr>
                <w:rFonts w:cs="Arial"/>
                <w:sz w:val="20"/>
                <w:szCs w:val="20"/>
              </w:rPr>
              <w:t>$5</w:t>
            </w:r>
            <w:r w:rsidR="00E74E6B">
              <w:rPr>
                <w:rFonts w:cs="Arial"/>
                <w:sz w:val="20"/>
                <w:szCs w:val="20"/>
              </w:rPr>
              <w:t>5</w:t>
            </w:r>
            <w:r>
              <w:rPr>
                <w:rFonts w:cs="Arial"/>
                <w:sz w:val="20"/>
                <w:szCs w:val="20"/>
              </w:rPr>
              <w:t>,0</w:t>
            </w:r>
            <w:r w:rsidR="00841654" w:rsidRPr="00674FAE">
              <w:rPr>
                <w:rFonts w:cs="Arial"/>
                <w:sz w:val="20"/>
                <w:szCs w:val="20"/>
              </w:rPr>
              <w:t>00</w:t>
            </w:r>
          </w:p>
        </w:tc>
      </w:tr>
      <w:tr w:rsidR="00E74E6B" w:rsidRPr="00674FAE" w:rsidTr="002C302E">
        <w:trPr>
          <w:trHeight w:val="540"/>
        </w:trPr>
        <w:tc>
          <w:tcPr>
            <w:tcW w:w="2526"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Revise the SPCC Plan</w:t>
            </w:r>
          </w:p>
        </w:tc>
        <w:tc>
          <w:tcPr>
            <w:tcW w:w="1460"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7</w:t>
            </w:r>
            <w:r w:rsidR="00E74E6B">
              <w:rPr>
                <w:rFonts w:cs="Arial"/>
                <w:sz w:val="20"/>
                <w:szCs w:val="20"/>
              </w:rPr>
              <w:t>6</w:t>
            </w:r>
            <w:r w:rsidRPr="00674FAE">
              <w:rPr>
                <w:rFonts w:cs="Arial"/>
                <w:sz w:val="20"/>
                <w:szCs w:val="20"/>
              </w:rPr>
              <w:t>,600</w:t>
            </w:r>
          </w:p>
        </w:tc>
        <w:tc>
          <w:tcPr>
            <w:tcW w:w="1436"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4</w:t>
            </w:r>
            <w:r w:rsidR="00E74E6B">
              <w:rPr>
                <w:rFonts w:cs="Arial"/>
                <w:sz w:val="20"/>
                <w:szCs w:val="20"/>
              </w:rPr>
              <w:t>60</w:t>
            </w:r>
            <w:r w:rsidRPr="00674FAE">
              <w:rPr>
                <w:rFonts w:cs="Arial"/>
                <w:sz w:val="20"/>
                <w:szCs w:val="20"/>
              </w:rPr>
              <w:t>,000</w:t>
            </w:r>
          </w:p>
        </w:tc>
        <w:tc>
          <w:tcPr>
            <w:tcW w:w="1410"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6</w:t>
            </w:r>
            <w:r w:rsidR="00E74E6B">
              <w:rPr>
                <w:rFonts w:cs="Arial"/>
                <w:sz w:val="20"/>
                <w:szCs w:val="20"/>
              </w:rPr>
              <w:t>1</w:t>
            </w:r>
            <w:r w:rsidRPr="00674FAE">
              <w:rPr>
                <w:rFonts w:cs="Arial"/>
                <w:sz w:val="20"/>
                <w:szCs w:val="20"/>
              </w:rPr>
              <w:t>,</w:t>
            </w:r>
            <w:r w:rsidR="00E74E6B">
              <w:rPr>
                <w:rFonts w:cs="Arial"/>
                <w:sz w:val="20"/>
                <w:szCs w:val="20"/>
              </w:rPr>
              <w:t>3</w:t>
            </w:r>
            <w:r w:rsidRPr="00674FAE">
              <w:rPr>
                <w:rFonts w:cs="Arial"/>
                <w:sz w:val="20"/>
                <w:szCs w:val="20"/>
              </w:rPr>
              <w:t>00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E74E6B" w:rsidP="00BA14A3">
            <w:pPr>
              <w:jc w:val="right"/>
              <w:rPr>
                <w:rFonts w:cs="Arial"/>
                <w:sz w:val="20"/>
                <w:szCs w:val="20"/>
              </w:rPr>
            </w:pPr>
            <w:r>
              <w:rPr>
                <w:rFonts w:cs="Arial"/>
                <w:sz w:val="20"/>
                <w:szCs w:val="20"/>
              </w:rPr>
              <w:t>598</w:t>
            </w:r>
            <w:r w:rsidR="00BA14A3" w:rsidRPr="00674FAE">
              <w:rPr>
                <w:rFonts w:cs="Arial"/>
                <w:sz w:val="20"/>
                <w:szCs w:val="20"/>
              </w:rPr>
              <w:t>,000</w:t>
            </w:r>
          </w:p>
        </w:tc>
        <w:tc>
          <w:tcPr>
            <w:tcW w:w="153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27"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$12</w:t>
            </w:r>
            <w:r w:rsidR="00E74E6B">
              <w:rPr>
                <w:rFonts w:cs="Arial"/>
                <w:sz w:val="20"/>
                <w:szCs w:val="20"/>
              </w:rPr>
              <w:t>1</w:t>
            </w:r>
            <w:r w:rsidRPr="00674FAE">
              <w:rPr>
                <w:rFonts w:cs="Arial"/>
                <w:sz w:val="20"/>
                <w:szCs w:val="20"/>
              </w:rPr>
              <w:t>,</w:t>
            </w:r>
            <w:r w:rsidR="00E74E6B">
              <w:rPr>
                <w:rFonts w:cs="Arial"/>
                <w:sz w:val="20"/>
                <w:szCs w:val="20"/>
              </w:rPr>
              <w:t>515</w:t>
            </w:r>
            <w:r w:rsidRPr="00674FAE">
              <w:rPr>
                <w:rFonts w:cs="Arial"/>
                <w:sz w:val="20"/>
                <w:szCs w:val="20"/>
              </w:rPr>
              <w:t>,000</w:t>
            </w:r>
          </w:p>
        </w:tc>
      </w:tr>
      <w:tr w:rsidR="00E74E6B" w:rsidRPr="00674FAE" w:rsidTr="002C302E">
        <w:trPr>
          <w:trHeight w:val="570"/>
        </w:trPr>
        <w:tc>
          <w:tcPr>
            <w:tcW w:w="2526"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Maintain the SPCC Plan and Keep Records</w:t>
            </w:r>
          </w:p>
        </w:tc>
        <w:tc>
          <w:tcPr>
            <w:tcW w:w="1460"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36"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6</w:t>
            </w:r>
            <w:r w:rsidR="00E74E6B">
              <w:rPr>
                <w:rFonts w:cs="Arial"/>
                <w:sz w:val="20"/>
                <w:szCs w:val="20"/>
              </w:rPr>
              <w:t>52</w:t>
            </w:r>
            <w:r w:rsidRPr="00674FAE">
              <w:rPr>
                <w:rFonts w:cs="Arial"/>
                <w:sz w:val="20"/>
                <w:szCs w:val="20"/>
              </w:rPr>
              <w:t>,000</w:t>
            </w:r>
          </w:p>
        </w:tc>
        <w:tc>
          <w:tcPr>
            <w:tcW w:w="1410"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77"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674FAE" w:rsidRDefault="00BA14A3" w:rsidP="00E74E6B">
            <w:pPr>
              <w:jc w:val="right"/>
              <w:rPr>
                <w:rFonts w:cs="Arial"/>
                <w:sz w:val="20"/>
                <w:szCs w:val="20"/>
              </w:rPr>
            </w:pPr>
            <w:r w:rsidRPr="00674FAE">
              <w:rPr>
                <w:rFonts w:cs="Arial"/>
                <w:sz w:val="20"/>
                <w:szCs w:val="20"/>
              </w:rPr>
              <w:t>6</w:t>
            </w:r>
            <w:r w:rsidR="00E74E6B">
              <w:rPr>
                <w:rFonts w:cs="Arial"/>
                <w:sz w:val="20"/>
                <w:szCs w:val="20"/>
              </w:rPr>
              <w:t>52</w:t>
            </w:r>
            <w:r w:rsidRPr="00674FAE">
              <w:rPr>
                <w:rFonts w:cs="Arial"/>
                <w:sz w:val="20"/>
                <w:szCs w:val="20"/>
              </w:rPr>
              <w:t>,000</w:t>
            </w:r>
          </w:p>
        </w:tc>
        <w:tc>
          <w:tcPr>
            <w:tcW w:w="1532"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27"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nil"/>
              <w:left w:val="nil"/>
              <w:bottom w:val="double" w:sz="6" w:space="0" w:color="auto"/>
              <w:right w:val="double" w:sz="6" w:space="0" w:color="000000"/>
            </w:tcBorders>
            <w:tcMar>
              <w:top w:w="15" w:type="dxa"/>
              <w:left w:w="15" w:type="dxa"/>
              <w:bottom w:w="0" w:type="dxa"/>
              <w:right w:w="72" w:type="dxa"/>
            </w:tcMar>
            <w:vAlign w:val="center"/>
          </w:tcPr>
          <w:p w:rsidR="00BA14A3" w:rsidRPr="00674FAE" w:rsidRDefault="00890A99" w:rsidP="00E74E6B">
            <w:pPr>
              <w:jc w:val="right"/>
              <w:rPr>
                <w:rFonts w:cs="Arial"/>
                <w:sz w:val="20"/>
                <w:szCs w:val="20"/>
              </w:rPr>
            </w:pPr>
            <w:r>
              <w:rPr>
                <w:rFonts w:cs="Arial"/>
                <w:sz w:val="20"/>
                <w:szCs w:val="20"/>
              </w:rPr>
              <w:t>$3</w:t>
            </w:r>
            <w:r w:rsidR="00E74E6B">
              <w:rPr>
                <w:rFonts w:cs="Arial"/>
                <w:sz w:val="20"/>
                <w:szCs w:val="20"/>
              </w:rPr>
              <w:t>8</w:t>
            </w:r>
            <w:r>
              <w:rPr>
                <w:rFonts w:cs="Arial"/>
                <w:sz w:val="20"/>
                <w:szCs w:val="20"/>
              </w:rPr>
              <w:t>,</w:t>
            </w:r>
            <w:r w:rsidR="00E74E6B">
              <w:rPr>
                <w:rFonts w:cs="Arial"/>
                <w:sz w:val="20"/>
                <w:szCs w:val="20"/>
              </w:rPr>
              <w:t>066</w:t>
            </w:r>
            <w:r w:rsidR="00BA14A3" w:rsidRPr="00674FAE">
              <w:rPr>
                <w:rFonts w:cs="Arial"/>
                <w:sz w:val="20"/>
                <w:szCs w:val="20"/>
              </w:rPr>
              <w:t>,000</w:t>
            </w:r>
          </w:p>
        </w:tc>
      </w:tr>
      <w:tr w:rsidR="00E74E6B" w:rsidRPr="00674FAE" w:rsidTr="002C302E">
        <w:trPr>
          <w:trHeight w:val="285"/>
        </w:trPr>
        <w:tc>
          <w:tcPr>
            <w:tcW w:w="2526"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BA14A3" w:rsidRPr="00674FAE" w:rsidRDefault="00BA14A3">
            <w:pPr>
              <w:pStyle w:val="Heading5"/>
              <w:rPr>
                <w:rFonts w:eastAsia="Arial Unicode MS"/>
                <w:szCs w:val="20"/>
              </w:rPr>
            </w:pPr>
            <w:r w:rsidRPr="00674FAE">
              <w:rPr>
                <w:szCs w:val="20"/>
              </w:rPr>
              <w:t>TOTAL</w:t>
            </w:r>
          </w:p>
        </w:tc>
        <w:tc>
          <w:tcPr>
            <w:tcW w:w="146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E74E6B">
            <w:pPr>
              <w:jc w:val="right"/>
              <w:rPr>
                <w:rFonts w:cs="Arial"/>
                <w:b/>
                <w:bCs/>
                <w:sz w:val="20"/>
                <w:szCs w:val="20"/>
              </w:rPr>
            </w:pPr>
            <w:r w:rsidRPr="00674FAE">
              <w:rPr>
                <w:rFonts w:cs="Arial"/>
                <w:b/>
                <w:bCs/>
                <w:sz w:val="20"/>
                <w:szCs w:val="20"/>
              </w:rPr>
              <w:t>16</w:t>
            </w:r>
            <w:r w:rsidR="00E74E6B">
              <w:rPr>
                <w:rFonts w:cs="Arial"/>
                <w:b/>
                <w:bCs/>
                <w:sz w:val="20"/>
                <w:szCs w:val="20"/>
              </w:rPr>
              <w:t>9</w:t>
            </w:r>
            <w:r w:rsidRPr="00674FAE">
              <w:rPr>
                <w:rFonts w:cs="Arial"/>
                <w:b/>
                <w:bCs/>
                <w:sz w:val="20"/>
                <w:szCs w:val="20"/>
              </w:rPr>
              <w:t>,000</w:t>
            </w:r>
          </w:p>
        </w:tc>
        <w:tc>
          <w:tcPr>
            <w:tcW w:w="1436" w:type="dxa"/>
            <w:tcBorders>
              <w:top w:val="nil"/>
              <w:left w:val="single" w:sz="4" w:space="0" w:color="000000"/>
              <w:bottom w:val="double" w:sz="6" w:space="0" w:color="auto"/>
              <w:right w:val="nil"/>
            </w:tcBorders>
            <w:tcMar>
              <w:top w:w="0" w:type="dxa"/>
              <w:left w:w="15" w:type="dxa"/>
              <w:bottom w:w="0" w:type="dxa"/>
              <w:right w:w="72" w:type="dxa"/>
            </w:tcMar>
            <w:vAlign w:val="center"/>
          </w:tcPr>
          <w:p w:rsidR="00BA14A3" w:rsidRPr="00674FAE" w:rsidRDefault="00BA14A3" w:rsidP="00E74E6B">
            <w:pPr>
              <w:jc w:val="right"/>
              <w:rPr>
                <w:rFonts w:cs="Arial"/>
                <w:b/>
                <w:bCs/>
                <w:sz w:val="20"/>
                <w:szCs w:val="20"/>
              </w:rPr>
            </w:pPr>
            <w:r w:rsidRPr="00674FAE">
              <w:rPr>
                <w:rFonts w:cs="Arial"/>
                <w:b/>
                <w:bCs/>
                <w:sz w:val="20"/>
                <w:szCs w:val="20"/>
              </w:rPr>
              <w:t>1,8</w:t>
            </w:r>
            <w:r w:rsidR="00E74E6B">
              <w:rPr>
                <w:rFonts w:cs="Arial"/>
                <w:b/>
                <w:bCs/>
                <w:sz w:val="20"/>
                <w:szCs w:val="20"/>
              </w:rPr>
              <w:t>19</w:t>
            </w:r>
            <w:r w:rsidRPr="00674FAE">
              <w:rPr>
                <w:rFonts w:cs="Arial"/>
                <w:b/>
                <w:bCs/>
                <w:sz w:val="20"/>
                <w:szCs w:val="20"/>
              </w:rPr>
              <w:t>,000</w:t>
            </w:r>
          </w:p>
        </w:tc>
        <w:tc>
          <w:tcPr>
            <w:tcW w:w="141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b/>
                <w:sz w:val="20"/>
                <w:szCs w:val="20"/>
              </w:rPr>
            </w:pPr>
            <w:r w:rsidRPr="00674FAE">
              <w:rPr>
                <w:rFonts w:cs="Arial"/>
                <w:b/>
                <w:sz w:val="20"/>
                <w:szCs w:val="20"/>
              </w:rPr>
              <w:t>0</w:t>
            </w:r>
          </w:p>
        </w:tc>
        <w:tc>
          <w:tcPr>
            <w:tcW w:w="1421"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E74E6B">
            <w:pPr>
              <w:jc w:val="right"/>
              <w:rPr>
                <w:rFonts w:cs="Arial"/>
                <w:b/>
                <w:bCs/>
                <w:sz w:val="20"/>
                <w:szCs w:val="20"/>
              </w:rPr>
            </w:pPr>
            <w:r w:rsidRPr="00674FAE">
              <w:rPr>
                <w:rFonts w:cs="Arial"/>
                <w:b/>
                <w:bCs/>
                <w:sz w:val="20"/>
                <w:szCs w:val="20"/>
              </w:rPr>
              <w:t>1</w:t>
            </w:r>
            <w:r w:rsidR="00E74E6B">
              <w:rPr>
                <w:rFonts w:cs="Arial"/>
                <w:b/>
                <w:bCs/>
                <w:sz w:val="20"/>
                <w:szCs w:val="20"/>
              </w:rPr>
              <w:t>53</w:t>
            </w:r>
            <w:r w:rsidRPr="00674FAE">
              <w:rPr>
                <w:rFonts w:cs="Arial"/>
                <w:b/>
                <w:bCs/>
                <w:sz w:val="20"/>
                <w:szCs w:val="20"/>
              </w:rPr>
              <w:t>,000</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E74E6B">
            <w:pPr>
              <w:jc w:val="right"/>
              <w:rPr>
                <w:rFonts w:cs="Arial"/>
                <w:b/>
                <w:bCs/>
                <w:sz w:val="20"/>
                <w:szCs w:val="20"/>
              </w:rPr>
            </w:pPr>
            <w:r w:rsidRPr="00674FAE">
              <w:rPr>
                <w:rFonts w:cs="Arial"/>
                <w:b/>
                <w:bCs/>
                <w:sz w:val="20"/>
                <w:szCs w:val="20"/>
              </w:rPr>
              <w:t>2,</w:t>
            </w:r>
            <w:r w:rsidR="00E74E6B">
              <w:rPr>
                <w:rFonts w:cs="Arial"/>
                <w:b/>
                <w:bCs/>
                <w:sz w:val="20"/>
                <w:szCs w:val="20"/>
              </w:rPr>
              <w:t>141</w:t>
            </w:r>
            <w:r w:rsidRPr="00674FAE">
              <w:rPr>
                <w:rFonts w:cs="Arial"/>
                <w:b/>
                <w:bCs/>
                <w:sz w:val="20"/>
                <w:szCs w:val="20"/>
              </w:rPr>
              <w:t>,000</w:t>
            </w:r>
          </w:p>
        </w:tc>
        <w:tc>
          <w:tcPr>
            <w:tcW w:w="1532"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E74E6B">
            <w:pPr>
              <w:jc w:val="right"/>
              <w:rPr>
                <w:rFonts w:cs="Arial"/>
                <w:b/>
                <w:bCs/>
                <w:sz w:val="20"/>
                <w:szCs w:val="20"/>
              </w:rPr>
            </w:pPr>
            <w:r w:rsidRPr="00674FAE">
              <w:rPr>
                <w:rFonts w:cs="Arial"/>
                <w:b/>
                <w:bCs/>
                <w:sz w:val="20"/>
                <w:szCs w:val="20"/>
              </w:rPr>
              <w:t>$</w:t>
            </w:r>
            <w:r w:rsidR="00890A99">
              <w:rPr>
                <w:rFonts w:cs="Arial"/>
                <w:b/>
                <w:bCs/>
                <w:sz w:val="20"/>
                <w:szCs w:val="20"/>
              </w:rPr>
              <w:t>7</w:t>
            </w:r>
            <w:r w:rsidRPr="00674FAE">
              <w:rPr>
                <w:rFonts w:cs="Arial"/>
                <w:b/>
                <w:bCs/>
                <w:sz w:val="20"/>
                <w:szCs w:val="20"/>
              </w:rPr>
              <w:t>,</w:t>
            </w:r>
            <w:r w:rsidR="00E74E6B">
              <w:rPr>
                <w:rFonts w:cs="Arial"/>
                <w:b/>
                <w:bCs/>
                <w:sz w:val="20"/>
                <w:szCs w:val="20"/>
              </w:rPr>
              <w:t>434</w:t>
            </w:r>
          </w:p>
        </w:tc>
        <w:tc>
          <w:tcPr>
            <w:tcW w:w="927"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BA14A3" w:rsidRPr="00674FAE" w:rsidRDefault="00BA14A3" w:rsidP="00BA14A3">
            <w:pPr>
              <w:jc w:val="right"/>
              <w:rPr>
                <w:rFonts w:cs="Arial"/>
                <w:b/>
                <w:bCs/>
                <w:sz w:val="20"/>
                <w:szCs w:val="20"/>
              </w:rPr>
            </w:pPr>
            <w:r w:rsidRPr="00674FAE">
              <w:rPr>
                <w:rFonts w:cs="Arial"/>
                <w:b/>
                <w:bCs/>
                <w:sz w:val="20"/>
                <w:szCs w:val="20"/>
              </w:rPr>
              <w:t>$0</w:t>
            </w:r>
          </w:p>
        </w:tc>
        <w:tc>
          <w:tcPr>
            <w:tcW w:w="1311" w:type="dxa"/>
            <w:tcBorders>
              <w:top w:val="nil"/>
              <w:left w:val="nil"/>
              <w:bottom w:val="double" w:sz="6" w:space="0" w:color="auto"/>
              <w:right w:val="double" w:sz="6" w:space="0" w:color="000000"/>
            </w:tcBorders>
            <w:tcMar>
              <w:top w:w="15" w:type="dxa"/>
              <w:left w:w="15" w:type="dxa"/>
              <w:bottom w:w="0" w:type="dxa"/>
              <w:right w:w="72" w:type="dxa"/>
            </w:tcMar>
            <w:vAlign w:val="center"/>
          </w:tcPr>
          <w:p w:rsidR="00BA14A3" w:rsidRPr="00674FAE" w:rsidRDefault="00890A99" w:rsidP="002005BE">
            <w:pPr>
              <w:jc w:val="right"/>
              <w:rPr>
                <w:rFonts w:cs="Arial"/>
                <w:b/>
                <w:bCs/>
                <w:sz w:val="20"/>
                <w:szCs w:val="20"/>
              </w:rPr>
            </w:pPr>
            <w:r>
              <w:rPr>
                <w:rFonts w:cs="Arial"/>
                <w:b/>
                <w:bCs/>
                <w:sz w:val="20"/>
                <w:szCs w:val="20"/>
              </w:rPr>
              <w:t>$239</w:t>
            </w:r>
            <w:r w:rsidR="00BA14A3" w:rsidRPr="00674FAE">
              <w:rPr>
                <w:rFonts w:cs="Arial"/>
                <w:b/>
                <w:bCs/>
                <w:sz w:val="20"/>
                <w:szCs w:val="20"/>
              </w:rPr>
              <w:t>,</w:t>
            </w:r>
            <w:r w:rsidR="002005BE">
              <w:rPr>
                <w:rFonts w:cs="Arial"/>
                <w:b/>
                <w:bCs/>
                <w:sz w:val="20"/>
                <w:szCs w:val="20"/>
              </w:rPr>
              <w:t>736</w:t>
            </w:r>
            <w:r w:rsidR="00BA14A3" w:rsidRPr="00674FAE">
              <w:rPr>
                <w:rFonts w:cs="Arial"/>
                <w:b/>
                <w:bCs/>
                <w:sz w:val="20"/>
                <w:szCs w:val="20"/>
              </w:rPr>
              <w:t>,000</w:t>
            </w:r>
          </w:p>
        </w:tc>
      </w:tr>
      <w:tr w:rsidR="00D85665" w:rsidRPr="00674FAE" w:rsidTr="002C302E">
        <w:trPr>
          <w:trHeight w:val="270"/>
        </w:trPr>
        <w:tc>
          <w:tcPr>
            <w:tcW w:w="13000"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rsidRDefault="00D85665" w:rsidP="004B689C">
            <w:pPr>
              <w:rPr>
                <w:rFonts w:eastAsia="Arial Unicode MS" w:cs="Arial"/>
                <w:b/>
                <w:bCs/>
                <w:sz w:val="20"/>
                <w:szCs w:val="20"/>
              </w:rPr>
            </w:pPr>
            <w:r w:rsidRPr="00674FAE">
              <w:rPr>
                <w:rFonts w:cs="Arial"/>
                <w:b/>
                <w:bCs/>
                <w:sz w:val="20"/>
                <w:szCs w:val="20"/>
              </w:rPr>
              <w:t>New Facilities</w:t>
            </w:r>
          </w:p>
        </w:tc>
      </w:tr>
      <w:tr w:rsidR="00E74E6B" w:rsidRPr="00674FAE" w:rsidTr="002C302E">
        <w:trPr>
          <w:trHeight w:val="255"/>
        </w:trPr>
        <w:tc>
          <w:tcPr>
            <w:tcW w:w="2526" w:type="dxa"/>
            <w:tcBorders>
              <w:top w:val="nil"/>
              <w:left w:val="double" w:sz="6" w:space="0" w:color="000000"/>
              <w:bottom w:val="nil"/>
              <w:right w:val="nil"/>
            </w:tcBorders>
            <w:vAlign w:val="center"/>
          </w:tcPr>
          <w:p w:rsidR="00BA14A3" w:rsidRPr="00674FAE" w:rsidRDefault="00BA14A3">
            <w:pPr>
              <w:rPr>
                <w:rFonts w:eastAsia="Arial Unicode MS" w:cs="Arial"/>
                <w:sz w:val="20"/>
                <w:szCs w:val="20"/>
              </w:rPr>
            </w:pPr>
            <w:r w:rsidRPr="00674FAE">
              <w:rPr>
                <w:rFonts w:cs="Arial"/>
                <w:sz w:val="20"/>
                <w:szCs w:val="20"/>
              </w:rPr>
              <w:t>Prepare an SPCC Plan</w:t>
            </w:r>
          </w:p>
        </w:tc>
        <w:tc>
          <w:tcPr>
            <w:tcW w:w="1460" w:type="dxa"/>
            <w:tcBorders>
              <w:top w:val="nil"/>
              <w:left w:val="single" w:sz="4" w:space="0" w:color="000000"/>
              <w:bottom w:val="nil"/>
              <w:right w:val="nil"/>
            </w:tcBorders>
            <w:tcMar>
              <w:top w:w="0"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36" w:type="dxa"/>
            <w:tcBorders>
              <w:top w:val="nil"/>
              <w:left w:val="single" w:sz="4" w:space="0" w:color="000000"/>
              <w:bottom w:val="nil"/>
              <w:right w:val="nil"/>
            </w:tcBorders>
            <w:tcMar>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8</w:t>
            </w:r>
            <w:r w:rsidRPr="00674FAE">
              <w:rPr>
                <w:rFonts w:cs="Arial"/>
                <w:sz w:val="20"/>
                <w:szCs w:val="20"/>
              </w:rPr>
              <w:t>,</w:t>
            </w:r>
            <w:r w:rsidR="00C64F1C">
              <w:rPr>
                <w:rFonts w:cs="Arial"/>
                <w:sz w:val="20"/>
                <w:szCs w:val="20"/>
              </w:rPr>
              <w:t>3</w:t>
            </w:r>
            <w:r w:rsidRPr="00674FAE">
              <w:rPr>
                <w:rFonts w:cs="Arial"/>
                <w:sz w:val="20"/>
                <w:szCs w:val="20"/>
              </w:rPr>
              <w:t>00</w:t>
            </w:r>
          </w:p>
        </w:tc>
        <w:tc>
          <w:tcPr>
            <w:tcW w:w="1410" w:type="dxa"/>
            <w:tcBorders>
              <w:top w:val="nil"/>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nil"/>
              <w:left w:val="single" w:sz="4" w:space="0" w:color="000000"/>
              <w:bottom w:val="nil"/>
              <w:right w:val="nil"/>
            </w:tcBorders>
            <w:tcMar>
              <w:top w:w="0"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77" w:type="dxa"/>
            <w:tcBorders>
              <w:top w:val="nil"/>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8</w:t>
            </w:r>
            <w:r w:rsidRPr="00674FAE">
              <w:rPr>
                <w:rFonts w:cs="Arial"/>
                <w:sz w:val="20"/>
                <w:szCs w:val="20"/>
              </w:rPr>
              <w:t>,</w:t>
            </w:r>
            <w:r w:rsidR="00C64F1C">
              <w:rPr>
                <w:rFonts w:cs="Arial"/>
                <w:sz w:val="20"/>
                <w:szCs w:val="20"/>
              </w:rPr>
              <w:t>3</w:t>
            </w:r>
            <w:r w:rsidR="00A15DF0" w:rsidRPr="00674FAE">
              <w:rPr>
                <w:rFonts w:cs="Arial"/>
                <w:sz w:val="20"/>
                <w:szCs w:val="20"/>
              </w:rPr>
              <w:t>0</w:t>
            </w:r>
            <w:r w:rsidRPr="00674FAE">
              <w:rPr>
                <w:rFonts w:cs="Arial"/>
                <w:sz w:val="20"/>
                <w:szCs w:val="20"/>
              </w:rPr>
              <w:t>0</w:t>
            </w:r>
          </w:p>
        </w:tc>
        <w:tc>
          <w:tcPr>
            <w:tcW w:w="1532" w:type="dxa"/>
            <w:tcBorders>
              <w:top w:val="nil"/>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27" w:type="dxa"/>
            <w:tcBorders>
              <w:top w:val="nil"/>
              <w:left w:val="single" w:sz="4" w:space="0" w:color="000000"/>
              <w:bottom w:val="nil"/>
              <w:right w:val="nil"/>
            </w:tcBorders>
            <w:tcMar>
              <w:top w:w="0"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nil"/>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w:t>
            </w:r>
            <w:r w:rsidR="00C64F1C">
              <w:rPr>
                <w:rFonts w:cs="Arial"/>
                <w:sz w:val="20"/>
                <w:szCs w:val="20"/>
              </w:rPr>
              <w:t>971</w:t>
            </w:r>
            <w:r w:rsidRPr="00674FAE">
              <w:rPr>
                <w:rFonts w:cs="Arial"/>
                <w:sz w:val="20"/>
                <w:szCs w:val="20"/>
              </w:rPr>
              <w:t>,000</w:t>
            </w:r>
          </w:p>
        </w:tc>
      </w:tr>
      <w:tr w:rsidR="00E74E6B" w:rsidRPr="00674FAE" w:rsidTr="002C302E">
        <w:trPr>
          <w:trHeight w:val="255"/>
        </w:trPr>
        <w:tc>
          <w:tcPr>
            <w:tcW w:w="2526"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Prepare a Contingency Plan</w:t>
            </w:r>
          </w:p>
        </w:tc>
        <w:tc>
          <w:tcPr>
            <w:tcW w:w="146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3,</w:t>
            </w:r>
            <w:r w:rsidR="00C64F1C">
              <w:rPr>
                <w:rFonts w:cs="Arial"/>
                <w:sz w:val="20"/>
                <w:szCs w:val="20"/>
              </w:rPr>
              <w:t>980</w:t>
            </w:r>
          </w:p>
        </w:tc>
        <w:tc>
          <w:tcPr>
            <w:tcW w:w="143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C64F1C" w:rsidP="00C64F1C">
            <w:pPr>
              <w:jc w:val="right"/>
              <w:rPr>
                <w:rFonts w:cs="Arial"/>
                <w:sz w:val="20"/>
                <w:szCs w:val="20"/>
              </w:rPr>
            </w:pPr>
            <w:r>
              <w:rPr>
                <w:rFonts w:cs="Arial"/>
                <w:sz w:val="20"/>
                <w:szCs w:val="20"/>
              </w:rPr>
              <w:t>2</w:t>
            </w:r>
            <w:r w:rsidR="00BA14A3" w:rsidRPr="00674FAE">
              <w:rPr>
                <w:rFonts w:cs="Arial"/>
                <w:sz w:val="20"/>
                <w:szCs w:val="20"/>
              </w:rPr>
              <w:t>1,</w:t>
            </w:r>
            <w:r>
              <w:rPr>
                <w:rFonts w:cs="Arial"/>
                <w:sz w:val="20"/>
                <w:szCs w:val="20"/>
              </w:rPr>
              <w:t>1</w:t>
            </w:r>
            <w:r w:rsidR="00BA14A3" w:rsidRPr="00674FAE">
              <w:rPr>
                <w:rFonts w:cs="Arial"/>
                <w:sz w:val="20"/>
                <w:szCs w:val="20"/>
              </w:rPr>
              <w:t>00</w:t>
            </w:r>
          </w:p>
        </w:tc>
        <w:tc>
          <w:tcPr>
            <w:tcW w:w="141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5,</w:t>
            </w:r>
            <w:r w:rsidR="00C64F1C">
              <w:rPr>
                <w:rFonts w:cs="Arial"/>
                <w:sz w:val="20"/>
                <w:szCs w:val="20"/>
              </w:rPr>
              <w:t>8</w:t>
            </w:r>
            <w:r w:rsidR="00E0554E" w:rsidRPr="00674FAE">
              <w:rPr>
                <w:rFonts w:cs="Arial"/>
                <w:sz w:val="20"/>
                <w:szCs w:val="20"/>
              </w:rPr>
              <w:t>5</w:t>
            </w:r>
            <w:r w:rsidRPr="00674FAE">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C64F1C" w:rsidP="00C64F1C">
            <w:pPr>
              <w:jc w:val="right"/>
              <w:rPr>
                <w:rFonts w:cs="Arial"/>
                <w:sz w:val="20"/>
                <w:szCs w:val="20"/>
              </w:rPr>
            </w:pPr>
            <w:r>
              <w:rPr>
                <w:rFonts w:cs="Arial"/>
                <w:sz w:val="20"/>
                <w:szCs w:val="20"/>
              </w:rPr>
              <w:t>31</w:t>
            </w:r>
            <w:r w:rsidR="00BA14A3" w:rsidRPr="00674FAE">
              <w:rPr>
                <w:rFonts w:cs="Arial"/>
                <w:sz w:val="20"/>
                <w:szCs w:val="20"/>
              </w:rPr>
              <w:t>,</w:t>
            </w:r>
            <w:r>
              <w:rPr>
                <w:rFonts w:cs="Arial"/>
                <w:sz w:val="20"/>
                <w:szCs w:val="20"/>
              </w:rPr>
              <w:t>0</w:t>
            </w:r>
            <w:r w:rsidR="00BA14A3" w:rsidRPr="00674FAE">
              <w:rPr>
                <w:rFonts w:cs="Arial"/>
                <w:sz w:val="20"/>
                <w:szCs w:val="20"/>
              </w:rPr>
              <w:t>00</w:t>
            </w:r>
          </w:p>
        </w:tc>
        <w:tc>
          <w:tcPr>
            <w:tcW w:w="15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2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383</w:t>
            </w:r>
            <w:r w:rsidRPr="00674FAE">
              <w:rPr>
                <w:rFonts w:cs="Arial"/>
                <w:sz w:val="20"/>
                <w:szCs w:val="20"/>
              </w:rPr>
              <w:t>,000</w:t>
            </w:r>
          </w:p>
        </w:tc>
      </w:tr>
      <w:tr w:rsidR="00E74E6B" w:rsidRPr="00674FAE" w:rsidTr="002C302E">
        <w:trPr>
          <w:trHeight w:val="795"/>
        </w:trPr>
        <w:tc>
          <w:tcPr>
            <w:tcW w:w="2526"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Submit Information in the Event of Certain Discharges of Oil</w:t>
            </w:r>
          </w:p>
        </w:tc>
        <w:tc>
          <w:tcPr>
            <w:tcW w:w="146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C64F1C" w:rsidP="00BA14A3">
            <w:pPr>
              <w:jc w:val="right"/>
              <w:rPr>
                <w:rFonts w:cs="Arial"/>
                <w:sz w:val="20"/>
                <w:szCs w:val="20"/>
              </w:rPr>
            </w:pPr>
            <w:r>
              <w:rPr>
                <w:rFonts w:cs="Arial"/>
                <w:sz w:val="20"/>
                <w:szCs w:val="20"/>
              </w:rPr>
              <w:t>9</w:t>
            </w:r>
          </w:p>
        </w:tc>
        <w:tc>
          <w:tcPr>
            <w:tcW w:w="143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C64F1C" w:rsidP="00BA14A3">
            <w:pPr>
              <w:jc w:val="right"/>
              <w:rPr>
                <w:rFonts w:cs="Arial"/>
                <w:sz w:val="20"/>
                <w:szCs w:val="20"/>
              </w:rPr>
            </w:pPr>
            <w:r>
              <w:rPr>
                <w:rFonts w:cs="Arial"/>
                <w:sz w:val="20"/>
                <w:szCs w:val="20"/>
              </w:rPr>
              <w:t>9</w:t>
            </w:r>
          </w:p>
        </w:tc>
        <w:tc>
          <w:tcPr>
            <w:tcW w:w="141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8</w:t>
            </w:r>
          </w:p>
        </w:tc>
        <w:tc>
          <w:tcPr>
            <w:tcW w:w="15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84</w:t>
            </w:r>
          </w:p>
        </w:tc>
        <w:tc>
          <w:tcPr>
            <w:tcW w:w="92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890A99" w:rsidP="00C64F1C">
            <w:pPr>
              <w:jc w:val="right"/>
              <w:rPr>
                <w:rFonts w:cs="Arial"/>
                <w:sz w:val="20"/>
                <w:szCs w:val="20"/>
              </w:rPr>
            </w:pPr>
            <w:r>
              <w:rPr>
                <w:rFonts w:cs="Arial"/>
                <w:sz w:val="20"/>
                <w:szCs w:val="20"/>
              </w:rPr>
              <w:t>$1,2</w:t>
            </w:r>
            <w:r w:rsidR="00C64F1C">
              <w:rPr>
                <w:rFonts w:cs="Arial"/>
                <w:sz w:val="20"/>
                <w:szCs w:val="20"/>
              </w:rPr>
              <w:t>50</w:t>
            </w:r>
          </w:p>
        </w:tc>
      </w:tr>
      <w:tr w:rsidR="00E74E6B" w:rsidRPr="00674FAE" w:rsidTr="002C302E">
        <w:trPr>
          <w:trHeight w:val="255"/>
        </w:trPr>
        <w:tc>
          <w:tcPr>
            <w:tcW w:w="2526" w:type="dxa"/>
            <w:tcBorders>
              <w:top w:val="nil"/>
              <w:left w:val="double" w:sz="6" w:space="0" w:color="000000"/>
              <w:bottom w:val="single" w:sz="4" w:space="0" w:color="000000"/>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Revise the SPCC Plan</w:t>
            </w:r>
          </w:p>
        </w:tc>
        <w:tc>
          <w:tcPr>
            <w:tcW w:w="146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C64F1C" w:rsidP="00BA14A3">
            <w:pPr>
              <w:jc w:val="right"/>
              <w:rPr>
                <w:rFonts w:cs="Arial"/>
                <w:sz w:val="20"/>
                <w:szCs w:val="20"/>
              </w:rPr>
            </w:pPr>
            <w:r>
              <w:rPr>
                <w:rFonts w:cs="Arial"/>
                <w:sz w:val="20"/>
                <w:szCs w:val="20"/>
              </w:rPr>
              <w:t>22</w:t>
            </w:r>
          </w:p>
        </w:tc>
        <w:tc>
          <w:tcPr>
            <w:tcW w:w="143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31</w:t>
            </w:r>
          </w:p>
        </w:tc>
        <w:tc>
          <w:tcPr>
            <w:tcW w:w="141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7</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1</w:t>
            </w:r>
            <w:r w:rsidR="00C64F1C">
              <w:rPr>
                <w:rFonts w:cs="Arial"/>
                <w:sz w:val="20"/>
                <w:szCs w:val="20"/>
              </w:rPr>
              <w:t>70</w:t>
            </w:r>
          </w:p>
        </w:tc>
        <w:tc>
          <w:tcPr>
            <w:tcW w:w="15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2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w:t>
            </w:r>
            <w:r w:rsidR="00C64F1C">
              <w:rPr>
                <w:rFonts w:cs="Arial"/>
                <w:sz w:val="20"/>
                <w:szCs w:val="20"/>
              </w:rPr>
              <w:t>34</w:t>
            </w:r>
            <w:r w:rsidRPr="00674FAE">
              <w:rPr>
                <w:rFonts w:cs="Arial"/>
                <w:sz w:val="20"/>
                <w:szCs w:val="20"/>
              </w:rPr>
              <w:t>,</w:t>
            </w:r>
            <w:r w:rsidR="00C64F1C">
              <w:rPr>
                <w:rFonts w:cs="Arial"/>
                <w:sz w:val="20"/>
                <w:szCs w:val="20"/>
              </w:rPr>
              <w:t>6</w:t>
            </w:r>
            <w:r w:rsidRPr="00674FAE">
              <w:rPr>
                <w:rFonts w:cs="Arial"/>
                <w:sz w:val="20"/>
                <w:szCs w:val="20"/>
              </w:rPr>
              <w:t>00</w:t>
            </w:r>
          </w:p>
        </w:tc>
      </w:tr>
      <w:tr w:rsidR="00E74E6B" w:rsidRPr="00674FAE" w:rsidTr="002C302E">
        <w:trPr>
          <w:trHeight w:val="525"/>
        </w:trPr>
        <w:tc>
          <w:tcPr>
            <w:tcW w:w="2526" w:type="dxa"/>
            <w:tcBorders>
              <w:top w:val="nil"/>
              <w:left w:val="double" w:sz="6" w:space="0" w:color="000000"/>
              <w:bottom w:val="double" w:sz="6" w:space="0" w:color="000000"/>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Maintain the SPCC Plan and Keep Records</w:t>
            </w:r>
          </w:p>
        </w:tc>
        <w:tc>
          <w:tcPr>
            <w:tcW w:w="146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3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2</w:t>
            </w:r>
            <w:r w:rsidR="00C64F1C">
              <w:rPr>
                <w:rFonts w:cs="Arial"/>
                <w:sz w:val="20"/>
                <w:szCs w:val="20"/>
              </w:rPr>
              <w:t>3</w:t>
            </w:r>
            <w:r w:rsidRPr="00674FAE">
              <w:rPr>
                <w:rFonts w:cs="Arial"/>
                <w:sz w:val="20"/>
                <w:szCs w:val="20"/>
              </w:rPr>
              <w:t>,</w:t>
            </w:r>
            <w:r w:rsidR="00C64F1C">
              <w:rPr>
                <w:rFonts w:cs="Arial"/>
                <w:sz w:val="20"/>
                <w:szCs w:val="20"/>
              </w:rPr>
              <w:t>2</w:t>
            </w:r>
            <w:r w:rsidRPr="00674FAE">
              <w:rPr>
                <w:rFonts w:cs="Arial"/>
                <w:sz w:val="20"/>
                <w:szCs w:val="20"/>
              </w:rPr>
              <w:t>00</w:t>
            </w:r>
          </w:p>
        </w:tc>
        <w:tc>
          <w:tcPr>
            <w:tcW w:w="141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421"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2</w:t>
            </w:r>
            <w:r w:rsidR="00C64F1C">
              <w:rPr>
                <w:rFonts w:cs="Arial"/>
                <w:sz w:val="20"/>
                <w:szCs w:val="20"/>
              </w:rPr>
              <w:t>3</w:t>
            </w:r>
            <w:r w:rsidRPr="00674FAE">
              <w:rPr>
                <w:rFonts w:cs="Arial"/>
                <w:sz w:val="20"/>
                <w:szCs w:val="20"/>
              </w:rPr>
              <w:t>,</w:t>
            </w:r>
            <w:r w:rsidR="00C64F1C">
              <w:rPr>
                <w:rFonts w:cs="Arial"/>
                <w:sz w:val="20"/>
                <w:szCs w:val="20"/>
              </w:rPr>
              <w:t>2</w:t>
            </w:r>
            <w:r w:rsidRPr="00674FAE">
              <w:rPr>
                <w:rFonts w:cs="Arial"/>
                <w:sz w:val="20"/>
                <w:szCs w:val="20"/>
              </w:rPr>
              <w:t>00</w:t>
            </w:r>
          </w:p>
        </w:tc>
        <w:tc>
          <w:tcPr>
            <w:tcW w:w="1532"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$6</w:t>
            </w:r>
            <w:r w:rsidR="00C64F1C">
              <w:rPr>
                <w:rFonts w:cs="Arial"/>
                <w:sz w:val="20"/>
                <w:szCs w:val="20"/>
              </w:rPr>
              <w:t>98</w:t>
            </w:r>
            <w:r w:rsidRPr="00674FAE">
              <w:rPr>
                <w:rFonts w:cs="Arial"/>
                <w:sz w:val="20"/>
                <w:szCs w:val="20"/>
              </w:rPr>
              <w:t>,000</w:t>
            </w:r>
          </w:p>
        </w:tc>
        <w:tc>
          <w:tcPr>
            <w:tcW w:w="92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674FAE" w:rsidRDefault="00BA14A3" w:rsidP="00C64F1C">
            <w:pPr>
              <w:jc w:val="right"/>
              <w:rPr>
                <w:rFonts w:cs="Arial"/>
                <w:sz w:val="20"/>
                <w:szCs w:val="20"/>
              </w:rPr>
            </w:pPr>
            <w:r w:rsidRPr="00674FAE">
              <w:rPr>
                <w:rFonts w:cs="Arial"/>
                <w:sz w:val="20"/>
                <w:szCs w:val="20"/>
              </w:rPr>
              <w:t>$</w:t>
            </w:r>
            <w:r w:rsidR="00C64F1C">
              <w:rPr>
                <w:rFonts w:cs="Arial"/>
                <w:sz w:val="20"/>
                <w:szCs w:val="20"/>
              </w:rPr>
              <w:t>3,203,000</w:t>
            </w:r>
          </w:p>
        </w:tc>
      </w:tr>
      <w:tr w:rsidR="00E74E6B" w:rsidRPr="00854FC2" w:rsidTr="002C302E">
        <w:trPr>
          <w:trHeight w:val="285"/>
        </w:trPr>
        <w:tc>
          <w:tcPr>
            <w:tcW w:w="2526" w:type="dxa"/>
            <w:tcBorders>
              <w:top w:val="nil"/>
              <w:left w:val="double" w:sz="6" w:space="0" w:color="000000"/>
              <w:bottom w:val="double" w:sz="6" w:space="0" w:color="auto"/>
              <w:right w:val="nil"/>
            </w:tcBorders>
            <w:tcMar>
              <w:top w:w="15" w:type="dxa"/>
              <w:left w:w="15" w:type="dxa"/>
              <w:bottom w:w="0" w:type="dxa"/>
              <w:right w:w="15" w:type="dxa"/>
            </w:tcMar>
            <w:vAlign w:val="center"/>
          </w:tcPr>
          <w:p w:rsidR="00BA14A3" w:rsidRPr="00674FAE" w:rsidRDefault="00BA14A3">
            <w:pPr>
              <w:rPr>
                <w:rFonts w:eastAsia="Arial Unicode MS" w:cs="Arial"/>
                <w:b/>
                <w:bCs/>
                <w:sz w:val="20"/>
                <w:szCs w:val="20"/>
              </w:rPr>
            </w:pPr>
            <w:r w:rsidRPr="00674FAE">
              <w:rPr>
                <w:rFonts w:cs="Arial"/>
                <w:b/>
                <w:bCs/>
                <w:sz w:val="20"/>
                <w:szCs w:val="20"/>
              </w:rPr>
              <w:t>TOTAL</w:t>
            </w:r>
          </w:p>
        </w:tc>
        <w:tc>
          <w:tcPr>
            <w:tcW w:w="146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C64F1C" w:rsidP="00BA14A3">
            <w:pPr>
              <w:jc w:val="right"/>
              <w:rPr>
                <w:rFonts w:cs="Arial"/>
                <w:b/>
                <w:bCs/>
                <w:sz w:val="20"/>
                <w:szCs w:val="20"/>
              </w:rPr>
            </w:pPr>
            <w:r>
              <w:rPr>
                <w:rFonts w:cs="Arial"/>
                <w:b/>
                <w:bCs/>
                <w:sz w:val="20"/>
                <w:szCs w:val="20"/>
              </w:rPr>
              <w:t>4,020</w:t>
            </w:r>
          </w:p>
        </w:tc>
        <w:tc>
          <w:tcPr>
            <w:tcW w:w="1436"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C64F1C" w:rsidP="00BA14A3">
            <w:pPr>
              <w:jc w:val="right"/>
              <w:rPr>
                <w:rFonts w:cs="Arial"/>
                <w:b/>
                <w:bCs/>
                <w:sz w:val="20"/>
                <w:szCs w:val="20"/>
              </w:rPr>
            </w:pPr>
            <w:r>
              <w:rPr>
                <w:rFonts w:cs="Arial"/>
                <w:b/>
                <w:bCs/>
                <w:sz w:val="20"/>
                <w:szCs w:val="20"/>
              </w:rPr>
              <w:t>62,8</w:t>
            </w:r>
            <w:r w:rsidR="00BA14A3" w:rsidRPr="00674FAE">
              <w:rPr>
                <w:rFonts w:cs="Arial"/>
                <w:b/>
                <w:bCs/>
                <w:sz w:val="20"/>
                <w:szCs w:val="20"/>
              </w:rPr>
              <w:t>00</w:t>
            </w:r>
          </w:p>
        </w:tc>
        <w:tc>
          <w:tcPr>
            <w:tcW w:w="141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b/>
                <w:sz w:val="20"/>
                <w:szCs w:val="20"/>
              </w:rPr>
            </w:pPr>
            <w:r w:rsidRPr="00674FAE">
              <w:rPr>
                <w:rFonts w:cs="Arial"/>
                <w:b/>
                <w:sz w:val="20"/>
                <w:szCs w:val="20"/>
              </w:rPr>
              <w:t>0</w:t>
            </w:r>
          </w:p>
        </w:tc>
        <w:tc>
          <w:tcPr>
            <w:tcW w:w="1421"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C64F1C">
            <w:pPr>
              <w:jc w:val="right"/>
              <w:rPr>
                <w:rFonts w:cs="Arial"/>
                <w:b/>
                <w:bCs/>
                <w:sz w:val="20"/>
                <w:szCs w:val="20"/>
              </w:rPr>
            </w:pPr>
            <w:r w:rsidRPr="00674FAE">
              <w:rPr>
                <w:rFonts w:cs="Arial"/>
                <w:b/>
                <w:bCs/>
                <w:sz w:val="20"/>
                <w:szCs w:val="20"/>
              </w:rPr>
              <w:t>5,</w:t>
            </w:r>
            <w:r w:rsidR="00C64F1C">
              <w:rPr>
                <w:rFonts w:cs="Arial"/>
                <w:b/>
                <w:bCs/>
                <w:sz w:val="20"/>
                <w:szCs w:val="20"/>
              </w:rPr>
              <w:t>87</w:t>
            </w:r>
            <w:r w:rsidRPr="00674FAE">
              <w:rPr>
                <w:rFonts w:cs="Arial"/>
                <w:b/>
                <w:bCs/>
                <w:sz w:val="20"/>
                <w:szCs w:val="20"/>
              </w:rPr>
              <w:t>0</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C64F1C" w:rsidP="00C64F1C">
            <w:pPr>
              <w:jc w:val="right"/>
              <w:rPr>
                <w:rFonts w:cs="Arial"/>
                <w:b/>
                <w:bCs/>
                <w:sz w:val="20"/>
                <w:szCs w:val="20"/>
              </w:rPr>
            </w:pPr>
            <w:r>
              <w:rPr>
                <w:rFonts w:cs="Arial"/>
                <w:b/>
                <w:bCs/>
                <w:sz w:val="20"/>
                <w:szCs w:val="20"/>
              </w:rPr>
              <w:t>7</w:t>
            </w:r>
            <w:r w:rsidR="00E0554E" w:rsidRPr="00674FAE">
              <w:rPr>
                <w:rFonts w:cs="Arial"/>
                <w:b/>
                <w:bCs/>
                <w:sz w:val="20"/>
                <w:szCs w:val="20"/>
              </w:rPr>
              <w:t>2</w:t>
            </w:r>
            <w:r w:rsidR="00BA14A3" w:rsidRPr="00674FAE">
              <w:rPr>
                <w:rFonts w:cs="Arial"/>
                <w:b/>
                <w:bCs/>
                <w:sz w:val="20"/>
                <w:szCs w:val="20"/>
              </w:rPr>
              <w:t>,</w:t>
            </w:r>
            <w:r>
              <w:rPr>
                <w:rFonts w:cs="Arial"/>
                <w:b/>
                <w:bCs/>
                <w:sz w:val="20"/>
                <w:szCs w:val="20"/>
              </w:rPr>
              <w:t>7</w:t>
            </w:r>
            <w:r w:rsidR="00A15DF0" w:rsidRPr="00674FAE">
              <w:rPr>
                <w:rFonts w:cs="Arial"/>
                <w:b/>
                <w:bCs/>
                <w:sz w:val="20"/>
                <w:szCs w:val="20"/>
              </w:rPr>
              <w:t>0</w:t>
            </w:r>
            <w:r w:rsidR="00BA14A3" w:rsidRPr="00674FAE">
              <w:rPr>
                <w:rFonts w:cs="Arial"/>
                <w:b/>
                <w:bCs/>
                <w:sz w:val="20"/>
                <w:szCs w:val="20"/>
              </w:rPr>
              <w:t>0</w:t>
            </w:r>
          </w:p>
        </w:tc>
        <w:tc>
          <w:tcPr>
            <w:tcW w:w="1532"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A15DF0" w:rsidP="00C64F1C">
            <w:pPr>
              <w:jc w:val="right"/>
              <w:rPr>
                <w:rFonts w:cs="Arial"/>
                <w:b/>
                <w:bCs/>
                <w:sz w:val="20"/>
                <w:szCs w:val="20"/>
              </w:rPr>
            </w:pPr>
            <w:r w:rsidRPr="00674FAE">
              <w:rPr>
                <w:rFonts w:cs="Arial"/>
                <w:b/>
                <w:bCs/>
                <w:sz w:val="20"/>
                <w:szCs w:val="20"/>
              </w:rPr>
              <w:t>$6</w:t>
            </w:r>
            <w:r w:rsidR="00C64F1C">
              <w:rPr>
                <w:rFonts w:cs="Arial"/>
                <w:b/>
                <w:bCs/>
                <w:sz w:val="20"/>
                <w:szCs w:val="20"/>
              </w:rPr>
              <w:t>98</w:t>
            </w:r>
            <w:r w:rsidR="00BA14A3" w:rsidRPr="00674FAE">
              <w:rPr>
                <w:rFonts w:cs="Arial"/>
                <w:b/>
                <w:bCs/>
                <w:sz w:val="20"/>
                <w:szCs w:val="20"/>
              </w:rPr>
              <w:t>,000</w:t>
            </w:r>
          </w:p>
        </w:tc>
        <w:tc>
          <w:tcPr>
            <w:tcW w:w="927"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b/>
                <w:bCs/>
                <w:sz w:val="20"/>
                <w:szCs w:val="20"/>
              </w:rPr>
            </w:pPr>
            <w:r w:rsidRPr="00674FAE">
              <w:rPr>
                <w:rFonts w:cs="Arial"/>
                <w:b/>
                <w:bCs/>
                <w:sz w:val="20"/>
                <w:szCs w:val="20"/>
              </w:rPr>
              <w:t>$0</w:t>
            </w:r>
          </w:p>
        </w:tc>
        <w:tc>
          <w:tcPr>
            <w:tcW w:w="1311"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674FAE" w:rsidRDefault="00BA14A3" w:rsidP="00C64F1C">
            <w:pPr>
              <w:jc w:val="right"/>
              <w:rPr>
                <w:rFonts w:cs="Arial"/>
                <w:b/>
                <w:bCs/>
                <w:sz w:val="20"/>
                <w:szCs w:val="20"/>
              </w:rPr>
            </w:pPr>
            <w:r w:rsidRPr="00674FAE">
              <w:rPr>
                <w:rFonts w:cs="Arial"/>
                <w:b/>
                <w:bCs/>
                <w:sz w:val="20"/>
                <w:szCs w:val="20"/>
              </w:rPr>
              <w:t>$</w:t>
            </w:r>
            <w:r w:rsidR="00C64F1C">
              <w:rPr>
                <w:rFonts w:cs="Arial"/>
                <w:b/>
                <w:bCs/>
                <w:sz w:val="20"/>
                <w:szCs w:val="20"/>
              </w:rPr>
              <w:t>5,593,0</w:t>
            </w:r>
            <w:r w:rsidRPr="00674FAE">
              <w:rPr>
                <w:rFonts w:cs="Arial"/>
                <w:b/>
                <w:bCs/>
                <w:sz w:val="20"/>
                <w:szCs w:val="20"/>
              </w:rPr>
              <w:t>00</w:t>
            </w:r>
          </w:p>
        </w:tc>
      </w:tr>
      <w:tr w:rsidR="00914384" w:rsidRPr="00854FC2" w:rsidTr="002C302E">
        <w:trPr>
          <w:cantSplit/>
          <w:trHeight w:val="228"/>
        </w:trPr>
        <w:tc>
          <w:tcPr>
            <w:tcW w:w="13000"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914384" w:rsidRPr="00854FC2" w:rsidRDefault="00914384" w:rsidP="0027098C">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Pr>
                <w:rFonts w:cs="Arial"/>
                <w:sz w:val="18"/>
                <w:szCs w:val="18"/>
              </w:rPr>
              <w:t>estimated totals</w:t>
            </w:r>
            <w:r w:rsidRPr="00854FC2">
              <w:rPr>
                <w:rFonts w:cs="Arial"/>
                <w:sz w:val="18"/>
                <w:szCs w:val="18"/>
              </w:rPr>
              <w:t xml:space="preserve">, rounded to the nearest </w:t>
            </w:r>
            <w:r>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  The numbers in this exhibit may not add precisely due to rounding. </w:t>
            </w:r>
          </w:p>
        </w:tc>
      </w:tr>
      <w:tr w:rsidR="00914384" w:rsidRPr="00854FC2" w:rsidTr="002C302E">
        <w:trPr>
          <w:cantSplit/>
          <w:trHeight w:val="255"/>
        </w:trPr>
        <w:tc>
          <w:tcPr>
            <w:tcW w:w="0" w:type="auto"/>
            <w:gridSpan w:val="9"/>
            <w:vMerge/>
            <w:tcBorders>
              <w:top w:val="double" w:sz="6" w:space="0" w:color="auto"/>
              <w:left w:val="nil"/>
              <w:bottom w:val="nil"/>
              <w:right w:val="nil"/>
            </w:tcBorders>
            <w:vAlign w:val="center"/>
          </w:tcPr>
          <w:p w:rsidR="00914384" w:rsidRPr="00854FC2" w:rsidRDefault="00914384">
            <w:pPr>
              <w:rPr>
                <w:rFonts w:eastAsia="Arial Unicode MS" w:cs="Arial"/>
                <w:sz w:val="18"/>
                <w:szCs w:val="18"/>
              </w:rPr>
            </w:pPr>
          </w:p>
        </w:tc>
      </w:tr>
      <w:tr w:rsidR="00914384" w:rsidRPr="00854FC2" w:rsidTr="002C302E">
        <w:trPr>
          <w:trHeight w:val="270"/>
        </w:trPr>
        <w:tc>
          <w:tcPr>
            <w:tcW w:w="0" w:type="auto"/>
            <w:gridSpan w:val="9"/>
            <w:tcBorders>
              <w:top w:val="nil"/>
              <w:left w:val="nil"/>
              <w:bottom w:val="nil"/>
              <w:right w:val="nil"/>
            </w:tcBorders>
            <w:noWrap/>
            <w:tcMar>
              <w:top w:w="0" w:type="dxa"/>
              <w:left w:w="15" w:type="dxa"/>
              <w:bottom w:w="0" w:type="dxa"/>
              <w:right w:w="15" w:type="dxa"/>
            </w:tcMar>
            <w:vAlign w:val="bottom"/>
          </w:tcPr>
          <w:p w:rsidR="00914384" w:rsidRPr="00854FC2" w:rsidRDefault="00914384" w:rsidP="0027098C">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r w:rsidR="00D85665" w:rsidRPr="00854FC2" w:rsidTr="002C302E">
        <w:trPr>
          <w:cantSplit/>
          <w:trHeight w:val="360"/>
        </w:trPr>
        <w:tc>
          <w:tcPr>
            <w:tcW w:w="13000" w:type="dxa"/>
            <w:gridSpan w:val="9"/>
            <w:vMerge w:val="restart"/>
            <w:tcBorders>
              <w:top w:val="nil"/>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p>
        </w:tc>
      </w:tr>
      <w:tr w:rsidR="00D85665" w:rsidRPr="00854FC2" w:rsidTr="002C302E">
        <w:trPr>
          <w:cantSplit/>
          <w:trHeight w:val="255"/>
        </w:trPr>
        <w:tc>
          <w:tcPr>
            <w:tcW w:w="0" w:type="auto"/>
            <w:gridSpan w:val="9"/>
            <w:vMerge/>
            <w:tcBorders>
              <w:top w:val="nil"/>
              <w:left w:val="nil"/>
              <w:bottom w:val="nil"/>
              <w:right w:val="nil"/>
            </w:tcBorders>
            <w:vAlign w:val="center"/>
          </w:tcPr>
          <w:p w:rsidR="00D85665" w:rsidRPr="00854FC2" w:rsidRDefault="00D85665">
            <w:pPr>
              <w:rPr>
                <w:rFonts w:eastAsia="Arial Unicode MS" w:cs="Arial"/>
                <w:sz w:val="18"/>
                <w:szCs w:val="18"/>
              </w:rPr>
            </w:pPr>
          </w:p>
        </w:tc>
      </w:tr>
    </w:tbl>
    <w:p w:rsidR="00D85665" w:rsidRPr="00854FC2" w:rsidRDefault="00FE0F22">
      <w:pPr>
        <w:pStyle w:val="Caption"/>
        <w:keepNext/>
      </w:pPr>
      <w:r w:rsidRPr="00FB1402">
        <w:t>E</w:t>
      </w:r>
      <w:r w:rsidR="00D85665" w:rsidRPr="00FB1402">
        <w:t xml:space="preserve">xhibit </w:t>
      </w:r>
      <w:r w:rsidR="002348E6">
        <w:fldChar w:fldCharType="begin"/>
      </w:r>
      <w:r w:rsidR="002348E6">
        <w:instrText xml:space="preserve"> SEQ Exhibit \* ARABIC </w:instrText>
      </w:r>
      <w:r w:rsidR="002348E6">
        <w:fldChar w:fldCharType="separate"/>
      </w:r>
      <w:r w:rsidR="00F61EFD">
        <w:rPr>
          <w:noProof/>
        </w:rPr>
        <w:t>14</w:t>
      </w:r>
      <w:r w:rsidR="002348E6">
        <w:fldChar w:fldCharType="end"/>
      </w:r>
    </w:p>
    <w:tbl>
      <w:tblPr>
        <w:tblW w:w="13000" w:type="dxa"/>
        <w:tblCellMar>
          <w:left w:w="0" w:type="dxa"/>
          <w:right w:w="0" w:type="dxa"/>
        </w:tblCellMar>
        <w:tblLook w:val="0000"/>
      </w:tblPr>
      <w:tblGrid>
        <w:gridCol w:w="2577"/>
        <w:gridCol w:w="1468"/>
        <w:gridCol w:w="1451"/>
        <w:gridCol w:w="1437"/>
        <w:gridCol w:w="1440"/>
        <w:gridCol w:w="952"/>
        <w:gridCol w:w="1535"/>
        <w:gridCol w:w="940"/>
        <w:gridCol w:w="1200"/>
      </w:tblGrid>
      <w:tr w:rsidR="00D85665" w:rsidRPr="00854FC2">
        <w:trPr>
          <w:trHeight w:val="300"/>
        </w:trPr>
        <w:tc>
          <w:tcPr>
            <w:tcW w:w="13000" w:type="dxa"/>
            <w:gridSpan w:val="9"/>
            <w:tcBorders>
              <w:top w:val="nil"/>
              <w:left w:val="nil"/>
              <w:bottom w:val="nil"/>
              <w:right w:val="nil"/>
            </w:tcBorders>
            <w:noWrap/>
            <w:tcMar>
              <w:top w:w="15" w:type="dxa"/>
              <w:left w:w="15" w:type="dxa"/>
              <w:bottom w:w="0" w:type="dxa"/>
              <w:right w:w="15" w:type="dxa"/>
            </w:tcMar>
            <w:vAlign w:val="bottom"/>
          </w:tcPr>
          <w:p w:rsidR="00D85665" w:rsidRPr="00854FC2" w:rsidRDefault="00C05D24" w:rsidP="00391725">
            <w:pPr>
              <w:jc w:val="center"/>
              <w:rPr>
                <w:rFonts w:eastAsia="Arial Unicode MS" w:cs="Arial"/>
                <w:b/>
                <w:bCs/>
                <w:szCs w:val="22"/>
              </w:rPr>
            </w:pPr>
            <w:r w:rsidRPr="00854FC2">
              <w:rPr>
                <w:rFonts w:cs="Arial"/>
                <w:b/>
                <w:bCs/>
                <w:szCs w:val="22"/>
              </w:rPr>
              <w:t xml:space="preserve">Total </w:t>
            </w:r>
            <w:r w:rsidR="00D85665" w:rsidRPr="00854FC2">
              <w:rPr>
                <w:rFonts w:cs="Arial"/>
                <w:b/>
                <w:bCs/>
                <w:szCs w:val="22"/>
              </w:rPr>
              <w:t>Annual Burden and Costs</w:t>
            </w:r>
            <w:r w:rsidR="009B2E9E">
              <w:rPr>
                <w:rFonts w:cs="Arial"/>
                <w:b/>
                <w:bCs/>
                <w:szCs w:val="22"/>
              </w:rPr>
              <w:t xml:space="preserve"> for All </w:t>
            </w:r>
            <w:r w:rsidR="00391725">
              <w:rPr>
                <w:rFonts w:cs="Arial"/>
                <w:b/>
                <w:bCs/>
                <w:szCs w:val="22"/>
              </w:rPr>
              <w:t xml:space="preserve">Other </w:t>
            </w:r>
            <w:r w:rsidR="009B2E9E">
              <w:rPr>
                <w:rFonts w:cs="Arial"/>
                <w:b/>
                <w:bCs/>
                <w:szCs w:val="22"/>
              </w:rPr>
              <w:t>Facilities</w:t>
            </w:r>
          </w:p>
        </w:tc>
      </w:tr>
      <w:tr w:rsidR="00D85665" w:rsidRPr="00854FC2">
        <w:trPr>
          <w:trHeight w:val="315"/>
        </w:trPr>
        <w:tc>
          <w:tcPr>
            <w:tcW w:w="0" w:type="auto"/>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854FC2" w:rsidRDefault="00D85665">
            <w:pPr>
              <w:jc w:val="center"/>
              <w:rPr>
                <w:rFonts w:eastAsia="Arial Unicode MS" w:cs="Arial"/>
                <w:b/>
                <w:bCs/>
                <w:szCs w:val="22"/>
              </w:rPr>
            </w:pPr>
            <w:r w:rsidRPr="00854FC2">
              <w:rPr>
                <w:rFonts w:cs="Arial"/>
                <w:b/>
                <w:bCs/>
                <w:szCs w:val="22"/>
              </w:rPr>
              <w:t>Average Category I Facilities</w:t>
            </w:r>
          </w:p>
        </w:tc>
      </w:tr>
      <w:tr w:rsidR="00D85665" w:rsidRPr="00854FC2">
        <w:trPr>
          <w:cantSplit/>
          <w:trHeight w:val="285"/>
        </w:trPr>
        <w:tc>
          <w:tcPr>
            <w:tcW w:w="2577"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796"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854FC2" w:rsidRDefault="00D85665">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952"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Total Burden Hours</w:t>
            </w:r>
          </w:p>
        </w:tc>
        <w:tc>
          <w:tcPr>
            <w:tcW w:w="1535"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Capital/Startup Costs</w:t>
            </w:r>
          </w:p>
        </w:tc>
        <w:tc>
          <w:tcPr>
            <w:tcW w:w="940"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PE Costs</w:t>
            </w:r>
          </w:p>
        </w:tc>
        <w:tc>
          <w:tcPr>
            <w:tcW w:w="1200"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854FC2" w:rsidRDefault="002C0EBA" w:rsidP="007D2182">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w:t>
            </w:r>
            <w:r w:rsidR="007D2182">
              <w:rPr>
                <w:rFonts w:cs="Arial"/>
                <w:b/>
                <w:bCs/>
                <w:sz w:val="20"/>
                <w:szCs w:val="20"/>
              </w:rPr>
              <w:t>12</w:t>
            </w:r>
            <w:r>
              <w:rPr>
                <w:rFonts w:cs="Arial"/>
                <w:b/>
                <w:bCs/>
                <w:sz w:val="20"/>
                <w:szCs w:val="20"/>
              </w:rPr>
              <w:t>$)</w:t>
            </w:r>
            <w:r w:rsidRPr="00854FC2">
              <w:rPr>
                <w:rFonts w:cs="Arial"/>
                <w:b/>
                <w:bCs/>
                <w:sz w:val="20"/>
                <w:szCs w:val="20"/>
                <w:vertAlign w:val="superscript"/>
              </w:rPr>
              <w:t>2</w:t>
            </w:r>
          </w:p>
        </w:tc>
      </w:tr>
      <w:tr w:rsidR="00D85665" w:rsidRPr="00854FC2">
        <w:trPr>
          <w:cantSplit/>
          <w:trHeight w:val="480"/>
        </w:trPr>
        <w:tc>
          <w:tcPr>
            <w:tcW w:w="0" w:type="auto"/>
            <w:vMerge/>
            <w:tcBorders>
              <w:top w:val="nil"/>
              <w:left w:val="double" w:sz="6"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1468"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Management</w:t>
            </w:r>
          </w:p>
        </w:tc>
        <w:tc>
          <w:tcPr>
            <w:tcW w:w="1451"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Technical</w:t>
            </w:r>
          </w:p>
        </w:tc>
        <w:tc>
          <w:tcPr>
            <w:tcW w:w="143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Drafter</w:t>
            </w:r>
          </w:p>
        </w:tc>
        <w:tc>
          <w:tcPr>
            <w:tcW w:w="1440"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854FC2" w:rsidRDefault="00D85665">
            <w:pPr>
              <w:jc w:val="center"/>
              <w:rPr>
                <w:rFonts w:eastAsia="Arial Unicode MS" w:cs="Arial"/>
                <w:b/>
                <w:bCs/>
                <w:sz w:val="20"/>
                <w:szCs w:val="20"/>
              </w:rPr>
            </w:pPr>
            <w:r w:rsidRPr="00854FC2">
              <w:rPr>
                <w:rFonts w:cs="Arial"/>
                <w:b/>
                <w:bCs/>
                <w:sz w:val="20"/>
                <w:szCs w:val="20"/>
              </w:rPr>
              <w:t>Clerical</w:t>
            </w:r>
          </w:p>
        </w:tc>
        <w:tc>
          <w:tcPr>
            <w:tcW w:w="0" w:type="auto"/>
            <w:vMerge/>
            <w:tcBorders>
              <w:top w:val="nil"/>
              <w:left w:val="nil"/>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854FC2"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854FC2" w:rsidRDefault="00D85665">
            <w:pPr>
              <w:rPr>
                <w:rFonts w:eastAsia="Arial Unicode MS" w:cs="Arial"/>
                <w:b/>
                <w:bCs/>
                <w:sz w:val="20"/>
                <w:szCs w:val="20"/>
              </w:rPr>
            </w:pPr>
          </w:p>
        </w:tc>
      </w:tr>
      <w:tr w:rsidR="00D85665" w:rsidRPr="00854FC2">
        <w:trPr>
          <w:trHeight w:val="270"/>
        </w:trPr>
        <w:tc>
          <w:tcPr>
            <w:tcW w:w="13000"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854FC2" w:rsidRDefault="00D85665">
            <w:pPr>
              <w:pStyle w:val="Heading5"/>
              <w:rPr>
                <w:rFonts w:eastAsia="Arial Unicode MS"/>
                <w:szCs w:val="20"/>
              </w:rPr>
            </w:pPr>
            <w:r w:rsidRPr="00854FC2">
              <w:rPr>
                <w:szCs w:val="20"/>
              </w:rPr>
              <w:t>Existing Facilities</w:t>
            </w:r>
          </w:p>
        </w:tc>
      </w:tr>
      <w:tr w:rsidR="00B72B5E" w:rsidRPr="00854FC2" w:rsidTr="0066668B">
        <w:trPr>
          <w:trHeight w:val="360"/>
        </w:trPr>
        <w:tc>
          <w:tcPr>
            <w:tcW w:w="2577" w:type="dxa"/>
            <w:tcBorders>
              <w:top w:val="nil"/>
              <w:left w:val="double" w:sz="6" w:space="0" w:color="000000"/>
              <w:bottom w:val="nil"/>
              <w:right w:val="nil"/>
            </w:tcBorders>
            <w:tcMar>
              <w:top w:w="15" w:type="dxa"/>
              <w:left w:w="15" w:type="dxa"/>
              <w:bottom w:w="0" w:type="dxa"/>
              <w:right w:w="15" w:type="dxa"/>
            </w:tcMar>
            <w:vAlign w:val="center"/>
          </w:tcPr>
          <w:p w:rsidR="00B72B5E" w:rsidRPr="00854FC2" w:rsidRDefault="00B72B5E">
            <w:pPr>
              <w:rPr>
                <w:rFonts w:eastAsia="Arial Unicode MS" w:cs="Arial"/>
                <w:sz w:val="20"/>
                <w:szCs w:val="20"/>
              </w:rPr>
            </w:pPr>
            <w:r w:rsidRPr="00854FC2">
              <w:rPr>
                <w:rFonts w:cs="Arial"/>
                <w:sz w:val="20"/>
                <w:szCs w:val="20"/>
              </w:rPr>
              <w:t>Review the SPCC Plan</w:t>
            </w:r>
          </w:p>
        </w:tc>
        <w:tc>
          <w:tcPr>
            <w:tcW w:w="1468"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2</w:t>
            </w:r>
            <w:r w:rsidR="00251173">
              <w:rPr>
                <w:rFonts w:cs="Arial"/>
                <w:sz w:val="20"/>
                <w:szCs w:val="20"/>
              </w:rPr>
              <w:t>7</w:t>
            </w:r>
            <w:r>
              <w:rPr>
                <w:rFonts w:cs="Arial"/>
                <w:sz w:val="20"/>
                <w:szCs w:val="20"/>
              </w:rPr>
              <w:t>,</w:t>
            </w:r>
            <w:r w:rsidR="00251173">
              <w:rPr>
                <w:rFonts w:cs="Arial"/>
                <w:sz w:val="20"/>
                <w:szCs w:val="20"/>
              </w:rPr>
              <w:t>5</w:t>
            </w:r>
            <w:r>
              <w:rPr>
                <w:rFonts w:cs="Arial"/>
                <w:sz w:val="20"/>
                <w:szCs w:val="20"/>
              </w:rPr>
              <w:t>00</w:t>
            </w:r>
          </w:p>
        </w:tc>
        <w:tc>
          <w:tcPr>
            <w:tcW w:w="1451"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2</w:t>
            </w:r>
            <w:r w:rsidR="00251173">
              <w:rPr>
                <w:rFonts w:cs="Arial"/>
                <w:sz w:val="20"/>
                <w:szCs w:val="20"/>
              </w:rPr>
              <w:t>1</w:t>
            </w:r>
            <w:r>
              <w:rPr>
                <w:rFonts w:cs="Arial"/>
                <w:sz w:val="20"/>
                <w:szCs w:val="20"/>
              </w:rPr>
              <w:t>1,000</w:t>
            </w:r>
          </w:p>
        </w:tc>
        <w:tc>
          <w:tcPr>
            <w:tcW w:w="1437"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66668B">
            <w:pPr>
              <w:jc w:val="right"/>
              <w:rPr>
                <w:rFonts w:cs="Arial"/>
                <w:sz w:val="20"/>
                <w:szCs w:val="20"/>
              </w:rPr>
            </w:pPr>
            <w:r>
              <w:rPr>
                <w:rFonts w:cs="Arial"/>
                <w:sz w:val="20"/>
                <w:szCs w:val="20"/>
              </w:rPr>
              <w:t>0</w:t>
            </w:r>
          </w:p>
        </w:tc>
        <w:tc>
          <w:tcPr>
            <w:tcW w:w="1440"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2</w:t>
            </w:r>
            <w:r w:rsidR="00251173">
              <w:rPr>
                <w:rFonts w:cs="Arial"/>
                <w:sz w:val="20"/>
                <w:szCs w:val="20"/>
              </w:rPr>
              <w:t>7</w:t>
            </w:r>
            <w:r>
              <w:rPr>
                <w:rFonts w:cs="Arial"/>
                <w:sz w:val="20"/>
                <w:szCs w:val="20"/>
              </w:rPr>
              <w:t>,</w:t>
            </w:r>
            <w:r w:rsidR="00251173">
              <w:rPr>
                <w:rFonts w:cs="Arial"/>
                <w:sz w:val="20"/>
                <w:szCs w:val="20"/>
              </w:rPr>
              <w:t>5</w:t>
            </w:r>
            <w:r>
              <w:rPr>
                <w:rFonts w:cs="Arial"/>
                <w:sz w:val="20"/>
                <w:szCs w:val="20"/>
              </w:rPr>
              <w:t>00</w:t>
            </w:r>
          </w:p>
        </w:tc>
        <w:tc>
          <w:tcPr>
            <w:tcW w:w="952"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2</w:t>
            </w:r>
            <w:r w:rsidR="00251173">
              <w:rPr>
                <w:rFonts w:cs="Arial"/>
                <w:sz w:val="20"/>
                <w:szCs w:val="20"/>
              </w:rPr>
              <w:t>66</w:t>
            </w:r>
            <w:r>
              <w:rPr>
                <w:rFonts w:cs="Arial"/>
                <w:sz w:val="20"/>
                <w:szCs w:val="20"/>
              </w:rPr>
              <w:t>,000</w:t>
            </w:r>
          </w:p>
        </w:tc>
        <w:tc>
          <w:tcPr>
            <w:tcW w:w="1535"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Pr="00332DFC" w:rsidRDefault="00B72B5E" w:rsidP="00BA14A3">
            <w:pPr>
              <w:jc w:val="right"/>
              <w:rPr>
                <w:rFonts w:cs="Arial"/>
                <w:sz w:val="20"/>
                <w:szCs w:val="20"/>
              </w:rPr>
            </w:pPr>
            <w:r w:rsidRPr="00332DFC">
              <w:rPr>
                <w:rFonts w:cs="Arial"/>
                <w:sz w:val="20"/>
                <w:szCs w:val="20"/>
              </w:rPr>
              <w:t>$0</w:t>
            </w:r>
          </w:p>
        </w:tc>
        <w:tc>
          <w:tcPr>
            <w:tcW w:w="940"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Pr="00332DFC" w:rsidRDefault="00B72B5E" w:rsidP="00BA14A3">
            <w:pPr>
              <w:jc w:val="right"/>
              <w:rPr>
                <w:rFonts w:cs="Arial"/>
                <w:sz w:val="20"/>
                <w:szCs w:val="20"/>
              </w:rPr>
            </w:pPr>
            <w:r w:rsidRPr="00332DFC">
              <w:rPr>
                <w:rFonts w:cs="Arial"/>
                <w:sz w:val="20"/>
                <w:szCs w:val="20"/>
              </w:rPr>
              <w:t>$0</w:t>
            </w:r>
          </w:p>
        </w:tc>
        <w:tc>
          <w:tcPr>
            <w:tcW w:w="1200" w:type="dxa"/>
            <w:tcBorders>
              <w:top w:val="nil"/>
              <w:left w:val="nil"/>
              <w:bottom w:val="single" w:sz="4" w:space="0" w:color="auto"/>
              <w:right w:val="double" w:sz="6" w:space="0" w:color="000000"/>
            </w:tcBorders>
            <w:tcMar>
              <w:top w:w="15" w:type="dxa"/>
              <w:left w:w="15" w:type="dxa"/>
              <w:bottom w:w="0" w:type="dxa"/>
              <w:right w:w="72" w:type="dxa"/>
            </w:tcMar>
            <w:vAlign w:val="center"/>
          </w:tcPr>
          <w:p w:rsidR="00B72B5E" w:rsidRPr="00332DFC" w:rsidRDefault="00B72B5E" w:rsidP="00E6287A">
            <w:pPr>
              <w:jc w:val="right"/>
              <w:rPr>
                <w:rFonts w:cs="Arial"/>
                <w:sz w:val="20"/>
                <w:szCs w:val="20"/>
              </w:rPr>
            </w:pPr>
            <w:r w:rsidRPr="00332DFC">
              <w:rPr>
                <w:rFonts w:cs="Arial"/>
                <w:sz w:val="20"/>
                <w:szCs w:val="20"/>
              </w:rPr>
              <w:t>$</w:t>
            </w:r>
            <w:r>
              <w:rPr>
                <w:rFonts w:cs="Arial"/>
                <w:sz w:val="20"/>
                <w:szCs w:val="20"/>
              </w:rPr>
              <w:t>23</w:t>
            </w:r>
            <w:r w:rsidRPr="00332DFC">
              <w:rPr>
                <w:rFonts w:cs="Arial"/>
                <w:sz w:val="20"/>
                <w:szCs w:val="20"/>
              </w:rPr>
              <w:t>,</w:t>
            </w:r>
            <w:r w:rsidR="00E6287A">
              <w:rPr>
                <w:rFonts w:cs="Arial"/>
                <w:sz w:val="20"/>
                <w:szCs w:val="20"/>
              </w:rPr>
              <w:t>9</w:t>
            </w:r>
            <w:r w:rsidRPr="00332DFC">
              <w:rPr>
                <w:rFonts w:cs="Arial"/>
                <w:sz w:val="20"/>
                <w:szCs w:val="20"/>
              </w:rPr>
              <w:t>00,000</w:t>
            </w:r>
          </w:p>
        </w:tc>
      </w:tr>
      <w:tr w:rsidR="00B72B5E" w:rsidRPr="00854FC2" w:rsidTr="0066668B">
        <w:trPr>
          <w:trHeight w:val="915"/>
        </w:trPr>
        <w:tc>
          <w:tcPr>
            <w:tcW w:w="257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72B5E" w:rsidRPr="00854FC2" w:rsidRDefault="00B72B5E">
            <w:pPr>
              <w:rPr>
                <w:rFonts w:eastAsia="Arial Unicode MS" w:cs="Arial"/>
                <w:sz w:val="20"/>
                <w:szCs w:val="20"/>
              </w:rPr>
            </w:pPr>
            <w:r w:rsidRPr="00854FC2">
              <w:rPr>
                <w:rFonts w:cs="Arial"/>
                <w:sz w:val="20"/>
                <w:szCs w:val="20"/>
              </w:rPr>
              <w:t>Submit Information in the Event of Certain Discharges of Oil</w:t>
            </w:r>
          </w:p>
        </w:tc>
        <w:tc>
          <w:tcPr>
            <w:tcW w:w="1468"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11</w:t>
            </w:r>
            <w:r w:rsidR="00251173">
              <w:rPr>
                <w:rFonts w:cs="Arial"/>
                <w:sz w:val="20"/>
                <w:szCs w:val="20"/>
              </w:rPr>
              <w:t>1</w:t>
            </w:r>
          </w:p>
        </w:tc>
        <w:tc>
          <w:tcPr>
            <w:tcW w:w="1451"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11</w:t>
            </w:r>
            <w:r w:rsidR="00251173">
              <w:rPr>
                <w:rFonts w:cs="Arial"/>
                <w:sz w:val="20"/>
                <w:szCs w:val="20"/>
              </w:rPr>
              <w:t>1</w:t>
            </w:r>
          </w:p>
        </w:tc>
        <w:tc>
          <w:tcPr>
            <w:tcW w:w="1437"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66668B">
            <w:pPr>
              <w:jc w:val="right"/>
              <w:rPr>
                <w:rFonts w:cs="Arial"/>
                <w:sz w:val="20"/>
                <w:szCs w:val="20"/>
              </w:rPr>
            </w:pPr>
            <w:r>
              <w:rPr>
                <w:rFonts w:cs="Arial"/>
                <w:sz w:val="20"/>
                <w:szCs w:val="20"/>
              </w:rPr>
              <w:t>0</w:t>
            </w:r>
          </w:p>
        </w:tc>
        <w:tc>
          <w:tcPr>
            <w:tcW w:w="1440"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66668B">
            <w:pPr>
              <w:jc w:val="right"/>
              <w:rPr>
                <w:rFonts w:cs="Arial"/>
                <w:sz w:val="20"/>
                <w:szCs w:val="20"/>
              </w:rPr>
            </w:pPr>
            <w:r>
              <w:rPr>
                <w:rFonts w:cs="Arial"/>
                <w:sz w:val="20"/>
                <w:szCs w:val="20"/>
              </w:rPr>
              <w:t>0</w:t>
            </w:r>
          </w:p>
        </w:tc>
        <w:tc>
          <w:tcPr>
            <w:tcW w:w="952"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2</w:t>
            </w:r>
            <w:r w:rsidR="00251173">
              <w:rPr>
                <w:rFonts w:cs="Arial"/>
                <w:sz w:val="20"/>
                <w:szCs w:val="20"/>
              </w:rPr>
              <w:t>21</w:t>
            </w:r>
          </w:p>
        </w:tc>
        <w:tc>
          <w:tcPr>
            <w:tcW w:w="1535"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Pr="00332DFC" w:rsidRDefault="00B72B5E" w:rsidP="00251173">
            <w:pPr>
              <w:jc w:val="right"/>
              <w:rPr>
                <w:rFonts w:cs="Arial"/>
                <w:sz w:val="20"/>
                <w:szCs w:val="20"/>
              </w:rPr>
            </w:pPr>
            <w:r w:rsidRPr="00332DFC">
              <w:rPr>
                <w:rFonts w:cs="Arial"/>
                <w:sz w:val="20"/>
                <w:szCs w:val="20"/>
              </w:rPr>
              <w:t>$</w:t>
            </w:r>
            <w:r w:rsidR="00890A99">
              <w:rPr>
                <w:rFonts w:cs="Arial"/>
                <w:sz w:val="20"/>
                <w:szCs w:val="20"/>
              </w:rPr>
              <w:t>2,</w:t>
            </w:r>
            <w:r w:rsidR="00251173">
              <w:rPr>
                <w:rFonts w:cs="Arial"/>
                <w:sz w:val="20"/>
                <w:szCs w:val="20"/>
              </w:rPr>
              <w:t>22</w:t>
            </w:r>
            <w:r>
              <w:rPr>
                <w:rFonts w:cs="Arial"/>
                <w:sz w:val="20"/>
                <w:szCs w:val="20"/>
              </w:rPr>
              <w:t>0</w:t>
            </w:r>
          </w:p>
        </w:tc>
        <w:tc>
          <w:tcPr>
            <w:tcW w:w="940"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Pr="00332DFC" w:rsidRDefault="00B72B5E" w:rsidP="00BA14A3">
            <w:pPr>
              <w:jc w:val="right"/>
              <w:rPr>
                <w:rFonts w:cs="Arial"/>
                <w:sz w:val="20"/>
                <w:szCs w:val="20"/>
              </w:rPr>
            </w:pPr>
            <w:r w:rsidRPr="00332DFC">
              <w:rPr>
                <w:rFonts w:cs="Arial"/>
                <w:sz w:val="20"/>
                <w:szCs w:val="20"/>
              </w:rPr>
              <w:t>$0</w:t>
            </w:r>
          </w:p>
        </w:tc>
        <w:tc>
          <w:tcPr>
            <w:tcW w:w="1200" w:type="dxa"/>
            <w:tcBorders>
              <w:top w:val="nil"/>
              <w:left w:val="nil"/>
              <w:bottom w:val="single" w:sz="4" w:space="0" w:color="auto"/>
              <w:right w:val="double" w:sz="6" w:space="0" w:color="000000"/>
            </w:tcBorders>
            <w:tcMar>
              <w:top w:w="15" w:type="dxa"/>
              <w:left w:w="15" w:type="dxa"/>
              <w:bottom w:w="0" w:type="dxa"/>
              <w:right w:w="72" w:type="dxa"/>
            </w:tcMar>
            <w:vAlign w:val="center"/>
          </w:tcPr>
          <w:p w:rsidR="00B72B5E" w:rsidRPr="00332DFC" w:rsidRDefault="00B72B5E" w:rsidP="00E6287A">
            <w:pPr>
              <w:jc w:val="right"/>
              <w:rPr>
                <w:rFonts w:cs="Arial"/>
                <w:sz w:val="20"/>
                <w:szCs w:val="20"/>
              </w:rPr>
            </w:pPr>
            <w:r w:rsidRPr="00332DFC">
              <w:rPr>
                <w:rFonts w:cs="Arial"/>
                <w:sz w:val="20"/>
                <w:szCs w:val="20"/>
              </w:rPr>
              <w:t>$</w:t>
            </w:r>
            <w:r>
              <w:rPr>
                <w:rFonts w:cs="Arial"/>
                <w:sz w:val="20"/>
                <w:szCs w:val="20"/>
              </w:rPr>
              <w:t>1</w:t>
            </w:r>
            <w:r w:rsidR="00890A99">
              <w:rPr>
                <w:rFonts w:cs="Arial"/>
                <w:sz w:val="20"/>
                <w:szCs w:val="20"/>
              </w:rPr>
              <w:t>6,</w:t>
            </w:r>
            <w:r w:rsidR="00E6287A">
              <w:rPr>
                <w:rFonts w:cs="Arial"/>
                <w:sz w:val="20"/>
                <w:szCs w:val="20"/>
              </w:rPr>
              <w:t>3</w:t>
            </w:r>
            <w:r>
              <w:rPr>
                <w:rFonts w:cs="Arial"/>
                <w:sz w:val="20"/>
                <w:szCs w:val="20"/>
              </w:rPr>
              <w:t>0</w:t>
            </w:r>
            <w:r w:rsidRPr="00332DFC">
              <w:rPr>
                <w:rFonts w:cs="Arial"/>
                <w:sz w:val="20"/>
                <w:szCs w:val="20"/>
              </w:rPr>
              <w:t>0</w:t>
            </w:r>
          </w:p>
        </w:tc>
      </w:tr>
      <w:tr w:rsidR="00B72B5E" w:rsidRPr="00854FC2" w:rsidTr="0066668B">
        <w:trPr>
          <w:trHeight w:val="540"/>
        </w:trPr>
        <w:tc>
          <w:tcPr>
            <w:tcW w:w="257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72B5E" w:rsidRPr="00854FC2" w:rsidRDefault="00B72B5E">
            <w:pPr>
              <w:rPr>
                <w:rFonts w:eastAsia="Arial Unicode MS" w:cs="Arial"/>
                <w:sz w:val="20"/>
                <w:szCs w:val="20"/>
              </w:rPr>
            </w:pPr>
            <w:r w:rsidRPr="00854FC2">
              <w:rPr>
                <w:rFonts w:cs="Arial"/>
                <w:sz w:val="20"/>
                <w:szCs w:val="20"/>
              </w:rPr>
              <w:t>Revise the SPCC Plan</w:t>
            </w:r>
          </w:p>
        </w:tc>
        <w:tc>
          <w:tcPr>
            <w:tcW w:w="1468"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2</w:t>
            </w:r>
            <w:r w:rsidR="00251173">
              <w:rPr>
                <w:rFonts w:cs="Arial"/>
                <w:sz w:val="20"/>
                <w:szCs w:val="20"/>
              </w:rPr>
              <w:t>2</w:t>
            </w:r>
            <w:r>
              <w:rPr>
                <w:rFonts w:cs="Arial"/>
                <w:sz w:val="20"/>
                <w:szCs w:val="20"/>
              </w:rPr>
              <w:t>,900</w:t>
            </w:r>
          </w:p>
        </w:tc>
        <w:tc>
          <w:tcPr>
            <w:tcW w:w="1451"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13</w:t>
            </w:r>
            <w:r w:rsidR="00251173">
              <w:rPr>
                <w:rFonts w:cs="Arial"/>
                <w:sz w:val="20"/>
                <w:szCs w:val="20"/>
              </w:rPr>
              <w:t>7</w:t>
            </w:r>
            <w:r>
              <w:rPr>
                <w:rFonts w:cs="Arial"/>
                <w:sz w:val="20"/>
                <w:szCs w:val="20"/>
              </w:rPr>
              <w:t>,000</w:t>
            </w:r>
          </w:p>
        </w:tc>
        <w:tc>
          <w:tcPr>
            <w:tcW w:w="1437"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66668B">
            <w:pPr>
              <w:jc w:val="right"/>
              <w:rPr>
                <w:rFonts w:cs="Arial"/>
                <w:sz w:val="20"/>
                <w:szCs w:val="20"/>
              </w:rPr>
            </w:pPr>
            <w:r>
              <w:rPr>
                <w:rFonts w:cs="Arial"/>
                <w:sz w:val="20"/>
                <w:szCs w:val="20"/>
              </w:rPr>
              <w:t>0</w:t>
            </w:r>
          </w:p>
        </w:tc>
        <w:tc>
          <w:tcPr>
            <w:tcW w:w="1440"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1</w:t>
            </w:r>
            <w:r w:rsidR="00251173">
              <w:rPr>
                <w:rFonts w:cs="Arial"/>
                <w:sz w:val="20"/>
                <w:szCs w:val="20"/>
              </w:rPr>
              <w:t>8</w:t>
            </w:r>
            <w:r>
              <w:rPr>
                <w:rFonts w:cs="Arial"/>
                <w:sz w:val="20"/>
                <w:szCs w:val="20"/>
              </w:rPr>
              <w:t>,</w:t>
            </w:r>
            <w:r w:rsidR="00251173">
              <w:rPr>
                <w:rFonts w:cs="Arial"/>
                <w:sz w:val="20"/>
                <w:szCs w:val="20"/>
              </w:rPr>
              <w:t>3</w:t>
            </w:r>
            <w:r>
              <w:rPr>
                <w:rFonts w:cs="Arial"/>
                <w:sz w:val="20"/>
                <w:szCs w:val="20"/>
              </w:rPr>
              <w:t>00</w:t>
            </w:r>
          </w:p>
        </w:tc>
        <w:tc>
          <w:tcPr>
            <w:tcW w:w="952"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Default="00B72B5E" w:rsidP="00251173">
            <w:pPr>
              <w:jc w:val="right"/>
              <w:rPr>
                <w:rFonts w:cs="Arial"/>
                <w:sz w:val="20"/>
                <w:szCs w:val="20"/>
              </w:rPr>
            </w:pPr>
            <w:r>
              <w:rPr>
                <w:rFonts w:cs="Arial"/>
                <w:sz w:val="20"/>
                <w:szCs w:val="20"/>
              </w:rPr>
              <w:t>1</w:t>
            </w:r>
            <w:r w:rsidR="00251173">
              <w:rPr>
                <w:rFonts w:cs="Arial"/>
                <w:sz w:val="20"/>
                <w:szCs w:val="20"/>
              </w:rPr>
              <w:t>7</w:t>
            </w:r>
            <w:r>
              <w:rPr>
                <w:rFonts w:cs="Arial"/>
                <w:sz w:val="20"/>
                <w:szCs w:val="20"/>
              </w:rPr>
              <w:t>8,000</w:t>
            </w:r>
          </w:p>
        </w:tc>
        <w:tc>
          <w:tcPr>
            <w:tcW w:w="1535"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Pr="00332DFC" w:rsidRDefault="00B72B5E" w:rsidP="00BA14A3">
            <w:pPr>
              <w:jc w:val="right"/>
              <w:rPr>
                <w:rFonts w:cs="Arial"/>
                <w:sz w:val="20"/>
                <w:szCs w:val="20"/>
              </w:rPr>
            </w:pPr>
            <w:r w:rsidRPr="00332DFC">
              <w:rPr>
                <w:rFonts w:cs="Arial"/>
                <w:sz w:val="20"/>
                <w:szCs w:val="20"/>
              </w:rPr>
              <w:t>$0</w:t>
            </w:r>
          </w:p>
        </w:tc>
        <w:tc>
          <w:tcPr>
            <w:tcW w:w="940" w:type="dxa"/>
            <w:tcBorders>
              <w:top w:val="nil"/>
              <w:left w:val="nil"/>
              <w:bottom w:val="single" w:sz="4" w:space="0" w:color="auto"/>
              <w:right w:val="single" w:sz="4" w:space="0" w:color="auto"/>
            </w:tcBorders>
            <w:tcMar>
              <w:top w:w="15" w:type="dxa"/>
              <w:left w:w="15" w:type="dxa"/>
              <w:bottom w:w="0" w:type="dxa"/>
              <w:right w:w="72" w:type="dxa"/>
            </w:tcMar>
            <w:vAlign w:val="center"/>
          </w:tcPr>
          <w:p w:rsidR="00B72B5E" w:rsidRPr="00332DFC" w:rsidRDefault="00B72B5E" w:rsidP="00BA14A3">
            <w:pPr>
              <w:jc w:val="right"/>
              <w:rPr>
                <w:rFonts w:cs="Arial"/>
                <w:sz w:val="20"/>
                <w:szCs w:val="20"/>
              </w:rPr>
            </w:pPr>
            <w:r w:rsidRPr="00332DFC">
              <w:rPr>
                <w:rFonts w:cs="Arial"/>
                <w:sz w:val="20"/>
                <w:szCs w:val="20"/>
              </w:rPr>
              <w:t>$0</w:t>
            </w:r>
          </w:p>
        </w:tc>
        <w:tc>
          <w:tcPr>
            <w:tcW w:w="1200" w:type="dxa"/>
            <w:tcBorders>
              <w:top w:val="nil"/>
              <w:left w:val="nil"/>
              <w:bottom w:val="single" w:sz="4" w:space="0" w:color="auto"/>
              <w:right w:val="double" w:sz="6" w:space="0" w:color="000000"/>
            </w:tcBorders>
            <w:tcMar>
              <w:top w:w="15" w:type="dxa"/>
              <w:left w:w="15" w:type="dxa"/>
              <w:bottom w:w="0" w:type="dxa"/>
              <w:right w:w="72" w:type="dxa"/>
            </w:tcMar>
            <w:vAlign w:val="center"/>
          </w:tcPr>
          <w:p w:rsidR="00B72B5E" w:rsidRPr="00332DFC" w:rsidRDefault="00B72B5E" w:rsidP="00E6287A">
            <w:pPr>
              <w:jc w:val="right"/>
              <w:rPr>
                <w:rFonts w:cs="Arial"/>
                <w:sz w:val="20"/>
                <w:szCs w:val="20"/>
              </w:rPr>
            </w:pPr>
            <w:r w:rsidRPr="00332DFC">
              <w:rPr>
                <w:rFonts w:cs="Arial"/>
                <w:sz w:val="20"/>
                <w:szCs w:val="20"/>
              </w:rPr>
              <w:t>$</w:t>
            </w:r>
            <w:r>
              <w:rPr>
                <w:rFonts w:cs="Arial"/>
                <w:sz w:val="20"/>
                <w:szCs w:val="20"/>
              </w:rPr>
              <w:t>3</w:t>
            </w:r>
            <w:r w:rsidR="00E6287A">
              <w:rPr>
                <w:rFonts w:cs="Arial"/>
                <w:sz w:val="20"/>
                <w:szCs w:val="20"/>
              </w:rPr>
              <w:t>6</w:t>
            </w:r>
            <w:r w:rsidRPr="00332DFC">
              <w:rPr>
                <w:rFonts w:cs="Arial"/>
                <w:sz w:val="20"/>
                <w:szCs w:val="20"/>
              </w:rPr>
              <w:t>,</w:t>
            </w:r>
            <w:r w:rsidR="00E6287A">
              <w:rPr>
                <w:rFonts w:cs="Arial"/>
                <w:sz w:val="20"/>
                <w:szCs w:val="20"/>
              </w:rPr>
              <w:t>3</w:t>
            </w:r>
            <w:r w:rsidRPr="00332DFC">
              <w:rPr>
                <w:rFonts w:cs="Arial"/>
                <w:sz w:val="20"/>
                <w:szCs w:val="20"/>
              </w:rPr>
              <w:t>00,000</w:t>
            </w:r>
          </w:p>
        </w:tc>
      </w:tr>
      <w:tr w:rsidR="00B72B5E" w:rsidRPr="00854FC2" w:rsidTr="0066668B">
        <w:trPr>
          <w:trHeight w:val="570"/>
        </w:trPr>
        <w:tc>
          <w:tcPr>
            <w:tcW w:w="257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72B5E" w:rsidRPr="00854FC2" w:rsidRDefault="00B72B5E">
            <w:pPr>
              <w:rPr>
                <w:rFonts w:eastAsia="Arial Unicode MS" w:cs="Arial"/>
                <w:sz w:val="20"/>
                <w:szCs w:val="20"/>
              </w:rPr>
            </w:pPr>
            <w:r w:rsidRPr="00854FC2">
              <w:rPr>
                <w:rFonts w:cs="Arial"/>
                <w:sz w:val="20"/>
                <w:szCs w:val="20"/>
              </w:rPr>
              <w:t>Maintain the SPCC Plan and Keep Records</w:t>
            </w:r>
          </w:p>
        </w:tc>
        <w:tc>
          <w:tcPr>
            <w:tcW w:w="1468"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B72B5E" w:rsidRDefault="00B72B5E" w:rsidP="0066668B">
            <w:pPr>
              <w:jc w:val="right"/>
              <w:rPr>
                <w:rFonts w:cs="Arial"/>
                <w:sz w:val="20"/>
                <w:szCs w:val="20"/>
              </w:rPr>
            </w:pPr>
            <w:r>
              <w:rPr>
                <w:rFonts w:cs="Arial"/>
                <w:sz w:val="20"/>
                <w:szCs w:val="20"/>
              </w:rPr>
              <w:t>0</w:t>
            </w:r>
          </w:p>
        </w:tc>
        <w:tc>
          <w:tcPr>
            <w:tcW w:w="1451" w:type="dxa"/>
            <w:tcBorders>
              <w:top w:val="nil"/>
              <w:left w:val="nil"/>
              <w:bottom w:val="double" w:sz="6" w:space="0" w:color="auto"/>
              <w:right w:val="single" w:sz="4" w:space="0" w:color="auto"/>
            </w:tcBorders>
            <w:tcMar>
              <w:top w:w="15" w:type="dxa"/>
              <w:left w:w="15" w:type="dxa"/>
              <w:bottom w:w="0" w:type="dxa"/>
              <w:right w:w="72" w:type="dxa"/>
            </w:tcMar>
            <w:vAlign w:val="center"/>
          </w:tcPr>
          <w:p w:rsidR="00B72B5E" w:rsidRDefault="00251173" w:rsidP="0066668B">
            <w:pPr>
              <w:jc w:val="right"/>
              <w:rPr>
                <w:rFonts w:cs="Arial"/>
                <w:sz w:val="20"/>
                <w:szCs w:val="20"/>
              </w:rPr>
            </w:pPr>
            <w:r>
              <w:rPr>
                <w:rFonts w:cs="Arial"/>
                <w:sz w:val="20"/>
                <w:szCs w:val="20"/>
              </w:rPr>
              <w:t>195</w:t>
            </w:r>
            <w:r w:rsidR="00B72B5E">
              <w:rPr>
                <w:rFonts w:cs="Arial"/>
                <w:sz w:val="20"/>
                <w:szCs w:val="20"/>
              </w:rPr>
              <w:t>,000</w:t>
            </w:r>
          </w:p>
        </w:tc>
        <w:tc>
          <w:tcPr>
            <w:tcW w:w="1437" w:type="dxa"/>
            <w:tcBorders>
              <w:top w:val="nil"/>
              <w:left w:val="nil"/>
              <w:bottom w:val="double" w:sz="6" w:space="0" w:color="auto"/>
              <w:right w:val="single" w:sz="4" w:space="0" w:color="auto"/>
            </w:tcBorders>
            <w:tcMar>
              <w:top w:w="15" w:type="dxa"/>
              <w:left w:w="15" w:type="dxa"/>
              <w:bottom w:w="0" w:type="dxa"/>
              <w:right w:w="72" w:type="dxa"/>
            </w:tcMar>
            <w:vAlign w:val="center"/>
          </w:tcPr>
          <w:p w:rsidR="00B72B5E" w:rsidRDefault="00B72B5E" w:rsidP="0066668B">
            <w:pPr>
              <w:jc w:val="right"/>
              <w:rPr>
                <w:rFonts w:cs="Arial"/>
                <w:sz w:val="20"/>
                <w:szCs w:val="20"/>
              </w:rPr>
            </w:pPr>
            <w:r>
              <w:rPr>
                <w:rFonts w:cs="Arial"/>
                <w:sz w:val="20"/>
                <w:szCs w:val="20"/>
              </w:rPr>
              <w:t>0</w:t>
            </w:r>
          </w:p>
        </w:tc>
        <w:tc>
          <w:tcPr>
            <w:tcW w:w="1440" w:type="dxa"/>
            <w:tcBorders>
              <w:top w:val="nil"/>
              <w:left w:val="nil"/>
              <w:bottom w:val="double" w:sz="6" w:space="0" w:color="auto"/>
              <w:right w:val="single" w:sz="4" w:space="0" w:color="auto"/>
            </w:tcBorders>
            <w:tcMar>
              <w:top w:w="15" w:type="dxa"/>
              <w:left w:w="15" w:type="dxa"/>
              <w:bottom w:w="0" w:type="dxa"/>
              <w:right w:w="72" w:type="dxa"/>
            </w:tcMar>
            <w:vAlign w:val="center"/>
          </w:tcPr>
          <w:p w:rsidR="00B72B5E" w:rsidRDefault="00B72B5E" w:rsidP="0066668B">
            <w:pPr>
              <w:jc w:val="right"/>
              <w:rPr>
                <w:rFonts w:cs="Arial"/>
                <w:sz w:val="20"/>
                <w:szCs w:val="20"/>
              </w:rPr>
            </w:pPr>
            <w:r>
              <w:rPr>
                <w:rFonts w:cs="Arial"/>
                <w:sz w:val="20"/>
                <w:szCs w:val="20"/>
              </w:rPr>
              <w:t>0</w:t>
            </w:r>
          </w:p>
        </w:tc>
        <w:tc>
          <w:tcPr>
            <w:tcW w:w="952" w:type="dxa"/>
            <w:tcBorders>
              <w:top w:val="nil"/>
              <w:left w:val="nil"/>
              <w:bottom w:val="double" w:sz="6" w:space="0" w:color="auto"/>
              <w:right w:val="single" w:sz="4" w:space="0" w:color="auto"/>
            </w:tcBorders>
            <w:tcMar>
              <w:top w:w="15" w:type="dxa"/>
              <w:left w:w="15" w:type="dxa"/>
              <w:bottom w:w="0" w:type="dxa"/>
              <w:right w:w="72" w:type="dxa"/>
            </w:tcMar>
            <w:vAlign w:val="center"/>
          </w:tcPr>
          <w:p w:rsidR="00B72B5E" w:rsidRDefault="00251173" w:rsidP="0066668B">
            <w:pPr>
              <w:jc w:val="right"/>
              <w:rPr>
                <w:rFonts w:cs="Arial"/>
                <w:sz w:val="20"/>
                <w:szCs w:val="20"/>
              </w:rPr>
            </w:pPr>
            <w:r>
              <w:rPr>
                <w:rFonts w:cs="Arial"/>
                <w:sz w:val="20"/>
                <w:szCs w:val="20"/>
              </w:rPr>
              <w:t>195</w:t>
            </w:r>
            <w:r w:rsidR="00B72B5E">
              <w:rPr>
                <w:rFonts w:cs="Arial"/>
                <w:sz w:val="20"/>
                <w:szCs w:val="20"/>
              </w:rPr>
              <w:t>,000</w:t>
            </w:r>
          </w:p>
        </w:tc>
        <w:tc>
          <w:tcPr>
            <w:tcW w:w="1535" w:type="dxa"/>
            <w:tcBorders>
              <w:top w:val="nil"/>
              <w:left w:val="nil"/>
              <w:bottom w:val="double" w:sz="6" w:space="0" w:color="auto"/>
              <w:right w:val="single" w:sz="4" w:space="0" w:color="auto"/>
            </w:tcBorders>
            <w:tcMar>
              <w:top w:w="15" w:type="dxa"/>
              <w:left w:w="15" w:type="dxa"/>
              <w:bottom w:w="0" w:type="dxa"/>
              <w:right w:w="72" w:type="dxa"/>
            </w:tcMar>
            <w:vAlign w:val="center"/>
          </w:tcPr>
          <w:p w:rsidR="00B72B5E" w:rsidRPr="00332DFC" w:rsidRDefault="00B72B5E" w:rsidP="00BA14A3">
            <w:pPr>
              <w:jc w:val="right"/>
              <w:rPr>
                <w:rFonts w:cs="Arial"/>
                <w:sz w:val="20"/>
                <w:szCs w:val="20"/>
              </w:rPr>
            </w:pPr>
            <w:r w:rsidRPr="00332DFC">
              <w:rPr>
                <w:rFonts w:cs="Arial"/>
                <w:sz w:val="20"/>
                <w:szCs w:val="20"/>
              </w:rPr>
              <w:t>$0</w:t>
            </w:r>
          </w:p>
        </w:tc>
        <w:tc>
          <w:tcPr>
            <w:tcW w:w="940" w:type="dxa"/>
            <w:tcBorders>
              <w:top w:val="nil"/>
              <w:left w:val="nil"/>
              <w:bottom w:val="double" w:sz="6" w:space="0" w:color="auto"/>
              <w:right w:val="single" w:sz="4" w:space="0" w:color="auto"/>
            </w:tcBorders>
            <w:tcMar>
              <w:top w:w="15" w:type="dxa"/>
              <w:left w:w="15" w:type="dxa"/>
              <w:bottom w:w="0" w:type="dxa"/>
              <w:right w:w="72" w:type="dxa"/>
            </w:tcMar>
            <w:vAlign w:val="center"/>
          </w:tcPr>
          <w:p w:rsidR="00B72B5E" w:rsidRPr="00332DFC" w:rsidRDefault="00B72B5E" w:rsidP="00BA14A3">
            <w:pPr>
              <w:jc w:val="right"/>
              <w:rPr>
                <w:rFonts w:cs="Arial"/>
                <w:sz w:val="20"/>
                <w:szCs w:val="20"/>
              </w:rPr>
            </w:pPr>
            <w:r w:rsidRPr="00332DFC">
              <w:rPr>
                <w:rFonts w:cs="Arial"/>
                <w:sz w:val="20"/>
                <w:szCs w:val="20"/>
              </w:rPr>
              <w:t>$0</w:t>
            </w:r>
          </w:p>
        </w:tc>
        <w:tc>
          <w:tcPr>
            <w:tcW w:w="1200" w:type="dxa"/>
            <w:tcBorders>
              <w:top w:val="nil"/>
              <w:left w:val="nil"/>
              <w:bottom w:val="double" w:sz="6" w:space="0" w:color="auto"/>
              <w:right w:val="double" w:sz="6" w:space="0" w:color="000000"/>
            </w:tcBorders>
            <w:tcMar>
              <w:top w:w="15" w:type="dxa"/>
              <w:left w:w="15" w:type="dxa"/>
              <w:bottom w:w="0" w:type="dxa"/>
              <w:right w:w="72" w:type="dxa"/>
            </w:tcMar>
            <w:vAlign w:val="center"/>
          </w:tcPr>
          <w:p w:rsidR="00B72B5E" w:rsidRPr="00332DFC" w:rsidRDefault="00B72B5E" w:rsidP="00E6287A">
            <w:pPr>
              <w:jc w:val="right"/>
              <w:rPr>
                <w:rFonts w:cs="Arial"/>
                <w:sz w:val="20"/>
                <w:szCs w:val="20"/>
              </w:rPr>
            </w:pPr>
            <w:r w:rsidRPr="00332DFC">
              <w:rPr>
                <w:rFonts w:cs="Arial"/>
                <w:sz w:val="20"/>
                <w:szCs w:val="20"/>
              </w:rPr>
              <w:t>$</w:t>
            </w:r>
            <w:r w:rsidR="006C2B5B">
              <w:rPr>
                <w:rFonts w:cs="Arial"/>
                <w:sz w:val="20"/>
                <w:szCs w:val="20"/>
              </w:rPr>
              <w:t>11</w:t>
            </w:r>
            <w:r w:rsidRPr="00332DFC">
              <w:rPr>
                <w:rFonts w:cs="Arial"/>
                <w:sz w:val="20"/>
                <w:szCs w:val="20"/>
              </w:rPr>
              <w:t>,</w:t>
            </w:r>
            <w:r w:rsidR="00E6287A">
              <w:rPr>
                <w:rFonts w:cs="Arial"/>
                <w:sz w:val="20"/>
                <w:szCs w:val="20"/>
              </w:rPr>
              <w:t>4</w:t>
            </w:r>
            <w:r>
              <w:rPr>
                <w:rFonts w:cs="Arial"/>
                <w:sz w:val="20"/>
                <w:szCs w:val="20"/>
              </w:rPr>
              <w:t>0</w:t>
            </w:r>
            <w:r w:rsidRPr="00332DFC">
              <w:rPr>
                <w:rFonts w:cs="Arial"/>
                <w:sz w:val="20"/>
                <w:szCs w:val="20"/>
              </w:rPr>
              <w:t>0,000</w:t>
            </w:r>
          </w:p>
        </w:tc>
      </w:tr>
      <w:tr w:rsidR="00B72B5E" w:rsidRPr="00854FC2" w:rsidTr="0066668B">
        <w:trPr>
          <w:trHeight w:val="285"/>
        </w:trPr>
        <w:tc>
          <w:tcPr>
            <w:tcW w:w="2577"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B72B5E" w:rsidRPr="00854FC2" w:rsidRDefault="00B72B5E">
            <w:pPr>
              <w:rPr>
                <w:rFonts w:eastAsia="Arial Unicode MS" w:cs="Arial"/>
                <w:b/>
                <w:bCs/>
                <w:sz w:val="20"/>
                <w:szCs w:val="20"/>
              </w:rPr>
            </w:pPr>
            <w:r w:rsidRPr="00854FC2">
              <w:rPr>
                <w:rFonts w:cs="Arial"/>
                <w:b/>
                <w:bCs/>
                <w:sz w:val="20"/>
                <w:szCs w:val="20"/>
              </w:rPr>
              <w:t>TOTAL</w:t>
            </w:r>
          </w:p>
        </w:tc>
        <w:tc>
          <w:tcPr>
            <w:tcW w:w="1468" w:type="dxa"/>
            <w:tcBorders>
              <w:top w:val="nil"/>
              <w:left w:val="single" w:sz="4" w:space="0" w:color="000000"/>
              <w:bottom w:val="double" w:sz="6" w:space="0" w:color="auto"/>
              <w:right w:val="nil"/>
            </w:tcBorders>
            <w:tcMar>
              <w:top w:w="15" w:type="dxa"/>
              <w:left w:w="15" w:type="dxa"/>
              <w:bottom w:w="0" w:type="dxa"/>
              <w:right w:w="72" w:type="dxa"/>
            </w:tcMar>
            <w:vAlign w:val="center"/>
          </w:tcPr>
          <w:p w:rsidR="00B72B5E" w:rsidRDefault="00B72B5E" w:rsidP="00251173">
            <w:pPr>
              <w:jc w:val="right"/>
              <w:rPr>
                <w:rFonts w:cs="Arial"/>
                <w:b/>
                <w:bCs/>
                <w:sz w:val="20"/>
                <w:szCs w:val="20"/>
              </w:rPr>
            </w:pPr>
            <w:r>
              <w:rPr>
                <w:rFonts w:cs="Arial"/>
                <w:b/>
                <w:bCs/>
                <w:sz w:val="20"/>
                <w:szCs w:val="20"/>
              </w:rPr>
              <w:t>5</w:t>
            </w:r>
            <w:r w:rsidR="00251173">
              <w:rPr>
                <w:rFonts w:cs="Arial"/>
                <w:b/>
                <w:bCs/>
                <w:sz w:val="20"/>
                <w:szCs w:val="20"/>
              </w:rPr>
              <w:t>0</w:t>
            </w:r>
            <w:r>
              <w:rPr>
                <w:rFonts w:cs="Arial"/>
                <w:b/>
                <w:bCs/>
                <w:sz w:val="20"/>
                <w:szCs w:val="20"/>
              </w:rPr>
              <w:t>,</w:t>
            </w:r>
            <w:r w:rsidR="00251173">
              <w:rPr>
                <w:rFonts w:cs="Arial"/>
                <w:b/>
                <w:bCs/>
                <w:sz w:val="20"/>
                <w:szCs w:val="20"/>
              </w:rPr>
              <w:t>5</w:t>
            </w:r>
            <w:r>
              <w:rPr>
                <w:rFonts w:cs="Arial"/>
                <w:b/>
                <w:bCs/>
                <w:sz w:val="20"/>
                <w:szCs w:val="20"/>
              </w:rPr>
              <w:t>00</w:t>
            </w:r>
          </w:p>
        </w:tc>
        <w:tc>
          <w:tcPr>
            <w:tcW w:w="1451" w:type="dxa"/>
            <w:tcBorders>
              <w:top w:val="nil"/>
              <w:left w:val="single" w:sz="4" w:space="0" w:color="000000"/>
              <w:bottom w:val="double" w:sz="6" w:space="0" w:color="auto"/>
              <w:right w:val="nil"/>
            </w:tcBorders>
            <w:tcMar>
              <w:top w:w="0" w:type="dxa"/>
              <w:left w:w="15" w:type="dxa"/>
              <w:bottom w:w="0" w:type="dxa"/>
              <w:right w:w="72" w:type="dxa"/>
            </w:tcMar>
            <w:vAlign w:val="center"/>
          </w:tcPr>
          <w:p w:rsidR="00B72B5E" w:rsidRDefault="00B72B5E" w:rsidP="00251173">
            <w:pPr>
              <w:jc w:val="right"/>
              <w:rPr>
                <w:rFonts w:cs="Arial"/>
                <w:b/>
                <w:bCs/>
                <w:sz w:val="20"/>
                <w:szCs w:val="20"/>
              </w:rPr>
            </w:pPr>
            <w:r>
              <w:rPr>
                <w:rFonts w:cs="Arial"/>
                <w:b/>
                <w:bCs/>
                <w:sz w:val="20"/>
                <w:szCs w:val="20"/>
              </w:rPr>
              <w:t>5</w:t>
            </w:r>
            <w:r w:rsidR="00251173">
              <w:rPr>
                <w:rFonts w:cs="Arial"/>
                <w:b/>
                <w:bCs/>
                <w:sz w:val="20"/>
                <w:szCs w:val="20"/>
              </w:rPr>
              <w:t>43</w:t>
            </w:r>
            <w:r>
              <w:rPr>
                <w:rFonts w:cs="Arial"/>
                <w:b/>
                <w:bCs/>
                <w:sz w:val="20"/>
                <w:szCs w:val="20"/>
              </w:rPr>
              <w:t>,000</w:t>
            </w:r>
          </w:p>
        </w:tc>
        <w:tc>
          <w:tcPr>
            <w:tcW w:w="1437" w:type="dxa"/>
            <w:tcBorders>
              <w:top w:val="nil"/>
              <w:left w:val="single" w:sz="4" w:space="0" w:color="000000"/>
              <w:bottom w:val="double" w:sz="6" w:space="0" w:color="auto"/>
              <w:right w:val="nil"/>
            </w:tcBorders>
            <w:tcMar>
              <w:top w:w="15" w:type="dxa"/>
              <w:left w:w="15" w:type="dxa"/>
              <w:bottom w:w="0" w:type="dxa"/>
              <w:right w:w="72" w:type="dxa"/>
            </w:tcMar>
            <w:vAlign w:val="center"/>
          </w:tcPr>
          <w:p w:rsidR="00B72B5E" w:rsidRPr="00321A01" w:rsidRDefault="00B72B5E" w:rsidP="0066668B">
            <w:pPr>
              <w:jc w:val="right"/>
              <w:rPr>
                <w:rFonts w:cs="Arial"/>
                <w:b/>
                <w:sz w:val="20"/>
                <w:szCs w:val="20"/>
              </w:rPr>
            </w:pPr>
            <w:r w:rsidRPr="00321A01">
              <w:rPr>
                <w:rFonts w:cs="Arial"/>
                <w:b/>
                <w:sz w:val="20"/>
                <w:szCs w:val="20"/>
              </w:rPr>
              <w:t>0</w:t>
            </w:r>
          </w:p>
        </w:tc>
        <w:tc>
          <w:tcPr>
            <w:tcW w:w="1440" w:type="dxa"/>
            <w:tcBorders>
              <w:top w:val="nil"/>
              <w:left w:val="single" w:sz="4" w:space="0" w:color="000000"/>
              <w:bottom w:val="double" w:sz="6" w:space="0" w:color="auto"/>
              <w:right w:val="nil"/>
            </w:tcBorders>
            <w:tcMar>
              <w:top w:w="15" w:type="dxa"/>
              <w:left w:w="15" w:type="dxa"/>
              <w:bottom w:w="0" w:type="dxa"/>
              <w:right w:w="72" w:type="dxa"/>
            </w:tcMar>
            <w:vAlign w:val="center"/>
          </w:tcPr>
          <w:p w:rsidR="00B72B5E" w:rsidRDefault="00B72B5E" w:rsidP="00251173">
            <w:pPr>
              <w:jc w:val="right"/>
              <w:rPr>
                <w:rFonts w:cs="Arial"/>
                <w:b/>
                <w:bCs/>
                <w:sz w:val="20"/>
                <w:szCs w:val="20"/>
              </w:rPr>
            </w:pPr>
            <w:r>
              <w:rPr>
                <w:rFonts w:cs="Arial"/>
                <w:b/>
                <w:bCs/>
                <w:sz w:val="20"/>
                <w:szCs w:val="20"/>
              </w:rPr>
              <w:t>4</w:t>
            </w:r>
            <w:r w:rsidR="00251173">
              <w:rPr>
                <w:rFonts w:cs="Arial"/>
                <w:b/>
                <w:bCs/>
                <w:sz w:val="20"/>
                <w:szCs w:val="20"/>
              </w:rPr>
              <w:t>5</w:t>
            </w:r>
            <w:r>
              <w:rPr>
                <w:rFonts w:cs="Arial"/>
                <w:b/>
                <w:bCs/>
                <w:sz w:val="20"/>
                <w:szCs w:val="20"/>
              </w:rPr>
              <w:t>,</w:t>
            </w:r>
            <w:r w:rsidR="00251173">
              <w:rPr>
                <w:rFonts w:cs="Arial"/>
                <w:b/>
                <w:bCs/>
                <w:sz w:val="20"/>
                <w:szCs w:val="20"/>
              </w:rPr>
              <w:t>8</w:t>
            </w:r>
            <w:r>
              <w:rPr>
                <w:rFonts w:cs="Arial"/>
                <w:b/>
                <w:bCs/>
                <w:sz w:val="20"/>
                <w:szCs w:val="20"/>
              </w:rPr>
              <w:t>00</w:t>
            </w:r>
          </w:p>
        </w:tc>
        <w:tc>
          <w:tcPr>
            <w:tcW w:w="952" w:type="dxa"/>
            <w:tcBorders>
              <w:top w:val="nil"/>
              <w:left w:val="single" w:sz="4" w:space="0" w:color="000000"/>
              <w:bottom w:val="double" w:sz="6" w:space="0" w:color="auto"/>
              <w:right w:val="nil"/>
            </w:tcBorders>
            <w:tcMar>
              <w:top w:w="15" w:type="dxa"/>
              <w:left w:w="15" w:type="dxa"/>
              <w:bottom w:w="0" w:type="dxa"/>
              <w:right w:w="72" w:type="dxa"/>
            </w:tcMar>
            <w:vAlign w:val="center"/>
          </w:tcPr>
          <w:p w:rsidR="00B72B5E" w:rsidRDefault="00B72B5E" w:rsidP="00251173">
            <w:pPr>
              <w:jc w:val="right"/>
              <w:rPr>
                <w:rFonts w:cs="Arial"/>
                <w:b/>
                <w:bCs/>
                <w:sz w:val="20"/>
                <w:szCs w:val="20"/>
              </w:rPr>
            </w:pPr>
            <w:r>
              <w:rPr>
                <w:rFonts w:cs="Arial"/>
                <w:b/>
                <w:bCs/>
                <w:sz w:val="20"/>
                <w:szCs w:val="20"/>
              </w:rPr>
              <w:t>6</w:t>
            </w:r>
            <w:r w:rsidR="00251173">
              <w:rPr>
                <w:rFonts w:cs="Arial"/>
                <w:b/>
                <w:bCs/>
                <w:sz w:val="20"/>
                <w:szCs w:val="20"/>
              </w:rPr>
              <w:t>39</w:t>
            </w:r>
            <w:r>
              <w:rPr>
                <w:rFonts w:cs="Arial"/>
                <w:b/>
                <w:bCs/>
                <w:sz w:val="20"/>
                <w:szCs w:val="20"/>
              </w:rPr>
              <w:t>,000</w:t>
            </w:r>
          </w:p>
        </w:tc>
        <w:tc>
          <w:tcPr>
            <w:tcW w:w="1535" w:type="dxa"/>
            <w:tcBorders>
              <w:top w:val="nil"/>
              <w:left w:val="single" w:sz="4" w:space="0" w:color="000000"/>
              <w:bottom w:val="double" w:sz="6" w:space="0" w:color="auto"/>
              <w:right w:val="nil"/>
            </w:tcBorders>
            <w:tcMar>
              <w:top w:w="15" w:type="dxa"/>
              <w:left w:w="15" w:type="dxa"/>
              <w:bottom w:w="0" w:type="dxa"/>
              <w:right w:w="72" w:type="dxa"/>
            </w:tcMar>
            <w:vAlign w:val="center"/>
          </w:tcPr>
          <w:p w:rsidR="00B72B5E" w:rsidRPr="00332DFC" w:rsidRDefault="00B72B5E" w:rsidP="00251173">
            <w:pPr>
              <w:jc w:val="right"/>
              <w:rPr>
                <w:rFonts w:cs="Arial"/>
                <w:b/>
                <w:bCs/>
                <w:sz w:val="20"/>
                <w:szCs w:val="20"/>
              </w:rPr>
            </w:pPr>
            <w:r w:rsidRPr="00332DFC">
              <w:rPr>
                <w:rFonts w:cs="Arial"/>
                <w:b/>
                <w:bCs/>
                <w:sz w:val="20"/>
                <w:szCs w:val="20"/>
              </w:rPr>
              <w:t>$</w:t>
            </w:r>
            <w:r w:rsidR="00890A99">
              <w:rPr>
                <w:rFonts w:cs="Arial"/>
                <w:b/>
                <w:bCs/>
                <w:sz w:val="20"/>
                <w:szCs w:val="20"/>
              </w:rPr>
              <w:t>2,</w:t>
            </w:r>
            <w:r w:rsidR="00251173">
              <w:rPr>
                <w:rFonts w:cs="Arial"/>
                <w:b/>
                <w:bCs/>
                <w:sz w:val="20"/>
                <w:szCs w:val="20"/>
              </w:rPr>
              <w:t>22</w:t>
            </w:r>
            <w:r>
              <w:rPr>
                <w:rFonts w:cs="Arial"/>
                <w:b/>
                <w:bCs/>
                <w:sz w:val="20"/>
                <w:szCs w:val="20"/>
              </w:rPr>
              <w:t>0</w:t>
            </w:r>
          </w:p>
        </w:tc>
        <w:tc>
          <w:tcPr>
            <w:tcW w:w="940"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B72B5E" w:rsidRPr="00332DFC" w:rsidRDefault="00B72B5E">
            <w:pPr>
              <w:jc w:val="right"/>
              <w:rPr>
                <w:rFonts w:cs="Arial"/>
                <w:b/>
                <w:bCs/>
                <w:sz w:val="20"/>
                <w:szCs w:val="20"/>
              </w:rPr>
            </w:pPr>
            <w:r w:rsidRPr="00332DFC">
              <w:rPr>
                <w:rFonts w:cs="Arial"/>
                <w:b/>
                <w:bCs/>
                <w:sz w:val="20"/>
                <w:szCs w:val="20"/>
              </w:rPr>
              <w:t>$0</w:t>
            </w:r>
          </w:p>
        </w:tc>
        <w:tc>
          <w:tcPr>
            <w:tcW w:w="1200" w:type="dxa"/>
            <w:tcBorders>
              <w:top w:val="nil"/>
              <w:left w:val="nil"/>
              <w:bottom w:val="double" w:sz="6" w:space="0" w:color="auto"/>
              <w:right w:val="double" w:sz="6" w:space="0" w:color="000000"/>
            </w:tcBorders>
            <w:tcMar>
              <w:top w:w="15" w:type="dxa"/>
              <w:left w:w="15" w:type="dxa"/>
              <w:bottom w:w="0" w:type="dxa"/>
              <w:right w:w="72" w:type="dxa"/>
            </w:tcMar>
            <w:vAlign w:val="center"/>
          </w:tcPr>
          <w:p w:rsidR="00B72B5E" w:rsidRPr="00332DFC" w:rsidRDefault="00B72B5E" w:rsidP="002005BE">
            <w:pPr>
              <w:jc w:val="right"/>
              <w:rPr>
                <w:rFonts w:cs="Arial"/>
                <w:b/>
                <w:bCs/>
                <w:sz w:val="20"/>
                <w:szCs w:val="20"/>
              </w:rPr>
            </w:pPr>
            <w:r w:rsidRPr="00332DFC">
              <w:rPr>
                <w:rFonts w:cs="Arial"/>
                <w:b/>
                <w:bCs/>
                <w:sz w:val="20"/>
                <w:szCs w:val="20"/>
              </w:rPr>
              <w:t>$</w:t>
            </w:r>
            <w:r>
              <w:rPr>
                <w:rFonts w:cs="Arial"/>
                <w:b/>
                <w:bCs/>
                <w:sz w:val="20"/>
                <w:szCs w:val="20"/>
              </w:rPr>
              <w:t>71</w:t>
            </w:r>
            <w:r w:rsidRPr="00332DFC">
              <w:rPr>
                <w:rFonts w:cs="Arial"/>
                <w:b/>
                <w:bCs/>
                <w:sz w:val="20"/>
                <w:szCs w:val="20"/>
              </w:rPr>
              <w:t>,</w:t>
            </w:r>
            <w:r w:rsidR="00E6287A">
              <w:rPr>
                <w:rFonts w:cs="Arial"/>
                <w:b/>
                <w:bCs/>
                <w:sz w:val="20"/>
                <w:szCs w:val="20"/>
              </w:rPr>
              <w:t>6</w:t>
            </w:r>
            <w:r w:rsidR="002005BE">
              <w:rPr>
                <w:rFonts w:cs="Arial"/>
                <w:b/>
                <w:bCs/>
                <w:sz w:val="20"/>
                <w:szCs w:val="20"/>
              </w:rPr>
              <w:t>16</w:t>
            </w:r>
            <w:r w:rsidRPr="00332DFC">
              <w:rPr>
                <w:rFonts w:cs="Arial"/>
                <w:b/>
                <w:bCs/>
                <w:sz w:val="20"/>
                <w:szCs w:val="20"/>
              </w:rPr>
              <w:t>,000</w:t>
            </w:r>
          </w:p>
        </w:tc>
      </w:tr>
      <w:tr w:rsidR="00D85665" w:rsidRPr="00854FC2" w:rsidTr="004B689C">
        <w:trPr>
          <w:trHeight w:val="270"/>
        </w:trPr>
        <w:tc>
          <w:tcPr>
            <w:tcW w:w="13000"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332DFC" w:rsidRDefault="00D85665" w:rsidP="004B689C">
            <w:pPr>
              <w:rPr>
                <w:rFonts w:eastAsia="Arial Unicode MS" w:cs="Arial"/>
                <w:b/>
                <w:bCs/>
                <w:sz w:val="20"/>
                <w:szCs w:val="20"/>
              </w:rPr>
            </w:pPr>
            <w:r w:rsidRPr="00332DFC">
              <w:rPr>
                <w:rFonts w:cs="Arial"/>
                <w:b/>
                <w:bCs/>
                <w:sz w:val="20"/>
                <w:szCs w:val="20"/>
              </w:rPr>
              <w:t>New Facilities</w:t>
            </w:r>
          </w:p>
        </w:tc>
      </w:tr>
      <w:tr w:rsidR="00BA14A3" w:rsidRPr="00854FC2" w:rsidTr="00BA14A3">
        <w:trPr>
          <w:trHeight w:val="255"/>
        </w:trPr>
        <w:tc>
          <w:tcPr>
            <w:tcW w:w="2577" w:type="dxa"/>
            <w:tcBorders>
              <w:top w:val="nil"/>
              <w:left w:val="double" w:sz="6" w:space="0" w:color="000000"/>
              <w:bottom w:val="nil"/>
              <w:right w:val="nil"/>
            </w:tcBorders>
            <w:vAlign w:val="center"/>
          </w:tcPr>
          <w:p w:rsidR="00BA14A3" w:rsidRPr="00854FC2" w:rsidRDefault="00BA14A3">
            <w:pPr>
              <w:rPr>
                <w:rFonts w:eastAsia="Arial Unicode MS" w:cs="Arial"/>
                <w:sz w:val="20"/>
                <w:szCs w:val="20"/>
              </w:rPr>
            </w:pPr>
            <w:r w:rsidRPr="00854FC2">
              <w:rPr>
                <w:rFonts w:cs="Arial"/>
                <w:sz w:val="20"/>
                <w:szCs w:val="20"/>
              </w:rPr>
              <w:t>Prepare an SPCC Plan</w:t>
            </w:r>
          </w:p>
        </w:tc>
        <w:tc>
          <w:tcPr>
            <w:tcW w:w="1468" w:type="dxa"/>
            <w:tcBorders>
              <w:top w:val="nil"/>
              <w:left w:val="single" w:sz="4" w:space="0" w:color="000000"/>
              <w:bottom w:val="nil"/>
              <w:right w:val="nil"/>
            </w:tcBorders>
            <w:tcMar>
              <w:top w:w="0" w:type="dxa"/>
              <w:left w:w="15" w:type="dxa"/>
              <w:bottom w:w="0" w:type="dxa"/>
              <w:right w:w="72" w:type="dxa"/>
            </w:tcMar>
            <w:vAlign w:val="center"/>
          </w:tcPr>
          <w:p w:rsidR="00BA14A3" w:rsidRPr="00332DFC" w:rsidRDefault="00A8231D" w:rsidP="00BA14A3">
            <w:pPr>
              <w:jc w:val="right"/>
              <w:rPr>
                <w:rFonts w:cs="Arial"/>
                <w:sz w:val="20"/>
                <w:szCs w:val="20"/>
              </w:rPr>
            </w:pPr>
            <w:r>
              <w:rPr>
                <w:rFonts w:cs="Arial"/>
                <w:sz w:val="20"/>
                <w:szCs w:val="20"/>
              </w:rPr>
              <w:t>3,36</w:t>
            </w:r>
            <w:r w:rsidR="00BA14A3" w:rsidRPr="00332DFC">
              <w:rPr>
                <w:rFonts w:cs="Arial"/>
                <w:sz w:val="20"/>
                <w:szCs w:val="20"/>
              </w:rPr>
              <w:t>0</w:t>
            </w:r>
          </w:p>
        </w:tc>
        <w:tc>
          <w:tcPr>
            <w:tcW w:w="1451" w:type="dxa"/>
            <w:tcBorders>
              <w:top w:val="nil"/>
              <w:left w:val="single" w:sz="4" w:space="0" w:color="000000"/>
              <w:bottom w:val="nil"/>
              <w:right w:val="nil"/>
            </w:tcBorders>
            <w:tcMar>
              <w:right w:w="72" w:type="dxa"/>
            </w:tcMar>
            <w:vAlign w:val="center"/>
          </w:tcPr>
          <w:p w:rsidR="00BA14A3" w:rsidRPr="00332DFC" w:rsidRDefault="00A8231D" w:rsidP="00A8231D">
            <w:pPr>
              <w:jc w:val="right"/>
              <w:rPr>
                <w:rFonts w:cs="Arial"/>
                <w:sz w:val="20"/>
                <w:szCs w:val="20"/>
              </w:rPr>
            </w:pPr>
            <w:r>
              <w:rPr>
                <w:rFonts w:cs="Arial"/>
                <w:sz w:val="20"/>
                <w:szCs w:val="20"/>
              </w:rPr>
              <w:t>50,0</w:t>
            </w:r>
            <w:r w:rsidR="00B72B5E">
              <w:rPr>
                <w:rFonts w:cs="Arial"/>
                <w:sz w:val="20"/>
                <w:szCs w:val="20"/>
              </w:rPr>
              <w:t>00</w:t>
            </w:r>
          </w:p>
        </w:tc>
        <w:tc>
          <w:tcPr>
            <w:tcW w:w="1437" w:type="dxa"/>
            <w:tcBorders>
              <w:top w:val="nil"/>
              <w:left w:val="single" w:sz="4" w:space="0" w:color="000000"/>
              <w:bottom w:val="nil"/>
              <w:right w:val="nil"/>
            </w:tcBorders>
            <w:tcMar>
              <w:top w:w="15" w:type="dxa"/>
              <w:left w:w="15" w:type="dxa"/>
              <w:bottom w:w="0" w:type="dxa"/>
              <w:right w:w="72" w:type="dxa"/>
            </w:tcMar>
            <w:vAlign w:val="center"/>
          </w:tcPr>
          <w:p w:rsidR="00BA14A3" w:rsidRPr="00332DFC" w:rsidRDefault="00BA14A3" w:rsidP="00A8231D">
            <w:pPr>
              <w:jc w:val="right"/>
              <w:rPr>
                <w:rFonts w:cs="Arial"/>
                <w:sz w:val="20"/>
                <w:szCs w:val="20"/>
              </w:rPr>
            </w:pPr>
            <w:r w:rsidRPr="00332DFC">
              <w:rPr>
                <w:rFonts w:cs="Arial"/>
                <w:sz w:val="20"/>
                <w:szCs w:val="20"/>
              </w:rPr>
              <w:t>1</w:t>
            </w:r>
            <w:r w:rsidR="00A8231D">
              <w:rPr>
                <w:rFonts w:cs="Arial"/>
                <w:sz w:val="20"/>
                <w:szCs w:val="20"/>
              </w:rPr>
              <w:t>8</w:t>
            </w:r>
            <w:r w:rsidRPr="00332DFC">
              <w:rPr>
                <w:rFonts w:cs="Arial"/>
                <w:sz w:val="20"/>
                <w:szCs w:val="20"/>
              </w:rPr>
              <w:t>,</w:t>
            </w:r>
            <w:r w:rsidR="00A8231D">
              <w:rPr>
                <w:rFonts w:cs="Arial"/>
                <w:sz w:val="20"/>
                <w:szCs w:val="20"/>
              </w:rPr>
              <w:t>5</w:t>
            </w:r>
            <w:r w:rsidRPr="00332DFC">
              <w:rPr>
                <w:rFonts w:cs="Arial"/>
                <w:sz w:val="20"/>
                <w:szCs w:val="20"/>
              </w:rPr>
              <w:t>00</w:t>
            </w:r>
          </w:p>
        </w:tc>
        <w:tc>
          <w:tcPr>
            <w:tcW w:w="1440" w:type="dxa"/>
            <w:tcBorders>
              <w:top w:val="nil"/>
              <w:left w:val="single" w:sz="4" w:space="0" w:color="000000"/>
              <w:bottom w:val="nil"/>
              <w:right w:val="nil"/>
            </w:tcBorders>
            <w:tcMar>
              <w:top w:w="0" w:type="dxa"/>
              <w:left w:w="15" w:type="dxa"/>
              <w:bottom w:w="0" w:type="dxa"/>
              <w:right w:w="72" w:type="dxa"/>
            </w:tcMar>
            <w:vAlign w:val="center"/>
          </w:tcPr>
          <w:p w:rsidR="00BA14A3" w:rsidRPr="00332DFC" w:rsidRDefault="00A8231D" w:rsidP="00BA14A3">
            <w:pPr>
              <w:jc w:val="right"/>
              <w:rPr>
                <w:rFonts w:cs="Arial"/>
                <w:sz w:val="20"/>
                <w:szCs w:val="20"/>
              </w:rPr>
            </w:pPr>
            <w:r>
              <w:rPr>
                <w:rFonts w:cs="Arial"/>
                <w:sz w:val="20"/>
                <w:szCs w:val="20"/>
              </w:rPr>
              <w:t>6,7</w:t>
            </w:r>
            <w:r w:rsidR="0066668B">
              <w:rPr>
                <w:rFonts w:cs="Arial"/>
                <w:sz w:val="20"/>
                <w:szCs w:val="20"/>
              </w:rPr>
              <w:t>5</w:t>
            </w:r>
            <w:r w:rsidR="00BA14A3" w:rsidRPr="00332DFC">
              <w:rPr>
                <w:rFonts w:cs="Arial"/>
                <w:sz w:val="20"/>
                <w:szCs w:val="20"/>
              </w:rPr>
              <w:t>0</w:t>
            </w:r>
          </w:p>
        </w:tc>
        <w:tc>
          <w:tcPr>
            <w:tcW w:w="952" w:type="dxa"/>
            <w:tcBorders>
              <w:top w:val="nil"/>
              <w:left w:val="single" w:sz="4" w:space="0" w:color="000000"/>
              <w:bottom w:val="nil"/>
              <w:right w:val="nil"/>
            </w:tcBorders>
            <w:tcMar>
              <w:top w:w="15" w:type="dxa"/>
              <w:left w:w="15" w:type="dxa"/>
              <w:bottom w:w="0" w:type="dxa"/>
              <w:right w:w="72" w:type="dxa"/>
            </w:tcMar>
            <w:vAlign w:val="center"/>
          </w:tcPr>
          <w:p w:rsidR="00BA14A3" w:rsidRPr="00332DFC" w:rsidRDefault="00A8231D" w:rsidP="00A8231D">
            <w:pPr>
              <w:jc w:val="right"/>
              <w:rPr>
                <w:rFonts w:cs="Arial"/>
                <w:sz w:val="20"/>
                <w:szCs w:val="20"/>
              </w:rPr>
            </w:pPr>
            <w:r>
              <w:rPr>
                <w:rFonts w:cs="Arial"/>
                <w:sz w:val="20"/>
                <w:szCs w:val="20"/>
              </w:rPr>
              <w:t>7</w:t>
            </w:r>
            <w:r w:rsidR="0066668B">
              <w:rPr>
                <w:rFonts w:cs="Arial"/>
                <w:sz w:val="20"/>
                <w:szCs w:val="20"/>
              </w:rPr>
              <w:t>8</w:t>
            </w:r>
            <w:r w:rsidR="00BA14A3" w:rsidRPr="00332DFC">
              <w:rPr>
                <w:rFonts w:cs="Arial"/>
                <w:sz w:val="20"/>
                <w:szCs w:val="20"/>
              </w:rPr>
              <w:t>,</w:t>
            </w:r>
            <w:r>
              <w:rPr>
                <w:rFonts w:cs="Arial"/>
                <w:sz w:val="20"/>
                <w:szCs w:val="20"/>
              </w:rPr>
              <w:t>5</w:t>
            </w:r>
            <w:r w:rsidR="00BA14A3" w:rsidRPr="00332DFC">
              <w:rPr>
                <w:rFonts w:cs="Arial"/>
                <w:sz w:val="20"/>
                <w:szCs w:val="20"/>
              </w:rPr>
              <w:t>00</w:t>
            </w:r>
          </w:p>
        </w:tc>
        <w:tc>
          <w:tcPr>
            <w:tcW w:w="1535" w:type="dxa"/>
            <w:tcBorders>
              <w:top w:val="nil"/>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940" w:type="dxa"/>
            <w:tcBorders>
              <w:top w:val="nil"/>
              <w:left w:val="single" w:sz="4" w:space="0" w:color="000000"/>
              <w:bottom w:val="nil"/>
              <w:right w:val="nil"/>
            </w:tcBorders>
            <w:tcMar>
              <w:top w:w="0"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200" w:type="dxa"/>
            <w:tcBorders>
              <w:top w:val="nil"/>
              <w:left w:val="single" w:sz="4" w:space="0" w:color="000000"/>
              <w:bottom w:val="nil"/>
              <w:right w:val="double" w:sz="6" w:space="0" w:color="000000"/>
            </w:tcBorders>
            <w:tcMar>
              <w:top w:w="15" w:type="dxa"/>
              <w:left w:w="15" w:type="dxa"/>
              <w:bottom w:w="0" w:type="dxa"/>
              <w:right w:w="72" w:type="dxa"/>
            </w:tcMar>
            <w:vAlign w:val="center"/>
          </w:tcPr>
          <w:p w:rsidR="00BA14A3" w:rsidRPr="00332DFC" w:rsidRDefault="00BA14A3" w:rsidP="00391725">
            <w:pPr>
              <w:jc w:val="right"/>
              <w:rPr>
                <w:rFonts w:cs="Arial"/>
                <w:sz w:val="20"/>
                <w:szCs w:val="20"/>
              </w:rPr>
            </w:pPr>
            <w:r w:rsidRPr="00332DFC">
              <w:rPr>
                <w:rFonts w:cs="Arial"/>
                <w:sz w:val="20"/>
                <w:szCs w:val="20"/>
              </w:rPr>
              <w:t>$</w:t>
            </w:r>
            <w:r w:rsidR="00A8231D">
              <w:rPr>
                <w:rFonts w:cs="Arial"/>
                <w:sz w:val="20"/>
                <w:szCs w:val="20"/>
              </w:rPr>
              <w:t>6,42</w:t>
            </w:r>
            <w:r w:rsidR="00391725">
              <w:rPr>
                <w:rFonts w:cs="Arial"/>
                <w:sz w:val="20"/>
                <w:szCs w:val="20"/>
              </w:rPr>
              <w:t>0</w:t>
            </w:r>
            <w:r w:rsidRPr="00332DFC">
              <w:rPr>
                <w:rFonts w:cs="Arial"/>
                <w:sz w:val="20"/>
                <w:szCs w:val="20"/>
              </w:rPr>
              <w:t>,000</w:t>
            </w:r>
          </w:p>
        </w:tc>
      </w:tr>
      <w:tr w:rsidR="00BA14A3" w:rsidRPr="00854FC2" w:rsidTr="00BA14A3">
        <w:trPr>
          <w:trHeight w:val="255"/>
        </w:trPr>
        <w:tc>
          <w:tcPr>
            <w:tcW w:w="257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854FC2" w:rsidRDefault="00BA14A3">
            <w:pPr>
              <w:rPr>
                <w:rFonts w:eastAsia="Arial Unicode MS" w:cs="Arial"/>
                <w:sz w:val="20"/>
                <w:szCs w:val="20"/>
              </w:rPr>
            </w:pPr>
            <w:r w:rsidRPr="00854FC2">
              <w:rPr>
                <w:rFonts w:cs="Arial"/>
                <w:sz w:val="20"/>
                <w:szCs w:val="20"/>
              </w:rPr>
              <w:t>Prepare a Contingency Plan</w:t>
            </w:r>
          </w:p>
        </w:tc>
        <w:tc>
          <w:tcPr>
            <w:tcW w:w="146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72B5E" w:rsidP="00A8231D">
            <w:pPr>
              <w:jc w:val="right"/>
              <w:rPr>
                <w:rFonts w:cs="Arial"/>
                <w:sz w:val="20"/>
                <w:szCs w:val="20"/>
              </w:rPr>
            </w:pPr>
            <w:r>
              <w:rPr>
                <w:rFonts w:cs="Arial"/>
                <w:sz w:val="20"/>
                <w:szCs w:val="20"/>
              </w:rPr>
              <w:t>1,</w:t>
            </w:r>
            <w:r w:rsidR="00A8231D">
              <w:rPr>
                <w:rFonts w:cs="Arial"/>
                <w:sz w:val="20"/>
                <w:szCs w:val="20"/>
              </w:rPr>
              <w:t>19</w:t>
            </w:r>
            <w:r>
              <w:rPr>
                <w:rFonts w:cs="Arial"/>
                <w:sz w:val="20"/>
                <w:szCs w:val="20"/>
              </w:rPr>
              <w:t>0</w:t>
            </w:r>
          </w:p>
        </w:tc>
        <w:tc>
          <w:tcPr>
            <w:tcW w:w="145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A8231D" w:rsidP="00A8231D">
            <w:pPr>
              <w:jc w:val="right"/>
              <w:rPr>
                <w:rFonts w:cs="Arial"/>
                <w:sz w:val="20"/>
                <w:szCs w:val="20"/>
              </w:rPr>
            </w:pPr>
            <w:r>
              <w:rPr>
                <w:rFonts w:cs="Arial"/>
                <w:sz w:val="20"/>
                <w:szCs w:val="20"/>
              </w:rPr>
              <w:t>6,32</w:t>
            </w:r>
            <w:r w:rsidR="00B72B5E">
              <w:rPr>
                <w:rFonts w:cs="Arial"/>
                <w:sz w:val="20"/>
                <w:szCs w:val="20"/>
              </w:rPr>
              <w:t>0</w:t>
            </w:r>
          </w:p>
        </w:tc>
        <w:tc>
          <w:tcPr>
            <w:tcW w:w="143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4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A8231D">
            <w:pPr>
              <w:jc w:val="right"/>
              <w:rPr>
                <w:rFonts w:cs="Arial"/>
                <w:sz w:val="20"/>
                <w:szCs w:val="20"/>
              </w:rPr>
            </w:pPr>
            <w:r w:rsidRPr="00332DFC">
              <w:rPr>
                <w:rFonts w:cs="Arial"/>
                <w:sz w:val="20"/>
                <w:szCs w:val="20"/>
              </w:rPr>
              <w:t>1,</w:t>
            </w:r>
            <w:r w:rsidR="00A8231D">
              <w:rPr>
                <w:rFonts w:cs="Arial"/>
                <w:sz w:val="20"/>
                <w:szCs w:val="20"/>
              </w:rPr>
              <w:t>75</w:t>
            </w:r>
            <w:r w:rsidRPr="00332DFC">
              <w:rPr>
                <w:rFonts w:cs="Arial"/>
                <w:sz w:val="20"/>
                <w:szCs w:val="20"/>
              </w:rPr>
              <w:t>0</w:t>
            </w:r>
          </w:p>
        </w:tc>
        <w:tc>
          <w:tcPr>
            <w:tcW w:w="95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A8231D" w:rsidP="00BA14A3">
            <w:pPr>
              <w:jc w:val="right"/>
              <w:rPr>
                <w:rFonts w:cs="Arial"/>
                <w:sz w:val="20"/>
                <w:szCs w:val="20"/>
              </w:rPr>
            </w:pPr>
            <w:r>
              <w:rPr>
                <w:rFonts w:cs="Arial"/>
                <w:sz w:val="20"/>
                <w:szCs w:val="20"/>
              </w:rPr>
              <w:t>9,2</w:t>
            </w:r>
            <w:r w:rsidR="0066668B">
              <w:rPr>
                <w:rFonts w:cs="Arial"/>
                <w:sz w:val="20"/>
                <w:szCs w:val="20"/>
              </w:rPr>
              <w:t>5</w:t>
            </w:r>
            <w:r w:rsidR="00BA14A3" w:rsidRPr="00332DFC">
              <w:rPr>
                <w:rFonts w:cs="Arial"/>
                <w:sz w:val="20"/>
                <w:szCs w:val="20"/>
              </w:rPr>
              <w:t>0</w:t>
            </w:r>
          </w:p>
        </w:tc>
        <w:tc>
          <w:tcPr>
            <w:tcW w:w="153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9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200"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332DFC" w:rsidRDefault="00BA14A3" w:rsidP="00A8231D">
            <w:pPr>
              <w:jc w:val="right"/>
              <w:rPr>
                <w:rFonts w:cs="Arial"/>
                <w:sz w:val="20"/>
                <w:szCs w:val="20"/>
              </w:rPr>
            </w:pPr>
            <w:r w:rsidRPr="00332DFC">
              <w:rPr>
                <w:rFonts w:cs="Arial"/>
                <w:sz w:val="20"/>
                <w:szCs w:val="20"/>
              </w:rPr>
              <w:t>$</w:t>
            </w:r>
            <w:r w:rsidR="00A8231D">
              <w:rPr>
                <w:rFonts w:cs="Arial"/>
                <w:sz w:val="20"/>
                <w:szCs w:val="20"/>
              </w:rPr>
              <w:t>413</w:t>
            </w:r>
            <w:r w:rsidRPr="00332DFC">
              <w:rPr>
                <w:rFonts w:cs="Arial"/>
                <w:sz w:val="20"/>
                <w:szCs w:val="20"/>
              </w:rPr>
              <w:t>,000</w:t>
            </w:r>
          </w:p>
        </w:tc>
      </w:tr>
      <w:tr w:rsidR="00BA14A3" w:rsidRPr="00854FC2" w:rsidTr="00BA14A3">
        <w:trPr>
          <w:trHeight w:val="795"/>
        </w:trPr>
        <w:tc>
          <w:tcPr>
            <w:tcW w:w="2577"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BA14A3" w:rsidRPr="00854FC2" w:rsidRDefault="00BA14A3">
            <w:pPr>
              <w:rPr>
                <w:rFonts w:eastAsia="Arial Unicode MS" w:cs="Arial"/>
                <w:sz w:val="20"/>
                <w:szCs w:val="20"/>
              </w:rPr>
            </w:pPr>
            <w:r w:rsidRPr="00854FC2">
              <w:rPr>
                <w:rFonts w:cs="Arial"/>
                <w:sz w:val="20"/>
                <w:szCs w:val="20"/>
              </w:rPr>
              <w:t>Submit Information in the Event of Certain Discharges of Oil</w:t>
            </w:r>
          </w:p>
        </w:tc>
        <w:tc>
          <w:tcPr>
            <w:tcW w:w="146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A8231D" w:rsidP="00BA14A3">
            <w:pPr>
              <w:jc w:val="right"/>
              <w:rPr>
                <w:rFonts w:cs="Arial"/>
                <w:sz w:val="20"/>
                <w:szCs w:val="20"/>
              </w:rPr>
            </w:pPr>
            <w:r>
              <w:rPr>
                <w:rFonts w:cs="Arial"/>
                <w:sz w:val="20"/>
                <w:szCs w:val="20"/>
              </w:rPr>
              <w:t>3</w:t>
            </w:r>
          </w:p>
        </w:tc>
        <w:tc>
          <w:tcPr>
            <w:tcW w:w="145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A8231D" w:rsidP="00BA14A3">
            <w:pPr>
              <w:jc w:val="right"/>
              <w:rPr>
                <w:rFonts w:cs="Arial"/>
                <w:sz w:val="20"/>
                <w:szCs w:val="20"/>
              </w:rPr>
            </w:pPr>
            <w:r>
              <w:rPr>
                <w:rFonts w:cs="Arial"/>
                <w:sz w:val="20"/>
                <w:szCs w:val="20"/>
              </w:rPr>
              <w:t>3</w:t>
            </w:r>
          </w:p>
        </w:tc>
        <w:tc>
          <w:tcPr>
            <w:tcW w:w="143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4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95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66668B" w:rsidP="00BA14A3">
            <w:pPr>
              <w:jc w:val="right"/>
              <w:rPr>
                <w:rFonts w:cs="Arial"/>
                <w:sz w:val="20"/>
                <w:szCs w:val="20"/>
              </w:rPr>
            </w:pPr>
            <w:r>
              <w:rPr>
                <w:rFonts w:cs="Arial"/>
                <w:sz w:val="20"/>
                <w:szCs w:val="20"/>
              </w:rPr>
              <w:t>5</w:t>
            </w:r>
          </w:p>
        </w:tc>
        <w:tc>
          <w:tcPr>
            <w:tcW w:w="153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890A99" w:rsidP="00A8231D">
            <w:pPr>
              <w:jc w:val="right"/>
              <w:rPr>
                <w:rFonts w:cs="Arial"/>
                <w:sz w:val="20"/>
                <w:szCs w:val="20"/>
              </w:rPr>
            </w:pPr>
            <w:r>
              <w:rPr>
                <w:rFonts w:cs="Arial"/>
                <w:sz w:val="20"/>
                <w:szCs w:val="20"/>
              </w:rPr>
              <w:t>$</w:t>
            </w:r>
            <w:r w:rsidR="00A8231D">
              <w:rPr>
                <w:rFonts w:cs="Arial"/>
                <w:sz w:val="20"/>
                <w:szCs w:val="20"/>
              </w:rPr>
              <w:t>55</w:t>
            </w:r>
          </w:p>
        </w:tc>
        <w:tc>
          <w:tcPr>
            <w:tcW w:w="9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200"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332DFC" w:rsidRDefault="00BA14A3" w:rsidP="00A8231D">
            <w:pPr>
              <w:jc w:val="right"/>
              <w:rPr>
                <w:rFonts w:cs="Arial"/>
                <w:sz w:val="20"/>
                <w:szCs w:val="20"/>
              </w:rPr>
            </w:pPr>
            <w:r w:rsidRPr="00332DFC">
              <w:rPr>
                <w:rFonts w:cs="Arial"/>
                <w:sz w:val="20"/>
                <w:szCs w:val="20"/>
              </w:rPr>
              <w:t>$</w:t>
            </w:r>
            <w:r w:rsidR="0066668B">
              <w:rPr>
                <w:rFonts w:cs="Arial"/>
                <w:sz w:val="20"/>
                <w:szCs w:val="20"/>
              </w:rPr>
              <w:t>3</w:t>
            </w:r>
            <w:r w:rsidR="00A8231D">
              <w:rPr>
                <w:rFonts w:cs="Arial"/>
                <w:sz w:val="20"/>
                <w:szCs w:val="20"/>
              </w:rPr>
              <w:t>72</w:t>
            </w:r>
          </w:p>
        </w:tc>
      </w:tr>
      <w:tr w:rsidR="00BA14A3" w:rsidRPr="00854FC2" w:rsidTr="00BA14A3">
        <w:trPr>
          <w:trHeight w:val="255"/>
        </w:trPr>
        <w:tc>
          <w:tcPr>
            <w:tcW w:w="2577" w:type="dxa"/>
            <w:tcBorders>
              <w:top w:val="nil"/>
              <w:left w:val="double" w:sz="6" w:space="0" w:color="000000"/>
              <w:bottom w:val="single" w:sz="4" w:space="0" w:color="000000"/>
              <w:right w:val="nil"/>
            </w:tcBorders>
            <w:tcMar>
              <w:top w:w="15" w:type="dxa"/>
              <w:left w:w="15" w:type="dxa"/>
              <w:bottom w:w="0" w:type="dxa"/>
              <w:right w:w="15" w:type="dxa"/>
            </w:tcMar>
            <w:vAlign w:val="center"/>
          </w:tcPr>
          <w:p w:rsidR="00BA14A3" w:rsidRPr="00854FC2" w:rsidRDefault="00BA14A3">
            <w:pPr>
              <w:rPr>
                <w:rFonts w:eastAsia="Arial Unicode MS" w:cs="Arial"/>
                <w:sz w:val="20"/>
                <w:szCs w:val="20"/>
              </w:rPr>
            </w:pPr>
            <w:r w:rsidRPr="00854FC2">
              <w:rPr>
                <w:rFonts w:cs="Arial"/>
                <w:sz w:val="20"/>
                <w:szCs w:val="20"/>
              </w:rPr>
              <w:t>Revise the SPCC Plan</w:t>
            </w:r>
          </w:p>
        </w:tc>
        <w:tc>
          <w:tcPr>
            <w:tcW w:w="146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A8231D" w:rsidP="00BA14A3">
            <w:pPr>
              <w:jc w:val="right"/>
              <w:rPr>
                <w:rFonts w:cs="Arial"/>
                <w:sz w:val="20"/>
                <w:szCs w:val="20"/>
              </w:rPr>
            </w:pPr>
            <w:r>
              <w:rPr>
                <w:rFonts w:cs="Arial"/>
                <w:sz w:val="20"/>
                <w:szCs w:val="20"/>
              </w:rPr>
              <w:t>7</w:t>
            </w:r>
          </w:p>
        </w:tc>
        <w:tc>
          <w:tcPr>
            <w:tcW w:w="1451"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72B5E" w:rsidP="00A8231D">
            <w:pPr>
              <w:jc w:val="right"/>
              <w:rPr>
                <w:rFonts w:cs="Arial"/>
                <w:sz w:val="20"/>
                <w:szCs w:val="20"/>
              </w:rPr>
            </w:pPr>
            <w:r>
              <w:rPr>
                <w:rFonts w:cs="Arial"/>
                <w:sz w:val="20"/>
                <w:szCs w:val="20"/>
              </w:rPr>
              <w:t>3</w:t>
            </w:r>
            <w:r w:rsidR="00A8231D">
              <w:rPr>
                <w:rFonts w:cs="Arial"/>
                <w:sz w:val="20"/>
                <w:szCs w:val="20"/>
              </w:rPr>
              <w:t>9</w:t>
            </w:r>
          </w:p>
        </w:tc>
        <w:tc>
          <w:tcPr>
            <w:tcW w:w="143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4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66668B" w:rsidP="00BA14A3">
            <w:pPr>
              <w:jc w:val="right"/>
              <w:rPr>
                <w:rFonts w:cs="Arial"/>
                <w:sz w:val="20"/>
                <w:szCs w:val="20"/>
              </w:rPr>
            </w:pPr>
            <w:r>
              <w:rPr>
                <w:rFonts w:cs="Arial"/>
                <w:sz w:val="20"/>
                <w:szCs w:val="20"/>
              </w:rPr>
              <w:t>5</w:t>
            </w:r>
          </w:p>
        </w:tc>
        <w:tc>
          <w:tcPr>
            <w:tcW w:w="95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66668B" w:rsidP="00BA14A3">
            <w:pPr>
              <w:jc w:val="right"/>
              <w:rPr>
                <w:rFonts w:cs="Arial"/>
                <w:sz w:val="20"/>
                <w:szCs w:val="20"/>
              </w:rPr>
            </w:pPr>
            <w:r>
              <w:rPr>
                <w:rFonts w:cs="Arial"/>
                <w:sz w:val="20"/>
                <w:szCs w:val="20"/>
              </w:rPr>
              <w:t>5</w:t>
            </w:r>
            <w:r w:rsidR="00A8231D">
              <w:rPr>
                <w:rFonts w:cs="Arial"/>
                <w:sz w:val="20"/>
                <w:szCs w:val="20"/>
              </w:rPr>
              <w:t>1</w:t>
            </w:r>
          </w:p>
        </w:tc>
        <w:tc>
          <w:tcPr>
            <w:tcW w:w="153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94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200"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332DFC" w:rsidRDefault="00BA14A3" w:rsidP="00A8231D">
            <w:pPr>
              <w:jc w:val="right"/>
              <w:rPr>
                <w:rFonts w:cs="Arial"/>
                <w:sz w:val="20"/>
                <w:szCs w:val="20"/>
              </w:rPr>
            </w:pPr>
            <w:r w:rsidRPr="00332DFC">
              <w:rPr>
                <w:rFonts w:cs="Arial"/>
                <w:sz w:val="20"/>
                <w:szCs w:val="20"/>
              </w:rPr>
              <w:t>$</w:t>
            </w:r>
            <w:r w:rsidR="00A8231D">
              <w:rPr>
                <w:rFonts w:cs="Arial"/>
                <w:sz w:val="20"/>
                <w:szCs w:val="20"/>
              </w:rPr>
              <w:t>10,300</w:t>
            </w:r>
          </w:p>
        </w:tc>
      </w:tr>
      <w:tr w:rsidR="00BA14A3" w:rsidRPr="00854FC2" w:rsidTr="00BA14A3">
        <w:trPr>
          <w:trHeight w:val="525"/>
        </w:trPr>
        <w:tc>
          <w:tcPr>
            <w:tcW w:w="2577" w:type="dxa"/>
            <w:tcBorders>
              <w:top w:val="nil"/>
              <w:left w:val="double" w:sz="6" w:space="0" w:color="000000"/>
              <w:bottom w:val="double" w:sz="6" w:space="0" w:color="000000"/>
              <w:right w:val="nil"/>
            </w:tcBorders>
            <w:tcMar>
              <w:top w:w="15" w:type="dxa"/>
              <w:left w:w="15" w:type="dxa"/>
              <w:bottom w:w="0" w:type="dxa"/>
              <w:right w:w="15" w:type="dxa"/>
            </w:tcMar>
            <w:vAlign w:val="center"/>
          </w:tcPr>
          <w:p w:rsidR="00BA14A3" w:rsidRPr="00854FC2" w:rsidRDefault="00BA14A3">
            <w:pPr>
              <w:rPr>
                <w:rFonts w:eastAsia="Arial Unicode MS" w:cs="Arial"/>
                <w:sz w:val="20"/>
                <w:szCs w:val="20"/>
              </w:rPr>
            </w:pPr>
            <w:r w:rsidRPr="00854FC2">
              <w:rPr>
                <w:rFonts w:cs="Arial"/>
                <w:sz w:val="20"/>
                <w:szCs w:val="20"/>
              </w:rPr>
              <w:t>Maintain the SPCC Plan and Keep Records</w:t>
            </w:r>
          </w:p>
        </w:tc>
        <w:tc>
          <w:tcPr>
            <w:tcW w:w="1468"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451"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B72B5E" w:rsidP="00A8231D">
            <w:pPr>
              <w:jc w:val="right"/>
              <w:rPr>
                <w:rFonts w:cs="Arial"/>
                <w:sz w:val="20"/>
                <w:szCs w:val="20"/>
              </w:rPr>
            </w:pPr>
            <w:r>
              <w:rPr>
                <w:rFonts w:cs="Arial"/>
                <w:sz w:val="20"/>
                <w:szCs w:val="20"/>
              </w:rPr>
              <w:t>6,</w:t>
            </w:r>
            <w:r w:rsidR="00A8231D">
              <w:rPr>
                <w:rFonts w:cs="Arial"/>
                <w:sz w:val="20"/>
                <w:szCs w:val="20"/>
              </w:rPr>
              <w:t>930</w:t>
            </w:r>
          </w:p>
        </w:tc>
        <w:tc>
          <w:tcPr>
            <w:tcW w:w="143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44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952"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66668B" w:rsidP="00A8231D">
            <w:pPr>
              <w:jc w:val="right"/>
              <w:rPr>
                <w:rFonts w:cs="Arial"/>
                <w:sz w:val="20"/>
                <w:szCs w:val="20"/>
              </w:rPr>
            </w:pPr>
            <w:r>
              <w:rPr>
                <w:rFonts w:cs="Arial"/>
                <w:sz w:val="20"/>
                <w:szCs w:val="20"/>
              </w:rPr>
              <w:t>6,</w:t>
            </w:r>
            <w:r w:rsidR="00A8231D">
              <w:rPr>
                <w:rFonts w:cs="Arial"/>
                <w:sz w:val="20"/>
                <w:szCs w:val="20"/>
              </w:rPr>
              <w:t>93</w:t>
            </w:r>
            <w:r>
              <w:rPr>
                <w:rFonts w:cs="Arial"/>
                <w:sz w:val="20"/>
                <w:szCs w:val="20"/>
              </w:rPr>
              <w:t>0</w:t>
            </w:r>
          </w:p>
        </w:tc>
        <w:tc>
          <w:tcPr>
            <w:tcW w:w="1535"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BA14A3" w:rsidP="00A8231D">
            <w:pPr>
              <w:jc w:val="right"/>
              <w:rPr>
                <w:rFonts w:cs="Arial"/>
                <w:sz w:val="20"/>
                <w:szCs w:val="20"/>
              </w:rPr>
            </w:pPr>
            <w:r w:rsidRPr="00332DFC">
              <w:rPr>
                <w:rFonts w:cs="Arial"/>
                <w:sz w:val="20"/>
                <w:szCs w:val="20"/>
              </w:rPr>
              <w:t>$</w:t>
            </w:r>
            <w:r w:rsidR="00A8231D">
              <w:rPr>
                <w:rFonts w:cs="Arial"/>
                <w:sz w:val="20"/>
                <w:szCs w:val="20"/>
              </w:rPr>
              <w:t>209,0</w:t>
            </w:r>
            <w:r w:rsidRPr="00332DFC">
              <w:rPr>
                <w:rFonts w:cs="Arial"/>
                <w:sz w:val="20"/>
                <w:szCs w:val="20"/>
              </w:rPr>
              <w:t>00</w:t>
            </w:r>
          </w:p>
        </w:tc>
        <w:tc>
          <w:tcPr>
            <w:tcW w:w="94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BA14A3" w:rsidP="00BA14A3">
            <w:pPr>
              <w:jc w:val="right"/>
              <w:rPr>
                <w:rFonts w:cs="Arial"/>
                <w:sz w:val="20"/>
                <w:szCs w:val="20"/>
              </w:rPr>
            </w:pPr>
            <w:r w:rsidRPr="00332DFC">
              <w:rPr>
                <w:rFonts w:cs="Arial"/>
                <w:sz w:val="20"/>
                <w:szCs w:val="20"/>
              </w:rPr>
              <w:t>$0</w:t>
            </w:r>
          </w:p>
        </w:tc>
        <w:tc>
          <w:tcPr>
            <w:tcW w:w="1200"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332DFC" w:rsidRDefault="00BA14A3" w:rsidP="00391725">
            <w:pPr>
              <w:jc w:val="right"/>
              <w:rPr>
                <w:rFonts w:cs="Arial"/>
                <w:sz w:val="20"/>
                <w:szCs w:val="20"/>
              </w:rPr>
            </w:pPr>
            <w:r w:rsidRPr="00332DFC">
              <w:rPr>
                <w:rFonts w:cs="Arial"/>
                <w:sz w:val="20"/>
                <w:szCs w:val="20"/>
              </w:rPr>
              <w:t>$</w:t>
            </w:r>
            <w:r w:rsidR="00391725">
              <w:rPr>
                <w:rFonts w:cs="Arial"/>
                <w:sz w:val="20"/>
                <w:szCs w:val="20"/>
              </w:rPr>
              <w:t>957</w:t>
            </w:r>
            <w:r w:rsidRPr="00332DFC">
              <w:rPr>
                <w:rFonts w:cs="Arial"/>
                <w:sz w:val="20"/>
                <w:szCs w:val="20"/>
              </w:rPr>
              <w:t>,000</w:t>
            </w:r>
          </w:p>
        </w:tc>
      </w:tr>
      <w:tr w:rsidR="00BA14A3" w:rsidRPr="00854FC2" w:rsidTr="00BA14A3">
        <w:trPr>
          <w:trHeight w:val="285"/>
        </w:trPr>
        <w:tc>
          <w:tcPr>
            <w:tcW w:w="2577" w:type="dxa"/>
            <w:tcBorders>
              <w:top w:val="nil"/>
              <w:left w:val="double" w:sz="6" w:space="0" w:color="000000"/>
              <w:bottom w:val="double" w:sz="6" w:space="0" w:color="auto"/>
              <w:right w:val="nil"/>
            </w:tcBorders>
            <w:tcMar>
              <w:top w:w="15" w:type="dxa"/>
              <w:left w:w="15" w:type="dxa"/>
              <w:bottom w:w="0" w:type="dxa"/>
              <w:right w:w="15" w:type="dxa"/>
            </w:tcMar>
            <w:vAlign w:val="center"/>
          </w:tcPr>
          <w:p w:rsidR="00BA14A3" w:rsidRPr="00854FC2" w:rsidRDefault="00BA14A3">
            <w:pPr>
              <w:rPr>
                <w:rFonts w:eastAsia="Arial Unicode MS" w:cs="Arial"/>
                <w:b/>
                <w:bCs/>
                <w:sz w:val="20"/>
                <w:szCs w:val="20"/>
              </w:rPr>
            </w:pPr>
            <w:r w:rsidRPr="00854FC2">
              <w:rPr>
                <w:rFonts w:cs="Arial"/>
                <w:b/>
                <w:bCs/>
                <w:sz w:val="20"/>
                <w:szCs w:val="20"/>
              </w:rPr>
              <w:t>TOTAL</w:t>
            </w:r>
          </w:p>
        </w:tc>
        <w:tc>
          <w:tcPr>
            <w:tcW w:w="1468" w:type="dxa"/>
            <w:tcBorders>
              <w:top w:val="nil"/>
              <w:left w:val="single" w:sz="4" w:space="0" w:color="000000"/>
              <w:bottom w:val="double" w:sz="6" w:space="0" w:color="auto"/>
              <w:right w:val="nil"/>
            </w:tcBorders>
            <w:tcMar>
              <w:top w:w="15" w:type="dxa"/>
              <w:left w:w="15" w:type="dxa"/>
              <w:bottom w:w="0" w:type="dxa"/>
              <w:right w:w="72" w:type="dxa"/>
            </w:tcMar>
            <w:vAlign w:val="bottom"/>
          </w:tcPr>
          <w:p w:rsidR="00BA14A3" w:rsidRPr="00332DFC" w:rsidRDefault="00A8231D">
            <w:pPr>
              <w:jc w:val="right"/>
              <w:rPr>
                <w:rFonts w:cs="Arial"/>
                <w:b/>
                <w:bCs/>
                <w:sz w:val="20"/>
                <w:szCs w:val="20"/>
              </w:rPr>
            </w:pPr>
            <w:r>
              <w:rPr>
                <w:rFonts w:cs="Arial"/>
                <w:b/>
                <w:bCs/>
                <w:sz w:val="20"/>
                <w:szCs w:val="20"/>
              </w:rPr>
              <w:t>4,56</w:t>
            </w:r>
            <w:r w:rsidR="00B72B5E">
              <w:rPr>
                <w:rFonts w:cs="Arial"/>
                <w:b/>
                <w:bCs/>
                <w:sz w:val="20"/>
                <w:szCs w:val="20"/>
              </w:rPr>
              <w:t>0</w:t>
            </w:r>
          </w:p>
        </w:tc>
        <w:tc>
          <w:tcPr>
            <w:tcW w:w="1451" w:type="dxa"/>
            <w:tcBorders>
              <w:top w:val="nil"/>
              <w:left w:val="single" w:sz="4" w:space="0" w:color="000000"/>
              <w:bottom w:val="double" w:sz="6" w:space="0" w:color="auto"/>
              <w:right w:val="nil"/>
            </w:tcBorders>
            <w:tcMar>
              <w:top w:w="15" w:type="dxa"/>
              <w:left w:w="15" w:type="dxa"/>
              <w:bottom w:w="0" w:type="dxa"/>
              <w:right w:w="72" w:type="dxa"/>
            </w:tcMar>
            <w:vAlign w:val="bottom"/>
          </w:tcPr>
          <w:p w:rsidR="00BA14A3" w:rsidRPr="00332DFC" w:rsidRDefault="00A8231D" w:rsidP="00A8231D">
            <w:pPr>
              <w:jc w:val="right"/>
              <w:rPr>
                <w:rFonts w:cs="Arial"/>
                <w:b/>
                <w:bCs/>
                <w:sz w:val="20"/>
                <w:szCs w:val="20"/>
              </w:rPr>
            </w:pPr>
            <w:r>
              <w:rPr>
                <w:rFonts w:cs="Arial"/>
                <w:b/>
                <w:bCs/>
                <w:sz w:val="20"/>
                <w:szCs w:val="20"/>
              </w:rPr>
              <w:t>63,</w:t>
            </w:r>
            <w:r w:rsidR="0066668B">
              <w:rPr>
                <w:rFonts w:cs="Arial"/>
                <w:b/>
                <w:bCs/>
                <w:sz w:val="20"/>
                <w:szCs w:val="20"/>
              </w:rPr>
              <w:t>0</w:t>
            </w:r>
            <w:r>
              <w:rPr>
                <w:rFonts w:cs="Arial"/>
                <w:b/>
                <w:bCs/>
                <w:sz w:val="20"/>
                <w:szCs w:val="20"/>
              </w:rPr>
              <w:t>0</w:t>
            </w:r>
            <w:r w:rsidR="0066668B">
              <w:rPr>
                <w:rFonts w:cs="Arial"/>
                <w:b/>
                <w:bCs/>
                <w:sz w:val="20"/>
                <w:szCs w:val="20"/>
              </w:rPr>
              <w:t>0</w:t>
            </w:r>
          </w:p>
        </w:tc>
        <w:tc>
          <w:tcPr>
            <w:tcW w:w="1437" w:type="dxa"/>
            <w:tcBorders>
              <w:top w:val="nil"/>
              <w:left w:val="single" w:sz="4" w:space="0" w:color="000000"/>
              <w:bottom w:val="double" w:sz="6" w:space="0" w:color="auto"/>
              <w:right w:val="nil"/>
            </w:tcBorders>
            <w:tcMar>
              <w:top w:w="15" w:type="dxa"/>
              <w:left w:w="15" w:type="dxa"/>
              <w:bottom w:w="0" w:type="dxa"/>
              <w:right w:w="72" w:type="dxa"/>
            </w:tcMar>
            <w:vAlign w:val="bottom"/>
          </w:tcPr>
          <w:p w:rsidR="00BA14A3" w:rsidRPr="00332DFC" w:rsidRDefault="00BA14A3" w:rsidP="00A8231D">
            <w:pPr>
              <w:jc w:val="right"/>
              <w:rPr>
                <w:rFonts w:cs="Arial"/>
                <w:b/>
                <w:sz w:val="20"/>
                <w:szCs w:val="20"/>
              </w:rPr>
            </w:pPr>
            <w:r w:rsidRPr="00332DFC">
              <w:rPr>
                <w:rFonts w:cs="Arial"/>
                <w:b/>
                <w:sz w:val="20"/>
                <w:szCs w:val="20"/>
              </w:rPr>
              <w:t>1</w:t>
            </w:r>
            <w:r w:rsidR="00A8231D">
              <w:rPr>
                <w:rFonts w:cs="Arial"/>
                <w:b/>
                <w:sz w:val="20"/>
                <w:szCs w:val="20"/>
              </w:rPr>
              <w:t>8</w:t>
            </w:r>
            <w:r w:rsidRPr="00332DFC">
              <w:rPr>
                <w:rFonts w:cs="Arial"/>
                <w:b/>
                <w:sz w:val="20"/>
                <w:szCs w:val="20"/>
              </w:rPr>
              <w:t>,</w:t>
            </w:r>
            <w:r w:rsidR="00A8231D">
              <w:rPr>
                <w:rFonts w:cs="Arial"/>
                <w:b/>
                <w:sz w:val="20"/>
                <w:szCs w:val="20"/>
              </w:rPr>
              <w:t>5</w:t>
            </w:r>
            <w:r w:rsidRPr="00332DFC">
              <w:rPr>
                <w:rFonts w:cs="Arial"/>
                <w:b/>
                <w:sz w:val="20"/>
                <w:szCs w:val="20"/>
              </w:rPr>
              <w:t>00</w:t>
            </w:r>
          </w:p>
        </w:tc>
        <w:tc>
          <w:tcPr>
            <w:tcW w:w="1440" w:type="dxa"/>
            <w:tcBorders>
              <w:top w:val="nil"/>
              <w:left w:val="single" w:sz="4" w:space="0" w:color="000000"/>
              <w:bottom w:val="double" w:sz="6" w:space="0" w:color="auto"/>
              <w:right w:val="nil"/>
            </w:tcBorders>
            <w:tcMar>
              <w:top w:w="15" w:type="dxa"/>
              <w:left w:w="15" w:type="dxa"/>
              <w:bottom w:w="0" w:type="dxa"/>
              <w:right w:w="72" w:type="dxa"/>
            </w:tcMar>
            <w:vAlign w:val="bottom"/>
          </w:tcPr>
          <w:p w:rsidR="00BA14A3" w:rsidRPr="00332DFC" w:rsidRDefault="00A8231D">
            <w:pPr>
              <w:jc w:val="right"/>
              <w:rPr>
                <w:rFonts w:cs="Arial"/>
                <w:b/>
                <w:bCs/>
                <w:sz w:val="20"/>
                <w:szCs w:val="20"/>
              </w:rPr>
            </w:pPr>
            <w:r>
              <w:rPr>
                <w:rFonts w:cs="Arial"/>
                <w:b/>
                <w:bCs/>
                <w:sz w:val="20"/>
                <w:szCs w:val="20"/>
              </w:rPr>
              <w:t>8,50</w:t>
            </w:r>
            <w:r w:rsidR="00BA14A3" w:rsidRPr="00332DFC">
              <w:rPr>
                <w:rFonts w:cs="Arial"/>
                <w:b/>
                <w:bCs/>
                <w:sz w:val="20"/>
                <w:szCs w:val="20"/>
              </w:rPr>
              <w:t>0</w:t>
            </w:r>
          </w:p>
        </w:tc>
        <w:tc>
          <w:tcPr>
            <w:tcW w:w="952" w:type="dxa"/>
            <w:tcBorders>
              <w:top w:val="nil"/>
              <w:left w:val="single" w:sz="4" w:space="0" w:color="000000"/>
              <w:bottom w:val="double" w:sz="6" w:space="0" w:color="auto"/>
              <w:right w:val="nil"/>
            </w:tcBorders>
            <w:tcMar>
              <w:top w:w="15" w:type="dxa"/>
              <w:left w:w="15" w:type="dxa"/>
              <w:bottom w:w="0" w:type="dxa"/>
              <w:right w:w="72" w:type="dxa"/>
            </w:tcMar>
            <w:vAlign w:val="bottom"/>
          </w:tcPr>
          <w:p w:rsidR="00BA14A3" w:rsidRPr="00332DFC" w:rsidRDefault="00A8231D">
            <w:pPr>
              <w:jc w:val="right"/>
              <w:rPr>
                <w:rFonts w:cs="Arial"/>
                <w:b/>
                <w:bCs/>
                <w:sz w:val="20"/>
                <w:szCs w:val="20"/>
              </w:rPr>
            </w:pPr>
            <w:r>
              <w:rPr>
                <w:rFonts w:cs="Arial"/>
                <w:b/>
                <w:bCs/>
                <w:sz w:val="20"/>
                <w:szCs w:val="20"/>
              </w:rPr>
              <w:t>94,8</w:t>
            </w:r>
            <w:r w:rsidR="00BA14A3" w:rsidRPr="00332DFC">
              <w:rPr>
                <w:rFonts w:cs="Arial"/>
                <w:b/>
                <w:bCs/>
                <w:sz w:val="20"/>
                <w:szCs w:val="20"/>
              </w:rPr>
              <w:t>00</w:t>
            </w:r>
          </w:p>
        </w:tc>
        <w:tc>
          <w:tcPr>
            <w:tcW w:w="1535" w:type="dxa"/>
            <w:tcBorders>
              <w:top w:val="nil"/>
              <w:left w:val="single" w:sz="4" w:space="0" w:color="000000"/>
              <w:bottom w:val="double" w:sz="6" w:space="0" w:color="auto"/>
              <w:right w:val="nil"/>
            </w:tcBorders>
            <w:tcMar>
              <w:top w:w="15" w:type="dxa"/>
              <w:left w:w="15" w:type="dxa"/>
              <w:bottom w:w="0" w:type="dxa"/>
              <w:right w:w="72" w:type="dxa"/>
            </w:tcMar>
            <w:vAlign w:val="bottom"/>
          </w:tcPr>
          <w:p w:rsidR="00BA14A3" w:rsidRPr="00332DFC" w:rsidRDefault="00BA14A3" w:rsidP="00A8231D">
            <w:pPr>
              <w:jc w:val="right"/>
              <w:rPr>
                <w:rFonts w:cs="Arial"/>
                <w:b/>
                <w:bCs/>
                <w:sz w:val="20"/>
                <w:szCs w:val="20"/>
              </w:rPr>
            </w:pPr>
            <w:r w:rsidRPr="00332DFC">
              <w:rPr>
                <w:rFonts w:cs="Arial"/>
                <w:b/>
                <w:bCs/>
                <w:sz w:val="20"/>
                <w:szCs w:val="20"/>
              </w:rPr>
              <w:t>$</w:t>
            </w:r>
            <w:r w:rsidR="00A8231D">
              <w:rPr>
                <w:rFonts w:cs="Arial"/>
                <w:b/>
                <w:bCs/>
                <w:sz w:val="20"/>
                <w:szCs w:val="20"/>
              </w:rPr>
              <w:t>209</w:t>
            </w:r>
            <w:r w:rsidRPr="00332DFC">
              <w:rPr>
                <w:rFonts w:cs="Arial"/>
                <w:b/>
                <w:bCs/>
                <w:sz w:val="20"/>
                <w:szCs w:val="20"/>
              </w:rPr>
              <w:t>,000</w:t>
            </w:r>
          </w:p>
        </w:tc>
        <w:tc>
          <w:tcPr>
            <w:tcW w:w="94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332DFC" w:rsidRDefault="00BA14A3">
            <w:pPr>
              <w:jc w:val="right"/>
              <w:rPr>
                <w:rFonts w:cs="Arial"/>
                <w:b/>
                <w:bCs/>
                <w:sz w:val="20"/>
                <w:szCs w:val="20"/>
              </w:rPr>
            </w:pPr>
            <w:r w:rsidRPr="00332DFC">
              <w:rPr>
                <w:rFonts w:cs="Arial"/>
                <w:b/>
                <w:bCs/>
                <w:sz w:val="20"/>
                <w:szCs w:val="20"/>
              </w:rPr>
              <w:t>$0</w:t>
            </w:r>
          </w:p>
        </w:tc>
        <w:tc>
          <w:tcPr>
            <w:tcW w:w="1200"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332DFC" w:rsidRDefault="00BA14A3" w:rsidP="00391725">
            <w:pPr>
              <w:jc w:val="right"/>
              <w:rPr>
                <w:rFonts w:cs="Arial"/>
                <w:b/>
                <w:bCs/>
                <w:sz w:val="20"/>
                <w:szCs w:val="20"/>
              </w:rPr>
            </w:pPr>
            <w:r w:rsidRPr="00332DFC">
              <w:rPr>
                <w:rFonts w:cs="Arial"/>
                <w:b/>
                <w:bCs/>
                <w:sz w:val="20"/>
                <w:szCs w:val="20"/>
              </w:rPr>
              <w:t>$</w:t>
            </w:r>
            <w:r w:rsidR="00391725">
              <w:rPr>
                <w:rFonts w:cs="Arial"/>
                <w:b/>
                <w:bCs/>
                <w:sz w:val="20"/>
                <w:szCs w:val="20"/>
              </w:rPr>
              <w:t>7,800</w:t>
            </w:r>
            <w:r w:rsidRPr="00332DFC">
              <w:rPr>
                <w:rFonts w:cs="Arial"/>
                <w:b/>
                <w:bCs/>
                <w:sz w:val="20"/>
                <w:szCs w:val="20"/>
              </w:rPr>
              <w:t>,000</w:t>
            </w:r>
          </w:p>
        </w:tc>
      </w:tr>
      <w:tr w:rsidR="00914384" w:rsidRPr="00854FC2">
        <w:trPr>
          <w:cantSplit/>
          <w:trHeight w:val="228"/>
        </w:trPr>
        <w:tc>
          <w:tcPr>
            <w:tcW w:w="13000"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914384" w:rsidRPr="00854FC2" w:rsidRDefault="00914384" w:rsidP="0027098C">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Pr>
                <w:rFonts w:cs="Arial"/>
                <w:sz w:val="18"/>
                <w:szCs w:val="18"/>
              </w:rPr>
              <w:t>estimated totals</w:t>
            </w:r>
            <w:r w:rsidRPr="00854FC2">
              <w:rPr>
                <w:rFonts w:cs="Arial"/>
                <w:sz w:val="18"/>
                <w:szCs w:val="18"/>
              </w:rPr>
              <w:t xml:space="preserve">, rounded to the nearest </w:t>
            </w:r>
            <w:r>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  The numbers in this exhibit may not add precisely due to rounding. </w:t>
            </w:r>
          </w:p>
        </w:tc>
      </w:tr>
      <w:tr w:rsidR="00914384" w:rsidRPr="00854FC2">
        <w:trPr>
          <w:cantSplit/>
          <w:trHeight w:val="255"/>
        </w:trPr>
        <w:tc>
          <w:tcPr>
            <w:tcW w:w="0" w:type="auto"/>
            <w:gridSpan w:val="9"/>
            <w:vMerge/>
            <w:tcBorders>
              <w:top w:val="double" w:sz="6" w:space="0" w:color="auto"/>
              <w:left w:val="nil"/>
              <w:bottom w:val="nil"/>
              <w:right w:val="nil"/>
            </w:tcBorders>
            <w:vAlign w:val="center"/>
          </w:tcPr>
          <w:p w:rsidR="00914384" w:rsidRPr="00854FC2" w:rsidRDefault="00914384">
            <w:pPr>
              <w:rPr>
                <w:rFonts w:eastAsia="Arial Unicode MS" w:cs="Arial"/>
                <w:sz w:val="18"/>
                <w:szCs w:val="18"/>
              </w:rPr>
            </w:pPr>
          </w:p>
        </w:tc>
      </w:tr>
      <w:tr w:rsidR="00914384" w:rsidRPr="00854FC2">
        <w:trPr>
          <w:trHeight w:val="270"/>
        </w:trPr>
        <w:tc>
          <w:tcPr>
            <w:tcW w:w="0" w:type="auto"/>
            <w:gridSpan w:val="9"/>
            <w:tcBorders>
              <w:top w:val="nil"/>
              <w:left w:val="nil"/>
              <w:bottom w:val="nil"/>
              <w:right w:val="nil"/>
            </w:tcBorders>
            <w:noWrap/>
            <w:tcMar>
              <w:top w:w="0" w:type="dxa"/>
              <w:left w:w="15" w:type="dxa"/>
              <w:bottom w:w="0" w:type="dxa"/>
              <w:right w:w="15" w:type="dxa"/>
            </w:tcMar>
            <w:vAlign w:val="bottom"/>
          </w:tcPr>
          <w:p w:rsidR="00914384" w:rsidRPr="00854FC2" w:rsidRDefault="00914384" w:rsidP="0027098C">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rsidR="00D85665" w:rsidRPr="00674FAE" w:rsidRDefault="00D85665">
      <w:pPr>
        <w:pStyle w:val="Caption"/>
        <w:keepNext/>
        <w:rPr>
          <w:rFonts w:cs="Arial"/>
          <w:b w:val="0"/>
          <w:bCs w:val="0"/>
          <w:szCs w:val="22"/>
        </w:rPr>
      </w:pPr>
      <w:r w:rsidRPr="00F56EFC">
        <w:lastRenderedPageBreak/>
        <w:t xml:space="preserve">Exhibit </w:t>
      </w:r>
      <w:r w:rsidR="002348E6">
        <w:fldChar w:fldCharType="begin"/>
      </w:r>
      <w:r w:rsidR="002348E6">
        <w:instrText xml:space="preserve"> SEQ Exhibit \* ARABIC </w:instrText>
      </w:r>
      <w:r w:rsidR="002348E6">
        <w:fldChar w:fldCharType="separate"/>
      </w:r>
      <w:r w:rsidR="00F61EFD">
        <w:rPr>
          <w:noProof/>
        </w:rPr>
        <w:t>15</w:t>
      </w:r>
      <w:r w:rsidR="002348E6">
        <w:fldChar w:fldCharType="end"/>
      </w:r>
    </w:p>
    <w:tbl>
      <w:tblPr>
        <w:tblW w:w="13000" w:type="dxa"/>
        <w:tblCellMar>
          <w:left w:w="0" w:type="dxa"/>
          <w:right w:w="0" w:type="dxa"/>
        </w:tblCellMar>
        <w:tblLook w:val="0000"/>
      </w:tblPr>
      <w:tblGrid>
        <w:gridCol w:w="2417"/>
        <w:gridCol w:w="1444"/>
        <w:gridCol w:w="1399"/>
        <w:gridCol w:w="1353"/>
        <w:gridCol w:w="1373"/>
        <w:gridCol w:w="977"/>
        <w:gridCol w:w="1526"/>
        <w:gridCol w:w="1200"/>
        <w:gridCol w:w="1311"/>
      </w:tblGrid>
      <w:tr w:rsidR="00D85665" w:rsidRPr="00674FAE">
        <w:trPr>
          <w:trHeight w:val="300"/>
        </w:trPr>
        <w:tc>
          <w:tcPr>
            <w:tcW w:w="13000" w:type="dxa"/>
            <w:gridSpan w:val="9"/>
            <w:tcBorders>
              <w:top w:val="nil"/>
              <w:left w:val="nil"/>
              <w:bottom w:val="nil"/>
              <w:right w:val="nil"/>
            </w:tcBorders>
            <w:noWrap/>
            <w:tcMar>
              <w:top w:w="15" w:type="dxa"/>
              <w:left w:w="15" w:type="dxa"/>
              <w:bottom w:w="0" w:type="dxa"/>
              <w:right w:w="15" w:type="dxa"/>
            </w:tcMar>
            <w:vAlign w:val="bottom"/>
          </w:tcPr>
          <w:p w:rsidR="00D85665" w:rsidRPr="00674FAE" w:rsidRDefault="00C05D24">
            <w:pPr>
              <w:jc w:val="center"/>
              <w:rPr>
                <w:rFonts w:eastAsia="Arial Unicode MS" w:cs="Arial"/>
                <w:b/>
                <w:bCs/>
                <w:szCs w:val="22"/>
              </w:rPr>
            </w:pPr>
            <w:r w:rsidRPr="00854FC2">
              <w:rPr>
                <w:rFonts w:cs="Arial"/>
                <w:b/>
                <w:bCs/>
                <w:szCs w:val="22"/>
              </w:rPr>
              <w:t xml:space="preserve">Total </w:t>
            </w:r>
            <w:r w:rsidR="00D85665" w:rsidRPr="00674FAE">
              <w:rPr>
                <w:rFonts w:cs="Arial"/>
                <w:b/>
                <w:bCs/>
                <w:szCs w:val="22"/>
              </w:rPr>
              <w:t>Annual Burden and Costs</w:t>
            </w:r>
            <w:r w:rsidR="009B2E9E">
              <w:rPr>
                <w:rFonts w:cs="Arial"/>
                <w:b/>
                <w:bCs/>
                <w:szCs w:val="22"/>
              </w:rPr>
              <w:t xml:space="preserve"> for All Facilities</w:t>
            </w:r>
          </w:p>
        </w:tc>
      </w:tr>
      <w:tr w:rsidR="00D85665" w:rsidRPr="00674FAE">
        <w:trPr>
          <w:trHeight w:val="315"/>
        </w:trPr>
        <w:tc>
          <w:tcPr>
            <w:tcW w:w="0" w:type="auto"/>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674FAE" w:rsidRDefault="00D85665">
            <w:pPr>
              <w:jc w:val="center"/>
              <w:rPr>
                <w:rFonts w:eastAsia="Arial Unicode MS" w:cs="Arial"/>
                <w:b/>
                <w:bCs/>
                <w:szCs w:val="22"/>
              </w:rPr>
            </w:pPr>
            <w:r w:rsidRPr="00674FAE">
              <w:rPr>
                <w:rFonts w:cs="Arial"/>
                <w:b/>
                <w:bCs/>
                <w:szCs w:val="22"/>
              </w:rPr>
              <w:t>Average Category II Facilities</w:t>
            </w:r>
          </w:p>
        </w:tc>
      </w:tr>
      <w:tr w:rsidR="00D85665" w:rsidRPr="00674FAE">
        <w:trPr>
          <w:cantSplit/>
          <w:trHeight w:val="285"/>
        </w:trPr>
        <w:tc>
          <w:tcPr>
            <w:tcW w:w="2417"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569"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674FAE" w:rsidRDefault="00D85665">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977"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Total Burden Hours</w:t>
            </w:r>
          </w:p>
        </w:tc>
        <w:tc>
          <w:tcPr>
            <w:tcW w:w="1526"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Capital/Startup Costs</w:t>
            </w:r>
          </w:p>
        </w:tc>
        <w:tc>
          <w:tcPr>
            <w:tcW w:w="1200"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PE Costs</w:t>
            </w:r>
          </w:p>
        </w:tc>
        <w:tc>
          <w:tcPr>
            <w:tcW w:w="1311"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674FAE" w:rsidRDefault="002C0EBA" w:rsidP="007D2182">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w:t>
            </w:r>
            <w:r w:rsidR="007D2182">
              <w:rPr>
                <w:rFonts w:cs="Arial"/>
                <w:b/>
                <w:bCs/>
                <w:sz w:val="20"/>
                <w:szCs w:val="20"/>
              </w:rPr>
              <w:t>12</w:t>
            </w:r>
            <w:r>
              <w:rPr>
                <w:rFonts w:cs="Arial"/>
                <w:b/>
                <w:bCs/>
                <w:sz w:val="20"/>
                <w:szCs w:val="20"/>
              </w:rPr>
              <w:t>$)</w:t>
            </w:r>
            <w:r w:rsidRPr="00854FC2">
              <w:rPr>
                <w:rFonts w:cs="Arial"/>
                <w:b/>
                <w:bCs/>
                <w:sz w:val="20"/>
                <w:szCs w:val="20"/>
                <w:vertAlign w:val="superscript"/>
              </w:rPr>
              <w:t>2</w:t>
            </w:r>
          </w:p>
        </w:tc>
      </w:tr>
      <w:tr w:rsidR="00D85665" w:rsidRPr="00674FAE">
        <w:trPr>
          <w:cantSplit/>
          <w:trHeight w:val="480"/>
        </w:trPr>
        <w:tc>
          <w:tcPr>
            <w:tcW w:w="0" w:type="auto"/>
            <w:vMerge/>
            <w:tcBorders>
              <w:top w:val="nil"/>
              <w:left w:val="double" w:sz="6"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1444"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Management</w:t>
            </w:r>
          </w:p>
        </w:tc>
        <w:tc>
          <w:tcPr>
            <w:tcW w:w="1399"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Technical</w:t>
            </w:r>
          </w:p>
        </w:tc>
        <w:tc>
          <w:tcPr>
            <w:tcW w:w="1353"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Drafter</w:t>
            </w:r>
          </w:p>
        </w:tc>
        <w:tc>
          <w:tcPr>
            <w:tcW w:w="1373"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Clerical</w:t>
            </w:r>
          </w:p>
        </w:tc>
        <w:tc>
          <w:tcPr>
            <w:tcW w:w="0" w:type="auto"/>
            <w:vMerge/>
            <w:tcBorders>
              <w:top w:val="nil"/>
              <w:left w:val="nil"/>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674FAE" w:rsidRDefault="00D85665">
            <w:pPr>
              <w:rPr>
                <w:rFonts w:eastAsia="Arial Unicode MS" w:cs="Arial"/>
                <w:b/>
                <w:bCs/>
                <w:sz w:val="20"/>
                <w:szCs w:val="20"/>
              </w:rPr>
            </w:pPr>
          </w:p>
        </w:tc>
      </w:tr>
      <w:tr w:rsidR="00D85665" w:rsidRPr="00674FAE">
        <w:trPr>
          <w:trHeight w:val="270"/>
        </w:trPr>
        <w:tc>
          <w:tcPr>
            <w:tcW w:w="13000"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rsidRDefault="00D85665">
            <w:pPr>
              <w:pStyle w:val="Heading5"/>
              <w:rPr>
                <w:rFonts w:eastAsia="Arial Unicode MS"/>
                <w:szCs w:val="20"/>
              </w:rPr>
            </w:pPr>
            <w:r w:rsidRPr="00674FAE">
              <w:rPr>
                <w:szCs w:val="20"/>
              </w:rPr>
              <w:t>Existing Facilities</w:t>
            </w:r>
          </w:p>
        </w:tc>
      </w:tr>
      <w:tr w:rsidR="0066668B" w:rsidRPr="00674FAE" w:rsidTr="0066668B">
        <w:trPr>
          <w:trHeight w:val="360"/>
        </w:trPr>
        <w:tc>
          <w:tcPr>
            <w:tcW w:w="2417" w:type="dxa"/>
            <w:tcBorders>
              <w:top w:val="nil"/>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Review the SPCC Plan</w:t>
            </w:r>
          </w:p>
        </w:tc>
        <w:tc>
          <w:tcPr>
            <w:tcW w:w="1444"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6</w:t>
            </w:r>
            <w:r w:rsidR="001973A8">
              <w:rPr>
                <w:rFonts w:cs="Arial"/>
                <w:sz w:val="20"/>
                <w:szCs w:val="20"/>
              </w:rPr>
              <w:t>4</w:t>
            </w:r>
            <w:r>
              <w:rPr>
                <w:rFonts w:cs="Arial"/>
                <w:sz w:val="20"/>
                <w:szCs w:val="20"/>
              </w:rPr>
              <w:t>,</w:t>
            </w:r>
            <w:r w:rsidR="001973A8">
              <w:rPr>
                <w:rFonts w:cs="Arial"/>
                <w:sz w:val="20"/>
                <w:szCs w:val="20"/>
              </w:rPr>
              <w:t>9</w:t>
            </w:r>
            <w:r>
              <w:rPr>
                <w:rFonts w:cs="Arial"/>
                <w:sz w:val="20"/>
                <w:szCs w:val="20"/>
              </w:rPr>
              <w:t>00</w:t>
            </w:r>
          </w:p>
        </w:tc>
        <w:tc>
          <w:tcPr>
            <w:tcW w:w="1399"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97</w:t>
            </w:r>
            <w:r w:rsidR="001973A8">
              <w:rPr>
                <w:rFonts w:cs="Arial"/>
                <w:sz w:val="20"/>
                <w:szCs w:val="20"/>
              </w:rPr>
              <w:t>3,</w:t>
            </w:r>
            <w:r>
              <w:rPr>
                <w:rFonts w:cs="Arial"/>
                <w:sz w:val="20"/>
                <w:szCs w:val="20"/>
              </w:rPr>
              <w:t>000</w:t>
            </w:r>
          </w:p>
        </w:tc>
        <w:tc>
          <w:tcPr>
            <w:tcW w:w="1353"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73"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6</w:t>
            </w:r>
            <w:r w:rsidR="001973A8">
              <w:rPr>
                <w:rFonts w:cs="Arial"/>
                <w:sz w:val="20"/>
                <w:szCs w:val="20"/>
              </w:rPr>
              <w:t>5</w:t>
            </w:r>
            <w:r>
              <w:rPr>
                <w:rFonts w:cs="Arial"/>
                <w:sz w:val="20"/>
                <w:szCs w:val="20"/>
              </w:rPr>
              <w:t>,</w:t>
            </w:r>
            <w:r w:rsidR="001973A8">
              <w:rPr>
                <w:rFonts w:cs="Arial"/>
                <w:sz w:val="20"/>
                <w:szCs w:val="20"/>
              </w:rPr>
              <w:t>0</w:t>
            </w:r>
            <w:r>
              <w:rPr>
                <w:rFonts w:cs="Arial"/>
                <w:sz w:val="20"/>
                <w:szCs w:val="20"/>
              </w:rPr>
              <w:t>00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1,</w:t>
            </w:r>
            <w:r w:rsidR="001973A8">
              <w:rPr>
                <w:rFonts w:cs="Arial"/>
                <w:sz w:val="20"/>
                <w:szCs w:val="20"/>
              </w:rPr>
              <w:t>1</w:t>
            </w:r>
            <w:r>
              <w:rPr>
                <w:rFonts w:cs="Arial"/>
                <w:sz w:val="20"/>
                <w:szCs w:val="20"/>
              </w:rPr>
              <w:t>0</w:t>
            </w:r>
            <w:r w:rsidR="001973A8">
              <w:rPr>
                <w:rFonts w:cs="Arial"/>
                <w:sz w:val="20"/>
                <w:szCs w:val="20"/>
              </w:rPr>
              <w:t>3</w:t>
            </w:r>
            <w:r>
              <w:rPr>
                <w:rFonts w:cs="Arial"/>
                <w:sz w:val="20"/>
                <w:szCs w:val="20"/>
              </w:rPr>
              <w:t>,000</w:t>
            </w:r>
          </w:p>
        </w:tc>
        <w:tc>
          <w:tcPr>
            <w:tcW w:w="152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BA14A3">
            <w:pPr>
              <w:jc w:val="right"/>
              <w:rPr>
                <w:rFonts w:cs="Arial"/>
                <w:sz w:val="20"/>
                <w:szCs w:val="20"/>
              </w:rPr>
            </w:pPr>
            <w:r w:rsidRPr="00674FAE">
              <w:rPr>
                <w:rFonts w:cs="Arial"/>
                <w:sz w:val="20"/>
                <w:szCs w:val="20"/>
              </w:rPr>
              <w:t>$0</w:t>
            </w:r>
          </w:p>
        </w:tc>
        <w:tc>
          <w:tcPr>
            <w:tcW w:w="1200"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BA14A3">
            <w:pPr>
              <w:jc w:val="right"/>
              <w:rPr>
                <w:rFonts w:cs="Arial"/>
                <w:sz w:val="20"/>
                <w:szCs w:val="20"/>
              </w:rPr>
            </w:pPr>
            <w:r w:rsidRPr="00674FAE">
              <w:rPr>
                <w:rFonts w:cs="Arial"/>
                <w:sz w:val="20"/>
                <w:szCs w:val="20"/>
              </w:rPr>
              <w:t>$0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66668B" w:rsidRDefault="004265A1" w:rsidP="005813D4">
            <w:pPr>
              <w:jc w:val="right"/>
              <w:rPr>
                <w:rFonts w:cs="Arial"/>
                <w:sz w:val="20"/>
                <w:szCs w:val="20"/>
              </w:rPr>
            </w:pPr>
            <w:r>
              <w:rPr>
                <w:rFonts w:cs="Arial"/>
                <w:sz w:val="20"/>
                <w:szCs w:val="20"/>
              </w:rPr>
              <w:t>$</w:t>
            </w:r>
            <w:r w:rsidR="001973A8">
              <w:rPr>
                <w:rFonts w:cs="Arial"/>
                <w:sz w:val="20"/>
                <w:szCs w:val="20"/>
              </w:rPr>
              <w:t>100,</w:t>
            </w:r>
            <w:r w:rsidR="005813D4">
              <w:rPr>
                <w:rFonts w:cs="Arial"/>
                <w:sz w:val="20"/>
                <w:szCs w:val="20"/>
              </w:rPr>
              <w:t>500</w:t>
            </w:r>
            <w:r w:rsidR="0066668B">
              <w:rPr>
                <w:rFonts w:cs="Arial"/>
                <w:sz w:val="20"/>
                <w:szCs w:val="20"/>
              </w:rPr>
              <w:t>,000</w:t>
            </w:r>
          </w:p>
        </w:tc>
      </w:tr>
      <w:tr w:rsidR="0066668B" w:rsidRPr="00674FAE" w:rsidTr="0066668B">
        <w:trPr>
          <w:trHeight w:val="915"/>
        </w:trPr>
        <w:tc>
          <w:tcPr>
            <w:tcW w:w="241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Submit Information in the Event of Certain Discharges of Oil</w:t>
            </w:r>
          </w:p>
        </w:tc>
        <w:tc>
          <w:tcPr>
            <w:tcW w:w="1444"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3</w:t>
            </w:r>
            <w:r w:rsidR="001973A8">
              <w:rPr>
                <w:rFonts w:cs="Arial"/>
                <w:sz w:val="20"/>
                <w:szCs w:val="20"/>
              </w:rPr>
              <w:t>6</w:t>
            </w:r>
            <w:r>
              <w:rPr>
                <w:rFonts w:cs="Arial"/>
                <w:sz w:val="20"/>
                <w:szCs w:val="20"/>
              </w:rPr>
              <w:t>3</w:t>
            </w:r>
          </w:p>
        </w:tc>
        <w:tc>
          <w:tcPr>
            <w:tcW w:w="1399"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3</w:t>
            </w:r>
            <w:r w:rsidR="001973A8">
              <w:rPr>
                <w:rFonts w:cs="Arial"/>
                <w:sz w:val="20"/>
                <w:szCs w:val="20"/>
              </w:rPr>
              <w:t>6</w:t>
            </w:r>
            <w:r>
              <w:rPr>
                <w:rFonts w:cs="Arial"/>
                <w:sz w:val="20"/>
                <w:szCs w:val="20"/>
              </w:rPr>
              <w:t>3</w:t>
            </w:r>
          </w:p>
        </w:tc>
        <w:tc>
          <w:tcPr>
            <w:tcW w:w="1353"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73"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1973A8" w:rsidP="0066668B">
            <w:pPr>
              <w:jc w:val="right"/>
              <w:rPr>
                <w:rFonts w:cs="Arial"/>
                <w:sz w:val="20"/>
                <w:szCs w:val="20"/>
              </w:rPr>
            </w:pPr>
            <w:r>
              <w:rPr>
                <w:rFonts w:cs="Arial"/>
                <w:sz w:val="20"/>
                <w:szCs w:val="20"/>
              </w:rPr>
              <w:t>726</w:t>
            </w:r>
          </w:p>
        </w:tc>
        <w:tc>
          <w:tcPr>
            <w:tcW w:w="152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4265A1" w:rsidP="001973A8">
            <w:pPr>
              <w:jc w:val="right"/>
              <w:rPr>
                <w:rFonts w:cs="Arial"/>
                <w:sz w:val="20"/>
                <w:szCs w:val="20"/>
              </w:rPr>
            </w:pPr>
            <w:r>
              <w:rPr>
                <w:rFonts w:cs="Arial"/>
                <w:sz w:val="20"/>
                <w:szCs w:val="20"/>
              </w:rPr>
              <w:t>$</w:t>
            </w:r>
            <w:r w:rsidR="001973A8">
              <w:rPr>
                <w:rFonts w:cs="Arial"/>
                <w:sz w:val="20"/>
                <w:szCs w:val="20"/>
              </w:rPr>
              <w:t>7,288</w:t>
            </w:r>
          </w:p>
        </w:tc>
        <w:tc>
          <w:tcPr>
            <w:tcW w:w="1200"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BA14A3">
            <w:pPr>
              <w:jc w:val="right"/>
              <w:rPr>
                <w:rFonts w:cs="Arial"/>
                <w:sz w:val="20"/>
                <w:szCs w:val="20"/>
              </w:rPr>
            </w:pPr>
            <w:r w:rsidRPr="00674FAE">
              <w:rPr>
                <w:rFonts w:cs="Arial"/>
                <w:sz w:val="20"/>
                <w:szCs w:val="20"/>
              </w:rPr>
              <w:t>$0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66668B" w:rsidRDefault="0066668B" w:rsidP="005813D4">
            <w:pPr>
              <w:jc w:val="right"/>
              <w:rPr>
                <w:rFonts w:cs="Arial"/>
                <w:sz w:val="20"/>
                <w:szCs w:val="20"/>
              </w:rPr>
            </w:pPr>
            <w:r>
              <w:rPr>
                <w:rFonts w:cs="Arial"/>
                <w:sz w:val="20"/>
                <w:szCs w:val="20"/>
              </w:rPr>
              <w:t>$</w:t>
            </w:r>
            <w:r w:rsidR="001973A8">
              <w:rPr>
                <w:rFonts w:cs="Arial"/>
                <w:sz w:val="20"/>
                <w:szCs w:val="20"/>
              </w:rPr>
              <w:t>53</w:t>
            </w:r>
            <w:r w:rsidR="004265A1">
              <w:rPr>
                <w:rFonts w:cs="Arial"/>
                <w:sz w:val="20"/>
                <w:szCs w:val="20"/>
              </w:rPr>
              <w:t>,</w:t>
            </w:r>
            <w:r w:rsidR="005813D4">
              <w:rPr>
                <w:rFonts w:cs="Arial"/>
                <w:sz w:val="20"/>
                <w:szCs w:val="20"/>
              </w:rPr>
              <w:t>7</w:t>
            </w:r>
            <w:r>
              <w:rPr>
                <w:rFonts w:cs="Arial"/>
                <w:sz w:val="20"/>
                <w:szCs w:val="20"/>
              </w:rPr>
              <w:t>00</w:t>
            </w:r>
          </w:p>
        </w:tc>
      </w:tr>
      <w:tr w:rsidR="0066668B" w:rsidRPr="00674FAE" w:rsidTr="0066668B">
        <w:trPr>
          <w:trHeight w:val="540"/>
        </w:trPr>
        <w:tc>
          <w:tcPr>
            <w:tcW w:w="241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Revise the SPCC Plan</w:t>
            </w:r>
          </w:p>
        </w:tc>
        <w:tc>
          <w:tcPr>
            <w:tcW w:w="1444"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66668B" w:rsidRDefault="001973A8" w:rsidP="001973A8">
            <w:pPr>
              <w:jc w:val="right"/>
              <w:rPr>
                <w:rFonts w:cs="Arial"/>
                <w:sz w:val="20"/>
                <w:szCs w:val="20"/>
              </w:rPr>
            </w:pPr>
            <w:r>
              <w:rPr>
                <w:rFonts w:cs="Arial"/>
                <w:sz w:val="20"/>
                <w:szCs w:val="20"/>
              </w:rPr>
              <w:t>105,0</w:t>
            </w:r>
            <w:r w:rsidR="0066668B">
              <w:rPr>
                <w:rFonts w:cs="Arial"/>
                <w:sz w:val="20"/>
                <w:szCs w:val="20"/>
              </w:rPr>
              <w:t>00</w:t>
            </w:r>
          </w:p>
        </w:tc>
        <w:tc>
          <w:tcPr>
            <w:tcW w:w="1399"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1973A8" w:rsidP="0066668B">
            <w:pPr>
              <w:jc w:val="right"/>
              <w:rPr>
                <w:rFonts w:cs="Arial"/>
                <w:sz w:val="20"/>
                <w:szCs w:val="20"/>
              </w:rPr>
            </w:pPr>
            <w:r>
              <w:rPr>
                <w:rFonts w:cs="Arial"/>
                <w:sz w:val="20"/>
                <w:szCs w:val="20"/>
              </w:rPr>
              <w:t>633</w:t>
            </w:r>
            <w:r w:rsidR="0066668B">
              <w:rPr>
                <w:rFonts w:cs="Arial"/>
                <w:sz w:val="20"/>
                <w:szCs w:val="20"/>
              </w:rPr>
              <w:t>,000</w:t>
            </w:r>
          </w:p>
        </w:tc>
        <w:tc>
          <w:tcPr>
            <w:tcW w:w="1353"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73"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1973A8" w:rsidP="0066668B">
            <w:pPr>
              <w:jc w:val="right"/>
              <w:rPr>
                <w:rFonts w:cs="Arial"/>
                <w:sz w:val="20"/>
                <w:szCs w:val="20"/>
              </w:rPr>
            </w:pPr>
            <w:r>
              <w:rPr>
                <w:rFonts w:cs="Arial"/>
                <w:sz w:val="20"/>
                <w:szCs w:val="20"/>
              </w:rPr>
              <w:t>84,4</w:t>
            </w:r>
            <w:r w:rsidR="0066668B">
              <w:rPr>
                <w:rFonts w:cs="Arial"/>
                <w:sz w:val="20"/>
                <w:szCs w:val="20"/>
              </w:rPr>
              <w:t>00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1973A8" w:rsidP="0066668B">
            <w:pPr>
              <w:jc w:val="right"/>
              <w:rPr>
                <w:rFonts w:cs="Arial"/>
                <w:sz w:val="20"/>
                <w:szCs w:val="20"/>
              </w:rPr>
            </w:pPr>
            <w:r>
              <w:rPr>
                <w:rFonts w:cs="Arial"/>
                <w:sz w:val="20"/>
                <w:szCs w:val="20"/>
              </w:rPr>
              <w:t>823</w:t>
            </w:r>
            <w:r w:rsidR="0066668B">
              <w:rPr>
                <w:rFonts w:cs="Arial"/>
                <w:sz w:val="20"/>
                <w:szCs w:val="20"/>
              </w:rPr>
              <w:t>,000</w:t>
            </w:r>
          </w:p>
        </w:tc>
        <w:tc>
          <w:tcPr>
            <w:tcW w:w="152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BA14A3">
            <w:pPr>
              <w:jc w:val="right"/>
              <w:rPr>
                <w:rFonts w:cs="Arial"/>
                <w:sz w:val="20"/>
                <w:szCs w:val="20"/>
              </w:rPr>
            </w:pPr>
            <w:r w:rsidRPr="00674FAE">
              <w:rPr>
                <w:rFonts w:cs="Arial"/>
                <w:sz w:val="20"/>
                <w:szCs w:val="20"/>
              </w:rPr>
              <w:t>$0</w:t>
            </w:r>
          </w:p>
        </w:tc>
        <w:tc>
          <w:tcPr>
            <w:tcW w:w="1200"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1973A8">
            <w:pPr>
              <w:jc w:val="right"/>
              <w:rPr>
                <w:rFonts w:cs="Arial"/>
                <w:sz w:val="20"/>
                <w:szCs w:val="20"/>
              </w:rPr>
            </w:pPr>
            <w:r w:rsidRPr="00674FAE">
              <w:rPr>
                <w:rFonts w:cs="Arial"/>
                <w:sz w:val="20"/>
                <w:szCs w:val="20"/>
              </w:rPr>
              <w:t>$</w:t>
            </w:r>
            <w:r w:rsidR="00104A0D">
              <w:rPr>
                <w:rFonts w:cs="Arial"/>
                <w:sz w:val="20"/>
                <w:szCs w:val="20"/>
              </w:rPr>
              <w:t>8</w:t>
            </w:r>
            <w:r w:rsidR="001973A8">
              <w:rPr>
                <w:rFonts w:cs="Arial"/>
                <w:sz w:val="20"/>
                <w:szCs w:val="20"/>
              </w:rPr>
              <w:t>7,029</w:t>
            </w:r>
            <w:r w:rsidRPr="00674FAE">
              <w:rPr>
                <w:rFonts w:cs="Arial"/>
                <w:sz w:val="20"/>
                <w:szCs w:val="20"/>
              </w:rPr>
              <w:t>,000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66668B" w:rsidRDefault="0066668B" w:rsidP="005813D4">
            <w:pPr>
              <w:jc w:val="right"/>
              <w:rPr>
                <w:rFonts w:cs="Arial"/>
                <w:sz w:val="20"/>
                <w:szCs w:val="20"/>
              </w:rPr>
            </w:pPr>
            <w:r>
              <w:rPr>
                <w:rFonts w:cs="Arial"/>
                <w:sz w:val="20"/>
                <w:szCs w:val="20"/>
              </w:rPr>
              <w:t>$</w:t>
            </w:r>
            <w:r w:rsidR="004B5DB4">
              <w:rPr>
                <w:rFonts w:cs="Arial"/>
                <w:sz w:val="20"/>
                <w:szCs w:val="20"/>
              </w:rPr>
              <w:t>1</w:t>
            </w:r>
            <w:r w:rsidR="001973A8">
              <w:rPr>
                <w:rFonts w:cs="Arial"/>
                <w:sz w:val="20"/>
                <w:szCs w:val="20"/>
              </w:rPr>
              <w:t>61</w:t>
            </w:r>
            <w:r>
              <w:rPr>
                <w:rFonts w:cs="Arial"/>
                <w:sz w:val="20"/>
                <w:szCs w:val="20"/>
              </w:rPr>
              <w:t>,</w:t>
            </w:r>
            <w:r w:rsidR="005813D4">
              <w:rPr>
                <w:rFonts w:cs="Arial"/>
                <w:sz w:val="20"/>
                <w:szCs w:val="20"/>
              </w:rPr>
              <w:t>400</w:t>
            </w:r>
            <w:r>
              <w:rPr>
                <w:rFonts w:cs="Arial"/>
                <w:sz w:val="20"/>
                <w:szCs w:val="20"/>
              </w:rPr>
              <w:t>,000</w:t>
            </w:r>
          </w:p>
        </w:tc>
      </w:tr>
      <w:tr w:rsidR="0066668B" w:rsidRPr="00674FAE" w:rsidTr="0066668B">
        <w:trPr>
          <w:trHeight w:val="570"/>
        </w:trPr>
        <w:tc>
          <w:tcPr>
            <w:tcW w:w="241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Maintain the SPCC Plan and Keep Records</w:t>
            </w:r>
          </w:p>
        </w:tc>
        <w:tc>
          <w:tcPr>
            <w:tcW w:w="1444"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99"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8</w:t>
            </w:r>
            <w:r w:rsidR="001973A8">
              <w:rPr>
                <w:rFonts w:cs="Arial"/>
                <w:sz w:val="20"/>
                <w:szCs w:val="20"/>
              </w:rPr>
              <w:t>87</w:t>
            </w:r>
            <w:r>
              <w:rPr>
                <w:rFonts w:cs="Arial"/>
                <w:sz w:val="20"/>
                <w:szCs w:val="20"/>
              </w:rPr>
              <w:t>,000</w:t>
            </w:r>
          </w:p>
        </w:tc>
        <w:tc>
          <w:tcPr>
            <w:tcW w:w="1353"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73"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977"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1973A8">
            <w:pPr>
              <w:jc w:val="right"/>
              <w:rPr>
                <w:rFonts w:cs="Arial"/>
                <w:sz w:val="20"/>
                <w:szCs w:val="20"/>
              </w:rPr>
            </w:pPr>
            <w:r>
              <w:rPr>
                <w:rFonts w:cs="Arial"/>
                <w:sz w:val="20"/>
                <w:szCs w:val="20"/>
              </w:rPr>
              <w:t>8</w:t>
            </w:r>
            <w:r w:rsidR="001973A8">
              <w:rPr>
                <w:rFonts w:cs="Arial"/>
                <w:sz w:val="20"/>
                <w:szCs w:val="20"/>
              </w:rPr>
              <w:t>87</w:t>
            </w:r>
            <w:r>
              <w:rPr>
                <w:rFonts w:cs="Arial"/>
                <w:sz w:val="20"/>
                <w:szCs w:val="20"/>
              </w:rPr>
              <w:t>,000</w:t>
            </w:r>
          </w:p>
        </w:tc>
        <w:tc>
          <w:tcPr>
            <w:tcW w:w="1526"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Pr="00674FAE" w:rsidRDefault="0066668B" w:rsidP="00BA14A3">
            <w:pPr>
              <w:jc w:val="right"/>
              <w:rPr>
                <w:rFonts w:cs="Arial"/>
                <w:sz w:val="20"/>
                <w:szCs w:val="20"/>
              </w:rPr>
            </w:pPr>
            <w:r w:rsidRPr="00674FAE">
              <w:rPr>
                <w:rFonts w:cs="Arial"/>
                <w:sz w:val="20"/>
                <w:szCs w:val="20"/>
              </w:rPr>
              <w:t>$0</w:t>
            </w:r>
          </w:p>
        </w:tc>
        <w:tc>
          <w:tcPr>
            <w:tcW w:w="1200"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Pr="00674FAE" w:rsidRDefault="0066668B" w:rsidP="00BA14A3">
            <w:pPr>
              <w:jc w:val="right"/>
              <w:rPr>
                <w:rFonts w:cs="Arial"/>
                <w:sz w:val="20"/>
                <w:szCs w:val="20"/>
              </w:rPr>
            </w:pPr>
            <w:r w:rsidRPr="00674FAE">
              <w:rPr>
                <w:rFonts w:cs="Arial"/>
                <w:sz w:val="20"/>
                <w:szCs w:val="20"/>
              </w:rPr>
              <w:t>$0</w:t>
            </w:r>
          </w:p>
        </w:tc>
        <w:tc>
          <w:tcPr>
            <w:tcW w:w="1311" w:type="dxa"/>
            <w:tcBorders>
              <w:top w:val="nil"/>
              <w:left w:val="nil"/>
              <w:bottom w:val="double" w:sz="6" w:space="0" w:color="auto"/>
              <w:right w:val="double" w:sz="6" w:space="0" w:color="000000"/>
            </w:tcBorders>
            <w:tcMar>
              <w:top w:w="15" w:type="dxa"/>
              <w:left w:w="15" w:type="dxa"/>
              <w:bottom w:w="0" w:type="dxa"/>
              <w:right w:w="72" w:type="dxa"/>
            </w:tcMar>
            <w:vAlign w:val="center"/>
          </w:tcPr>
          <w:p w:rsidR="0066668B" w:rsidRDefault="004265A1" w:rsidP="005813D4">
            <w:pPr>
              <w:jc w:val="right"/>
              <w:rPr>
                <w:rFonts w:cs="Arial"/>
                <w:sz w:val="20"/>
                <w:szCs w:val="20"/>
              </w:rPr>
            </w:pPr>
            <w:r>
              <w:rPr>
                <w:rFonts w:cs="Arial"/>
                <w:sz w:val="20"/>
                <w:szCs w:val="20"/>
              </w:rPr>
              <w:t>$</w:t>
            </w:r>
            <w:r w:rsidR="001973A8">
              <w:rPr>
                <w:rFonts w:cs="Arial"/>
                <w:sz w:val="20"/>
                <w:szCs w:val="20"/>
              </w:rPr>
              <w:t>5</w:t>
            </w:r>
            <w:r w:rsidR="005813D4">
              <w:rPr>
                <w:rFonts w:cs="Arial"/>
                <w:sz w:val="20"/>
                <w:szCs w:val="20"/>
              </w:rPr>
              <w:t>2</w:t>
            </w:r>
            <w:r>
              <w:rPr>
                <w:rFonts w:cs="Arial"/>
                <w:sz w:val="20"/>
                <w:szCs w:val="20"/>
              </w:rPr>
              <w:t>,</w:t>
            </w:r>
            <w:r w:rsidR="0066668B">
              <w:rPr>
                <w:rFonts w:cs="Arial"/>
                <w:sz w:val="20"/>
                <w:szCs w:val="20"/>
              </w:rPr>
              <w:t>00</w:t>
            </w:r>
            <w:r w:rsidR="005813D4">
              <w:rPr>
                <w:rFonts w:cs="Arial"/>
                <w:sz w:val="20"/>
                <w:szCs w:val="20"/>
              </w:rPr>
              <w:t>0</w:t>
            </w:r>
            <w:r w:rsidR="0066668B">
              <w:rPr>
                <w:rFonts w:cs="Arial"/>
                <w:sz w:val="20"/>
                <w:szCs w:val="20"/>
              </w:rPr>
              <w:t>,000</w:t>
            </w:r>
          </w:p>
        </w:tc>
      </w:tr>
      <w:tr w:rsidR="0066668B" w:rsidRPr="00674FAE" w:rsidTr="0066668B">
        <w:trPr>
          <w:trHeight w:val="285"/>
        </w:trPr>
        <w:tc>
          <w:tcPr>
            <w:tcW w:w="2417"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66668B" w:rsidRPr="00674FAE" w:rsidRDefault="0066668B">
            <w:pPr>
              <w:rPr>
                <w:rFonts w:eastAsia="Arial Unicode MS" w:cs="Arial"/>
                <w:b/>
                <w:bCs/>
                <w:sz w:val="20"/>
                <w:szCs w:val="20"/>
              </w:rPr>
            </w:pPr>
            <w:r w:rsidRPr="00674FAE">
              <w:rPr>
                <w:rFonts w:cs="Arial"/>
                <w:b/>
                <w:bCs/>
                <w:sz w:val="20"/>
                <w:szCs w:val="20"/>
              </w:rPr>
              <w:t>TOTAL</w:t>
            </w:r>
          </w:p>
        </w:tc>
        <w:tc>
          <w:tcPr>
            <w:tcW w:w="1444"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66668B" w:rsidP="001973A8">
            <w:pPr>
              <w:jc w:val="right"/>
              <w:rPr>
                <w:rFonts w:cs="Arial"/>
                <w:b/>
                <w:bCs/>
                <w:sz w:val="20"/>
                <w:szCs w:val="20"/>
              </w:rPr>
            </w:pPr>
            <w:r>
              <w:rPr>
                <w:rFonts w:cs="Arial"/>
                <w:b/>
                <w:bCs/>
                <w:sz w:val="20"/>
                <w:szCs w:val="20"/>
              </w:rPr>
              <w:t>1</w:t>
            </w:r>
            <w:r w:rsidR="001973A8">
              <w:rPr>
                <w:rFonts w:cs="Arial"/>
                <w:b/>
                <w:bCs/>
                <w:sz w:val="20"/>
                <w:szCs w:val="20"/>
              </w:rPr>
              <w:t>70</w:t>
            </w:r>
            <w:r>
              <w:rPr>
                <w:rFonts w:cs="Arial"/>
                <w:b/>
                <w:bCs/>
                <w:sz w:val="20"/>
                <w:szCs w:val="20"/>
              </w:rPr>
              <w:t>,</w:t>
            </w:r>
            <w:r w:rsidR="00F853A1">
              <w:rPr>
                <w:rFonts w:cs="Arial"/>
                <w:b/>
                <w:bCs/>
                <w:sz w:val="20"/>
                <w:szCs w:val="20"/>
              </w:rPr>
              <w:t>0</w:t>
            </w:r>
            <w:r>
              <w:rPr>
                <w:rFonts w:cs="Arial"/>
                <w:b/>
                <w:bCs/>
                <w:sz w:val="20"/>
                <w:szCs w:val="20"/>
              </w:rPr>
              <w:t>00</w:t>
            </w:r>
          </w:p>
        </w:tc>
        <w:tc>
          <w:tcPr>
            <w:tcW w:w="1399" w:type="dxa"/>
            <w:tcBorders>
              <w:top w:val="nil"/>
              <w:left w:val="single" w:sz="4" w:space="0" w:color="000000"/>
              <w:bottom w:val="double" w:sz="6" w:space="0" w:color="auto"/>
              <w:right w:val="nil"/>
            </w:tcBorders>
            <w:tcMar>
              <w:top w:w="0" w:type="dxa"/>
              <w:left w:w="15" w:type="dxa"/>
              <w:bottom w:w="0" w:type="dxa"/>
              <w:right w:w="72" w:type="dxa"/>
            </w:tcMar>
            <w:vAlign w:val="center"/>
          </w:tcPr>
          <w:p w:rsidR="0066668B" w:rsidRDefault="0066668B" w:rsidP="001973A8">
            <w:pPr>
              <w:jc w:val="right"/>
              <w:rPr>
                <w:rFonts w:cs="Arial"/>
                <w:b/>
                <w:bCs/>
                <w:sz w:val="20"/>
                <w:szCs w:val="20"/>
              </w:rPr>
            </w:pPr>
            <w:r>
              <w:rPr>
                <w:rFonts w:cs="Arial"/>
                <w:b/>
                <w:bCs/>
                <w:sz w:val="20"/>
                <w:szCs w:val="20"/>
              </w:rPr>
              <w:t>2,4</w:t>
            </w:r>
            <w:r w:rsidR="001973A8">
              <w:rPr>
                <w:rFonts w:cs="Arial"/>
                <w:b/>
                <w:bCs/>
                <w:sz w:val="20"/>
                <w:szCs w:val="20"/>
              </w:rPr>
              <w:t>93</w:t>
            </w:r>
            <w:r>
              <w:rPr>
                <w:rFonts w:cs="Arial"/>
                <w:b/>
                <w:bCs/>
                <w:sz w:val="20"/>
                <w:szCs w:val="20"/>
              </w:rPr>
              <w:t>,000</w:t>
            </w:r>
          </w:p>
        </w:tc>
        <w:tc>
          <w:tcPr>
            <w:tcW w:w="1353"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321A01" w:rsidRDefault="0066668B" w:rsidP="0066668B">
            <w:pPr>
              <w:jc w:val="right"/>
              <w:rPr>
                <w:rFonts w:cs="Arial"/>
                <w:b/>
                <w:sz w:val="20"/>
                <w:szCs w:val="20"/>
              </w:rPr>
            </w:pPr>
            <w:r w:rsidRPr="00321A01">
              <w:rPr>
                <w:rFonts w:cs="Arial"/>
                <w:b/>
                <w:sz w:val="20"/>
                <w:szCs w:val="20"/>
              </w:rPr>
              <w:t>0</w:t>
            </w:r>
          </w:p>
        </w:tc>
        <w:tc>
          <w:tcPr>
            <w:tcW w:w="1373"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66668B" w:rsidP="001973A8">
            <w:pPr>
              <w:jc w:val="right"/>
              <w:rPr>
                <w:rFonts w:cs="Arial"/>
                <w:b/>
                <w:bCs/>
                <w:sz w:val="20"/>
                <w:szCs w:val="20"/>
              </w:rPr>
            </w:pPr>
            <w:r>
              <w:rPr>
                <w:rFonts w:cs="Arial"/>
                <w:b/>
                <w:bCs/>
                <w:sz w:val="20"/>
                <w:szCs w:val="20"/>
              </w:rPr>
              <w:t>14</w:t>
            </w:r>
            <w:r w:rsidR="001973A8">
              <w:rPr>
                <w:rFonts w:cs="Arial"/>
                <w:b/>
                <w:bCs/>
                <w:sz w:val="20"/>
                <w:szCs w:val="20"/>
              </w:rPr>
              <w:t>9</w:t>
            </w:r>
            <w:r>
              <w:rPr>
                <w:rFonts w:cs="Arial"/>
                <w:b/>
                <w:bCs/>
                <w:sz w:val="20"/>
                <w:szCs w:val="20"/>
              </w:rPr>
              <w:t>,</w:t>
            </w:r>
            <w:r w:rsidR="00FB1402">
              <w:rPr>
                <w:rFonts w:cs="Arial"/>
                <w:b/>
                <w:bCs/>
                <w:sz w:val="20"/>
                <w:szCs w:val="20"/>
              </w:rPr>
              <w:t>0</w:t>
            </w:r>
            <w:r>
              <w:rPr>
                <w:rFonts w:cs="Arial"/>
                <w:b/>
                <w:bCs/>
                <w:sz w:val="20"/>
                <w:szCs w:val="20"/>
              </w:rPr>
              <w:t>00</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66668B" w:rsidP="001973A8">
            <w:pPr>
              <w:jc w:val="right"/>
              <w:rPr>
                <w:rFonts w:cs="Arial"/>
                <w:b/>
                <w:bCs/>
                <w:sz w:val="20"/>
                <w:szCs w:val="20"/>
              </w:rPr>
            </w:pPr>
            <w:r>
              <w:rPr>
                <w:rFonts w:cs="Arial"/>
                <w:b/>
                <w:bCs/>
                <w:sz w:val="20"/>
                <w:szCs w:val="20"/>
              </w:rPr>
              <w:t>2,</w:t>
            </w:r>
            <w:r w:rsidR="001973A8">
              <w:rPr>
                <w:rFonts w:cs="Arial"/>
                <w:b/>
                <w:bCs/>
                <w:sz w:val="20"/>
                <w:szCs w:val="20"/>
              </w:rPr>
              <w:t>813</w:t>
            </w:r>
            <w:r>
              <w:rPr>
                <w:rFonts w:cs="Arial"/>
                <w:b/>
                <w:bCs/>
                <w:sz w:val="20"/>
                <w:szCs w:val="20"/>
              </w:rPr>
              <w:t>,000</w:t>
            </w:r>
          </w:p>
        </w:tc>
        <w:tc>
          <w:tcPr>
            <w:tcW w:w="1526"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674FAE" w:rsidRDefault="004265A1" w:rsidP="001973A8">
            <w:pPr>
              <w:jc w:val="right"/>
              <w:rPr>
                <w:rFonts w:cs="Arial"/>
                <w:b/>
                <w:bCs/>
                <w:sz w:val="20"/>
                <w:szCs w:val="20"/>
              </w:rPr>
            </w:pPr>
            <w:r>
              <w:rPr>
                <w:rFonts w:cs="Arial"/>
                <w:b/>
                <w:bCs/>
                <w:sz w:val="20"/>
                <w:szCs w:val="20"/>
              </w:rPr>
              <w:t>$</w:t>
            </w:r>
            <w:r w:rsidR="001973A8">
              <w:rPr>
                <w:rFonts w:cs="Arial"/>
                <w:b/>
                <w:bCs/>
                <w:sz w:val="20"/>
                <w:szCs w:val="20"/>
              </w:rPr>
              <w:t>7,288</w:t>
            </w:r>
          </w:p>
        </w:tc>
        <w:tc>
          <w:tcPr>
            <w:tcW w:w="1200"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66668B" w:rsidRPr="000A5105" w:rsidRDefault="0066668B" w:rsidP="001973A8">
            <w:pPr>
              <w:jc w:val="right"/>
              <w:rPr>
                <w:rFonts w:cs="Arial"/>
                <w:b/>
                <w:bCs/>
                <w:sz w:val="20"/>
                <w:szCs w:val="20"/>
              </w:rPr>
            </w:pPr>
            <w:r w:rsidRPr="000A5105">
              <w:rPr>
                <w:rFonts w:cs="Arial"/>
                <w:b/>
                <w:bCs/>
                <w:sz w:val="20"/>
                <w:szCs w:val="20"/>
              </w:rPr>
              <w:t>$</w:t>
            </w:r>
            <w:r w:rsidR="006766FC">
              <w:rPr>
                <w:rFonts w:cs="Arial"/>
                <w:b/>
                <w:sz w:val="20"/>
                <w:szCs w:val="20"/>
              </w:rPr>
              <w:t>8</w:t>
            </w:r>
            <w:r w:rsidR="001973A8">
              <w:rPr>
                <w:rFonts w:cs="Arial"/>
                <w:b/>
                <w:sz w:val="20"/>
                <w:szCs w:val="20"/>
              </w:rPr>
              <w:t>7</w:t>
            </w:r>
            <w:r w:rsidR="000A5105" w:rsidRPr="000A5105">
              <w:rPr>
                <w:rFonts w:cs="Arial"/>
                <w:b/>
                <w:sz w:val="20"/>
                <w:szCs w:val="20"/>
              </w:rPr>
              <w:t>,</w:t>
            </w:r>
            <w:r w:rsidR="001973A8">
              <w:rPr>
                <w:rFonts w:cs="Arial"/>
                <w:b/>
                <w:sz w:val="20"/>
                <w:szCs w:val="20"/>
              </w:rPr>
              <w:t>029</w:t>
            </w:r>
            <w:r w:rsidRPr="000A5105">
              <w:rPr>
                <w:rFonts w:cs="Arial"/>
                <w:b/>
                <w:bCs/>
                <w:sz w:val="20"/>
                <w:szCs w:val="20"/>
              </w:rPr>
              <w:t>,000</w:t>
            </w:r>
          </w:p>
        </w:tc>
        <w:tc>
          <w:tcPr>
            <w:tcW w:w="1311" w:type="dxa"/>
            <w:tcBorders>
              <w:top w:val="nil"/>
              <w:left w:val="nil"/>
              <w:bottom w:val="double" w:sz="6" w:space="0" w:color="auto"/>
              <w:right w:val="double" w:sz="6" w:space="0" w:color="000000"/>
            </w:tcBorders>
            <w:tcMar>
              <w:top w:w="15" w:type="dxa"/>
              <w:left w:w="15" w:type="dxa"/>
              <w:bottom w:w="0" w:type="dxa"/>
              <w:right w:w="72" w:type="dxa"/>
            </w:tcMar>
            <w:vAlign w:val="center"/>
          </w:tcPr>
          <w:p w:rsidR="0066668B" w:rsidRDefault="0066668B" w:rsidP="005813D4">
            <w:pPr>
              <w:jc w:val="right"/>
              <w:rPr>
                <w:rFonts w:cs="Arial"/>
                <w:b/>
                <w:bCs/>
                <w:sz w:val="20"/>
                <w:szCs w:val="20"/>
              </w:rPr>
            </w:pPr>
            <w:r>
              <w:rPr>
                <w:rFonts w:cs="Arial"/>
                <w:b/>
                <w:bCs/>
                <w:sz w:val="20"/>
                <w:szCs w:val="20"/>
              </w:rPr>
              <w:t>$</w:t>
            </w:r>
            <w:r w:rsidR="001973A8">
              <w:rPr>
                <w:rFonts w:cs="Arial"/>
                <w:b/>
                <w:bCs/>
                <w:sz w:val="20"/>
                <w:szCs w:val="20"/>
              </w:rPr>
              <w:t>314</w:t>
            </w:r>
            <w:r>
              <w:rPr>
                <w:rFonts w:cs="Arial"/>
                <w:b/>
                <w:bCs/>
                <w:sz w:val="20"/>
                <w:szCs w:val="20"/>
              </w:rPr>
              <w:t>,</w:t>
            </w:r>
            <w:r w:rsidR="005813D4">
              <w:rPr>
                <w:rFonts w:cs="Arial"/>
                <w:b/>
                <w:bCs/>
                <w:sz w:val="20"/>
                <w:szCs w:val="20"/>
              </w:rPr>
              <w:t>000</w:t>
            </w:r>
            <w:r>
              <w:rPr>
                <w:rFonts w:cs="Arial"/>
                <w:b/>
                <w:bCs/>
                <w:sz w:val="20"/>
                <w:szCs w:val="20"/>
              </w:rPr>
              <w:t>,000</w:t>
            </w:r>
          </w:p>
        </w:tc>
      </w:tr>
      <w:tr w:rsidR="00D85665" w:rsidRPr="00674FAE" w:rsidTr="004B689C">
        <w:trPr>
          <w:trHeight w:val="270"/>
        </w:trPr>
        <w:tc>
          <w:tcPr>
            <w:tcW w:w="13000"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rsidRDefault="00D85665" w:rsidP="004B689C">
            <w:pPr>
              <w:rPr>
                <w:rFonts w:eastAsia="Arial Unicode MS" w:cs="Arial"/>
                <w:b/>
                <w:bCs/>
                <w:sz w:val="20"/>
                <w:szCs w:val="20"/>
              </w:rPr>
            </w:pPr>
            <w:r w:rsidRPr="00674FAE">
              <w:rPr>
                <w:rFonts w:cs="Arial"/>
                <w:b/>
                <w:bCs/>
                <w:sz w:val="20"/>
                <w:szCs w:val="20"/>
              </w:rPr>
              <w:t>New Facilities</w:t>
            </w:r>
          </w:p>
        </w:tc>
      </w:tr>
      <w:tr w:rsidR="00BA14A3" w:rsidRPr="00674FAE" w:rsidTr="00BA14A3">
        <w:trPr>
          <w:trHeight w:val="255"/>
        </w:trPr>
        <w:tc>
          <w:tcPr>
            <w:tcW w:w="2417" w:type="dxa"/>
            <w:tcBorders>
              <w:top w:val="nil"/>
              <w:left w:val="double" w:sz="6" w:space="0" w:color="000000"/>
              <w:bottom w:val="nil"/>
              <w:right w:val="nil"/>
            </w:tcBorders>
            <w:vAlign w:val="center"/>
          </w:tcPr>
          <w:p w:rsidR="00BA14A3" w:rsidRPr="00674FAE" w:rsidRDefault="00BA14A3">
            <w:pPr>
              <w:rPr>
                <w:rFonts w:eastAsia="Arial Unicode MS" w:cs="Arial"/>
                <w:sz w:val="20"/>
                <w:szCs w:val="20"/>
              </w:rPr>
            </w:pPr>
            <w:r w:rsidRPr="00674FAE">
              <w:rPr>
                <w:rFonts w:cs="Arial"/>
                <w:sz w:val="20"/>
                <w:szCs w:val="20"/>
              </w:rPr>
              <w:t>Prepare an SPCC Plan</w:t>
            </w:r>
          </w:p>
        </w:tc>
        <w:tc>
          <w:tcPr>
            <w:tcW w:w="1444" w:type="dxa"/>
            <w:tcBorders>
              <w:top w:val="nil"/>
              <w:left w:val="single" w:sz="4" w:space="0" w:color="000000"/>
              <w:bottom w:val="nil"/>
              <w:right w:val="nil"/>
            </w:tcBorders>
            <w:tcMar>
              <w:top w:w="0" w:type="dxa"/>
              <w:left w:w="15" w:type="dxa"/>
              <w:bottom w:w="0" w:type="dxa"/>
              <w:right w:w="72" w:type="dxa"/>
            </w:tcMar>
            <w:vAlign w:val="center"/>
          </w:tcPr>
          <w:p w:rsidR="00BA14A3" w:rsidRPr="00674FAE" w:rsidRDefault="00A370AD" w:rsidP="00A370AD">
            <w:pPr>
              <w:jc w:val="right"/>
              <w:rPr>
                <w:rFonts w:cs="Arial"/>
                <w:sz w:val="20"/>
                <w:szCs w:val="20"/>
              </w:rPr>
            </w:pPr>
            <w:r>
              <w:rPr>
                <w:rFonts w:cs="Arial"/>
                <w:sz w:val="20"/>
                <w:szCs w:val="20"/>
              </w:rPr>
              <w:t>37</w:t>
            </w:r>
            <w:r w:rsidR="00BA14A3" w:rsidRPr="00674FAE">
              <w:rPr>
                <w:rFonts w:cs="Arial"/>
                <w:sz w:val="20"/>
                <w:szCs w:val="20"/>
              </w:rPr>
              <w:t>,</w:t>
            </w:r>
            <w:r>
              <w:rPr>
                <w:rFonts w:cs="Arial"/>
                <w:sz w:val="20"/>
                <w:szCs w:val="20"/>
              </w:rPr>
              <w:t>7</w:t>
            </w:r>
            <w:r w:rsidR="00BA14A3" w:rsidRPr="00674FAE">
              <w:rPr>
                <w:rFonts w:cs="Arial"/>
                <w:sz w:val="20"/>
                <w:szCs w:val="20"/>
              </w:rPr>
              <w:t>00</w:t>
            </w:r>
          </w:p>
        </w:tc>
        <w:tc>
          <w:tcPr>
            <w:tcW w:w="1399" w:type="dxa"/>
            <w:tcBorders>
              <w:top w:val="nil"/>
              <w:left w:val="single" w:sz="4" w:space="0" w:color="000000"/>
              <w:bottom w:val="nil"/>
              <w:right w:val="nil"/>
            </w:tcBorders>
            <w:tcMar>
              <w:right w:w="72" w:type="dxa"/>
            </w:tcMar>
            <w:vAlign w:val="center"/>
          </w:tcPr>
          <w:p w:rsidR="00BA14A3" w:rsidRPr="00674FAE" w:rsidRDefault="00A370AD" w:rsidP="00BA14A3">
            <w:pPr>
              <w:jc w:val="right"/>
              <w:rPr>
                <w:rFonts w:cs="Arial"/>
                <w:sz w:val="20"/>
                <w:szCs w:val="20"/>
              </w:rPr>
            </w:pPr>
            <w:r>
              <w:rPr>
                <w:rFonts w:cs="Arial"/>
                <w:sz w:val="20"/>
                <w:szCs w:val="20"/>
              </w:rPr>
              <w:t>517</w:t>
            </w:r>
            <w:r w:rsidR="00BA14A3" w:rsidRPr="00674FAE">
              <w:rPr>
                <w:rFonts w:cs="Arial"/>
                <w:sz w:val="20"/>
                <w:szCs w:val="20"/>
              </w:rPr>
              <w:t>,000</w:t>
            </w:r>
          </w:p>
        </w:tc>
        <w:tc>
          <w:tcPr>
            <w:tcW w:w="1353" w:type="dxa"/>
            <w:tcBorders>
              <w:top w:val="nil"/>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201</w:t>
            </w:r>
            <w:r w:rsidR="00BA14A3" w:rsidRPr="00674FAE">
              <w:rPr>
                <w:rFonts w:cs="Arial"/>
                <w:sz w:val="20"/>
                <w:szCs w:val="20"/>
              </w:rPr>
              <w:t>,000</w:t>
            </w:r>
          </w:p>
        </w:tc>
        <w:tc>
          <w:tcPr>
            <w:tcW w:w="1373" w:type="dxa"/>
            <w:tcBorders>
              <w:top w:val="nil"/>
              <w:left w:val="single" w:sz="4" w:space="0" w:color="000000"/>
              <w:bottom w:val="nil"/>
              <w:right w:val="nil"/>
            </w:tcBorders>
            <w:tcMar>
              <w:top w:w="0"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67,8</w:t>
            </w:r>
            <w:r w:rsidR="00BA14A3" w:rsidRPr="00674FAE">
              <w:rPr>
                <w:rFonts w:cs="Arial"/>
                <w:sz w:val="20"/>
                <w:szCs w:val="20"/>
              </w:rPr>
              <w:t>00</w:t>
            </w:r>
          </w:p>
        </w:tc>
        <w:tc>
          <w:tcPr>
            <w:tcW w:w="977" w:type="dxa"/>
            <w:tcBorders>
              <w:top w:val="nil"/>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823</w:t>
            </w:r>
            <w:r w:rsidR="00BA14A3" w:rsidRPr="00674FAE">
              <w:rPr>
                <w:rFonts w:cs="Arial"/>
                <w:sz w:val="20"/>
                <w:szCs w:val="20"/>
              </w:rPr>
              <w:t>,000</w:t>
            </w:r>
          </w:p>
        </w:tc>
        <w:tc>
          <w:tcPr>
            <w:tcW w:w="1526" w:type="dxa"/>
            <w:tcBorders>
              <w:top w:val="nil"/>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200" w:type="dxa"/>
            <w:tcBorders>
              <w:top w:val="nil"/>
              <w:left w:val="single" w:sz="4" w:space="0" w:color="000000"/>
              <w:bottom w:val="nil"/>
              <w:right w:val="nil"/>
            </w:tcBorders>
            <w:tcMar>
              <w:top w:w="0"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26</w:t>
            </w:r>
            <w:r w:rsidR="00A15DF0" w:rsidRPr="00674FAE">
              <w:rPr>
                <w:rFonts w:cs="Arial"/>
                <w:sz w:val="20"/>
                <w:szCs w:val="20"/>
              </w:rPr>
              <w:t>,</w:t>
            </w:r>
            <w:r w:rsidR="001F2175">
              <w:rPr>
                <w:rFonts w:cs="Arial"/>
                <w:sz w:val="20"/>
                <w:szCs w:val="20"/>
              </w:rPr>
              <w:t>1</w:t>
            </w:r>
            <w:r w:rsidRPr="00674FAE">
              <w:rPr>
                <w:rFonts w:cs="Arial"/>
                <w:sz w:val="20"/>
                <w:szCs w:val="20"/>
              </w:rPr>
              <w:t>00,000</w:t>
            </w:r>
          </w:p>
        </w:tc>
        <w:tc>
          <w:tcPr>
            <w:tcW w:w="1311" w:type="dxa"/>
            <w:tcBorders>
              <w:top w:val="nil"/>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93</w:t>
            </w:r>
            <w:r w:rsidRPr="00674FAE">
              <w:rPr>
                <w:rFonts w:cs="Arial"/>
                <w:sz w:val="20"/>
                <w:szCs w:val="20"/>
              </w:rPr>
              <w:t>,</w:t>
            </w:r>
            <w:r w:rsidR="00601DA2">
              <w:rPr>
                <w:rFonts w:cs="Arial"/>
                <w:sz w:val="20"/>
                <w:szCs w:val="20"/>
              </w:rPr>
              <w:t>6</w:t>
            </w:r>
            <w:r w:rsidRPr="00674FAE">
              <w:rPr>
                <w:rFonts w:cs="Arial"/>
                <w:sz w:val="20"/>
                <w:szCs w:val="20"/>
              </w:rPr>
              <w:t>00,000</w:t>
            </w:r>
          </w:p>
        </w:tc>
      </w:tr>
      <w:tr w:rsidR="00BA14A3" w:rsidRPr="00674FAE" w:rsidTr="00BA14A3">
        <w:trPr>
          <w:trHeight w:val="255"/>
        </w:trPr>
        <w:tc>
          <w:tcPr>
            <w:tcW w:w="2417"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Prepare a Contingency Plan</w:t>
            </w:r>
          </w:p>
        </w:tc>
        <w:tc>
          <w:tcPr>
            <w:tcW w:w="14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8,67</w:t>
            </w:r>
            <w:r w:rsidR="00BA14A3" w:rsidRPr="00674FAE">
              <w:rPr>
                <w:rFonts w:cs="Arial"/>
                <w:sz w:val="20"/>
                <w:szCs w:val="20"/>
              </w:rPr>
              <w:t>0</w:t>
            </w:r>
          </w:p>
        </w:tc>
        <w:tc>
          <w:tcPr>
            <w:tcW w:w="139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A370AD">
            <w:pPr>
              <w:jc w:val="right"/>
              <w:rPr>
                <w:rFonts w:cs="Arial"/>
                <w:sz w:val="20"/>
                <w:szCs w:val="20"/>
              </w:rPr>
            </w:pPr>
            <w:r>
              <w:rPr>
                <w:rFonts w:cs="Arial"/>
                <w:sz w:val="20"/>
                <w:szCs w:val="20"/>
              </w:rPr>
              <w:t>4</w:t>
            </w:r>
            <w:r w:rsidR="00BA14A3" w:rsidRPr="00674FAE">
              <w:rPr>
                <w:rFonts w:cs="Arial"/>
                <w:sz w:val="20"/>
                <w:szCs w:val="20"/>
              </w:rPr>
              <w:t>6,</w:t>
            </w:r>
            <w:r>
              <w:rPr>
                <w:rFonts w:cs="Arial"/>
                <w:sz w:val="20"/>
                <w:szCs w:val="20"/>
              </w:rPr>
              <w:t>0</w:t>
            </w:r>
            <w:r w:rsidR="00BA14A3" w:rsidRPr="00674FAE">
              <w:rPr>
                <w:rFonts w:cs="Arial"/>
                <w:sz w:val="20"/>
                <w:szCs w:val="20"/>
              </w:rPr>
              <w:t>00</w:t>
            </w:r>
          </w:p>
        </w:tc>
        <w:tc>
          <w:tcPr>
            <w:tcW w:w="135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7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12,70</w:t>
            </w:r>
            <w:r w:rsidR="00BA14A3" w:rsidRPr="00674FAE">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67,4</w:t>
            </w:r>
            <w:r w:rsidR="00817445" w:rsidRPr="00674FAE">
              <w:rPr>
                <w:rFonts w:cs="Arial"/>
                <w:sz w:val="20"/>
                <w:szCs w:val="20"/>
              </w:rPr>
              <w:t>0</w:t>
            </w:r>
            <w:r w:rsidR="00BA14A3" w:rsidRPr="00674FAE">
              <w:rPr>
                <w:rFonts w:cs="Arial"/>
                <w:sz w:val="20"/>
                <w:szCs w:val="20"/>
              </w:rPr>
              <w:t>0</w:t>
            </w:r>
          </w:p>
        </w:tc>
        <w:tc>
          <w:tcPr>
            <w:tcW w:w="152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20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3,00</w:t>
            </w:r>
            <w:r w:rsidRPr="00674FAE">
              <w:rPr>
                <w:rFonts w:cs="Arial"/>
                <w:sz w:val="20"/>
                <w:szCs w:val="20"/>
              </w:rPr>
              <w:t>0,000</w:t>
            </w:r>
          </w:p>
        </w:tc>
      </w:tr>
      <w:tr w:rsidR="00BA14A3" w:rsidRPr="00674FAE" w:rsidTr="00BA14A3">
        <w:trPr>
          <w:trHeight w:val="795"/>
        </w:trPr>
        <w:tc>
          <w:tcPr>
            <w:tcW w:w="2417"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Submit Information in the Event of Certain Discharges of Oil</w:t>
            </w:r>
          </w:p>
        </w:tc>
        <w:tc>
          <w:tcPr>
            <w:tcW w:w="14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20</w:t>
            </w:r>
          </w:p>
        </w:tc>
        <w:tc>
          <w:tcPr>
            <w:tcW w:w="139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8B4DE6" w:rsidP="00BA14A3">
            <w:pPr>
              <w:jc w:val="right"/>
              <w:rPr>
                <w:rFonts w:cs="Arial"/>
                <w:sz w:val="20"/>
                <w:szCs w:val="20"/>
              </w:rPr>
            </w:pPr>
            <w:r w:rsidRPr="00674FAE">
              <w:rPr>
                <w:rFonts w:cs="Arial"/>
                <w:sz w:val="20"/>
                <w:szCs w:val="20"/>
              </w:rPr>
              <w:t>2</w:t>
            </w:r>
            <w:r w:rsidR="00A370AD">
              <w:rPr>
                <w:rFonts w:cs="Arial"/>
                <w:sz w:val="20"/>
                <w:szCs w:val="20"/>
              </w:rPr>
              <w:t>0</w:t>
            </w:r>
          </w:p>
        </w:tc>
        <w:tc>
          <w:tcPr>
            <w:tcW w:w="135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7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40</w:t>
            </w:r>
          </w:p>
        </w:tc>
        <w:tc>
          <w:tcPr>
            <w:tcW w:w="152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440</w:t>
            </w:r>
          </w:p>
        </w:tc>
        <w:tc>
          <w:tcPr>
            <w:tcW w:w="120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2,940</w:t>
            </w:r>
          </w:p>
        </w:tc>
      </w:tr>
      <w:tr w:rsidR="00BA14A3" w:rsidRPr="00674FAE" w:rsidTr="00BA14A3">
        <w:trPr>
          <w:trHeight w:val="255"/>
        </w:trPr>
        <w:tc>
          <w:tcPr>
            <w:tcW w:w="2417" w:type="dxa"/>
            <w:tcBorders>
              <w:top w:val="nil"/>
              <w:left w:val="double" w:sz="6" w:space="0" w:color="000000"/>
              <w:bottom w:val="single" w:sz="4" w:space="0" w:color="000000"/>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Revise the SPCC Plan</w:t>
            </w:r>
          </w:p>
        </w:tc>
        <w:tc>
          <w:tcPr>
            <w:tcW w:w="1444"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61</w:t>
            </w:r>
          </w:p>
        </w:tc>
        <w:tc>
          <w:tcPr>
            <w:tcW w:w="139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366</w:t>
            </w:r>
          </w:p>
        </w:tc>
        <w:tc>
          <w:tcPr>
            <w:tcW w:w="135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7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4</w:t>
            </w:r>
            <w:r w:rsidR="00BA14A3" w:rsidRPr="00674FAE">
              <w:rPr>
                <w:rFonts w:cs="Arial"/>
                <w:sz w:val="20"/>
                <w:szCs w:val="20"/>
              </w:rPr>
              <w:t>9</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A370AD" w:rsidP="00BA14A3">
            <w:pPr>
              <w:jc w:val="right"/>
              <w:rPr>
                <w:rFonts w:cs="Arial"/>
                <w:sz w:val="20"/>
                <w:szCs w:val="20"/>
              </w:rPr>
            </w:pPr>
            <w:r>
              <w:rPr>
                <w:rFonts w:cs="Arial"/>
                <w:sz w:val="20"/>
                <w:szCs w:val="20"/>
              </w:rPr>
              <w:t>476</w:t>
            </w:r>
          </w:p>
        </w:tc>
        <w:tc>
          <w:tcPr>
            <w:tcW w:w="152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20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50,00</w:t>
            </w: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93,0</w:t>
            </w:r>
            <w:r w:rsidRPr="00674FAE">
              <w:rPr>
                <w:rFonts w:cs="Arial"/>
                <w:sz w:val="20"/>
                <w:szCs w:val="20"/>
              </w:rPr>
              <w:t>00</w:t>
            </w:r>
          </w:p>
        </w:tc>
      </w:tr>
      <w:tr w:rsidR="00BA14A3" w:rsidRPr="00674FAE" w:rsidTr="00BA14A3">
        <w:trPr>
          <w:trHeight w:val="525"/>
        </w:trPr>
        <w:tc>
          <w:tcPr>
            <w:tcW w:w="2417" w:type="dxa"/>
            <w:tcBorders>
              <w:top w:val="nil"/>
              <w:left w:val="double" w:sz="6" w:space="0" w:color="000000"/>
              <w:bottom w:val="double" w:sz="6" w:space="0" w:color="000000"/>
              <w:right w:val="nil"/>
            </w:tcBorders>
            <w:tcMar>
              <w:top w:w="15" w:type="dxa"/>
              <w:left w:w="15" w:type="dxa"/>
              <w:bottom w:w="0" w:type="dxa"/>
              <w:right w:w="15" w:type="dxa"/>
            </w:tcMar>
            <w:vAlign w:val="center"/>
          </w:tcPr>
          <w:p w:rsidR="00BA14A3" w:rsidRPr="00674FAE" w:rsidRDefault="00BA14A3">
            <w:pPr>
              <w:rPr>
                <w:rFonts w:eastAsia="Arial Unicode MS" w:cs="Arial"/>
                <w:sz w:val="20"/>
                <w:szCs w:val="20"/>
              </w:rPr>
            </w:pPr>
            <w:r w:rsidRPr="00674FAE">
              <w:rPr>
                <w:rFonts w:cs="Arial"/>
                <w:sz w:val="20"/>
                <w:szCs w:val="20"/>
              </w:rPr>
              <w:t>Maintain the SPCC Plan and Keep Records</w:t>
            </w:r>
          </w:p>
        </w:tc>
        <w:tc>
          <w:tcPr>
            <w:tcW w:w="144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9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A370AD">
            <w:pPr>
              <w:jc w:val="right"/>
              <w:rPr>
                <w:rFonts w:cs="Arial"/>
                <w:sz w:val="20"/>
                <w:szCs w:val="20"/>
              </w:rPr>
            </w:pPr>
            <w:r w:rsidRPr="00674FAE">
              <w:rPr>
                <w:rFonts w:cs="Arial"/>
                <w:sz w:val="20"/>
                <w:szCs w:val="20"/>
              </w:rPr>
              <w:t>1</w:t>
            </w:r>
            <w:r w:rsidR="00A370AD">
              <w:rPr>
                <w:rFonts w:cs="Arial"/>
                <w:sz w:val="20"/>
                <w:szCs w:val="20"/>
              </w:rPr>
              <w:t>8</w:t>
            </w:r>
            <w:r w:rsidRPr="00674FAE">
              <w:rPr>
                <w:rFonts w:cs="Arial"/>
                <w:sz w:val="20"/>
                <w:szCs w:val="20"/>
              </w:rPr>
              <w:t>,</w:t>
            </w:r>
            <w:r w:rsidR="008B4DE6" w:rsidRPr="00674FAE">
              <w:rPr>
                <w:rFonts w:cs="Arial"/>
                <w:sz w:val="20"/>
                <w:szCs w:val="20"/>
              </w:rPr>
              <w:t>6</w:t>
            </w:r>
            <w:r w:rsidRPr="00674FAE">
              <w:rPr>
                <w:rFonts w:cs="Arial"/>
                <w:sz w:val="20"/>
                <w:szCs w:val="20"/>
              </w:rPr>
              <w:t>00</w:t>
            </w:r>
          </w:p>
        </w:tc>
        <w:tc>
          <w:tcPr>
            <w:tcW w:w="1353"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73"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9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A370AD">
            <w:pPr>
              <w:jc w:val="right"/>
              <w:rPr>
                <w:rFonts w:cs="Arial"/>
                <w:sz w:val="20"/>
                <w:szCs w:val="20"/>
              </w:rPr>
            </w:pPr>
            <w:r w:rsidRPr="00674FAE">
              <w:rPr>
                <w:rFonts w:cs="Arial"/>
                <w:sz w:val="20"/>
                <w:szCs w:val="20"/>
              </w:rPr>
              <w:t>1</w:t>
            </w:r>
            <w:r w:rsidR="00A370AD">
              <w:rPr>
                <w:rFonts w:cs="Arial"/>
                <w:sz w:val="20"/>
                <w:szCs w:val="20"/>
              </w:rPr>
              <w:t>8</w:t>
            </w:r>
            <w:r w:rsidRPr="00674FAE">
              <w:rPr>
                <w:rFonts w:cs="Arial"/>
                <w:sz w:val="20"/>
                <w:szCs w:val="20"/>
              </w:rPr>
              <w:t>,</w:t>
            </w:r>
            <w:r w:rsidR="008B4DE6" w:rsidRPr="00674FAE">
              <w:rPr>
                <w:rFonts w:cs="Arial"/>
                <w:sz w:val="20"/>
                <w:szCs w:val="20"/>
              </w:rPr>
              <w:t>6</w:t>
            </w:r>
            <w:r w:rsidRPr="00674FAE">
              <w:rPr>
                <w:rFonts w:cs="Arial"/>
                <w:sz w:val="20"/>
                <w:szCs w:val="20"/>
              </w:rPr>
              <w:t>00</w:t>
            </w:r>
          </w:p>
        </w:tc>
        <w:tc>
          <w:tcPr>
            <w:tcW w:w="152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601DA2">
            <w:pPr>
              <w:jc w:val="right"/>
              <w:rPr>
                <w:rFonts w:cs="Arial"/>
                <w:sz w:val="20"/>
                <w:szCs w:val="20"/>
              </w:rPr>
            </w:pPr>
            <w:r w:rsidRPr="00674FAE">
              <w:rPr>
                <w:rFonts w:cs="Arial"/>
                <w:sz w:val="20"/>
                <w:szCs w:val="20"/>
              </w:rPr>
              <w:t>$</w:t>
            </w:r>
            <w:r w:rsidR="00601DA2">
              <w:rPr>
                <w:rFonts w:cs="Arial"/>
                <w:sz w:val="20"/>
                <w:szCs w:val="20"/>
              </w:rPr>
              <w:t>1.519</w:t>
            </w:r>
            <w:r w:rsidRPr="00674FAE">
              <w:rPr>
                <w:rFonts w:cs="Arial"/>
                <w:sz w:val="20"/>
                <w:szCs w:val="20"/>
              </w:rPr>
              <w:t>,000</w:t>
            </w:r>
          </w:p>
        </w:tc>
        <w:tc>
          <w:tcPr>
            <w:tcW w:w="120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BA14A3">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674FAE" w:rsidRDefault="00980BA7" w:rsidP="00601DA2">
            <w:pPr>
              <w:jc w:val="right"/>
              <w:rPr>
                <w:rFonts w:cs="Arial"/>
                <w:sz w:val="20"/>
                <w:szCs w:val="20"/>
              </w:rPr>
            </w:pPr>
            <w:r>
              <w:rPr>
                <w:rFonts w:cs="Arial"/>
                <w:sz w:val="20"/>
                <w:szCs w:val="20"/>
              </w:rPr>
              <w:t>$</w:t>
            </w:r>
            <w:r w:rsidR="00601DA2">
              <w:rPr>
                <w:rFonts w:cs="Arial"/>
                <w:sz w:val="20"/>
                <w:szCs w:val="20"/>
              </w:rPr>
              <w:t>5,187</w:t>
            </w:r>
            <w:r w:rsidR="00BA14A3" w:rsidRPr="00674FAE">
              <w:rPr>
                <w:rFonts w:cs="Arial"/>
                <w:sz w:val="20"/>
                <w:szCs w:val="20"/>
              </w:rPr>
              <w:t>,000</w:t>
            </w:r>
          </w:p>
        </w:tc>
      </w:tr>
      <w:tr w:rsidR="00BA14A3" w:rsidRPr="00854FC2" w:rsidTr="00BA14A3">
        <w:trPr>
          <w:trHeight w:val="285"/>
        </w:trPr>
        <w:tc>
          <w:tcPr>
            <w:tcW w:w="2417" w:type="dxa"/>
            <w:tcBorders>
              <w:top w:val="nil"/>
              <w:left w:val="double" w:sz="6" w:space="0" w:color="000000"/>
              <w:bottom w:val="double" w:sz="6" w:space="0" w:color="auto"/>
              <w:right w:val="nil"/>
            </w:tcBorders>
            <w:tcMar>
              <w:top w:w="15" w:type="dxa"/>
              <w:left w:w="15" w:type="dxa"/>
              <w:bottom w:w="0" w:type="dxa"/>
              <w:right w:w="15" w:type="dxa"/>
            </w:tcMar>
            <w:vAlign w:val="center"/>
          </w:tcPr>
          <w:p w:rsidR="00BA14A3" w:rsidRPr="00674FAE" w:rsidRDefault="00BA14A3">
            <w:pPr>
              <w:rPr>
                <w:rFonts w:eastAsia="Arial Unicode MS" w:cs="Arial"/>
                <w:b/>
                <w:bCs/>
                <w:sz w:val="20"/>
                <w:szCs w:val="20"/>
              </w:rPr>
            </w:pPr>
            <w:r w:rsidRPr="00674FAE">
              <w:rPr>
                <w:rFonts w:cs="Arial"/>
                <w:b/>
                <w:bCs/>
                <w:sz w:val="20"/>
                <w:szCs w:val="20"/>
              </w:rPr>
              <w:t>TOTAL</w:t>
            </w:r>
          </w:p>
        </w:tc>
        <w:tc>
          <w:tcPr>
            <w:tcW w:w="1444"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A370AD" w:rsidP="00A370AD">
            <w:pPr>
              <w:jc w:val="right"/>
              <w:rPr>
                <w:rFonts w:cs="Arial"/>
                <w:b/>
                <w:bCs/>
                <w:sz w:val="20"/>
                <w:szCs w:val="20"/>
              </w:rPr>
            </w:pPr>
            <w:r>
              <w:rPr>
                <w:rFonts w:cs="Arial"/>
                <w:b/>
                <w:bCs/>
                <w:sz w:val="20"/>
                <w:szCs w:val="20"/>
              </w:rPr>
              <w:t>4</w:t>
            </w:r>
            <w:r w:rsidR="00BA14A3" w:rsidRPr="00674FAE">
              <w:rPr>
                <w:rFonts w:cs="Arial"/>
                <w:b/>
                <w:bCs/>
                <w:sz w:val="20"/>
                <w:szCs w:val="20"/>
              </w:rPr>
              <w:t>6,</w:t>
            </w:r>
            <w:r>
              <w:rPr>
                <w:rFonts w:cs="Arial"/>
                <w:b/>
                <w:bCs/>
                <w:sz w:val="20"/>
                <w:szCs w:val="20"/>
              </w:rPr>
              <w:t>5</w:t>
            </w:r>
            <w:r w:rsidR="00BA14A3" w:rsidRPr="00674FAE">
              <w:rPr>
                <w:rFonts w:cs="Arial"/>
                <w:b/>
                <w:bCs/>
                <w:sz w:val="20"/>
                <w:szCs w:val="20"/>
              </w:rPr>
              <w:t>00</w:t>
            </w:r>
          </w:p>
        </w:tc>
        <w:tc>
          <w:tcPr>
            <w:tcW w:w="1399"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A370AD" w:rsidP="00BA14A3">
            <w:pPr>
              <w:jc w:val="right"/>
              <w:rPr>
                <w:rFonts w:cs="Arial"/>
                <w:b/>
                <w:bCs/>
                <w:sz w:val="20"/>
                <w:szCs w:val="20"/>
              </w:rPr>
            </w:pPr>
            <w:r>
              <w:rPr>
                <w:rFonts w:cs="Arial"/>
                <w:b/>
                <w:bCs/>
                <w:sz w:val="20"/>
                <w:szCs w:val="20"/>
              </w:rPr>
              <w:t>582</w:t>
            </w:r>
            <w:r w:rsidR="00BA14A3" w:rsidRPr="00674FAE">
              <w:rPr>
                <w:rFonts w:cs="Arial"/>
                <w:b/>
                <w:bCs/>
                <w:sz w:val="20"/>
                <w:szCs w:val="20"/>
              </w:rPr>
              <w:t>,000</w:t>
            </w:r>
          </w:p>
        </w:tc>
        <w:tc>
          <w:tcPr>
            <w:tcW w:w="1353"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A370AD" w:rsidP="00BA14A3">
            <w:pPr>
              <w:jc w:val="right"/>
              <w:rPr>
                <w:rFonts w:cs="Arial"/>
                <w:b/>
                <w:sz w:val="20"/>
                <w:szCs w:val="20"/>
              </w:rPr>
            </w:pPr>
            <w:r>
              <w:rPr>
                <w:rFonts w:cs="Arial"/>
                <w:b/>
                <w:sz w:val="20"/>
                <w:szCs w:val="20"/>
              </w:rPr>
              <w:t>201</w:t>
            </w:r>
            <w:r w:rsidR="00BA14A3" w:rsidRPr="00674FAE">
              <w:rPr>
                <w:rFonts w:cs="Arial"/>
                <w:b/>
                <w:sz w:val="20"/>
                <w:szCs w:val="20"/>
              </w:rPr>
              <w:t>,000</w:t>
            </w:r>
          </w:p>
        </w:tc>
        <w:tc>
          <w:tcPr>
            <w:tcW w:w="1373"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A370AD" w:rsidP="00BA14A3">
            <w:pPr>
              <w:jc w:val="right"/>
              <w:rPr>
                <w:rFonts w:cs="Arial"/>
                <w:b/>
                <w:bCs/>
                <w:sz w:val="20"/>
                <w:szCs w:val="20"/>
              </w:rPr>
            </w:pPr>
            <w:r>
              <w:rPr>
                <w:rFonts w:cs="Arial"/>
                <w:b/>
                <w:bCs/>
                <w:sz w:val="20"/>
                <w:szCs w:val="20"/>
              </w:rPr>
              <w:t>80,5</w:t>
            </w:r>
            <w:r w:rsidR="00BA14A3" w:rsidRPr="00674FAE">
              <w:rPr>
                <w:rFonts w:cs="Arial"/>
                <w:b/>
                <w:bCs/>
                <w:sz w:val="20"/>
                <w:szCs w:val="20"/>
              </w:rPr>
              <w:t>00</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A370AD" w:rsidP="00BA14A3">
            <w:pPr>
              <w:jc w:val="right"/>
              <w:rPr>
                <w:rFonts w:cs="Arial"/>
                <w:b/>
                <w:bCs/>
                <w:sz w:val="20"/>
                <w:szCs w:val="20"/>
              </w:rPr>
            </w:pPr>
            <w:r>
              <w:rPr>
                <w:rFonts w:cs="Arial"/>
                <w:b/>
                <w:bCs/>
                <w:sz w:val="20"/>
                <w:szCs w:val="20"/>
              </w:rPr>
              <w:t>910</w:t>
            </w:r>
            <w:r w:rsidR="00BA14A3" w:rsidRPr="00674FAE">
              <w:rPr>
                <w:rFonts w:cs="Arial"/>
                <w:b/>
                <w:bCs/>
                <w:sz w:val="20"/>
                <w:szCs w:val="20"/>
              </w:rPr>
              <w:t>,000</w:t>
            </w:r>
          </w:p>
        </w:tc>
        <w:tc>
          <w:tcPr>
            <w:tcW w:w="1526"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601DA2">
            <w:pPr>
              <w:jc w:val="right"/>
              <w:rPr>
                <w:rFonts w:cs="Arial"/>
                <w:b/>
                <w:bCs/>
                <w:sz w:val="20"/>
                <w:szCs w:val="20"/>
              </w:rPr>
            </w:pPr>
            <w:r w:rsidRPr="00674FAE">
              <w:rPr>
                <w:rFonts w:cs="Arial"/>
                <w:b/>
                <w:bCs/>
                <w:sz w:val="20"/>
                <w:szCs w:val="20"/>
              </w:rPr>
              <w:t>$</w:t>
            </w:r>
            <w:r w:rsidR="00601DA2">
              <w:rPr>
                <w:rFonts w:cs="Arial"/>
                <w:b/>
                <w:bCs/>
                <w:sz w:val="20"/>
                <w:szCs w:val="20"/>
              </w:rPr>
              <w:t>1,519</w:t>
            </w:r>
            <w:r w:rsidRPr="00674FAE">
              <w:rPr>
                <w:rFonts w:cs="Arial"/>
                <w:b/>
                <w:bCs/>
                <w:sz w:val="20"/>
                <w:szCs w:val="20"/>
              </w:rPr>
              <w:t>,000</w:t>
            </w:r>
          </w:p>
        </w:tc>
        <w:tc>
          <w:tcPr>
            <w:tcW w:w="120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674FAE" w:rsidRDefault="00BA14A3" w:rsidP="00601DA2">
            <w:pPr>
              <w:jc w:val="right"/>
              <w:rPr>
                <w:rFonts w:cs="Arial"/>
                <w:b/>
                <w:bCs/>
                <w:sz w:val="20"/>
                <w:szCs w:val="20"/>
              </w:rPr>
            </w:pPr>
            <w:r w:rsidRPr="00674FAE">
              <w:rPr>
                <w:rFonts w:cs="Arial"/>
                <w:b/>
                <w:bCs/>
                <w:sz w:val="20"/>
                <w:szCs w:val="20"/>
              </w:rPr>
              <w:t>$</w:t>
            </w:r>
            <w:r w:rsidR="00601DA2">
              <w:rPr>
                <w:rFonts w:cs="Arial"/>
                <w:b/>
                <w:bCs/>
                <w:sz w:val="20"/>
                <w:szCs w:val="20"/>
              </w:rPr>
              <w:t>26,10</w:t>
            </w:r>
            <w:r w:rsidRPr="00674FAE">
              <w:rPr>
                <w:rFonts w:cs="Arial"/>
                <w:b/>
                <w:bCs/>
                <w:sz w:val="20"/>
                <w:szCs w:val="20"/>
              </w:rPr>
              <w:t>0,000</w:t>
            </w:r>
          </w:p>
        </w:tc>
        <w:tc>
          <w:tcPr>
            <w:tcW w:w="1311"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674FAE" w:rsidRDefault="00BA14A3" w:rsidP="003E416A">
            <w:pPr>
              <w:jc w:val="right"/>
              <w:rPr>
                <w:rFonts w:cs="Arial"/>
                <w:b/>
                <w:bCs/>
                <w:sz w:val="20"/>
                <w:szCs w:val="20"/>
              </w:rPr>
            </w:pPr>
            <w:r w:rsidRPr="00674FAE">
              <w:rPr>
                <w:rFonts w:cs="Arial"/>
                <w:b/>
                <w:bCs/>
                <w:sz w:val="20"/>
                <w:szCs w:val="20"/>
              </w:rPr>
              <w:t>$</w:t>
            </w:r>
            <w:r w:rsidR="00601DA2">
              <w:rPr>
                <w:rFonts w:cs="Arial"/>
                <w:b/>
                <w:bCs/>
                <w:sz w:val="20"/>
                <w:szCs w:val="20"/>
              </w:rPr>
              <w:t>10</w:t>
            </w:r>
            <w:r w:rsidR="003E416A">
              <w:rPr>
                <w:rFonts w:cs="Arial"/>
                <w:b/>
                <w:bCs/>
                <w:sz w:val="20"/>
                <w:szCs w:val="20"/>
              </w:rPr>
              <w:t>2,0</w:t>
            </w:r>
            <w:r w:rsidRPr="00674FAE">
              <w:rPr>
                <w:rFonts w:cs="Arial"/>
                <w:b/>
                <w:bCs/>
                <w:sz w:val="20"/>
                <w:szCs w:val="20"/>
              </w:rPr>
              <w:t>00,000</w:t>
            </w:r>
          </w:p>
        </w:tc>
      </w:tr>
      <w:tr w:rsidR="00914384" w:rsidRPr="00854FC2">
        <w:trPr>
          <w:cantSplit/>
          <w:trHeight w:val="228"/>
        </w:trPr>
        <w:tc>
          <w:tcPr>
            <w:tcW w:w="13000"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914384" w:rsidRPr="00854FC2" w:rsidRDefault="00914384" w:rsidP="0027098C">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Pr>
                <w:rFonts w:cs="Arial"/>
                <w:sz w:val="18"/>
                <w:szCs w:val="18"/>
              </w:rPr>
              <w:t>estimated totals</w:t>
            </w:r>
            <w:r w:rsidRPr="00854FC2">
              <w:rPr>
                <w:rFonts w:cs="Arial"/>
                <w:sz w:val="18"/>
                <w:szCs w:val="18"/>
              </w:rPr>
              <w:t xml:space="preserve">, rounded to the nearest </w:t>
            </w:r>
            <w:r>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  The numbers in this exhibit may not add precisely due to rounding. </w:t>
            </w:r>
          </w:p>
        </w:tc>
      </w:tr>
      <w:tr w:rsidR="00914384" w:rsidRPr="00854FC2">
        <w:trPr>
          <w:cantSplit/>
          <w:trHeight w:val="255"/>
        </w:trPr>
        <w:tc>
          <w:tcPr>
            <w:tcW w:w="0" w:type="auto"/>
            <w:gridSpan w:val="9"/>
            <w:vMerge/>
            <w:tcBorders>
              <w:top w:val="double" w:sz="6" w:space="0" w:color="auto"/>
              <w:left w:val="nil"/>
              <w:bottom w:val="nil"/>
              <w:right w:val="nil"/>
            </w:tcBorders>
            <w:vAlign w:val="center"/>
          </w:tcPr>
          <w:p w:rsidR="00914384" w:rsidRPr="00854FC2" w:rsidRDefault="00914384">
            <w:pPr>
              <w:rPr>
                <w:rFonts w:eastAsia="Arial Unicode MS" w:cs="Arial"/>
                <w:sz w:val="18"/>
                <w:szCs w:val="18"/>
              </w:rPr>
            </w:pPr>
          </w:p>
        </w:tc>
      </w:tr>
      <w:tr w:rsidR="00914384" w:rsidRPr="00854FC2">
        <w:trPr>
          <w:trHeight w:val="270"/>
        </w:trPr>
        <w:tc>
          <w:tcPr>
            <w:tcW w:w="0" w:type="auto"/>
            <w:gridSpan w:val="9"/>
            <w:tcBorders>
              <w:top w:val="nil"/>
              <w:left w:val="nil"/>
              <w:bottom w:val="nil"/>
              <w:right w:val="nil"/>
            </w:tcBorders>
            <w:noWrap/>
            <w:tcMar>
              <w:top w:w="0" w:type="dxa"/>
              <w:left w:w="15" w:type="dxa"/>
              <w:bottom w:w="0" w:type="dxa"/>
              <w:right w:w="15" w:type="dxa"/>
            </w:tcMar>
            <w:vAlign w:val="bottom"/>
          </w:tcPr>
          <w:p w:rsidR="00914384" w:rsidRPr="00854FC2" w:rsidRDefault="00914384" w:rsidP="0027098C">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rsidR="00D85665" w:rsidRPr="00674FAE" w:rsidRDefault="00D85665">
      <w:pPr>
        <w:pStyle w:val="Caption"/>
        <w:keepNext/>
      </w:pPr>
      <w:r w:rsidRPr="007A7768">
        <w:lastRenderedPageBreak/>
        <w:t xml:space="preserve">Exhibit </w:t>
      </w:r>
      <w:r w:rsidR="002348E6">
        <w:fldChar w:fldCharType="begin"/>
      </w:r>
      <w:r w:rsidR="002348E6">
        <w:instrText xml:space="preserve"> SEQ Exhibit \* ARABIC </w:instrText>
      </w:r>
      <w:r w:rsidR="002348E6">
        <w:fldChar w:fldCharType="separate"/>
      </w:r>
      <w:r w:rsidR="00F61EFD">
        <w:rPr>
          <w:noProof/>
        </w:rPr>
        <w:t>16</w:t>
      </w:r>
      <w:r w:rsidR="002348E6">
        <w:fldChar w:fldCharType="end"/>
      </w:r>
    </w:p>
    <w:tbl>
      <w:tblPr>
        <w:tblW w:w="13001" w:type="dxa"/>
        <w:tblCellMar>
          <w:left w:w="0" w:type="dxa"/>
          <w:right w:w="0" w:type="dxa"/>
        </w:tblCellMar>
        <w:tblLook w:val="0000"/>
      </w:tblPr>
      <w:tblGrid>
        <w:gridCol w:w="2422"/>
        <w:gridCol w:w="1445"/>
        <w:gridCol w:w="1398"/>
        <w:gridCol w:w="1356"/>
        <w:gridCol w:w="1366"/>
        <w:gridCol w:w="977"/>
        <w:gridCol w:w="1526"/>
        <w:gridCol w:w="1200"/>
        <w:gridCol w:w="1311"/>
      </w:tblGrid>
      <w:tr w:rsidR="00D85665" w:rsidRPr="00674FAE" w:rsidTr="007157C0">
        <w:trPr>
          <w:trHeight w:val="300"/>
        </w:trPr>
        <w:tc>
          <w:tcPr>
            <w:tcW w:w="13001" w:type="dxa"/>
            <w:gridSpan w:val="9"/>
            <w:tcBorders>
              <w:top w:val="nil"/>
              <w:left w:val="nil"/>
              <w:bottom w:val="nil"/>
              <w:right w:val="nil"/>
            </w:tcBorders>
            <w:noWrap/>
            <w:tcMar>
              <w:top w:w="15" w:type="dxa"/>
              <w:left w:w="15" w:type="dxa"/>
              <w:bottom w:w="0" w:type="dxa"/>
              <w:right w:w="15" w:type="dxa"/>
            </w:tcMar>
            <w:vAlign w:val="bottom"/>
          </w:tcPr>
          <w:p w:rsidR="00D85665" w:rsidRPr="00674FAE" w:rsidRDefault="00C05D24">
            <w:pPr>
              <w:jc w:val="center"/>
              <w:rPr>
                <w:rFonts w:eastAsia="Arial Unicode MS" w:cs="Arial"/>
                <w:b/>
                <w:bCs/>
                <w:szCs w:val="22"/>
              </w:rPr>
            </w:pPr>
            <w:r w:rsidRPr="00854FC2">
              <w:rPr>
                <w:rFonts w:cs="Arial"/>
                <w:b/>
                <w:bCs/>
                <w:szCs w:val="22"/>
              </w:rPr>
              <w:t xml:space="preserve">Total </w:t>
            </w:r>
            <w:r w:rsidR="00D85665" w:rsidRPr="00674FAE">
              <w:rPr>
                <w:rFonts w:cs="Arial"/>
                <w:b/>
                <w:bCs/>
                <w:szCs w:val="22"/>
              </w:rPr>
              <w:t>Annual Burden and Costs</w:t>
            </w:r>
            <w:r w:rsidR="009B2E9E">
              <w:rPr>
                <w:rFonts w:cs="Arial"/>
                <w:b/>
                <w:bCs/>
                <w:szCs w:val="22"/>
              </w:rPr>
              <w:t xml:space="preserve"> for All Facilities</w:t>
            </w:r>
          </w:p>
        </w:tc>
      </w:tr>
      <w:tr w:rsidR="00D85665" w:rsidRPr="00674FAE" w:rsidTr="007157C0">
        <w:trPr>
          <w:trHeight w:val="315"/>
        </w:trPr>
        <w:tc>
          <w:tcPr>
            <w:tcW w:w="0" w:type="auto"/>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674FAE" w:rsidRDefault="00D85665">
            <w:pPr>
              <w:jc w:val="center"/>
              <w:rPr>
                <w:rFonts w:eastAsia="Arial Unicode MS" w:cs="Arial"/>
                <w:b/>
                <w:bCs/>
                <w:szCs w:val="22"/>
              </w:rPr>
            </w:pPr>
            <w:r w:rsidRPr="00674FAE">
              <w:rPr>
                <w:rFonts w:cs="Arial"/>
                <w:b/>
                <w:bCs/>
                <w:szCs w:val="22"/>
              </w:rPr>
              <w:t>Average Category III Facilities</w:t>
            </w:r>
          </w:p>
        </w:tc>
      </w:tr>
      <w:tr w:rsidR="00D85665" w:rsidRPr="00674FAE" w:rsidTr="007157C0">
        <w:trPr>
          <w:cantSplit/>
          <w:trHeight w:val="285"/>
        </w:trPr>
        <w:tc>
          <w:tcPr>
            <w:tcW w:w="2422"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565"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674FAE" w:rsidRDefault="00D85665">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977"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Total Burden Hours</w:t>
            </w:r>
          </w:p>
        </w:tc>
        <w:tc>
          <w:tcPr>
            <w:tcW w:w="1526"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Capital/Startup Costs</w:t>
            </w:r>
          </w:p>
        </w:tc>
        <w:tc>
          <w:tcPr>
            <w:tcW w:w="1200"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PE Costs</w:t>
            </w:r>
          </w:p>
        </w:tc>
        <w:tc>
          <w:tcPr>
            <w:tcW w:w="1311"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674FAE" w:rsidRDefault="002C0EBA" w:rsidP="007D2182">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w:t>
            </w:r>
            <w:r w:rsidR="007D2182">
              <w:rPr>
                <w:rFonts w:cs="Arial"/>
                <w:b/>
                <w:bCs/>
                <w:sz w:val="20"/>
                <w:szCs w:val="20"/>
              </w:rPr>
              <w:t>12</w:t>
            </w:r>
            <w:r>
              <w:rPr>
                <w:rFonts w:cs="Arial"/>
                <w:b/>
                <w:bCs/>
                <w:sz w:val="20"/>
                <w:szCs w:val="20"/>
              </w:rPr>
              <w:t>$)</w:t>
            </w:r>
            <w:r w:rsidRPr="00854FC2">
              <w:rPr>
                <w:rFonts w:cs="Arial"/>
                <w:b/>
                <w:bCs/>
                <w:sz w:val="20"/>
                <w:szCs w:val="20"/>
                <w:vertAlign w:val="superscript"/>
              </w:rPr>
              <w:t>2</w:t>
            </w:r>
          </w:p>
        </w:tc>
      </w:tr>
      <w:tr w:rsidR="00D85665" w:rsidRPr="00674FAE" w:rsidTr="007157C0">
        <w:trPr>
          <w:cantSplit/>
          <w:trHeight w:val="480"/>
        </w:trPr>
        <w:tc>
          <w:tcPr>
            <w:tcW w:w="0" w:type="auto"/>
            <w:vMerge/>
            <w:tcBorders>
              <w:top w:val="nil"/>
              <w:left w:val="double" w:sz="6"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1445"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Management</w:t>
            </w:r>
          </w:p>
        </w:tc>
        <w:tc>
          <w:tcPr>
            <w:tcW w:w="139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Technical</w:t>
            </w:r>
          </w:p>
        </w:tc>
        <w:tc>
          <w:tcPr>
            <w:tcW w:w="1356"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Drafter</w:t>
            </w:r>
          </w:p>
        </w:tc>
        <w:tc>
          <w:tcPr>
            <w:tcW w:w="1366"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674FAE" w:rsidRDefault="00D85665">
            <w:pPr>
              <w:jc w:val="center"/>
              <w:rPr>
                <w:rFonts w:eastAsia="Arial Unicode MS" w:cs="Arial"/>
                <w:b/>
                <w:bCs/>
                <w:sz w:val="20"/>
                <w:szCs w:val="20"/>
              </w:rPr>
            </w:pPr>
            <w:r w:rsidRPr="00674FAE">
              <w:rPr>
                <w:rFonts w:cs="Arial"/>
                <w:b/>
                <w:bCs/>
                <w:sz w:val="20"/>
                <w:szCs w:val="20"/>
              </w:rPr>
              <w:t>Clerical</w:t>
            </w:r>
          </w:p>
        </w:tc>
        <w:tc>
          <w:tcPr>
            <w:tcW w:w="0" w:type="auto"/>
            <w:vMerge/>
            <w:tcBorders>
              <w:top w:val="nil"/>
              <w:left w:val="nil"/>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674FAE"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674FAE" w:rsidRDefault="00D85665">
            <w:pPr>
              <w:rPr>
                <w:rFonts w:eastAsia="Arial Unicode MS" w:cs="Arial"/>
                <w:b/>
                <w:bCs/>
                <w:sz w:val="20"/>
                <w:szCs w:val="20"/>
              </w:rPr>
            </w:pPr>
          </w:p>
        </w:tc>
      </w:tr>
      <w:tr w:rsidR="00D85665" w:rsidRPr="00674FAE" w:rsidTr="007157C0">
        <w:trPr>
          <w:trHeight w:val="270"/>
        </w:trPr>
        <w:tc>
          <w:tcPr>
            <w:tcW w:w="1300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rsidRDefault="00D85665">
            <w:pPr>
              <w:pStyle w:val="Heading5"/>
              <w:rPr>
                <w:rFonts w:eastAsia="Arial Unicode MS"/>
                <w:szCs w:val="20"/>
              </w:rPr>
            </w:pPr>
            <w:r w:rsidRPr="00674FAE">
              <w:rPr>
                <w:szCs w:val="20"/>
              </w:rPr>
              <w:t>Existing Facilities</w:t>
            </w:r>
          </w:p>
        </w:tc>
      </w:tr>
      <w:tr w:rsidR="0066668B" w:rsidRPr="00674FAE" w:rsidTr="0066668B">
        <w:trPr>
          <w:trHeight w:val="360"/>
        </w:trPr>
        <w:tc>
          <w:tcPr>
            <w:tcW w:w="2422" w:type="dxa"/>
            <w:tcBorders>
              <w:top w:val="nil"/>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Review the SPCC Plan</w:t>
            </w:r>
          </w:p>
        </w:tc>
        <w:tc>
          <w:tcPr>
            <w:tcW w:w="1445"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3</w:t>
            </w:r>
            <w:r w:rsidR="00277AD3">
              <w:rPr>
                <w:rFonts w:cs="Arial"/>
                <w:sz w:val="20"/>
                <w:szCs w:val="20"/>
              </w:rPr>
              <w:t>8,6</w:t>
            </w:r>
            <w:r>
              <w:rPr>
                <w:rFonts w:cs="Arial"/>
                <w:sz w:val="20"/>
                <w:szCs w:val="20"/>
              </w:rPr>
              <w:t>00</w:t>
            </w:r>
          </w:p>
        </w:tc>
        <w:tc>
          <w:tcPr>
            <w:tcW w:w="1398"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57</w:t>
            </w:r>
            <w:r w:rsidR="00277AD3">
              <w:rPr>
                <w:rFonts w:cs="Arial"/>
                <w:sz w:val="20"/>
                <w:szCs w:val="20"/>
              </w:rPr>
              <w:t>8</w:t>
            </w:r>
            <w:r>
              <w:rPr>
                <w:rFonts w:cs="Arial"/>
                <w:sz w:val="20"/>
                <w:szCs w:val="20"/>
              </w:rPr>
              <w:t>,000</w:t>
            </w:r>
          </w:p>
        </w:tc>
        <w:tc>
          <w:tcPr>
            <w:tcW w:w="135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3</w:t>
            </w:r>
            <w:r w:rsidR="00277AD3">
              <w:rPr>
                <w:rFonts w:cs="Arial"/>
                <w:sz w:val="20"/>
                <w:szCs w:val="20"/>
              </w:rPr>
              <w:t>8,6</w:t>
            </w:r>
            <w:r>
              <w:rPr>
                <w:rFonts w:cs="Arial"/>
                <w:sz w:val="20"/>
                <w:szCs w:val="20"/>
              </w:rPr>
              <w:t>00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6</w:t>
            </w:r>
            <w:r w:rsidR="00277AD3">
              <w:rPr>
                <w:rFonts w:cs="Arial"/>
                <w:sz w:val="20"/>
                <w:szCs w:val="20"/>
              </w:rPr>
              <w:t>55</w:t>
            </w:r>
            <w:r>
              <w:rPr>
                <w:rFonts w:cs="Arial"/>
                <w:sz w:val="20"/>
                <w:szCs w:val="20"/>
              </w:rPr>
              <w:t>,000</w:t>
            </w:r>
          </w:p>
        </w:tc>
        <w:tc>
          <w:tcPr>
            <w:tcW w:w="152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200"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66668B" w:rsidRPr="00674FAE" w:rsidRDefault="00980BA7" w:rsidP="00277AD3">
            <w:pPr>
              <w:jc w:val="right"/>
              <w:rPr>
                <w:rFonts w:cs="Arial"/>
                <w:sz w:val="20"/>
                <w:szCs w:val="20"/>
              </w:rPr>
            </w:pPr>
            <w:r>
              <w:rPr>
                <w:rFonts w:cs="Arial"/>
                <w:sz w:val="20"/>
                <w:szCs w:val="20"/>
              </w:rPr>
              <w:t>$5</w:t>
            </w:r>
            <w:r w:rsidR="00277AD3">
              <w:rPr>
                <w:rFonts w:cs="Arial"/>
                <w:sz w:val="20"/>
                <w:szCs w:val="20"/>
              </w:rPr>
              <w:t>9</w:t>
            </w:r>
            <w:r w:rsidR="0066668B" w:rsidRPr="00674FAE">
              <w:rPr>
                <w:rFonts w:cs="Arial"/>
                <w:sz w:val="20"/>
                <w:szCs w:val="20"/>
              </w:rPr>
              <w:t>,</w:t>
            </w:r>
            <w:r w:rsidR="00277AD3">
              <w:rPr>
                <w:rFonts w:cs="Arial"/>
                <w:sz w:val="20"/>
                <w:szCs w:val="20"/>
              </w:rPr>
              <w:t>7</w:t>
            </w:r>
            <w:r w:rsidR="0066668B" w:rsidRPr="00674FAE">
              <w:rPr>
                <w:rFonts w:cs="Arial"/>
                <w:sz w:val="20"/>
                <w:szCs w:val="20"/>
              </w:rPr>
              <w:t>00,000</w:t>
            </w:r>
          </w:p>
        </w:tc>
      </w:tr>
      <w:tr w:rsidR="0066668B" w:rsidRPr="00674FAE" w:rsidTr="0066668B">
        <w:trPr>
          <w:trHeight w:val="915"/>
        </w:trPr>
        <w:tc>
          <w:tcPr>
            <w:tcW w:w="2422" w:type="dxa"/>
            <w:tcBorders>
              <w:top w:val="single" w:sz="4" w:space="0" w:color="000000"/>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Submit Information in the Event of Certain Discharges of Oil</w:t>
            </w:r>
          </w:p>
        </w:tc>
        <w:tc>
          <w:tcPr>
            <w:tcW w:w="1445"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11</w:t>
            </w:r>
            <w:r w:rsidR="00277AD3">
              <w:rPr>
                <w:rFonts w:cs="Arial"/>
                <w:sz w:val="20"/>
                <w:szCs w:val="20"/>
              </w:rPr>
              <w:t>7</w:t>
            </w:r>
          </w:p>
        </w:tc>
        <w:tc>
          <w:tcPr>
            <w:tcW w:w="1398"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11</w:t>
            </w:r>
            <w:r w:rsidR="00277AD3">
              <w:rPr>
                <w:rFonts w:cs="Arial"/>
                <w:sz w:val="20"/>
                <w:szCs w:val="20"/>
              </w:rPr>
              <w:t>7</w:t>
            </w:r>
          </w:p>
        </w:tc>
        <w:tc>
          <w:tcPr>
            <w:tcW w:w="135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2</w:t>
            </w:r>
            <w:r w:rsidR="00277AD3">
              <w:rPr>
                <w:rFonts w:cs="Arial"/>
                <w:sz w:val="20"/>
                <w:szCs w:val="20"/>
              </w:rPr>
              <w:t>35</w:t>
            </w:r>
          </w:p>
        </w:tc>
        <w:tc>
          <w:tcPr>
            <w:tcW w:w="152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277AD3">
            <w:pPr>
              <w:jc w:val="right"/>
              <w:rPr>
                <w:rFonts w:cs="Arial"/>
                <w:sz w:val="20"/>
                <w:szCs w:val="20"/>
              </w:rPr>
            </w:pPr>
            <w:r w:rsidRPr="00674FAE">
              <w:rPr>
                <w:rFonts w:cs="Arial"/>
                <w:sz w:val="20"/>
                <w:szCs w:val="20"/>
              </w:rPr>
              <w:t>$2,</w:t>
            </w:r>
            <w:r w:rsidR="00277AD3">
              <w:rPr>
                <w:rFonts w:cs="Arial"/>
                <w:sz w:val="20"/>
                <w:szCs w:val="20"/>
              </w:rPr>
              <w:t>354</w:t>
            </w:r>
          </w:p>
        </w:tc>
        <w:tc>
          <w:tcPr>
            <w:tcW w:w="1200"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66668B" w:rsidRPr="00674FAE" w:rsidRDefault="0066668B" w:rsidP="00277AD3">
            <w:pPr>
              <w:jc w:val="right"/>
              <w:rPr>
                <w:rFonts w:cs="Arial"/>
                <w:sz w:val="20"/>
                <w:szCs w:val="20"/>
              </w:rPr>
            </w:pPr>
            <w:r w:rsidRPr="00674FAE">
              <w:rPr>
                <w:rFonts w:cs="Arial"/>
                <w:sz w:val="20"/>
                <w:szCs w:val="20"/>
              </w:rPr>
              <w:t>$1</w:t>
            </w:r>
            <w:r w:rsidR="00277AD3">
              <w:rPr>
                <w:rFonts w:cs="Arial"/>
                <w:sz w:val="20"/>
                <w:szCs w:val="20"/>
              </w:rPr>
              <w:t>7</w:t>
            </w:r>
            <w:r w:rsidR="006760E6">
              <w:rPr>
                <w:rFonts w:cs="Arial"/>
                <w:sz w:val="20"/>
                <w:szCs w:val="20"/>
              </w:rPr>
              <w:t>,</w:t>
            </w:r>
            <w:r w:rsidR="00277AD3">
              <w:rPr>
                <w:rFonts w:cs="Arial"/>
                <w:sz w:val="20"/>
                <w:szCs w:val="20"/>
              </w:rPr>
              <w:t>3</w:t>
            </w:r>
            <w:r w:rsidRPr="00674FAE">
              <w:rPr>
                <w:rFonts w:cs="Arial"/>
                <w:sz w:val="20"/>
                <w:szCs w:val="20"/>
              </w:rPr>
              <w:t>00</w:t>
            </w:r>
          </w:p>
        </w:tc>
      </w:tr>
      <w:tr w:rsidR="0066668B" w:rsidRPr="00674FAE" w:rsidTr="0066668B">
        <w:trPr>
          <w:trHeight w:val="540"/>
        </w:trPr>
        <w:tc>
          <w:tcPr>
            <w:tcW w:w="2422" w:type="dxa"/>
            <w:tcBorders>
              <w:top w:val="single" w:sz="4" w:space="0" w:color="000000"/>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Revise the SPCC Plan</w:t>
            </w:r>
          </w:p>
        </w:tc>
        <w:tc>
          <w:tcPr>
            <w:tcW w:w="1445"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66668B" w:rsidRDefault="00277AD3" w:rsidP="00277AD3">
            <w:pPr>
              <w:jc w:val="right"/>
              <w:rPr>
                <w:rFonts w:cs="Arial"/>
                <w:sz w:val="20"/>
                <w:szCs w:val="20"/>
              </w:rPr>
            </w:pPr>
            <w:r>
              <w:rPr>
                <w:rFonts w:cs="Arial"/>
                <w:sz w:val="20"/>
                <w:szCs w:val="20"/>
              </w:rPr>
              <w:t>62</w:t>
            </w:r>
            <w:r w:rsidR="0066668B">
              <w:rPr>
                <w:rFonts w:cs="Arial"/>
                <w:sz w:val="20"/>
                <w:szCs w:val="20"/>
              </w:rPr>
              <w:t>,</w:t>
            </w:r>
            <w:r>
              <w:rPr>
                <w:rFonts w:cs="Arial"/>
                <w:sz w:val="20"/>
                <w:szCs w:val="20"/>
              </w:rPr>
              <w:t>6</w:t>
            </w:r>
            <w:r w:rsidR="0066668B">
              <w:rPr>
                <w:rFonts w:cs="Arial"/>
                <w:sz w:val="20"/>
                <w:szCs w:val="20"/>
              </w:rPr>
              <w:t>00</w:t>
            </w:r>
          </w:p>
        </w:tc>
        <w:tc>
          <w:tcPr>
            <w:tcW w:w="1398"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3</w:t>
            </w:r>
            <w:r w:rsidR="00277AD3">
              <w:rPr>
                <w:rFonts w:cs="Arial"/>
                <w:sz w:val="20"/>
                <w:szCs w:val="20"/>
              </w:rPr>
              <w:t>76</w:t>
            </w:r>
            <w:r>
              <w:rPr>
                <w:rFonts w:cs="Arial"/>
                <w:sz w:val="20"/>
                <w:szCs w:val="20"/>
              </w:rPr>
              <w:t>,000</w:t>
            </w:r>
          </w:p>
        </w:tc>
        <w:tc>
          <w:tcPr>
            <w:tcW w:w="135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50,1</w:t>
            </w:r>
            <w:r w:rsidR="0066668B">
              <w:rPr>
                <w:rFonts w:cs="Arial"/>
                <w:sz w:val="20"/>
                <w:szCs w:val="20"/>
              </w:rPr>
              <w:t>00</w:t>
            </w:r>
          </w:p>
        </w:tc>
        <w:tc>
          <w:tcPr>
            <w:tcW w:w="977"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4</w:t>
            </w:r>
            <w:r w:rsidR="00277AD3">
              <w:rPr>
                <w:rFonts w:cs="Arial"/>
                <w:sz w:val="20"/>
                <w:szCs w:val="20"/>
              </w:rPr>
              <w:t>89</w:t>
            </w:r>
            <w:r>
              <w:rPr>
                <w:rFonts w:cs="Arial"/>
                <w:sz w:val="20"/>
                <w:szCs w:val="20"/>
              </w:rPr>
              <w:t>,000</w:t>
            </w:r>
          </w:p>
        </w:tc>
        <w:tc>
          <w:tcPr>
            <w:tcW w:w="1526"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200" w:type="dxa"/>
            <w:tcBorders>
              <w:top w:val="nil"/>
              <w:left w:val="nil"/>
              <w:bottom w:val="single" w:sz="4" w:space="0" w:color="auto"/>
              <w:right w:val="single" w:sz="4" w:space="0" w:color="auto"/>
            </w:tcBorders>
            <w:tcMar>
              <w:top w:w="15" w:type="dxa"/>
              <w:left w:w="15" w:type="dxa"/>
              <w:bottom w:w="0" w:type="dxa"/>
              <w:right w:w="72" w:type="dxa"/>
            </w:tcMar>
            <w:vAlign w:val="center"/>
          </w:tcPr>
          <w:p w:rsidR="0066668B" w:rsidRPr="00674FAE" w:rsidRDefault="0066668B" w:rsidP="00277AD3">
            <w:pPr>
              <w:jc w:val="right"/>
              <w:rPr>
                <w:rFonts w:cs="Arial"/>
                <w:sz w:val="20"/>
                <w:szCs w:val="20"/>
              </w:rPr>
            </w:pPr>
            <w:r w:rsidRPr="00674FAE">
              <w:rPr>
                <w:rFonts w:cs="Arial"/>
                <w:sz w:val="20"/>
                <w:szCs w:val="20"/>
              </w:rPr>
              <w:t>$</w:t>
            </w:r>
            <w:r w:rsidR="00277AD3">
              <w:rPr>
                <w:rFonts w:cs="Arial"/>
                <w:sz w:val="20"/>
                <w:szCs w:val="20"/>
              </w:rPr>
              <w:t>51</w:t>
            </w:r>
            <w:r w:rsidRPr="00674FAE">
              <w:rPr>
                <w:rFonts w:cs="Arial"/>
                <w:sz w:val="20"/>
                <w:szCs w:val="20"/>
              </w:rPr>
              <w:t>,</w:t>
            </w:r>
            <w:r w:rsidR="00277AD3">
              <w:rPr>
                <w:rFonts w:cs="Arial"/>
                <w:sz w:val="20"/>
                <w:szCs w:val="20"/>
              </w:rPr>
              <w:t>372</w:t>
            </w:r>
            <w:r w:rsidRPr="00674FAE">
              <w:rPr>
                <w:rFonts w:cs="Arial"/>
                <w:sz w:val="20"/>
                <w:szCs w:val="20"/>
              </w:rPr>
              <w:t>,000</w:t>
            </w:r>
          </w:p>
        </w:tc>
        <w:tc>
          <w:tcPr>
            <w:tcW w:w="1311" w:type="dxa"/>
            <w:tcBorders>
              <w:top w:val="nil"/>
              <w:left w:val="nil"/>
              <w:bottom w:val="single" w:sz="4" w:space="0" w:color="auto"/>
              <w:right w:val="double" w:sz="6" w:space="0" w:color="000000"/>
            </w:tcBorders>
            <w:tcMar>
              <w:top w:w="15" w:type="dxa"/>
              <w:left w:w="15" w:type="dxa"/>
              <w:bottom w:w="0" w:type="dxa"/>
              <w:right w:w="72" w:type="dxa"/>
            </w:tcMar>
            <w:vAlign w:val="center"/>
          </w:tcPr>
          <w:p w:rsidR="0066668B" w:rsidRPr="00674FAE" w:rsidRDefault="0066668B" w:rsidP="00277AD3">
            <w:pPr>
              <w:jc w:val="right"/>
              <w:rPr>
                <w:rFonts w:cs="Arial"/>
                <w:sz w:val="20"/>
                <w:szCs w:val="20"/>
              </w:rPr>
            </w:pPr>
            <w:r w:rsidRPr="00674FAE">
              <w:rPr>
                <w:rFonts w:cs="Arial"/>
                <w:sz w:val="20"/>
                <w:szCs w:val="20"/>
              </w:rPr>
              <w:t>$</w:t>
            </w:r>
            <w:r w:rsidR="00277AD3">
              <w:rPr>
                <w:rFonts w:cs="Arial"/>
                <w:sz w:val="20"/>
                <w:szCs w:val="20"/>
              </w:rPr>
              <w:t>95,5</w:t>
            </w:r>
            <w:r w:rsidRPr="00674FAE">
              <w:rPr>
                <w:rFonts w:cs="Arial"/>
                <w:sz w:val="20"/>
                <w:szCs w:val="20"/>
              </w:rPr>
              <w:t>00,000</w:t>
            </w:r>
          </w:p>
        </w:tc>
      </w:tr>
      <w:tr w:rsidR="0066668B" w:rsidRPr="00674FAE" w:rsidTr="0066668B">
        <w:trPr>
          <w:trHeight w:val="570"/>
        </w:trPr>
        <w:tc>
          <w:tcPr>
            <w:tcW w:w="2422" w:type="dxa"/>
            <w:tcBorders>
              <w:top w:val="single" w:sz="4" w:space="0" w:color="000000"/>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Maintain the SPCC Plan and Keep Records</w:t>
            </w:r>
          </w:p>
        </w:tc>
        <w:tc>
          <w:tcPr>
            <w:tcW w:w="1445"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98"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3</w:t>
            </w:r>
            <w:r w:rsidR="00277AD3">
              <w:rPr>
                <w:rFonts w:cs="Arial"/>
                <w:sz w:val="20"/>
                <w:szCs w:val="20"/>
              </w:rPr>
              <w:t>4</w:t>
            </w:r>
            <w:r>
              <w:rPr>
                <w:rFonts w:cs="Arial"/>
                <w:sz w:val="20"/>
                <w:szCs w:val="20"/>
              </w:rPr>
              <w:t>9,000</w:t>
            </w:r>
          </w:p>
        </w:tc>
        <w:tc>
          <w:tcPr>
            <w:tcW w:w="1356"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977"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Default="0066668B" w:rsidP="00277AD3">
            <w:pPr>
              <w:jc w:val="right"/>
              <w:rPr>
                <w:rFonts w:cs="Arial"/>
                <w:sz w:val="20"/>
                <w:szCs w:val="20"/>
              </w:rPr>
            </w:pPr>
            <w:r>
              <w:rPr>
                <w:rFonts w:cs="Arial"/>
                <w:sz w:val="20"/>
                <w:szCs w:val="20"/>
              </w:rPr>
              <w:t>3</w:t>
            </w:r>
            <w:r w:rsidR="00277AD3">
              <w:rPr>
                <w:rFonts w:cs="Arial"/>
                <w:sz w:val="20"/>
                <w:szCs w:val="20"/>
              </w:rPr>
              <w:t>4</w:t>
            </w:r>
            <w:r>
              <w:rPr>
                <w:rFonts w:cs="Arial"/>
                <w:sz w:val="20"/>
                <w:szCs w:val="20"/>
              </w:rPr>
              <w:t>9,000</w:t>
            </w:r>
          </w:p>
        </w:tc>
        <w:tc>
          <w:tcPr>
            <w:tcW w:w="1526"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200" w:type="dxa"/>
            <w:tcBorders>
              <w:top w:val="nil"/>
              <w:left w:val="nil"/>
              <w:bottom w:val="double" w:sz="6" w:space="0" w:color="auto"/>
              <w:right w:val="single" w:sz="4" w:space="0" w:color="auto"/>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311" w:type="dxa"/>
            <w:tcBorders>
              <w:top w:val="nil"/>
              <w:left w:val="nil"/>
              <w:bottom w:val="double" w:sz="6" w:space="0" w:color="auto"/>
              <w:right w:val="double" w:sz="6" w:space="0" w:color="000000"/>
            </w:tcBorders>
            <w:tcMar>
              <w:top w:w="15" w:type="dxa"/>
              <w:left w:w="15" w:type="dxa"/>
              <w:bottom w:w="0" w:type="dxa"/>
              <w:right w:w="72" w:type="dxa"/>
            </w:tcMar>
            <w:vAlign w:val="center"/>
          </w:tcPr>
          <w:p w:rsidR="0066668B" w:rsidRPr="00674FAE" w:rsidRDefault="0066668B" w:rsidP="00277AD3">
            <w:pPr>
              <w:jc w:val="right"/>
              <w:rPr>
                <w:rFonts w:cs="Arial"/>
                <w:sz w:val="20"/>
                <w:szCs w:val="20"/>
              </w:rPr>
            </w:pPr>
            <w:r w:rsidRPr="00674FAE">
              <w:rPr>
                <w:rFonts w:cs="Arial"/>
                <w:sz w:val="20"/>
                <w:szCs w:val="20"/>
              </w:rPr>
              <w:t>$</w:t>
            </w:r>
            <w:r w:rsidR="00277AD3">
              <w:rPr>
                <w:rFonts w:cs="Arial"/>
                <w:sz w:val="20"/>
                <w:szCs w:val="20"/>
              </w:rPr>
              <w:t>20</w:t>
            </w:r>
            <w:r w:rsidRPr="00674FAE">
              <w:rPr>
                <w:rFonts w:cs="Arial"/>
                <w:sz w:val="20"/>
                <w:szCs w:val="20"/>
              </w:rPr>
              <w:t>,</w:t>
            </w:r>
            <w:r w:rsidR="00277AD3">
              <w:rPr>
                <w:rFonts w:cs="Arial"/>
                <w:sz w:val="20"/>
                <w:szCs w:val="20"/>
              </w:rPr>
              <w:t>4</w:t>
            </w:r>
            <w:r w:rsidRPr="00674FAE">
              <w:rPr>
                <w:rFonts w:cs="Arial"/>
                <w:sz w:val="20"/>
                <w:szCs w:val="20"/>
              </w:rPr>
              <w:t>00,000</w:t>
            </w:r>
          </w:p>
        </w:tc>
      </w:tr>
      <w:tr w:rsidR="0066668B" w:rsidRPr="00674FAE" w:rsidTr="0066668B">
        <w:trPr>
          <w:trHeight w:val="285"/>
        </w:trPr>
        <w:tc>
          <w:tcPr>
            <w:tcW w:w="2422"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66668B" w:rsidRPr="00674FAE" w:rsidRDefault="0066668B">
            <w:pPr>
              <w:rPr>
                <w:rFonts w:eastAsia="Arial Unicode MS" w:cs="Arial"/>
                <w:b/>
                <w:bCs/>
                <w:sz w:val="20"/>
                <w:szCs w:val="20"/>
              </w:rPr>
            </w:pPr>
            <w:r w:rsidRPr="00674FAE">
              <w:rPr>
                <w:rFonts w:cs="Arial"/>
                <w:b/>
                <w:bCs/>
                <w:sz w:val="20"/>
                <w:szCs w:val="20"/>
              </w:rPr>
              <w:t>TOTAL</w:t>
            </w:r>
          </w:p>
        </w:tc>
        <w:tc>
          <w:tcPr>
            <w:tcW w:w="1445"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277AD3" w:rsidP="0066668B">
            <w:pPr>
              <w:jc w:val="right"/>
              <w:rPr>
                <w:rFonts w:cs="Arial"/>
                <w:b/>
                <w:bCs/>
                <w:sz w:val="20"/>
                <w:szCs w:val="20"/>
              </w:rPr>
            </w:pPr>
            <w:r>
              <w:rPr>
                <w:rFonts w:cs="Arial"/>
                <w:b/>
                <w:bCs/>
                <w:sz w:val="20"/>
                <w:szCs w:val="20"/>
              </w:rPr>
              <w:t>101,3</w:t>
            </w:r>
            <w:r w:rsidR="0066668B">
              <w:rPr>
                <w:rFonts w:cs="Arial"/>
                <w:b/>
                <w:bCs/>
                <w:sz w:val="20"/>
                <w:szCs w:val="20"/>
              </w:rPr>
              <w:t>00</w:t>
            </w:r>
          </w:p>
        </w:tc>
        <w:tc>
          <w:tcPr>
            <w:tcW w:w="1398" w:type="dxa"/>
            <w:tcBorders>
              <w:top w:val="nil"/>
              <w:left w:val="single" w:sz="4" w:space="0" w:color="000000"/>
              <w:bottom w:val="double" w:sz="6" w:space="0" w:color="auto"/>
              <w:right w:val="nil"/>
            </w:tcBorders>
            <w:tcMar>
              <w:top w:w="0" w:type="dxa"/>
              <w:left w:w="15" w:type="dxa"/>
              <w:bottom w:w="0" w:type="dxa"/>
              <w:right w:w="72" w:type="dxa"/>
            </w:tcMar>
            <w:vAlign w:val="center"/>
          </w:tcPr>
          <w:p w:rsidR="0066668B" w:rsidRDefault="0066668B" w:rsidP="00277AD3">
            <w:pPr>
              <w:jc w:val="right"/>
              <w:rPr>
                <w:rFonts w:cs="Arial"/>
                <w:b/>
                <w:bCs/>
                <w:sz w:val="20"/>
                <w:szCs w:val="20"/>
              </w:rPr>
            </w:pPr>
            <w:r>
              <w:rPr>
                <w:rFonts w:cs="Arial"/>
                <w:b/>
                <w:bCs/>
                <w:sz w:val="20"/>
                <w:szCs w:val="20"/>
              </w:rPr>
              <w:t>1,30</w:t>
            </w:r>
            <w:r w:rsidR="00277AD3">
              <w:rPr>
                <w:rFonts w:cs="Arial"/>
                <w:b/>
                <w:bCs/>
                <w:sz w:val="20"/>
                <w:szCs w:val="20"/>
              </w:rPr>
              <w:t>3</w:t>
            </w:r>
            <w:r>
              <w:rPr>
                <w:rFonts w:cs="Arial"/>
                <w:b/>
                <w:bCs/>
                <w:sz w:val="20"/>
                <w:szCs w:val="20"/>
              </w:rPr>
              <w:t>,000</w:t>
            </w:r>
          </w:p>
        </w:tc>
        <w:tc>
          <w:tcPr>
            <w:tcW w:w="1356"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321A01" w:rsidRDefault="0066668B" w:rsidP="0066668B">
            <w:pPr>
              <w:jc w:val="right"/>
              <w:rPr>
                <w:rFonts w:cs="Arial"/>
                <w:b/>
                <w:sz w:val="20"/>
                <w:szCs w:val="20"/>
              </w:rPr>
            </w:pPr>
            <w:r w:rsidRPr="00321A01">
              <w:rPr>
                <w:rFonts w:cs="Arial"/>
                <w:b/>
                <w:sz w:val="20"/>
                <w:szCs w:val="20"/>
              </w:rPr>
              <w:t>0</w:t>
            </w:r>
          </w:p>
        </w:tc>
        <w:tc>
          <w:tcPr>
            <w:tcW w:w="1366"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321A01" w:rsidRDefault="0066668B" w:rsidP="00277AD3">
            <w:pPr>
              <w:jc w:val="right"/>
              <w:rPr>
                <w:rFonts w:cs="Arial"/>
                <w:b/>
                <w:bCs/>
                <w:sz w:val="20"/>
                <w:szCs w:val="20"/>
              </w:rPr>
            </w:pPr>
            <w:r w:rsidRPr="00321A01">
              <w:rPr>
                <w:rFonts w:cs="Arial"/>
                <w:b/>
                <w:bCs/>
                <w:sz w:val="20"/>
                <w:szCs w:val="20"/>
              </w:rPr>
              <w:t>8</w:t>
            </w:r>
            <w:r w:rsidR="00277AD3">
              <w:rPr>
                <w:rFonts w:cs="Arial"/>
                <w:b/>
                <w:bCs/>
                <w:sz w:val="20"/>
                <w:szCs w:val="20"/>
              </w:rPr>
              <w:t>8</w:t>
            </w:r>
            <w:r w:rsidRPr="00321A01">
              <w:rPr>
                <w:rFonts w:cs="Arial"/>
                <w:b/>
                <w:bCs/>
                <w:sz w:val="20"/>
                <w:szCs w:val="20"/>
              </w:rPr>
              <w:t>,</w:t>
            </w:r>
            <w:r w:rsidR="00277AD3">
              <w:rPr>
                <w:rFonts w:cs="Arial"/>
                <w:b/>
                <w:bCs/>
                <w:sz w:val="20"/>
                <w:szCs w:val="20"/>
              </w:rPr>
              <w:t>7</w:t>
            </w:r>
            <w:r w:rsidRPr="00321A01">
              <w:rPr>
                <w:rFonts w:cs="Arial"/>
                <w:b/>
                <w:bCs/>
                <w:sz w:val="20"/>
                <w:szCs w:val="20"/>
              </w:rPr>
              <w:t>00</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66668B" w:rsidP="00277AD3">
            <w:pPr>
              <w:jc w:val="right"/>
              <w:rPr>
                <w:rFonts w:cs="Arial"/>
                <w:b/>
                <w:bCs/>
                <w:sz w:val="20"/>
                <w:szCs w:val="20"/>
              </w:rPr>
            </w:pPr>
            <w:r>
              <w:rPr>
                <w:rFonts w:cs="Arial"/>
                <w:b/>
                <w:bCs/>
                <w:sz w:val="20"/>
                <w:szCs w:val="20"/>
              </w:rPr>
              <w:t>1,4</w:t>
            </w:r>
            <w:r w:rsidR="00277AD3">
              <w:rPr>
                <w:rFonts w:cs="Arial"/>
                <w:b/>
                <w:bCs/>
                <w:sz w:val="20"/>
                <w:szCs w:val="20"/>
              </w:rPr>
              <w:t>93</w:t>
            </w:r>
            <w:r>
              <w:rPr>
                <w:rFonts w:cs="Arial"/>
                <w:b/>
                <w:bCs/>
                <w:sz w:val="20"/>
                <w:szCs w:val="20"/>
              </w:rPr>
              <w:t>,000</w:t>
            </w:r>
          </w:p>
        </w:tc>
        <w:tc>
          <w:tcPr>
            <w:tcW w:w="1526"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674FAE" w:rsidRDefault="0066668B" w:rsidP="00277AD3">
            <w:pPr>
              <w:jc w:val="right"/>
              <w:rPr>
                <w:rFonts w:cs="Arial"/>
                <w:b/>
                <w:bCs/>
                <w:sz w:val="20"/>
                <w:szCs w:val="20"/>
              </w:rPr>
            </w:pPr>
            <w:r w:rsidRPr="00674FAE">
              <w:rPr>
                <w:rFonts w:cs="Arial"/>
                <w:b/>
                <w:bCs/>
                <w:sz w:val="20"/>
                <w:szCs w:val="20"/>
              </w:rPr>
              <w:t>$2,</w:t>
            </w:r>
            <w:r w:rsidR="00277AD3">
              <w:rPr>
                <w:rFonts w:cs="Arial"/>
                <w:b/>
                <w:bCs/>
                <w:sz w:val="20"/>
                <w:szCs w:val="20"/>
              </w:rPr>
              <w:t>354</w:t>
            </w:r>
          </w:p>
        </w:tc>
        <w:tc>
          <w:tcPr>
            <w:tcW w:w="1200"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66668B" w:rsidRPr="00674FAE" w:rsidRDefault="0066668B" w:rsidP="00277AD3">
            <w:pPr>
              <w:jc w:val="right"/>
              <w:rPr>
                <w:rFonts w:cs="Arial"/>
                <w:b/>
                <w:bCs/>
                <w:sz w:val="20"/>
                <w:szCs w:val="20"/>
              </w:rPr>
            </w:pPr>
            <w:r w:rsidRPr="00674FAE">
              <w:rPr>
                <w:rFonts w:cs="Arial"/>
                <w:b/>
                <w:bCs/>
                <w:sz w:val="20"/>
                <w:szCs w:val="20"/>
              </w:rPr>
              <w:t>$</w:t>
            </w:r>
            <w:r w:rsidR="00277AD3">
              <w:rPr>
                <w:rFonts w:cs="Arial"/>
                <w:b/>
                <w:bCs/>
                <w:sz w:val="20"/>
                <w:szCs w:val="20"/>
              </w:rPr>
              <w:t>51,372</w:t>
            </w:r>
            <w:r w:rsidRPr="00674FAE">
              <w:rPr>
                <w:rFonts w:cs="Arial"/>
                <w:b/>
                <w:bCs/>
                <w:sz w:val="20"/>
                <w:szCs w:val="20"/>
              </w:rPr>
              <w:t>,000</w:t>
            </w:r>
          </w:p>
        </w:tc>
        <w:tc>
          <w:tcPr>
            <w:tcW w:w="1311" w:type="dxa"/>
            <w:tcBorders>
              <w:top w:val="nil"/>
              <w:left w:val="nil"/>
              <w:bottom w:val="double" w:sz="6" w:space="0" w:color="auto"/>
              <w:right w:val="double" w:sz="6" w:space="0" w:color="000000"/>
            </w:tcBorders>
            <w:tcMar>
              <w:top w:w="15" w:type="dxa"/>
              <w:left w:w="15" w:type="dxa"/>
              <w:bottom w:w="0" w:type="dxa"/>
              <w:right w:w="72" w:type="dxa"/>
            </w:tcMar>
            <w:vAlign w:val="center"/>
          </w:tcPr>
          <w:p w:rsidR="0066668B" w:rsidRPr="00674FAE" w:rsidRDefault="0066668B" w:rsidP="00277AD3">
            <w:pPr>
              <w:jc w:val="right"/>
              <w:rPr>
                <w:rFonts w:cs="Arial"/>
                <w:b/>
                <w:bCs/>
                <w:sz w:val="20"/>
                <w:szCs w:val="20"/>
              </w:rPr>
            </w:pPr>
            <w:r w:rsidRPr="00674FAE">
              <w:rPr>
                <w:rFonts w:cs="Arial"/>
                <w:b/>
                <w:bCs/>
                <w:sz w:val="20"/>
                <w:szCs w:val="20"/>
              </w:rPr>
              <w:t>$</w:t>
            </w:r>
            <w:r w:rsidR="006760E6">
              <w:rPr>
                <w:rFonts w:cs="Arial"/>
                <w:b/>
                <w:bCs/>
                <w:sz w:val="20"/>
                <w:szCs w:val="20"/>
              </w:rPr>
              <w:t>1</w:t>
            </w:r>
            <w:r w:rsidR="00277AD3">
              <w:rPr>
                <w:rFonts w:cs="Arial"/>
                <w:b/>
                <w:bCs/>
                <w:sz w:val="20"/>
                <w:szCs w:val="20"/>
              </w:rPr>
              <w:t>76</w:t>
            </w:r>
            <w:r w:rsidRPr="00674FAE">
              <w:rPr>
                <w:rFonts w:cs="Arial"/>
                <w:b/>
                <w:bCs/>
                <w:sz w:val="20"/>
                <w:szCs w:val="20"/>
              </w:rPr>
              <w:t>,000,000</w:t>
            </w:r>
          </w:p>
        </w:tc>
      </w:tr>
      <w:tr w:rsidR="00D85665" w:rsidRPr="00674FAE" w:rsidTr="008B4DE6">
        <w:trPr>
          <w:trHeight w:val="315"/>
        </w:trPr>
        <w:tc>
          <w:tcPr>
            <w:tcW w:w="1300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rsidRDefault="00D85665">
            <w:pPr>
              <w:rPr>
                <w:rFonts w:eastAsia="Arial Unicode MS" w:cs="Arial"/>
                <w:b/>
                <w:bCs/>
                <w:sz w:val="20"/>
                <w:szCs w:val="20"/>
              </w:rPr>
            </w:pPr>
            <w:r w:rsidRPr="00674FAE">
              <w:rPr>
                <w:rFonts w:cs="Arial"/>
                <w:b/>
                <w:bCs/>
                <w:sz w:val="20"/>
                <w:szCs w:val="20"/>
              </w:rPr>
              <w:t>New Facilities</w:t>
            </w:r>
          </w:p>
        </w:tc>
      </w:tr>
      <w:tr w:rsidR="0066668B" w:rsidRPr="00674FAE" w:rsidTr="0066668B">
        <w:trPr>
          <w:trHeight w:val="255"/>
        </w:trPr>
        <w:tc>
          <w:tcPr>
            <w:tcW w:w="2422" w:type="dxa"/>
            <w:tcBorders>
              <w:top w:val="nil"/>
              <w:left w:val="double" w:sz="6" w:space="0" w:color="000000"/>
              <w:bottom w:val="nil"/>
              <w:right w:val="nil"/>
            </w:tcBorders>
            <w:vAlign w:val="center"/>
          </w:tcPr>
          <w:p w:rsidR="0066668B" w:rsidRPr="00674FAE" w:rsidRDefault="0066668B">
            <w:pPr>
              <w:rPr>
                <w:rFonts w:eastAsia="Arial Unicode MS" w:cs="Arial"/>
                <w:sz w:val="20"/>
                <w:szCs w:val="20"/>
              </w:rPr>
            </w:pPr>
            <w:r w:rsidRPr="00674FAE">
              <w:rPr>
                <w:rFonts w:cs="Arial"/>
                <w:sz w:val="20"/>
                <w:szCs w:val="20"/>
              </w:rPr>
              <w:t>Prepare an SPCC Plan</w:t>
            </w:r>
          </w:p>
        </w:tc>
        <w:tc>
          <w:tcPr>
            <w:tcW w:w="1445" w:type="dxa"/>
            <w:tcBorders>
              <w:top w:val="nil"/>
              <w:left w:val="single" w:sz="4" w:space="0" w:color="000000"/>
              <w:bottom w:val="nil"/>
              <w:right w:val="nil"/>
            </w:tcBorders>
            <w:tcMar>
              <w:top w:w="0"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22,</w:t>
            </w:r>
            <w:r w:rsidR="0066668B">
              <w:rPr>
                <w:rFonts w:cs="Arial"/>
                <w:sz w:val="20"/>
                <w:szCs w:val="20"/>
              </w:rPr>
              <w:t>4</w:t>
            </w:r>
            <w:r w:rsidR="00A21510">
              <w:rPr>
                <w:rFonts w:cs="Arial"/>
                <w:sz w:val="20"/>
                <w:szCs w:val="20"/>
              </w:rPr>
              <w:t>00</w:t>
            </w:r>
          </w:p>
        </w:tc>
        <w:tc>
          <w:tcPr>
            <w:tcW w:w="1398" w:type="dxa"/>
            <w:tcBorders>
              <w:top w:val="nil"/>
              <w:left w:val="single" w:sz="4" w:space="0" w:color="000000"/>
              <w:bottom w:val="nil"/>
              <w:right w:val="nil"/>
            </w:tcBorders>
            <w:tcMar>
              <w:right w:w="72" w:type="dxa"/>
            </w:tcMar>
            <w:vAlign w:val="center"/>
          </w:tcPr>
          <w:p w:rsidR="0066668B" w:rsidRDefault="00277AD3" w:rsidP="0066668B">
            <w:pPr>
              <w:jc w:val="right"/>
              <w:rPr>
                <w:rFonts w:cs="Arial"/>
                <w:sz w:val="20"/>
                <w:szCs w:val="20"/>
              </w:rPr>
            </w:pPr>
            <w:r>
              <w:rPr>
                <w:rFonts w:cs="Arial"/>
                <w:sz w:val="20"/>
                <w:szCs w:val="20"/>
              </w:rPr>
              <w:t>287</w:t>
            </w:r>
            <w:r w:rsidR="0066668B">
              <w:rPr>
                <w:rFonts w:cs="Arial"/>
                <w:sz w:val="20"/>
                <w:szCs w:val="20"/>
              </w:rPr>
              <w:t>,</w:t>
            </w:r>
            <w:r w:rsidR="00A21510">
              <w:rPr>
                <w:rFonts w:cs="Arial"/>
                <w:sz w:val="20"/>
                <w:szCs w:val="20"/>
              </w:rPr>
              <w:t>000</w:t>
            </w:r>
          </w:p>
        </w:tc>
        <w:tc>
          <w:tcPr>
            <w:tcW w:w="1356" w:type="dxa"/>
            <w:tcBorders>
              <w:top w:val="nil"/>
              <w:left w:val="single" w:sz="4" w:space="0" w:color="000000"/>
              <w:bottom w:val="nil"/>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119,0</w:t>
            </w:r>
            <w:r w:rsidR="00A21510">
              <w:rPr>
                <w:rFonts w:cs="Arial"/>
                <w:sz w:val="20"/>
                <w:szCs w:val="20"/>
              </w:rPr>
              <w:t>0</w:t>
            </w:r>
            <w:r w:rsidR="0066668B">
              <w:rPr>
                <w:rFonts w:cs="Arial"/>
                <w:sz w:val="20"/>
                <w:szCs w:val="20"/>
              </w:rPr>
              <w:t>0</w:t>
            </w:r>
          </w:p>
        </w:tc>
        <w:tc>
          <w:tcPr>
            <w:tcW w:w="1366" w:type="dxa"/>
            <w:tcBorders>
              <w:top w:val="nil"/>
              <w:left w:val="single" w:sz="4" w:space="0" w:color="000000"/>
              <w:bottom w:val="nil"/>
              <w:right w:val="nil"/>
            </w:tcBorders>
            <w:tcMar>
              <w:top w:w="0"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23.7</w:t>
            </w:r>
            <w:r w:rsidR="00A21510">
              <w:rPr>
                <w:rFonts w:cs="Arial"/>
                <w:sz w:val="20"/>
                <w:szCs w:val="20"/>
              </w:rPr>
              <w:t>0</w:t>
            </w:r>
            <w:r w:rsidR="0066668B">
              <w:rPr>
                <w:rFonts w:cs="Arial"/>
                <w:sz w:val="20"/>
                <w:szCs w:val="20"/>
              </w:rPr>
              <w:t>0</w:t>
            </w:r>
          </w:p>
        </w:tc>
        <w:tc>
          <w:tcPr>
            <w:tcW w:w="977" w:type="dxa"/>
            <w:tcBorders>
              <w:top w:val="nil"/>
              <w:left w:val="single" w:sz="4" w:space="0" w:color="000000"/>
              <w:bottom w:val="nil"/>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452</w:t>
            </w:r>
            <w:r w:rsidR="0066668B">
              <w:rPr>
                <w:rFonts w:cs="Arial"/>
                <w:sz w:val="20"/>
                <w:szCs w:val="20"/>
              </w:rPr>
              <w:t>,</w:t>
            </w:r>
            <w:r w:rsidR="00A21510">
              <w:rPr>
                <w:rFonts w:cs="Arial"/>
                <w:sz w:val="20"/>
                <w:szCs w:val="20"/>
              </w:rPr>
              <w:t>000</w:t>
            </w:r>
          </w:p>
        </w:tc>
        <w:tc>
          <w:tcPr>
            <w:tcW w:w="1526" w:type="dxa"/>
            <w:tcBorders>
              <w:top w:val="nil"/>
              <w:left w:val="single" w:sz="4" w:space="0" w:color="000000"/>
              <w:bottom w:val="nil"/>
              <w:right w:val="nil"/>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200" w:type="dxa"/>
            <w:tcBorders>
              <w:top w:val="nil"/>
              <w:left w:val="single" w:sz="4" w:space="0" w:color="000000"/>
              <w:bottom w:val="nil"/>
              <w:right w:val="nil"/>
            </w:tcBorders>
            <w:tcMar>
              <w:top w:w="0" w:type="dxa"/>
              <w:left w:w="15" w:type="dxa"/>
              <w:bottom w:w="0" w:type="dxa"/>
              <w:right w:w="72" w:type="dxa"/>
            </w:tcMar>
            <w:vAlign w:val="center"/>
          </w:tcPr>
          <w:p w:rsidR="0066668B" w:rsidRPr="00674FAE" w:rsidRDefault="0066668B" w:rsidP="005C0A3E">
            <w:pPr>
              <w:jc w:val="right"/>
              <w:rPr>
                <w:rFonts w:cs="Arial"/>
                <w:sz w:val="20"/>
                <w:szCs w:val="20"/>
              </w:rPr>
            </w:pPr>
            <w:r w:rsidRPr="00674FAE">
              <w:rPr>
                <w:rFonts w:cs="Arial"/>
                <w:sz w:val="20"/>
                <w:szCs w:val="20"/>
              </w:rPr>
              <w:t>$</w:t>
            </w:r>
            <w:r w:rsidR="005C0A3E">
              <w:rPr>
                <w:rFonts w:cs="Arial"/>
                <w:sz w:val="20"/>
                <w:szCs w:val="20"/>
              </w:rPr>
              <w:t>14,43</w:t>
            </w:r>
            <w:r w:rsidR="00DE32BF">
              <w:rPr>
                <w:rFonts w:cs="Arial"/>
                <w:sz w:val="20"/>
                <w:szCs w:val="20"/>
              </w:rPr>
              <w:t>0</w:t>
            </w:r>
            <w:r w:rsidRPr="00674FAE">
              <w:rPr>
                <w:rFonts w:cs="Arial"/>
                <w:sz w:val="20"/>
                <w:szCs w:val="20"/>
              </w:rPr>
              <w:t>,000</w:t>
            </w:r>
          </w:p>
        </w:tc>
        <w:tc>
          <w:tcPr>
            <w:tcW w:w="1311" w:type="dxa"/>
            <w:tcBorders>
              <w:top w:val="nil"/>
              <w:left w:val="single" w:sz="4" w:space="0" w:color="000000"/>
              <w:bottom w:val="nil"/>
              <w:right w:val="double" w:sz="6" w:space="0" w:color="000000"/>
            </w:tcBorders>
            <w:tcMar>
              <w:top w:w="15" w:type="dxa"/>
              <w:left w:w="15" w:type="dxa"/>
              <w:bottom w:w="0" w:type="dxa"/>
              <w:right w:w="72" w:type="dxa"/>
            </w:tcMar>
            <w:vAlign w:val="center"/>
          </w:tcPr>
          <w:p w:rsidR="0066668B" w:rsidRPr="00674FAE" w:rsidRDefault="0066668B" w:rsidP="005C0A3E">
            <w:pPr>
              <w:jc w:val="right"/>
              <w:rPr>
                <w:rFonts w:cs="Arial"/>
                <w:sz w:val="20"/>
                <w:szCs w:val="20"/>
              </w:rPr>
            </w:pPr>
            <w:r w:rsidRPr="00674FAE">
              <w:rPr>
                <w:rFonts w:cs="Arial"/>
                <w:sz w:val="20"/>
                <w:szCs w:val="20"/>
              </w:rPr>
              <w:t>$</w:t>
            </w:r>
            <w:r w:rsidR="005C0A3E">
              <w:rPr>
                <w:rFonts w:cs="Arial"/>
                <w:sz w:val="20"/>
                <w:szCs w:val="20"/>
              </w:rPr>
              <w:t>5</w:t>
            </w:r>
            <w:r w:rsidR="006760E6">
              <w:rPr>
                <w:rFonts w:cs="Arial"/>
                <w:sz w:val="20"/>
                <w:szCs w:val="20"/>
              </w:rPr>
              <w:t>1,</w:t>
            </w:r>
            <w:r w:rsidR="005C0A3E">
              <w:rPr>
                <w:rFonts w:cs="Arial"/>
                <w:sz w:val="20"/>
                <w:szCs w:val="20"/>
              </w:rPr>
              <w:t>5</w:t>
            </w:r>
            <w:r w:rsidRPr="00674FAE">
              <w:rPr>
                <w:rFonts w:cs="Arial"/>
                <w:sz w:val="20"/>
                <w:szCs w:val="20"/>
              </w:rPr>
              <w:t>00,000</w:t>
            </w:r>
          </w:p>
        </w:tc>
      </w:tr>
      <w:tr w:rsidR="0066668B" w:rsidRPr="00674FAE" w:rsidTr="0066668B">
        <w:trPr>
          <w:trHeight w:val="255"/>
        </w:trPr>
        <w:tc>
          <w:tcPr>
            <w:tcW w:w="2422" w:type="dxa"/>
            <w:tcBorders>
              <w:top w:val="single" w:sz="4" w:space="0" w:color="000000"/>
              <w:left w:val="double" w:sz="6" w:space="0" w:color="000000"/>
              <w:bottom w:val="nil"/>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Prepare a Contingency Plan</w:t>
            </w:r>
          </w:p>
        </w:tc>
        <w:tc>
          <w:tcPr>
            <w:tcW w:w="144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277AD3" w:rsidP="00277AD3">
            <w:pPr>
              <w:jc w:val="right"/>
              <w:rPr>
                <w:rFonts w:cs="Arial"/>
                <w:sz w:val="20"/>
                <w:szCs w:val="20"/>
              </w:rPr>
            </w:pPr>
            <w:r>
              <w:rPr>
                <w:rFonts w:cs="Arial"/>
                <w:sz w:val="20"/>
                <w:szCs w:val="20"/>
              </w:rPr>
              <w:t>2,579</w:t>
            </w:r>
          </w:p>
        </w:tc>
        <w:tc>
          <w:tcPr>
            <w:tcW w:w="139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13,7</w:t>
            </w:r>
            <w:r w:rsidR="0066668B">
              <w:rPr>
                <w:rFonts w:cs="Arial"/>
                <w:sz w:val="20"/>
                <w:szCs w:val="20"/>
              </w:rPr>
              <w:t>0</w:t>
            </w:r>
            <w:r w:rsidR="00A21510">
              <w:rPr>
                <w:rFonts w:cs="Arial"/>
                <w:sz w:val="20"/>
                <w:szCs w:val="20"/>
              </w:rPr>
              <w:t>0</w:t>
            </w:r>
          </w:p>
        </w:tc>
        <w:tc>
          <w:tcPr>
            <w:tcW w:w="135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3,786</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20,1</w:t>
            </w:r>
            <w:r w:rsidR="007739BB">
              <w:rPr>
                <w:rFonts w:cs="Arial"/>
                <w:sz w:val="20"/>
                <w:szCs w:val="20"/>
              </w:rPr>
              <w:t>0</w:t>
            </w:r>
            <w:r w:rsidR="00A21510">
              <w:rPr>
                <w:rFonts w:cs="Arial"/>
                <w:sz w:val="20"/>
                <w:szCs w:val="20"/>
              </w:rPr>
              <w:t>0</w:t>
            </w:r>
          </w:p>
        </w:tc>
        <w:tc>
          <w:tcPr>
            <w:tcW w:w="152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20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66668B" w:rsidRPr="00674FAE" w:rsidRDefault="0066668B" w:rsidP="005C0A3E">
            <w:pPr>
              <w:jc w:val="right"/>
              <w:rPr>
                <w:rFonts w:cs="Arial"/>
                <w:sz w:val="20"/>
                <w:szCs w:val="20"/>
              </w:rPr>
            </w:pPr>
            <w:r w:rsidRPr="00674FAE">
              <w:rPr>
                <w:rFonts w:cs="Arial"/>
                <w:sz w:val="20"/>
                <w:szCs w:val="20"/>
              </w:rPr>
              <w:t>$</w:t>
            </w:r>
            <w:r w:rsidR="005C0A3E">
              <w:rPr>
                <w:rFonts w:cs="Arial"/>
                <w:sz w:val="20"/>
                <w:szCs w:val="20"/>
              </w:rPr>
              <w:t>895</w:t>
            </w:r>
            <w:r w:rsidRPr="00674FAE">
              <w:rPr>
                <w:rFonts w:cs="Arial"/>
                <w:sz w:val="20"/>
                <w:szCs w:val="20"/>
              </w:rPr>
              <w:t>,000</w:t>
            </w:r>
          </w:p>
        </w:tc>
      </w:tr>
      <w:tr w:rsidR="0066668B" w:rsidRPr="00674FAE" w:rsidTr="0066668B">
        <w:trPr>
          <w:trHeight w:val="795"/>
        </w:trPr>
        <w:tc>
          <w:tcPr>
            <w:tcW w:w="2422"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Submit Information in the Event of Certain Discharges of Oil</w:t>
            </w:r>
          </w:p>
        </w:tc>
        <w:tc>
          <w:tcPr>
            <w:tcW w:w="144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6</w:t>
            </w:r>
          </w:p>
        </w:tc>
        <w:tc>
          <w:tcPr>
            <w:tcW w:w="139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6</w:t>
            </w:r>
          </w:p>
        </w:tc>
        <w:tc>
          <w:tcPr>
            <w:tcW w:w="135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12</w:t>
            </w:r>
          </w:p>
        </w:tc>
        <w:tc>
          <w:tcPr>
            <w:tcW w:w="152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Pr="00674FAE" w:rsidRDefault="0066668B" w:rsidP="005C0A3E">
            <w:pPr>
              <w:jc w:val="right"/>
              <w:rPr>
                <w:rFonts w:cs="Arial"/>
                <w:sz w:val="20"/>
                <w:szCs w:val="20"/>
              </w:rPr>
            </w:pPr>
            <w:r w:rsidRPr="00674FAE">
              <w:rPr>
                <w:rFonts w:cs="Arial"/>
                <w:sz w:val="20"/>
                <w:szCs w:val="20"/>
              </w:rPr>
              <w:t>$</w:t>
            </w:r>
            <w:r w:rsidR="005C0A3E">
              <w:rPr>
                <w:rFonts w:cs="Arial"/>
                <w:sz w:val="20"/>
                <w:szCs w:val="20"/>
              </w:rPr>
              <w:t>119</w:t>
            </w:r>
          </w:p>
        </w:tc>
        <w:tc>
          <w:tcPr>
            <w:tcW w:w="120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66668B" w:rsidRPr="00674FAE" w:rsidRDefault="0066668B" w:rsidP="005C0A3E">
            <w:pPr>
              <w:jc w:val="right"/>
              <w:rPr>
                <w:rFonts w:cs="Arial"/>
                <w:sz w:val="20"/>
                <w:szCs w:val="20"/>
              </w:rPr>
            </w:pPr>
            <w:r w:rsidRPr="00674FAE">
              <w:rPr>
                <w:rFonts w:cs="Arial"/>
                <w:sz w:val="20"/>
                <w:szCs w:val="20"/>
              </w:rPr>
              <w:t>$</w:t>
            </w:r>
            <w:r w:rsidR="005C0A3E">
              <w:rPr>
                <w:rFonts w:cs="Arial"/>
                <w:sz w:val="20"/>
                <w:szCs w:val="20"/>
              </w:rPr>
              <w:t>875</w:t>
            </w:r>
          </w:p>
        </w:tc>
      </w:tr>
      <w:tr w:rsidR="0066668B" w:rsidRPr="00674FAE" w:rsidTr="0066668B">
        <w:trPr>
          <w:trHeight w:val="255"/>
        </w:trPr>
        <w:tc>
          <w:tcPr>
            <w:tcW w:w="2422" w:type="dxa"/>
            <w:tcBorders>
              <w:top w:val="nil"/>
              <w:left w:val="double" w:sz="6" w:space="0" w:color="000000"/>
              <w:bottom w:val="single" w:sz="4" w:space="0" w:color="000000"/>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Revise the SPCC Plan</w:t>
            </w:r>
          </w:p>
        </w:tc>
        <w:tc>
          <w:tcPr>
            <w:tcW w:w="144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35</w:t>
            </w:r>
          </w:p>
        </w:tc>
        <w:tc>
          <w:tcPr>
            <w:tcW w:w="139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207</w:t>
            </w:r>
          </w:p>
        </w:tc>
        <w:tc>
          <w:tcPr>
            <w:tcW w:w="135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28</w:t>
            </w:r>
          </w:p>
        </w:tc>
        <w:tc>
          <w:tcPr>
            <w:tcW w:w="977"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269</w:t>
            </w:r>
          </w:p>
        </w:tc>
        <w:tc>
          <w:tcPr>
            <w:tcW w:w="1526"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20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r>
      <w:tr w:rsidR="0066668B" w:rsidRPr="00674FAE" w:rsidTr="0066668B">
        <w:trPr>
          <w:trHeight w:val="525"/>
        </w:trPr>
        <w:tc>
          <w:tcPr>
            <w:tcW w:w="2422" w:type="dxa"/>
            <w:tcBorders>
              <w:top w:val="nil"/>
              <w:left w:val="double" w:sz="6" w:space="0" w:color="000000"/>
              <w:bottom w:val="double" w:sz="6" w:space="0" w:color="000000"/>
              <w:right w:val="nil"/>
            </w:tcBorders>
            <w:tcMar>
              <w:top w:w="15" w:type="dxa"/>
              <w:left w:w="15" w:type="dxa"/>
              <w:bottom w:w="0" w:type="dxa"/>
              <w:right w:w="15" w:type="dxa"/>
            </w:tcMar>
            <w:vAlign w:val="center"/>
          </w:tcPr>
          <w:p w:rsidR="0066668B" w:rsidRPr="00674FAE" w:rsidRDefault="0066668B">
            <w:pPr>
              <w:rPr>
                <w:rFonts w:eastAsia="Arial Unicode MS" w:cs="Arial"/>
                <w:sz w:val="20"/>
                <w:szCs w:val="20"/>
              </w:rPr>
            </w:pPr>
            <w:r w:rsidRPr="00674FAE">
              <w:rPr>
                <w:rFonts w:cs="Arial"/>
                <w:sz w:val="20"/>
                <w:szCs w:val="20"/>
              </w:rPr>
              <w:t>Maintain the SPCC Plan and Keep Records</w:t>
            </w:r>
          </w:p>
        </w:tc>
        <w:tc>
          <w:tcPr>
            <w:tcW w:w="1445"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98"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66668B" w:rsidRDefault="00277AD3" w:rsidP="0066668B">
            <w:pPr>
              <w:jc w:val="right"/>
              <w:rPr>
                <w:rFonts w:cs="Arial"/>
                <w:sz w:val="20"/>
                <w:szCs w:val="20"/>
              </w:rPr>
            </w:pPr>
            <w:r>
              <w:rPr>
                <w:rFonts w:cs="Arial"/>
                <w:sz w:val="20"/>
                <w:szCs w:val="20"/>
              </w:rPr>
              <w:t>7,510</w:t>
            </w:r>
          </w:p>
        </w:tc>
        <w:tc>
          <w:tcPr>
            <w:tcW w:w="135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136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66668B" w:rsidRDefault="0066668B" w:rsidP="0066668B">
            <w:pPr>
              <w:jc w:val="right"/>
              <w:rPr>
                <w:rFonts w:cs="Arial"/>
                <w:sz w:val="20"/>
                <w:szCs w:val="20"/>
              </w:rPr>
            </w:pPr>
            <w:r>
              <w:rPr>
                <w:rFonts w:cs="Arial"/>
                <w:sz w:val="20"/>
                <w:szCs w:val="20"/>
              </w:rPr>
              <w:t>0</w:t>
            </w:r>
          </w:p>
        </w:tc>
        <w:tc>
          <w:tcPr>
            <w:tcW w:w="97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66668B" w:rsidRDefault="005C0A3E" w:rsidP="0066668B">
            <w:pPr>
              <w:jc w:val="right"/>
              <w:rPr>
                <w:rFonts w:cs="Arial"/>
                <w:sz w:val="20"/>
                <w:szCs w:val="20"/>
              </w:rPr>
            </w:pPr>
            <w:r>
              <w:rPr>
                <w:rFonts w:cs="Arial"/>
                <w:sz w:val="20"/>
                <w:szCs w:val="20"/>
              </w:rPr>
              <w:t>7,510</w:t>
            </w:r>
          </w:p>
        </w:tc>
        <w:tc>
          <w:tcPr>
            <w:tcW w:w="152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66668B" w:rsidRPr="00674FAE" w:rsidRDefault="0066668B" w:rsidP="005C0A3E">
            <w:pPr>
              <w:jc w:val="right"/>
              <w:rPr>
                <w:rFonts w:cs="Arial"/>
                <w:sz w:val="20"/>
                <w:szCs w:val="20"/>
              </w:rPr>
            </w:pPr>
            <w:r w:rsidRPr="00674FAE">
              <w:rPr>
                <w:rFonts w:cs="Arial"/>
                <w:sz w:val="20"/>
                <w:szCs w:val="20"/>
              </w:rPr>
              <w:t>$</w:t>
            </w:r>
            <w:r w:rsidR="005C0A3E">
              <w:rPr>
                <w:rFonts w:cs="Arial"/>
                <w:sz w:val="20"/>
                <w:szCs w:val="20"/>
              </w:rPr>
              <w:t>57</w:t>
            </w:r>
            <w:r w:rsidR="00A21510">
              <w:rPr>
                <w:rFonts w:cs="Arial"/>
                <w:sz w:val="20"/>
                <w:szCs w:val="20"/>
              </w:rPr>
              <w:t>0</w:t>
            </w:r>
            <w:r w:rsidRPr="00674FAE">
              <w:rPr>
                <w:rFonts w:cs="Arial"/>
                <w:sz w:val="20"/>
                <w:szCs w:val="20"/>
              </w:rPr>
              <w:t>,000</w:t>
            </w:r>
          </w:p>
        </w:tc>
        <w:tc>
          <w:tcPr>
            <w:tcW w:w="120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66668B" w:rsidRPr="00674FAE" w:rsidRDefault="0066668B" w:rsidP="00841654">
            <w:pPr>
              <w:jc w:val="right"/>
              <w:rPr>
                <w:rFonts w:cs="Arial"/>
                <w:sz w:val="20"/>
                <w:szCs w:val="20"/>
              </w:rPr>
            </w:pPr>
            <w:r w:rsidRPr="00674FAE">
              <w:rPr>
                <w:rFonts w:cs="Arial"/>
                <w:sz w:val="20"/>
                <w:szCs w:val="20"/>
              </w:rPr>
              <w:t>$0</w:t>
            </w:r>
          </w:p>
        </w:tc>
        <w:tc>
          <w:tcPr>
            <w:tcW w:w="1311"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66668B" w:rsidRPr="00674FAE" w:rsidRDefault="0066668B" w:rsidP="005C0A3E">
            <w:pPr>
              <w:jc w:val="right"/>
              <w:rPr>
                <w:rFonts w:cs="Arial"/>
                <w:sz w:val="20"/>
                <w:szCs w:val="20"/>
              </w:rPr>
            </w:pPr>
            <w:r w:rsidRPr="00674FAE">
              <w:rPr>
                <w:rFonts w:cs="Arial"/>
                <w:sz w:val="20"/>
                <w:szCs w:val="20"/>
              </w:rPr>
              <w:t>$1,</w:t>
            </w:r>
            <w:r w:rsidR="005C0A3E">
              <w:rPr>
                <w:rFonts w:cs="Arial"/>
                <w:sz w:val="20"/>
                <w:szCs w:val="20"/>
              </w:rPr>
              <w:t>99</w:t>
            </w:r>
            <w:r w:rsidRPr="00674FAE">
              <w:rPr>
                <w:rFonts w:cs="Arial"/>
                <w:sz w:val="20"/>
                <w:szCs w:val="20"/>
              </w:rPr>
              <w:t>0,000</w:t>
            </w:r>
          </w:p>
        </w:tc>
      </w:tr>
      <w:tr w:rsidR="0066668B" w:rsidRPr="00854FC2" w:rsidTr="0066668B">
        <w:trPr>
          <w:trHeight w:val="285"/>
        </w:trPr>
        <w:tc>
          <w:tcPr>
            <w:tcW w:w="2422" w:type="dxa"/>
            <w:tcBorders>
              <w:top w:val="nil"/>
              <w:left w:val="double" w:sz="6" w:space="0" w:color="000000"/>
              <w:bottom w:val="double" w:sz="6" w:space="0" w:color="auto"/>
              <w:right w:val="nil"/>
            </w:tcBorders>
            <w:tcMar>
              <w:top w:w="15" w:type="dxa"/>
              <w:left w:w="15" w:type="dxa"/>
              <w:bottom w:w="0" w:type="dxa"/>
              <w:right w:w="15" w:type="dxa"/>
            </w:tcMar>
            <w:vAlign w:val="center"/>
          </w:tcPr>
          <w:p w:rsidR="0066668B" w:rsidRPr="00674FAE" w:rsidRDefault="0066668B">
            <w:pPr>
              <w:rPr>
                <w:rFonts w:eastAsia="Arial Unicode MS" w:cs="Arial"/>
                <w:b/>
                <w:bCs/>
                <w:sz w:val="20"/>
                <w:szCs w:val="20"/>
              </w:rPr>
            </w:pPr>
            <w:r w:rsidRPr="00674FAE">
              <w:rPr>
                <w:rFonts w:cs="Arial"/>
                <w:b/>
                <w:bCs/>
                <w:sz w:val="20"/>
                <w:szCs w:val="20"/>
              </w:rPr>
              <w:t>TOTAL</w:t>
            </w:r>
          </w:p>
        </w:tc>
        <w:tc>
          <w:tcPr>
            <w:tcW w:w="1445"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277AD3" w:rsidP="00277AD3">
            <w:pPr>
              <w:jc w:val="right"/>
              <w:rPr>
                <w:rFonts w:cs="Arial"/>
                <w:b/>
                <w:bCs/>
                <w:sz w:val="20"/>
                <w:szCs w:val="20"/>
              </w:rPr>
            </w:pPr>
            <w:r>
              <w:rPr>
                <w:rFonts w:cs="Arial"/>
                <w:b/>
                <w:bCs/>
                <w:sz w:val="20"/>
                <w:szCs w:val="20"/>
              </w:rPr>
              <w:t>2</w:t>
            </w:r>
            <w:r w:rsidR="0066668B">
              <w:rPr>
                <w:rFonts w:cs="Arial"/>
                <w:b/>
                <w:bCs/>
                <w:sz w:val="20"/>
                <w:szCs w:val="20"/>
              </w:rPr>
              <w:t>5,</w:t>
            </w:r>
            <w:r>
              <w:rPr>
                <w:rFonts w:cs="Arial"/>
                <w:b/>
                <w:bCs/>
                <w:sz w:val="20"/>
                <w:szCs w:val="20"/>
              </w:rPr>
              <w:t>0</w:t>
            </w:r>
            <w:r w:rsidR="00A21510">
              <w:rPr>
                <w:rFonts w:cs="Arial"/>
                <w:b/>
                <w:bCs/>
                <w:sz w:val="20"/>
                <w:szCs w:val="20"/>
              </w:rPr>
              <w:t>00</w:t>
            </w:r>
          </w:p>
        </w:tc>
        <w:tc>
          <w:tcPr>
            <w:tcW w:w="1398"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277AD3" w:rsidP="0066668B">
            <w:pPr>
              <w:jc w:val="right"/>
              <w:rPr>
                <w:rFonts w:cs="Arial"/>
                <w:b/>
                <w:bCs/>
                <w:sz w:val="20"/>
                <w:szCs w:val="20"/>
              </w:rPr>
            </w:pPr>
            <w:r>
              <w:rPr>
                <w:rFonts w:cs="Arial"/>
                <w:b/>
                <w:bCs/>
                <w:sz w:val="20"/>
                <w:szCs w:val="20"/>
              </w:rPr>
              <w:t>309</w:t>
            </w:r>
            <w:r w:rsidR="00A21510">
              <w:rPr>
                <w:rFonts w:cs="Arial"/>
                <w:b/>
                <w:bCs/>
                <w:sz w:val="20"/>
                <w:szCs w:val="20"/>
              </w:rPr>
              <w:t>,000</w:t>
            </w:r>
          </w:p>
        </w:tc>
        <w:tc>
          <w:tcPr>
            <w:tcW w:w="1356"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321A01" w:rsidRDefault="005C0A3E" w:rsidP="0066668B">
            <w:pPr>
              <w:jc w:val="right"/>
              <w:rPr>
                <w:rFonts w:cs="Arial"/>
                <w:b/>
                <w:sz w:val="20"/>
                <w:szCs w:val="20"/>
              </w:rPr>
            </w:pPr>
            <w:r>
              <w:rPr>
                <w:rFonts w:cs="Arial"/>
                <w:b/>
                <w:sz w:val="20"/>
                <w:szCs w:val="20"/>
              </w:rPr>
              <w:t>119,0</w:t>
            </w:r>
            <w:r w:rsidR="00A21510" w:rsidRPr="00321A01">
              <w:rPr>
                <w:rFonts w:cs="Arial"/>
                <w:b/>
                <w:sz w:val="20"/>
                <w:szCs w:val="20"/>
              </w:rPr>
              <w:t>0</w:t>
            </w:r>
            <w:r w:rsidR="0066668B" w:rsidRPr="00321A01">
              <w:rPr>
                <w:rFonts w:cs="Arial"/>
                <w:b/>
                <w:sz w:val="20"/>
                <w:szCs w:val="20"/>
              </w:rPr>
              <w:t>0</w:t>
            </w:r>
          </w:p>
        </w:tc>
        <w:tc>
          <w:tcPr>
            <w:tcW w:w="1366"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321A01" w:rsidRDefault="005C0A3E" w:rsidP="0066668B">
            <w:pPr>
              <w:jc w:val="right"/>
              <w:rPr>
                <w:rFonts w:cs="Arial"/>
                <w:b/>
                <w:bCs/>
                <w:sz w:val="20"/>
                <w:szCs w:val="20"/>
              </w:rPr>
            </w:pPr>
            <w:r>
              <w:rPr>
                <w:rFonts w:cs="Arial"/>
                <w:b/>
                <w:bCs/>
                <w:sz w:val="20"/>
                <w:szCs w:val="20"/>
              </w:rPr>
              <w:t>27,5</w:t>
            </w:r>
            <w:r w:rsidR="0066668B" w:rsidRPr="00321A01">
              <w:rPr>
                <w:rFonts w:cs="Arial"/>
                <w:b/>
                <w:bCs/>
                <w:sz w:val="20"/>
                <w:szCs w:val="20"/>
              </w:rPr>
              <w:t>0</w:t>
            </w:r>
            <w:r w:rsidR="00A21510" w:rsidRPr="00321A01">
              <w:rPr>
                <w:rFonts w:cs="Arial"/>
                <w:b/>
                <w:bCs/>
                <w:sz w:val="20"/>
                <w:szCs w:val="20"/>
              </w:rPr>
              <w:t>0</w:t>
            </w:r>
          </w:p>
        </w:tc>
        <w:tc>
          <w:tcPr>
            <w:tcW w:w="977"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Default="005C0A3E" w:rsidP="0066668B">
            <w:pPr>
              <w:jc w:val="right"/>
              <w:rPr>
                <w:rFonts w:cs="Arial"/>
                <w:b/>
                <w:bCs/>
                <w:sz w:val="20"/>
                <w:szCs w:val="20"/>
              </w:rPr>
            </w:pPr>
            <w:r>
              <w:rPr>
                <w:rFonts w:cs="Arial"/>
                <w:b/>
                <w:bCs/>
                <w:sz w:val="20"/>
                <w:szCs w:val="20"/>
              </w:rPr>
              <w:t>480,0</w:t>
            </w:r>
            <w:r w:rsidR="00A21510">
              <w:rPr>
                <w:rFonts w:cs="Arial"/>
                <w:b/>
                <w:bCs/>
                <w:sz w:val="20"/>
                <w:szCs w:val="20"/>
              </w:rPr>
              <w:t>00</w:t>
            </w:r>
          </w:p>
        </w:tc>
        <w:tc>
          <w:tcPr>
            <w:tcW w:w="1526"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674FAE" w:rsidRDefault="0066668B" w:rsidP="005C0A3E">
            <w:pPr>
              <w:jc w:val="right"/>
              <w:rPr>
                <w:rFonts w:cs="Arial"/>
                <w:b/>
                <w:bCs/>
                <w:sz w:val="20"/>
                <w:szCs w:val="20"/>
              </w:rPr>
            </w:pPr>
            <w:r w:rsidRPr="00674FAE">
              <w:rPr>
                <w:rFonts w:cs="Arial"/>
                <w:b/>
                <w:bCs/>
                <w:sz w:val="20"/>
                <w:szCs w:val="20"/>
              </w:rPr>
              <w:t>$</w:t>
            </w:r>
            <w:r w:rsidR="005C0A3E">
              <w:rPr>
                <w:rFonts w:cs="Arial"/>
                <w:b/>
                <w:bCs/>
                <w:sz w:val="20"/>
                <w:szCs w:val="20"/>
              </w:rPr>
              <w:t>57</w:t>
            </w:r>
            <w:r w:rsidR="00A21510">
              <w:rPr>
                <w:rFonts w:cs="Arial"/>
                <w:b/>
                <w:bCs/>
                <w:sz w:val="20"/>
                <w:szCs w:val="20"/>
              </w:rPr>
              <w:t>0</w:t>
            </w:r>
            <w:r w:rsidRPr="00674FAE">
              <w:rPr>
                <w:rFonts w:cs="Arial"/>
                <w:b/>
                <w:bCs/>
                <w:sz w:val="20"/>
                <w:szCs w:val="20"/>
              </w:rPr>
              <w:t>,000</w:t>
            </w:r>
          </w:p>
        </w:tc>
        <w:tc>
          <w:tcPr>
            <w:tcW w:w="1200" w:type="dxa"/>
            <w:tcBorders>
              <w:top w:val="nil"/>
              <w:left w:val="single" w:sz="4" w:space="0" w:color="000000"/>
              <w:bottom w:val="double" w:sz="6" w:space="0" w:color="auto"/>
              <w:right w:val="nil"/>
            </w:tcBorders>
            <w:tcMar>
              <w:top w:w="15" w:type="dxa"/>
              <w:left w:w="15" w:type="dxa"/>
              <w:bottom w:w="0" w:type="dxa"/>
              <w:right w:w="72" w:type="dxa"/>
            </w:tcMar>
            <w:vAlign w:val="center"/>
          </w:tcPr>
          <w:p w:rsidR="0066668B" w:rsidRPr="00303239" w:rsidRDefault="00303239" w:rsidP="005C0A3E">
            <w:pPr>
              <w:jc w:val="right"/>
              <w:rPr>
                <w:rFonts w:cs="Arial"/>
                <w:b/>
                <w:bCs/>
                <w:sz w:val="20"/>
                <w:szCs w:val="20"/>
              </w:rPr>
            </w:pPr>
            <w:r w:rsidRPr="00303239">
              <w:rPr>
                <w:rFonts w:cs="Arial"/>
                <w:b/>
                <w:sz w:val="20"/>
                <w:szCs w:val="20"/>
              </w:rPr>
              <w:t>$</w:t>
            </w:r>
            <w:r w:rsidR="005C0A3E">
              <w:rPr>
                <w:rFonts w:cs="Arial"/>
                <w:b/>
                <w:sz w:val="20"/>
                <w:szCs w:val="20"/>
              </w:rPr>
              <w:t>14,43</w:t>
            </w:r>
            <w:r w:rsidR="00910B18">
              <w:rPr>
                <w:rFonts w:cs="Arial"/>
                <w:b/>
                <w:sz w:val="20"/>
                <w:szCs w:val="20"/>
              </w:rPr>
              <w:t>0</w:t>
            </w:r>
            <w:r w:rsidRPr="00303239">
              <w:rPr>
                <w:rFonts w:cs="Arial"/>
                <w:b/>
                <w:sz w:val="20"/>
                <w:szCs w:val="20"/>
              </w:rPr>
              <w:t>,000</w:t>
            </w:r>
          </w:p>
        </w:tc>
        <w:tc>
          <w:tcPr>
            <w:tcW w:w="1311"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66668B" w:rsidRPr="00674FAE" w:rsidRDefault="0066668B" w:rsidP="005C0A3E">
            <w:pPr>
              <w:jc w:val="right"/>
              <w:rPr>
                <w:rFonts w:cs="Arial"/>
                <w:b/>
                <w:bCs/>
                <w:sz w:val="20"/>
                <w:szCs w:val="20"/>
              </w:rPr>
            </w:pPr>
            <w:r w:rsidRPr="00674FAE">
              <w:rPr>
                <w:rFonts w:cs="Arial"/>
                <w:b/>
                <w:bCs/>
                <w:sz w:val="20"/>
                <w:szCs w:val="20"/>
              </w:rPr>
              <w:t>$</w:t>
            </w:r>
            <w:r w:rsidR="005C0A3E">
              <w:rPr>
                <w:rFonts w:cs="Arial"/>
                <w:b/>
                <w:bCs/>
                <w:sz w:val="20"/>
                <w:szCs w:val="20"/>
              </w:rPr>
              <w:t>54</w:t>
            </w:r>
            <w:r w:rsidRPr="00674FAE">
              <w:rPr>
                <w:rFonts w:cs="Arial"/>
                <w:b/>
                <w:bCs/>
                <w:sz w:val="20"/>
                <w:szCs w:val="20"/>
              </w:rPr>
              <w:t>,</w:t>
            </w:r>
            <w:r w:rsidR="006760E6">
              <w:rPr>
                <w:rFonts w:cs="Arial"/>
                <w:b/>
                <w:bCs/>
                <w:sz w:val="20"/>
                <w:szCs w:val="20"/>
              </w:rPr>
              <w:t>4</w:t>
            </w:r>
            <w:r w:rsidRPr="00674FAE">
              <w:rPr>
                <w:rFonts w:cs="Arial"/>
                <w:b/>
                <w:bCs/>
                <w:sz w:val="20"/>
                <w:szCs w:val="20"/>
              </w:rPr>
              <w:t>00,000</w:t>
            </w:r>
          </w:p>
        </w:tc>
      </w:tr>
      <w:tr w:rsidR="00D85665" w:rsidRPr="00854FC2" w:rsidTr="007157C0">
        <w:trPr>
          <w:cantSplit/>
          <w:trHeight w:val="228"/>
        </w:trPr>
        <w:tc>
          <w:tcPr>
            <w:tcW w:w="13001"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sidR="00914384">
              <w:rPr>
                <w:rFonts w:cs="Arial"/>
                <w:sz w:val="18"/>
                <w:szCs w:val="18"/>
              </w:rPr>
              <w:t>estimated totals</w:t>
            </w:r>
            <w:r w:rsidRPr="00854FC2">
              <w:rPr>
                <w:rFonts w:cs="Arial"/>
                <w:sz w:val="18"/>
                <w:szCs w:val="18"/>
              </w:rPr>
              <w:t xml:space="preserve">, rounded to the nearest </w:t>
            </w:r>
            <w:r w:rsidR="00914384">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  The numbers in this exhibit may not add precisely due to rounding. </w:t>
            </w:r>
          </w:p>
        </w:tc>
      </w:tr>
      <w:tr w:rsidR="00D85665" w:rsidRPr="00854FC2" w:rsidTr="007157C0">
        <w:trPr>
          <w:cantSplit/>
          <w:trHeight w:val="255"/>
        </w:trPr>
        <w:tc>
          <w:tcPr>
            <w:tcW w:w="0" w:type="auto"/>
            <w:gridSpan w:val="9"/>
            <w:vMerge/>
            <w:tcBorders>
              <w:top w:val="double" w:sz="6" w:space="0" w:color="auto"/>
              <w:left w:val="nil"/>
              <w:bottom w:val="nil"/>
              <w:right w:val="nil"/>
            </w:tcBorders>
            <w:vAlign w:val="center"/>
          </w:tcPr>
          <w:p w:rsidR="00D85665" w:rsidRPr="00854FC2" w:rsidRDefault="00D85665">
            <w:pPr>
              <w:rPr>
                <w:rFonts w:eastAsia="Arial Unicode MS" w:cs="Arial"/>
                <w:sz w:val="18"/>
                <w:szCs w:val="18"/>
              </w:rPr>
            </w:pPr>
          </w:p>
        </w:tc>
      </w:tr>
      <w:tr w:rsidR="00D85665" w:rsidRPr="00854FC2" w:rsidTr="007157C0">
        <w:trPr>
          <w:trHeight w:val="270"/>
        </w:trPr>
        <w:tc>
          <w:tcPr>
            <w:tcW w:w="0" w:type="auto"/>
            <w:gridSpan w:val="9"/>
            <w:tcBorders>
              <w:top w:val="nil"/>
              <w:left w:val="nil"/>
              <w:bottom w:val="nil"/>
              <w:right w:val="nil"/>
            </w:tcBorders>
            <w:noWrap/>
            <w:tcMar>
              <w:top w:w="0" w:type="dxa"/>
              <w:left w:w="15" w:type="dxa"/>
              <w:bottom w:w="0" w:type="dxa"/>
              <w:right w:w="15" w:type="dxa"/>
            </w:tcMar>
            <w:vAlign w:val="bottom"/>
          </w:tcPr>
          <w:p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sidR="00914384">
              <w:rPr>
                <w:rFonts w:cs="Arial"/>
                <w:sz w:val="18"/>
                <w:szCs w:val="18"/>
              </w:rPr>
              <w:t>three significant figures</w:t>
            </w:r>
            <w:r w:rsidRPr="00854FC2">
              <w:rPr>
                <w:rFonts w:cs="Arial"/>
                <w:sz w:val="18"/>
                <w:szCs w:val="18"/>
              </w:rPr>
              <w:t>.</w:t>
            </w:r>
          </w:p>
        </w:tc>
      </w:tr>
      <w:tr w:rsidR="00D85665" w:rsidRPr="00854FC2" w:rsidTr="007157C0">
        <w:trPr>
          <w:cantSplit/>
          <w:trHeight w:val="360"/>
        </w:trPr>
        <w:tc>
          <w:tcPr>
            <w:tcW w:w="13001" w:type="dxa"/>
            <w:gridSpan w:val="9"/>
            <w:vMerge w:val="restart"/>
            <w:tcBorders>
              <w:top w:val="nil"/>
              <w:left w:val="nil"/>
              <w:bottom w:val="nil"/>
              <w:right w:val="nil"/>
            </w:tcBorders>
            <w:tcMar>
              <w:top w:w="0" w:type="dxa"/>
              <w:left w:w="15" w:type="dxa"/>
              <w:bottom w:w="0" w:type="dxa"/>
              <w:right w:w="15" w:type="dxa"/>
            </w:tcMar>
            <w:vAlign w:val="bottom"/>
          </w:tcPr>
          <w:p w:rsidR="00D85665" w:rsidRPr="00854FC2" w:rsidRDefault="00D85665">
            <w:pPr>
              <w:rPr>
                <w:rFonts w:eastAsia="Arial Unicode MS" w:cs="Arial"/>
                <w:sz w:val="18"/>
                <w:szCs w:val="18"/>
              </w:rPr>
            </w:pPr>
          </w:p>
        </w:tc>
      </w:tr>
      <w:tr w:rsidR="00D85665" w:rsidRPr="00854FC2" w:rsidTr="00650D03">
        <w:trPr>
          <w:cantSplit/>
          <w:trHeight w:val="228"/>
        </w:trPr>
        <w:tc>
          <w:tcPr>
            <w:tcW w:w="0" w:type="auto"/>
            <w:gridSpan w:val="9"/>
            <w:vMerge/>
            <w:tcBorders>
              <w:top w:val="nil"/>
              <w:left w:val="nil"/>
              <w:bottom w:val="nil"/>
              <w:right w:val="nil"/>
            </w:tcBorders>
            <w:vAlign w:val="center"/>
          </w:tcPr>
          <w:p w:rsidR="00D85665" w:rsidRPr="00854FC2" w:rsidRDefault="00D85665">
            <w:pPr>
              <w:rPr>
                <w:rFonts w:eastAsia="Arial Unicode MS" w:cs="Arial"/>
                <w:sz w:val="18"/>
                <w:szCs w:val="18"/>
              </w:rPr>
            </w:pPr>
          </w:p>
        </w:tc>
      </w:tr>
    </w:tbl>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sectPr w:rsidR="00D85665" w:rsidRPr="00854FC2" w:rsidSect="00650D03">
          <w:pgSz w:w="15840" w:h="12240" w:orient="landscape"/>
          <w:pgMar w:top="1440" w:right="1440" w:bottom="900" w:left="1440" w:header="1440" w:footer="720" w:gutter="0"/>
          <w:cols w:space="720"/>
          <w:noEndnote/>
        </w:sectPr>
      </w:pPr>
    </w:p>
    <w:p w:rsidR="00D85665" w:rsidRPr="0003394B" w:rsidRDefault="00D85665" w:rsidP="00A15DF0">
      <w:pPr>
        <w:pStyle w:val="Caption"/>
        <w:keepNext/>
        <w:outlineLvl w:val="0"/>
      </w:pPr>
      <w:bookmarkStart w:id="12" w:name="_Ref141695135"/>
      <w:r w:rsidRPr="00CB5A33">
        <w:lastRenderedPageBreak/>
        <w:t xml:space="preserve">Exhibit </w:t>
      </w:r>
      <w:r w:rsidR="002348E6">
        <w:fldChar w:fldCharType="begin"/>
      </w:r>
      <w:r w:rsidR="002348E6">
        <w:instrText xml:space="preserve"> SEQ Exhibit \* ARABIC </w:instrText>
      </w:r>
      <w:r w:rsidR="002348E6">
        <w:fldChar w:fldCharType="separate"/>
      </w:r>
      <w:r w:rsidR="00F61EFD">
        <w:rPr>
          <w:noProof/>
        </w:rPr>
        <w:t>17</w:t>
      </w:r>
      <w:r w:rsidR="002348E6">
        <w:fldChar w:fldCharType="end"/>
      </w:r>
      <w:bookmarkEnd w:id="12"/>
    </w:p>
    <w:tbl>
      <w:tblPr>
        <w:tblW w:w="13002" w:type="dxa"/>
        <w:tblCellMar>
          <w:left w:w="0" w:type="dxa"/>
          <w:right w:w="0" w:type="dxa"/>
        </w:tblCellMar>
        <w:tblLook w:val="0000"/>
      </w:tblPr>
      <w:tblGrid>
        <w:gridCol w:w="2523"/>
        <w:gridCol w:w="1460"/>
        <w:gridCol w:w="1432"/>
        <w:gridCol w:w="1409"/>
        <w:gridCol w:w="1415"/>
        <w:gridCol w:w="942"/>
        <w:gridCol w:w="1533"/>
        <w:gridCol w:w="1088"/>
        <w:gridCol w:w="1200"/>
      </w:tblGrid>
      <w:tr w:rsidR="00D85665" w:rsidRPr="0003394B" w:rsidTr="00914384">
        <w:trPr>
          <w:trHeight w:val="300"/>
        </w:trPr>
        <w:tc>
          <w:tcPr>
            <w:tcW w:w="13002" w:type="dxa"/>
            <w:gridSpan w:val="9"/>
            <w:tcBorders>
              <w:top w:val="nil"/>
              <w:left w:val="nil"/>
              <w:bottom w:val="nil"/>
              <w:right w:val="nil"/>
            </w:tcBorders>
            <w:noWrap/>
            <w:tcMar>
              <w:top w:w="15" w:type="dxa"/>
              <w:left w:w="15" w:type="dxa"/>
              <w:bottom w:w="0" w:type="dxa"/>
              <w:right w:w="15" w:type="dxa"/>
            </w:tcMar>
            <w:vAlign w:val="bottom"/>
          </w:tcPr>
          <w:p w:rsidR="00D85665" w:rsidRPr="0003394B" w:rsidRDefault="00C05D24">
            <w:pPr>
              <w:jc w:val="center"/>
              <w:rPr>
                <w:rFonts w:eastAsia="Arial Unicode MS" w:cs="Arial"/>
                <w:b/>
                <w:bCs/>
                <w:szCs w:val="22"/>
              </w:rPr>
            </w:pPr>
            <w:r w:rsidRPr="00854FC2">
              <w:rPr>
                <w:rFonts w:cs="Arial"/>
                <w:b/>
                <w:bCs/>
                <w:szCs w:val="22"/>
              </w:rPr>
              <w:t xml:space="preserve">Total </w:t>
            </w:r>
            <w:r w:rsidR="00D85665" w:rsidRPr="0003394B">
              <w:rPr>
                <w:rFonts w:cs="Arial"/>
                <w:b/>
                <w:bCs/>
                <w:szCs w:val="22"/>
              </w:rPr>
              <w:t>Annual Burden and Costs</w:t>
            </w:r>
            <w:r w:rsidR="009B2E9E">
              <w:rPr>
                <w:rFonts w:cs="Arial"/>
                <w:b/>
                <w:bCs/>
                <w:szCs w:val="22"/>
              </w:rPr>
              <w:t xml:space="preserve"> for All Facilities</w:t>
            </w:r>
          </w:p>
        </w:tc>
      </w:tr>
      <w:tr w:rsidR="00D85665" w:rsidRPr="0003394B" w:rsidTr="00914384">
        <w:trPr>
          <w:trHeight w:val="315"/>
        </w:trPr>
        <w:tc>
          <w:tcPr>
            <w:tcW w:w="0" w:type="auto"/>
            <w:gridSpan w:val="9"/>
            <w:tcBorders>
              <w:top w:val="nil"/>
              <w:left w:val="nil"/>
              <w:bottom w:val="double" w:sz="6" w:space="0" w:color="auto"/>
              <w:right w:val="nil"/>
            </w:tcBorders>
            <w:noWrap/>
            <w:tcMar>
              <w:top w:w="15" w:type="dxa"/>
              <w:left w:w="15" w:type="dxa"/>
              <w:bottom w:w="0" w:type="dxa"/>
              <w:right w:w="15" w:type="dxa"/>
            </w:tcMar>
            <w:vAlign w:val="bottom"/>
          </w:tcPr>
          <w:p w:rsidR="00D85665" w:rsidRPr="0003394B" w:rsidRDefault="00D85665">
            <w:pPr>
              <w:jc w:val="center"/>
              <w:rPr>
                <w:rFonts w:eastAsia="Arial Unicode MS" w:cs="Arial"/>
                <w:b/>
                <w:bCs/>
                <w:szCs w:val="22"/>
              </w:rPr>
            </w:pPr>
            <w:r w:rsidRPr="0003394B">
              <w:rPr>
                <w:rFonts w:cs="Arial"/>
                <w:b/>
                <w:bCs/>
                <w:szCs w:val="22"/>
              </w:rPr>
              <w:t>Average Category IV Facilities</w:t>
            </w:r>
          </w:p>
        </w:tc>
      </w:tr>
      <w:tr w:rsidR="00D85665" w:rsidRPr="0003394B" w:rsidTr="00914384">
        <w:trPr>
          <w:cantSplit/>
          <w:trHeight w:val="285"/>
        </w:trPr>
        <w:tc>
          <w:tcPr>
            <w:tcW w:w="2523"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D85665" w:rsidRPr="0003394B" w:rsidRDefault="00D85665">
            <w:pPr>
              <w:pStyle w:val="Heading6"/>
              <w:numPr>
                <w:ilvl w:val="0"/>
                <w:numId w:val="0"/>
              </w:numPr>
              <w:tabs>
                <w:tab w:val="clear" w:pos="0"/>
                <w:tab w:val="clear" w:pos="720"/>
                <w:tab w:val="clear" w:pos="1440"/>
              </w:tabs>
              <w:spacing w:before="0"/>
              <w:rPr>
                <w:rFonts w:eastAsia="Arial Unicode MS"/>
                <w:szCs w:val="20"/>
              </w:rPr>
            </w:pPr>
            <w:r w:rsidRPr="0003394B">
              <w:rPr>
                <w:szCs w:val="20"/>
              </w:rPr>
              <w:t>Activity</w:t>
            </w:r>
          </w:p>
        </w:tc>
        <w:tc>
          <w:tcPr>
            <w:tcW w:w="5716" w:type="dxa"/>
            <w:gridSpan w:val="4"/>
            <w:tcBorders>
              <w:top w:val="nil"/>
              <w:left w:val="nil"/>
              <w:bottom w:val="nil"/>
              <w:right w:val="single" w:sz="4" w:space="0" w:color="000000"/>
            </w:tcBorders>
            <w:tcMar>
              <w:top w:w="15" w:type="dxa"/>
              <w:left w:w="15" w:type="dxa"/>
              <w:bottom w:w="0" w:type="dxa"/>
              <w:right w:w="15" w:type="dxa"/>
            </w:tcMar>
            <w:vAlign w:val="bottom"/>
          </w:tcPr>
          <w:p w:rsidR="00D85665" w:rsidRPr="0003394B" w:rsidRDefault="00D85665">
            <w:pPr>
              <w:jc w:val="center"/>
              <w:rPr>
                <w:rFonts w:eastAsia="Arial Unicode MS" w:cs="Arial"/>
                <w:b/>
                <w:bCs/>
                <w:sz w:val="20"/>
                <w:szCs w:val="20"/>
              </w:rPr>
            </w:pPr>
            <w:r w:rsidRPr="0003394B">
              <w:rPr>
                <w:rFonts w:cs="Arial"/>
                <w:b/>
                <w:bCs/>
                <w:sz w:val="20"/>
                <w:szCs w:val="20"/>
              </w:rPr>
              <w:t>Annual Burden Hours</w:t>
            </w:r>
            <w:r w:rsidRPr="0003394B">
              <w:rPr>
                <w:rFonts w:cs="Arial"/>
                <w:b/>
                <w:bCs/>
                <w:sz w:val="20"/>
                <w:szCs w:val="20"/>
                <w:vertAlign w:val="superscript"/>
              </w:rPr>
              <w:t>1</w:t>
            </w:r>
          </w:p>
        </w:tc>
        <w:tc>
          <w:tcPr>
            <w:tcW w:w="942"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D85665" w:rsidRPr="0003394B" w:rsidRDefault="00D85665">
            <w:pPr>
              <w:jc w:val="center"/>
              <w:rPr>
                <w:rFonts w:eastAsia="Arial Unicode MS" w:cs="Arial"/>
                <w:b/>
                <w:bCs/>
                <w:sz w:val="20"/>
                <w:szCs w:val="20"/>
              </w:rPr>
            </w:pPr>
            <w:r w:rsidRPr="0003394B">
              <w:rPr>
                <w:rFonts w:cs="Arial"/>
                <w:b/>
                <w:bCs/>
                <w:sz w:val="20"/>
                <w:szCs w:val="20"/>
              </w:rPr>
              <w:t>Total Burden Hours</w:t>
            </w:r>
          </w:p>
        </w:tc>
        <w:tc>
          <w:tcPr>
            <w:tcW w:w="1533"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03394B" w:rsidRDefault="00D85665">
            <w:pPr>
              <w:jc w:val="center"/>
              <w:rPr>
                <w:rFonts w:eastAsia="Arial Unicode MS" w:cs="Arial"/>
                <w:b/>
                <w:bCs/>
                <w:sz w:val="20"/>
                <w:szCs w:val="20"/>
              </w:rPr>
            </w:pPr>
            <w:r w:rsidRPr="0003394B">
              <w:rPr>
                <w:rFonts w:cs="Arial"/>
                <w:b/>
                <w:bCs/>
                <w:sz w:val="20"/>
                <w:szCs w:val="20"/>
              </w:rPr>
              <w:t>Capital/Startup Costs</w:t>
            </w:r>
          </w:p>
        </w:tc>
        <w:tc>
          <w:tcPr>
            <w:tcW w:w="1088"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rsidR="00D85665" w:rsidRPr="0003394B" w:rsidRDefault="00D85665">
            <w:pPr>
              <w:jc w:val="center"/>
              <w:rPr>
                <w:rFonts w:eastAsia="Arial Unicode MS" w:cs="Arial"/>
                <w:b/>
                <w:bCs/>
                <w:sz w:val="20"/>
                <w:szCs w:val="20"/>
              </w:rPr>
            </w:pPr>
            <w:r w:rsidRPr="0003394B">
              <w:rPr>
                <w:rFonts w:cs="Arial"/>
                <w:b/>
                <w:bCs/>
                <w:sz w:val="20"/>
                <w:szCs w:val="20"/>
              </w:rPr>
              <w:t>PE Costs</w:t>
            </w:r>
          </w:p>
        </w:tc>
        <w:tc>
          <w:tcPr>
            <w:tcW w:w="1200"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D85665" w:rsidRPr="0003394B" w:rsidRDefault="002C0EBA" w:rsidP="007D2182">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w:t>
            </w:r>
            <w:r w:rsidR="007D2182">
              <w:rPr>
                <w:rFonts w:cs="Arial"/>
                <w:b/>
                <w:bCs/>
                <w:sz w:val="20"/>
                <w:szCs w:val="20"/>
              </w:rPr>
              <w:t>12</w:t>
            </w:r>
            <w:r>
              <w:rPr>
                <w:rFonts w:cs="Arial"/>
                <w:b/>
                <w:bCs/>
                <w:sz w:val="20"/>
                <w:szCs w:val="20"/>
              </w:rPr>
              <w:t>$)</w:t>
            </w:r>
            <w:r w:rsidRPr="00854FC2">
              <w:rPr>
                <w:rFonts w:cs="Arial"/>
                <w:b/>
                <w:bCs/>
                <w:sz w:val="20"/>
                <w:szCs w:val="20"/>
                <w:vertAlign w:val="superscript"/>
              </w:rPr>
              <w:t>2</w:t>
            </w:r>
          </w:p>
        </w:tc>
      </w:tr>
      <w:tr w:rsidR="00D85665" w:rsidRPr="0003394B" w:rsidTr="00914384">
        <w:trPr>
          <w:cantSplit/>
          <w:trHeight w:val="480"/>
        </w:trPr>
        <w:tc>
          <w:tcPr>
            <w:tcW w:w="0" w:type="auto"/>
            <w:vMerge/>
            <w:tcBorders>
              <w:top w:val="nil"/>
              <w:left w:val="double" w:sz="6" w:space="0" w:color="000000"/>
              <w:bottom w:val="double" w:sz="6" w:space="0" w:color="000000"/>
              <w:right w:val="single" w:sz="4" w:space="0" w:color="000000"/>
            </w:tcBorders>
            <w:vAlign w:val="center"/>
          </w:tcPr>
          <w:p w:rsidR="00D85665" w:rsidRPr="0003394B" w:rsidRDefault="00D85665">
            <w:pPr>
              <w:rPr>
                <w:rFonts w:eastAsia="Arial Unicode MS" w:cs="Arial"/>
                <w:b/>
                <w:bCs/>
                <w:sz w:val="20"/>
                <w:szCs w:val="20"/>
              </w:rPr>
            </w:pPr>
          </w:p>
        </w:tc>
        <w:tc>
          <w:tcPr>
            <w:tcW w:w="1460" w:type="dxa"/>
            <w:tcBorders>
              <w:top w:val="single" w:sz="4" w:space="0" w:color="auto"/>
              <w:left w:val="nil"/>
              <w:bottom w:val="double" w:sz="6" w:space="0" w:color="auto"/>
              <w:right w:val="nil"/>
            </w:tcBorders>
            <w:tcMar>
              <w:top w:w="0" w:type="dxa"/>
              <w:left w:w="15" w:type="dxa"/>
              <w:bottom w:w="0" w:type="dxa"/>
              <w:right w:w="15" w:type="dxa"/>
            </w:tcMar>
            <w:vAlign w:val="center"/>
          </w:tcPr>
          <w:p w:rsidR="00D85665" w:rsidRPr="0003394B" w:rsidRDefault="00D85665">
            <w:pPr>
              <w:jc w:val="center"/>
              <w:rPr>
                <w:rFonts w:eastAsia="Arial Unicode MS" w:cs="Arial"/>
                <w:b/>
                <w:bCs/>
                <w:sz w:val="20"/>
                <w:szCs w:val="20"/>
              </w:rPr>
            </w:pPr>
            <w:r w:rsidRPr="0003394B">
              <w:rPr>
                <w:rFonts w:cs="Arial"/>
                <w:b/>
                <w:bCs/>
                <w:sz w:val="20"/>
                <w:szCs w:val="20"/>
              </w:rPr>
              <w:t>Management</w:t>
            </w:r>
          </w:p>
        </w:tc>
        <w:tc>
          <w:tcPr>
            <w:tcW w:w="1432"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D85665" w:rsidRPr="0003394B" w:rsidRDefault="00D85665">
            <w:pPr>
              <w:jc w:val="center"/>
              <w:rPr>
                <w:rFonts w:eastAsia="Arial Unicode MS" w:cs="Arial"/>
                <w:b/>
                <w:bCs/>
                <w:sz w:val="20"/>
                <w:szCs w:val="20"/>
              </w:rPr>
            </w:pPr>
            <w:r w:rsidRPr="0003394B">
              <w:rPr>
                <w:rFonts w:cs="Arial"/>
                <w:b/>
                <w:bCs/>
                <w:sz w:val="20"/>
                <w:szCs w:val="20"/>
              </w:rPr>
              <w:t>Technical</w:t>
            </w:r>
          </w:p>
        </w:tc>
        <w:tc>
          <w:tcPr>
            <w:tcW w:w="1409"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D85665" w:rsidRPr="0003394B" w:rsidRDefault="00D85665">
            <w:pPr>
              <w:jc w:val="center"/>
              <w:rPr>
                <w:rFonts w:eastAsia="Arial Unicode MS" w:cs="Arial"/>
                <w:b/>
                <w:bCs/>
                <w:sz w:val="20"/>
                <w:szCs w:val="20"/>
              </w:rPr>
            </w:pPr>
            <w:r w:rsidRPr="0003394B">
              <w:rPr>
                <w:rFonts w:cs="Arial"/>
                <w:b/>
                <w:bCs/>
                <w:sz w:val="20"/>
                <w:szCs w:val="20"/>
              </w:rPr>
              <w:t>Drafter</w:t>
            </w:r>
          </w:p>
        </w:tc>
        <w:tc>
          <w:tcPr>
            <w:tcW w:w="1415"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D85665" w:rsidRPr="0003394B" w:rsidRDefault="00D85665">
            <w:pPr>
              <w:jc w:val="center"/>
              <w:rPr>
                <w:rFonts w:eastAsia="Arial Unicode MS" w:cs="Arial"/>
                <w:b/>
                <w:bCs/>
                <w:sz w:val="20"/>
                <w:szCs w:val="20"/>
              </w:rPr>
            </w:pPr>
            <w:r w:rsidRPr="0003394B">
              <w:rPr>
                <w:rFonts w:cs="Arial"/>
                <w:b/>
                <w:bCs/>
                <w:sz w:val="20"/>
                <w:szCs w:val="20"/>
              </w:rPr>
              <w:t>Clerical</w:t>
            </w:r>
          </w:p>
        </w:tc>
        <w:tc>
          <w:tcPr>
            <w:tcW w:w="0" w:type="auto"/>
            <w:vMerge/>
            <w:tcBorders>
              <w:top w:val="nil"/>
              <w:left w:val="nil"/>
              <w:bottom w:val="double" w:sz="6" w:space="0" w:color="000000"/>
              <w:right w:val="single" w:sz="4" w:space="0" w:color="000000"/>
            </w:tcBorders>
            <w:vAlign w:val="center"/>
          </w:tcPr>
          <w:p w:rsidR="00D85665" w:rsidRPr="0003394B"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03394B"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single" w:sz="4" w:space="0" w:color="000000"/>
            </w:tcBorders>
            <w:vAlign w:val="center"/>
          </w:tcPr>
          <w:p w:rsidR="00D85665" w:rsidRPr="0003394B" w:rsidRDefault="00D85665">
            <w:pPr>
              <w:rPr>
                <w:rFonts w:eastAsia="Arial Unicode MS" w:cs="Arial"/>
                <w:b/>
                <w:bCs/>
                <w:sz w:val="20"/>
                <w:szCs w:val="20"/>
              </w:rPr>
            </w:pPr>
          </w:p>
        </w:tc>
        <w:tc>
          <w:tcPr>
            <w:tcW w:w="0" w:type="auto"/>
            <w:vMerge/>
            <w:tcBorders>
              <w:top w:val="nil"/>
              <w:left w:val="single" w:sz="4" w:space="0" w:color="000000"/>
              <w:bottom w:val="double" w:sz="6" w:space="0" w:color="000000"/>
              <w:right w:val="double" w:sz="6" w:space="0" w:color="000000"/>
            </w:tcBorders>
            <w:vAlign w:val="center"/>
          </w:tcPr>
          <w:p w:rsidR="00D85665" w:rsidRPr="0003394B" w:rsidRDefault="00D85665">
            <w:pPr>
              <w:rPr>
                <w:rFonts w:eastAsia="Arial Unicode MS" w:cs="Arial"/>
                <w:b/>
                <w:bCs/>
                <w:sz w:val="20"/>
                <w:szCs w:val="20"/>
              </w:rPr>
            </w:pPr>
          </w:p>
        </w:tc>
      </w:tr>
      <w:tr w:rsidR="00D85665" w:rsidRPr="0003394B" w:rsidTr="00914384">
        <w:trPr>
          <w:trHeight w:val="270"/>
        </w:trPr>
        <w:tc>
          <w:tcPr>
            <w:tcW w:w="13002"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03394B" w:rsidRDefault="00D85665">
            <w:pPr>
              <w:pStyle w:val="Heading5"/>
              <w:rPr>
                <w:rFonts w:eastAsia="Arial Unicode MS"/>
                <w:szCs w:val="20"/>
              </w:rPr>
            </w:pPr>
            <w:r w:rsidRPr="0003394B">
              <w:rPr>
                <w:szCs w:val="20"/>
              </w:rPr>
              <w:t>Existing Facilities</w:t>
            </w:r>
          </w:p>
        </w:tc>
      </w:tr>
      <w:tr w:rsidR="00BA14A3" w:rsidRPr="0003394B" w:rsidTr="00841654">
        <w:trPr>
          <w:trHeight w:val="360"/>
        </w:trPr>
        <w:tc>
          <w:tcPr>
            <w:tcW w:w="2523" w:type="dxa"/>
            <w:tcBorders>
              <w:top w:val="nil"/>
              <w:left w:val="double" w:sz="6" w:space="0" w:color="000000"/>
              <w:bottom w:val="nil"/>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Review the SPCC Plan</w:t>
            </w:r>
          </w:p>
        </w:tc>
        <w:tc>
          <w:tcPr>
            <w:tcW w:w="1460"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2,</w:t>
            </w:r>
            <w:r w:rsidR="00F9527E">
              <w:rPr>
                <w:rFonts w:cs="Arial"/>
                <w:sz w:val="20"/>
                <w:szCs w:val="20"/>
              </w:rPr>
              <w:t>94</w:t>
            </w:r>
            <w:r w:rsidRPr="0003394B">
              <w:rPr>
                <w:rFonts w:cs="Arial"/>
                <w:sz w:val="20"/>
                <w:szCs w:val="20"/>
              </w:rPr>
              <w:t>0</w:t>
            </w:r>
          </w:p>
        </w:tc>
        <w:tc>
          <w:tcPr>
            <w:tcW w:w="143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841654" w:rsidP="00F9527E">
            <w:pPr>
              <w:jc w:val="right"/>
              <w:rPr>
                <w:rFonts w:cs="Arial"/>
                <w:sz w:val="20"/>
                <w:szCs w:val="20"/>
              </w:rPr>
            </w:pPr>
            <w:r w:rsidRPr="0003394B">
              <w:rPr>
                <w:rFonts w:cs="Arial"/>
                <w:sz w:val="20"/>
                <w:szCs w:val="20"/>
              </w:rPr>
              <w:t>4</w:t>
            </w:r>
            <w:r w:rsidR="00F9527E">
              <w:rPr>
                <w:rFonts w:cs="Arial"/>
                <w:sz w:val="20"/>
                <w:szCs w:val="20"/>
              </w:rPr>
              <w:t>4</w:t>
            </w:r>
            <w:r w:rsidRPr="0003394B">
              <w:rPr>
                <w:rFonts w:cs="Arial"/>
                <w:sz w:val="20"/>
                <w:szCs w:val="20"/>
              </w:rPr>
              <w:t>,</w:t>
            </w:r>
            <w:r w:rsidR="00F9527E">
              <w:rPr>
                <w:rFonts w:cs="Arial"/>
                <w:sz w:val="20"/>
                <w:szCs w:val="20"/>
              </w:rPr>
              <w:t>4</w:t>
            </w:r>
            <w:r w:rsidRPr="0003394B">
              <w:rPr>
                <w:rFonts w:cs="Arial"/>
                <w:sz w:val="20"/>
                <w:szCs w:val="20"/>
              </w:rPr>
              <w:t>00</w:t>
            </w:r>
          </w:p>
        </w:tc>
        <w:tc>
          <w:tcPr>
            <w:tcW w:w="1409"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2,</w:t>
            </w:r>
            <w:r w:rsidR="00F9527E">
              <w:rPr>
                <w:rFonts w:cs="Arial"/>
                <w:sz w:val="20"/>
                <w:szCs w:val="20"/>
              </w:rPr>
              <w:t>94</w:t>
            </w:r>
            <w:r w:rsidRPr="0003394B">
              <w:rPr>
                <w:rFonts w:cs="Arial"/>
                <w:sz w:val="20"/>
                <w:szCs w:val="20"/>
              </w:rPr>
              <w:t>0</w:t>
            </w:r>
          </w:p>
        </w:tc>
        <w:tc>
          <w:tcPr>
            <w:tcW w:w="94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50,3</w:t>
            </w:r>
            <w:r w:rsidR="00841654" w:rsidRPr="0003394B">
              <w:rPr>
                <w:rFonts w:cs="Arial"/>
                <w:sz w:val="20"/>
                <w:szCs w:val="20"/>
              </w:rPr>
              <w:t>00</w:t>
            </w:r>
          </w:p>
        </w:tc>
        <w:tc>
          <w:tcPr>
            <w:tcW w:w="1533"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088"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200" w:type="dxa"/>
            <w:tcBorders>
              <w:top w:val="nil"/>
              <w:left w:val="nil"/>
              <w:bottom w:val="single" w:sz="4" w:space="0" w:color="auto"/>
              <w:right w:val="double" w:sz="6" w:space="0" w:color="000000"/>
            </w:tcBorders>
            <w:tcMar>
              <w:top w:w="15" w:type="dxa"/>
              <w:left w:w="15" w:type="dxa"/>
              <w:bottom w:w="0" w:type="dxa"/>
              <w:right w:w="72" w:type="dxa"/>
            </w:tcMar>
            <w:vAlign w:val="center"/>
          </w:tcPr>
          <w:p w:rsidR="00BA14A3" w:rsidRPr="0003394B" w:rsidRDefault="00995AC3" w:rsidP="00F9527E">
            <w:pPr>
              <w:jc w:val="right"/>
              <w:rPr>
                <w:rFonts w:cs="Arial"/>
                <w:sz w:val="20"/>
                <w:szCs w:val="20"/>
              </w:rPr>
            </w:pPr>
            <w:r>
              <w:rPr>
                <w:rFonts w:cs="Arial"/>
                <w:sz w:val="20"/>
                <w:szCs w:val="20"/>
              </w:rPr>
              <w:t>$4,</w:t>
            </w:r>
            <w:r w:rsidR="00F9527E">
              <w:rPr>
                <w:rFonts w:cs="Arial"/>
                <w:sz w:val="20"/>
                <w:szCs w:val="20"/>
              </w:rPr>
              <w:t>6</w:t>
            </w:r>
            <w:r>
              <w:rPr>
                <w:rFonts w:cs="Arial"/>
                <w:sz w:val="20"/>
                <w:szCs w:val="20"/>
              </w:rPr>
              <w:t>0</w:t>
            </w:r>
            <w:r w:rsidR="00841654" w:rsidRPr="0003394B">
              <w:rPr>
                <w:rFonts w:cs="Arial"/>
                <w:sz w:val="20"/>
                <w:szCs w:val="20"/>
              </w:rPr>
              <w:t>0</w:t>
            </w:r>
            <w:r w:rsidR="00BA14A3" w:rsidRPr="0003394B">
              <w:rPr>
                <w:rFonts w:cs="Arial"/>
                <w:sz w:val="20"/>
                <w:szCs w:val="20"/>
              </w:rPr>
              <w:t>,</w:t>
            </w:r>
            <w:r w:rsidR="00841654" w:rsidRPr="0003394B">
              <w:rPr>
                <w:rFonts w:cs="Arial"/>
                <w:sz w:val="20"/>
                <w:szCs w:val="20"/>
              </w:rPr>
              <w:t>000</w:t>
            </w:r>
          </w:p>
        </w:tc>
      </w:tr>
      <w:tr w:rsidR="00BA14A3" w:rsidRPr="0003394B" w:rsidTr="00841654">
        <w:trPr>
          <w:trHeight w:val="915"/>
        </w:trPr>
        <w:tc>
          <w:tcPr>
            <w:tcW w:w="2523"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Submit Information in the Event of Certain Discharges of Oil</w:t>
            </w:r>
          </w:p>
        </w:tc>
        <w:tc>
          <w:tcPr>
            <w:tcW w:w="1460"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5</w:t>
            </w:r>
          </w:p>
        </w:tc>
        <w:tc>
          <w:tcPr>
            <w:tcW w:w="143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5</w:t>
            </w:r>
          </w:p>
        </w:tc>
        <w:tc>
          <w:tcPr>
            <w:tcW w:w="1409"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94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10</w:t>
            </w:r>
          </w:p>
        </w:tc>
        <w:tc>
          <w:tcPr>
            <w:tcW w:w="1533"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w:t>
            </w:r>
            <w:r w:rsidR="00F9527E">
              <w:rPr>
                <w:rFonts w:cs="Arial"/>
                <w:sz w:val="20"/>
                <w:szCs w:val="20"/>
              </w:rPr>
              <w:t>102</w:t>
            </w:r>
          </w:p>
        </w:tc>
        <w:tc>
          <w:tcPr>
            <w:tcW w:w="1088"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200" w:type="dxa"/>
            <w:tcBorders>
              <w:top w:val="nil"/>
              <w:left w:val="nil"/>
              <w:bottom w:val="single" w:sz="4" w:space="0" w:color="auto"/>
              <w:right w:val="double" w:sz="6" w:space="0" w:color="000000"/>
            </w:tcBorders>
            <w:tcMar>
              <w:top w:w="15" w:type="dxa"/>
              <w:left w:w="15" w:type="dxa"/>
              <w:bottom w:w="0" w:type="dxa"/>
              <w:right w:w="72" w:type="dxa"/>
            </w:tcMar>
            <w:vAlign w:val="center"/>
          </w:tcPr>
          <w:p w:rsidR="00BA14A3" w:rsidRPr="0003394B" w:rsidRDefault="00995AC3" w:rsidP="00F9527E">
            <w:pPr>
              <w:jc w:val="right"/>
              <w:rPr>
                <w:rFonts w:cs="Arial"/>
                <w:sz w:val="20"/>
                <w:szCs w:val="20"/>
              </w:rPr>
            </w:pPr>
            <w:r>
              <w:rPr>
                <w:rFonts w:cs="Arial"/>
                <w:sz w:val="20"/>
                <w:szCs w:val="20"/>
              </w:rPr>
              <w:t>$</w:t>
            </w:r>
            <w:r w:rsidR="00F9527E">
              <w:rPr>
                <w:rFonts w:cs="Arial"/>
                <w:sz w:val="20"/>
                <w:szCs w:val="20"/>
              </w:rPr>
              <w:t>754</w:t>
            </w:r>
          </w:p>
        </w:tc>
      </w:tr>
      <w:tr w:rsidR="00BA14A3" w:rsidRPr="0003394B" w:rsidTr="00841654">
        <w:trPr>
          <w:trHeight w:val="540"/>
        </w:trPr>
        <w:tc>
          <w:tcPr>
            <w:tcW w:w="2523"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Revise the SPCC Plan</w:t>
            </w:r>
          </w:p>
        </w:tc>
        <w:tc>
          <w:tcPr>
            <w:tcW w:w="1460"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rsidR="00BA14A3" w:rsidRPr="0003394B" w:rsidRDefault="00A21510" w:rsidP="00F9527E">
            <w:pPr>
              <w:jc w:val="right"/>
              <w:rPr>
                <w:rFonts w:cs="Arial"/>
                <w:sz w:val="20"/>
                <w:szCs w:val="20"/>
              </w:rPr>
            </w:pPr>
            <w:r>
              <w:rPr>
                <w:rFonts w:cs="Arial"/>
                <w:sz w:val="20"/>
                <w:szCs w:val="20"/>
              </w:rPr>
              <w:t>4,</w:t>
            </w:r>
            <w:r w:rsidR="00F9527E">
              <w:rPr>
                <w:rFonts w:cs="Arial"/>
                <w:sz w:val="20"/>
                <w:szCs w:val="20"/>
              </w:rPr>
              <w:t>880</w:t>
            </w:r>
          </w:p>
        </w:tc>
        <w:tc>
          <w:tcPr>
            <w:tcW w:w="143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2</w:t>
            </w:r>
            <w:r w:rsidR="00F9527E">
              <w:rPr>
                <w:rFonts w:cs="Arial"/>
                <w:sz w:val="20"/>
                <w:szCs w:val="20"/>
              </w:rPr>
              <w:t>8</w:t>
            </w:r>
            <w:r w:rsidRPr="0003394B">
              <w:rPr>
                <w:rFonts w:cs="Arial"/>
                <w:sz w:val="20"/>
                <w:szCs w:val="20"/>
              </w:rPr>
              <w:t>,</w:t>
            </w:r>
            <w:r w:rsidR="00F9527E">
              <w:rPr>
                <w:rFonts w:cs="Arial"/>
                <w:sz w:val="20"/>
                <w:szCs w:val="20"/>
              </w:rPr>
              <w:t>7</w:t>
            </w:r>
            <w:r w:rsidRPr="0003394B">
              <w:rPr>
                <w:rFonts w:cs="Arial"/>
                <w:sz w:val="20"/>
                <w:szCs w:val="20"/>
              </w:rPr>
              <w:t>0</w:t>
            </w:r>
            <w:r w:rsidR="00841654" w:rsidRPr="0003394B">
              <w:rPr>
                <w:rFonts w:cs="Arial"/>
                <w:sz w:val="20"/>
                <w:szCs w:val="20"/>
              </w:rPr>
              <w:t>0</w:t>
            </w:r>
          </w:p>
        </w:tc>
        <w:tc>
          <w:tcPr>
            <w:tcW w:w="1409"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193126" w:rsidP="00F9527E">
            <w:pPr>
              <w:jc w:val="right"/>
              <w:rPr>
                <w:rFonts w:cs="Arial"/>
                <w:sz w:val="20"/>
                <w:szCs w:val="20"/>
              </w:rPr>
            </w:pPr>
            <w:r>
              <w:rPr>
                <w:rFonts w:cs="Arial"/>
                <w:sz w:val="20"/>
                <w:szCs w:val="20"/>
              </w:rPr>
              <w:t>3,</w:t>
            </w:r>
            <w:r w:rsidR="00F9527E">
              <w:rPr>
                <w:rFonts w:cs="Arial"/>
                <w:sz w:val="20"/>
                <w:szCs w:val="20"/>
              </w:rPr>
              <w:t>830</w:t>
            </w:r>
          </w:p>
        </w:tc>
        <w:tc>
          <w:tcPr>
            <w:tcW w:w="942"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3</w:t>
            </w:r>
            <w:r w:rsidR="00F9527E">
              <w:rPr>
                <w:rFonts w:cs="Arial"/>
                <w:sz w:val="20"/>
                <w:szCs w:val="20"/>
              </w:rPr>
              <w:t>7</w:t>
            </w:r>
            <w:r w:rsidRPr="0003394B">
              <w:rPr>
                <w:rFonts w:cs="Arial"/>
                <w:sz w:val="20"/>
                <w:szCs w:val="20"/>
              </w:rPr>
              <w:t>,</w:t>
            </w:r>
            <w:r w:rsidR="00A21510">
              <w:rPr>
                <w:rFonts w:cs="Arial"/>
                <w:sz w:val="20"/>
                <w:szCs w:val="20"/>
              </w:rPr>
              <w:t>4</w:t>
            </w:r>
            <w:r w:rsidR="00841654" w:rsidRPr="0003394B">
              <w:rPr>
                <w:rFonts w:cs="Arial"/>
                <w:sz w:val="20"/>
                <w:szCs w:val="20"/>
              </w:rPr>
              <w:t>00</w:t>
            </w:r>
          </w:p>
        </w:tc>
        <w:tc>
          <w:tcPr>
            <w:tcW w:w="1533"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088" w:type="dxa"/>
            <w:tcBorders>
              <w:top w:val="nil"/>
              <w:left w:val="nil"/>
              <w:bottom w:val="single" w:sz="4"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$3,</w:t>
            </w:r>
            <w:r w:rsidR="00F9527E">
              <w:rPr>
                <w:rFonts w:cs="Arial"/>
                <w:sz w:val="20"/>
                <w:szCs w:val="20"/>
              </w:rPr>
              <w:t>96</w:t>
            </w:r>
            <w:r w:rsidR="00A0458E">
              <w:rPr>
                <w:rFonts w:cs="Arial"/>
                <w:sz w:val="20"/>
                <w:szCs w:val="20"/>
              </w:rPr>
              <w:t>0</w:t>
            </w:r>
            <w:r w:rsidRPr="0003394B">
              <w:rPr>
                <w:rFonts w:cs="Arial"/>
                <w:sz w:val="20"/>
                <w:szCs w:val="20"/>
              </w:rPr>
              <w:t>,</w:t>
            </w:r>
            <w:r w:rsidR="00841654" w:rsidRPr="0003394B">
              <w:rPr>
                <w:rFonts w:cs="Arial"/>
                <w:sz w:val="20"/>
                <w:szCs w:val="20"/>
              </w:rPr>
              <w:t>000</w:t>
            </w:r>
          </w:p>
        </w:tc>
        <w:tc>
          <w:tcPr>
            <w:tcW w:w="1200" w:type="dxa"/>
            <w:tcBorders>
              <w:top w:val="nil"/>
              <w:left w:val="nil"/>
              <w:bottom w:val="single" w:sz="4" w:space="0" w:color="auto"/>
              <w:right w:val="double" w:sz="6" w:space="0" w:color="000000"/>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w:t>
            </w:r>
            <w:r w:rsidR="00F9527E">
              <w:rPr>
                <w:rFonts w:cs="Arial"/>
                <w:sz w:val="20"/>
                <w:szCs w:val="20"/>
              </w:rPr>
              <w:t>7,34</w:t>
            </w:r>
            <w:r w:rsidR="00841654" w:rsidRPr="0003394B">
              <w:rPr>
                <w:rFonts w:cs="Arial"/>
                <w:sz w:val="20"/>
                <w:szCs w:val="20"/>
              </w:rPr>
              <w:t>0,000</w:t>
            </w:r>
          </w:p>
        </w:tc>
      </w:tr>
      <w:tr w:rsidR="00BA14A3" w:rsidRPr="0003394B" w:rsidTr="00841654">
        <w:trPr>
          <w:trHeight w:val="570"/>
        </w:trPr>
        <w:tc>
          <w:tcPr>
            <w:tcW w:w="2523"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Maintain the SPCC Plan and Keep Records</w:t>
            </w:r>
          </w:p>
        </w:tc>
        <w:tc>
          <w:tcPr>
            <w:tcW w:w="1460"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1,</w:t>
            </w:r>
            <w:r w:rsidR="00F9527E">
              <w:rPr>
                <w:rFonts w:cs="Arial"/>
                <w:sz w:val="20"/>
                <w:szCs w:val="20"/>
              </w:rPr>
              <w:t>22</w:t>
            </w:r>
            <w:r w:rsidR="00841654" w:rsidRPr="0003394B">
              <w:rPr>
                <w:rFonts w:cs="Arial"/>
                <w:sz w:val="20"/>
                <w:szCs w:val="20"/>
              </w:rPr>
              <w:t>0</w:t>
            </w:r>
          </w:p>
        </w:tc>
        <w:tc>
          <w:tcPr>
            <w:tcW w:w="1432"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40,2</w:t>
            </w:r>
            <w:r w:rsidR="00841654" w:rsidRPr="0003394B">
              <w:rPr>
                <w:rFonts w:cs="Arial"/>
                <w:sz w:val="20"/>
                <w:szCs w:val="20"/>
              </w:rPr>
              <w:t>00</w:t>
            </w:r>
          </w:p>
        </w:tc>
        <w:tc>
          <w:tcPr>
            <w:tcW w:w="1409"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2,</w:t>
            </w:r>
            <w:r w:rsidR="00F9527E">
              <w:rPr>
                <w:rFonts w:cs="Arial"/>
                <w:sz w:val="20"/>
                <w:szCs w:val="20"/>
              </w:rPr>
              <w:t>450</w:t>
            </w:r>
          </w:p>
        </w:tc>
        <w:tc>
          <w:tcPr>
            <w:tcW w:w="942"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4</w:t>
            </w:r>
            <w:r w:rsidR="00F9527E">
              <w:rPr>
                <w:rFonts w:cs="Arial"/>
                <w:sz w:val="20"/>
                <w:szCs w:val="20"/>
              </w:rPr>
              <w:t>3</w:t>
            </w:r>
            <w:r w:rsidRPr="0003394B">
              <w:rPr>
                <w:rFonts w:cs="Arial"/>
                <w:sz w:val="20"/>
                <w:szCs w:val="20"/>
              </w:rPr>
              <w:t>,</w:t>
            </w:r>
            <w:r w:rsidR="00F9527E">
              <w:rPr>
                <w:rFonts w:cs="Arial"/>
                <w:sz w:val="20"/>
                <w:szCs w:val="20"/>
              </w:rPr>
              <w:t>8</w:t>
            </w:r>
            <w:r w:rsidR="00841654" w:rsidRPr="0003394B">
              <w:rPr>
                <w:rFonts w:cs="Arial"/>
                <w:sz w:val="20"/>
                <w:szCs w:val="20"/>
              </w:rPr>
              <w:t>00</w:t>
            </w:r>
          </w:p>
        </w:tc>
        <w:tc>
          <w:tcPr>
            <w:tcW w:w="1533"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088" w:type="dxa"/>
            <w:tcBorders>
              <w:top w:val="nil"/>
              <w:left w:val="nil"/>
              <w:bottom w:val="double" w:sz="6" w:space="0" w:color="auto"/>
              <w:right w:val="single" w:sz="4" w:space="0" w:color="auto"/>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200" w:type="dxa"/>
            <w:tcBorders>
              <w:top w:val="nil"/>
              <w:left w:val="nil"/>
              <w:bottom w:val="double" w:sz="6" w:space="0" w:color="auto"/>
              <w:right w:val="double" w:sz="6" w:space="0" w:color="000000"/>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$2,</w:t>
            </w:r>
            <w:r w:rsidR="00F9527E">
              <w:rPr>
                <w:rFonts w:cs="Arial"/>
                <w:sz w:val="20"/>
                <w:szCs w:val="20"/>
              </w:rPr>
              <w:t>4</w:t>
            </w:r>
            <w:r w:rsidRPr="0003394B">
              <w:rPr>
                <w:rFonts w:cs="Arial"/>
                <w:sz w:val="20"/>
                <w:szCs w:val="20"/>
              </w:rPr>
              <w:t>0</w:t>
            </w:r>
            <w:r w:rsidR="00841654" w:rsidRPr="0003394B">
              <w:rPr>
                <w:rFonts w:cs="Arial"/>
                <w:sz w:val="20"/>
                <w:szCs w:val="20"/>
              </w:rPr>
              <w:t>0,000</w:t>
            </w:r>
          </w:p>
        </w:tc>
      </w:tr>
      <w:tr w:rsidR="00BA14A3" w:rsidRPr="0003394B" w:rsidTr="00841654">
        <w:trPr>
          <w:trHeight w:val="285"/>
        </w:trPr>
        <w:tc>
          <w:tcPr>
            <w:tcW w:w="2523"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BA14A3" w:rsidRPr="0003394B" w:rsidRDefault="00BA14A3">
            <w:pPr>
              <w:rPr>
                <w:rFonts w:eastAsia="Arial Unicode MS" w:cs="Arial"/>
                <w:b/>
                <w:bCs/>
                <w:sz w:val="20"/>
                <w:szCs w:val="20"/>
              </w:rPr>
            </w:pPr>
            <w:r w:rsidRPr="0003394B">
              <w:rPr>
                <w:rFonts w:cs="Arial"/>
                <w:b/>
                <w:bCs/>
                <w:sz w:val="20"/>
                <w:szCs w:val="20"/>
              </w:rPr>
              <w:t>TOTAL</w:t>
            </w:r>
          </w:p>
        </w:tc>
        <w:tc>
          <w:tcPr>
            <w:tcW w:w="146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F9527E" w:rsidP="00841654">
            <w:pPr>
              <w:jc w:val="right"/>
              <w:rPr>
                <w:rFonts w:cs="Arial"/>
                <w:b/>
                <w:bCs/>
                <w:sz w:val="20"/>
                <w:szCs w:val="20"/>
              </w:rPr>
            </w:pPr>
            <w:r>
              <w:rPr>
                <w:rFonts w:cs="Arial"/>
                <w:b/>
                <w:bCs/>
                <w:sz w:val="20"/>
                <w:szCs w:val="20"/>
              </w:rPr>
              <w:t>9,05</w:t>
            </w:r>
            <w:r w:rsidR="00841654" w:rsidRPr="0003394B">
              <w:rPr>
                <w:rFonts w:cs="Arial"/>
                <w:b/>
                <w:bCs/>
                <w:sz w:val="20"/>
                <w:szCs w:val="20"/>
              </w:rPr>
              <w:t>0</w:t>
            </w:r>
          </w:p>
        </w:tc>
        <w:tc>
          <w:tcPr>
            <w:tcW w:w="1432" w:type="dxa"/>
            <w:tcBorders>
              <w:top w:val="nil"/>
              <w:left w:val="single" w:sz="4" w:space="0" w:color="000000"/>
              <w:bottom w:val="double" w:sz="6" w:space="0" w:color="auto"/>
              <w:right w:val="nil"/>
            </w:tcBorders>
            <w:tcMar>
              <w:top w:w="0"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1</w:t>
            </w:r>
            <w:r w:rsidR="00F9527E">
              <w:rPr>
                <w:rFonts w:cs="Arial"/>
                <w:b/>
                <w:bCs/>
                <w:sz w:val="20"/>
                <w:szCs w:val="20"/>
              </w:rPr>
              <w:t>13</w:t>
            </w:r>
            <w:r w:rsidRPr="0003394B">
              <w:rPr>
                <w:rFonts w:cs="Arial"/>
                <w:b/>
                <w:bCs/>
                <w:sz w:val="20"/>
                <w:szCs w:val="20"/>
              </w:rPr>
              <w:t>,</w:t>
            </w:r>
            <w:r w:rsidR="00F9527E">
              <w:rPr>
                <w:rFonts w:cs="Arial"/>
                <w:b/>
                <w:bCs/>
                <w:sz w:val="20"/>
                <w:szCs w:val="20"/>
              </w:rPr>
              <w:t>3</w:t>
            </w:r>
            <w:r w:rsidR="00841654" w:rsidRPr="0003394B">
              <w:rPr>
                <w:rFonts w:cs="Arial"/>
                <w:b/>
                <w:bCs/>
                <w:sz w:val="20"/>
                <w:szCs w:val="20"/>
              </w:rPr>
              <w:t>00</w:t>
            </w:r>
          </w:p>
        </w:tc>
        <w:tc>
          <w:tcPr>
            <w:tcW w:w="1409"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841654">
            <w:pPr>
              <w:jc w:val="right"/>
              <w:rPr>
                <w:rFonts w:cs="Arial"/>
                <w:b/>
                <w:sz w:val="20"/>
                <w:szCs w:val="20"/>
              </w:rPr>
            </w:pPr>
            <w:r w:rsidRPr="0003394B">
              <w:rPr>
                <w:rFonts w:cs="Arial"/>
                <w:b/>
                <w:sz w:val="20"/>
                <w:szCs w:val="20"/>
              </w:rPr>
              <w:t>0</w:t>
            </w:r>
          </w:p>
        </w:tc>
        <w:tc>
          <w:tcPr>
            <w:tcW w:w="1415"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F9527E" w:rsidP="00841654">
            <w:pPr>
              <w:jc w:val="right"/>
              <w:rPr>
                <w:rFonts w:cs="Arial"/>
                <w:b/>
                <w:bCs/>
                <w:sz w:val="20"/>
                <w:szCs w:val="20"/>
              </w:rPr>
            </w:pPr>
            <w:r>
              <w:rPr>
                <w:rFonts w:cs="Arial"/>
                <w:b/>
                <w:bCs/>
                <w:sz w:val="20"/>
                <w:szCs w:val="20"/>
              </w:rPr>
              <w:t>9,22</w:t>
            </w:r>
            <w:r w:rsidR="00841654" w:rsidRPr="0003394B">
              <w:rPr>
                <w:rFonts w:cs="Arial"/>
                <w:b/>
                <w:bCs/>
                <w:sz w:val="20"/>
                <w:szCs w:val="20"/>
              </w:rPr>
              <w:t>0</w:t>
            </w:r>
          </w:p>
        </w:tc>
        <w:tc>
          <w:tcPr>
            <w:tcW w:w="942"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1</w:t>
            </w:r>
            <w:r w:rsidR="00F9527E">
              <w:rPr>
                <w:rFonts w:cs="Arial"/>
                <w:b/>
                <w:bCs/>
                <w:sz w:val="20"/>
                <w:szCs w:val="20"/>
              </w:rPr>
              <w:t>31</w:t>
            </w:r>
            <w:r w:rsidR="00841654" w:rsidRPr="0003394B">
              <w:rPr>
                <w:rFonts w:cs="Arial"/>
                <w:b/>
                <w:bCs/>
                <w:sz w:val="20"/>
                <w:szCs w:val="20"/>
              </w:rPr>
              <w:t>,</w:t>
            </w:r>
            <w:r w:rsidR="00F9527E">
              <w:rPr>
                <w:rFonts w:cs="Arial"/>
                <w:b/>
                <w:bCs/>
                <w:sz w:val="20"/>
                <w:szCs w:val="20"/>
              </w:rPr>
              <w:t>6</w:t>
            </w:r>
            <w:r w:rsidR="00841654" w:rsidRPr="0003394B">
              <w:rPr>
                <w:rFonts w:cs="Arial"/>
                <w:b/>
                <w:bCs/>
                <w:sz w:val="20"/>
                <w:szCs w:val="20"/>
              </w:rPr>
              <w:t>00</w:t>
            </w:r>
          </w:p>
        </w:tc>
        <w:tc>
          <w:tcPr>
            <w:tcW w:w="1533"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w:t>
            </w:r>
            <w:r w:rsidR="00F9527E">
              <w:rPr>
                <w:rFonts w:cs="Arial"/>
                <w:b/>
                <w:bCs/>
                <w:sz w:val="20"/>
                <w:szCs w:val="20"/>
              </w:rPr>
              <w:t>102</w:t>
            </w:r>
          </w:p>
        </w:tc>
        <w:tc>
          <w:tcPr>
            <w:tcW w:w="1088"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$3,</w:t>
            </w:r>
            <w:r w:rsidR="00F9527E">
              <w:rPr>
                <w:rFonts w:cs="Arial"/>
                <w:b/>
                <w:bCs/>
                <w:sz w:val="20"/>
                <w:szCs w:val="20"/>
              </w:rPr>
              <w:t>96</w:t>
            </w:r>
            <w:r w:rsidR="00A0458E">
              <w:rPr>
                <w:rFonts w:cs="Arial"/>
                <w:b/>
                <w:bCs/>
                <w:sz w:val="20"/>
                <w:szCs w:val="20"/>
              </w:rPr>
              <w:t>0</w:t>
            </w:r>
            <w:r w:rsidR="00841654" w:rsidRPr="0003394B">
              <w:rPr>
                <w:rFonts w:cs="Arial"/>
                <w:b/>
                <w:bCs/>
                <w:sz w:val="20"/>
                <w:szCs w:val="20"/>
              </w:rPr>
              <w:t>,000</w:t>
            </w:r>
          </w:p>
        </w:tc>
        <w:tc>
          <w:tcPr>
            <w:tcW w:w="1200" w:type="dxa"/>
            <w:tcBorders>
              <w:top w:val="nil"/>
              <w:left w:val="nil"/>
              <w:bottom w:val="double" w:sz="6" w:space="0" w:color="auto"/>
              <w:right w:val="double" w:sz="6" w:space="0" w:color="000000"/>
            </w:tcBorders>
            <w:tcMar>
              <w:top w:w="15" w:type="dxa"/>
              <w:left w:w="15" w:type="dxa"/>
              <w:bottom w:w="0" w:type="dxa"/>
              <w:right w:w="72" w:type="dxa"/>
            </w:tcMar>
            <w:vAlign w:val="center"/>
          </w:tcPr>
          <w:p w:rsidR="00BA14A3" w:rsidRPr="0003394B" w:rsidRDefault="00995AC3" w:rsidP="00F9527E">
            <w:pPr>
              <w:jc w:val="right"/>
              <w:rPr>
                <w:rFonts w:cs="Arial"/>
                <w:b/>
                <w:bCs/>
                <w:sz w:val="20"/>
                <w:szCs w:val="20"/>
              </w:rPr>
            </w:pPr>
            <w:r>
              <w:rPr>
                <w:rFonts w:cs="Arial"/>
                <w:b/>
                <w:bCs/>
                <w:sz w:val="20"/>
                <w:szCs w:val="20"/>
              </w:rPr>
              <w:t>$1</w:t>
            </w:r>
            <w:r w:rsidR="00F9527E">
              <w:rPr>
                <w:rFonts w:cs="Arial"/>
                <w:b/>
                <w:bCs/>
                <w:sz w:val="20"/>
                <w:szCs w:val="20"/>
              </w:rPr>
              <w:t>4</w:t>
            </w:r>
            <w:r w:rsidR="00BA14A3" w:rsidRPr="0003394B">
              <w:rPr>
                <w:rFonts w:cs="Arial"/>
                <w:b/>
                <w:bCs/>
                <w:sz w:val="20"/>
                <w:szCs w:val="20"/>
              </w:rPr>
              <w:t>,</w:t>
            </w:r>
            <w:r>
              <w:rPr>
                <w:rFonts w:cs="Arial"/>
                <w:b/>
                <w:bCs/>
                <w:sz w:val="20"/>
                <w:szCs w:val="20"/>
              </w:rPr>
              <w:t>0</w:t>
            </w:r>
            <w:r w:rsidR="00841654" w:rsidRPr="0003394B">
              <w:rPr>
                <w:rFonts w:cs="Arial"/>
                <w:b/>
                <w:bCs/>
                <w:sz w:val="20"/>
                <w:szCs w:val="20"/>
              </w:rPr>
              <w:t>00,000</w:t>
            </w:r>
          </w:p>
        </w:tc>
      </w:tr>
      <w:tr w:rsidR="00D85665" w:rsidRPr="0003394B" w:rsidTr="00914384">
        <w:trPr>
          <w:trHeight w:val="270"/>
        </w:trPr>
        <w:tc>
          <w:tcPr>
            <w:tcW w:w="13002"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03394B" w:rsidRDefault="00D85665">
            <w:pPr>
              <w:rPr>
                <w:rFonts w:eastAsia="Arial Unicode MS" w:cs="Arial"/>
                <w:b/>
                <w:bCs/>
                <w:sz w:val="20"/>
                <w:szCs w:val="20"/>
              </w:rPr>
            </w:pPr>
            <w:r w:rsidRPr="0003394B">
              <w:rPr>
                <w:rFonts w:cs="Arial"/>
                <w:b/>
                <w:bCs/>
                <w:sz w:val="20"/>
                <w:szCs w:val="20"/>
              </w:rPr>
              <w:t>New Facilities</w:t>
            </w:r>
          </w:p>
        </w:tc>
      </w:tr>
      <w:tr w:rsidR="00BA14A3" w:rsidRPr="0003394B" w:rsidTr="00841654">
        <w:trPr>
          <w:trHeight w:val="255"/>
        </w:trPr>
        <w:tc>
          <w:tcPr>
            <w:tcW w:w="2523" w:type="dxa"/>
            <w:tcBorders>
              <w:top w:val="nil"/>
              <w:left w:val="double" w:sz="6" w:space="0" w:color="000000"/>
              <w:bottom w:val="nil"/>
              <w:right w:val="nil"/>
            </w:tcBorders>
            <w:vAlign w:val="center"/>
          </w:tcPr>
          <w:p w:rsidR="00BA14A3" w:rsidRPr="0003394B" w:rsidRDefault="00BA14A3">
            <w:pPr>
              <w:rPr>
                <w:rFonts w:eastAsia="Arial Unicode MS" w:cs="Arial"/>
                <w:sz w:val="20"/>
                <w:szCs w:val="20"/>
              </w:rPr>
            </w:pPr>
            <w:r w:rsidRPr="0003394B">
              <w:rPr>
                <w:rFonts w:cs="Arial"/>
                <w:sz w:val="20"/>
                <w:szCs w:val="20"/>
              </w:rPr>
              <w:t>Prepare an SPCC Plan</w:t>
            </w:r>
          </w:p>
        </w:tc>
        <w:tc>
          <w:tcPr>
            <w:tcW w:w="1460" w:type="dxa"/>
            <w:tcBorders>
              <w:top w:val="nil"/>
              <w:left w:val="single" w:sz="4" w:space="0" w:color="000000"/>
              <w:bottom w:val="nil"/>
              <w:right w:val="nil"/>
            </w:tcBorders>
            <w:tcMar>
              <w:top w:w="0"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1,216</w:t>
            </w:r>
          </w:p>
        </w:tc>
        <w:tc>
          <w:tcPr>
            <w:tcW w:w="1432" w:type="dxa"/>
            <w:tcBorders>
              <w:top w:val="nil"/>
              <w:left w:val="single" w:sz="4" w:space="0" w:color="000000"/>
              <w:bottom w:val="nil"/>
              <w:right w:val="nil"/>
            </w:tcBorders>
            <w:tcMar>
              <w:right w:w="72" w:type="dxa"/>
            </w:tcMar>
            <w:vAlign w:val="center"/>
          </w:tcPr>
          <w:p w:rsidR="00BA14A3" w:rsidRPr="0003394B" w:rsidRDefault="00BA14A3" w:rsidP="00F9527E">
            <w:pPr>
              <w:jc w:val="right"/>
              <w:rPr>
                <w:rFonts w:cs="Arial"/>
                <w:sz w:val="20"/>
                <w:szCs w:val="20"/>
              </w:rPr>
            </w:pPr>
            <w:r w:rsidRPr="0003394B">
              <w:rPr>
                <w:rFonts w:cs="Arial"/>
                <w:sz w:val="20"/>
                <w:szCs w:val="20"/>
              </w:rPr>
              <w:t>1</w:t>
            </w:r>
            <w:r w:rsidR="00F9527E">
              <w:rPr>
                <w:rFonts w:cs="Arial"/>
                <w:sz w:val="20"/>
                <w:szCs w:val="20"/>
              </w:rPr>
              <w:t>4</w:t>
            </w:r>
            <w:r w:rsidR="00841654" w:rsidRPr="0003394B">
              <w:rPr>
                <w:rFonts w:cs="Arial"/>
                <w:sz w:val="20"/>
                <w:szCs w:val="20"/>
              </w:rPr>
              <w:t>,</w:t>
            </w:r>
            <w:r w:rsidR="00F9527E">
              <w:rPr>
                <w:rFonts w:cs="Arial"/>
                <w:sz w:val="20"/>
                <w:szCs w:val="20"/>
              </w:rPr>
              <w:t>1</w:t>
            </w:r>
            <w:r w:rsidR="00841654" w:rsidRPr="0003394B">
              <w:rPr>
                <w:rFonts w:cs="Arial"/>
                <w:sz w:val="20"/>
                <w:szCs w:val="20"/>
              </w:rPr>
              <w:t>00</w:t>
            </w:r>
          </w:p>
        </w:tc>
        <w:tc>
          <w:tcPr>
            <w:tcW w:w="1409" w:type="dxa"/>
            <w:tcBorders>
              <w:top w:val="nil"/>
              <w:left w:val="single" w:sz="4" w:space="0" w:color="000000"/>
              <w:bottom w:val="nil"/>
              <w:right w:val="nil"/>
            </w:tcBorders>
            <w:tcMar>
              <w:top w:w="15" w:type="dxa"/>
              <w:left w:w="15" w:type="dxa"/>
              <w:bottom w:w="0" w:type="dxa"/>
              <w:right w:w="72" w:type="dxa"/>
            </w:tcMar>
            <w:vAlign w:val="center"/>
          </w:tcPr>
          <w:p w:rsidR="00BA14A3" w:rsidRPr="0003394B" w:rsidRDefault="00F9527E" w:rsidP="00F9527E">
            <w:pPr>
              <w:jc w:val="right"/>
              <w:rPr>
                <w:rFonts w:cs="Arial"/>
                <w:sz w:val="20"/>
                <w:szCs w:val="20"/>
              </w:rPr>
            </w:pPr>
            <w:r>
              <w:rPr>
                <w:rFonts w:cs="Arial"/>
                <w:sz w:val="20"/>
                <w:szCs w:val="20"/>
              </w:rPr>
              <w:t>4</w:t>
            </w:r>
            <w:r w:rsidR="00BA14A3" w:rsidRPr="0003394B">
              <w:rPr>
                <w:rFonts w:cs="Arial"/>
                <w:sz w:val="20"/>
                <w:szCs w:val="20"/>
              </w:rPr>
              <w:t>,5</w:t>
            </w:r>
            <w:r>
              <w:rPr>
                <w:rFonts w:cs="Arial"/>
                <w:sz w:val="20"/>
                <w:szCs w:val="20"/>
              </w:rPr>
              <w:t>8</w:t>
            </w:r>
            <w:r w:rsidR="00841654" w:rsidRPr="0003394B">
              <w:rPr>
                <w:rFonts w:cs="Arial"/>
                <w:sz w:val="20"/>
                <w:szCs w:val="20"/>
              </w:rPr>
              <w:t>0</w:t>
            </w:r>
          </w:p>
        </w:tc>
        <w:tc>
          <w:tcPr>
            <w:tcW w:w="1415" w:type="dxa"/>
            <w:tcBorders>
              <w:top w:val="nil"/>
              <w:left w:val="single" w:sz="4" w:space="0" w:color="000000"/>
              <w:bottom w:val="nil"/>
              <w:right w:val="nil"/>
            </w:tcBorders>
            <w:tcMar>
              <w:top w:w="0"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1,</w:t>
            </w:r>
            <w:r w:rsidR="00F9527E">
              <w:rPr>
                <w:rFonts w:cs="Arial"/>
                <w:sz w:val="20"/>
                <w:szCs w:val="20"/>
              </w:rPr>
              <w:t>52</w:t>
            </w:r>
            <w:r w:rsidR="00841654" w:rsidRPr="0003394B">
              <w:rPr>
                <w:rFonts w:cs="Arial"/>
                <w:sz w:val="20"/>
                <w:szCs w:val="20"/>
              </w:rPr>
              <w:t>0</w:t>
            </w:r>
          </w:p>
        </w:tc>
        <w:tc>
          <w:tcPr>
            <w:tcW w:w="942" w:type="dxa"/>
            <w:tcBorders>
              <w:top w:val="nil"/>
              <w:left w:val="single" w:sz="4" w:space="0" w:color="000000"/>
              <w:bottom w:val="nil"/>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21,4</w:t>
            </w:r>
            <w:r w:rsidR="00841654" w:rsidRPr="0003394B">
              <w:rPr>
                <w:rFonts w:cs="Arial"/>
                <w:sz w:val="20"/>
                <w:szCs w:val="20"/>
              </w:rPr>
              <w:t>00</w:t>
            </w:r>
          </w:p>
        </w:tc>
        <w:tc>
          <w:tcPr>
            <w:tcW w:w="1533" w:type="dxa"/>
            <w:tcBorders>
              <w:top w:val="nil"/>
              <w:left w:val="single" w:sz="4" w:space="0" w:color="000000"/>
              <w:bottom w:val="nil"/>
              <w:right w:val="nil"/>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088" w:type="dxa"/>
            <w:tcBorders>
              <w:top w:val="nil"/>
              <w:left w:val="single" w:sz="4" w:space="0" w:color="000000"/>
              <w:bottom w:val="nil"/>
              <w:right w:val="nil"/>
            </w:tcBorders>
            <w:tcMar>
              <w:top w:w="0"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w:t>
            </w:r>
            <w:r w:rsidR="00F9527E">
              <w:rPr>
                <w:rFonts w:cs="Arial"/>
                <w:sz w:val="20"/>
                <w:szCs w:val="20"/>
              </w:rPr>
              <w:t>727</w:t>
            </w:r>
            <w:r w:rsidR="00841654" w:rsidRPr="0003394B">
              <w:rPr>
                <w:rFonts w:cs="Arial"/>
                <w:sz w:val="20"/>
                <w:szCs w:val="20"/>
              </w:rPr>
              <w:t>,000</w:t>
            </w:r>
          </w:p>
        </w:tc>
        <w:tc>
          <w:tcPr>
            <w:tcW w:w="1200" w:type="dxa"/>
            <w:tcBorders>
              <w:top w:val="nil"/>
              <w:left w:val="single" w:sz="4" w:space="0" w:color="000000"/>
              <w:bottom w:val="nil"/>
              <w:right w:val="double" w:sz="6" w:space="0" w:color="000000"/>
            </w:tcBorders>
            <w:tcMar>
              <w:top w:w="15" w:type="dxa"/>
              <w:left w:w="15" w:type="dxa"/>
              <w:bottom w:w="0" w:type="dxa"/>
              <w:right w:w="72" w:type="dxa"/>
            </w:tcMar>
            <w:vAlign w:val="center"/>
          </w:tcPr>
          <w:p w:rsidR="00BA14A3" w:rsidRPr="0003394B" w:rsidRDefault="00EB6408" w:rsidP="00E4792C">
            <w:pPr>
              <w:jc w:val="right"/>
              <w:rPr>
                <w:rFonts w:cs="Arial"/>
                <w:sz w:val="20"/>
                <w:szCs w:val="20"/>
              </w:rPr>
            </w:pPr>
            <w:r w:rsidRPr="0003394B">
              <w:rPr>
                <w:rFonts w:cs="Arial"/>
                <w:sz w:val="20"/>
                <w:szCs w:val="20"/>
              </w:rPr>
              <w:t>$</w:t>
            </w:r>
            <w:r w:rsidR="00E4792C">
              <w:rPr>
                <w:rFonts w:cs="Arial"/>
                <w:sz w:val="20"/>
                <w:szCs w:val="20"/>
              </w:rPr>
              <w:t>2</w:t>
            </w:r>
            <w:r w:rsidRPr="0003394B">
              <w:rPr>
                <w:rFonts w:cs="Arial"/>
                <w:sz w:val="20"/>
                <w:szCs w:val="20"/>
              </w:rPr>
              <w:t>,</w:t>
            </w:r>
            <w:r w:rsidR="00E4792C">
              <w:rPr>
                <w:rFonts w:cs="Arial"/>
                <w:sz w:val="20"/>
                <w:szCs w:val="20"/>
              </w:rPr>
              <w:t>4</w:t>
            </w:r>
            <w:r w:rsidR="006760E6">
              <w:rPr>
                <w:rFonts w:cs="Arial"/>
                <w:sz w:val="20"/>
                <w:szCs w:val="20"/>
              </w:rPr>
              <w:t>9</w:t>
            </w:r>
            <w:r w:rsidR="00E82642">
              <w:rPr>
                <w:rFonts w:cs="Arial"/>
                <w:sz w:val="20"/>
                <w:szCs w:val="20"/>
              </w:rPr>
              <w:t>0</w:t>
            </w:r>
            <w:r w:rsidR="00BA14A3" w:rsidRPr="0003394B">
              <w:rPr>
                <w:rFonts w:cs="Arial"/>
                <w:sz w:val="20"/>
                <w:szCs w:val="20"/>
              </w:rPr>
              <w:t>,</w:t>
            </w:r>
            <w:r w:rsidR="00841654" w:rsidRPr="0003394B">
              <w:rPr>
                <w:rFonts w:cs="Arial"/>
                <w:sz w:val="20"/>
                <w:szCs w:val="20"/>
              </w:rPr>
              <w:t>000</w:t>
            </w:r>
          </w:p>
        </w:tc>
      </w:tr>
      <w:tr w:rsidR="00BA14A3" w:rsidRPr="0003394B" w:rsidTr="00841654">
        <w:trPr>
          <w:trHeight w:val="255"/>
        </w:trPr>
        <w:tc>
          <w:tcPr>
            <w:tcW w:w="2523" w:type="dxa"/>
            <w:tcBorders>
              <w:top w:val="single" w:sz="4" w:space="0" w:color="000000"/>
              <w:left w:val="double" w:sz="6" w:space="0" w:color="000000"/>
              <w:bottom w:val="nil"/>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Prepare a Contingency Plan</w:t>
            </w:r>
          </w:p>
        </w:tc>
        <w:tc>
          <w:tcPr>
            <w:tcW w:w="146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73</w:t>
            </w:r>
          </w:p>
        </w:tc>
        <w:tc>
          <w:tcPr>
            <w:tcW w:w="14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3</w:t>
            </w:r>
            <w:r w:rsidR="00F9527E">
              <w:rPr>
                <w:rFonts w:cs="Arial"/>
                <w:sz w:val="20"/>
                <w:szCs w:val="20"/>
              </w:rPr>
              <w:t>86</w:t>
            </w:r>
          </w:p>
        </w:tc>
        <w:tc>
          <w:tcPr>
            <w:tcW w:w="140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107</w:t>
            </w:r>
          </w:p>
        </w:tc>
        <w:tc>
          <w:tcPr>
            <w:tcW w:w="94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566</w:t>
            </w:r>
          </w:p>
        </w:tc>
        <w:tc>
          <w:tcPr>
            <w:tcW w:w="153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08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200"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03394B" w:rsidRDefault="00BA14A3" w:rsidP="00E4792C">
            <w:pPr>
              <w:jc w:val="right"/>
              <w:rPr>
                <w:rFonts w:cs="Arial"/>
                <w:sz w:val="20"/>
                <w:szCs w:val="20"/>
              </w:rPr>
            </w:pPr>
            <w:r w:rsidRPr="0003394B">
              <w:rPr>
                <w:rFonts w:cs="Arial"/>
                <w:sz w:val="20"/>
                <w:szCs w:val="20"/>
              </w:rPr>
              <w:t>$</w:t>
            </w:r>
            <w:r w:rsidR="00E4792C">
              <w:rPr>
                <w:rFonts w:cs="Arial"/>
                <w:sz w:val="20"/>
                <w:szCs w:val="20"/>
              </w:rPr>
              <w:t>25</w:t>
            </w:r>
            <w:r w:rsidRPr="0003394B">
              <w:rPr>
                <w:rFonts w:cs="Arial"/>
                <w:sz w:val="20"/>
                <w:szCs w:val="20"/>
              </w:rPr>
              <w:t>,</w:t>
            </w:r>
            <w:r w:rsidR="00E4792C">
              <w:rPr>
                <w:rFonts w:cs="Arial"/>
                <w:sz w:val="20"/>
                <w:szCs w:val="20"/>
              </w:rPr>
              <w:t>3</w:t>
            </w:r>
            <w:r w:rsidR="00841654" w:rsidRPr="0003394B">
              <w:rPr>
                <w:rFonts w:cs="Arial"/>
                <w:sz w:val="20"/>
                <w:szCs w:val="20"/>
              </w:rPr>
              <w:t>00</w:t>
            </w:r>
          </w:p>
        </w:tc>
      </w:tr>
      <w:tr w:rsidR="00BA14A3" w:rsidRPr="0003394B" w:rsidTr="00841654">
        <w:trPr>
          <w:trHeight w:val="795"/>
        </w:trPr>
        <w:tc>
          <w:tcPr>
            <w:tcW w:w="2523"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Submit Information in the Event of Certain Discharges of Oil</w:t>
            </w:r>
          </w:p>
        </w:tc>
        <w:tc>
          <w:tcPr>
            <w:tcW w:w="146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0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94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53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$3</w:t>
            </w:r>
          </w:p>
        </w:tc>
        <w:tc>
          <w:tcPr>
            <w:tcW w:w="108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200"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03394B" w:rsidRDefault="00BA14A3" w:rsidP="00E4792C">
            <w:pPr>
              <w:jc w:val="right"/>
              <w:rPr>
                <w:rFonts w:cs="Arial"/>
                <w:sz w:val="20"/>
                <w:szCs w:val="20"/>
              </w:rPr>
            </w:pPr>
            <w:r w:rsidRPr="0003394B">
              <w:rPr>
                <w:rFonts w:cs="Arial"/>
                <w:sz w:val="20"/>
                <w:szCs w:val="20"/>
              </w:rPr>
              <w:t>$</w:t>
            </w:r>
            <w:r w:rsidR="00E4792C">
              <w:rPr>
                <w:rFonts w:cs="Arial"/>
                <w:sz w:val="20"/>
                <w:szCs w:val="20"/>
              </w:rPr>
              <w:t>25</w:t>
            </w:r>
          </w:p>
        </w:tc>
      </w:tr>
      <w:tr w:rsidR="00BA14A3" w:rsidRPr="0003394B" w:rsidTr="00841654">
        <w:trPr>
          <w:trHeight w:val="255"/>
        </w:trPr>
        <w:tc>
          <w:tcPr>
            <w:tcW w:w="2523" w:type="dxa"/>
            <w:tcBorders>
              <w:top w:val="nil"/>
              <w:left w:val="double" w:sz="6" w:space="0" w:color="000000"/>
              <w:bottom w:val="single" w:sz="4" w:space="0" w:color="000000"/>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Revise the SPCC Plan</w:t>
            </w:r>
          </w:p>
        </w:tc>
        <w:tc>
          <w:tcPr>
            <w:tcW w:w="1460"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2</w:t>
            </w:r>
          </w:p>
        </w:tc>
        <w:tc>
          <w:tcPr>
            <w:tcW w:w="143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10</w:t>
            </w:r>
          </w:p>
        </w:tc>
        <w:tc>
          <w:tcPr>
            <w:tcW w:w="1409"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1</w:t>
            </w:r>
          </w:p>
        </w:tc>
        <w:tc>
          <w:tcPr>
            <w:tcW w:w="942"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1</w:t>
            </w:r>
            <w:r w:rsidR="00F9527E">
              <w:rPr>
                <w:rFonts w:cs="Arial"/>
                <w:sz w:val="20"/>
                <w:szCs w:val="20"/>
              </w:rPr>
              <w:t>4</w:t>
            </w:r>
          </w:p>
        </w:tc>
        <w:tc>
          <w:tcPr>
            <w:tcW w:w="1533"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088" w:type="dxa"/>
            <w:tcBorders>
              <w:top w:val="single" w:sz="4" w:space="0" w:color="000000"/>
              <w:left w:val="single" w:sz="4" w:space="0" w:color="000000"/>
              <w:bottom w:val="nil"/>
              <w:right w:val="nil"/>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$1,</w:t>
            </w:r>
            <w:r w:rsidR="00F9527E">
              <w:rPr>
                <w:rFonts w:cs="Arial"/>
                <w:sz w:val="20"/>
                <w:szCs w:val="20"/>
              </w:rPr>
              <w:t>4</w:t>
            </w:r>
            <w:r w:rsidR="006760E6">
              <w:rPr>
                <w:rFonts w:cs="Arial"/>
                <w:sz w:val="20"/>
                <w:szCs w:val="20"/>
              </w:rPr>
              <w:t>5</w:t>
            </w:r>
            <w:r w:rsidR="00756A9B">
              <w:rPr>
                <w:rFonts w:cs="Arial"/>
                <w:sz w:val="20"/>
                <w:szCs w:val="20"/>
              </w:rPr>
              <w:t>0</w:t>
            </w:r>
          </w:p>
        </w:tc>
        <w:tc>
          <w:tcPr>
            <w:tcW w:w="1200"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rsidR="00BA14A3" w:rsidRPr="0003394B" w:rsidRDefault="00BA14A3" w:rsidP="00E4792C">
            <w:pPr>
              <w:jc w:val="right"/>
              <w:rPr>
                <w:rFonts w:cs="Arial"/>
                <w:sz w:val="20"/>
                <w:szCs w:val="20"/>
              </w:rPr>
            </w:pPr>
            <w:r w:rsidRPr="0003394B">
              <w:rPr>
                <w:rFonts w:cs="Arial"/>
                <w:sz w:val="20"/>
                <w:szCs w:val="20"/>
              </w:rPr>
              <w:t>$</w:t>
            </w:r>
            <w:r w:rsidR="008E45AE">
              <w:rPr>
                <w:rFonts w:cs="Arial"/>
                <w:sz w:val="20"/>
                <w:szCs w:val="20"/>
              </w:rPr>
              <w:t>2</w:t>
            </w:r>
            <w:r w:rsidR="00E82642">
              <w:rPr>
                <w:rFonts w:cs="Arial"/>
                <w:sz w:val="20"/>
                <w:szCs w:val="20"/>
              </w:rPr>
              <w:t>,</w:t>
            </w:r>
            <w:r w:rsidR="00E4792C">
              <w:rPr>
                <w:rFonts w:cs="Arial"/>
                <w:sz w:val="20"/>
                <w:szCs w:val="20"/>
              </w:rPr>
              <w:t>68</w:t>
            </w:r>
            <w:r w:rsidR="008E45AE">
              <w:rPr>
                <w:rFonts w:cs="Arial"/>
                <w:sz w:val="20"/>
                <w:szCs w:val="20"/>
              </w:rPr>
              <w:t>0</w:t>
            </w:r>
          </w:p>
        </w:tc>
      </w:tr>
      <w:tr w:rsidR="00BA14A3" w:rsidRPr="0003394B" w:rsidTr="00841654">
        <w:trPr>
          <w:trHeight w:val="525"/>
        </w:trPr>
        <w:tc>
          <w:tcPr>
            <w:tcW w:w="2523" w:type="dxa"/>
            <w:tcBorders>
              <w:top w:val="nil"/>
              <w:left w:val="double" w:sz="6" w:space="0" w:color="000000"/>
              <w:bottom w:val="double" w:sz="6" w:space="0" w:color="000000"/>
              <w:right w:val="nil"/>
            </w:tcBorders>
            <w:tcMar>
              <w:top w:w="15" w:type="dxa"/>
              <w:left w:w="15" w:type="dxa"/>
              <w:bottom w:w="0" w:type="dxa"/>
              <w:right w:w="15" w:type="dxa"/>
            </w:tcMar>
            <w:vAlign w:val="center"/>
          </w:tcPr>
          <w:p w:rsidR="00BA14A3" w:rsidRPr="0003394B" w:rsidRDefault="00BA14A3">
            <w:pPr>
              <w:rPr>
                <w:rFonts w:eastAsia="Arial Unicode MS" w:cs="Arial"/>
                <w:sz w:val="20"/>
                <w:szCs w:val="20"/>
              </w:rPr>
            </w:pPr>
            <w:r w:rsidRPr="0003394B">
              <w:rPr>
                <w:rFonts w:cs="Arial"/>
                <w:sz w:val="20"/>
                <w:szCs w:val="20"/>
              </w:rPr>
              <w:t>Maintain the SPCC Plan and Keep Records</w:t>
            </w:r>
          </w:p>
        </w:tc>
        <w:tc>
          <w:tcPr>
            <w:tcW w:w="1460"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32"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792</w:t>
            </w:r>
          </w:p>
        </w:tc>
        <w:tc>
          <w:tcPr>
            <w:tcW w:w="1409"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1415"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841654">
            <w:pPr>
              <w:jc w:val="right"/>
              <w:rPr>
                <w:rFonts w:cs="Arial"/>
                <w:sz w:val="20"/>
                <w:szCs w:val="20"/>
              </w:rPr>
            </w:pPr>
            <w:r w:rsidRPr="0003394B">
              <w:rPr>
                <w:rFonts w:cs="Arial"/>
                <w:sz w:val="20"/>
                <w:szCs w:val="20"/>
              </w:rPr>
              <w:t>0</w:t>
            </w:r>
          </w:p>
        </w:tc>
        <w:tc>
          <w:tcPr>
            <w:tcW w:w="942"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F9527E" w:rsidP="00841654">
            <w:pPr>
              <w:jc w:val="right"/>
              <w:rPr>
                <w:rFonts w:cs="Arial"/>
                <w:sz w:val="20"/>
                <w:szCs w:val="20"/>
              </w:rPr>
            </w:pPr>
            <w:r>
              <w:rPr>
                <w:rFonts w:cs="Arial"/>
                <w:sz w:val="20"/>
                <w:szCs w:val="20"/>
              </w:rPr>
              <w:t>792</w:t>
            </w:r>
          </w:p>
        </w:tc>
        <w:tc>
          <w:tcPr>
            <w:tcW w:w="1533"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F9527E">
            <w:pPr>
              <w:jc w:val="right"/>
              <w:rPr>
                <w:rFonts w:cs="Arial"/>
                <w:sz w:val="20"/>
                <w:szCs w:val="20"/>
              </w:rPr>
            </w:pPr>
            <w:r w:rsidRPr="0003394B">
              <w:rPr>
                <w:rFonts w:cs="Arial"/>
                <w:sz w:val="20"/>
                <w:szCs w:val="20"/>
              </w:rPr>
              <w:t>$1</w:t>
            </w:r>
            <w:r w:rsidR="00F9527E">
              <w:rPr>
                <w:rFonts w:cs="Arial"/>
                <w:sz w:val="20"/>
                <w:szCs w:val="20"/>
              </w:rPr>
              <w:t>9</w:t>
            </w:r>
            <w:r w:rsidRPr="0003394B">
              <w:rPr>
                <w:rFonts w:cs="Arial"/>
                <w:sz w:val="20"/>
                <w:szCs w:val="20"/>
              </w:rPr>
              <w:t>,</w:t>
            </w:r>
            <w:r w:rsidR="00F9527E">
              <w:rPr>
                <w:rFonts w:cs="Arial"/>
                <w:sz w:val="20"/>
                <w:szCs w:val="20"/>
              </w:rPr>
              <w:t>8</w:t>
            </w:r>
            <w:r w:rsidR="00841654" w:rsidRPr="0003394B">
              <w:rPr>
                <w:rFonts w:cs="Arial"/>
                <w:sz w:val="20"/>
                <w:szCs w:val="20"/>
              </w:rPr>
              <w:t>00</w:t>
            </w:r>
          </w:p>
        </w:tc>
        <w:tc>
          <w:tcPr>
            <w:tcW w:w="1088"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pPr>
              <w:jc w:val="right"/>
              <w:rPr>
                <w:rFonts w:cs="Arial"/>
                <w:sz w:val="20"/>
                <w:szCs w:val="20"/>
              </w:rPr>
            </w:pPr>
            <w:r w:rsidRPr="0003394B">
              <w:rPr>
                <w:rFonts w:cs="Arial"/>
                <w:sz w:val="20"/>
                <w:szCs w:val="20"/>
              </w:rPr>
              <w:t>$0</w:t>
            </w:r>
          </w:p>
        </w:tc>
        <w:tc>
          <w:tcPr>
            <w:tcW w:w="1200"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03394B" w:rsidRDefault="006760E6" w:rsidP="00E4792C">
            <w:pPr>
              <w:jc w:val="right"/>
              <w:rPr>
                <w:rFonts w:cs="Arial"/>
                <w:sz w:val="20"/>
                <w:szCs w:val="20"/>
              </w:rPr>
            </w:pPr>
            <w:r>
              <w:rPr>
                <w:rFonts w:cs="Arial"/>
                <w:sz w:val="20"/>
                <w:szCs w:val="20"/>
              </w:rPr>
              <w:t>$</w:t>
            </w:r>
            <w:r w:rsidR="00E4792C">
              <w:rPr>
                <w:rFonts w:cs="Arial"/>
                <w:sz w:val="20"/>
                <w:szCs w:val="20"/>
              </w:rPr>
              <w:t>98,3</w:t>
            </w:r>
            <w:r w:rsidR="00841654" w:rsidRPr="0003394B">
              <w:rPr>
                <w:rFonts w:cs="Arial"/>
                <w:sz w:val="20"/>
                <w:szCs w:val="20"/>
              </w:rPr>
              <w:t>00</w:t>
            </w:r>
          </w:p>
        </w:tc>
      </w:tr>
      <w:tr w:rsidR="00BA14A3" w:rsidRPr="0003394B" w:rsidTr="00817445">
        <w:trPr>
          <w:trHeight w:val="285"/>
        </w:trPr>
        <w:tc>
          <w:tcPr>
            <w:tcW w:w="2523" w:type="dxa"/>
            <w:tcBorders>
              <w:top w:val="nil"/>
              <w:left w:val="double" w:sz="6" w:space="0" w:color="000000"/>
              <w:bottom w:val="double" w:sz="6" w:space="0" w:color="auto"/>
              <w:right w:val="nil"/>
            </w:tcBorders>
            <w:tcMar>
              <w:top w:w="15" w:type="dxa"/>
              <w:left w:w="15" w:type="dxa"/>
              <w:bottom w:w="0" w:type="dxa"/>
              <w:right w:w="15" w:type="dxa"/>
            </w:tcMar>
            <w:vAlign w:val="center"/>
          </w:tcPr>
          <w:p w:rsidR="00BA14A3" w:rsidRPr="0003394B" w:rsidRDefault="00BA14A3">
            <w:pPr>
              <w:rPr>
                <w:rFonts w:eastAsia="Arial Unicode MS" w:cs="Arial"/>
                <w:b/>
                <w:bCs/>
                <w:sz w:val="20"/>
                <w:szCs w:val="20"/>
              </w:rPr>
            </w:pPr>
            <w:r w:rsidRPr="0003394B">
              <w:rPr>
                <w:rFonts w:cs="Arial"/>
                <w:b/>
                <w:bCs/>
                <w:sz w:val="20"/>
                <w:szCs w:val="20"/>
              </w:rPr>
              <w:t>TOTAL</w:t>
            </w:r>
          </w:p>
        </w:tc>
        <w:tc>
          <w:tcPr>
            <w:tcW w:w="1460"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1,</w:t>
            </w:r>
            <w:r w:rsidR="00F9527E">
              <w:rPr>
                <w:rFonts w:cs="Arial"/>
                <w:b/>
                <w:bCs/>
                <w:sz w:val="20"/>
                <w:szCs w:val="20"/>
              </w:rPr>
              <w:t>29</w:t>
            </w:r>
            <w:r w:rsidR="00841654" w:rsidRPr="0003394B">
              <w:rPr>
                <w:rFonts w:cs="Arial"/>
                <w:b/>
                <w:bCs/>
                <w:sz w:val="20"/>
                <w:szCs w:val="20"/>
              </w:rPr>
              <w:t>0</w:t>
            </w:r>
          </w:p>
        </w:tc>
        <w:tc>
          <w:tcPr>
            <w:tcW w:w="1432"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1</w:t>
            </w:r>
            <w:r w:rsidR="00F9527E">
              <w:rPr>
                <w:rFonts w:cs="Arial"/>
                <w:b/>
                <w:bCs/>
                <w:sz w:val="20"/>
                <w:szCs w:val="20"/>
              </w:rPr>
              <w:t>5</w:t>
            </w:r>
            <w:r w:rsidRPr="0003394B">
              <w:rPr>
                <w:rFonts w:cs="Arial"/>
                <w:b/>
                <w:bCs/>
                <w:sz w:val="20"/>
                <w:szCs w:val="20"/>
              </w:rPr>
              <w:t>,</w:t>
            </w:r>
            <w:r w:rsidR="00F9527E">
              <w:rPr>
                <w:rFonts w:cs="Arial"/>
                <w:b/>
                <w:bCs/>
                <w:sz w:val="20"/>
                <w:szCs w:val="20"/>
              </w:rPr>
              <w:t>3</w:t>
            </w:r>
            <w:r w:rsidR="00841654" w:rsidRPr="0003394B">
              <w:rPr>
                <w:rFonts w:cs="Arial"/>
                <w:b/>
                <w:bCs/>
                <w:sz w:val="20"/>
                <w:szCs w:val="20"/>
              </w:rPr>
              <w:t>00</w:t>
            </w:r>
          </w:p>
        </w:tc>
        <w:tc>
          <w:tcPr>
            <w:tcW w:w="1409"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F9527E" w:rsidP="00F9527E">
            <w:pPr>
              <w:jc w:val="right"/>
              <w:rPr>
                <w:rFonts w:cs="Arial"/>
                <w:b/>
                <w:sz w:val="20"/>
                <w:szCs w:val="20"/>
              </w:rPr>
            </w:pPr>
            <w:r>
              <w:rPr>
                <w:rFonts w:cs="Arial"/>
                <w:b/>
                <w:sz w:val="20"/>
                <w:szCs w:val="20"/>
              </w:rPr>
              <w:t>4</w:t>
            </w:r>
            <w:r w:rsidR="00BA14A3" w:rsidRPr="0003394B">
              <w:rPr>
                <w:rFonts w:cs="Arial"/>
                <w:b/>
                <w:sz w:val="20"/>
                <w:szCs w:val="20"/>
              </w:rPr>
              <w:t>,5</w:t>
            </w:r>
            <w:r>
              <w:rPr>
                <w:rFonts w:cs="Arial"/>
                <w:b/>
                <w:sz w:val="20"/>
                <w:szCs w:val="20"/>
              </w:rPr>
              <w:t>8</w:t>
            </w:r>
            <w:r w:rsidR="00841654" w:rsidRPr="0003394B">
              <w:rPr>
                <w:rFonts w:cs="Arial"/>
                <w:b/>
                <w:sz w:val="20"/>
                <w:szCs w:val="20"/>
              </w:rPr>
              <w:t>0</w:t>
            </w:r>
          </w:p>
        </w:tc>
        <w:tc>
          <w:tcPr>
            <w:tcW w:w="1415"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1,</w:t>
            </w:r>
            <w:r w:rsidR="00F9527E">
              <w:rPr>
                <w:rFonts w:cs="Arial"/>
                <w:b/>
                <w:bCs/>
                <w:sz w:val="20"/>
                <w:szCs w:val="20"/>
              </w:rPr>
              <w:t>63</w:t>
            </w:r>
            <w:r w:rsidR="00841654" w:rsidRPr="0003394B">
              <w:rPr>
                <w:rFonts w:cs="Arial"/>
                <w:b/>
                <w:bCs/>
                <w:sz w:val="20"/>
                <w:szCs w:val="20"/>
              </w:rPr>
              <w:t>0</w:t>
            </w:r>
          </w:p>
        </w:tc>
        <w:tc>
          <w:tcPr>
            <w:tcW w:w="942"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F9527E" w:rsidP="00841654">
            <w:pPr>
              <w:jc w:val="right"/>
              <w:rPr>
                <w:rFonts w:cs="Arial"/>
                <w:b/>
                <w:bCs/>
                <w:sz w:val="20"/>
                <w:szCs w:val="20"/>
              </w:rPr>
            </w:pPr>
            <w:r>
              <w:rPr>
                <w:rFonts w:cs="Arial"/>
                <w:b/>
                <w:bCs/>
                <w:sz w:val="20"/>
                <w:szCs w:val="20"/>
              </w:rPr>
              <w:t>22</w:t>
            </w:r>
            <w:r w:rsidR="00BA14A3" w:rsidRPr="0003394B">
              <w:rPr>
                <w:rFonts w:cs="Arial"/>
                <w:b/>
                <w:bCs/>
                <w:sz w:val="20"/>
                <w:szCs w:val="20"/>
              </w:rPr>
              <w:t>,7</w:t>
            </w:r>
            <w:r w:rsidR="00841654" w:rsidRPr="0003394B">
              <w:rPr>
                <w:rFonts w:cs="Arial"/>
                <w:b/>
                <w:bCs/>
                <w:sz w:val="20"/>
                <w:szCs w:val="20"/>
              </w:rPr>
              <w:t>00</w:t>
            </w:r>
          </w:p>
        </w:tc>
        <w:tc>
          <w:tcPr>
            <w:tcW w:w="1533"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F9527E">
            <w:pPr>
              <w:jc w:val="right"/>
              <w:rPr>
                <w:rFonts w:cs="Arial"/>
                <w:b/>
                <w:bCs/>
                <w:sz w:val="20"/>
                <w:szCs w:val="20"/>
              </w:rPr>
            </w:pPr>
            <w:r w:rsidRPr="0003394B">
              <w:rPr>
                <w:rFonts w:cs="Arial"/>
                <w:b/>
                <w:bCs/>
                <w:sz w:val="20"/>
                <w:szCs w:val="20"/>
              </w:rPr>
              <w:t>$1</w:t>
            </w:r>
            <w:r w:rsidR="00F9527E">
              <w:rPr>
                <w:rFonts w:cs="Arial"/>
                <w:b/>
                <w:bCs/>
                <w:sz w:val="20"/>
                <w:szCs w:val="20"/>
              </w:rPr>
              <w:t>9</w:t>
            </w:r>
            <w:r w:rsidRPr="0003394B">
              <w:rPr>
                <w:rFonts w:cs="Arial"/>
                <w:b/>
                <w:bCs/>
                <w:sz w:val="20"/>
                <w:szCs w:val="20"/>
              </w:rPr>
              <w:t>,</w:t>
            </w:r>
            <w:r w:rsidR="00F9527E">
              <w:rPr>
                <w:rFonts w:cs="Arial"/>
                <w:b/>
                <w:bCs/>
                <w:sz w:val="20"/>
                <w:szCs w:val="20"/>
              </w:rPr>
              <w:t>8</w:t>
            </w:r>
            <w:r w:rsidR="00841654" w:rsidRPr="0003394B">
              <w:rPr>
                <w:rFonts w:cs="Arial"/>
                <w:b/>
                <w:bCs/>
                <w:sz w:val="20"/>
                <w:szCs w:val="20"/>
              </w:rPr>
              <w:t>00</w:t>
            </w:r>
          </w:p>
        </w:tc>
        <w:tc>
          <w:tcPr>
            <w:tcW w:w="1088" w:type="dxa"/>
            <w:tcBorders>
              <w:top w:val="nil"/>
              <w:left w:val="single" w:sz="4" w:space="0" w:color="000000"/>
              <w:bottom w:val="double" w:sz="6" w:space="0" w:color="auto"/>
              <w:right w:val="nil"/>
            </w:tcBorders>
            <w:tcMar>
              <w:top w:w="15" w:type="dxa"/>
              <w:left w:w="15" w:type="dxa"/>
              <w:bottom w:w="0" w:type="dxa"/>
              <w:right w:w="72" w:type="dxa"/>
            </w:tcMar>
            <w:vAlign w:val="center"/>
          </w:tcPr>
          <w:p w:rsidR="00BA14A3" w:rsidRPr="0003394B" w:rsidRDefault="00BA14A3" w:rsidP="00E4792C">
            <w:pPr>
              <w:jc w:val="right"/>
              <w:rPr>
                <w:rFonts w:cs="Arial"/>
                <w:b/>
                <w:bCs/>
                <w:sz w:val="20"/>
                <w:szCs w:val="20"/>
              </w:rPr>
            </w:pPr>
            <w:r w:rsidRPr="0003394B">
              <w:rPr>
                <w:rFonts w:cs="Arial"/>
                <w:b/>
                <w:bCs/>
                <w:sz w:val="20"/>
                <w:szCs w:val="20"/>
              </w:rPr>
              <w:t>$</w:t>
            </w:r>
            <w:r w:rsidR="00E4792C">
              <w:rPr>
                <w:rFonts w:cs="Arial"/>
                <w:b/>
                <w:bCs/>
                <w:sz w:val="20"/>
                <w:szCs w:val="20"/>
              </w:rPr>
              <w:t>72</w:t>
            </w:r>
            <w:r w:rsidR="00BC73C0">
              <w:rPr>
                <w:rFonts w:cs="Arial"/>
                <w:b/>
                <w:bCs/>
                <w:sz w:val="20"/>
                <w:szCs w:val="20"/>
              </w:rPr>
              <w:t>8</w:t>
            </w:r>
            <w:r w:rsidRPr="0003394B">
              <w:rPr>
                <w:rFonts w:cs="Arial"/>
                <w:b/>
                <w:bCs/>
                <w:sz w:val="20"/>
                <w:szCs w:val="20"/>
              </w:rPr>
              <w:t>,0</w:t>
            </w:r>
            <w:r w:rsidR="00841654" w:rsidRPr="0003394B">
              <w:rPr>
                <w:rFonts w:cs="Arial"/>
                <w:b/>
                <w:bCs/>
                <w:sz w:val="20"/>
                <w:szCs w:val="20"/>
              </w:rPr>
              <w:t>00</w:t>
            </w:r>
          </w:p>
        </w:tc>
        <w:tc>
          <w:tcPr>
            <w:tcW w:w="1200"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rsidR="00BA14A3" w:rsidRPr="0003394B" w:rsidRDefault="00BA14A3" w:rsidP="00E4792C">
            <w:pPr>
              <w:jc w:val="right"/>
              <w:rPr>
                <w:rFonts w:cs="Arial"/>
                <w:b/>
                <w:bCs/>
                <w:sz w:val="20"/>
                <w:szCs w:val="20"/>
              </w:rPr>
            </w:pPr>
            <w:r w:rsidRPr="0003394B">
              <w:rPr>
                <w:rFonts w:cs="Arial"/>
                <w:b/>
                <w:bCs/>
                <w:sz w:val="20"/>
                <w:szCs w:val="20"/>
              </w:rPr>
              <w:t>$</w:t>
            </w:r>
            <w:r w:rsidR="008E1D11">
              <w:rPr>
                <w:rFonts w:cs="Arial"/>
                <w:b/>
                <w:bCs/>
                <w:sz w:val="20"/>
                <w:szCs w:val="20"/>
              </w:rPr>
              <w:t>2</w:t>
            </w:r>
            <w:r w:rsidRPr="0003394B">
              <w:rPr>
                <w:rFonts w:cs="Arial"/>
                <w:b/>
                <w:bCs/>
                <w:sz w:val="20"/>
                <w:szCs w:val="20"/>
              </w:rPr>
              <w:t>,</w:t>
            </w:r>
            <w:r w:rsidR="00E4792C">
              <w:rPr>
                <w:rFonts w:cs="Arial"/>
                <w:b/>
                <w:bCs/>
                <w:sz w:val="20"/>
                <w:szCs w:val="20"/>
              </w:rPr>
              <w:t>61</w:t>
            </w:r>
            <w:r w:rsidR="00995AC3">
              <w:rPr>
                <w:rFonts w:cs="Arial"/>
                <w:b/>
                <w:bCs/>
                <w:sz w:val="20"/>
                <w:szCs w:val="20"/>
              </w:rPr>
              <w:t>0</w:t>
            </w:r>
            <w:r w:rsidR="00841654" w:rsidRPr="0003394B">
              <w:rPr>
                <w:rFonts w:cs="Arial"/>
                <w:b/>
                <w:bCs/>
                <w:sz w:val="20"/>
                <w:szCs w:val="20"/>
              </w:rPr>
              <w:t>,000</w:t>
            </w:r>
          </w:p>
        </w:tc>
      </w:tr>
      <w:tr w:rsidR="00650D03" w:rsidRPr="00854FC2" w:rsidTr="00914384">
        <w:trPr>
          <w:cantSplit/>
          <w:trHeight w:val="228"/>
        </w:trPr>
        <w:tc>
          <w:tcPr>
            <w:tcW w:w="13002" w:type="dxa"/>
            <w:gridSpan w:val="9"/>
            <w:vMerge w:val="restart"/>
            <w:tcBorders>
              <w:top w:val="double" w:sz="6" w:space="0" w:color="auto"/>
              <w:left w:val="nil"/>
              <w:bottom w:val="nil"/>
              <w:right w:val="nil"/>
            </w:tcBorders>
            <w:tcMar>
              <w:top w:w="0" w:type="dxa"/>
              <w:left w:w="15" w:type="dxa"/>
              <w:bottom w:w="0" w:type="dxa"/>
              <w:right w:w="15" w:type="dxa"/>
            </w:tcMar>
            <w:vAlign w:val="bottom"/>
          </w:tcPr>
          <w:p w:rsidR="00650D03" w:rsidRPr="00854FC2" w:rsidRDefault="00650D03" w:rsidP="0027098C">
            <w:pPr>
              <w:rPr>
                <w:rFonts w:eastAsia="Arial Unicode MS" w:cs="Arial"/>
                <w:sz w:val="18"/>
                <w:szCs w:val="18"/>
              </w:rPr>
            </w:pPr>
            <w:r w:rsidRPr="0003394B">
              <w:rPr>
                <w:rFonts w:cs="Arial"/>
                <w:sz w:val="18"/>
                <w:szCs w:val="18"/>
                <w:vertAlign w:val="superscript"/>
              </w:rPr>
              <w:t>1</w:t>
            </w:r>
            <w:r w:rsidRPr="0003394B">
              <w:rPr>
                <w:rFonts w:cs="Arial"/>
                <w:sz w:val="18"/>
                <w:szCs w:val="18"/>
              </w:rPr>
              <w:t xml:space="preserve"> Unit burden estimates are estimated totals, rounded to the nearest three significant figures of an hour, based on the distribution of storage and production facilities and the number of facilities estimated to perform each activity during the one-year period.  The numbers in this exhibit may not add precisely due to rounding.</w:t>
            </w:r>
            <w:r w:rsidRPr="00854FC2">
              <w:rPr>
                <w:rFonts w:cs="Arial"/>
                <w:sz w:val="18"/>
                <w:szCs w:val="18"/>
              </w:rPr>
              <w:t xml:space="preserve"> </w:t>
            </w:r>
          </w:p>
        </w:tc>
      </w:tr>
      <w:tr w:rsidR="00650D03" w:rsidRPr="00854FC2" w:rsidTr="00914384">
        <w:trPr>
          <w:cantSplit/>
          <w:trHeight w:val="255"/>
        </w:trPr>
        <w:tc>
          <w:tcPr>
            <w:tcW w:w="0" w:type="auto"/>
            <w:gridSpan w:val="9"/>
            <w:vMerge/>
            <w:tcBorders>
              <w:top w:val="double" w:sz="6" w:space="0" w:color="auto"/>
              <w:left w:val="nil"/>
              <w:bottom w:val="nil"/>
              <w:right w:val="nil"/>
            </w:tcBorders>
            <w:vAlign w:val="center"/>
          </w:tcPr>
          <w:p w:rsidR="00650D03" w:rsidRPr="00854FC2" w:rsidRDefault="00650D03">
            <w:pPr>
              <w:rPr>
                <w:rFonts w:eastAsia="Arial Unicode MS" w:cs="Arial"/>
                <w:sz w:val="18"/>
                <w:szCs w:val="18"/>
              </w:rPr>
            </w:pPr>
          </w:p>
        </w:tc>
      </w:tr>
      <w:tr w:rsidR="00650D03" w:rsidRPr="00854FC2" w:rsidTr="00914384">
        <w:trPr>
          <w:trHeight w:val="270"/>
        </w:trPr>
        <w:tc>
          <w:tcPr>
            <w:tcW w:w="0" w:type="auto"/>
            <w:gridSpan w:val="9"/>
            <w:tcBorders>
              <w:top w:val="nil"/>
              <w:left w:val="nil"/>
              <w:bottom w:val="nil"/>
              <w:right w:val="nil"/>
            </w:tcBorders>
            <w:noWrap/>
            <w:tcMar>
              <w:top w:w="0" w:type="dxa"/>
              <w:left w:w="15" w:type="dxa"/>
              <w:bottom w:w="0" w:type="dxa"/>
              <w:right w:w="15" w:type="dxa"/>
            </w:tcMar>
            <w:vAlign w:val="bottom"/>
          </w:tcPr>
          <w:p w:rsidR="00650D03" w:rsidRPr="00854FC2" w:rsidRDefault="00650D03" w:rsidP="0027098C">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sectPr w:rsidR="00D85665" w:rsidRPr="00854FC2">
          <w:pgSz w:w="15840" w:h="12240" w:orient="landscape"/>
          <w:pgMar w:top="1440" w:right="1440" w:bottom="720" w:left="1440" w:header="1440" w:footer="720" w:gutter="0"/>
          <w:cols w:space="720"/>
          <w:noEndnote/>
        </w:sectPr>
      </w:pP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b/>
          <w:bCs/>
          <w:szCs w:val="22"/>
        </w:rPr>
        <w:lastRenderedPageBreak/>
        <w:t>6(f)</w:t>
      </w:r>
      <w:r w:rsidRPr="00854FC2">
        <w:rPr>
          <w:rFonts w:cs="Arial"/>
          <w:b/>
          <w:bCs/>
          <w:szCs w:val="22"/>
        </w:rPr>
        <w:tab/>
        <w:t>Bottom Line Burden and Cost Tables</w:t>
      </w:r>
    </w:p>
    <w:p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D85665" w:rsidRPr="00854FC2" w:rsidRDefault="00074F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sidR="00D85665" w:rsidRPr="00854FC2">
        <w:rPr>
          <w:rFonts w:cs="Arial"/>
          <w:szCs w:val="22"/>
        </w:rPr>
        <w:t xml:space="preserve">The total estimated burden hours and costs incurred by all new and existing facilities are summarized in </w:t>
      </w:r>
      <w:fldSimple w:instr=" REF _Ref141690606  \* MERGEFORMAT ">
        <w:r w:rsidR="00F61EFD" w:rsidRPr="00F31186">
          <w:t xml:space="preserve">Exhibit </w:t>
        </w:r>
        <w:r w:rsidR="00F61EFD">
          <w:rPr>
            <w:noProof/>
          </w:rPr>
          <w:t>18</w:t>
        </w:r>
      </w:fldSimple>
      <w:r w:rsidR="00D85665" w:rsidRPr="00854FC2">
        <w:rPr>
          <w:rFonts w:cs="Arial"/>
          <w:szCs w:val="22"/>
        </w:rPr>
        <w:t xml:space="preserve">. The exhibit shows the burden and cost components for each year of this ICR, along with total and annualized costs. </w:t>
      </w:r>
    </w:p>
    <w:p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D85665" w:rsidRPr="00854FC2" w:rsidRDefault="00D85665" w:rsidP="00A15DF0">
      <w:pPr>
        <w:pStyle w:val="Caption"/>
        <w:keepNext/>
        <w:keepLines/>
        <w:outlineLvl w:val="0"/>
      </w:pPr>
      <w:bookmarkStart w:id="13" w:name="_Ref141690606"/>
      <w:r w:rsidRPr="00F31186">
        <w:t xml:space="preserve">Exhibit </w:t>
      </w:r>
      <w:r w:rsidR="002348E6">
        <w:fldChar w:fldCharType="begin"/>
      </w:r>
      <w:r w:rsidR="002348E6">
        <w:instrText xml:space="preserve"> SEQ Exhibit \* ARABIC </w:instrText>
      </w:r>
      <w:r w:rsidR="002348E6">
        <w:fldChar w:fldCharType="separate"/>
      </w:r>
      <w:r w:rsidR="00F61EFD">
        <w:rPr>
          <w:noProof/>
        </w:rPr>
        <w:t>18</w:t>
      </w:r>
      <w:r w:rsidR="002348E6">
        <w:fldChar w:fldCharType="end"/>
      </w:r>
      <w:bookmarkEnd w:id="13"/>
    </w:p>
    <w:tbl>
      <w:tblPr>
        <w:tblW w:w="9476" w:type="dxa"/>
        <w:tblInd w:w="-522" w:type="dxa"/>
        <w:tblLook w:val="0000"/>
      </w:tblPr>
      <w:tblGrid>
        <w:gridCol w:w="2472"/>
        <w:gridCol w:w="1884"/>
        <w:gridCol w:w="1297"/>
        <w:gridCol w:w="1406"/>
        <w:gridCol w:w="1206"/>
        <w:gridCol w:w="1211"/>
      </w:tblGrid>
      <w:tr w:rsidR="00D85665" w:rsidRPr="00B73C16" w:rsidTr="002C302E">
        <w:trPr>
          <w:trHeight w:val="299"/>
        </w:trPr>
        <w:tc>
          <w:tcPr>
            <w:tcW w:w="9476" w:type="dxa"/>
            <w:gridSpan w:val="6"/>
            <w:tcBorders>
              <w:top w:val="nil"/>
              <w:left w:val="nil"/>
              <w:bottom w:val="double" w:sz="6" w:space="0" w:color="000000"/>
              <w:right w:val="nil"/>
            </w:tcBorders>
            <w:noWrap/>
            <w:vAlign w:val="bottom"/>
          </w:tcPr>
          <w:p w:rsidR="00D85665" w:rsidRPr="00B73C16" w:rsidRDefault="00D85665" w:rsidP="00A61A19">
            <w:pPr>
              <w:keepNext/>
              <w:keepLines/>
              <w:jc w:val="center"/>
              <w:rPr>
                <w:rFonts w:cs="Arial"/>
                <w:b/>
                <w:bCs/>
                <w:szCs w:val="22"/>
              </w:rPr>
            </w:pPr>
            <w:r w:rsidRPr="00B73C16">
              <w:rPr>
                <w:rFonts w:cs="Arial"/>
                <w:b/>
                <w:bCs/>
                <w:szCs w:val="22"/>
              </w:rPr>
              <w:t>Estimated Total Burden and Costs for Facilities</w:t>
            </w:r>
          </w:p>
        </w:tc>
      </w:tr>
      <w:tr w:rsidR="00D85665" w:rsidRPr="00B73C16" w:rsidTr="002C302E">
        <w:trPr>
          <w:cantSplit/>
          <w:trHeight w:val="751"/>
        </w:trPr>
        <w:tc>
          <w:tcPr>
            <w:tcW w:w="2472" w:type="dxa"/>
            <w:vMerge w:val="restart"/>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B73C16" w:rsidRDefault="00D85665" w:rsidP="00A61A19">
            <w:pPr>
              <w:keepNext/>
              <w:keepLines/>
              <w:jc w:val="center"/>
              <w:rPr>
                <w:rFonts w:cs="Arial"/>
                <w:b/>
                <w:bCs/>
                <w:sz w:val="20"/>
                <w:szCs w:val="20"/>
              </w:rPr>
            </w:pPr>
            <w:r w:rsidRPr="00B73C16">
              <w:rPr>
                <w:rFonts w:cs="Arial"/>
                <w:b/>
                <w:bCs/>
                <w:sz w:val="20"/>
                <w:szCs w:val="20"/>
              </w:rPr>
              <w:t>Year</w:t>
            </w:r>
          </w:p>
        </w:tc>
        <w:tc>
          <w:tcPr>
            <w:tcW w:w="1884" w:type="dxa"/>
            <w:vMerge w:val="restart"/>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B73C16" w:rsidRDefault="00D85665" w:rsidP="00A61A19">
            <w:pPr>
              <w:keepNext/>
              <w:keepLines/>
              <w:jc w:val="center"/>
              <w:rPr>
                <w:rFonts w:cs="Arial"/>
                <w:b/>
                <w:bCs/>
                <w:sz w:val="20"/>
                <w:szCs w:val="20"/>
              </w:rPr>
            </w:pPr>
            <w:r w:rsidRPr="00B73C16">
              <w:rPr>
                <w:rFonts w:cs="Arial"/>
                <w:b/>
                <w:bCs/>
                <w:sz w:val="20"/>
                <w:szCs w:val="20"/>
              </w:rPr>
              <w:t>Total Burden (million hours)</w:t>
            </w:r>
          </w:p>
        </w:tc>
        <w:tc>
          <w:tcPr>
            <w:tcW w:w="5120" w:type="dxa"/>
            <w:gridSpan w:val="4"/>
            <w:tcBorders>
              <w:top w:val="double" w:sz="6" w:space="0" w:color="000000"/>
              <w:left w:val="nil"/>
              <w:bottom w:val="single" w:sz="4" w:space="0" w:color="auto"/>
              <w:right w:val="double" w:sz="6" w:space="0" w:color="000000"/>
            </w:tcBorders>
            <w:tcMar>
              <w:top w:w="29" w:type="dxa"/>
              <w:left w:w="115" w:type="dxa"/>
              <w:bottom w:w="29" w:type="dxa"/>
              <w:right w:w="115" w:type="dxa"/>
            </w:tcMar>
            <w:vAlign w:val="center"/>
          </w:tcPr>
          <w:p w:rsidR="00D85665" w:rsidRPr="00B73C16" w:rsidRDefault="00D85665" w:rsidP="007D2182">
            <w:pPr>
              <w:keepNext/>
              <w:keepLines/>
              <w:jc w:val="center"/>
              <w:rPr>
                <w:rFonts w:cs="Arial"/>
                <w:b/>
                <w:bCs/>
                <w:sz w:val="20"/>
                <w:szCs w:val="20"/>
              </w:rPr>
            </w:pPr>
            <w:r w:rsidRPr="00B73C16">
              <w:rPr>
                <w:rFonts w:cs="Arial"/>
                <w:b/>
                <w:bCs/>
                <w:sz w:val="20"/>
                <w:szCs w:val="20"/>
              </w:rPr>
              <w:t>Total Cost (</w:t>
            </w:r>
            <w:r w:rsidR="002C0EBA">
              <w:rPr>
                <w:rFonts w:cs="Arial"/>
                <w:b/>
                <w:bCs/>
                <w:sz w:val="20"/>
                <w:szCs w:val="20"/>
              </w:rPr>
              <w:t>20</w:t>
            </w:r>
            <w:r w:rsidR="007D2182">
              <w:rPr>
                <w:rFonts w:cs="Arial"/>
                <w:b/>
                <w:bCs/>
                <w:sz w:val="20"/>
                <w:szCs w:val="20"/>
              </w:rPr>
              <w:t>12</w:t>
            </w:r>
            <w:r w:rsidR="002C0EBA">
              <w:rPr>
                <w:rFonts w:cs="Arial"/>
                <w:b/>
                <w:bCs/>
                <w:sz w:val="20"/>
                <w:szCs w:val="20"/>
              </w:rPr>
              <w:t xml:space="preserve">$, </w:t>
            </w:r>
            <w:r w:rsidRPr="00B73C16">
              <w:rPr>
                <w:rFonts w:cs="Arial"/>
                <w:b/>
                <w:bCs/>
                <w:sz w:val="20"/>
                <w:szCs w:val="20"/>
              </w:rPr>
              <w:t>millions)</w:t>
            </w:r>
          </w:p>
        </w:tc>
      </w:tr>
      <w:tr w:rsidR="00D85665" w:rsidRPr="00B73C16" w:rsidTr="002C302E">
        <w:trPr>
          <w:cantSplit/>
          <w:trHeight w:val="286"/>
        </w:trPr>
        <w:tc>
          <w:tcPr>
            <w:tcW w:w="2472" w:type="dxa"/>
            <w:vMerge/>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B73C16" w:rsidRDefault="00D85665" w:rsidP="00A61A19">
            <w:pPr>
              <w:keepNext/>
              <w:keepLines/>
              <w:rPr>
                <w:rFonts w:cs="Arial"/>
                <w:b/>
                <w:bCs/>
                <w:sz w:val="20"/>
                <w:szCs w:val="20"/>
              </w:rPr>
            </w:pPr>
          </w:p>
        </w:tc>
        <w:tc>
          <w:tcPr>
            <w:tcW w:w="1884" w:type="dxa"/>
            <w:vMerge/>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B73C16" w:rsidRDefault="00D85665" w:rsidP="00A61A19">
            <w:pPr>
              <w:keepNext/>
              <w:keepLines/>
              <w:rPr>
                <w:rFonts w:cs="Arial"/>
                <w:b/>
                <w:bCs/>
                <w:sz w:val="20"/>
                <w:szCs w:val="20"/>
              </w:rPr>
            </w:pPr>
          </w:p>
        </w:tc>
        <w:tc>
          <w:tcPr>
            <w:tcW w:w="1297" w:type="dxa"/>
            <w:tcBorders>
              <w:top w:val="nil"/>
              <w:left w:val="nil"/>
              <w:bottom w:val="double" w:sz="6" w:space="0" w:color="000000"/>
              <w:right w:val="nil"/>
            </w:tcBorders>
            <w:tcMar>
              <w:top w:w="29" w:type="dxa"/>
              <w:left w:w="115" w:type="dxa"/>
              <w:bottom w:w="29" w:type="dxa"/>
              <w:right w:w="115" w:type="dxa"/>
            </w:tcMar>
            <w:vAlign w:val="center"/>
          </w:tcPr>
          <w:p w:rsidR="00D85665" w:rsidRPr="00B73C16" w:rsidRDefault="00D85665" w:rsidP="00A61A19">
            <w:pPr>
              <w:keepNext/>
              <w:keepLines/>
              <w:jc w:val="center"/>
              <w:rPr>
                <w:rFonts w:cs="Arial"/>
                <w:b/>
                <w:bCs/>
                <w:sz w:val="20"/>
                <w:szCs w:val="20"/>
              </w:rPr>
            </w:pPr>
            <w:r w:rsidRPr="00B73C16">
              <w:rPr>
                <w:rFonts w:cs="Arial"/>
                <w:b/>
                <w:bCs/>
                <w:sz w:val="20"/>
                <w:szCs w:val="20"/>
              </w:rPr>
              <w:t>Labor</w:t>
            </w:r>
          </w:p>
        </w:tc>
        <w:tc>
          <w:tcPr>
            <w:tcW w:w="1406" w:type="dxa"/>
            <w:tcBorders>
              <w:top w:val="nil"/>
              <w:left w:val="single" w:sz="8" w:space="0" w:color="000000"/>
              <w:bottom w:val="double" w:sz="6" w:space="0" w:color="000000"/>
              <w:right w:val="nil"/>
            </w:tcBorders>
            <w:tcMar>
              <w:top w:w="29" w:type="dxa"/>
              <w:left w:w="115" w:type="dxa"/>
              <w:bottom w:w="29" w:type="dxa"/>
              <w:right w:w="115" w:type="dxa"/>
            </w:tcMar>
            <w:vAlign w:val="center"/>
          </w:tcPr>
          <w:p w:rsidR="00D85665" w:rsidRPr="00B73C16" w:rsidRDefault="00D85665" w:rsidP="00A61A19">
            <w:pPr>
              <w:keepNext/>
              <w:keepLines/>
              <w:jc w:val="center"/>
              <w:rPr>
                <w:rFonts w:cs="Arial"/>
                <w:b/>
                <w:bCs/>
                <w:sz w:val="20"/>
                <w:szCs w:val="20"/>
              </w:rPr>
            </w:pPr>
            <w:r w:rsidRPr="00B73C16">
              <w:rPr>
                <w:rFonts w:cs="Arial"/>
                <w:b/>
                <w:bCs/>
                <w:sz w:val="20"/>
                <w:szCs w:val="20"/>
              </w:rPr>
              <w:t>Capital</w:t>
            </w:r>
          </w:p>
        </w:tc>
        <w:tc>
          <w:tcPr>
            <w:tcW w:w="1206" w:type="dxa"/>
            <w:tcBorders>
              <w:top w:val="nil"/>
              <w:left w:val="single" w:sz="8" w:space="0" w:color="000000"/>
              <w:bottom w:val="double" w:sz="6" w:space="0" w:color="000000"/>
              <w:right w:val="nil"/>
            </w:tcBorders>
            <w:tcMar>
              <w:top w:w="29" w:type="dxa"/>
              <w:left w:w="115" w:type="dxa"/>
              <w:bottom w:w="29" w:type="dxa"/>
              <w:right w:w="115" w:type="dxa"/>
            </w:tcMar>
            <w:vAlign w:val="center"/>
          </w:tcPr>
          <w:p w:rsidR="00D85665" w:rsidRPr="00B73C16" w:rsidRDefault="00D85665" w:rsidP="00A61A19">
            <w:pPr>
              <w:keepNext/>
              <w:keepLines/>
              <w:jc w:val="center"/>
              <w:rPr>
                <w:rFonts w:cs="Arial"/>
                <w:b/>
                <w:bCs/>
                <w:sz w:val="20"/>
                <w:szCs w:val="20"/>
              </w:rPr>
            </w:pPr>
            <w:r w:rsidRPr="00B73C16">
              <w:rPr>
                <w:rFonts w:cs="Arial"/>
                <w:b/>
                <w:bCs/>
                <w:sz w:val="20"/>
                <w:szCs w:val="20"/>
              </w:rPr>
              <w:t>O&amp;M</w:t>
            </w:r>
          </w:p>
        </w:tc>
        <w:tc>
          <w:tcPr>
            <w:tcW w:w="1211" w:type="dxa"/>
            <w:tcBorders>
              <w:top w:val="nil"/>
              <w:left w:val="single" w:sz="8" w:space="0" w:color="000000"/>
              <w:bottom w:val="double" w:sz="6" w:space="0" w:color="000000"/>
              <w:right w:val="double" w:sz="6" w:space="0" w:color="000000"/>
            </w:tcBorders>
            <w:tcMar>
              <w:top w:w="29" w:type="dxa"/>
              <w:left w:w="115" w:type="dxa"/>
              <w:bottom w:w="29" w:type="dxa"/>
              <w:right w:w="115" w:type="dxa"/>
            </w:tcMar>
            <w:vAlign w:val="center"/>
          </w:tcPr>
          <w:p w:rsidR="00D85665" w:rsidRPr="00B73C16" w:rsidRDefault="00D85665" w:rsidP="00A61A19">
            <w:pPr>
              <w:keepNext/>
              <w:keepLines/>
              <w:jc w:val="center"/>
              <w:rPr>
                <w:rFonts w:cs="Arial"/>
                <w:b/>
                <w:bCs/>
                <w:sz w:val="20"/>
                <w:szCs w:val="20"/>
              </w:rPr>
            </w:pPr>
            <w:r w:rsidRPr="00B73C16">
              <w:rPr>
                <w:rFonts w:cs="Arial"/>
                <w:b/>
                <w:bCs/>
                <w:sz w:val="20"/>
                <w:szCs w:val="20"/>
              </w:rPr>
              <w:t>Total</w:t>
            </w:r>
          </w:p>
        </w:tc>
      </w:tr>
      <w:tr w:rsidR="001D4403" w:rsidRPr="00B73C16" w:rsidTr="002C302E">
        <w:trPr>
          <w:trHeight w:val="272"/>
        </w:trPr>
        <w:tc>
          <w:tcPr>
            <w:tcW w:w="2472" w:type="dxa"/>
            <w:tcBorders>
              <w:top w:val="nil"/>
              <w:left w:val="double" w:sz="6" w:space="0" w:color="000000"/>
              <w:bottom w:val="single" w:sz="4" w:space="0" w:color="auto"/>
              <w:right w:val="nil"/>
            </w:tcBorders>
            <w:tcMar>
              <w:top w:w="29" w:type="dxa"/>
              <w:left w:w="115" w:type="dxa"/>
              <w:bottom w:w="29" w:type="dxa"/>
              <w:right w:w="115" w:type="dxa"/>
            </w:tcMar>
            <w:vAlign w:val="center"/>
          </w:tcPr>
          <w:p w:rsidR="001D4403" w:rsidRPr="00B73C16" w:rsidRDefault="001D4403" w:rsidP="00A61A19">
            <w:pPr>
              <w:pStyle w:val="FootnoteText"/>
              <w:keepNext/>
              <w:keepLines/>
              <w:rPr>
                <w:rFonts w:cs="Arial"/>
              </w:rPr>
            </w:pPr>
            <w:r w:rsidRPr="00B73C16">
              <w:rPr>
                <w:rFonts w:cs="Arial"/>
              </w:rPr>
              <w:t>First</w:t>
            </w:r>
          </w:p>
        </w:tc>
        <w:tc>
          <w:tcPr>
            <w:tcW w:w="1884" w:type="dxa"/>
            <w:tcBorders>
              <w:top w:val="nil"/>
              <w:left w:val="double" w:sz="6" w:space="0" w:color="000000"/>
              <w:bottom w:val="single" w:sz="4" w:space="0" w:color="auto"/>
              <w:right w:val="double" w:sz="6" w:space="0" w:color="000000"/>
            </w:tcBorders>
            <w:tcMar>
              <w:top w:w="29" w:type="dxa"/>
              <w:left w:w="115" w:type="dxa"/>
              <w:bottom w:w="29" w:type="dxa"/>
              <w:right w:w="115" w:type="dxa"/>
            </w:tcMar>
            <w:vAlign w:val="center"/>
          </w:tcPr>
          <w:p w:rsidR="001D4403" w:rsidRDefault="001C6733">
            <w:pPr>
              <w:jc w:val="right"/>
              <w:rPr>
                <w:rFonts w:cs="Arial"/>
                <w:sz w:val="20"/>
                <w:szCs w:val="20"/>
              </w:rPr>
            </w:pPr>
            <w:r>
              <w:rPr>
                <w:rFonts w:cs="Arial"/>
                <w:sz w:val="20"/>
                <w:szCs w:val="20"/>
              </w:rPr>
              <w:t>8.4</w:t>
            </w:r>
          </w:p>
        </w:tc>
        <w:tc>
          <w:tcPr>
            <w:tcW w:w="1297" w:type="dxa"/>
            <w:tcBorders>
              <w:top w:val="nil"/>
              <w:left w:val="nil"/>
              <w:bottom w:val="single" w:sz="4" w:space="0" w:color="auto"/>
              <w:right w:val="single" w:sz="8" w:space="0" w:color="000000"/>
            </w:tcBorders>
            <w:tcMar>
              <w:top w:w="29" w:type="dxa"/>
              <w:left w:w="115" w:type="dxa"/>
              <w:bottom w:w="29" w:type="dxa"/>
              <w:right w:w="115" w:type="dxa"/>
            </w:tcMar>
            <w:vAlign w:val="center"/>
          </w:tcPr>
          <w:p w:rsidR="001D4403" w:rsidRDefault="00995AC3" w:rsidP="001C6733">
            <w:pPr>
              <w:jc w:val="right"/>
              <w:rPr>
                <w:rFonts w:cs="Arial"/>
                <w:sz w:val="20"/>
                <w:szCs w:val="20"/>
              </w:rPr>
            </w:pPr>
            <w:r>
              <w:rPr>
                <w:rFonts w:cs="Arial"/>
                <w:sz w:val="20"/>
                <w:szCs w:val="20"/>
              </w:rPr>
              <w:t>$7</w:t>
            </w:r>
            <w:r w:rsidR="001C6733">
              <w:rPr>
                <w:rFonts w:cs="Arial"/>
                <w:sz w:val="20"/>
                <w:szCs w:val="20"/>
              </w:rPr>
              <w:t>68</w:t>
            </w:r>
            <w:r w:rsidR="001D4403">
              <w:rPr>
                <w:rFonts w:cs="Arial"/>
                <w:sz w:val="20"/>
                <w:szCs w:val="20"/>
              </w:rPr>
              <w:t xml:space="preserve"> </w:t>
            </w:r>
          </w:p>
        </w:tc>
        <w:tc>
          <w:tcPr>
            <w:tcW w:w="1406" w:type="dxa"/>
            <w:tcBorders>
              <w:top w:val="nil"/>
              <w:left w:val="nil"/>
              <w:bottom w:val="single" w:sz="4" w:space="0" w:color="auto"/>
              <w:right w:val="single" w:sz="8" w:space="0" w:color="000000"/>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1C6733">
              <w:rPr>
                <w:rFonts w:cs="Arial"/>
                <w:sz w:val="20"/>
                <w:szCs w:val="20"/>
              </w:rPr>
              <w:t>2.2</w:t>
            </w:r>
            <w:r>
              <w:rPr>
                <w:rFonts w:cs="Arial"/>
                <w:sz w:val="20"/>
                <w:szCs w:val="20"/>
              </w:rPr>
              <w:t xml:space="preserve"> </w:t>
            </w:r>
          </w:p>
        </w:tc>
        <w:tc>
          <w:tcPr>
            <w:tcW w:w="1206" w:type="dxa"/>
            <w:tcBorders>
              <w:top w:val="nil"/>
              <w:left w:val="nil"/>
              <w:bottom w:val="single" w:sz="4" w:space="0" w:color="auto"/>
              <w:right w:val="nil"/>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525B87">
              <w:rPr>
                <w:rFonts w:cs="Arial"/>
                <w:sz w:val="20"/>
                <w:szCs w:val="20"/>
              </w:rPr>
              <w:t>1</w:t>
            </w:r>
            <w:r w:rsidR="001C6733">
              <w:rPr>
                <w:rFonts w:cs="Arial"/>
                <w:sz w:val="20"/>
                <w:szCs w:val="20"/>
              </w:rPr>
              <w:t>73</w:t>
            </w:r>
            <w:r>
              <w:rPr>
                <w:rFonts w:cs="Arial"/>
                <w:sz w:val="20"/>
                <w:szCs w:val="20"/>
              </w:rPr>
              <w:t xml:space="preserve"> </w:t>
            </w:r>
          </w:p>
        </w:tc>
        <w:tc>
          <w:tcPr>
            <w:tcW w:w="1211" w:type="dxa"/>
            <w:tcBorders>
              <w:top w:val="nil"/>
              <w:left w:val="single" w:sz="8" w:space="0" w:color="000000"/>
              <w:bottom w:val="single" w:sz="4" w:space="0" w:color="auto"/>
              <w:right w:val="double" w:sz="6" w:space="0" w:color="000000"/>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1C6733">
              <w:rPr>
                <w:rFonts w:cs="Arial"/>
                <w:sz w:val="20"/>
                <w:szCs w:val="20"/>
              </w:rPr>
              <w:t>944</w:t>
            </w:r>
            <w:r>
              <w:rPr>
                <w:rFonts w:cs="Arial"/>
                <w:sz w:val="20"/>
                <w:szCs w:val="20"/>
              </w:rPr>
              <w:t xml:space="preserve"> </w:t>
            </w:r>
          </w:p>
        </w:tc>
      </w:tr>
      <w:tr w:rsidR="001D4403" w:rsidRPr="00B73C16" w:rsidTr="002C302E">
        <w:trPr>
          <w:trHeight w:val="258"/>
        </w:trPr>
        <w:tc>
          <w:tcPr>
            <w:tcW w:w="2472" w:type="dxa"/>
            <w:tcBorders>
              <w:top w:val="nil"/>
              <w:left w:val="double" w:sz="6" w:space="0" w:color="000000"/>
              <w:bottom w:val="single" w:sz="4" w:space="0" w:color="auto"/>
              <w:right w:val="nil"/>
            </w:tcBorders>
            <w:tcMar>
              <w:top w:w="29" w:type="dxa"/>
              <w:left w:w="115" w:type="dxa"/>
              <w:bottom w:w="29" w:type="dxa"/>
              <w:right w:w="115" w:type="dxa"/>
            </w:tcMar>
            <w:vAlign w:val="center"/>
          </w:tcPr>
          <w:p w:rsidR="001D4403" w:rsidRPr="00B73C16" w:rsidRDefault="001D4403" w:rsidP="00A61A19">
            <w:pPr>
              <w:keepNext/>
              <w:keepLines/>
              <w:rPr>
                <w:rFonts w:cs="Arial"/>
                <w:sz w:val="20"/>
                <w:szCs w:val="20"/>
              </w:rPr>
            </w:pPr>
            <w:r w:rsidRPr="00B73C16">
              <w:rPr>
                <w:rFonts w:cs="Arial"/>
                <w:sz w:val="20"/>
                <w:szCs w:val="20"/>
              </w:rPr>
              <w:t>Second</w:t>
            </w:r>
          </w:p>
        </w:tc>
        <w:tc>
          <w:tcPr>
            <w:tcW w:w="1884" w:type="dxa"/>
            <w:tcBorders>
              <w:top w:val="nil"/>
              <w:left w:val="double" w:sz="6" w:space="0" w:color="000000"/>
              <w:bottom w:val="single" w:sz="4" w:space="0" w:color="auto"/>
              <w:right w:val="double" w:sz="6" w:space="0" w:color="000000"/>
            </w:tcBorders>
            <w:tcMar>
              <w:top w:w="29" w:type="dxa"/>
              <w:left w:w="115" w:type="dxa"/>
              <w:bottom w:w="29" w:type="dxa"/>
              <w:right w:w="115" w:type="dxa"/>
            </w:tcMar>
            <w:vAlign w:val="center"/>
          </w:tcPr>
          <w:p w:rsidR="001D4403" w:rsidRDefault="001C6733">
            <w:pPr>
              <w:jc w:val="right"/>
              <w:rPr>
                <w:rFonts w:cs="Arial"/>
                <w:sz w:val="20"/>
                <w:szCs w:val="20"/>
              </w:rPr>
            </w:pPr>
            <w:r>
              <w:rPr>
                <w:rFonts w:cs="Arial"/>
                <w:sz w:val="20"/>
                <w:szCs w:val="20"/>
              </w:rPr>
              <w:t>8.8</w:t>
            </w:r>
          </w:p>
        </w:tc>
        <w:tc>
          <w:tcPr>
            <w:tcW w:w="1297" w:type="dxa"/>
            <w:tcBorders>
              <w:top w:val="nil"/>
              <w:left w:val="nil"/>
              <w:bottom w:val="single" w:sz="4" w:space="0" w:color="auto"/>
              <w:right w:val="single" w:sz="8" w:space="0" w:color="000000"/>
            </w:tcBorders>
            <w:tcMar>
              <w:top w:w="29" w:type="dxa"/>
              <w:left w:w="115" w:type="dxa"/>
              <w:bottom w:w="29" w:type="dxa"/>
              <w:right w:w="115" w:type="dxa"/>
            </w:tcMar>
            <w:vAlign w:val="center"/>
          </w:tcPr>
          <w:p w:rsidR="001D4403" w:rsidRDefault="00995AC3" w:rsidP="001C6733">
            <w:pPr>
              <w:jc w:val="right"/>
              <w:rPr>
                <w:rFonts w:cs="Arial"/>
                <w:sz w:val="20"/>
                <w:szCs w:val="20"/>
              </w:rPr>
            </w:pPr>
            <w:r>
              <w:rPr>
                <w:rFonts w:cs="Arial"/>
                <w:sz w:val="20"/>
                <w:szCs w:val="20"/>
              </w:rPr>
              <w:t>$7</w:t>
            </w:r>
            <w:r w:rsidR="001C6733">
              <w:rPr>
                <w:rFonts w:cs="Arial"/>
                <w:sz w:val="20"/>
                <w:szCs w:val="20"/>
              </w:rPr>
              <w:t>97</w:t>
            </w:r>
            <w:r w:rsidR="001D4403">
              <w:rPr>
                <w:rFonts w:cs="Arial"/>
                <w:sz w:val="20"/>
                <w:szCs w:val="20"/>
              </w:rPr>
              <w:t xml:space="preserve"> </w:t>
            </w:r>
          </w:p>
        </w:tc>
        <w:tc>
          <w:tcPr>
            <w:tcW w:w="1406" w:type="dxa"/>
            <w:tcBorders>
              <w:top w:val="nil"/>
              <w:left w:val="nil"/>
              <w:bottom w:val="single" w:sz="4" w:space="0" w:color="auto"/>
              <w:right w:val="single" w:sz="8" w:space="0" w:color="000000"/>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1C6733">
              <w:rPr>
                <w:rFonts w:cs="Arial"/>
                <w:sz w:val="20"/>
                <w:szCs w:val="20"/>
              </w:rPr>
              <w:t>2</w:t>
            </w:r>
            <w:r>
              <w:rPr>
                <w:rFonts w:cs="Arial"/>
                <w:sz w:val="20"/>
                <w:szCs w:val="20"/>
              </w:rPr>
              <w:t xml:space="preserve">.6 </w:t>
            </w:r>
          </w:p>
        </w:tc>
        <w:tc>
          <w:tcPr>
            <w:tcW w:w="1206" w:type="dxa"/>
            <w:tcBorders>
              <w:top w:val="nil"/>
              <w:left w:val="nil"/>
              <w:bottom w:val="single" w:sz="4" w:space="0" w:color="auto"/>
              <w:right w:val="nil"/>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525B87">
              <w:rPr>
                <w:rFonts w:cs="Arial"/>
                <w:sz w:val="20"/>
                <w:szCs w:val="20"/>
              </w:rPr>
              <w:t>1</w:t>
            </w:r>
            <w:r w:rsidR="001C6733">
              <w:rPr>
                <w:rFonts w:cs="Arial"/>
                <w:sz w:val="20"/>
                <w:szCs w:val="20"/>
              </w:rPr>
              <w:t>83</w:t>
            </w:r>
          </w:p>
        </w:tc>
        <w:tc>
          <w:tcPr>
            <w:tcW w:w="1211" w:type="dxa"/>
            <w:tcBorders>
              <w:top w:val="nil"/>
              <w:left w:val="single" w:sz="8" w:space="0" w:color="000000"/>
              <w:bottom w:val="single" w:sz="4" w:space="0" w:color="auto"/>
              <w:right w:val="double" w:sz="6" w:space="0" w:color="000000"/>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1C6733">
              <w:rPr>
                <w:rFonts w:cs="Arial"/>
                <w:sz w:val="20"/>
                <w:szCs w:val="20"/>
              </w:rPr>
              <w:t>9</w:t>
            </w:r>
            <w:r w:rsidR="00995AC3">
              <w:rPr>
                <w:rFonts w:cs="Arial"/>
                <w:sz w:val="20"/>
                <w:szCs w:val="20"/>
              </w:rPr>
              <w:t>8</w:t>
            </w:r>
            <w:r w:rsidR="001C6733">
              <w:rPr>
                <w:rFonts w:cs="Arial"/>
                <w:sz w:val="20"/>
                <w:szCs w:val="20"/>
              </w:rPr>
              <w:t>2</w:t>
            </w:r>
            <w:r>
              <w:rPr>
                <w:rFonts w:cs="Arial"/>
                <w:sz w:val="20"/>
                <w:szCs w:val="20"/>
              </w:rPr>
              <w:t xml:space="preserve"> </w:t>
            </w:r>
          </w:p>
        </w:tc>
      </w:tr>
      <w:tr w:rsidR="001D4403" w:rsidRPr="00B73C16" w:rsidTr="002C302E">
        <w:trPr>
          <w:trHeight w:val="272"/>
        </w:trPr>
        <w:tc>
          <w:tcPr>
            <w:tcW w:w="2472" w:type="dxa"/>
            <w:tcBorders>
              <w:top w:val="nil"/>
              <w:left w:val="double" w:sz="6" w:space="0" w:color="000000"/>
              <w:bottom w:val="nil"/>
              <w:right w:val="nil"/>
            </w:tcBorders>
            <w:tcMar>
              <w:top w:w="29" w:type="dxa"/>
              <w:left w:w="115" w:type="dxa"/>
              <w:bottom w:w="29" w:type="dxa"/>
              <w:right w:w="115" w:type="dxa"/>
            </w:tcMar>
            <w:vAlign w:val="center"/>
          </w:tcPr>
          <w:p w:rsidR="001D4403" w:rsidRPr="00B73C16" w:rsidRDefault="001D4403" w:rsidP="00A61A19">
            <w:pPr>
              <w:keepNext/>
              <w:keepLines/>
              <w:rPr>
                <w:rFonts w:cs="Arial"/>
                <w:sz w:val="20"/>
                <w:szCs w:val="20"/>
              </w:rPr>
            </w:pPr>
            <w:r w:rsidRPr="00B73C16">
              <w:rPr>
                <w:rFonts w:cs="Arial"/>
                <w:sz w:val="20"/>
                <w:szCs w:val="20"/>
              </w:rPr>
              <w:t>Third</w:t>
            </w:r>
          </w:p>
        </w:tc>
        <w:tc>
          <w:tcPr>
            <w:tcW w:w="1884" w:type="dxa"/>
            <w:tcBorders>
              <w:top w:val="nil"/>
              <w:left w:val="double" w:sz="6" w:space="0" w:color="000000"/>
              <w:bottom w:val="nil"/>
              <w:right w:val="double" w:sz="6" w:space="0" w:color="000000"/>
            </w:tcBorders>
            <w:tcMar>
              <w:top w:w="29" w:type="dxa"/>
              <w:left w:w="115" w:type="dxa"/>
              <w:bottom w:w="29" w:type="dxa"/>
              <w:right w:w="115" w:type="dxa"/>
            </w:tcMar>
            <w:vAlign w:val="center"/>
          </w:tcPr>
          <w:p w:rsidR="001D4403" w:rsidRDefault="001C6733">
            <w:pPr>
              <w:jc w:val="right"/>
              <w:rPr>
                <w:rFonts w:cs="Arial"/>
                <w:sz w:val="20"/>
                <w:szCs w:val="20"/>
              </w:rPr>
            </w:pPr>
            <w:r>
              <w:rPr>
                <w:rFonts w:cs="Arial"/>
                <w:sz w:val="20"/>
                <w:szCs w:val="20"/>
              </w:rPr>
              <w:t>9.2</w:t>
            </w:r>
          </w:p>
        </w:tc>
        <w:tc>
          <w:tcPr>
            <w:tcW w:w="1297" w:type="dxa"/>
            <w:tcBorders>
              <w:top w:val="nil"/>
              <w:left w:val="nil"/>
              <w:bottom w:val="nil"/>
              <w:right w:val="single" w:sz="8" w:space="0" w:color="000000"/>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1C6733">
              <w:rPr>
                <w:rFonts w:cs="Arial"/>
                <w:sz w:val="20"/>
                <w:szCs w:val="20"/>
              </w:rPr>
              <w:t>836</w:t>
            </w:r>
            <w:r>
              <w:rPr>
                <w:rFonts w:cs="Arial"/>
                <w:sz w:val="20"/>
                <w:szCs w:val="20"/>
              </w:rPr>
              <w:t xml:space="preserve"> </w:t>
            </w:r>
          </w:p>
        </w:tc>
        <w:tc>
          <w:tcPr>
            <w:tcW w:w="1406" w:type="dxa"/>
            <w:tcBorders>
              <w:top w:val="nil"/>
              <w:left w:val="nil"/>
              <w:bottom w:val="nil"/>
              <w:right w:val="single" w:sz="8" w:space="0" w:color="000000"/>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1C6733">
              <w:rPr>
                <w:rFonts w:cs="Arial"/>
                <w:sz w:val="20"/>
                <w:szCs w:val="20"/>
              </w:rPr>
              <w:t>3.1</w:t>
            </w:r>
            <w:r>
              <w:rPr>
                <w:rFonts w:cs="Arial"/>
                <w:sz w:val="20"/>
                <w:szCs w:val="20"/>
              </w:rPr>
              <w:t xml:space="preserve"> </w:t>
            </w:r>
          </w:p>
        </w:tc>
        <w:tc>
          <w:tcPr>
            <w:tcW w:w="1206" w:type="dxa"/>
            <w:tcBorders>
              <w:top w:val="nil"/>
              <w:left w:val="nil"/>
              <w:bottom w:val="nil"/>
              <w:right w:val="nil"/>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525B87">
              <w:rPr>
                <w:rFonts w:cs="Arial"/>
                <w:sz w:val="20"/>
                <w:szCs w:val="20"/>
              </w:rPr>
              <w:t>1</w:t>
            </w:r>
            <w:r w:rsidR="001C6733">
              <w:rPr>
                <w:rFonts w:cs="Arial"/>
                <w:sz w:val="20"/>
                <w:szCs w:val="20"/>
              </w:rPr>
              <w:t>9</w:t>
            </w:r>
            <w:r w:rsidR="00525B87">
              <w:rPr>
                <w:rFonts w:cs="Arial"/>
                <w:sz w:val="20"/>
                <w:szCs w:val="20"/>
              </w:rPr>
              <w:t>5</w:t>
            </w:r>
            <w:r>
              <w:rPr>
                <w:rFonts w:cs="Arial"/>
                <w:sz w:val="20"/>
                <w:szCs w:val="20"/>
              </w:rPr>
              <w:t xml:space="preserve"> </w:t>
            </w:r>
          </w:p>
        </w:tc>
        <w:tc>
          <w:tcPr>
            <w:tcW w:w="1211" w:type="dxa"/>
            <w:tcBorders>
              <w:top w:val="nil"/>
              <w:left w:val="single" w:sz="8" w:space="0" w:color="000000"/>
              <w:bottom w:val="nil"/>
              <w:right w:val="double" w:sz="6" w:space="0" w:color="000000"/>
            </w:tcBorders>
            <w:tcMar>
              <w:top w:w="29" w:type="dxa"/>
              <w:left w:w="115" w:type="dxa"/>
              <w:bottom w:w="29" w:type="dxa"/>
              <w:right w:w="115" w:type="dxa"/>
            </w:tcMar>
            <w:vAlign w:val="center"/>
          </w:tcPr>
          <w:p w:rsidR="001D4403" w:rsidRDefault="001D4403" w:rsidP="001C6733">
            <w:pPr>
              <w:jc w:val="right"/>
              <w:rPr>
                <w:rFonts w:cs="Arial"/>
                <w:sz w:val="20"/>
                <w:szCs w:val="20"/>
              </w:rPr>
            </w:pPr>
            <w:r>
              <w:rPr>
                <w:rFonts w:cs="Arial"/>
                <w:sz w:val="20"/>
                <w:szCs w:val="20"/>
              </w:rPr>
              <w:t>$</w:t>
            </w:r>
            <w:r w:rsidR="001C6733">
              <w:rPr>
                <w:rFonts w:cs="Arial"/>
                <w:sz w:val="20"/>
                <w:szCs w:val="20"/>
              </w:rPr>
              <w:t>1,034</w:t>
            </w:r>
            <w:r>
              <w:rPr>
                <w:rFonts w:cs="Arial"/>
                <w:sz w:val="20"/>
                <w:szCs w:val="20"/>
              </w:rPr>
              <w:t xml:space="preserve"> </w:t>
            </w:r>
          </w:p>
        </w:tc>
      </w:tr>
      <w:tr w:rsidR="001D4403" w:rsidRPr="00B73C16" w:rsidTr="002C302E">
        <w:trPr>
          <w:trHeight w:val="299"/>
        </w:trPr>
        <w:tc>
          <w:tcPr>
            <w:tcW w:w="2472" w:type="dxa"/>
            <w:tcBorders>
              <w:top w:val="double" w:sz="6" w:space="0" w:color="000000"/>
              <w:left w:val="double" w:sz="6" w:space="0" w:color="000000"/>
              <w:bottom w:val="nil"/>
              <w:right w:val="nil"/>
            </w:tcBorders>
            <w:tcMar>
              <w:top w:w="29" w:type="dxa"/>
              <w:left w:w="115" w:type="dxa"/>
              <w:bottom w:w="29" w:type="dxa"/>
              <w:right w:w="115" w:type="dxa"/>
            </w:tcMar>
            <w:vAlign w:val="center"/>
          </w:tcPr>
          <w:p w:rsidR="001D4403" w:rsidRPr="00B73C16" w:rsidRDefault="001D4403" w:rsidP="00A61A19">
            <w:pPr>
              <w:keepNext/>
              <w:keepLines/>
              <w:rPr>
                <w:rFonts w:cs="Arial"/>
                <w:b/>
                <w:bCs/>
                <w:sz w:val="20"/>
                <w:szCs w:val="20"/>
              </w:rPr>
            </w:pPr>
            <w:r w:rsidRPr="00B73C16">
              <w:rPr>
                <w:rFonts w:cs="Arial"/>
                <w:b/>
                <w:bCs/>
                <w:sz w:val="20"/>
                <w:szCs w:val="20"/>
              </w:rPr>
              <w:t>TOTAL</w:t>
            </w:r>
          </w:p>
        </w:tc>
        <w:tc>
          <w:tcPr>
            <w:tcW w:w="1884" w:type="dxa"/>
            <w:tcBorders>
              <w:top w:val="double" w:sz="6" w:space="0" w:color="000000"/>
              <w:left w:val="double" w:sz="6" w:space="0" w:color="000000"/>
              <w:bottom w:val="nil"/>
              <w:right w:val="double" w:sz="6"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2</w:t>
            </w:r>
            <w:r w:rsidR="001C6733">
              <w:rPr>
                <w:rFonts w:cs="Arial"/>
                <w:b/>
                <w:bCs/>
                <w:sz w:val="20"/>
                <w:szCs w:val="20"/>
              </w:rPr>
              <w:t>6.4</w:t>
            </w:r>
          </w:p>
        </w:tc>
        <w:tc>
          <w:tcPr>
            <w:tcW w:w="1297" w:type="dxa"/>
            <w:tcBorders>
              <w:top w:val="double" w:sz="6" w:space="0" w:color="000000"/>
              <w:left w:val="nil"/>
              <w:bottom w:val="double" w:sz="6" w:space="0" w:color="000000"/>
              <w:right w:val="single" w:sz="8"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$2,</w:t>
            </w:r>
            <w:r w:rsidR="00995AC3">
              <w:rPr>
                <w:rFonts w:cs="Arial"/>
                <w:b/>
                <w:bCs/>
                <w:sz w:val="20"/>
                <w:szCs w:val="20"/>
              </w:rPr>
              <w:t>4</w:t>
            </w:r>
            <w:r>
              <w:rPr>
                <w:rFonts w:cs="Arial"/>
                <w:b/>
                <w:bCs/>
                <w:sz w:val="20"/>
                <w:szCs w:val="20"/>
              </w:rPr>
              <w:t>0</w:t>
            </w:r>
            <w:r w:rsidR="001C6733">
              <w:rPr>
                <w:rFonts w:cs="Arial"/>
                <w:b/>
                <w:bCs/>
                <w:sz w:val="20"/>
                <w:szCs w:val="20"/>
              </w:rPr>
              <w:t>2</w:t>
            </w:r>
            <w:r>
              <w:rPr>
                <w:rFonts w:cs="Arial"/>
                <w:b/>
                <w:bCs/>
                <w:sz w:val="20"/>
                <w:szCs w:val="20"/>
              </w:rPr>
              <w:t xml:space="preserve"> </w:t>
            </w:r>
          </w:p>
        </w:tc>
        <w:tc>
          <w:tcPr>
            <w:tcW w:w="1406" w:type="dxa"/>
            <w:tcBorders>
              <w:top w:val="double" w:sz="6" w:space="0" w:color="000000"/>
              <w:left w:val="nil"/>
              <w:bottom w:val="double" w:sz="6" w:space="0" w:color="000000"/>
              <w:right w:val="single" w:sz="8"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w:t>
            </w:r>
            <w:r w:rsidR="001C6733">
              <w:rPr>
                <w:rFonts w:cs="Arial"/>
                <w:b/>
                <w:bCs/>
                <w:sz w:val="20"/>
                <w:szCs w:val="20"/>
              </w:rPr>
              <w:t>8.0</w:t>
            </w:r>
            <w:r>
              <w:rPr>
                <w:rFonts w:cs="Arial"/>
                <w:b/>
                <w:bCs/>
                <w:sz w:val="20"/>
                <w:szCs w:val="20"/>
              </w:rPr>
              <w:t xml:space="preserve"> </w:t>
            </w:r>
          </w:p>
        </w:tc>
        <w:tc>
          <w:tcPr>
            <w:tcW w:w="1206" w:type="dxa"/>
            <w:tcBorders>
              <w:top w:val="double" w:sz="6" w:space="0" w:color="000000"/>
              <w:left w:val="nil"/>
              <w:bottom w:val="double" w:sz="6" w:space="0" w:color="000000"/>
              <w:right w:val="single" w:sz="8"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w:t>
            </w:r>
            <w:r w:rsidR="001C6733">
              <w:rPr>
                <w:rFonts w:cs="Arial"/>
                <w:b/>
                <w:bCs/>
                <w:sz w:val="20"/>
                <w:szCs w:val="20"/>
              </w:rPr>
              <w:t>551</w:t>
            </w:r>
            <w:r>
              <w:rPr>
                <w:rFonts w:cs="Arial"/>
                <w:b/>
                <w:bCs/>
                <w:sz w:val="20"/>
                <w:szCs w:val="20"/>
              </w:rPr>
              <w:t xml:space="preserve"> </w:t>
            </w:r>
          </w:p>
        </w:tc>
        <w:tc>
          <w:tcPr>
            <w:tcW w:w="1211" w:type="dxa"/>
            <w:tcBorders>
              <w:top w:val="double" w:sz="6" w:space="0" w:color="000000"/>
              <w:left w:val="nil"/>
              <w:bottom w:val="nil"/>
              <w:right w:val="double" w:sz="6"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$2,</w:t>
            </w:r>
            <w:r w:rsidR="001C6733">
              <w:rPr>
                <w:rFonts w:cs="Arial"/>
                <w:b/>
                <w:bCs/>
                <w:sz w:val="20"/>
                <w:szCs w:val="20"/>
              </w:rPr>
              <w:t>9</w:t>
            </w:r>
            <w:r w:rsidR="00995AC3">
              <w:rPr>
                <w:rFonts w:cs="Arial"/>
                <w:b/>
                <w:bCs/>
                <w:sz w:val="20"/>
                <w:szCs w:val="20"/>
              </w:rPr>
              <w:t>6</w:t>
            </w:r>
            <w:r w:rsidR="001C6733">
              <w:rPr>
                <w:rFonts w:cs="Arial"/>
                <w:b/>
                <w:bCs/>
                <w:sz w:val="20"/>
                <w:szCs w:val="20"/>
              </w:rPr>
              <w:t>1</w:t>
            </w:r>
            <w:r>
              <w:rPr>
                <w:rFonts w:cs="Arial"/>
                <w:b/>
                <w:bCs/>
                <w:sz w:val="20"/>
                <w:szCs w:val="20"/>
              </w:rPr>
              <w:t xml:space="preserve"> </w:t>
            </w:r>
          </w:p>
        </w:tc>
      </w:tr>
      <w:tr w:rsidR="001D4403" w:rsidRPr="00854FC2" w:rsidTr="002C302E">
        <w:trPr>
          <w:trHeight w:val="299"/>
        </w:trPr>
        <w:tc>
          <w:tcPr>
            <w:tcW w:w="2472" w:type="dxa"/>
            <w:tcBorders>
              <w:top w:val="double" w:sz="6" w:space="0" w:color="000000"/>
              <w:left w:val="double" w:sz="6" w:space="0" w:color="000000"/>
              <w:bottom w:val="double" w:sz="6" w:space="0" w:color="000000"/>
              <w:right w:val="nil"/>
            </w:tcBorders>
            <w:tcMar>
              <w:top w:w="29" w:type="dxa"/>
              <w:left w:w="115" w:type="dxa"/>
              <w:bottom w:w="29" w:type="dxa"/>
              <w:right w:w="115" w:type="dxa"/>
            </w:tcMar>
            <w:vAlign w:val="center"/>
          </w:tcPr>
          <w:p w:rsidR="001D4403" w:rsidRPr="00B73C16" w:rsidRDefault="001D4403" w:rsidP="00A61A19">
            <w:pPr>
              <w:keepNext/>
              <w:keepLines/>
              <w:rPr>
                <w:rFonts w:cs="Arial"/>
                <w:b/>
                <w:bCs/>
                <w:sz w:val="20"/>
                <w:szCs w:val="20"/>
              </w:rPr>
            </w:pPr>
            <w:r w:rsidRPr="00B73C16">
              <w:rPr>
                <w:rFonts w:cs="Arial"/>
                <w:b/>
                <w:bCs/>
                <w:sz w:val="20"/>
                <w:szCs w:val="20"/>
              </w:rPr>
              <w:t>ANNUALIZED</w:t>
            </w:r>
          </w:p>
        </w:tc>
        <w:tc>
          <w:tcPr>
            <w:tcW w:w="1884" w:type="dxa"/>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8.</w:t>
            </w:r>
            <w:r w:rsidR="001C6733">
              <w:rPr>
                <w:rFonts w:cs="Arial"/>
                <w:b/>
                <w:bCs/>
                <w:sz w:val="20"/>
                <w:szCs w:val="20"/>
              </w:rPr>
              <w:t>8</w:t>
            </w:r>
          </w:p>
        </w:tc>
        <w:tc>
          <w:tcPr>
            <w:tcW w:w="1297" w:type="dxa"/>
            <w:tcBorders>
              <w:top w:val="nil"/>
              <w:left w:val="nil"/>
              <w:bottom w:val="double" w:sz="6" w:space="0" w:color="000000"/>
              <w:right w:val="single" w:sz="8"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w:t>
            </w:r>
            <w:r w:rsidR="001C6733">
              <w:rPr>
                <w:rFonts w:cs="Arial"/>
                <w:b/>
                <w:bCs/>
                <w:sz w:val="20"/>
                <w:szCs w:val="20"/>
              </w:rPr>
              <w:t>801</w:t>
            </w:r>
            <w:r>
              <w:rPr>
                <w:rFonts w:cs="Arial"/>
                <w:b/>
                <w:bCs/>
                <w:sz w:val="20"/>
                <w:szCs w:val="20"/>
              </w:rPr>
              <w:t xml:space="preserve"> </w:t>
            </w:r>
          </w:p>
        </w:tc>
        <w:tc>
          <w:tcPr>
            <w:tcW w:w="1406" w:type="dxa"/>
            <w:tcBorders>
              <w:top w:val="nil"/>
              <w:left w:val="nil"/>
              <w:bottom w:val="double" w:sz="6" w:space="0" w:color="000000"/>
              <w:right w:val="single" w:sz="8"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w:t>
            </w:r>
            <w:r w:rsidR="001C6733">
              <w:rPr>
                <w:rFonts w:cs="Arial"/>
                <w:b/>
                <w:bCs/>
                <w:sz w:val="20"/>
                <w:szCs w:val="20"/>
              </w:rPr>
              <w:t>3.0</w:t>
            </w:r>
            <w:r>
              <w:rPr>
                <w:rFonts w:cs="Arial"/>
                <w:b/>
                <w:bCs/>
                <w:sz w:val="20"/>
                <w:szCs w:val="20"/>
              </w:rPr>
              <w:t xml:space="preserve"> </w:t>
            </w:r>
          </w:p>
        </w:tc>
        <w:tc>
          <w:tcPr>
            <w:tcW w:w="1206" w:type="dxa"/>
            <w:tcBorders>
              <w:top w:val="nil"/>
              <w:left w:val="nil"/>
              <w:bottom w:val="double" w:sz="6" w:space="0" w:color="000000"/>
              <w:right w:val="nil"/>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w:t>
            </w:r>
            <w:r w:rsidR="00525B87">
              <w:rPr>
                <w:rFonts w:cs="Arial"/>
                <w:b/>
                <w:bCs/>
                <w:sz w:val="20"/>
                <w:szCs w:val="20"/>
              </w:rPr>
              <w:t>1</w:t>
            </w:r>
            <w:r w:rsidR="001C6733">
              <w:rPr>
                <w:rFonts w:cs="Arial"/>
                <w:b/>
                <w:bCs/>
                <w:sz w:val="20"/>
                <w:szCs w:val="20"/>
              </w:rPr>
              <w:t>84</w:t>
            </w:r>
            <w:r>
              <w:rPr>
                <w:rFonts w:cs="Arial"/>
                <w:b/>
                <w:bCs/>
                <w:sz w:val="20"/>
                <w:szCs w:val="20"/>
              </w:rPr>
              <w:t xml:space="preserve"> </w:t>
            </w:r>
          </w:p>
        </w:tc>
        <w:tc>
          <w:tcPr>
            <w:tcW w:w="1211" w:type="dxa"/>
            <w:tcBorders>
              <w:top w:val="double" w:sz="6" w:space="0" w:color="000000"/>
              <w:left w:val="single" w:sz="8" w:space="0" w:color="000000"/>
              <w:bottom w:val="double" w:sz="6" w:space="0" w:color="000000"/>
              <w:right w:val="double" w:sz="6" w:space="0" w:color="000000"/>
            </w:tcBorders>
            <w:tcMar>
              <w:top w:w="29" w:type="dxa"/>
              <w:left w:w="115" w:type="dxa"/>
              <w:bottom w:w="29" w:type="dxa"/>
              <w:right w:w="115" w:type="dxa"/>
            </w:tcMar>
            <w:vAlign w:val="center"/>
          </w:tcPr>
          <w:p w:rsidR="001D4403" w:rsidRDefault="001D4403" w:rsidP="001C6733">
            <w:pPr>
              <w:jc w:val="right"/>
              <w:rPr>
                <w:rFonts w:cs="Arial"/>
                <w:b/>
                <w:bCs/>
                <w:sz w:val="20"/>
                <w:szCs w:val="20"/>
              </w:rPr>
            </w:pPr>
            <w:r>
              <w:rPr>
                <w:rFonts w:cs="Arial"/>
                <w:b/>
                <w:bCs/>
                <w:sz w:val="20"/>
                <w:szCs w:val="20"/>
              </w:rPr>
              <w:t>$</w:t>
            </w:r>
            <w:r w:rsidR="001C6733">
              <w:rPr>
                <w:rFonts w:cs="Arial"/>
                <w:b/>
                <w:bCs/>
                <w:sz w:val="20"/>
                <w:szCs w:val="20"/>
              </w:rPr>
              <w:t>9</w:t>
            </w:r>
            <w:r w:rsidR="009F6C15">
              <w:rPr>
                <w:rFonts w:cs="Arial"/>
                <w:b/>
                <w:bCs/>
                <w:sz w:val="20"/>
                <w:szCs w:val="20"/>
              </w:rPr>
              <w:t>8</w:t>
            </w:r>
            <w:r w:rsidR="00995AC3">
              <w:rPr>
                <w:rFonts w:cs="Arial"/>
                <w:b/>
                <w:bCs/>
                <w:sz w:val="20"/>
                <w:szCs w:val="20"/>
              </w:rPr>
              <w:t>7</w:t>
            </w:r>
            <w:r>
              <w:rPr>
                <w:rFonts w:cs="Arial"/>
                <w:b/>
                <w:bCs/>
                <w:sz w:val="20"/>
                <w:szCs w:val="20"/>
              </w:rPr>
              <w:t xml:space="preserve"> </w:t>
            </w:r>
          </w:p>
        </w:tc>
      </w:tr>
    </w:tbl>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b/>
          <w:bCs/>
          <w:szCs w:val="22"/>
        </w:rPr>
        <w:t xml:space="preserve">6(g) </w:t>
      </w:r>
      <w:r w:rsidRPr="00854FC2">
        <w:rPr>
          <w:rFonts w:cs="Arial"/>
          <w:b/>
          <w:bCs/>
          <w:szCs w:val="22"/>
        </w:rPr>
        <w:tab/>
        <w:t>Reasons for the Change in Burden</w:t>
      </w:r>
    </w:p>
    <w:p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BF7F05" w:rsidRDefault="00FB6777" w:rsidP="00FB6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rFonts w:cs="Courier New"/>
          <w:sz w:val="24"/>
          <w:lang w:val="en-CA"/>
        </w:rPr>
        <w:tab/>
      </w:r>
      <w:r w:rsidR="002348E6" w:rsidRPr="00854FC2">
        <w:rPr>
          <w:rFonts w:cs="Courier New"/>
          <w:sz w:val="24"/>
          <w:lang w:val="en-CA"/>
        </w:rPr>
        <w:fldChar w:fldCharType="begin"/>
      </w:r>
      <w:r w:rsidR="00D85665" w:rsidRPr="00854FC2">
        <w:rPr>
          <w:rFonts w:cs="Courier New"/>
          <w:sz w:val="24"/>
          <w:lang w:val="en-CA"/>
        </w:rPr>
        <w:instrText xml:space="preserve"> SEQ CHAPTER \h \r 1</w:instrText>
      </w:r>
      <w:r w:rsidR="002348E6" w:rsidRPr="00854FC2">
        <w:rPr>
          <w:rFonts w:cs="Courier New"/>
          <w:sz w:val="24"/>
          <w:lang w:val="en-CA"/>
        </w:rPr>
        <w:fldChar w:fldCharType="end"/>
      </w:r>
      <w:r w:rsidR="00D85665" w:rsidRPr="00854FC2">
        <w:rPr>
          <w:rFonts w:cs="Arial"/>
          <w:szCs w:val="22"/>
        </w:rPr>
        <w:t xml:space="preserve">Differences in burden and costs from the previous ICR are attributed to adjustments </w:t>
      </w:r>
      <w:r w:rsidR="00233120">
        <w:rPr>
          <w:rFonts w:cs="Arial"/>
          <w:szCs w:val="22"/>
        </w:rPr>
        <w:t>for wage rates and the projected universe of facilities over the covered period 2014 through 2016</w:t>
      </w:r>
      <w:r w:rsidR="00D85665" w:rsidRPr="00854FC2">
        <w:rPr>
          <w:rFonts w:cs="Arial"/>
          <w:szCs w:val="22"/>
        </w:rPr>
        <w:t>. Adjustments capture updates to the number of affected facilities</w:t>
      </w:r>
      <w:r w:rsidR="00C814F3">
        <w:rPr>
          <w:rFonts w:cs="Arial"/>
          <w:szCs w:val="22"/>
        </w:rPr>
        <w:t xml:space="preserve"> and</w:t>
      </w:r>
      <w:r w:rsidR="00D85665" w:rsidRPr="00854FC2">
        <w:rPr>
          <w:rFonts w:cs="Arial"/>
          <w:szCs w:val="22"/>
        </w:rPr>
        <w:t xml:space="preserve"> wages. </w:t>
      </w:r>
      <w:r w:rsidR="00233120">
        <w:rPr>
          <w:rFonts w:cs="Arial"/>
          <w:szCs w:val="22"/>
        </w:rPr>
        <w:t xml:space="preserve">The only program change that affected the ICR was the final </w:t>
      </w:r>
      <w:r w:rsidR="00362CE2">
        <w:rPr>
          <w:rFonts w:cs="Arial"/>
          <w:szCs w:val="22"/>
        </w:rPr>
        <w:t xml:space="preserve">rule to exempt </w:t>
      </w:r>
      <w:r w:rsidR="00233120">
        <w:rPr>
          <w:rFonts w:cs="Arial"/>
          <w:szCs w:val="22"/>
        </w:rPr>
        <w:t xml:space="preserve">milk </w:t>
      </w:r>
      <w:r w:rsidR="00362CE2">
        <w:rPr>
          <w:rFonts w:cs="Arial"/>
          <w:szCs w:val="22"/>
        </w:rPr>
        <w:t xml:space="preserve">and milk product </w:t>
      </w:r>
      <w:r w:rsidR="00233120">
        <w:rPr>
          <w:rFonts w:cs="Arial"/>
          <w:szCs w:val="22"/>
        </w:rPr>
        <w:t>container</w:t>
      </w:r>
      <w:r w:rsidR="00362CE2">
        <w:rPr>
          <w:rFonts w:cs="Arial"/>
          <w:szCs w:val="22"/>
        </w:rPr>
        <w:t xml:space="preserve">s </w:t>
      </w:r>
      <w:r w:rsidR="00233120">
        <w:rPr>
          <w:rFonts w:cs="Arial"/>
          <w:szCs w:val="22"/>
        </w:rPr>
        <w:t xml:space="preserve">and </w:t>
      </w:r>
      <w:r w:rsidR="00362CE2">
        <w:rPr>
          <w:rFonts w:cs="Arial"/>
          <w:szCs w:val="22"/>
        </w:rPr>
        <w:t xml:space="preserve">associated piping and </w:t>
      </w:r>
      <w:r w:rsidR="00233120">
        <w:rPr>
          <w:rFonts w:cs="Arial"/>
          <w:szCs w:val="22"/>
        </w:rPr>
        <w:t>appurtenances</w:t>
      </w:r>
      <w:r w:rsidR="00362CE2">
        <w:rPr>
          <w:rFonts w:cs="Arial"/>
          <w:szCs w:val="22"/>
        </w:rPr>
        <w:t xml:space="preserve"> </w:t>
      </w:r>
      <w:r w:rsidR="00C814F3">
        <w:rPr>
          <w:rFonts w:cs="Arial"/>
          <w:szCs w:val="22"/>
        </w:rPr>
        <w:t xml:space="preserve">published </w:t>
      </w:r>
      <w:r w:rsidR="00362CE2">
        <w:rPr>
          <w:rFonts w:cs="Arial"/>
          <w:szCs w:val="22"/>
        </w:rPr>
        <w:t>in April 2011</w:t>
      </w:r>
      <w:r w:rsidR="00362CE2">
        <w:rPr>
          <w:rStyle w:val="FootnoteReference"/>
          <w:rFonts w:cs="Arial"/>
          <w:szCs w:val="22"/>
        </w:rPr>
        <w:footnoteReference w:id="23"/>
      </w:r>
      <w:r w:rsidR="00233120">
        <w:rPr>
          <w:rFonts w:cs="Arial"/>
          <w:szCs w:val="22"/>
        </w:rPr>
        <w:t xml:space="preserve">. </w:t>
      </w:r>
      <w:r w:rsidR="00362CE2">
        <w:rPr>
          <w:rFonts w:cs="Arial"/>
          <w:szCs w:val="22"/>
        </w:rPr>
        <w:t xml:space="preserve">As a result, </w:t>
      </w:r>
      <w:r w:rsidR="002C65FA">
        <w:rPr>
          <w:rFonts w:cs="Courier New"/>
          <w:szCs w:val="22"/>
        </w:rPr>
        <w:t>EPA estimate</w:t>
      </w:r>
      <w:r w:rsidR="00AE1D01">
        <w:rPr>
          <w:rFonts w:cs="Courier New"/>
          <w:szCs w:val="22"/>
        </w:rPr>
        <w:t>d</w:t>
      </w:r>
      <w:r w:rsidR="002C65FA">
        <w:rPr>
          <w:rFonts w:cs="Courier New"/>
          <w:szCs w:val="22"/>
        </w:rPr>
        <w:t xml:space="preserve"> that approximately 66,000 </w:t>
      </w:r>
      <w:r w:rsidR="002C65FA">
        <w:rPr>
          <w:rFonts w:cs="Arial"/>
          <w:szCs w:val="22"/>
        </w:rPr>
        <w:t xml:space="preserve">farms and milk product manufacturing facilities </w:t>
      </w:r>
      <w:r w:rsidR="00362CE2">
        <w:rPr>
          <w:rFonts w:cs="Arial"/>
          <w:szCs w:val="22"/>
        </w:rPr>
        <w:t xml:space="preserve">were </w:t>
      </w:r>
      <w:r w:rsidR="002C65FA">
        <w:rPr>
          <w:rFonts w:cs="Arial"/>
          <w:szCs w:val="22"/>
        </w:rPr>
        <w:t>affected by this amendment</w:t>
      </w:r>
      <w:r w:rsidR="00362CE2">
        <w:rPr>
          <w:rFonts w:cs="Arial"/>
          <w:szCs w:val="22"/>
        </w:rPr>
        <w:t xml:space="preserve"> </w:t>
      </w:r>
      <w:r w:rsidR="00C814F3">
        <w:rPr>
          <w:rFonts w:cs="Arial"/>
          <w:szCs w:val="22"/>
        </w:rPr>
        <w:t xml:space="preserve">and this </w:t>
      </w:r>
      <w:r w:rsidR="00362CE2">
        <w:rPr>
          <w:rFonts w:cs="Arial"/>
          <w:szCs w:val="22"/>
        </w:rPr>
        <w:t xml:space="preserve">is reflected in the projections for farms over the 2014 – 2016 ICR period. </w:t>
      </w:r>
      <w:r w:rsidR="00013A3D">
        <w:rPr>
          <w:rFonts w:cs="Arial"/>
          <w:szCs w:val="22"/>
        </w:rPr>
        <w:t>EPA estimates that there will be a reduction of approximately</w:t>
      </w:r>
      <w:r w:rsidR="00C814F3">
        <w:rPr>
          <w:rFonts w:cs="Arial"/>
          <w:szCs w:val="22"/>
        </w:rPr>
        <w:t xml:space="preserve"> </w:t>
      </w:r>
      <w:r w:rsidR="00013A3D">
        <w:rPr>
          <w:rFonts w:cs="Arial"/>
          <w:szCs w:val="22"/>
        </w:rPr>
        <w:t xml:space="preserve">100,000 annual burden hours and </w:t>
      </w:r>
      <w:r w:rsidR="00C814F3">
        <w:rPr>
          <w:rFonts w:cs="Arial"/>
          <w:szCs w:val="22"/>
        </w:rPr>
        <w:t xml:space="preserve">savings </w:t>
      </w:r>
      <w:r w:rsidR="008817B8">
        <w:rPr>
          <w:rFonts w:cs="Arial"/>
          <w:szCs w:val="22"/>
        </w:rPr>
        <w:t xml:space="preserve">of </w:t>
      </w:r>
      <w:r w:rsidR="00013A3D">
        <w:rPr>
          <w:rFonts w:cs="Arial"/>
          <w:szCs w:val="22"/>
        </w:rPr>
        <w:t>$</w:t>
      </w:r>
      <w:r w:rsidR="000D4871">
        <w:rPr>
          <w:rFonts w:cs="Arial"/>
          <w:szCs w:val="22"/>
        </w:rPr>
        <w:t>4</w:t>
      </w:r>
      <w:r w:rsidR="00013A3D">
        <w:rPr>
          <w:rFonts w:cs="Arial"/>
          <w:szCs w:val="22"/>
        </w:rPr>
        <w:t xml:space="preserve"> million</w:t>
      </w:r>
      <w:r w:rsidR="00F5151C">
        <w:rPr>
          <w:rFonts w:cs="Arial"/>
          <w:szCs w:val="22"/>
        </w:rPr>
        <w:t xml:space="preserve"> </w:t>
      </w:r>
      <w:r w:rsidR="00013A3D">
        <w:rPr>
          <w:rFonts w:cs="Arial"/>
          <w:szCs w:val="22"/>
        </w:rPr>
        <w:t xml:space="preserve">in costs </w:t>
      </w:r>
      <w:r w:rsidR="00F5151C">
        <w:rPr>
          <w:rFonts w:cs="Arial"/>
          <w:szCs w:val="22"/>
        </w:rPr>
        <w:t>as a result of this program change.</w:t>
      </w:r>
      <w:r w:rsidR="00013A3D">
        <w:rPr>
          <w:rFonts w:cs="Arial"/>
          <w:szCs w:val="22"/>
        </w:rPr>
        <w:t xml:space="preserve"> These savings are accounted for in the March 24, 2011 RIA for the final milk </w:t>
      </w:r>
      <w:r w:rsidR="007973AF">
        <w:rPr>
          <w:rFonts w:cs="Arial"/>
          <w:szCs w:val="22"/>
        </w:rPr>
        <w:t xml:space="preserve">and milk product </w:t>
      </w:r>
      <w:r w:rsidR="00013A3D">
        <w:rPr>
          <w:rFonts w:cs="Arial"/>
          <w:szCs w:val="22"/>
        </w:rPr>
        <w:t xml:space="preserve">container exemption rule. </w:t>
      </w:r>
    </w:p>
    <w:p w:rsidR="00C65E08" w:rsidRDefault="00C65E08" w:rsidP="00C65E0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D85665" w:rsidRPr="00854FC2" w:rsidRDefault="00074F8C" w:rsidP="00FB6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fldSimple w:instr=" REF _Ref141690501  \* MERGEFORMAT ">
        <w:r w:rsidR="00F61EFD" w:rsidRPr="001442DF">
          <w:t xml:space="preserve">Exhibit </w:t>
        </w:r>
        <w:r w:rsidR="00F61EFD">
          <w:rPr>
            <w:noProof/>
          </w:rPr>
          <w:t>19</w:t>
        </w:r>
      </w:fldSimple>
      <w:r w:rsidR="00D85665" w:rsidRPr="00854FC2">
        <w:rPr>
          <w:rFonts w:cs="Arial"/>
          <w:szCs w:val="22"/>
        </w:rPr>
        <w:t xml:space="preserve"> presents </w:t>
      </w:r>
      <w:r w:rsidR="00F5151C">
        <w:rPr>
          <w:rFonts w:cs="Arial"/>
          <w:szCs w:val="22"/>
        </w:rPr>
        <w:t>the annual burden hours and costs</w:t>
      </w:r>
      <w:r w:rsidR="00D85665" w:rsidRPr="00425F45">
        <w:rPr>
          <w:rFonts w:cs="Arial"/>
          <w:szCs w:val="22"/>
        </w:rPr>
        <w:t>.</w:t>
      </w:r>
      <w:r w:rsidR="00F5151C">
        <w:rPr>
          <w:rFonts w:cs="Arial"/>
          <w:szCs w:val="22"/>
        </w:rPr>
        <w:t xml:space="preserve"> </w:t>
      </w:r>
      <w:r w:rsidR="005C3A32" w:rsidRPr="00F65F2D">
        <w:rPr>
          <w:rFonts w:cs="Arial"/>
          <w:szCs w:val="22"/>
        </w:rPr>
        <w:t xml:space="preserve">In total, the burden hours presented in this ICR have increased relative to the current OMB inventory. The new burden estimate shows a net annual increase of approximately </w:t>
      </w:r>
      <w:r w:rsidR="00C40132">
        <w:rPr>
          <w:rFonts w:cs="Arial"/>
          <w:szCs w:val="22"/>
        </w:rPr>
        <w:t>760,000</w:t>
      </w:r>
      <w:r w:rsidR="00AE1D01">
        <w:rPr>
          <w:rFonts w:cs="Arial"/>
          <w:szCs w:val="22"/>
        </w:rPr>
        <w:t xml:space="preserve"> </w:t>
      </w:r>
      <w:r w:rsidR="005C3A32" w:rsidRPr="00F65F2D">
        <w:rPr>
          <w:rFonts w:cs="Arial"/>
          <w:szCs w:val="22"/>
        </w:rPr>
        <w:t xml:space="preserve">hours. </w:t>
      </w:r>
      <w:r w:rsidR="00D85665" w:rsidRPr="00F65F2D">
        <w:rPr>
          <w:rFonts w:cs="Arial"/>
          <w:szCs w:val="22"/>
        </w:rPr>
        <w:t xml:space="preserve">The Agency estimates that </w:t>
      </w:r>
      <w:r w:rsidR="007973AF">
        <w:rPr>
          <w:rFonts w:cs="Arial"/>
          <w:szCs w:val="22"/>
        </w:rPr>
        <w:t xml:space="preserve">capital and O&amp;M costs </w:t>
      </w:r>
      <w:r w:rsidR="00095488">
        <w:rPr>
          <w:rFonts w:cs="Arial"/>
          <w:szCs w:val="22"/>
        </w:rPr>
        <w:t>would</w:t>
      </w:r>
      <w:r w:rsidR="00D85665" w:rsidRPr="00F65F2D">
        <w:rPr>
          <w:rFonts w:cs="Arial"/>
          <w:szCs w:val="22"/>
        </w:rPr>
        <w:t xml:space="preserve"> </w:t>
      </w:r>
      <w:r w:rsidR="000C7EA5">
        <w:rPr>
          <w:rFonts w:cs="Arial"/>
          <w:szCs w:val="22"/>
        </w:rPr>
        <w:t xml:space="preserve">increase </w:t>
      </w:r>
      <w:r w:rsidR="00D85665" w:rsidRPr="00F65F2D">
        <w:rPr>
          <w:rFonts w:cs="Arial"/>
          <w:szCs w:val="22"/>
        </w:rPr>
        <w:t>by approximately $</w:t>
      </w:r>
      <w:r w:rsidR="000C7EA5">
        <w:rPr>
          <w:rFonts w:cs="Arial"/>
          <w:szCs w:val="22"/>
        </w:rPr>
        <w:t>26</w:t>
      </w:r>
      <w:r w:rsidR="00D85665" w:rsidRPr="00F65F2D">
        <w:rPr>
          <w:rFonts w:cs="Arial"/>
          <w:szCs w:val="22"/>
        </w:rPr>
        <w:t xml:space="preserve"> million</w:t>
      </w:r>
      <w:r w:rsidR="007973AF">
        <w:rPr>
          <w:rFonts w:cs="Arial"/>
          <w:szCs w:val="22"/>
        </w:rPr>
        <w:t xml:space="preserve"> due to </w:t>
      </w:r>
      <w:r w:rsidR="000C7EA5">
        <w:rPr>
          <w:rFonts w:cs="Arial"/>
          <w:szCs w:val="22"/>
        </w:rPr>
        <w:t>a change in the universe of regulated facilities</w:t>
      </w:r>
      <w:r w:rsidR="00D85665" w:rsidRPr="00F65F2D">
        <w:rPr>
          <w:rFonts w:cs="Arial"/>
          <w:szCs w:val="22"/>
        </w:rPr>
        <w:t>.</w:t>
      </w:r>
      <w:r w:rsidR="001071E7">
        <w:rPr>
          <w:rFonts w:cs="Arial"/>
          <w:szCs w:val="22"/>
        </w:rPr>
        <w:t xml:space="preserve"> This is </w:t>
      </w:r>
      <w:r w:rsidR="000C7EA5">
        <w:rPr>
          <w:rFonts w:cs="Arial"/>
          <w:szCs w:val="22"/>
        </w:rPr>
        <w:t xml:space="preserve">partially </w:t>
      </w:r>
      <w:r w:rsidR="001071E7">
        <w:rPr>
          <w:rFonts w:cs="Arial"/>
          <w:szCs w:val="22"/>
        </w:rPr>
        <w:t xml:space="preserve">offset by </w:t>
      </w:r>
      <w:r w:rsidR="000C7EA5">
        <w:rPr>
          <w:rFonts w:cs="Arial"/>
          <w:szCs w:val="22"/>
        </w:rPr>
        <w:t xml:space="preserve">$4 million in </w:t>
      </w:r>
      <w:r w:rsidR="001071E7">
        <w:rPr>
          <w:rFonts w:cs="Arial"/>
          <w:szCs w:val="22"/>
        </w:rPr>
        <w:t xml:space="preserve">savings from the milk </w:t>
      </w:r>
      <w:r w:rsidR="007973AF">
        <w:rPr>
          <w:rFonts w:cs="Arial"/>
          <w:szCs w:val="22"/>
        </w:rPr>
        <w:t xml:space="preserve">and milk product </w:t>
      </w:r>
      <w:r w:rsidR="001071E7">
        <w:rPr>
          <w:rFonts w:cs="Arial"/>
          <w:szCs w:val="22"/>
        </w:rPr>
        <w:t xml:space="preserve">container exemption, leaving </w:t>
      </w:r>
      <w:r w:rsidR="000C7EA5">
        <w:rPr>
          <w:rFonts w:cs="Arial"/>
          <w:szCs w:val="22"/>
        </w:rPr>
        <w:t xml:space="preserve">a net increase of $22 </w:t>
      </w:r>
      <w:r w:rsidR="001071E7">
        <w:rPr>
          <w:rFonts w:cs="Arial"/>
          <w:szCs w:val="22"/>
        </w:rPr>
        <w:t>million in capital and O&amp;M.</w:t>
      </w:r>
      <w:r w:rsidR="00D85665" w:rsidRPr="00F65F2D">
        <w:rPr>
          <w:rFonts w:cs="Arial"/>
          <w:szCs w:val="22"/>
        </w:rPr>
        <w:t xml:space="preserve"> </w:t>
      </w:r>
      <w:r w:rsidR="00AE1D01">
        <w:rPr>
          <w:rFonts w:cs="Arial"/>
          <w:szCs w:val="22"/>
        </w:rPr>
        <w:t>The increase in hours and capital and O&amp;M is attributable to a</w:t>
      </w:r>
      <w:r w:rsidR="001071E7">
        <w:rPr>
          <w:rFonts w:cs="Arial"/>
          <w:szCs w:val="22"/>
        </w:rPr>
        <w:t xml:space="preserve"> small </w:t>
      </w:r>
      <w:r w:rsidR="00AE1D01">
        <w:rPr>
          <w:rFonts w:cs="Arial"/>
          <w:szCs w:val="22"/>
        </w:rPr>
        <w:t xml:space="preserve">increase in wage rates and the population of facilities in the universe </w:t>
      </w:r>
      <w:r w:rsidR="001071E7">
        <w:rPr>
          <w:rFonts w:cs="Arial"/>
          <w:szCs w:val="22"/>
        </w:rPr>
        <w:t xml:space="preserve">estimated </w:t>
      </w:r>
      <w:r w:rsidR="00AE1D01">
        <w:rPr>
          <w:rFonts w:cs="Arial"/>
          <w:szCs w:val="22"/>
        </w:rPr>
        <w:t>over the 2014 through 2016 covered period.</w:t>
      </w:r>
    </w:p>
    <w:p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85665" w:rsidRPr="00854FC2" w:rsidRDefault="00D85665" w:rsidP="00A15DF0">
      <w:pPr>
        <w:pStyle w:val="Caption"/>
        <w:keepNext/>
        <w:keepLines/>
        <w:outlineLvl w:val="0"/>
      </w:pPr>
      <w:bookmarkStart w:id="14" w:name="_Ref141690501"/>
      <w:r w:rsidRPr="001442DF">
        <w:lastRenderedPageBreak/>
        <w:t xml:space="preserve">Exhibit </w:t>
      </w:r>
      <w:r w:rsidR="002348E6">
        <w:fldChar w:fldCharType="begin"/>
      </w:r>
      <w:r w:rsidR="002348E6">
        <w:instrText xml:space="preserve"> SEQ Exhibit \* ARABIC </w:instrText>
      </w:r>
      <w:r w:rsidR="002348E6">
        <w:fldChar w:fldCharType="separate"/>
      </w:r>
      <w:r w:rsidR="00F61EFD">
        <w:rPr>
          <w:noProof/>
        </w:rPr>
        <w:t>19</w:t>
      </w:r>
      <w:r w:rsidR="002348E6">
        <w:fldChar w:fldCharType="end"/>
      </w:r>
      <w:bookmarkEnd w:id="14"/>
    </w:p>
    <w:tbl>
      <w:tblPr>
        <w:tblW w:w="8198" w:type="dxa"/>
        <w:jc w:val="center"/>
        <w:tblLook w:val="0000"/>
      </w:tblPr>
      <w:tblGrid>
        <w:gridCol w:w="3297"/>
        <w:gridCol w:w="2422"/>
        <w:gridCol w:w="2479"/>
      </w:tblGrid>
      <w:tr w:rsidR="00D85665" w:rsidRPr="00854FC2">
        <w:trPr>
          <w:trHeight w:val="299"/>
          <w:jc w:val="center"/>
        </w:trPr>
        <w:tc>
          <w:tcPr>
            <w:tcW w:w="8198" w:type="dxa"/>
            <w:gridSpan w:val="3"/>
            <w:tcBorders>
              <w:top w:val="nil"/>
              <w:left w:val="nil"/>
              <w:bottom w:val="double" w:sz="6" w:space="0" w:color="000000"/>
              <w:right w:val="nil"/>
            </w:tcBorders>
            <w:noWrap/>
            <w:vAlign w:val="bottom"/>
          </w:tcPr>
          <w:p w:rsidR="00D85665" w:rsidRPr="002C302E" w:rsidRDefault="00E459E4">
            <w:pPr>
              <w:keepNext/>
              <w:keepLines/>
              <w:jc w:val="center"/>
              <w:rPr>
                <w:rFonts w:cs="Arial"/>
                <w:b/>
                <w:bCs/>
                <w:szCs w:val="22"/>
              </w:rPr>
            </w:pPr>
            <w:r w:rsidRPr="002C302E">
              <w:rPr>
                <w:rFonts w:cs="Arial"/>
                <w:b/>
                <w:bCs/>
                <w:szCs w:val="22"/>
              </w:rPr>
              <w:t xml:space="preserve">Total </w:t>
            </w:r>
            <w:r w:rsidR="00497386">
              <w:rPr>
                <w:rFonts w:cs="Arial"/>
                <w:b/>
                <w:bCs/>
                <w:szCs w:val="22"/>
              </w:rPr>
              <w:t>Estimated Annual Burden Hours and</w:t>
            </w:r>
            <w:r w:rsidR="002348E6" w:rsidRPr="002348E6">
              <w:rPr>
                <w:rFonts w:cs="Arial"/>
                <w:b/>
                <w:bCs/>
                <w:szCs w:val="22"/>
              </w:rPr>
              <w:t xml:space="preserve"> Annualized</w:t>
            </w:r>
            <w:r w:rsidR="00D85665" w:rsidRPr="002C302E">
              <w:rPr>
                <w:rFonts w:cs="Arial"/>
                <w:b/>
                <w:bCs/>
                <w:szCs w:val="22"/>
              </w:rPr>
              <w:t xml:space="preserve"> Costs Comparison</w:t>
            </w:r>
          </w:p>
        </w:tc>
      </w:tr>
      <w:tr w:rsidR="00D85665" w:rsidRPr="00854FC2" w:rsidTr="002379C8">
        <w:trPr>
          <w:trHeight w:val="843"/>
          <w:jc w:val="center"/>
        </w:trPr>
        <w:tc>
          <w:tcPr>
            <w:tcW w:w="3297" w:type="dxa"/>
            <w:tcBorders>
              <w:top w:val="nil"/>
              <w:left w:val="double" w:sz="6" w:space="0" w:color="000000"/>
              <w:bottom w:val="double" w:sz="6" w:space="0" w:color="000000"/>
              <w:right w:val="nil"/>
            </w:tcBorders>
            <w:tcMar>
              <w:top w:w="29" w:type="dxa"/>
              <w:left w:w="115" w:type="dxa"/>
              <w:bottom w:w="29" w:type="dxa"/>
              <w:right w:w="115" w:type="dxa"/>
            </w:tcMar>
            <w:vAlign w:val="bottom"/>
          </w:tcPr>
          <w:p w:rsidR="00D85665" w:rsidRPr="00CD5C71" w:rsidRDefault="00D85665">
            <w:pPr>
              <w:keepNext/>
              <w:keepLines/>
              <w:jc w:val="center"/>
              <w:rPr>
                <w:sz w:val="20"/>
                <w:szCs w:val="20"/>
              </w:rPr>
            </w:pPr>
            <w:r w:rsidRPr="00CD5C71">
              <w:rPr>
                <w:sz w:val="20"/>
                <w:szCs w:val="20"/>
              </w:rPr>
              <w:t> </w:t>
            </w:r>
          </w:p>
        </w:tc>
        <w:tc>
          <w:tcPr>
            <w:tcW w:w="2422" w:type="dxa"/>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CD5C71" w:rsidRDefault="00D85665" w:rsidP="002379C8">
            <w:pPr>
              <w:keepNext/>
              <w:keepLines/>
              <w:jc w:val="center"/>
              <w:rPr>
                <w:rFonts w:cs="Arial"/>
                <w:b/>
                <w:bCs/>
                <w:sz w:val="20"/>
                <w:szCs w:val="20"/>
              </w:rPr>
            </w:pPr>
            <w:r w:rsidRPr="00CD5C71">
              <w:rPr>
                <w:rFonts w:cs="Arial"/>
                <w:b/>
                <w:bCs/>
                <w:sz w:val="20"/>
                <w:szCs w:val="20"/>
              </w:rPr>
              <w:t>Annual Burden Hours</w:t>
            </w:r>
          </w:p>
        </w:tc>
        <w:tc>
          <w:tcPr>
            <w:tcW w:w="2479" w:type="dxa"/>
            <w:tcBorders>
              <w:top w:val="nil"/>
              <w:left w:val="nil"/>
              <w:bottom w:val="double" w:sz="6" w:space="0" w:color="000000"/>
              <w:right w:val="double" w:sz="6" w:space="0" w:color="000000"/>
            </w:tcBorders>
            <w:tcMar>
              <w:top w:w="29" w:type="dxa"/>
              <w:left w:w="115" w:type="dxa"/>
              <w:bottom w:w="29" w:type="dxa"/>
              <w:right w:w="115" w:type="dxa"/>
            </w:tcMar>
            <w:vAlign w:val="center"/>
          </w:tcPr>
          <w:p w:rsidR="00D85665" w:rsidRPr="00CD5C71" w:rsidRDefault="00D85665" w:rsidP="00762EDA">
            <w:pPr>
              <w:keepNext/>
              <w:keepLines/>
              <w:jc w:val="center"/>
              <w:rPr>
                <w:rFonts w:cs="Arial"/>
                <w:b/>
                <w:bCs/>
                <w:sz w:val="20"/>
                <w:szCs w:val="20"/>
              </w:rPr>
            </w:pPr>
            <w:r w:rsidRPr="00CD5C71">
              <w:rPr>
                <w:rFonts w:cs="Arial"/>
                <w:b/>
                <w:bCs/>
                <w:sz w:val="20"/>
                <w:szCs w:val="20"/>
              </w:rPr>
              <w:t xml:space="preserve">Annualized Capital and O&amp;M Costs </w:t>
            </w:r>
          </w:p>
        </w:tc>
      </w:tr>
      <w:tr w:rsidR="00A2068C" w:rsidRPr="00854FC2" w:rsidTr="00A2068C">
        <w:trPr>
          <w:trHeight w:val="468"/>
          <w:jc w:val="center"/>
        </w:trPr>
        <w:tc>
          <w:tcPr>
            <w:tcW w:w="3297" w:type="dxa"/>
            <w:tcBorders>
              <w:top w:val="nil"/>
              <w:left w:val="double" w:sz="6" w:space="0" w:color="000000"/>
              <w:bottom w:val="nil"/>
              <w:right w:val="nil"/>
            </w:tcBorders>
            <w:tcMar>
              <w:top w:w="29" w:type="dxa"/>
              <w:left w:w="115" w:type="dxa"/>
              <w:bottom w:w="29" w:type="dxa"/>
              <w:right w:w="115" w:type="dxa"/>
            </w:tcMar>
            <w:vAlign w:val="center"/>
          </w:tcPr>
          <w:p w:rsidR="00A2068C" w:rsidRPr="00CD5C71" w:rsidRDefault="00762EDA">
            <w:pPr>
              <w:keepNext/>
              <w:keepLines/>
              <w:rPr>
                <w:rFonts w:cs="Arial"/>
                <w:sz w:val="20"/>
                <w:szCs w:val="20"/>
              </w:rPr>
            </w:pPr>
            <w:r>
              <w:rPr>
                <w:rFonts w:cs="Arial"/>
                <w:sz w:val="20"/>
                <w:szCs w:val="20"/>
              </w:rPr>
              <w:t>Previous ICR</w:t>
            </w:r>
            <w:r w:rsidR="00A2068C" w:rsidRPr="00CD5C71">
              <w:rPr>
                <w:rFonts w:cs="Arial"/>
                <w:sz w:val="20"/>
                <w:szCs w:val="20"/>
              </w:rPr>
              <w:t xml:space="preserve"> </w:t>
            </w:r>
            <w:r>
              <w:rPr>
                <w:rFonts w:cs="Arial"/>
                <w:sz w:val="20"/>
                <w:szCs w:val="20"/>
              </w:rPr>
              <w:t xml:space="preserve">0328.15 </w:t>
            </w:r>
            <w:r w:rsidR="00A2068C" w:rsidRPr="00CD5C71">
              <w:rPr>
                <w:rFonts w:cs="Arial"/>
                <w:sz w:val="20"/>
                <w:szCs w:val="20"/>
              </w:rPr>
              <w:t>Burden</w:t>
            </w:r>
          </w:p>
        </w:tc>
        <w:tc>
          <w:tcPr>
            <w:tcW w:w="2422" w:type="dxa"/>
            <w:tcBorders>
              <w:top w:val="nil"/>
              <w:left w:val="double" w:sz="6" w:space="0" w:color="000000"/>
              <w:bottom w:val="nil"/>
              <w:right w:val="double" w:sz="6" w:space="0" w:color="000000"/>
            </w:tcBorders>
            <w:tcMar>
              <w:top w:w="29" w:type="dxa"/>
              <w:left w:w="115" w:type="dxa"/>
              <w:bottom w:w="29" w:type="dxa"/>
              <w:right w:w="115" w:type="dxa"/>
            </w:tcMar>
            <w:vAlign w:val="center"/>
          </w:tcPr>
          <w:p w:rsidR="00A2068C" w:rsidRPr="00CD5C71" w:rsidRDefault="00762EDA" w:rsidP="00BA77DE">
            <w:pPr>
              <w:ind w:right="605"/>
              <w:jc w:val="right"/>
              <w:rPr>
                <w:rFonts w:cs="Arial"/>
                <w:sz w:val="20"/>
                <w:szCs w:val="20"/>
              </w:rPr>
            </w:pPr>
            <w:r>
              <w:rPr>
                <w:rFonts w:cs="Arial"/>
                <w:sz w:val="20"/>
                <w:szCs w:val="20"/>
              </w:rPr>
              <w:t>8,041,358</w:t>
            </w:r>
          </w:p>
        </w:tc>
        <w:tc>
          <w:tcPr>
            <w:tcW w:w="2479" w:type="dxa"/>
            <w:tcBorders>
              <w:top w:val="nil"/>
              <w:left w:val="nil"/>
              <w:bottom w:val="nil"/>
              <w:right w:val="double" w:sz="6" w:space="0" w:color="000000"/>
            </w:tcBorders>
            <w:tcMar>
              <w:top w:w="29" w:type="dxa"/>
              <w:left w:w="115" w:type="dxa"/>
              <w:bottom w:w="29" w:type="dxa"/>
              <w:right w:w="115" w:type="dxa"/>
            </w:tcMar>
            <w:vAlign w:val="center"/>
          </w:tcPr>
          <w:p w:rsidR="00A2068C" w:rsidRPr="00CD5C71" w:rsidRDefault="00650D03" w:rsidP="00762EDA">
            <w:pPr>
              <w:ind w:right="744"/>
              <w:jc w:val="right"/>
              <w:rPr>
                <w:rFonts w:cs="Arial"/>
                <w:sz w:val="20"/>
                <w:szCs w:val="20"/>
              </w:rPr>
            </w:pPr>
            <w:r w:rsidRPr="00CD5C71">
              <w:rPr>
                <w:rFonts w:cs="Arial"/>
                <w:sz w:val="20"/>
                <w:szCs w:val="20"/>
              </w:rPr>
              <w:t>$</w:t>
            </w:r>
            <w:r w:rsidR="00762EDA">
              <w:rPr>
                <w:rFonts w:cs="Arial"/>
                <w:sz w:val="20"/>
                <w:szCs w:val="20"/>
              </w:rPr>
              <w:t>161,008,709</w:t>
            </w:r>
          </w:p>
        </w:tc>
      </w:tr>
      <w:tr w:rsidR="00D85665" w:rsidRPr="00854FC2" w:rsidTr="00762EDA">
        <w:trPr>
          <w:trHeight w:val="466"/>
          <w:jc w:val="center"/>
        </w:trPr>
        <w:tc>
          <w:tcPr>
            <w:tcW w:w="3297" w:type="dxa"/>
            <w:tcBorders>
              <w:top w:val="double" w:sz="6" w:space="0" w:color="000000"/>
              <w:left w:val="double" w:sz="6" w:space="0" w:color="000000"/>
              <w:bottom w:val="double" w:sz="6" w:space="0" w:color="000000"/>
              <w:right w:val="nil"/>
            </w:tcBorders>
            <w:tcMar>
              <w:top w:w="29" w:type="dxa"/>
              <w:left w:w="115" w:type="dxa"/>
              <w:bottom w:w="29" w:type="dxa"/>
              <w:right w:w="115" w:type="dxa"/>
            </w:tcMar>
            <w:vAlign w:val="center"/>
          </w:tcPr>
          <w:p w:rsidR="00D85665" w:rsidRPr="00CD5C71" w:rsidRDefault="00D85665" w:rsidP="00762EDA">
            <w:pPr>
              <w:keepNext/>
              <w:keepLines/>
              <w:rPr>
                <w:rFonts w:cs="Arial"/>
                <w:sz w:val="20"/>
                <w:szCs w:val="20"/>
              </w:rPr>
            </w:pPr>
            <w:r w:rsidRPr="00CD5C71">
              <w:rPr>
                <w:rFonts w:cs="Arial"/>
                <w:sz w:val="20"/>
                <w:szCs w:val="20"/>
              </w:rPr>
              <w:t>Change in Burden</w:t>
            </w:r>
          </w:p>
        </w:tc>
        <w:tc>
          <w:tcPr>
            <w:tcW w:w="2422" w:type="dxa"/>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Default="00D85665" w:rsidP="005B3905">
            <w:pPr>
              <w:ind w:right="605"/>
              <w:jc w:val="right"/>
              <w:rPr>
                <w:rFonts w:cs="Arial"/>
                <w:sz w:val="20"/>
                <w:szCs w:val="20"/>
              </w:rPr>
            </w:pPr>
          </w:p>
          <w:p w:rsidR="00762EDA" w:rsidRPr="00CD5C71" w:rsidRDefault="00762EDA" w:rsidP="005B3905">
            <w:pPr>
              <w:ind w:right="605"/>
              <w:jc w:val="right"/>
              <w:rPr>
                <w:rFonts w:cs="Arial"/>
                <w:sz w:val="20"/>
                <w:szCs w:val="20"/>
              </w:rPr>
            </w:pPr>
            <w:r>
              <w:rPr>
                <w:rFonts w:cs="Arial"/>
                <w:sz w:val="20"/>
                <w:szCs w:val="20"/>
              </w:rPr>
              <w:t>+757,570</w:t>
            </w:r>
          </w:p>
        </w:tc>
        <w:tc>
          <w:tcPr>
            <w:tcW w:w="2479" w:type="dxa"/>
            <w:tcBorders>
              <w:top w:val="double" w:sz="6" w:space="0" w:color="000000"/>
              <w:left w:val="nil"/>
              <w:bottom w:val="double" w:sz="6" w:space="0" w:color="000000"/>
              <w:right w:val="double" w:sz="6" w:space="0" w:color="000000"/>
            </w:tcBorders>
            <w:tcMar>
              <w:top w:w="29" w:type="dxa"/>
              <w:left w:w="115" w:type="dxa"/>
              <w:bottom w:w="29" w:type="dxa"/>
              <w:right w:w="115" w:type="dxa"/>
            </w:tcMar>
            <w:vAlign w:val="center"/>
          </w:tcPr>
          <w:p w:rsidR="00D85665" w:rsidRPr="00CD5C71" w:rsidRDefault="00762EDA" w:rsidP="00D827E0">
            <w:pPr>
              <w:ind w:right="744"/>
              <w:jc w:val="right"/>
              <w:rPr>
                <w:rFonts w:cs="Arial"/>
                <w:sz w:val="20"/>
                <w:szCs w:val="20"/>
              </w:rPr>
            </w:pPr>
            <w:r>
              <w:rPr>
                <w:rFonts w:cs="Arial"/>
                <w:sz w:val="20"/>
                <w:szCs w:val="20"/>
              </w:rPr>
              <w:t>+$25,666,105</w:t>
            </w:r>
          </w:p>
        </w:tc>
      </w:tr>
      <w:tr w:rsidR="00D85665" w:rsidRPr="00854FC2" w:rsidTr="004A1431">
        <w:trPr>
          <w:trHeight w:val="468"/>
          <w:jc w:val="center"/>
        </w:trPr>
        <w:tc>
          <w:tcPr>
            <w:tcW w:w="3297" w:type="dxa"/>
            <w:tcBorders>
              <w:top w:val="nil"/>
              <w:left w:val="double" w:sz="6" w:space="0" w:color="000000"/>
              <w:bottom w:val="double" w:sz="6" w:space="0" w:color="000000"/>
              <w:right w:val="nil"/>
            </w:tcBorders>
            <w:tcMar>
              <w:top w:w="29" w:type="dxa"/>
              <w:left w:w="115" w:type="dxa"/>
              <w:bottom w:w="29" w:type="dxa"/>
              <w:right w:w="115" w:type="dxa"/>
            </w:tcMar>
            <w:vAlign w:val="center"/>
          </w:tcPr>
          <w:p w:rsidR="00D85665" w:rsidRPr="00CD5C71" w:rsidRDefault="00762EDA" w:rsidP="00762EDA">
            <w:pPr>
              <w:keepNext/>
              <w:keepLines/>
              <w:rPr>
                <w:rFonts w:cs="Arial"/>
                <w:sz w:val="20"/>
                <w:szCs w:val="20"/>
              </w:rPr>
            </w:pPr>
            <w:r>
              <w:rPr>
                <w:rFonts w:cs="Arial"/>
                <w:sz w:val="20"/>
                <w:szCs w:val="20"/>
              </w:rPr>
              <w:t xml:space="preserve">ICR 0328.16 </w:t>
            </w:r>
            <w:r w:rsidR="00D85665" w:rsidRPr="00CD5C71">
              <w:rPr>
                <w:rFonts w:cs="Arial"/>
                <w:sz w:val="20"/>
                <w:szCs w:val="20"/>
              </w:rPr>
              <w:t>Burden</w:t>
            </w:r>
          </w:p>
        </w:tc>
        <w:tc>
          <w:tcPr>
            <w:tcW w:w="2422" w:type="dxa"/>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CD5C71" w:rsidRDefault="00DA2E0E" w:rsidP="00762EDA">
            <w:pPr>
              <w:ind w:right="605"/>
              <w:jc w:val="right"/>
              <w:rPr>
                <w:rFonts w:cs="Arial"/>
                <w:sz w:val="20"/>
                <w:szCs w:val="20"/>
              </w:rPr>
            </w:pPr>
            <w:r>
              <w:rPr>
                <w:rFonts w:cs="Arial"/>
                <w:sz w:val="20"/>
                <w:szCs w:val="20"/>
              </w:rPr>
              <w:t>8,</w:t>
            </w:r>
            <w:r w:rsidR="00762EDA">
              <w:rPr>
                <w:rFonts w:cs="Arial"/>
                <w:sz w:val="20"/>
                <w:szCs w:val="20"/>
              </w:rPr>
              <w:t>798,928</w:t>
            </w:r>
          </w:p>
        </w:tc>
        <w:tc>
          <w:tcPr>
            <w:tcW w:w="2479" w:type="dxa"/>
            <w:tcBorders>
              <w:top w:val="nil"/>
              <w:left w:val="nil"/>
              <w:bottom w:val="double" w:sz="6" w:space="0" w:color="000000"/>
              <w:right w:val="double" w:sz="6" w:space="0" w:color="000000"/>
            </w:tcBorders>
            <w:tcMar>
              <w:top w:w="29" w:type="dxa"/>
              <w:left w:w="115" w:type="dxa"/>
              <w:bottom w:w="29" w:type="dxa"/>
              <w:right w:w="115" w:type="dxa"/>
            </w:tcMar>
            <w:vAlign w:val="center"/>
          </w:tcPr>
          <w:p w:rsidR="00D85665" w:rsidRPr="00CD5C71" w:rsidRDefault="001C62E6" w:rsidP="00762EDA">
            <w:pPr>
              <w:ind w:right="744"/>
              <w:jc w:val="right"/>
              <w:rPr>
                <w:rFonts w:cs="Arial"/>
                <w:sz w:val="20"/>
                <w:szCs w:val="20"/>
              </w:rPr>
            </w:pPr>
            <w:r w:rsidRPr="00CD5C71">
              <w:rPr>
                <w:rFonts w:cs="Arial"/>
                <w:sz w:val="20"/>
                <w:szCs w:val="20"/>
              </w:rPr>
              <w:t>$</w:t>
            </w:r>
            <w:r w:rsidR="00762EDA">
              <w:rPr>
                <w:rFonts w:cs="Arial"/>
                <w:sz w:val="20"/>
                <w:szCs w:val="20"/>
              </w:rPr>
              <w:t>186,674,814</w:t>
            </w:r>
          </w:p>
        </w:tc>
      </w:tr>
    </w:tbl>
    <w:p w:rsidR="00D85665"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3D1B07" w:rsidRPr="007D32CD" w:rsidRDefault="00074F8C" w:rsidP="00B74E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ab/>
      </w:r>
      <w:r w:rsidR="003D1B07" w:rsidRPr="007D32CD">
        <w:rPr>
          <w:rFonts w:cs="Arial"/>
          <w:bCs/>
          <w:szCs w:val="22"/>
        </w:rPr>
        <w:t xml:space="preserve">The exhibits below present </w:t>
      </w:r>
      <w:r w:rsidR="00E26EB8">
        <w:rPr>
          <w:rFonts w:cs="Arial"/>
          <w:bCs/>
          <w:szCs w:val="22"/>
        </w:rPr>
        <w:t xml:space="preserve">the change in burden (hours and costs) as compared to </w:t>
      </w:r>
      <w:r w:rsidR="00CE0E09">
        <w:rPr>
          <w:rFonts w:cs="Arial"/>
          <w:bCs/>
          <w:szCs w:val="22"/>
        </w:rPr>
        <w:t>the burden estimates currently approved by OMB.</w:t>
      </w:r>
      <w:r w:rsidR="007F53B9">
        <w:rPr>
          <w:rStyle w:val="FootnoteReference"/>
          <w:rFonts w:cs="Arial"/>
          <w:bCs/>
          <w:szCs w:val="22"/>
        </w:rPr>
        <w:footnoteReference w:id="24"/>
      </w:r>
      <w:r w:rsidR="00C96261">
        <w:rPr>
          <w:rFonts w:cs="Arial"/>
          <w:bCs/>
          <w:szCs w:val="22"/>
        </w:rPr>
        <w:t xml:space="preserve"> The exhibits show change in burden separately for </w:t>
      </w:r>
      <w:r w:rsidR="00420F6D">
        <w:rPr>
          <w:rFonts w:cs="Arial"/>
          <w:bCs/>
          <w:szCs w:val="22"/>
        </w:rPr>
        <w:t xml:space="preserve">Private facilities </w:t>
      </w:r>
      <w:r w:rsidR="00D13086">
        <w:rPr>
          <w:rFonts w:cs="Arial"/>
          <w:bCs/>
          <w:szCs w:val="22"/>
        </w:rPr>
        <w:t>(</w:t>
      </w:r>
      <w:r w:rsidR="002348E6">
        <w:rPr>
          <w:rFonts w:cs="Arial"/>
          <w:bCs/>
          <w:szCs w:val="22"/>
        </w:rPr>
        <w:fldChar w:fldCharType="begin"/>
      </w:r>
      <w:r w:rsidR="00A818F0">
        <w:rPr>
          <w:rFonts w:cs="Arial"/>
          <w:bCs/>
          <w:szCs w:val="22"/>
        </w:rPr>
        <w:instrText xml:space="preserve"> REF _Ref244340479 </w:instrText>
      </w:r>
      <w:r w:rsidR="002348E6">
        <w:rPr>
          <w:rFonts w:cs="Arial"/>
          <w:bCs/>
          <w:szCs w:val="22"/>
        </w:rPr>
        <w:fldChar w:fldCharType="separate"/>
      </w:r>
      <w:r w:rsidR="00F61EFD" w:rsidRPr="006149EB">
        <w:t xml:space="preserve">Exhibit </w:t>
      </w:r>
      <w:r w:rsidR="00F61EFD">
        <w:rPr>
          <w:noProof/>
        </w:rPr>
        <w:t>21</w:t>
      </w:r>
      <w:r w:rsidR="002348E6">
        <w:rPr>
          <w:rFonts w:cs="Arial"/>
          <w:bCs/>
          <w:szCs w:val="22"/>
        </w:rPr>
        <w:fldChar w:fldCharType="end"/>
      </w:r>
      <w:r w:rsidR="00D13086">
        <w:rPr>
          <w:rFonts w:cs="Arial"/>
          <w:bCs/>
          <w:szCs w:val="22"/>
        </w:rPr>
        <w:t xml:space="preserve">) </w:t>
      </w:r>
      <w:r w:rsidR="00420F6D">
        <w:rPr>
          <w:rFonts w:cs="Arial"/>
          <w:bCs/>
          <w:szCs w:val="22"/>
        </w:rPr>
        <w:t>and State and Local Gove</w:t>
      </w:r>
      <w:r w:rsidR="00EA76C8">
        <w:rPr>
          <w:rFonts w:cs="Arial"/>
          <w:bCs/>
          <w:szCs w:val="22"/>
        </w:rPr>
        <w:t xml:space="preserve">rnment </w:t>
      </w:r>
      <w:r w:rsidR="00420F6D">
        <w:rPr>
          <w:rFonts w:cs="Arial"/>
          <w:bCs/>
          <w:szCs w:val="22"/>
        </w:rPr>
        <w:t>facilities</w:t>
      </w:r>
      <w:r w:rsidR="00D13086">
        <w:rPr>
          <w:rFonts w:cs="Arial"/>
          <w:bCs/>
          <w:szCs w:val="22"/>
        </w:rPr>
        <w:t xml:space="preserve"> (</w:t>
      </w:r>
      <w:r w:rsidR="002348E6">
        <w:rPr>
          <w:rFonts w:cs="Arial"/>
          <w:bCs/>
          <w:szCs w:val="22"/>
        </w:rPr>
        <w:fldChar w:fldCharType="begin"/>
      </w:r>
      <w:r w:rsidR="00A818F0">
        <w:rPr>
          <w:rFonts w:cs="Arial"/>
          <w:bCs/>
          <w:szCs w:val="22"/>
        </w:rPr>
        <w:instrText xml:space="preserve"> REF _Ref244340487 </w:instrText>
      </w:r>
      <w:r w:rsidR="002348E6">
        <w:rPr>
          <w:rFonts w:cs="Arial"/>
          <w:bCs/>
          <w:szCs w:val="22"/>
        </w:rPr>
        <w:fldChar w:fldCharType="separate"/>
      </w:r>
      <w:r w:rsidR="00F61EFD" w:rsidRPr="00D71C42">
        <w:t xml:space="preserve">Exhibit </w:t>
      </w:r>
      <w:r w:rsidR="00F61EFD">
        <w:rPr>
          <w:noProof/>
        </w:rPr>
        <w:t>22</w:t>
      </w:r>
      <w:r w:rsidR="002348E6">
        <w:rPr>
          <w:rFonts w:cs="Arial"/>
          <w:bCs/>
          <w:szCs w:val="22"/>
        </w:rPr>
        <w:fldChar w:fldCharType="end"/>
      </w:r>
      <w:r w:rsidR="00D13086">
        <w:rPr>
          <w:rFonts w:cs="Arial"/>
          <w:bCs/>
          <w:szCs w:val="22"/>
        </w:rPr>
        <w:t>)</w:t>
      </w:r>
      <w:r w:rsidR="00420F6D">
        <w:rPr>
          <w:rFonts w:cs="Arial"/>
          <w:bCs/>
          <w:szCs w:val="22"/>
        </w:rPr>
        <w:t xml:space="preserve">. </w:t>
      </w:r>
    </w:p>
    <w:p w:rsidR="006C25A3" w:rsidRPr="006C25A3" w:rsidRDefault="00C44B61" w:rsidP="00B22B1A">
      <w:pPr>
        <w:pStyle w:val="Caption"/>
        <w:keepNext/>
        <w:keepLines/>
        <w:outlineLvl w:val="0"/>
      </w:pPr>
      <w:bookmarkStart w:id="15" w:name="_Ref244340479"/>
      <w:r w:rsidRPr="006149EB">
        <w:t xml:space="preserve">Exhibit </w:t>
      </w:r>
      <w:r w:rsidR="002348E6">
        <w:fldChar w:fldCharType="begin"/>
      </w:r>
      <w:r w:rsidR="002348E6">
        <w:instrText xml:space="preserve"> SEQ Exhibit \* ARABIC </w:instrText>
      </w:r>
      <w:r w:rsidR="002348E6">
        <w:fldChar w:fldCharType="separate"/>
      </w:r>
      <w:r w:rsidR="00F61EFD">
        <w:rPr>
          <w:noProof/>
        </w:rPr>
        <w:t>21</w:t>
      </w:r>
      <w:r w:rsidR="002348E6">
        <w:fldChar w:fldCharType="end"/>
      </w:r>
      <w:bookmarkEnd w:id="15"/>
      <w:r w:rsidR="00B22B1A">
        <w:br/>
      </w:r>
      <w:r w:rsidR="006C25A3">
        <w:t>Total Estimated Annual Burden and Costs Comparison: Private</w:t>
      </w:r>
    </w:p>
    <w:tbl>
      <w:tblPr>
        <w:tblW w:w="8717" w:type="dxa"/>
        <w:jc w:val="center"/>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214"/>
        <w:gridCol w:w="1814"/>
        <w:gridCol w:w="1619"/>
        <w:gridCol w:w="2070"/>
      </w:tblGrid>
      <w:tr w:rsidR="00B22B1A" w:rsidRPr="006C25A3" w:rsidTr="00B22B1A">
        <w:trPr>
          <w:jc w:val="center"/>
        </w:trPr>
        <w:tc>
          <w:tcPr>
            <w:tcW w:w="3214" w:type="dxa"/>
            <w:tcBorders>
              <w:top w:val="double" w:sz="4" w:space="0" w:color="auto"/>
              <w:left w:val="double" w:sz="4" w:space="0" w:color="auto"/>
              <w:bottom w:val="single" w:sz="4" w:space="0" w:color="auto"/>
              <w:right w:val="single" w:sz="4" w:space="0" w:color="auto"/>
            </w:tcBorders>
            <w:shd w:val="clear" w:color="auto" w:fill="FFFFFF"/>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 </w:t>
            </w:r>
          </w:p>
        </w:tc>
        <w:tc>
          <w:tcPr>
            <w:tcW w:w="1814" w:type="dxa"/>
            <w:tcBorders>
              <w:top w:val="doub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Total Requested</w:t>
            </w:r>
          </w:p>
        </w:tc>
        <w:tc>
          <w:tcPr>
            <w:tcW w:w="1619" w:type="dxa"/>
            <w:tcBorders>
              <w:top w:val="doub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 xml:space="preserve">Change from previous ICR </w:t>
            </w:r>
          </w:p>
        </w:tc>
        <w:tc>
          <w:tcPr>
            <w:tcW w:w="2070" w:type="dxa"/>
            <w:tcBorders>
              <w:top w:val="double" w:sz="4" w:space="0" w:color="auto"/>
              <w:left w:val="sing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Currently Approved</w:t>
            </w:r>
          </w:p>
        </w:tc>
      </w:tr>
      <w:tr w:rsidR="00B22B1A" w:rsidRPr="006C25A3" w:rsidTr="00B22B1A">
        <w:trPr>
          <w:jc w:val="center"/>
        </w:trPr>
        <w:tc>
          <w:tcPr>
            <w:tcW w:w="3214" w:type="dxa"/>
            <w:tcBorders>
              <w:top w:val="single" w:sz="4" w:space="0" w:color="auto"/>
              <w:left w:val="double" w:sz="4" w:space="0" w:color="auto"/>
              <w:bottom w:val="single" w:sz="4" w:space="0" w:color="auto"/>
              <w:right w:val="single" w:sz="4" w:space="0" w:color="auto"/>
            </w:tcBorders>
            <w:shd w:val="clear" w:color="auto" w:fill="FFFFFF"/>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Annual Responses</w:t>
            </w:r>
          </w:p>
        </w:tc>
        <w:tc>
          <w:tcPr>
            <w:tcW w:w="1814"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669,445</w:t>
            </w:r>
          </w:p>
        </w:tc>
        <w:tc>
          <w:tcPr>
            <w:tcW w:w="1619"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B22B1A" w:rsidP="006C25A3">
            <w:pPr>
              <w:spacing w:line="240" w:lineRule="auto"/>
              <w:rPr>
                <w:rFonts w:cs="Arial"/>
                <w:sz w:val="20"/>
                <w:szCs w:val="20"/>
              </w:rPr>
            </w:pPr>
            <w:r>
              <w:rPr>
                <w:rFonts w:cs="Arial"/>
                <w:sz w:val="20"/>
                <w:szCs w:val="20"/>
              </w:rPr>
              <w:t>+</w:t>
            </w:r>
            <w:r w:rsidR="006C25A3" w:rsidRPr="006C25A3">
              <w:rPr>
                <w:rFonts w:cs="Arial"/>
                <w:sz w:val="20"/>
                <w:szCs w:val="20"/>
              </w:rPr>
              <w:t>18,002</w:t>
            </w:r>
          </w:p>
        </w:tc>
        <w:tc>
          <w:tcPr>
            <w:tcW w:w="2070" w:type="dxa"/>
            <w:tcBorders>
              <w:top w:val="single" w:sz="4" w:space="0" w:color="auto"/>
              <w:left w:val="sing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651,443</w:t>
            </w:r>
          </w:p>
        </w:tc>
      </w:tr>
      <w:tr w:rsidR="00B22B1A" w:rsidRPr="006C25A3" w:rsidTr="00B22B1A">
        <w:trPr>
          <w:jc w:val="center"/>
        </w:trPr>
        <w:tc>
          <w:tcPr>
            <w:tcW w:w="3214" w:type="dxa"/>
            <w:tcBorders>
              <w:top w:val="single" w:sz="4" w:space="0" w:color="auto"/>
              <w:left w:val="double" w:sz="4" w:space="0" w:color="auto"/>
              <w:bottom w:val="single" w:sz="4" w:space="0" w:color="auto"/>
              <w:right w:val="single" w:sz="4" w:space="0" w:color="auto"/>
            </w:tcBorders>
            <w:shd w:val="clear" w:color="auto" w:fill="FFFFFF"/>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Annual Hour Burden</w:t>
            </w:r>
          </w:p>
        </w:tc>
        <w:tc>
          <w:tcPr>
            <w:tcW w:w="1814"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8,791,010</w:t>
            </w:r>
          </w:p>
        </w:tc>
        <w:tc>
          <w:tcPr>
            <w:tcW w:w="1619"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B22B1A" w:rsidP="006C25A3">
            <w:pPr>
              <w:spacing w:line="240" w:lineRule="auto"/>
              <w:rPr>
                <w:rFonts w:cs="Arial"/>
                <w:sz w:val="20"/>
                <w:szCs w:val="20"/>
              </w:rPr>
            </w:pPr>
            <w:r>
              <w:rPr>
                <w:rFonts w:cs="Arial"/>
                <w:sz w:val="20"/>
                <w:szCs w:val="20"/>
              </w:rPr>
              <w:t>+</w:t>
            </w:r>
            <w:r w:rsidR="006C25A3" w:rsidRPr="006C25A3">
              <w:rPr>
                <w:rFonts w:cs="Arial"/>
                <w:sz w:val="20"/>
                <w:szCs w:val="20"/>
              </w:rPr>
              <w:t>757,125</w:t>
            </w:r>
          </w:p>
        </w:tc>
        <w:tc>
          <w:tcPr>
            <w:tcW w:w="2070" w:type="dxa"/>
            <w:tcBorders>
              <w:top w:val="single" w:sz="4" w:space="0" w:color="auto"/>
              <w:left w:val="sing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8,033,885</w:t>
            </w:r>
          </w:p>
        </w:tc>
      </w:tr>
      <w:tr w:rsidR="00B22B1A" w:rsidRPr="006C25A3" w:rsidTr="00B22B1A">
        <w:trPr>
          <w:jc w:val="center"/>
        </w:trPr>
        <w:tc>
          <w:tcPr>
            <w:tcW w:w="3214" w:type="dxa"/>
            <w:tcBorders>
              <w:top w:val="single" w:sz="4" w:space="0" w:color="auto"/>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Annual Cost Burden (Capital/</w:t>
            </w:r>
            <w:proofErr w:type="spellStart"/>
            <w:r w:rsidRPr="006C25A3">
              <w:rPr>
                <w:rFonts w:cs="Arial"/>
                <w:sz w:val="20"/>
                <w:szCs w:val="20"/>
              </w:rPr>
              <w:t>StartUp</w:t>
            </w:r>
            <w:proofErr w:type="spellEnd"/>
            <w:r w:rsidRPr="006C25A3">
              <w:rPr>
                <w:rFonts w:cs="Arial"/>
                <w:sz w:val="20"/>
                <w:szCs w:val="20"/>
              </w:rPr>
              <w:t xml:space="preserve"> and O&amp;M costs)</w:t>
            </w:r>
          </w:p>
        </w:tc>
        <w:tc>
          <w:tcPr>
            <w:tcW w:w="1814"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 xml:space="preserve">$186,506,819 </w:t>
            </w:r>
          </w:p>
        </w:tc>
        <w:tc>
          <w:tcPr>
            <w:tcW w:w="1619"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tcPr>
          <w:p w:rsidR="006C25A3" w:rsidRPr="006C25A3" w:rsidRDefault="00B22B1A" w:rsidP="006C25A3">
            <w:pPr>
              <w:spacing w:line="240" w:lineRule="auto"/>
              <w:rPr>
                <w:rFonts w:cs="Arial"/>
                <w:sz w:val="20"/>
                <w:szCs w:val="20"/>
              </w:rPr>
            </w:pPr>
            <w:r>
              <w:rPr>
                <w:rFonts w:cs="Arial"/>
                <w:sz w:val="20"/>
                <w:szCs w:val="20"/>
              </w:rPr>
              <w:t>+</w:t>
            </w:r>
            <w:r w:rsidR="006C25A3" w:rsidRPr="006C25A3">
              <w:rPr>
                <w:rFonts w:cs="Arial"/>
                <w:sz w:val="20"/>
                <w:szCs w:val="20"/>
              </w:rPr>
              <w:t xml:space="preserve">$25,647,748 </w:t>
            </w:r>
          </w:p>
        </w:tc>
        <w:tc>
          <w:tcPr>
            <w:tcW w:w="2070" w:type="dxa"/>
            <w:tcBorders>
              <w:top w:val="single" w:sz="4" w:space="0" w:color="auto"/>
              <w:left w:val="single" w:sz="4" w:space="0" w:color="auto"/>
              <w:bottom w:val="double" w:sz="4" w:space="0" w:color="auto"/>
              <w:right w:val="double" w:sz="4" w:space="0" w:color="auto"/>
            </w:tcBorders>
            <w:shd w:val="clear" w:color="auto" w:fill="auto"/>
            <w:noWrap/>
            <w:tcMar>
              <w:top w:w="29" w:type="dxa"/>
              <w:left w:w="115" w:type="dxa"/>
              <w:bottom w:w="29" w:type="dxa"/>
              <w:right w:w="115" w:type="dxa"/>
            </w:tcMar>
            <w:vAlign w:val="center"/>
          </w:tcPr>
          <w:p w:rsidR="006C25A3" w:rsidRPr="006C25A3" w:rsidRDefault="006C25A3" w:rsidP="006C25A3">
            <w:pPr>
              <w:spacing w:line="240" w:lineRule="auto"/>
              <w:rPr>
                <w:rFonts w:cs="Arial"/>
                <w:sz w:val="20"/>
                <w:szCs w:val="20"/>
              </w:rPr>
            </w:pPr>
            <w:r w:rsidRPr="006C25A3">
              <w:rPr>
                <w:rFonts w:cs="Arial"/>
                <w:sz w:val="20"/>
                <w:szCs w:val="20"/>
              </w:rPr>
              <w:t xml:space="preserve">$160,859,071 </w:t>
            </w:r>
          </w:p>
        </w:tc>
      </w:tr>
    </w:tbl>
    <w:p w:rsidR="00610171" w:rsidRDefault="0061017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2348E6" w:rsidRDefault="002348E6" w:rsidP="002348E6">
      <w:pPr>
        <w:spacing w:line="240" w:lineRule="auto"/>
        <w:jc w:val="center"/>
        <w:rPr>
          <w:rFonts w:cs="Arial"/>
          <w:szCs w:val="22"/>
        </w:rPr>
      </w:pPr>
      <w:bookmarkStart w:id="16" w:name="_Ref244340487"/>
      <w:r w:rsidRPr="002348E6">
        <w:rPr>
          <w:b/>
        </w:rPr>
        <w:t xml:space="preserve">Exhibit </w:t>
      </w:r>
      <w:r w:rsidRPr="002348E6">
        <w:rPr>
          <w:b/>
        </w:rPr>
        <w:fldChar w:fldCharType="begin"/>
      </w:r>
      <w:r w:rsidRPr="002348E6">
        <w:rPr>
          <w:b/>
        </w:rPr>
        <w:instrText xml:space="preserve"> SEQ Exhibit \* ARABIC </w:instrText>
      </w:r>
      <w:r w:rsidRPr="002348E6">
        <w:rPr>
          <w:b/>
        </w:rPr>
        <w:fldChar w:fldCharType="separate"/>
      </w:r>
      <w:r w:rsidRPr="002348E6">
        <w:rPr>
          <w:b/>
          <w:noProof/>
        </w:rPr>
        <w:t>22</w:t>
      </w:r>
      <w:r w:rsidRPr="002348E6">
        <w:rPr>
          <w:b/>
        </w:rPr>
        <w:fldChar w:fldCharType="end"/>
      </w:r>
      <w:bookmarkEnd w:id="16"/>
    </w:p>
    <w:tbl>
      <w:tblPr>
        <w:tblW w:w="9193" w:type="dxa"/>
        <w:jc w:val="center"/>
        <w:tblInd w:w="5" w:type="dxa"/>
        <w:tblLook w:val="0000"/>
      </w:tblPr>
      <w:tblGrid>
        <w:gridCol w:w="373"/>
        <w:gridCol w:w="3240"/>
        <w:gridCol w:w="1800"/>
        <w:gridCol w:w="1620"/>
        <w:gridCol w:w="1424"/>
        <w:gridCol w:w="736"/>
      </w:tblGrid>
      <w:tr w:rsidR="00D3177D" w:rsidRPr="00A8229B" w:rsidTr="002B0105">
        <w:trPr>
          <w:gridAfter w:val="1"/>
          <w:wAfter w:w="736" w:type="dxa"/>
          <w:trHeight w:val="299"/>
          <w:jc w:val="center"/>
        </w:trPr>
        <w:tc>
          <w:tcPr>
            <w:tcW w:w="8457" w:type="dxa"/>
            <w:gridSpan w:val="5"/>
            <w:tcBorders>
              <w:top w:val="nil"/>
              <w:left w:val="nil"/>
              <w:bottom w:val="double" w:sz="6" w:space="0" w:color="000000"/>
              <w:right w:val="nil"/>
            </w:tcBorders>
            <w:noWrap/>
            <w:vAlign w:val="bottom"/>
          </w:tcPr>
          <w:p w:rsidR="00D3177D" w:rsidRPr="00A8229B" w:rsidRDefault="005D179D" w:rsidP="00664927">
            <w:pPr>
              <w:keepNext/>
              <w:keepLines/>
              <w:jc w:val="center"/>
              <w:rPr>
                <w:rFonts w:cs="Arial"/>
                <w:b/>
                <w:bCs/>
                <w:szCs w:val="22"/>
              </w:rPr>
            </w:pPr>
            <w:r>
              <w:rPr>
                <w:rFonts w:cs="Arial"/>
                <w:b/>
                <w:bCs/>
                <w:szCs w:val="22"/>
              </w:rPr>
              <w:t xml:space="preserve">Total </w:t>
            </w:r>
            <w:r w:rsidR="00D3177D" w:rsidRPr="00A8229B">
              <w:rPr>
                <w:rFonts w:cs="Arial"/>
                <w:b/>
                <w:bCs/>
                <w:szCs w:val="22"/>
              </w:rPr>
              <w:t>Estimated Annual Burden and Costs Comparison</w:t>
            </w:r>
            <w:r w:rsidR="008442EE">
              <w:rPr>
                <w:rFonts w:cs="Arial"/>
                <w:b/>
                <w:bCs/>
                <w:szCs w:val="22"/>
              </w:rPr>
              <w:t>: State and Local Government Facilities</w:t>
            </w:r>
          </w:p>
        </w:tc>
      </w:tr>
      <w:tr w:rsidR="002B0105" w:rsidRPr="00B22B1A" w:rsidTr="002B0105">
        <w:tblPrEx>
          <w:jc w:val="left"/>
          <w:tblLook w:val="04A0"/>
        </w:tblPrEx>
        <w:trPr>
          <w:gridBefore w:val="1"/>
          <w:wBefore w:w="373" w:type="dxa"/>
          <w:trHeight w:val="540"/>
        </w:trPr>
        <w:tc>
          <w:tcPr>
            <w:tcW w:w="3240" w:type="dxa"/>
            <w:tcBorders>
              <w:top w:val="nil"/>
              <w:left w:val="double" w:sz="6" w:space="0" w:color="auto"/>
              <w:bottom w:val="single" w:sz="8" w:space="0" w:color="auto"/>
              <w:right w:val="single" w:sz="8" w:space="0" w:color="000000"/>
            </w:tcBorders>
            <w:shd w:val="clear" w:color="000000" w:fill="FFFFFF"/>
            <w:noWrap/>
            <w:vAlign w:val="bottom"/>
            <w:hideMark/>
          </w:tcPr>
          <w:p w:rsidR="00B22B1A" w:rsidRPr="00B22B1A" w:rsidRDefault="00B22B1A" w:rsidP="00B22B1A">
            <w:pPr>
              <w:spacing w:line="240" w:lineRule="auto"/>
              <w:rPr>
                <w:rFonts w:cs="Arial"/>
                <w:color w:val="000000"/>
                <w:sz w:val="20"/>
                <w:szCs w:val="20"/>
              </w:rPr>
            </w:pPr>
            <w:r w:rsidRPr="00B22B1A">
              <w:rPr>
                <w:rFonts w:cs="Arial"/>
                <w:color w:val="000000"/>
                <w:sz w:val="20"/>
                <w:szCs w:val="20"/>
              </w:rPr>
              <w:t> </w:t>
            </w:r>
          </w:p>
        </w:tc>
        <w:tc>
          <w:tcPr>
            <w:tcW w:w="1800" w:type="dxa"/>
            <w:tcBorders>
              <w:top w:val="nil"/>
              <w:left w:val="nil"/>
              <w:bottom w:val="single" w:sz="8" w:space="0" w:color="auto"/>
              <w:right w:val="single" w:sz="8" w:space="0" w:color="auto"/>
            </w:tcBorders>
            <w:shd w:val="clear" w:color="000000" w:fill="FFFFFF"/>
            <w:vAlign w:val="bottom"/>
            <w:hideMark/>
          </w:tcPr>
          <w:p w:rsidR="00B22B1A" w:rsidRPr="002B0105" w:rsidRDefault="002348E6" w:rsidP="00B22B1A">
            <w:pPr>
              <w:spacing w:line="240" w:lineRule="auto"/>
              <w:jc w:val="center"/>
              <w:rPr>
                <w:rFonts w:cs="Arial"/>
                <w:bCs/>
                <w:color w:val="000000"/>
                <w:sz w:val="20"/>
                <w:szCs w:val="20"/>
              </w:rPr>
            </w:pPr>
            <w:r w:rsidRPr="002348E6">
              <w:rPr>
                <w:rFonts w:cs="Arial"/>
                <w:bCs/>
                <w:color w:val="000000"/>
                <w:sz w:val="20"/>
                <w:szCs w:val="20"/>
              </w:rPr>
              <w:t>Total Requested</w:t>
            </w:r>
          </w:p>
        </w:tc>
        <w:tc>
          <w:tcPr>
            <w:tcW w:w="1620" w:type="dxa"/>
            <w:tcBorders>
              <w:top w:val="nil"/>
              <w:left w:val="nil"/>
              <w:bottom w:val="single" w:sz="8" w:space="0" w:color="auto"/>
              <w:right w:val="single" w:sz="8" w:space="0" w:color="auto"/>
            </w:tcBorders>
            <w:shd w:val="clear" w:color="000000" w:fill="FFFFFF"/>
            <w:vAlign w:val="bottom"/>
            <w:hideMark/>
          </w:tcPr>
          <w:p w:rsidR="00B22B1A" w:rsidRPr="002B0105" w:rsidRDefault="002348E6" w:rsidP="00B22B1A">
            <w:pPr>
              <w:spacing w:line="240" w:lineRule="auto"/>
              <w:jc w:val="center"/>
              <w:rPr>
                <w:rFonts w:cs="Arial"/>
                <w:bCs/>
                <w:color w:val="000000"/>
                <w:sz w:val="20"/>
                <w:szCs w:val="20"/>
              </w:rPr>
            </w:pPr>
            <w:r w:rsidRPr="002348E6">
              <w:rPr>
                <w:rFonts w:cs="Arial"/>
                <w:bCs/>
                <w:color w:val="000000"/>
                <w:sz w:val="20"/>
                <w:szCs w:val="20"/>
              </w:rPr>
              <w:t>Change for previous ICR</w:t>
            </w:r>
          </w:p>
        </w:tc>
        <w:tc>
          <w:tcPr>
            <w:tcW w:w="2160" w:type="dxa"/>
            <w:gridSpan w:val="2"/>
            <w:tcBorders>
              <w:top w:val="nil"/>
              <w:left w:val="nil"/>
              <w:bottom w:val="single" w:sz="8" w:space="0" w:color="auto"/>
              <w:right w:val="double" w:sz="6" w:space="0" w:color="000000"/>
            </w:tcBorders>
            <w:shd w:val="clear" w:color="000000" w:fill="FFFFFF"/>
            <w:vAlign w:val="bottom"/>
            <w:hideMark/>
          </w:tcPr>
          <w:p w:rsidR="00B22B1A" w:rsidRPr="002B0105" w:rsidRDefault="002348E6" w:rsidP="00B22B1A">
            <w:pPr>
              <w:spacing w:line="240" w:lineRule="auto"/>
              <w:jc w:val="center"/>
              <w:rPr>
                <w:rFonts w:cs="Arial"/>
                <w:bCs/>
                <w:color w:val="000000"/>
                <w:sz w:val="20"/>
                <w:szCs w:val="20"/>
              </w:rPr>
            </w:pPr>
            <w:r w:rsidRPr="002348E6">
              <w:rPr>
                <w:rFonts w:cs="Arial"/>
                <w:bCs/>
                <w:color w:val="000000"/>
                <w:sz w:val="20"/>
                <w:szCs w:val="20"/>
              </w:rPr>
              <w:t>Currently Approved</w:t>
            </w:r>
          </w:p>
        </w:tc>
      </w:tr>
      <w:tr w:rsidR="002B0105" w:rsidRPr="00B22B1A" w:rsidTr="002B0105">
        <w:tblPrEx>
          <w:jc w:val="left"/>
          <w:tblLook w:val="04A0"/>
        </w:tblPrEx>
        <w:trPr>
          <w:gridBefore w:val="1"/>
          <w:wBefore w:w="373" w:type="dxa"/>
          <w:trHeight w:val="315"/>
        </w:trPr>
        <w:tc>
          <w:tcPr>
            <w:tcW w:w="3240" w:type="dxa"/>
            <w:tcBorders>
              <w:top w:val="single" w:sz="8" w:space="0" w:color="auto"/>
              <w:left w:val="double" w:sz="6" w:space="0" w:color="auto"/>
              <w:bottom w:val="single" w:sz="8" w:space="0" w:color="auto"/>
              <w:right w:val="single" w:sz="8" w:space="0" w:color="000000"/>
            </w:tcBorders>
            <w:shd w:val="clear" w:color="000000" w:fill="FFFFFF"/>
            <w:noWrap/>
            <w:vAlign w:val="bottom"/>
            <w:hideMark/>
          </w:tcPr>
          <w:p w:rsidR="00B22B1A" w:rsidRPr="00B22B1A" w:rsidRDefault="00B22B1A" w:rsidP="00B22B1A">
            <w:pPr>
              <w:spacing w:line="240" w:lineRule="auto"/>
              <w:rPr>
                <w:rFonts w:cs="Arial"/>
                <w:color w:val="000000"/>
                <w:sz w:val="20"/>
                <w:szCs w:val="20"/>
              </w:rPr>
            </w:pPr>
            <w:r w:rsidRPr="00B22B1A">
              <w:rPr>
                <w:rFonts w:cs="Arial"/>
                <w:color w:val="000000"/>
                <w:sz w:val="20"/>
                <w:szCs w:val="20"/>
              </w:rPr>
              <w:t>Annual Responses</w:t>
            </w:r>
          </w:p>
        </w:tc>
        <w:tc>
          <w:tcPr>
            <w:tcW w:w="1800" w:type="dxa"/>
            <w:tcBorders>
              <w:top w:val="nil"/>
              <w:left w:val="nil"/>
              <w:bottom w:val="single" w:sz="8" w:space="0" w:color="auto"/>
              <w:right w:val="single" w:sz="8" w:space="0" w:color="auto"/>
            </w:tcBorders>
            <w:shd w:val="clear" w:color="000000" w:fill="FFFFFF"/>
            <w:noWrap/>
            <w:vAlign w:val="bottom"/>
            <w:hideMark/>
          </w:tcPr>
          <w:p w:rsidR="00B22B1A" w:rsidRPr="00B22B1A" w:rsidRDefault="00B22B1A" w:rsidP="00B22B1A">
            <w:pPr>
              <w:spacing w:line="240" w:lineRule="auto"/>
              <w:jc w:val="right"/>
              <w:rPr>
                <w:rFonts w:cs="Arial"/>
                <w:color w:val="000000"/>
                <w:sz w:val="20"/>
                <w:szCs w:val="20"/>
              </w:rPr>
            </w:pPr>
            <w:r w:rsidRPr="00B22B1A">
              <w:rPr>
                <w:rFonts w:cs="Arial"/>
                <w:color w:val="000000"/>
                <w:sz w:val="20"/>
                <w:szCs w:val="20"/>
              </w:rPr>
              <w:t>603</w:t>
            </w:r>
          </w:p>
        </w:tc>
        <w:tc>
          <w:tcPr>
            <w:tcW w:w="1620" w:type="dxa"/>
            <w:tcBorders>
              <w:top w:val="nil"/>
              <w:left w:val="nil"/>
              <w:bottom w:val="single" w:sz="8" w:space="0" w:color="auto"/>
              <w:right w:val="single" w:sz="8" w:space="0" w:color="auto"/>
            </w:tcBorders>
            <w:shd w:val="clear" w:color="000000" w:fill="FFFFFF"/>
            <w:noWrap/>
            <w:vAlign w:val="bottom"/>
            <w:hideMark/>
          </w:tcPr>
          <w:p w:rsidR="00B22B1A" w:rsidRPr="00B22B1A" w:rsidRDefault="00B22B1A" w:rsidP="00B22B1A">
            <w:pPr>
              <w:spacing w:line="240" w:lineRule="auto"/>
              <w:jc w:val="right"/>
              <w:rPr>
                <w:rFonts w:cs="Arial"/>
                <w:color w:val="000000"/>
                <w:sz w:val="20"/>
                <w:szCs w:val="20"/>
              </w:rPr>
            </w:pPr>
            <w:r w:rsidRPr="00B22B1A">
              <w:rPr>
                <w:rFonts w:cs="Arial"/>
                <w:color w:val="000000"/>
                <w:sz w:val="20"/>
                <w:szCs w:val="20"/>
              </w:rPr>
              <w:t>-3</w:t>
            </w:r>
          </w:p>
        </w:tc>
        <w:tc>
          <w:tcPr>
            <w:tcW w:w="2160" w:type="dxa"/>
            <w:gridSpan w:val="2"/>
            <w:tcBorders>
              <w:top w:val="single" w:sz="8" w:space="0" w:color="auto"/>
              <w:left w:val="nil"/>
              <w:bottom w:val="single" w:sz="8" w:space="0" w:color="auto"/>
              <w:right w:val="double" w:sz="6" w:space="0" w:color="000000"/>
            </w:tcBorders>
            <w:shd w:val="clear" w:color="auto" w:fill="auto"/>
            <w:noWrap/>
            <w:vAlign w:val="bottom"/>
            <w:hideMark/>
          </w:tcPr>
          <w:p w:rsidR="00B22B1A" w:rsidRPr="00B22B1A" w:rsidRDefault="00B22B1A" w:rsidP="00B22B1A">
            <w:pPr>
              <w:spacing w:line="240" w:lineRule="auto"/>
              <w:jc w:val="right"/>
              <w:rPr>
                <w:rFonts w:cs="Arial"/>
                <w:color w:val="000000"/>
                <w:sz w:val="20"/>
                <w:szCs w:val="20"/>
              </w:rPr>
            </w:pPr>
            <w:r w:rsidRPr="00B22B1A">
              <w:rPr>
                <w:rFonts w:cs="Arial"/>
                <w:color w:val="000000"/>
                <w:sz w:val="20"/>
                <w:szCs w:val="20"/>
              </w:rPr>
              <w:t>606</w:t>
            </w:r>
          </w:p>
        </w:tc>
      </w:tr>
      <w:tr w:rsidR="002B0105" w:rsidRPr="00B22B1A" w:rsidTr="002B0105">
        <w:tblPrEx>
          <w:jc w:val="left"/>
          <w:tblLook w:val="04A0"/>
        </w:tblPrEx>
        <w:trPr>
          <w:gridBefore w:val="1"/>
          <w:wBefore w:w="373" w:type="dxa"/>
          <w:trHeight w:val="315"/>
        </w:trPr>
        <w:tc>
          <w:tcPr>
            <w:tcW w:w="3240" w:type="dxa"/>
            <w:tcBorders>
              <w:top w:val="single" w:sz="8" w:space="0" w:color="auto"/>
              <w:left w:val="double" w:sz="6" w:space="0" w:color="auto"/>
              <w:bottom w:val="single" w:sz="8" w:space="0" w:color="auto"/>
              <w:right w:val="single" w:sz="8" w:space="0" w:color="000000"/>
            </w:tcBorders>
            <w:shd w:val="clear" w:color="000000" w:fill="FFFFFF"/>
            <w:noWrap/>
            <w:vAlign w:val="bottom"/>
            <w:hideMark/>
          </w:tcPr>
          <w:p w:rsidR="00B22B1A" w:rsidRPr="00B22B1A" w:rsidRDefault="00B22B1A" w:rsidP="00B22B1A">
            <w:pPr>
              <w:spacing w:line="240" w:lineRule="auto"/>
              <w:rPr>
                <w:rFonts w:cs="Arial"/>
                <w:color w:val="000000"/>
                <w:sz w:val="20"/>
                <w:szCs w:val="20"/>
              </w:rPr>
            </w:pPr>
            <w:r w:rsidRPr="00B22B1A">
              <w:rPr>
                <w:rFonts w:cs="Arial"/>
                <w:color w:val="000000"/>
                <w:sz w:val="20"/>
                <w:szCs w:val="20"/>
              </w:rPr>
              <w:t>Annual Hour Burden</w:t>
            </w:r>
          </w:p>
        </w:tc>
        <w:tc>
          <w:tcPr>
            <w:tcW w:w="1800" w:type="dxa"/>
            <w:tcBorders>
              <w:top w:val="nil"/>
              <w:left w:val="nil"/>
              <w:bottom w:val="single" w:sz="8" w:space="0" w:color="auto"/>
              <w:right w:val="single" w:sz="8" w:space="0" w:color="auto"/>
            </w:tcBorders>
            <w:shd w:val="clear" w:color="000000" w:fill="FFFFFF"/>
            <w:noWrap/>
            <w:vAlign w:val="bottom"/>
            <w:hideMark/>
          </w:tcPr>
          <w:p w:rsidR="00B22B1A" w:rsidRPr="00B22B1A" w:rsidRDefault="00B22B1A" w:rsidP="00B22B1A">
            <w:pPr>
              <w:spacing w:line="240" w:lineRule="auto"/>
              <w:jc w:val="right"/>
              <w:rPr>
                <w:rFonts w:cs="Arial"/>
                <w:color w:val="000000"/>
                <w:sz w:val="20"/>
                <w:szCs w:val="20"/>
              </w:rPr>
            </w:pPr>
            <w:r w:rsidRPr="00B22B1A">
              <w:rPr>
                <w:rFonts w:cs="Arial"/>
                <w:color w:val="000000"/>
                <w:sz w:val="20"/>
                <w:szCs w:val="20"/>
              </w:rPr>
              <w:t>7,918</w:t>
            </w:r>
          </w:p>
        </w:tc>
        <w:tc>
          <w:tcPr>
            <w:tcW w:w="1620" w:type="dxa"/>
            <w:tcBorders>
              <w:top w:val="nil"/>
              <w:left w:val="nil"/>
              <w:bottom w:val="single" w:sz="8" w:space="0" w:color="auto"/>
              <w:right w:val="single" w:sz="8" w:space="0" w:color="auto"/>
            </w:tcBorders>
            <w:shd w:val="clear" w:color="000000" w:fill="FFFFFF"/>
            <w:noWrap/>
            <w:vAlign w:val="bottom"/>
            <w:hideMark/>
          </w:tcPr>
          <w:p w:rsidR="00B22B1A" w:rsidRPr="00B22B1A" w:rsidRDefault="002B0105" w:rsidP="00B22B1A">
            <w:pPr>
              <w:spacing w:line="240" w:lineRule="auto"/>
              <w:jc w:val="right"/>
              <w:rPr>
                <w:rFonts w:cs="Arial"/>
                <w:color w:val="000000"/>
                <w:sz w:val="20"/>
                <w:szCs w:val="20"/>
              </w:rPr>
            </w:pPr>
            <w:r>
              <w:rPr>
                <w:rFonts w:cs="Arial"/>
                <w:color w:val="000000"/>
                <w:sz w:val="20"/>
                <w:szCs w:val="20"/>
              </w:rPr>
              <w:t>+</w:t>
            </w:r>
            <w:r w:rsidR="00B22B1A" w:rsidRPr="00B22B1A">
              <w:rPr>
                <w:rFonts w:cs="Arial"/>
                <w:color w:val="000000"/>
                <w:sz w:val="20"/>
                <w:szCs w:val="20"/>
              </w:rPr>
              <w:t>445</w:t>
            </w:r>
          </w:p>
        </w:tc>
        <w:tc>
          <w:tcPr>
            <w:tcW w:w="2160" w:type="dxa"/>
            <w:gridSpan w:val="2"/>
            <w:tcBorders>
              <w:top w:val="single" w:sz="8" w:space="0" w:color="auto"/>
              <w:left w:val="nil"/>
              <w:bottom w:val="single" w:sz="8" w:space="0" w:color="auto"/>
              <w:right w:val="double" w:sz="6" w:space="0" w:color="000000"/>
            </w:tcBorders>
            <w:shd w:val="clear" w:color="auto" w:fill="auto"/>
            <w:noWrap/>
            <w:vAlign w:val="bottom"/>
            <w:hideMark/>
          </w:tcPr>
          <w:p w:rsidR="00B22B1A" w:rsidRPr="00B22B1A" w:rsidRDefault="00B22B1A" w:rsidP="00B22B1A">
            <w:pPr>
              <w:spacing w:line="240" w:lineRule="auto"/>
              <w:jc w:val="right"/>
              <w:rPr>
                <w:rFonts w:cs="Arial"/>
                <w:color w:val="000000"/>
                <w:sz w:val="20"/>
                <w:szCs w:val="20"/>
              </w:rPr>
            </w:pPr>
            <w:r w:rsidRPr="00B22B1A">
              <w:rPr>
                <w:rFonts w:cs="Arial"/>
                <w:color w:val="000000"/>
                <w:sz w:val="20"/>
                <w:szCs w:val="20"/>
              </w:rPr>
              <w:t>7,473</w:t>
            </w:r>
          </w:p>
        </w:tc>
      </w:tr>
      <w:tr w:rsidR="002B0105" w:rsidRPr="00B22B1A" w:rsidTr="00762EDA">
        <w:tblPrEx>
          <w:jc w:val="left"/>
          <w:tblLook w:val="04A0"/>
        </w:tblPrEx>
        <w:trPr>
          <w:gridBefore w:val="1"/>
          <w:wBefore w:w="373" w:type="dxa"/>
          <w:trHeight w:val="475"/>
        </w:trPr>
        <w:tc>
          <w:tcPr>
            <w:tcW w:w="3240" w:type="dxa"/>
            <w:tcBorders>
              <w:top w:val="single" w:sz="8" w:space="0" w:color="auto"/>
              <w:left w:val="double" w:sz="6" w:space="0" w:color="auto"/>
              <w:bottom w:val="double" w:sz="6" w:space="0" w:color="auto"/>
              <w:right w:val="single" w:sz="8" w:space="0" w:color="000000"/>
            </w:tcBorders>
            <w:shd w:val="clear" w:color="000000" w:fill="FFFFFF"/>
            <w:vAlign w:val="bottom"/>
            <w:hideMark/>
          </w:tcPr>
          <w:p w:rsidR="00B22B1A" w:rsidRDefault="00B22B1A" w:rsidP="00B22B1A">
            <w:pPr>
              <w:spacing w:line="240" w:lineRule="auto"/>
              <w:rPr>
                <w:rFonts w:cs="Arial"/>
                <w:color w:val="000000"/>
                <w:sz w:val="20"/>
                <w:szCs w:val="20"/>
              </w:rPr>
            </w:pPr>
            <w:r w:rsidRPr="00B22B1A">
              <w:rPr>
                <w:rFonts w:cs="Arial"/>
                <w:color w:val="000000"/>
                <w:sz w:val="20"/>
                <w:szCs w:val="20"/>
              </w:rPr>
              <w:t>Annual Cost Burden (Capital/</w:t>
            </w:r>
            <w:proofErr w:type="spellStart"/>
            <w:r w:rsidRPr="00B22B1A">
              <w:rPr>
                <w:rFonts w:cs="Arial"/>
                <w:color w:val="000000"/>
                <w:sz w:val="20"/>
                <w:szCs w:val="20"/>
              </w:rPr>
              <w:t>StartUp</w:t>
            </w:r>
            <w:proofErr w:type="spellEnd"/>
            <w:r w:rsidRPr="00B22B1A">
              <w:rPr>
                <w:rFonts w:cs="Arial"/>
                <w:color w:val="000000"/>
                <w:sz w:val="20"/>
                <w:szCs w:val="20"/>
              </w:rPr>
              <w:t xml:space="preserve"> and O&amp;M costs)</w:t>
            </w:r>
          </w:p>
          <w:p w:rsidR="002B0105" w:rsidRPr="00B22B1A" w:rsidRDefault="002B0105" w:rsidP="00B22B1A">
            <w:pPr>
              <w:spacing w:line="240" w:lineRule="auto"/>
              <w:rPr>
                <w:rFonts w:cs="Arial"/>
                <w:color w:val="000000"/>
                <w:sz w:val="20"/>
                <w:szCs w:val="20"/>
              </w:rPr>
            </w:pPr>
          </w:p>
        </w:tc>
        <w:tc>
          <w:tcPr>
            <w:tcW w:w="1800" w:type="dxa"/>
            <w:tcBorders>
              <w:top w:val="nil"/>
              <w:left w:val="nil"/>
              <w:bottom w:val="double" w:sz="6" w:space="0" w:color="auto"/>
              <w:right w:val="single" w:sz="8" w:space="0" w:color="auto"/>
            </w:tcBorders>
            <w:shd w:val="clear" w:color="000000" w:fill="FFFFFF"/>
            <w:noWrap/>
            <w:vAlign w:val="bottom"/>
            <w:hideMark/>
          </w:tcPr>
          <w:p w:rsidR="002B0105" w:rsidRDefault="00B22B1A" w:rsidP="00B22B1A">
            <w:pPr>
              <w:spacing w:line="240" w:lineRule="auto"/>
              <w:jc w:val="right"/>
              <w:rPr>
                <w:rFonts w:cs="Arial"/>
                <w:color w:val="000000"/>
                <w:sz w:val="20"/>
                <w:szCs w:val="20"/>
              </w:rPr>
            </w:pPr>
            <w:r w:rsidRPr="00B22B1A">
              <w:rPr>
                <w:rFonts w:cs="Arial"/>
                <w:color w:val="000000"/>
                <w:sz w:val="20"/>
                <w:szCs w:val="20"/>
              </w:rPr>
              <w:t>$167,995</w:t>
            </w:r>
          </w:p>
          <w:p w:rsidR="00B22B1A" w:rsidRPr="00B22B1A" w:rsidRDefault="00B22B1A" w:rsidP="00B22B1A">
            <w:pPr>
              <w:spacing w:line="240" w:lineRule="auto"/>
              <w:jc w:val="right"/>
              <w:rPr>
                <w:rFonts w:cs="Arial"/>
                <w:color w:val="000000"/>
                <w:sz w:val="20"/>
                <w:szCs w:val="20"/>
              </w:rPr>
            </w:pPr>
            <w:r w:rsidRPr="00B22B1A">
              <w:rPr>
                <w:rFonts w:cs="Arial"/>
                <w:color w:val="000000"/>
                <w:sz w:val="20"/>
                <w:szCs w:val="20"/>
              </w:rPr>
              <w:t xml:space="preserve"> </w:t>
            </w:r>
          </w:p>
        </w:tc>
        <w:tc>
          <w:tcPr>
            <w:tcW w:w="1620" w:type="dxa"/>
            <w:tcBorders>
              <w:top w:val="nil"/>
              <w:left w:val="nil"/>
              <w:bottom w:val="double" w:sz="6" w:space="0" w:color="auto"/>
              <w:right w:val="single" w:sz="8" w:space="0" w:color="auto"/>
            </w:tcBorders>
            <w:shd w:val="clear" w:color="000000" w:fill="FFFFFF"/>
            <w:noWrap/>
            <w:vAlign w:val="bottom"/>
            <w:hideMark/>
          </w:tcPr>
          <w:p w:rsidR="00B22B1A" w:rsidRDefault="002B0105" w:rsidP="00B22B1A">
            <w:pPr>
              <w:spacing w:line="240" w:lineRule="auto"/>
              <w:jc w:val="right"/>
              <w:rPr>
                <w:rFonts w:cs="Arial"/>
                <w:color w:val="000000"/>
                <w:sz w:val="20"/>
                <w:szCs w:val="20"/>
              </w:rPr>
            </w:pPr>
            <w:r>
              <w:rPr>
                <w:rFonts w:cs="Arial"/>
                <w:color w:val="000000"/>
                <w:sz w:val="20"/>
                <w:szCs w:val="20"/>
              </w:rPr>
              <w:t>+</w:t>
            </w:r>
            <w:r w:rsidR="00B22B1A" w:rsidRPr="00B22B1A">
              <w:rPr>
                <w:rFonts w:cs="Arial"/>
                <w:color w:val="000000"/>
                <w:sz w:val="20"/>
                <w:szCs w:val="20"/>
              </w:rPr>
              <w:t>18,357</w:t>
            </w:r>
          </w:p>
          <w:p w:rsidR="002B0105" w:rsidRPr="00B22B1A" w:rsidRDefault="002B0105" w:rsidP="00B22B1A">
            <w:pPr>
              <w:spacing w:line="240" w:lineRule="auto"/>
              <w:jc w:val="right"/>
              <w:rPr>
                <w:rFonts w:cs="Arial"/>
                <w:color w:val="000000"/>
                <w:sz w:val="20"/>
                <w:szCs w:val="20"/>
              </w:rPr>
            </w:pPr>
          </w:p>
        </w:tc>
        <w:tc>
          <w:tcPr>
            <w:tcW w:w="2160" w:type="dxa"/>
            <w:gridSpan w:val="2"/>
            <w:tcBorders>
              <w:top w:val="single" w:sz="8" w:space="0" w:color="auto"/>
              <w:left w:val="nil"/>
              <w:bottom w:val="double" w:sz="6" w:space="0" w:color="auto"/>
              <w:right w:val="double" w:sz="6" w:space="0" w:color="000000"/>
            </w:tcBorders>
            <w:shd w:val="clear" w:color="auto" w:fill="auto"/>
            <w:noWrap/>
            <w:vAlign w:val="bottom"/>
            <w:hideMark/>
          </w:tcPr>
          <w:p w:rsidR="002B0105" w:rsidRDefault="00B22B1A" w:rsidP="00B22B1A">
            <w:pPr>
              <w:spacing w:line="240" w:lineRule="auto"/>
              <w:jc w:val="right"/>
              <w:rPr>
                <w:rFonts w:cs="Arial"/>
                <w:color w:val="000000"/>
                <w:sz w:val="20"/>
                <w:szCs w:val="20"/>
              </w:rPr>
            </w:pPr>
            <w:r w:rsidRPr="00B22B1A">
              <w:rPr>
                <w:rFonts w:cs="Arial"/>
                <w:color w:val="000000"/>
                <w:sz w:val="20"/>
                <w:szCs w:val="20"/>
              </w:rPr>
              <w:t>$149,638</w:t>
            </w:r>
          </w:p>
          <w:p w:rsidR="00B22B1A" w:rsidRPr="00B22B1A" w:rsidRDefault="00B22B1A" w:rsidP="00B22B1A">
            <w:pPr>
              <w:spacing w:line="240" w:lineRule="auto"/>
              <w:jc w:val="right"/>
              <w:rPr>
                <w:rFonts w:cs="Arial"/>
                <w:color w:val="000000"/>
                <w:sz w:val="20"/>
                <w:szCs w:val="20"/>
              </w:rPr>
            </w:pPr>
            <w:r w:rsidRPr="00B22B1A">
              <w:rPr>
                <w:rFonts w:cs="Arial"/>
                <w:color w:val="000000"/>
                <w:sz w:val="20"/>
                <w:szCs w:val="20"/>
              </w:rPr>
              <w:t xml:space="preserve"> </w:t>
            </w:r>
          </w:p>
        </w:tc>
      </w:tr>
    </w:tbl>
    <w:p w:rsidR="00B22B1A" w:rsidRDefault="00B22B1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B22B1A" w:rsidRDefault="00B22B1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2B0105" w:rsidRDefault="002B0105">
      <w:pPr>
        <w:spacing w:line="240" w:lineRule="auto"/>
        <w:rPr>
          <w:rFonts w:cs="Arial"/>
          <w:b/>
          <w:bCs/>
          <w:szCs w:val="22"/>
        </w:rPr>
      </w:pPr>
      <w:r>
        <w:rPr>
          <w:rFonts w:cs="Arial"/>
          <w:b/>
          <w:bCs/>
          <w:szCs w:val="22"/>
        </w:rPr>
        <w:br w:type="page"/>
      </w:r>
    </w:p>
    <w:p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b/>
          <w:bCs/>
          <w:szCs w:val="22"/>
        </w:rPr>
        <w:lastRenderedPageBreak/>
        <w:t xml:space="preserve">6(h) </w:t>
      </w:r>
      <w:r w:rsidRPr="00854FC2">
        <w:rPr>
          <w:rFonts w:cs="Arial"/>
          <w:b/>
          <w:bCs/>
          <w:szCs w:val="22"/>
        </w:rPr>
        <w:tab/>
        <w:t>Burden Statement</w:t>
      </w:r>
    </w:p>
    <w:p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szCs w:val="22"/>
        </w:rPr>
        <w:tab/>
      </w:r>
    </w:p>
    <w:p w:rsidR="00E23F3C" w:rsidRDefault="00E23F3C" w:rsidP="00124FD1">
      <w:pPr>
        <w:ind w:firstLine="720"/>
        <w:rPr>
          <w:rFonts w:cs="Arial"/>
        </w:rPr>
      </w:pPr>
      <w:r>
        <w:rPr>
          <w:rFonts w:cs="Arial"/>
        </w:rPr>
        <w:t xml:space="preserve">The annual public reporting and recordkeeping burden for this collection of information is estimated to average 13 hours per response. </w:t>
      </w:r>
    </w:p>
    <w:p w:rsidR="00D85665" w:rsidRPr="00854FC2" w:rsidRDefault="00D85665" w:rsidP="00124FD1">
      <w:pPr>
        <w:ind w:firstLine="720"/>
        <w:rPr>
          <w:rFonts w:cs="Arial"/>
          <w:szCs w:val="22"/>
        </w:rPr>
      </w:pPr>
      <w:r w:rsidRPr="00854FC2">
        <w:rPr>
          <w:rFonts w:cs="Arial"/>
        </w:rPr>
        <w:t xml:space="preserve">The annual public reporting </w:t>
      </w:r>
      <w:r w:rsidRPr="00193F8A">
        <w:rPr>
          <w:rFonts w:cs="Arial"/>
        </w:rPr>
        <w:t>and recordkeeping burden for this collection of information</w:t>
      </w:r>
      <w:r w:rsidRPr="00193F8A">
        <w:rPr>
          <w:rFonts w:cs="Arial"/>
          <w:szCs w:val="22"/>
        </w:rPr>
        <w:t xml:space="preserve"> for newly regulated facilities </w:t>
      </w:r>
      <w:r w:rsidRPr="00193F8A">
        <w:rPr>
          <w:rFonts w:cs="Arial"/>
        </w:rPr>
        <w:t xml:space="preserve">is estimated to </w:t>
      </w:r>
      <w:r w:rsidRPr="00193F8A">
        <w:rPr>
          <w:rFonts w:cs="Arial"/>
          <w:szCs w:val="22"/>
        </w:rPr>
        <w:t xml:space="preserve">range from </w:t>
      </w:r>
      <w:r w:rsidR="00EE6463" w:rsidRPr="00193F8A">
        <w:rPr>
          <w:rFonts w:cs="Arial"/>
          <w:szCs w:val="22"/>
        </w:rPr>
        <w:t>11.</w:t>
      </w:r>
      <w:r w:rsidR="007C19E3">
        <w:rPr>
          <w:rFonts w:cs="Arial"/>
          <w:szCs w:val="22"/>
        </w:rPr>
        <w:t>9</w:t>
      </w:r>
      <w:r w:rsidRPr="00193F8A">
        <w:rPr>
          <w:rFonts w:cs="Arial"/>
          <w:szCs w:val="22"/>
        </w:rPr>
        <w:t xml:space="preserve"> to </w:t>
      </w:r>
      <w:r w:rsidR="00545CAE" w:rsidRPr="00193F8A">
        <w:rPr>
          <w:rFonts w:cs="Arial"/>
          <w:szCs w:val="22"/>
        </w:rPr>
        <w:t>20</w:t>
      </w:r>
      <w:r w:rsidR="00EE6463" w:rsidRPr="00193F8A">
        <w:rPr>
          <w:rFonts w:cs="Arial"/>
          <w:szCs w:val="22"/>
        </w:rPr>
        <w:t>3.9</w:t>
      </w:r>
      <w:r w:rsidRPr="00193F8A">
        <w:rPr>
          <w:rFonts w:cs="Arial"/>
          <w:szCs w:val="22"/>
        </w:rPr>
        <w:t xml:space="preserve"> hours per facility, with an average burden of approximately </w:t>
      </w:r>
      <w:r w:rsidR="00EE6463" w:rsidRPr="00193F8A">
        <w:rPr>
          <w:rFonts w:cs="Arial"/>
          <w:szCs w:val="22"/>
        </w:rPr>
        <w:t>5</w:t>
      </w:r>
      <w:r w:rsidR="007C19E3">
        <w:rPr>
          <w:rFonts w:cs="Arial"/>
          <w:szCs w:val="22"/>
        </w:rPr>
        <w:t>8</w:t>
      </w:r>
      <w:r w:rsidRPr="00193F8A">
        <w:rPr>
          <w:rFonts w:cs="Arial"/>
          <w:szCs w:val="22"/>
        </w:rPr>
        <w:t xml:space="preserve"> hours</w:t>
      </w:r>
      <w:r w:rsidRPr="00193F8A">
        <w:rPr>
          <w:rFonts w:cs="Arial"/>
          <w:color w:val="000000"/>
        </w:rPr>
        <w:t xml:space="preserve"> per response. </w:t>
      </w:r>
      <w:r w:rsidRPr="00193F8A">
        <w:rPr>
          <w:rFonts w:cs="Arial"/>
          <w:szCs w:val="22"/>
        </w:rPr>
        <w:t xml:space="preserve">The net annual public reporting and recordkeeping burden for facilities already regulated by the rule is estimated to range from </w:t>
      </w:r>
      <w:r w:rsidR="00F86324" w:rsidRPr="00193F8A">
        <w:rPr>
          <w:rFonts w:cs="Arial"/>
          <w:szCs w:val="22"/>
        </w:rPr>
        <w:t>8.</w:t>
      </w:r>
      <w:r w:rsidR="00EE6463" w:rsidRPr="00193F8A">
        <w:rPr>
          <w:rFonts w:cs="Arial"/>
          <w:szCs w:val="22"/>
        </w:rPr>
        <w:t>7</w:t>
      </w:r>
      <w:r w:rsidRPr="00193F8A">
        <w:rPr>
          <w:rFonts w:cs="Arial"/>
          <w:szCs w:val="22"/>
        </w:rPr>
        <w:t xml:space="preserve"> to </w:t>
      </w:r>
      <w:r w:rsidR="00F86324" w:rsidRPr="00193F8A">
        <w:rPr>
          <w:rFonts w:cs="Arial"/>
          <w:szCs w:val="22"/>
        </w:rPr>
        <w:t>38.4</w:t>
      </w:r>
      <w:r w:rsidRPr="00193F8A">
        <w:rPr>
          <w:rFonts w:cs="Arial"/>
          <w:szCs w:val="22"/>
        </w:rPr>
        <w:t xml:space="preserve"> hours, with an average burden of approximately </w:t>
      </w:r>
      <w:r w:rsidR="005222F6" w:rsidRPr="00193F8A">
        <w:rPr>
          <w:rFonts w:cs="Arial"/>
          <w:szCs w:val="22"/>
        </w:rPr>
        <w:t>11</w:t>
      </w:r>
      <w:r w:rsidRPr="00193F8A">
        <w:rPr>
          <w:rFonts w:cs="Arial"/>
          <w:szCs w:val="22"/>
        </w:rPr>
        <w:t xml:space="preserve"> hours.</w:t>
      </w:r>
    </w:p>
    <w:p w:rsidR="00D85665" w:rsidRPr="00854FC2" w:rsidRDefault="00D85665" w:rsidP="0012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rsidR="00D85665" w:rsidRPr="00854FC2" w:rsidRDefault="00074F8C" w:rsidP="0012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Pr>
          <w:rFonts w:cs="Arial"/>
          <w:color w:val="000000"/>
        </w:rPr>
        <w:tab/>
      </w:r>
      <w:r w:rsidR="00D85665" w:rsidRPr="00854FC2">
        <w:rPr>
          <w:rFonts w:cs="Arial"/>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chapter 15 of 48 CFR.     </w:t>
      </w:r>
    </w:p>
    <w:p w:rsidR="00D85665" w:rsidRPr="00854FC2" w:rsidRDefault="00D85665" w:rsidP="0012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rsidR="008E44F1" w:rsidRPr="00F75A7A" w:rsidRDefault="00074F8C" w:rsidP="008C3155">
      <w:pPr>
        <w:autoSpaceDE w:val="0"/>
        <w:autoSpaceDN w:val="0"/>
        <w:adjustRightInd w:val="0"/>
        <w:rPr>
          <w:rFonts w:cs="Arial"/>
          <w:szCs w:val="22"/>
        </w:rPr>
      </w:pPr>
      <w:r>
        <w:tab/>
      </w:r>
      <w:r w:rsidR="00D85665" w:rsidRPr="002D44E0">
        <w:rPr>
          <w:rFonts w:cs="Arial"/>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D44E0" w:rsidRPr="002D44E0">
        <w:rPr>
          <w:rFonts w:cs="Arial"/>
          <w:color w:val="000000"/>
        </w:rPr>
        <w:t>EPA-HQ-OPA-2007-0584</w:t>
      </w:r>
      <w:r w:rsidR="00D85665" w:rsidRPr="002D44E0">
        <w:rPr>
          <w:rFonts w:cs="Arial"/>
          <w:color w:val="000000"/>
        </w:rPr>
        <w:t xml:space="preserve">], which is available for online viewing at </w:t>
      </w:r>
      <w:hyperlink r:id="rId11" w:history="1">
        <w:r w:rsidR="00D85665" w:rsidRPr="002D44E0">
          <w:rPr>
            <w:rFonts w:cs="Arial"/>
            <w:color w:val="000000"/>
          </w:rPr>
          <w:t>www.regulations.gov</w:t>
        </w:r>
      </w:hyperlink>
      <w:r w:rsidR="00D85665" w:rsidRPr="002D44E0">
        <w:rPr>
          <w:rFonts w:cs="Arial"/>
          <w:color w:val="000000"/>
        </w:rPr>
        <w:t xml:space="preserve">, or in person viewing at the Superfund Docket in the EPA Docket Center (EPA/DC), EPA West, Room </w:t>
      </w:r>
      <w:r w:rsidR="003F3E1A">
        <w:rPr>
          <w:rFonts w:cs="Arial"/>
          <w:color w:val="000000"/>
        </w:rPr>
        <w:t>3334</w:t>
      </w:r>
      <w:r w:rsidR="00D85665" w:rsidRPr="002D44E0">
        <w:rPr>
          <w:rFonts w:cs="Arial"/>
          <w:color w:val="000000"/>
        </w:rPr>
        <w:t>, 1301 Constitution Avenue, NW, Washington, D.C.  The EPA Docket Center Public Reading Room is open from 8:30 a.m. to 4:30 p.m., Monday through Friday, excluding legal holidays.</w:t>
      </w:r>
      <w:r w:rsidR="00233120">
        <w:rPr>
          <w:rFonts w:cs="Arial"/>
          <w:color w:val="000000"/>
        </w:rPr>
        <w:t xml:space="preserve"> </w:t>
      </w:r>
      <w:r w:rsidR="00D85665" w:rsidRPr="002D44E0">
        <w:rPr>
          <w:rFonts w:cs="Arial"/>
          <w:color w:val="000000"/>
        </w:rPr>
        <w:t xml:space="preserve">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comments can be sent to the Office of Information and Regulatory Affairs, Office of Management and Budget, </w:t>
      </w:r>
      <w:smartTag w:uri="urn:schemas-microsoft-com:office:smarttags" w:element="address">
        <w:smartTag w:uri="urn:schemas-microsoft-com:office:smarttags" w:element="Street">
          <w:r w:rsidR="00D85665" w:rsidRPr="002D44E0">
            <w:rPr>
              <w:rFonts w:cs="Arial"/>
              <w:color w:val="000000"/>
            </w:rPr>
            <w:t>725 17th Street, NW</w:t>
          </w:r>
        </w:smartTag>
        <w:r w:rsidR="00D85665" w:rsidRPr="002D44E0">
          <w:rPr>
            <w:rFonts w:cs="Arial"/>
            <w:color w:val="000000"/>
          </w:rPr>
          <w:t xml:space="preserve">, </w:t>
        </w:r>
        <w:smartTag w:uri="urn:schemas-microsoft-com:office:smarttags" w:element="City">
          <w:r w:rsidR="00D85665" w:rsidRPr="002D44E0">
            <w:rPr>
              <w:rFonts w:cs="Arial"/>
              <w:color w:val="000000"/>
            </w:rPr>
            <w:t>Washington</w:t>
          </w:r>
        </w:smartTag>
        <w:r w:rsidR="00D85665" w:rsidRPr="002D44E0">
          <w:rPr>
            <w:rFonts w:cs="Arial"/>
            <w:color w:val="000000"/>
          </w:rPr>
          <w:t xml:space="preserve">, </w:t>
        </w:r>
        <w:smartTag w:uri="urn:schemas-microsoft-com:office:smarttags" w:element="State">
          <w:r w:rsidR="00D85665" w:rsidRPr="002D44E0">
            <w:rPr>
              <w:rFonts w:cs="Arial"/>
              <w:color w:val="000000"/>
            </w:rPr>
            <w:t>D.C.</w:t>
          </w:r>
        </w:smartTag>
        <w:r w:rsidR="00D85665" w:rsidRPr="002D44E0">
          <w:rPr>
            <w:rFonts w:cs="Arial"/>
            <w:color w:val="000000"/>
          </w:rPr>
          <w:t xml:space="preserve"> </w:t>
        </w:r>
        <w:smartTag w:uri="urn:schemas-microsoft-com:office:smarttags" w:element="PostalCode">
          <w:r w:rsidR="00D85665" w:rsidRPr="002D44E0">
            <w:rPr>
              <w:rFonts w:cs="Arial"/>
              <w:color w:val="000000"/>
            </w:rPr>
            <w:t>20503</w:t>
          </w:r>
        </w:smartTag>
      </w:smartTag>
      <w:r w:rsidR="00D85665" w:rsidRPr="002D44E0">
        <w:rPr>
          <w:rFonts w:cs="Arial"/>
          <w:color w:val="000000"/>
        </w:rPr>
        <w:t xml:space="preserve">, Attention: Desk Officer for EPA.  Please include the EPA Docket ID Number </w:t>
      </w:r>
      <w:r w:rsidR="002D44E0" w:rsidRPr="002D44E0">
        <w:rPr>
          <w:rFonts w:cs="Arial"/>
          <w:color w:val="000000"/>
        </w:rPr>
        <w:t>[EPA-HQ-OPA-2007-0584</w:t>
      </w:r>
      <w:r w:rsidR="002D44E0">
        <w:rPr>
          <w:rFonts w:cs="Arial"/>
          <w:color w:val="000000"/>
        </w:rPr>
        <w:t xml:space="preserve">] </w:t>
      </w:r>
      <w:r w:rsidR="00D85665" w:rsidRPr="002D44E0">
        <w:rPr>
          <w:rFonts w:cs="Arial"/>
          <w:color w:val="000000"/>
        </w:rPr>
        <w:t>and OMB Control Number 2050-0021 in any correspondence.</w:t>
      </w:r>
    </w:p>
    <w:sectPr w:rsidR="008E44F1" w:rsidRPr="00F75A7A" w:rsidSect="008E44F1">
      <w:footerReference w:type="default" r:id="rId12"/>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A37" w:rsidRDefault="00402A37">
      <w:r>
        <w:separator/>
      </w:r>
    </w:p>
  </w:endnote>
  <w:endnote w:type="continuationSeparator" w:id="0">
    <w:p w:rsidR="00402A37" w:rsidRDefault="00402A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ONPKG B+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GNLG J+ Melior">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A00002BF" w:usb1="68C7FCFB" w:usb2="00000010" w:usb3="00000000" w:csb0="0002009F" w:csb1="00000000"/>
  </w:font>
  <w:font w:name="BILLF G+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A3" w:rsidRDefault="002348E6">
    <w:pPr>
      <w:pStyle w:val="Footer"/>
      <w:framePr w:wrap="around" w:vAnchor="text" w:hAnchor="margin" w:xAlign="center" w:y="1"/>
      <w:rPr>
        <w:rStyle w:val="PageNumber"/>
      </w:rPr>
    </w:pPr>
    <w:r>
      <w:rPr>
        <w:rStyle w:val="PageNumber"/>
      </w:rPr>
      <w:fldChar w:fldCharType="begin"/>
    </w:r>
    <w:r w:rsidR="006C25A3">
      <w:rPr>
        <w:rStyle w:val="PageNumber"/>
      </w:rPr>
      <w:instrText xml:space="preserve">PAGE  </w:instrText>
    </w:r>
    <w:r>
      <w:rPr>
        <w:rStyle w:val="PageNumber"/>
      </w:rPr>
      <w:fldChar w:fldCharType="end"/>
    </w:r>
  </w:p>
  <w:p w:rsidR="006C25A3" w:rsidRDefault="006C2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A3" w:rsidRDefault="002348E6">
    <w:pPr>
      <w:pStyle w:val="Footer"/>
      <w:framePr w:wrap="around" w:vAnchor="text" w:hAnchor="margin" w:xAlign="center" w:y="1"/>
      <w:rPr>
        <w:rStyle w:val="PageNumber"/>
        <w:sz w:val="20"/>
      </w:rPr>
    </w:pPr>
    <w:r>
      <w:rPr>
        <w:rStyle w:val="PageNumber"/>
        <w:sz w:val="20"/>
      </w:rPr>
      <w:fldChar w:fldCharType="begin"/>
    </w:r>
    <w:r w:rsidR="006C25A3">
      <w:rPr>
        <w:rStyle w:val="PageNumber"/>
        <w:sz w:val="20"/>
      </w:rPr>
      <w:instrText xml:space="preserve">PAGE  </w:instrText>
    </w:r>
    <w:r>
      <w:rPr>
        <w:rStyle w:val="PageNumber"/>
        <w:sz w:val="20"/>
      </w:rPr>
      <w:fldChar w:fldCharType="separate"/>
    </w:r>
    <w:r w:rsidR="003B2303">
      <w:rPr>
        <w:rStyle w:val="PageNumber"/>
        <w:noProof/>
        <w:sz w:val="20"/>
      </w:rPr>
      <w:t>1</w:t>
    </w:r>
    <w:r>
      <w:rPr>
        <w:rStyle w:val="PageNumber"/>
        <w:sz w:val="20"/>
      </w:rPr>
      <w:fldChar w:fldCharType="end"/>
    </w:r>
  </w:p>
  <w:p w:rsidR="006C25A3" w:rsidRDefault="002348E6">
    <w:pPr>
      <w:pStyle w:val="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7.6pt;height:203pt;rotation:315;z-index:-251658752;mso-position-horizontal:center;mso-position-horizontal-relative:margin;mso-position-vertical:center;mso-position-vertical-relative:margin" fillcolor="#e6e6e6" stroked="f">
          <v:textpath style="font-family:&quot;Times New Roman&quot;;font-size:1pt" string="DRAFT"/>
          <o:lock v:ext="edit" text="f"/>
          <w10:wrap anchorx="margin" anchory="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A3" w:rsidRPr="0025374A" w:rsidRDefault="002348E6" w:rsidP="008E44F1">
    <w:pPr>
      <w:pStyle w:val="Footer"/>
      <w:framePr w:wrap="around" w:vAnchor="text" w:hAnchor="margin" w:xAlign="center" w:y="1"/>
      <w:rPr>
        <w:rStyle w:val="PageNumber"/>
        <w:rFonts w:cs="Arial"/>
        <w:b/>
        <w:sz w:val="16"/>
        <w:szCs w:val="16"/>
      </w:rPr>
    </w:pPr>
    <w:r w:rsidRPr="0025374A">
      <w:rPr>
        <w:rStyle w:val="PageNumber"/>
        <w:rFonts w:cs="Arial"/>
        <w:b/>
        <w:sz w:val="16"/>
        <w:szCs w:val="16"/>
      </w:rPr>
      <w:fldChar w:fldCharType="begin"/>
    </w:r>
    <w:r w:rsidR="006C25A3" w:rsidRPr="0025374A">
      <w:rPr>
        <w:rStyle w:val="PageNumber"/>
        <w:rFonts w:cs="Arial"/>
        <w:b/>
        <w:sz w:val="16"/>
        <w:szCs w:val="16"/>
      </w:rPr>
      <w:instrText xml:space="preserve">PAGE  </w:instrText>
    </w:r>
    <w:r w:rsidRPr="0025374A">
      <w:rPr>
        <w:rStyle w:val="PageNumber"/>
        <w:rFonts w:cs="Arial"/>
        <w:b/>
        <w:sz w:val="16"/>
        <w:szCs w:val="16"/>
      </w:rPr>
      <w:fldChar w:fldCharType="separate"/>
    </w:r>
    <w:r w:rsidR="003B2303">
      <w:rPr>
        <w:rStyle w:val="PageNumber"/>
        <w:rFonts w:cs="Arial"/>
        <w:b/>
        <w:noProof/>
        <w:sz w:val="16"/>
        <w:szCs w:val="16"/>
      </w:rPr>
      <w:t>46</w:t>
    </w:r>
    <w:r w:rsidRPr="0025374A">
      <w:rPr>
        <w:rStyle w:val="PageNumber"/>
        <w:rFonts w:cs="Arial"/>
        <w:b/>
        <w:sz w:val="16"/>
        <w:szCs w:val="16"/>
      </w:rPr>
      <w:fldChar w:fldCharType="end"/>
    </w:r>
  </w:p>
  <w:p w:rsidR="006C25A3" w:rsidRPr="0090696E" w:rsidRDefault="006C25A3" w:rsidP="008E44F1">
    <w:pPr>
      <w:pStyle w:val="Footer"/>
      <w:tabs>
        <w:tab w:val="left" w:pos="5760"/>
      </w:tabs>
      <w:rPr>
        <w:rFonts w:cs="Arial"/>
        <w:b/>
        <w:bCs/>
        <w:sz w:val="16"/>
      </w:rPr>
    </w:pPr>
    <w:r>
      <w:rPr>
        <w:rFonts w:cs="Arial"/>
        <w:b/>
        <w:bCs/>
        <w:sz w:val="16"/>
      </w:rPr>
      <w:tab/>
      <w:t xml:space="preserve">           </w:t>
    </w:r>
    <w:r>
      <w:rPr>
        <w:rFonts w:cs="Arial"/>
        <w:b/>
        <w:bCs/>
        <w:sz w:val="16"/>
      </w:rPr>
      <w:tab/>
    </w:r>
    <w:r>
      <w:rPr>
        <w:rFonts w:cs="Arial"/>
        <w:b/>
        <w:bCs/>
        <w:sz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A37" w:rsidRDefault="00402A37">
      <w:r>
        <w:separator/>
      </w:r>
    </w:p>
  </w:footnote>
  <w:footnote w:type="continuationSeparator" w:id="0">
    <w:p w:rsidR="00402A37" w:rsidRDefault="00402A37">
      <w:r>
        <w:continuationSeparator/>
      </w:r>
    </w:p>
  </w:footnote>
  <w:footnote w:id="1">
    <w:p w:rsidR="006C25A3" w:rsidRPr="00CD3D0E" w:rsidRDefault="006C25A3" w:rsidP="0044290A">
      <w:pPr>
        <w:pStyle w:val="FootnoteText"/>
        <w:rPr>
          <w:sz w:val="18"/>
          <w:szCs w:val="18"/>
        </w:rPr>
      </w:pPr>
      <w:r w:rsidRPr="00CD3D0E">
        <w:rPr>
          <w:rStyle w:val="FootnoteReference"/>
          <w:sz w:val="18"/>
          <w:szCs w:val="18"/>
        </w:rPr>
        <w:footnoteRef/>
      </w:r>
      <w:r w:rsidRPr="00CD3D0E">
        <w:rPr>
          <w:sz w:val="18"/>
          <w:szCs w:val="18"/>
        </w:rPr>
        <w:t xml:space="preserve"> While </w:t>
      </w:r>
      <w:r>
        <w:rPr>
          <w:sz w:val="18"/>
          <w:szCs w:val="18"/>
        </w:rPr>
        <w:t>new</w:t>
      </w:r>
      <w:r w:rsidRPr="00CD3D0E">
        <w:rPr>
          <w:sz w:val="18"/>
          <w:szCs w:val="18"/>
        </w:rPr>
        <w:t xml:space="preserve"> facilities will incur significant paperwork-related burden by taking certain actions in the first year of the ICR (e.g., new facilities will prepare an SPCC Plan), </w:t>
      </w:r>
      <w:r>
        <w:rPr>
          <w:sz w:val="18"/>
          <w:szCs w:val="18"/>
        </w:rPr>
        <w:t>existing</w:t>
      </w:r>
      <w:r w:rsidRPr="00CD3D0E">
        <w:rPr>
          <w:sz w:val="18"/>
          <w:szCs w:val="18"/>
        </w:rPr>
        <w:t xml:space="preserve"> facilities may not need to take any action except for maintaining records.</w:t>
      </w:r>
      <w:r>
        <w:rPr>
          <w:sz w:val="18"/>
          <w:szCs w:val="18"/>
        </w:rPr>
        <w:tab/>
      </w:r>
    </w:p>
  </w:footnote>
  <w:footnote w:id="2">
    <w:p w:rsidR="006C25A3" w:rsidRPr="00C90242" w:rsidRDefault="006C25A3" w:rsidP="00771D1E">
      <w:pPr>
        <w:pStyle w:val="FootnoteText"/>
        <w:keepNext/>
        <w:keepLines/>
        <w:rPr>
          <w:rFonts w:cs="Arial"/>
          <w:sz w:val="18"/>
          <w:szCs w:val="18"/>
        </w:rPr>
      </w:pPr>
      <w:r w:rsidRPr="00C90242">
        <w:rPr>
          <w:rStyle w:val="FootnoteReference"/>
          <w:sz w:val="18"/>
          <w:szCs w:val="18"/>
        </w:rPr>
        <w:footnoteRef/>
      </w:r>
      <w:r w:rsidRPr="00C90242">
        <w:rPr>
          <w:rFonts w:cs="Arial"/>
          <w:sz w:val="18"/>
          <w:szCs w:val="18"/>
        </w:rPr>
        <w:t xml:space="preserve"> 33 U.S.C. 1321(j)(1)(C).</w:t>
      </w:r>
    </w:p>
  </w:footnote>
  <w:footnote w:id="3">
    <w:p w:rsidR="006C25A3" w:rsidRPr="00854FC2" w:rsidRDefault="006C25A3" w:rsidP="00771D1E">
      <w:pPr>
        <w:pStyle w:val="FootnoteText"/>
        <w:keepNext/>
        <w:keepLines/>
        <w:rPr>
          <w:rFonts w:cs="Arial"/>
          <w:sz w:val="18"/>
        </w:rPr>
      </w:pPr>
      <w:r w:rsidRPr="00C90242">
        <w:rPr>
          <w:rStyle w:val="FootnoteReference"/>
          <w:sz w:val="18"/>
          <w:szCs w:val="18"/>
        </w:rPr>
        <w:footnoteRef/>
      </w:r>
      <w:r w:rsidRPr="00C90242">
        <w:rPr>
          <w:rFonts w:cs="Arial"/>
          <w:sz w:val="18"/>
          <w:szCs w:val="18"/>
        </w:rPr>
        <w:t xml:space="preserve"> 56 FR 54757 (October 22, 1991), superseding Executive Order 11735, 38 FR 21243.</w:t>
      </w:r>
    </w:p>
  </w:footnote>
  <w:footnote w:id="4">
    <w:p w:rsidR="006C25A3" w:rsidRDefault="006C25A3" w:rsidP="004376C1">
      <w:pPr>
        <w:pStyle w:val="FootnoteText"/>
      </w:pPr>
      <w:r>
        <w:rPr>
          <w:rStyle w:val="FootnoteReference"/>
        </w:rPr>
        <w:footnoteRef/>
      </w:r>
      <w:r>
        <w:t xml:space="preserve"> The extension applied to all facilities except </w:t>
      </w:r>
      <w:r w:rsidRPr="004376C1">
        <w:t>drilling, production or</w:t>
      </w:r>
      <w:r>
        <w:t xml:space="preserve"> </w:t>
      </w:r>
      <w:r w:rsidRPr="004376C1">
        <w:t>workover facilities that are offshore or</w:t>
      </w:r>
      <w:r>
        <w:t xml:space="preserve"> </w:t>
      </w:r>
      <w:r w:rsidRPr="004376C1">
        <w:t>that have an offshore component, or onshore facilities required to have and</w:t>
      </w:r>
      <w:r>
        <w:t xml:space="preserve"> </w:t>
      </w:r>
      <w:r w:rsidRPr="004376C1">
        <w:t>submit Facility Response Plans (FRPs)</w:t>
      </w:r>
      <w:r>
        <w:t>.</w:t>
      </w:r>
    </w:p>
  </w:footnote>
  <w:footnote w:id="5">
    <w:p w:rsidR="006C25A3" w:rsidRDefault="006C25A3">
      <w:pPr>
        <w:pStyle w:val="FootnoteText"/>
      </w:pPr>
      <w:r>
        <w:rPr>
          <w:rStyle w:val="FootnoteReference"/>
        </w:rPr>
        <w:footnoteRef/>
      </w:r>
      <w:r>
        <w:t xml:space="preserve">  Note </w:t>
      </w:r>
      <w:r w:rsidRPr="00121D48">
        <w:t xml:space="preserve">that the secondary containment requirements of </w:t>
      </w:r>
      <w:r w:rsidRPr="00121D48">
        <w:rPr>
          <w:rFonts w:cs="Arial"/>
        </w:rPr>
        <w:t>§112.7(c) still apply to these containers.</w:t>
      </w:r>
    </w:p>
  </w:footnote>
  <w:footnote w:id="6">
    <w:p w:rsidR="006C25A3" w:rsidRPr="009C3332" w:rsidRDefault="006C25A3" w:rsidP="009C3332">
      <w:pPr>
        <w:pStyle w:val="Bullet"/>
        <w:numPr>
          <w:ilvl w:val="0"/>
          <w:numId w:val="0"/>
        </w:numPr>
        <w:rPr>
          <w:sz w:val="18"/>
          <w:szCs w:val="18"/>
        </w:rPr>
      </w:pPr>
      <w:r w:rsidRPr="009C3332">
        <w:rPr>
          <w:rStyle w:val="FootnoteReference"/>
          <w:sz w:val="18"/>
          <w:szCs w:val="18"/>
        </w:rPr>
        <w:footnoteRef/>
      </w:r>
      <w:r w:rsidRPr="009C3332">
        <w:rPr>
          <w:sz w:val="18"/>
          <w:szCs w:val="18"/>
        </w:rPr>
        <w:t xml:space="preserve"> In the November 2009 amendments, EPA allowed owners and operators of new oil production facilities a period of six months to prepare and implement an SPCC Plan.</w:t>
      </w:r>
      <w:r w:rsidRPr="009C3332" w:rsidDel="00784D09">
        <w:rPr>
          <w:sz w:val="18"/>
          <w:szCs w:val="18"/>
        </w:rPr>
        <w:t xml:space="preserve"> </w:t>
      </w:r>
    </w:p>
    <w:p w:rsidR="006C25A3" w:rsidRDefault="006C25A3">
      <w:pPr>
        <w:pStyle w:val="FootnoteText"/>
      </w:pPr>
    </w:p>
  </w:footnote>
  <w:footnote w:id="7">
    <w:p w:rsidR="006C25A3" w:rsidRPr="00EB0AA6" w:rsidRDefault="006C25A3" w:rsidP="00771D1E">
      <w:pPr>
        <w:pStyle w:val="FootnoteText"/>
        <w:keepNext/>
        <w:keepLines/>
        <w:rPr>
          <w:sz w:val="18"/>
          <w:szCs w:val="18"/>
        </w:rPr>
      </w:pPr>
      <w:r w:rsidRPr="00EB0AA6">
        <w:rPr>
          <w:rStyle w:val="FootnoteReference"/>
          <w:sz w:val="18"/>
          <w:szCs w:val="18"/>
        </w:rPr>
        <w:footnoteRef/>
      </w:r>
      <w:r w:rsidRPr="00EB0AA6">
        <w:rPr>
          <w:sz w:val="18"/>
          <w:szCs w:val="18"/>
        </w:rPr>
        <w:t xml:space="preserve"> </w:t>
      </w:r>
      <w:r w:rsidRPr="00EB0AA6">
        <w:rPr>
          <w:rFonts w:cs="Arial"/>
          <w:sz w:val="18"/>
          <w:szCs w:val="18"/>
        </w:rPr>
        <w:t>For the purposes of this ICR, EPA assumes that no facilities will require section-specific certification by a PE.</w:t>
      </w:r>
    </w:p>
  </w:footnote>
  <w:footnote w:id="8">
    <w:p w:rsidR="006C25A3" w:rsidRPr="00827B43" w:rsidRDefault="006C25A3" w:rsidP="00771D1E">
      <w:pPr>
        <w:pStyle w:val="FootnoteText"/>
        <w:keepNext/>
        <w:keepLines/>
        <w:rPr>
          <w:sz w:val="18"/>
          <w:szCs w:val="18"/>
        </w:rPr>
      </w:pPr>
      <w:r w:rsidRPr="00827B43">
        <w:rPr>
          <w:rStyle w:val="FootnoteReference"/>
          <w:sz w:val="18"/>
          <w:szCs w:val="18"/>
        </w:rPr>
        <w:footnoteRef/>
      </w:r>
      <w:r w:rsidRPr="00827B43">
        <w:rPr>
          <w:sz w:val="18"/>
          <w:szCs w:val="18"/>
        </w:rPr>
        <w:t xml:space="preserve"> SCS Engineers</w:t>
      </w:r>
      <w:r>
        <w:rPr>
          <w:sz w:val="18"/>
          <w:szCs w:val="18"/>
        </w:rPr>
        <w:t xml:space="preserve"> adjusted with the June 2012 Bureau of Labor Statistics wage rates</w:t>
      </w:r>
      <w:r w:rsidRPr="00827B43">
        <w:rPr>
          <w:sz w:val="18"/>
          <w:szCs w:val="18"/>
        </w:rPr>
        <w:t>.</w:t>
      </w:r>
    </w:p>
  </w:footnote>
  <w:footnote w:id="9">
    <w:p w:rsidR="006C25A3" w:rsidRPr="00827B43" w:rsidRDefault="006C25A3" w:rsidP="00771D1E">
      <w:pPr>
        <w:pStyle w:val="FootnoteText"/>
        <w:keepNext/>
        <w:keepLines/>
        <w:rPr>
          <w:rFonts w:cs="Arial"/>
          <w:sz w:val="18"/>
          <w:szCs w:val="18"/>
        </w:rPr>
      </w:pPr>
      <w:r w:rsidRPr="00827B43">
        <w:rPr>
          <w:rStyle w:val="FootnoteReference"/>
          <w:sz w:val="18"/>
          <w:szCs w:val="18"/>
        </w:rPr>
        <w:footnoteRef/>
      </w:r>
      <w:r w:rsidRPr="00827B43">
        <w:rPr>
          <w:rFonts w:cs="Arial"/>
          <w:sz w:val="18"/>
          <w:szCs w:val="18"/>
        </w:rPr>
        <w:t xml:space="preserve"> </w:t>
      </w:r>
      <w:r w:rsidRPr="00827B43">
        <w:rPr>
          <w:sz w:val="18"/>
          <w:szCs w:val="18"/>
        </w:rPr>
        <w:t>United States Department of Labor, Bureau of Labor Statistics, Employer Costs for Employee Compensation,</w:t>
      </w:r>
      <w:r>
        <w:rPr>
          <w:sz w:val="18"/>
          <w:szCs w:val="18"/>
        </w:rPr>
        <w:t xml:space="preserve"> September 2012</w:t>
      </w:r>
      <w:r w:rsidRPr="00827B43">
        <w:rPr>
          <w:sz w:val="18"/>
          <w:szCs w:val="18"/>
        </w:rPr>
        <w:t>. BLS wage rates reported for June 20</w:t>
      </w:r>
      <w:r>
        <w:rPr>
          <w:sz w:val="18"/>
          <w:szCs w:val="18"/>
        </w:rPr>
        <w:t>12</w:t>
      </w:r>
      <w:r w:rsidRPr="00827B43">
        <w:rPr>
          <w:sz w:val="18"/>
          <w:szCs w:val="18"/>
        </w:rPr>
        <w:t xml:space="preserve"> are final.</w:t>
      </w:r>
    </w:p>
  </w:footnote>
  <w:footnote w:id="10">
    <w:p w:rsidR="006C25A3" w:rsidRPr="00827B43" w:rsidRDefault="006C25A3" w:rsidP="00771D1E">
      <w:pPr>
        <w:pStyle w:val="FootnoteText"/>
        <w:keepNext/>
        <w:keepLines/>
        <w:rPr>
          <w:rFonts w:cs="Arial"/>
          <w:sz w:val="18"/>
          <w:szCs w:val="18"/>
        </w:rPr>
      </w:pPr>
      <w:r w:rsidRPr="00827B43">
        <w:rPr>
          <w:rStyle w:val="FootnoteReference"/>
          <w:sz w:val="18"/>
          <w:szCs w:val="18"/>
        </w:rPr>
        <w:footnoteRef/>
      </w:r>
      <w:r w:rsidRPr="00827B43">
        <w:rPr>
          <w:rFonts w:cs="Arial"/>
          <w:sz w:val="18"/>
          <w:szCs w:val="18"/>
        </w:rPr>
        <w:t xml:space="preserve"> </w:t>
      </w:r>
      <w:r w:rsidRPr="00827B43">
        <w:rPr>
          <w:sz w:val="18"/>
          <w:szCs w:val="18"/>
        </w:rPr>
        <w:t>Overhead costs were computed separately from BLS data and were assumed to be an additional 17 percent of the total wage rate, which is composed of direct wages and salaries and employee benefits, as reported by BLS.</w:t>
      </w:r>
    </w:p>
    <w:p w:rsidR="006C25A3" w:rsidRPr="00854FC2" w:rsidRDefault="006C25A3" w:rsidP="00771D1E">
      <w:pPr>
        <w:pStyle w:val="FootnoteText"/>
        <w:keepNext/>
        <w:keepLines/>
        <w:rPr>
          <w:rFonts w:cs="Arial"/>
          <w:sz w:val="18"/>
        </w:rPr>
      </w:pPr>
    </w:p>
  </w:footnote>
  <w:footnote w:id="11">
    <w:p w:rsidR="006C25A3" w:rsidRPr="00B33492" w:rsidRDefault="006C25A3" w:rsidP="00771D1E">
      <w:pPr>
        <w:pStyle w:val="FootnoteText"/>
        <w:keepNext/>
        <w:keepLines/>
        <w:rPr>
          <w:sz w:val="18"/>
          <w:szCs w:val="18"/>
        </w:rPr>
      </w:pPr>
      <w:r w:rsidRPr="00B33492">
        <w:rPr>
          <w:rStyle w:val="FootnoteReference"/>
          <w:sz w:val="18"/>
          <w:szCs w:val="18"/>
        </w:rPr>
        <w:footnoteRef/>
      </w:r>
      <w:r w:rsidRPr="00B33492">
        <w:rPr>
          <w:sz w:val="18"/>
          <w:szCs w:val="18"/>
        </w:rPr>
        <w:t xml:space="preserve"> Source: SCS Engineers, a professional engineering firm</w:t>
      </w:r>
      <w:r>
        <w:rPr>
          <w:sz w:val="18"/>
          <w:szCs w:val="18"/>
        </w:rPr>
        <w:t xml:space="preserve"> adjusted with BLS wage rates for June 2012 published September 2012</w:t>
      </w:r>
      <w:r w:rsidRPr="00B33492">
        <w:rPr>
          <w:sz w:val="18"/>
          <w:szCs w:val="18"/>
        </w:rPr>
        <w:t>.</w:t>
      </w:r>
    </w:p>
  </w:footnote>
  <w:footnote w:id="12">
    <w:p w:rsidR="006C25A3" w:rsidRPr="00854FC2" w:rsidRDefault="006C25A3" w:rsidP="00771D1E">
      <w:pPr>
        <w:pStyle w:val="FootnoteText"/>
        <w:keepNext/>
        <w:keepLines/>
      </w:pPr>
      <w:r w:rsidRPr="00854FC2">
        <w:rPr>
          <w:rStyle w:val="FootnoteReference"/>
          <w:sz w:val="18"/>
        </w:rPr>
        <w:footnoteRef/>
      </w:r>
      <w:r w:rsidRPr="00854FC2">
        <w:rPr>
          <w:sz w:val="18"/>
        </w:rPr>
        <w:t xml:space="preserve"> Information Collection Request for the final rule to amend the oil pollution prevention regulation (40 CFR part 112), May 2002.</w:t>
      </w:r>
    </w:p>
  </w:footnote>
  <w:footnote w:id="13">
    <w:p w:rsidR="006C25A3" w:rsidRPr="00854FC2" w:rsidRDefault="006C25A3" w:rsidP="00771D1E">
      <w:pPr>
        <w:pStyle w:val="FootnoteText"/>
        <w:keepNext/>
        <w:keepLines/>
        <w:rPr>
          <w:rFonts w:cs="Arial"/>
          <w:sz w:val="18"/>
        </w:rPr>
      </w:pPr>
      <w:r w:rsidRPr="00854FC2">
        <w:rPr>
          <w:rStyle w:val="FootnoteReference"/>
        </w:rPr>
        <w:footnoteRef/>
      </w:r>
      <w:r w:rsidRPr="00854FC2">
        <w:rPr>
          <w:rFonts w:cs="Arial"/>
        </w:rPr>
        <w:t xml:space="preserve"> </w:t>
      </w:r>
      <w:r w:rsidRPr="00854FC2">
        <w:rPr>
          <w:rFonts w:cs="Arial"/>
          <w:sz w:val="18"/>
        </w:rPr>
        <w:t>U.S. Environmental Protection Agency,</w:t>
      </w:r>
      <w:r>
        <w:rPr>
          <w:rFonts w:cs="Arial"/>
          <w:sz w:val="18"/>
        </w:rPr>
        <w:t xml:space="preserve"> “</w:t>
      </w:r>
      <w:r w:rsidRPr="00854FC2">
        <w:rPr>
          <w:rFonts w:cs="Arial"/>
          <w:sz w:val="18"/>
        </w:rPr>
        <w:t>Economic</w:t>
      </w:r>
      <w:r>
        <w:rPr>
          <w:rFonts w:cs="Arial"/>
          <w:sz w:val="18"/>
        </w:rPr>
        <w:t xml:space="preserve"> </w:t>
      </w:r>
      <w:r w:rsidRPr="00854FC2">
        <w:rPr>
          <w:rFonts w:cs="Arial"/>
          <w:sz w:val="18"/>
        </w:rPr>
        <w:t>Analysis</w:t>
      </w:r>
      <w:r>
        <w:rPr>
          <w:rFonts w:cs="Arial"/>
          <w:sz w:val="18"/>
        </w:rPr>
        <w:t xml:space="preserve"> f</w:t>
      </w:r>
      <w:r w:rsidRPr="00854FC2">
        <w:rPr>
          <w:rFonts w:cs="Arial"/>
          <w:sz w:val="18"/>
        </w:rPr>
        <w:t xml:space="preserve">or </w:t>
      </w:r>
      <w:r>
        <w:rPr>
          <w:rFonts w:cs="Arial"/>
          <w:sz w:val="18"/>
        </w:rPr>
        <w:t>t</w:t>
      </w:r>
      <w:r w:rsidRPr="00854FC2">
        <w:rPr>
          <w:rFonts w:cs="Arial"/>
          <w:sz w:val="18"/>
        </w:rPr>
        <w:t xml:space="preserve">he Final Revisions </w:t>
      </w:r>
      <w:r>
        <w:rPr>
          <w:rFonts w:cs="Arial"/>
          <w:sz w:val="18"/>
        </w:rPr>
        <w:t>t</w:t>
      </w:r>
      <w:r w:rsidRPr="00854FC2">
        <w:rPr>
          <w:rFonts w:cs="Arial"/>
          <w:sz w:val="18"/>
        </w:rPr>
        <w:t xml:space="preserve">o </w:t>
      </w:r>
      <w:r>
        <w:rPr>
          <w:rFonts w:cs="Arial"/>
          <w:sz w:val="18"/>
        </w:rPr>
        <w:t>t</w:t>
      </w:r>
      <w:r w:rsidRPr="00854FC2">
        <w:rPr>
          <w:rFonts w:cs="Arial"/>
          <w:sz w:val="18"/>
        </w:rPr>
        <w:t>he Oil Pollution Prevention Regulation (40 CFR part 112),</w:t>
      </w:r>
      <w:r>
        <w:rPr>
          <w:rFonts w:cs="Arial"/>
          <w:sz w:val="18"/>
        </w:rPr>
        <w:t>”</w:t>
      </w:r>
      <w:r w:rsidRPr="00854FC2">
        <w:rPr>
          <w:rFonts w:cs="Arial"/>
          <w:sz w:val="18"/>
        </w:rPr>
        <w:t xml:space="preserve"> </w:t>
      </w:r>
      <w:r>
        <w:rPr>
          <w:rFonts w:cs="Arial"/>
          <w:sz w:val="18"/>
        </w:rPr>
        <w:t xml:space="preserve"> </w:t>
      </w:r>
      <w:r w:rsidRPr="00854FC2">
        <w:rPr>
          <w:rFonts w:cs="Arial"/>
          <w:sz w:val="18"/>
        </w:rPr>
        <w:t>May 2002.</w:t>
      </w:r>
    </w:p>
  </w:footnote>
  <w:footnote w:id="14">
    <w:p w:rsidR="006C25A3" w:rsidRPr="00B13B43" w:rsidRDefault="006C25A3">
      <w:pPr>
        <w:pStyle w:val="FootnoteText"/>
        <w:rPr>
          <w:sz w:val="18"/>
          <w:szCs w:val="18"/>
        </w:rPr>
      </w:pPr>
      <w:r w:rsidRPr="00B13B43">
        <w:rPr>
          <w:rStyle w:val="FootnoteReference"/>
          <w:sz w:val="18"/>
          <w:szCs w:val="18"/>
        </w:rPr>
        <w:footnoteRef/>
      </w:r>
      <w:r w:rsidRPr="00B13B43">
        <w:rPr>
          <w:rFonts w:cs="Arial"/>
          <w:sz w:val="18"/>
          <w:szCs w:val="18"/>
        </w:rPr>
        <w:t xml:space="preserve">  The cost estimates </w:t>
      </w:r>
      <w:r>
        <w:rPr>
          <w:rFonts w:cs="Arial"/>
          <w:sz w:val="18"/>
          <w:szCs w:val="18"/>
        </w:rPr>
        <w:t xml:space="preserve">in the tables </w:t>
      </w:r>
      <w:r w:rsidRPr="00B13B43">
        <w:rPr>
          <w:rFonts w:cs="Arial"/>
          <w:sz w:val="18"/>
          <w:szCs w:val="18"/>
        </w:rPr>
        <w:t>present average annual costs</w:t>
      </w:r>
      <w:r>
        <w:rPr>
          <w:rFonts w:cs="Arial"/>
          <w:sz w:val="18"/>
          <w:szCs w:val="18"/>
        </w:rPr>
        <w:t xml:space="preserve"> for each facility</w:t>
      </w:r>
      <w:r w:rsidRPr="00B13B43">
        <w:rPr>
          <w:rFonts w:cs="Arial"/>
          <w:sz w:val="18"/>
          <w:szCs w:val="18"/>
        </w:rPr>
        <w:t>, e.g., the annual cost</w:t>
      </w:r>
      <w:r>
        <w:rPr>
          <w:rFonts w:cs="Arial"/>
          <w:sz w:val="18"/>
          <w:szCs w:val="18"/>
        </w:rPr>
        <w:t xml:space="preserve"> estimate</w:t>
      </w:r>
      <w:r w:rsidRPr="00B13B43">
        <w:rPr>
          <w:rFonts w:cs="Arial"/>
          <w:sz w:val="18"/>
          <w:szCs w:val="18"/>
        </w:rPr>
        <w:t xml:space="preserve"> </w:t>
      </w:r>
      <w:r>
        <w:rPr>
          <w:rFonts w:cs="Arial"/>
          <w:sz w:val="18"/>
          <w:szCs w:val="18"/>
        </w:rPr>
        <w:t xml:space="preserve">for </w:t>
      </w:r>
      <w:r w:rsidRPr="00B13B43">
        <w:rPr>
          <w:rFonts w:cs="Arial"/>
          <w:sz w:val="18"/>
          <w:szCs w:val="18"/>
        </w:rPr>
        <w:t xml:space="preserve">Plan review represents the total cost </w:t>
      </w:r>
      <w:r>
        <w:rPr>
          <w:rFonts w:cs="Arial"/>
          <w:sz w:val="18"/>
          <w:szCs w:val="18"/>
        </w:rPr>
        <w:t xml:space="preserve">for </w:t>
      </w:r>
      <w:r w:rsidRPr="00B13B43">
        <w:rPr>
          <w:rFonts w:cs="Arial"/>
          <w:sz w:val="18"/>
          <w:szCs w:val="18"/>
        </w:rPr>
        <w:t xml:space="preserve">Plan review divided by five.  </w:t>
      </w:r>
    </w:p>
  </w:footnote>
  <w:footnote w:id="15">
    <w:p w:rsidR="006C25A3" w:rsidRPr="002F6BA0" w:rsidRDefault="006C25A3" w:rsidP="00771D1E">
      <w:pPr>
        <w:pStyle w:val="FootnoteText"/>
        <w:keepNext/>
        <w:keepLines/>
        <w:rPr>
          <w:sz w:val="18"/>
          <w:szCs w:val="18"/>
        </w:rPr>
      </w:pPr>
      <w:r w:rsidRPr="002F6BA0">
        <w:rPr>
          <w:rStyle w:val="FootnoteReference"/>
          <w:sz w:val="18"/>
          <w:szCs w:val="18"/>
        </w:rPr>
        <w:footnoteRef/>
      </w:r>
      <w:r w:rsidRPr="002F6BA0">
        <w:rPr>
          <w:rFonts w:cs="Arial"/>
          <w:sz w:val="18"/>
          <w:szCs w:val="18"/>
        </w:rPr>
        <w:t xml:space="preserve"> </w:t>
      </w:r>
      <w:r>
        <w:rPr>
          <w:rFonts w:cs="Arial"/>
          <w:sz w:val="18"/>
          <w:szCs w:val="18"/>
        </w:rPr>
        <w:t>“</w:t>
      </w:r>
      <w:r w:rsidRPr="002F6BA0">
        <w:rPr>
          <w:rFonts w:cs="Arial"/>
          <w:sz w:val="18"/>
          <w:szCs w:val="18"/>
        </w:rPr>
        <w:t>Analysis of the Number of Facilities Regulated by EPA’s SPCC Program</w:t>
      </w:r>
      <w:r>
        <w:rPr>
          <w:rFonts w:cs="Arial"/>
          <w:sz w:val="18"/>
          <w:szCs w:val="18"/>
        </w:rPr>
        <w:t>”.</w:t>
      </w:r>
      <w:r w:rsidRPr="002F6BA0">
        <w:rPr>
          <w:rFonts w:cs="Arial"/>
          <w:sz w:val="18"/>
          <w:szCs w:val="18"/>
        </w:rPr>
        <w:t xml:space="preserve"> http://www.epa.gov/oilspill/pdfs/pap_tpop.pdf.</w:t>
      </w:r>
    </w:p>
  </w:footnote>
  <w:footnote w:id="16">
    <w:p w:rsidR="006C25A3" w:rsidRPr="002F6BA0" w:rsidRDefault="006C25A3" w:rsidP="00771D1E">
      <w:pPr>
        <w:pStyle w:val="FootnoteText"/>
        <w:keepNext/>
        <w:keepLines/>
        <w:rPr>
          <w:sz w:val="18"/>
          <w:szCs w:val="18"/>
        </w:rPr>
      </w:pPr>
      <w:r w:rsidRPr="002F6BA0">
        <w:rPr>
          <w:rStyle w:val="FootnoteReference"/>
          <w:sz w:val="18"/>
          <w:szCs w:val="18"/>
        </w:rPr>
        <w:footnoteRef/>
      </w:r>
      <w:r w:rsidRPr="002F6BA0">
        <w:rPr>
          <w:sz w:val="18"/>
          <w:szCs w:val="18"/>
        </w:rPr>
        <w:t xml:space="preserve"> </w:t>
      </w:r>
      <w:r w:rsidRPr="002F6BA0">
        <w:rPr>
          <w:rFonts w:cs="Arial"/>
          <w:sz w:val="18"/>
          <w:szCs w:val="18"/>
        </w:rPr>
        <w:t>For details, see the regulatory impact analysis for the 2006 final rule (“Regulatory Impact Analysis of Revisions to the Oil Pollution Prevention Regulation (40 CFR 112) to Implement the Facility Response Planning Requirements of the Oil Pollution Act of 1990”)</w:t>
      </w:r>
    </w:p>
  </w:footnote>
  <w:footnote w:id="17">
    <w:p w:rsidR="006C25A3" w:rsidRPr="002F6BA0" w:rsidRDefault="006C25A3" w:rsidP="00771D1E">
      <w:pPr>
        <w:pStyle w:val="FootnoteText"/>
        <w:keepNext/>
        <w:keepLines/>
        <w:rPr>
          <w:rFonts w:cs="Arial"/>
          <w:sz w:val="18"/>
          <w:szCs w:val="18"/>
        </w:rPr>
      </w:pPr>
      <w:r w:rsidRPr="002F6BA0">
        <w:rPr>
          <w:rStyle w:val="FootnoteReference"/>
          <w:sz w:val="18"/>
          <w:szCs w:val="18"/>
        </w:rPr>
        <w:footnoteRef/>
      </w:r>
      <w:r w:rsidRPr="002F6BA0">
        <w:rPr>
          <w:sz w:val="18"/>
          <w:szCs w:val="18"/>
        </w:rPr>
        <w:t xml:space="preserve"> </w:t>
      </w:r>
      <w:r w:rsidRPr="002F6BA0">
        <w:rPr>
          <w:rFonts w:cs="Arial"/>
          <w:sz w:val="18"/>
          <w:szCs w:val="18"/>
        </w:rPr>
        <w:t>Oil storage data are not available for all states.</w:t>
      </w:r>
    </w:p>
  </w:footnote>
  <w:footnote w:id="18">
    <w:p w:rsidR="006C25A3" w:rsidRPr="002F6BA0" w:rsidRDefault="006C25A3" w:rsidP="00771D1E">
      <w:pPr>
        <w:pStyle w:val="FootnoteText"/>
        <w:keepNext/>
        <w:keepLines/>
        <w:rPr>
          <w:rFonts w:cs="Arial"/>
          <w:sz w:val="18"/>
          <w:szCs w:val="18"/>
        </w:rPr>
      </w:pPr>
      <w:r w:rsidRPr="002F6BA0">
        <w:rPr>
          <w:rStyle w:val="FootnoteReference"/>
          <w:sz w:val="18"/>
          <w:szCs w:val="18"/>
        </w:rPr>
        <w:footnoteRef/>
      </w:r>
      <w:r w:rsidRPr="002F6BA0">
        <w:rPr>
          <w:rFonts w:cs="Arial"/>
          <w:sz w:val="18"/>
          <w:szCs w:val="18"/>
        </w:rPr>
        <w:t xml:space="preserve"> </w:t>
      </w:r>
      <w:r w:rsidRPr="002F6BA0">
        <w:rPr>
          <w:sz w:val="18"/>
          <w:szCs w:val="18"/>
        </w:rPr>
        <w:t>In the matching process, the following facilities and tanks were dropped from the estimation:  facilities with less than 1,320 gallons of aggregate storage, tanks with less than 55 gallons of storage, underground tanks subject to EPA UST requirements, inactive tanks, and tanks that do not store oil substances.</w:t>
      </w:r>
    </w:p>
  </w:footnote>
  <w:footnote w:id="19">
    <w:p w:rsidR="006C25A3" w:rsidRPr="00854FC2" w:rsidRDefault="006C25A3" w:rsidP="00771D1E">
      <w:pPr>
        <w:pStyle w:val="FootnoteText"/>
        <w:keepNext/>
        <w:keepLines/>
        <w:rPr>
          <w:sz w:val="18"/>
        </w:rPr>
      </w:pPr>
      <w:r w:rsidRPr="002F6BA0">
        <w:rPr>
          <w:rStyle w:val="FootnoteReference"/>
          <w:sz w:val="18"/>
          <w:szCs w:val="18"/>
        </w:rPr>
        <w:footnoteRef/>
      </w:r>
      <w:r w:rsidRPr="002F6BA0">
        <w:rPr>
          <w:sz w:val="18"/>
          <w:szCs w:val="18"/>
        </w:rPr>
        <w:t xml:space="preserve">  The facility ratio is calculated using the eight state databases for all capacity categories except Category I.  Because the </w:t>
      </w:r>
      <w:smartTag w:uri="urn:schemas-microsoft-com:office:smarttags" w:element="State">
        <w:r w:rsidRPr="002F6BA0">
          <w:rPr>
            <w:sz w:val="18"/>
            <w:szCs w:val="18"/>
          </w:rPr>
          <w:t>Maryland</w:t>
        </w:r>
      </w:smartTag>
      <w:r w:rsidRPr="002F6BA0">
        <w:rPr>
          <w:sz w:val="18"/>
          <w:szCs w:val="18"/>
        </w:rPr>
        <w:t xml:space="preserve"> database does not include information on Category I facilities, the ratio for Category I facilities is calculated using seven state databases (excluding </w:t>
      </w:r>
      <w:smartTag w:uri="urn:schemas-microsoft-com:office:smarttags" w:element="State">
        <w:smartTag w:uri="urn:schemas-microsoft-com:office:smarttags" w:element="place">
          <w:r w:rsidRPr="002F6BA0">
            <w:rPr>
              <w:sz w:val="18"/>
              <w:szCs w:val="18"/>
            </w:rPr>
            <w:t>Maryland</w:t>
          </w:r>
        </w:smartTag>
      </w:smartTag>
      <w:r w:rsidRPr="002F6BA0">
        <w:rPr>
          <w:sz w:val="18"/>
          <w:szCs w:val="18"/>
        </w:rPr>
        <w:t>).</w:t>
      </w:r>
      <w:r w:rsidRPr="00854FC2">
        <w:rPr>
          <w:sz w:val="18"/>
        </w:rPr>
        <w:t xml:space="preserve">  </w:t>
      </w:r>
    </w:p>
  </w:footnote>
  <w:footnote w:id="20">
    <w:p w:rsidR="006C25A3" w:rsidRPr="00854FC2" w:rsidRDefault="006C25A3" w:rsidP="00771D1E">
      <w:pPr>
        <w:pStyle w:val="FootnoteText"/>
        <w:keepNext/>
        <w:keepLines/>
        <w:rPr>
          <w:sz w:val="18"/>
        </w:rPr>
      </w:pPr>
      <w:r w:rsidRPr="00854FC2">
        <w:rPr>
          <w:rStyle w:val="FootnoteReference"/>
          <w:sz w:val="18"/>
        </w:rPr>
        <w:footnoteRef/>
      </w:r>
      <w:r w:rsidRPr="00854FC2">
        <w:rPr>
          <w:sz w:val="18"/>
        </w:rPr>
        <w:t xml:space="preserve"> U.S. Energy Information Administration,</w:t>
      </w:r>
      <w:r>
        <w:rPr>
          <w:sz w:val="18"/>
        </w:rPr>
        <w:t xml:space="preserve">  </w:t>
      </w:r>
      <w:r w:rsidRPr="00854FC2">
        <w:rPr>
          <w:sz w:val="18"/>
        </w:rPr>
        <w:t xml:space="preserve">Distribution and Production of Oil and Gas Wells by State, data available from </w:t>
      </w:r>
      <w:hyperlink r:id="rId1" w:history="1">
        <w:r w:rsidRPr="00854FC2">
          <w:rPr>
            <w:sz w:val="18"/>
          </w:rPr>
          <w:t>http://www.eia.doe.gov/pub/oil_gas/petrosystem/petrosysog.html</w:t>
        </w:r>
      </w:hyperlink>
      <w:r w:rsidRPr="00854FC2">
        <w:rPr>
          <w:sz w:val="18"/>
        </w:rPr>
        <w:t>.</w:t>
      </w:r>
    </w:p>
  </w:footnote>
  <w:footnote w:id="21">
    <w:p w:rsidR="006C25A3" w:rsidRPr="00854FC2" w:rsidRDefault="006C25A3" w:rsidP="00771D1E">
      <w:pPr>
        <w:pStyle w:val="FootnoteText"/>
        <w:keepNext/>
        <w:keepLines/>
      </w:pPr>
      <w:r w:rsidRPr="00854FC2">
        <w:rPr>
          <w:sz w:val="18"/>
          <w:vertAlign w:val="superscript"/>
        </w:rPr>
        <w:footnoteRef/>
      </w:r>
      <w:r w:rsidRPr="00854FC2">
        <w:rPr>
          <w:sz w:val="18"/>
        </w:rPr>
        <w:t xml:space="preserve"> Personal communication with a Federal On-Scene Coordinator for EPA Region 6 and Mark England, Texas Railroad Commission, 2005.</w:t>
      </w:r>
    </w:p>
  </w:footnote>
  <w:footnote w:id="22">
    <w:p w:rsidR="006C25A3" w:rsidRPr="00854FC2" w:rsidRDefault="006C25A3" w:rsidP="00771D1E">
      <w:pPr>
        <w:pStyle w:val="FootnoteText"/>
        <w:keepNext/>
        <w:keepLines/>
        <w:rPr>
          <w:rFonts w:cs="Arial"/>
          <w:sz w:val="18"/>
        </w:rPr>
      </w:pPr>
      <w:r w:rsidRPr="00854FC2">
        <w:rPr>
          <w:rStyle w:val="FootnoteReference"/>
        </w:rPr>
        <w:footnoteRef/>
      </w:r>
      <w:r w:rsidRPr="00854FC2">
        <w:rPr>
          <w:rFonts w:cs="Arial"/>
          <w:sz w:val="18"/>
        </w:rPr>
        <w:t xml:space="preserve"> Major regulated utilities must file FERC Form No. 1, on which utilities report information on their substations and electrical equipment. “Major” is defined as having (1) one million megawatt hours or more; (2) 100 megawatt hours of annual sales for resale; (3) 500 megawatt hours of annual power exchange delivered; or (4) 500 megawatt hours of annual wheeling for others (deliveries plus losses).</w:t>
      </w:r>
    </w:p>
  </w:footnote>
  <w:footnote w:id="23">
    <w:p w:rsidR="006C25A3" w:rsidRDefault="006C25A3">
      <w:pPr>
        <w:pStyle w:val="FootnoteText"/>
      </w:pPr>
      <w:r>
        <w:rPr>
          <w:rStyle w:val="FootnoteReference"/>
        </w:rPr>
        <w:footnoteRef/>
      </w:r>
      <w:r>
        <w:t xml:space="preserve"> April 18, 2011 (76 FR 21652)</w:t>
      </w:r>
    </w:p>
  </w:footnote>
  <w:footnote w:id="24">
    <w:p w:rsidR="006C25A3" w:rsidRDefault="006C25A3">
      <w:pPr>
        <w:pStyle w:val="FootnoteText"/>
      </w:pPr>
      <w:r w:rsidRPr="00C35BA2">
        <w:rPr>
          <w:rStyle w:val="FootnoteReference"/>
          <w:sz w:val="18"/>
          <w:szCs w:val="18"/>
        </w:rPr>
        <w:footnoteRef/>
      </w:r>
      <w:r w:rsidRPr="00C35BA2">
        <w:rPr>
          <w:sz w:val="18"/>
          <w:szCs w:val="18"/>
        </w:rPr>
        <w:t xml:space="preserve"> OMB’s currently approved burden was estimated for 20</w:t>
      </w:r>
      <w:r>
        <w:rPr>
          <w:sz w:val="18"/>
          <w:szCs w:val="18"/>
        </w:rPr>
        <w:t>10 – 2012, covering July 1, 2010 through June 30, 2013</w:t>
      </w:r>
      <w:r w:rsidRPr="00C35BA2">
        <w:rPr>
          <w:sz w:val="18"/>
          <w:szCs w:val="18"/>
        </w:rPr>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1AAEF8"/>
    <w:multiLevelType w:val="hybridMultilevel"/>
    <w:tmpl w:val="180A22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CF0A29F4"/>
    <w:lvl w:ilvl="0">
      <w:start w:val="1"/>
      <w:numFmt w:val="bullet"/>
      <w:pStyle w:val="CM6"/>
      <w:lvlText w:val=""/>
      <w:lvlJc w:val="left"/>
      <w:pPr>
        <w:tabs>
          <w:tab w:val="num" w:pos="360"/>
        </w:tabs>
        <w:ind w:left="360" w:hanging="360"/>
      </w:pPr>
      <w:rPr>
        <w:rFonts w:ascii="Symbol" w:hAnsi="Symbol" w:hint="default"/>
      </w:rPr>
    </w:lvl>
  </w:abstractNum>
  <w:abstractNum w:abstractNumId="2">
    <w:nsid w:val="FFFFFFFE"/>
    <w:multiLevelType w:val="singleLevel"/>
    <w:tmpl w:val="B1E896EC"/>
    <w:lvl w:ilvl="0">
      <w:numFmt w:val="decimal"/>
      <w:pStyle w:val="ListLargeLetters"/>
      <w:lvlText w:val="*"/>
      <w:lvlJc w:val="left"/>
    </w:lvl>
  </w:abstractNum>
  <w:abstractNum w:abstractNumId="3">
    <w:nsid w:val="00184B24"/>
    <w:multiLevelType w:val="hybridMultilevel"/>
    <w:tmpl w:val="0E6487CC"/>
    <w:lvl w:ilvl="0" w:tplc="14E61EB2">
      <w:start w:val="1"/>
      <w:numFmt w:val="decimal"/>
      <w:lvlText w:val="%1."/>
      <w:lvlJc w:val="left"/>
      <w:pPr>
        <w:tabs>
          <w:tab w:val="num" w:pos="360"/>
        </w:tabs>
        <w:ind w:left="360" w:hanging="360"/>
      </w:pPr>
      <w:rPr>
        <w:b/>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DB6A6D"/>
    <w:multiLevelType w:val="hybridMultilevel"/>
    <w:tmpl w:val="678E3EE6"/>
    <w:lvl w:ilvl="0" w:tplc="A408748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0A325DF4"/>
    <w:multiLevelType w:val="hybridMultilevel"/>
    <w:tmpl w:val="A036CC98"/>
    <w:lvl w:ilvl="0" w:tplc="04090001">
      <w:start w:val="4"/>
      <w:numFmt w:val="none"/>
      <w:lvlText w:val="4."/>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0B723324"/>
    <w:multiLevelType w:val="hybridMultilevel"/>
    <w:tmpl w:val="5ED8F520"/>
    <w:lvl w:ilvl="0" w:tplc="A408748A">
      <w:start w:val="1"/>
      <w:numFmt w:val="bullet"/>
      <w:lvlText w:val=""/>
      <w:lvlJc w:val="left"/>
      <w:pPr>
        <w:tabs>
          <w:tab w:val="num" w:pos="720"/>
        </w:tabs>
        <w:ind w:left="720" w:hanging="360"/>
      </w:pPr>
      <w:rPr>
        <w:rFonts w:ascii="Symbol" w:hAnsi="Symbol" w:hint="default"/>
        <w:sz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0ED23FF3"/>
    <w:multiLevelType w:val="hybridMultilevel"/>
    <w:tmpl w:val="36E45564"/>
    <w:lvl w:ilvl="0" w:tplc="C408FFBE">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nsid w:val="130C6F20"/>
    <w:multiLevelType w:val="hybridMultilevel"/>
    <w:tmpl w:val="BCE2B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F24C15"/>
    <w:multiLevelType w:val="hybridMultilevel"/>
    <w:tmpl w:val="8EA61792"/>
    <w:lvl w:ilvl="0" w:tplc="C3C04FD0">
      <w:start w:val="1"/>
      <w:numFmt w:val="lowerLetter"/>
      <w:lvlText w:val="%1."/>
      <w:lvlJc w:val="left"/>
      <w:pPr>
        <w:tabs>
          <w:tab w:val="num" w:pos="1080"/>
        </w:tabs>
        <w:ind w:left="1080" w:hanging="360"/>
      </w:pPr>
      <w:rPr>
        <w:rFonts w:hint="default"/>
      </w:rPr>
    </w:lvl>
    <w:lvl w:ilvl="1" w:tplc="6A6AC5CA" w:tentative="1">
      <w:start w:val="1"/>
      <w:numFmt w:val="lowerLetter"/>
      <w:lvlText w:val="%2."/>
      <w:lvlJc w:val="left"/>
      <w:pPr>
        <w:tabs>
          <w:tab w:val="num" w:pos="1800"/>
        </w:tabs>
        <w:ind w:left="1800" w:hanging="360"/>
      </w:pPr>
    </w:lvl>
    <w:lvl w:ilvl="2" w:tplc="F404FA8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ED25F7"/>
    <w:multiLevelType w:val="multilevel"/>
    <w:tmpl w:val="432A2EE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1">
    <w:nsid w:val="2AAD5840"/>
    <w:multiLevelType w:val="hybridMultilevel"/>
    <w:tmpl w:val="9F9A461C"/>
    <w:lvl w:ilvl="0" w:tplc="B4C2FF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47148F"/>
    <w:multiLevelType w:val="hybridMultilevel"/>
    <w:tmpl w:val="E152BBA8"/>
    <w:lvl w:ilvl="0" w:tplc="51660F6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Verdan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Verdan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Verdan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351369FC"/>
    <w:multiLevelType w:val="hybridMultilevel"/>
    <w:tmpl w:val="25744BE6"/>
    <w:lvl w:ilvl="0" w:tplc="04090001">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381F320E"/>
    <w:multiLevelType w:val="multilevel"/>
    <w:tmpl w:val="FC5C1A5E"/>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5">
    <w:nsid w:val="3820513E"/>
    <w:multiLevelType w:val="multilevel"/>
    <w:tmpl w:val="0D605A9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6">
    <w:nsid w:val="3ADC396C"/>
    <w:multiLevelType w:val="hybridMultilevel"/>
    <w:tmpl w:val="38187240"/>
    <w:lvl w:ilvl="0" w:tplc="C3C04FD0">
      <w:start w:val="1"/>
      <w:numFmt w:val="bullet"/>
      <w:lvlText w:val=""/>
      <w:lvlJc w:val="left"/>
      <w:pPr>
        <w:tabs>
          <w:tab w:val="num" w:pos="720"/>
        </w:tabs>
        <w:ind w:left="720" w:hanging="360"/>
      </w:pPr>
      <w:rPr>
        <w:rFonts w:ascii="Symbol" w:hAnsi="Symbol" w:hint="default"/>
      </w:rPr>
    </w:lvl>
    <w:lvl w:ilvl="1" w:tplc="6A6AC5CA">
      <w:start w:val="1"/>
      <w:numFmt w:val="bullet"/>
      <w:pStyle w:val="AppendixHeading1"/>
      <w:lvlText w:val="o"/>
      <w:lvlJc w:val="left"/>
      <w:pPr>
        <w:tabs>
          <w:tab w:val="num" w:pos="1440"/>
        </w:tabs>
        <w:ind w:left="1440" w:hanging="360"/>
      </w:pPr>
      <w:rPr>
        <w:rFonts w:ascii="Courier New" w:hAnsi="Courier New" w:hint="default"/>
      </w:rPr>
    </w:lvl>
    <w:lvl w:ilvl="2" w:tplc="F404FA8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3C774E92"/>
    <w:multiLevelType w:val="hybridMultilevel"/>
    <w:tmpl w:val="B0485E76"/>
    <w:lvl w:ilvl="0" w:tplc="04090001">
      <w:start w:val="1"/>
      <w:numFmt w:val="lowerRoman"/>
      <w:pStyle w:val="CheckboxList"/>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26C62AD"/>
    <w:multiLevelType w:val="singleLevel"/>
    <w:tmpl w:val="9998F722"/>
    <w:lvl w:ilvl="0">
      <w:start w:val="5"/>
      <w:numFmt w:val="decimal"/>
      <w:pStyle w:val="ListBullet"/>
      <w:lvlText w:val="%1."/>
      <w:legacy w:legacy="1" w:legacySpace="0" w:legacyIndent="1"/>
      <w:lvlJc w:val="left"/>
      <w:pPr>
        <w:ind w:left="1" w:hanging="1"/>
      </w:pPr>
      <w:rPr>
        <w:rFonts w:ascii="Arial" w:hAnsi="Arial" w:hint="default"/>
      </w:rPr>
    </w:lvl>
  </w:abstractNum>
  <w:abstractNum w:abstractNumId="19">
    <w:nsid w:val="46125119"/>
    <w:multiLevelType w:val="hybridMultilevel"/>
    <w:tmpl w:val="F6C0C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6794D99"/>
    <w:multiLevelType w:val="hybridMultilevel"/>
    <w:tmpl w:val="5240F652"/>
    <w:lvl w:ilvl="0" w:tplc="0409000F">
      <w:start w:val="2"/>
      <w:numFmt w:val="decimal"/>
      <w:lvlText w:val="%1."/>
      <w:lvlJc w:val="left"/>
      <w:pPr>
        <w:tabs>
          <w:tab w:val="num" w:pos="720"/>
        </w:tabs>
        <w:ind w:left="720" w:hanging="360"/>
      </w:pPr>
      <w:rPr>
        <w:rFonts w:hint="default"/>
      </w:rPr>
    </w:lvl>
    <w:lvl w:ilvl="1" w:tplc="700E580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7A2A49"/>
    <w:multiLevelType w:val="hybridMultilevel"/>
    <w:tmpl w:val="1256BD38"/>
    <w:lvl w:ilvl="0" w:tplc="621AF8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641AA6"/>
    <w:multiLevelType w:val="hybridMultilevel"/>
    <w:tmpl w:val="0B564F56"/>
    <w:lvl w:ilvl="0" w:tplc="6BD66998">
      <w:start w:val="1"/>
      <w:numFmt w:val="bullet"/>
      <w:lvlText w:val=""/>
      <w:lvlJc w:val="left"/>
      <w:pPr>
        <w:tabs>
          <w:tab w:val="num" w:pos="720"/>
        </w:tabs>
        <w:ind w:left="720" w:hanging="360"/>
      </w:pPr>
      <w:rPr>
        <w:rFonts w:ascii="Symbol" w:hAnsi="Symbol" w:hint="default"/>
        <w:sz w:val="18"/>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4B6E09B7"/>
    <w:multiLevelType w:val="hybridMultilevel"/>
    <w:tmpl w:val="ABEA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906374"/>
    <w:multiLevelType w:val="hybridMultilevel"/>
    <w:tmpl w:val="688A1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F626F3"/>
    <w:multiLevelType w:val="multilevel"/>
    <w:tmpl w:val="C8CCF6C2"/>
    <w:lvl w:ilvl="0">
      <w:start w:val="1"/>
      <w:numFmt w:val="none"/>
      <w:pStyle w:val="ListBullet2"/>
      <w:lvlText w:val=""/>
      <w:legacy w:legacy="1" w:legacySpace="0" w:legacyIndent="0"/>
      <w:lvlJc w:val="left"/>
      <w:rPr>
        <w:rFonts w:ascii="WP MathA" w:hAnsi="WP MathA"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6">
    <w:nsid w:val="50620A80"/>
    <w:multiLevelType w:val="multilevel"/>
    <w:tmpl w:val="02D877C8"/>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7">
    <w:nsid w:val="5173601C"/>
    <w:multiLevelType w:val="hybridMultilevel"/>
    <w:tmpl w:val="95A8E040"/>
    <w:lvl w:ilvl="0" w:tplc="C408FFBE">
      <w:start w:val="1"/>
      <w:numFmt w:val="bullet"/>
      <w:pStyle w:val="Bullet"/>
      <w:lvlText w:val=""/>
      <w:lvlJc w:val="left"/>
      <w:pPr>
        <w:tabs>
          <w:tab w:val="num" w:pos="1440"/>
        </w:tabs>
        <w:ind w:left="1440" w:hanging="360"/>
      </w:pPr>
      <w:rPr>
        <w:rFonts w:ascii="Symbol" w:hAnsi="Symbol" w:hint="default"/>
      </w:rPr>
    </w:lvl>
    <w:lvl w:ilvl="1" w:tplc="3A6829F0">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58466CB"/>
    <w:multiLevelType w:val="hybridMultilevel"/>
    <w:tmpl w:val="AE42BC90"/>
    <w:lvl w:ilvl="0" w:tplc="BA2CA0A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7034B3F"/>
    <w:multiLevelType w:val="hybridMultilevel"/>
    <w:tmpl w:val="D812B3C4"/>
    <w:lvl w:ilvl="0" w:tplc="075CD624">
      <w:start w:val="1"/>
      <w:numFmt w:val="bullet"/>
      <w:lvlText w:val=""/>
      <w:lvlJc w:val="left"/>
      <w:pPr>
        <w:tabs>
          <w:tab w:val="num" w:pos="720"/>
        </w:tabs>
        <w:ind w:left="720" w:hanging="360"/>
      </w:pPr>
      <w:rPr>
        <w:rFonts w:ascii="Symbol" w:hAnsi="Symbol" w:hint="default"/>
        <w:sz w:val="18"/>
      </w:rPr>
    </w:lvl>
    <w:lvl w:ilvl="1" w:tplc="0409000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5BF808DC"/>
    <w:multiLevelType w:val="hybridMultilevel"/>
    <w:tmpl w:val="17B25488"/>
    <w:lvl w:ilvl="0" w:tplc="04090001">
      <w:start w:val="1"/>
      <w:numFmt w:val="bullet"/>
      <w:pStyle w:val="Appendix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127050"/>
    <w:multiLevelType w:val="multilevel"/>
    <w:tmpl w:val="53A0B7FC"/>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rPr>
        <w:rFonts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32">
    <w:nsid w:val="5F6A300C"/>
    <w:multiLevelType w:val="hybridMultilevel"/>
    <w:tmpl w:val="314A2B98"/>
    <w:lvl w:ilvl="0" w:tplc="04090001">
      <w:start w:val="1"/>
      <w:numFmt w:val="bullet"/>
      <w:lvlText w:val=""/>
      <w:lvlJc w:val="left"/>
      <w:pPr>
        <w:tabs>
          <w:tab w:val="num" w:pos="702"/>
        </w:tabs>
        <w:ind w:left="702" w:hanging="360"/>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Verdana"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Verdana"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Verdana"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33">
    <w:nsid w:val="61000F88"/>
    <w:multiLevelType w:val="multilevel"/>
    <w:tmpl w:val="1F50B792"/>
    <w:lvl w:ilvl="0">
      <w:start w:val="1"/>
      <w:numFmt w:val="decimal"/>
      <w:lvlText w:val="%1."/>
      <w:lvlJc w:val="left"/>
      <w:pPr>
        <w:tabs>
          <w:tab w:val="num" w:pos="1620"/>
        </w:tabs>
        <w:ind w:left="1620" w:hanging="360"/>
      </w:pPr>
    </w:lvl>
    <w:lvl w:ilvl="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4">
    <w:nsid w:val="617C18A0"/>
    <w:multiLevelType w:val="hybridMultilevel"/>
    <w:tmpl w:val="F3E08F74"/>
    <w:lvl w:ilvl="0" w:tplc="767046E2">
      <w:start w:val="4"/>
      <w:numFmt w:val="decimal"/>
      <w:lvlText w:val="%1."/>
      <w:lvlJc w:val="left"/>
      <w:pPr>
        <w:tabs>
          <w:tab w:val="num" w:pos="1080"/>
        </w:tabs>
        <w:ind w:left="1080" w:hanging="360"/>
      </w:pPr>
      <w:rPr>
        <w:rFonts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nsid w:val="633837D8"/>
    <w:multiLevelType w:val="hybridMultilevel"/>
    <w:tmpl w:val="43EC3DBE"/>
    <w:lvl w:ilvl="0" w:tplc="C408FFBE">
      <w:start w:val="1"/>
      <w:numFmt w:val="bullet"/>
      <w:lvlText w:val=""/>
      <w:lvlJc w:val="left"/>
      <w:pPr>
        <w:tabs>
          <w:tab w:val="num" w:pos="768"/>
        </w:tabs>
        <w:ind w:left="768" w:hanging="360"/>
      </w:pPr>
      <w:rPr>
        <w:rFonts w:ascii="Symbol" w:hAnsi="Symbol" w:hint="default"/>
      </w:rPr>
    </w:lvl>
    <w:lvl w:ilvl="1" w:tplc="3A6829F0" w:tentative="1">
      <w:start w:val="1"/>
      <w:numFmt w:val="bullet"/>
      <w:lvlText w:val="o"/>
      <w:lvlJc w:val="left"/>
      <w:pPr>
        <w:tabs>
          <w:tab w:val="num" w:pos="1488"/>
        </w:tabs>
        <w:ind w:left="1488" w:hanging="360"/>
      </w:pPr>
      <w:rPr>
        <w:rFonts w:ascii="Courier New" w:hAnsi="Courier New" w:cs="Verdana"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Verdana"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Verdana"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6">
    <w:nsid w:val="6D5F115F"/>
    <w:multiLevelType w:val="hybridMultilevel"/>
    <w:tmpl w:val="4886A6C2"/>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7">
    <w:nsid w:val="79655C46"/>
    <w:multiLevelType w:val="multilevel"/>
    <w:tmpl w:val="8984017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38">
    <w:nsid w:val="79AB6766"/>
    <w:multiLevelType w:val="hybridMultilevel"/>
    <w:tmpl w:val="B2726E54"/>
    <w:lvl w:ilvl="0" w:tplc="04090001">
      <w:start w:val="1"/>
      <w:numFmt w:val="bullet"/>
      <w:lvlText w:val=""/>
      <w:lvlJc w:val="left"/>
      <w:pPr>
        <w:tabs>
          <w:tab w:val="num" w:pos="720"/>
        </w:tabs>
        <w:ind w:left="720" w:hanging="360"/>
      </w:pPr>
      <w:rPr>
        <w:rFonts w:ascii="Symbol" w:hAnsi="Symbol" w:hint="default"/>
        <w:sz w:val="18"/>
      </w:rPr>
    </w:lvl>
    <w:lvl w:ilvl="1" w:tplc="04090003">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3E796B"/>
    <w:multiLevelType w:val="hybridMultilevel"/>
    <w:tmpl w:val="FE8E3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873926"/>
    <w:multiLevelType w:val="hybridMultilevel"/>
    <w:tmpl w:val="2B385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lvl w:ilvl="0">
        <w:start w:val="1"/>
        <w:numFmt w:val="bullet"/>
        <w:pStyle w:val="ListLargeLetters"/>
        <w:lvlText w:val="•"/>
        <w:legacy w:legacy="1" w:legacySpace="0" w:legacyIndent="1"/>
        <w:lvlJc w:val="left"/>
        <w:pPr>
          <w:ind w:left="1" w:hanging="1"/>
        </w:pPr>
        <w:rPr>
          <w:rFonts w:ascii="Arial" w:hAnsi="Arial" w:hint="default"/>
        </w:rPr>
      </w:lvl>
    </w:lvlOverride>
  </w:num>
  <w:num w:numId="2">
    <w:abstractNumId w:val="18"/>
  </w:num>
  <w:num w:numId="3">
    <w:abstractNumId w:val="2"/>
    <w:lvlOverride w:ilvl="0">
      <w:lvl w:ilvl="0">
        <w:start w:val="5"/>
        <w:numFmt w:val="bullet"/>
        <w:pStyle w:val="ListLargeLetters"/>
        <w:lvlText w:val="•"/>
        <w:legacy w:legacy="1" w:legacySpace="0" w:legacyIndent="1"/>
        <w:lvlJc w:val="left"/>
        <w:pPr>
          <w:ind w:left="1" w:hanging="1"/>
        </w:pPr>
        <w:rPr>
          <w:rFonts w:ascii="Arial" w:hAnsi="Arial" w:hint="default"/>
        </w:rPr>
      </w:lvl>
    </w:lvlOverride>
  </w:num>
  <w:num w:numId="4">
    <w:abstractNumId w:val="17"/>
  </w:num>
  <w:num w:numId="5">
    <w:abstractNumId w:val="25"/>
  </w:num>
  <w:num w:numId="6">
    <w:abstractNumId w:val="8"/>
  </w:num>
  <w:num w:numId="7">
    <w:abstractNumId w:val="30"/>
  </w:num>
  <w:num w:numId="8">
    <w:abstractNumId w:val="16"/>
  </w:num>
  <w:num w:numId="9">
    <w:abstractNumId w:val="4"/>
  </w:num>
  <w:num w:numId="10">
    <w:abstractNumId w:val="11"/>
  </w:num>
  <w:num w:numId="11">
    <w:abstractNumId w:val="26"/>
  </w:num>
  <w:num w:numId="12">
    <w:abstractNumId w:val="23"/>
  </w:num>
  <w:num w:numId="13">
    <w:abstractNumId w:val="15"/>
  </w:num>
  <w:num w:numId="14">
    <w:abstractNumId w:val="10"/>
  </w:num>
  <w:num w:numId="15">
    <w:abstractNumId w:val="28"/>
  </w:num>
  <w:num w:numId="16">
    <w:abstractNumId w:val="14"/>
  </w:num>
  <w:num w:numId="17">
    <w:abstractNumId w:val="37"/>
  </w:num>
  <w:num w:numId="18">
    <w:abstractNumId w:val="36"/>
  </w:num>
  <w:num w:numId="19">
    <w:abstractNumId w:val="27"/>
  </w:num>
  <w:num w:numId="20">
    <w:abstractNumId w:val="39"/>
  </w:num>
  <w:num w:numId="21">
    <w:abstractNumId w:val="7"/>
  </w:num>
  <w:num w:numId="22">
    <w:abstractNumId w:val="34"/>
  </w:num>
  <w:num w:numId="23">
    <w:abstractNumId w:val="21"/>
  </w:num>
  <w:num w:numId="24">
    <w:abstractNumId w:val="9"/>
  </w:num>
  <w:num w:numId="25">
    <w:abstractNumId w:val="13"/>
  </w:num>
  <w:num w:numId="26">
    <w:abstractNumId w:val="20"/>
  </w:num>
  <w:num w:numId="27">
    <w:abstractNumId w:val="33"/>
  </w:num>
  <w:num w:numId="28">
    <w:abstractNumId w:val="31"/>
  </w:num>
  <w:num w:numId="29">
    <w:abstractNumId w:val="5"/>
  </w:num>
  <w:num w:numId="30">
    <w:abstractNumId w:val="0"/>
  </w:num>
  <w:num w:numId="31">
    <w:abstractNumId w:val="1"/>
  </w:num>
  <w:num w:numId="32">
    <w:abstractNumId w:val="3"/>
  </w:num>
  <w:num w:numId="33">
    <w:abstractNumId w:val="29"/>
  </w:num>
  <w:num w:numId="34">
    <w:abstractNumId w:val="38"/>
  </w:num>
  <w:num w:numId="35">
    <w:abstractNumId w:val="6"/>
  </w:num>
  <w:num w:numId="36">
    <w:abstractNumId w:val="22"/>
  </w:num>
  <w:num w:numId="37">
    <w:abstractNumId w:val="19"/>
  </w:num>
  <w:num w:numId="38">
    <w:abstractNumId w:val="12"/>
  </w:num>
  <w:num w:numId="39">
    <w:abstractNumId w:val="32"/>
  </w:num>
  <w:num w:numId="40">
    <w:abstractNumId w:val="35"/>
  </w:num>
  <w:num w:numId="41">
    <w:abstractNumId w:val="24"/>
  </w:num>
  <w:num w:numId="42">
    <w:abstractNumId w:val="4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854FC2"/>
    <w:rsid w:val="0000024A"/>
    <w:rsid w:val="00000D66"/>
    <w:rsid w:val="0000143E"/>
    <w:rsid w:val="0000266E"/>
    <w:rsid w:val="000030AE"/>
    <w:rsid w:val="000071FC"/>
    <w:rsid w:val="00012DB3"/>
    <w:rsid w:val="00013A3D"/>
    <w:rsid w:val="00013C4C"/>
    <w:rsid w:val="00013EA2"/>
    <w:rsid w:val="000166BE"/>
    <w:rsid w:val="00017B79"/>
    <w:rsid w:val="0002071D"/>
    <w:rsid w:val="0002153F"/>
    <w:rsid w:val="00021860"/>
    <w:rsid w:val="00021A02"/>
    <w:rsid w:val="00021BF7"/>
    <w:rsid w:val="00021C19"/>
    <w:rsid w:val="00021C75"/>
    <w:rsid w:val="000246FE"/>
    <w:rsid w:val="00025030"/>
    <w:rsid w:val="000266D1"/>
    <w:rsid w:val="00031A73"/>
    <w:rsid w:val="00032E40"/>
    <w:rsid w:val="00032EB0"/>
    <w:rsid w:val="0003394B"/>
    <w:rsid w:val="00034689"/>
    <w:rsid w:val="00034CE0"/>
    <w:rsid w:val="000377FC"/>
    <w:rsid w:val="000404A5"/>
    <w:rsid w:val="0004077C"/>
    <w:rsid w:val="0004272E"/>
    <w:rsid w:val="00044F4A"/>
    <w:rsid w:val="00045A4D"/>
    <w:rsid w:val="000465EA"/>
    <w:rsid w:val="0005018B"/>
    <w:rsid w:val="000507D5"/>
    <w:rsid w:val="000528F9"/>
    <w:rsid w:val="0005291E"/>
    <w:rsid w:val="00052D50"/>
    <w:rsid w:val="00053725"/>
    <w:rsid w:val="00054749"/>
    <w:rsid w:val="00054912"/>
    <w:rsid w:val="000574F3"/>
    <w:rsid w:val="000606F2"/>
    <w:rsid w:val="000609BC"/>
    <w:rsid w:val="0006165B"/>
    <w:rsid w:val="0006324E"/>
    <w:rsid w:val="00063657"/>
    <w:rsid w:val="0006508F"/>
    <w:rsid w:val="0006655D"/>
    <w:rsid w:val="00066A96"/>
    <w:rsid w:val="00074802"/>
    <w:rsid w:val="00074F8C"/>
    <w:rsid w:val="000755DA"/>
    <w:rsid w:val="0007587D"/>
    <w:rsid w:val="00076536"/>
    <w:rsid w:val="00080235"/>
    <w:rsid w:val="000806F1"/>
    <w:rsid w:val="00081C95"/>
    <w:rsid w:val="00083BCA"/>
    <w:rsid w:val="00085785"/>
    <w:rsid w:val="00086430"/>
    <w:rsid w:val="00086909"/>
    <w:rsid w:val="00087953"/>
    <w:rsid w:val="00094B6A"/>
    <w:rsid w:val="00094D5A"/>
    <w:rsid w:val="00095488"/>
    <w:rsid w:val="00096422"/>
    <w:rsid w:val="000A0610"/>
    <w:rsid w:val="000A0F6D"/>
    <w:rsid w:val="000A4A00"/>
    <w:rsid w:val="000A5105"/>
    <w:rsid w:val="000A54D2"/>
    <w:rsid w:val="000A5B13"/>
    <w:rsid w:val="000A62C0"/>
    <w:rsid w:val="000A6A76"/>
    <w:rsid w:val="000B0C40"/>
    <w:rsid w:val="000B4413"/>
    <w:rsid w:val="000B6B96"/>
    <w:rsid w:val="000B6CAB"/>
    <w:rsid w:val="000C1AC5"/>
    <w:rsid w:val="000C1D33"/>
    <w:rsid w:val="000C4A47"/>
    <w:rsid w:val="000C4B8A"/>
    <w:rsid w:val="000C7639"/>
    <w:rsid w:val="000C7EA5"/>
    <w:rsid w:val="000D07F5"/>
    <w:rsid w:val="000D1484"/>
    <w:rsid w:val="000D32A3"/>
    <w:rsid w:val="000D338D"/>
    <w:rsid w:val="000D3B75"/>
    <w:rsid w:val="000D4871"/>
    <w:rsid w:val="000D5AAF"/>
    <w:rsid w:val="000D7492"/>
    <w:rsid w:val="000E27B4"/>
    <w:rsid w:val="000E2AEB"/>
    <w:rsid w:val="000E2B3B"/>
    <w:rsid w:val="000E2F44"/>
    <w:rsid w:val="000E562F"/>
    <w:rsid w:val="000E70F2"/>
    <w:rsid w:val="000E7DDF"/>
    <w:rsid w:val="000F04E0"/>
    <w:rsid w:val="000F0D54"/>
    <w:rsid w:val="000F126F"/>
    <w:rsid w:val="000F2D27"/>
    <w:rsid w:val="000F461F"/>
    <w:rsid w:val="000F463B"/>
    <w:rsid w:val="000F563C"/>
    <w:rsid w:val="000F5676"/>
    <w:rsid w:val="000F5E6C"/>
    <w:rsid w:val="000F60E5"/>
    <w:rsid w:val="000F724C"/>
    <w:rsid w:val="001026FA"/>
    <w:rsid w:val="00104A0D"/>
    <w:rsid w:val="00104DB4"/>
    <w:rsid w:val="00105033"/>
    <w:rsid w:val="00105327"/>
    <w:rsid w:val="001071E7"/>
    <w:rsid w:val="00107979"/>
    <w:rsid w:val="00107F74"/>
    <w:rsid w:val="00113167"/>
    <w:rsid w:val="00120B7E"/>
    <w:rsid w:val="00121364"/>
    <w:rsid w:val="00121A1E"/>
    <w:rsid w:val="00121D48"/>
    <w:rsid w:val="001229BD"/>
    <w:rsid w:val="00124FD1"/>
    <w:rsid w:val="00127A3D"/>
    <w:rsid w:val="00130928"/>
    <w:rsid w:val="00131227"/>
    <w:rsid w:val="00132294"/>
    <w:rsid w:val="00133EA0"/>
    <w:rsid w:val="00134757"/>
    <w:rsid w:val="00134ECC"/>
    <w:rsid w:val="00140910"/>
    <w:rsid w:val="00140FEF"/>
    <w:rsid w:val="00141939"/>
    <w:rsid w:val="00143792"/>
    <w:rsid w:val="001438D8"/>
    <w:rsid w:val="001442DF"/>
    <w:rsid w:val="001456CD"/>
    <w:rsid w:val="00146D65"/>
    <w:rsid w:val="0014702A"/>
    <w:rsid w:val="001478B3"/>
    <w:rsid w:val="00150D98"/>
    <w:rsid w:val="00151432"/>
    <w:rsid w:val="00152058"/>
    <w:rsid w:val="00152211"/>
    <w:rsid w:val="00153A12"/>
    <w:rsid w:val="00153F8C"/>
    <w:rsid w:val="0015547D"/>
    <w:rsid w:val="001565C5"/>
    <w:rsid w:val="00157860"/>
    <w:rsid w:val="00157CBE"/>
    <w:rsid w:val="0016102C"/>
    <w:rsid w:val="0016312C"/>
    <w:rsid w:val="0016679A"/>
    <w:rsid w:val="00166E2B"/>
    <w:rsid w:val="001670B8"/>
    <w:rsid w:val="00167F5E"/>
    <w:rsid w:val="00172E5D"/>
    <w:rsid w:val="00174971"/>
    <w:rsid w:val="0018091E"/>
    <w:rsid w:val="0018124C"/>
    <w:rsid w:val="00181FDF"/>
    <w:rsid w:val="00182143"/>
    <w:rsid w:val="00183833"/>
    <w:rsid w:val="0018486C"/>
    <w:rsid w:val="001852DC"/>
    <w:rsid w:val="0018536E"/>
    <w:rsid w:val="001855CC"/>
    <w:rsid w:val="0018565B"/>
    <w:rsid w:val="00185F50"/>
    <w:rsid w:val="001876C6"/>
    <w:rsid w:val="00187D6D"/>
    <w:rsid w:val="00190B3B"/>
    <w:rsid w:val="0019209D"/>
    <w:rsid w:val="00193126"/>
    <w:rsid w:val="00193F8A"/>
    <w:rsid w:val="0019410D"/>
    <w:rsid w:val="00194D0C"/>
    <w:rsid w:val="001973A8"/>
    <w:rsid w:val="001A0588"/>
    <w:rsid w:val="001A1147"/>
    <w:rsid w:val="001A1D53"/>
    <w:rsid w:val="001A6443"/>
    <w:rsid w:val="001A6BF6"/>
    <w:rsid w:val="001B0DB5"/>
    <w:rsid w:val="001B6A90"/>
    <w:rsid w:val="001C48CC"/>
    <w:rsid w:val="001C4FEE"/>
    <w:rsid w:val="001C5832"/>
    <w:rsid w:val="001C62E6"/>
    <w:rsid w:val="001C6733"/>
    <w:rsid w:val="001C6891"/>
    <w:rsid w:val="001D025F"/>
    <w:rsid w:val="001D2828"/>
    <w:rsid w:val="001D364C"/>
    <w:rsid w:val="001D4403"/>
    <w:rsid w:val="001D6233"/>
    <w:rsid w:val="001E0256"/>
    <w:rsid w:val="001E2111"/>
    <w:rsid w:val="001E272C"/>
    <w:rsid w:val="001E2EEA"/>
    <w:rsid w:val="001E3F6E"/>
    <w:rsid w:val="001E446C"/>
    <w:rsid w:val="001F2175"/>
    <w:rsid w:val="001F3AF9"/>
    <w:rsid w:val="001F41C0"/>
    <w:rsid w:val="001F45F8"/>
    <w:rsid w:val="002005BE"/>
    <w:rsid w:val="002006CF"/>
    <w:rsid w:val="00200CDE"/>
    <w:rsid w:val="002012E2"/>
    <w:rsid w:val="00202B7C"/>
    <w:rsid w:val="00204972"/>
    <w:rsid w:val="002067DA"/>
    <w:rsid w:val="002070DC"/>
    <w:rsid w:val="00207647"/>
    <w:rsid w:val="00210191"/>
    <w:rsid w:val="00210899"/>
    <w:rsid w:val="002119DC"/>
    <w:rsid w:val="00211B8E"/>
    <w:rsid w:val="0021378E"/>
    <w:rsid w:val="0021719C"/>
    <w:rsid w:val="00220F0A"/>
    <w:rsid w:val="00221680"/>
    <w:rsid w:val="002227E4"/>
    <w:rsid w:val="00222B36"/>
    <w:rsid w:val="00224260"/>
    <w:rsid w:val="002252CE"/>
    <w:rsid w:val="00225E1A"/>
    <w:rsid w:val="002264A2"/>
    <w:rsid w:val="00226D16"/>
    <w:rsid w:val="00230132"/>
    <w:rsid w:val="00231985"/>
    <w:rsid w:val="00233120"/>
    <w:rsid w:val="00233491"/>
    <w:rsid w:val="002348E6"/>
    <w:rsid w:val="00235269"/>
    <w:rsid w:val="002379C8"/>
    <w:rsid w:val="00237DE8"/>
    <w:rsid w:val="00243D7A"/>
    <w:rsid w:val="002448D2"/>
    <w:rsid w:val="00247062"/>
    <w:rsid w:val="0024774C"/>
    <w:rsid w:val="00250A33"/>
    <w:rsid w:val="00251173"/>
    <w:rsid w:val="00252787"/>
    <w:rsid w:val="002534C6"/>
    <w:rsid w:val="00253842"/>
    <w:rsid w:val="00254E7D"/>
    <w:rsid w:val="00255499"/>
    <w:rsid w:val="00256B7F"/>
    <w:rsid w:val="00256C78"/>
    <w:rsid w:val="0026352A"/>
    <w:rsid w:val="00265F80"/>
    <w:rsid w:val="0027098C"/>
    <w:rsid w:val="00271E09"/>
    <w:rsid w:val="00273B8C"/>
    <w:rsid w:val="00275C92"/>
    <w:rsid w:val="002777F9"/>
    <w:rsid w:val="00277AD3"/>
    <w:rsid w:val="00281410"/>
    <w:rsid w:val="00281454"/>
    <w:rsid w:val="002822F5"/>
    <w:rsid w:val="002823C3"/>
    <w:rsid w:val="00283610"/>
    <w:rsid w:val="002848D6"/>
    <w:rsid w:val="00285569"/>
    <w:rsid w:val="00290C8C"/>
    <w:rsid w:val="00290E79"/>
    <w:rsid w:val="002929F2"/>
    <w:rsid w:val="00293C33"/>
    <w:rsid w:val="002948A3"/>
    <w:rsid w:val="00295774"/>
    <w:rsid w:val="00295BDC"/>
    <w:rsid w:val="0029711F"/>
    <w:rsid w:val="002A0A77"/>
    <w:rsid w:val="002A0C49"/>
    <w:rsid w:val="002A15CC"/>
    <w:rsid w:val="002A1784"/>
    <w:rsid w:val="002A2BC3"/>
    <w:rsid w:val="002A385A"/>
    <w:rsid w:val="002B0105"/>
    <w:rsid w:val="002B09F4"/>
    <w:rsid w:val="002B0D10"/>
    <w:rsid w:val="002B2151"/>
    <w:rsid w:val="002B5241"/>
    <w:rsid w:val="002B781F"/>
    <w:rsid w:val="002C04AF"/>
    <w:rsid w:val="002C0EBA"/>
    <w:rsid w:val="002C302E"/>
    <w:rsid w:val="002C461A"/>
    <w:rsid w:val="002C50B5"/>
    <w:rsid w:val="002C65FA"/>
    <w:rsid w:val="002D2FEF"/>
    <w:rsid w:val="002D369B"/>
    <w:rsid w:val="002D44E0"/>
    <w:rsid w:val="002D7EAF"/>
    <w:rsid w:val="002E13B2"/>
    <w:rsid w:val="002E1CB0"/>
    <w:rsid w:val="002E1D16"/>
    <w:rsid w:val="002E479F"/>
    <w:rsid w:val="002E6509"/>
    <w:rsid w:val="002E74C4"/>
    <w:rsid w:val="002F0D49"/>
    <w:rsid w:val="002F14C2"/>
    <w:rsid w:val="002F1EC4"/>
    <w:rsid w:val="002F2B0B"/>
    <w:rsid w:val="002F434F"/>
    <w:rsid w:val="002F4F1C"/>
    <w:rsid w:val="002F6BA0"/>
    <w:rsid w:val="002F7472"/>
    <w:rsid w:val="003004A8"/>
    <w:rsid w:val="0030170A"/>
    <w:rsid w:val="00303239"/>
    <w:rsid w:val="003049ED"/>
    <w:rsid w:val="00306595"/>
    <w:rsid w:val="00307DDE"/>
    <w:rsid w:val="00310ECC"/>
    <w:rsid w:val="00312839"/>
    <w:rsid w:val="00315F94"/>
    <w:rsid w:val="00320641"/>
    <w:rsid w:val="00320C4A"/>
    <w:rsid w:val="003215A9"/>
    <w:rsid w:val="00321A01"/>
    <w:rsid w:val="00322682"/>
    <w:rsid w:val="00323BC6"/>
    <w:rsid w:val="00323E88"/>
    <w:rsid w:val="00324EDB"/>
    <w:rsid w:val="003263D1"/>
    <w:rsid w:val="00332DFC"/>
    <w:rsid w:val="00335D78"/>
    <w:rsid w:val="00335EAD"/>
    <w:rsid w:val="00341BDC"/>
    <w:rsid w:val="00342898"/>
    <w:rsid w:val="00343163"/>
    <w:rsid w:val="00345CFA"/>
    <w:rsid w:val="00347441"/>
    <w:rsid w:val="0035482C"/>
    <w:rsid w:val="003601CC"/>
    <w:rsid w:val="0036047F"/>
    <w:rsid w:val="00360F2F"/>
    <w:rsid w:val="0036174A"/>
    <w:rsid w:val="00362CE2"/>
    <w:rsid w:val="003650C3"/>
    <w:rsid w:val="0036570C"/>
    <w:rsid w:val="00366470"/>
    <w:rsid w:val="00371A94"/>
    <w:rsid w:val="003728F3"/>
    <w:rsid w:val="00372E6D"/>
    <w:rsid w:val="003777BC"/>
    <w:rsid w:val="00380589"/>
    <w:rsid w:val="0038093D"/>
    <w:rsid w:val="00381E6C"/>
    <w:rsid w:val="00385F57"/>
    <w:rsid w:val="00386F7B"/>
    <w:rsid w:val="00387EED"/>
    <w:rsid w:val="0039032C"/>
    <w:rsid w:val="00391725"/>
    <w:rsid w:val="00392D91"/>
    <w:rsid w:val="00396EA1"/>
    <w:rsid w:val="00397D55"/>
    <w:rsid w:val="003A48AE"/>
    <w:rsid w:val="003A5C18"/>
    <w:rsid w:val="003A68C7"/>
    <w:rsid w:val="003A6FFA"/>
    <w:rsid w:val="003A7BDF"/>
    <w:rsid w:val="003B06A2"/>
    <w:rsid w:val="003B2303"/>
    <w:rsid w:val="003B2390"/>
    <w:rsid w:val="003B70B4"/>
    <w:rsid w:val="003C1CCE"/>
    <w:rsid w:val="003C4999"/>
    <w:rsid w:val="003C5C02"/>
    <w:rsid w:val="003C7548"/>
    <w:rsid w:val="003D1569"/>
    <w:rsid w:val="003D1B07"/>
    <w:rsid w:val="003D3247"/>
    <w:rsid w:val="003D54A8"/>
    <w:rsid w:val="003D5F94"/>
    <w:rsid w:val="003D7557"/>
    <w:rsid w:val="003D7B30"/>
    <w:rsid w:val="003E0593"/>
    <w:rsid w:val="003E2A40"/>
    <w:rsid w:val="003E416A"/>
    <w:rsid w:val="003E4C33"/>
    <w:rsid w:val="003E73C2"/>
    <w:rsid w:val="003F0661"/>
    <w:rsid w:val="003F0B6D"/>
    <w:rsid w:val="003F0FF5"/>
    <w:rsid w:val="003F1BBB"/>
    <w:rsid w:val="003F2C12"/>
    <w:rsid w:val="003F3947"/>
    <w:rsid w:val="003F3E1A"/>
    <w:rsid w:val="003F4C02"/>
    <w:rsid w:val="003F7302"/>
    <w:rsid w:val="003F7AFF"/>
    <w:rsid w:val="00400150"/>
    <w:rsid w:val="00400DBE"/>
    <w:rsid w:val="004012FE"/>
    <w:rsid w:val="00402A37"/>
    <w:rsid w:val="00403C8A"/>
    <w:rsid w:val="004069D7"/>
    <w:rsid w:val="0041190E"/>
    <w:rsid w:val="00412311"/>
    <w:rsid w:val="00412464"/>
    <w:rsid w:val="004133CA"/>
    <w:rsid w:val="00413CC1"/>
    <w:rsid w:val="00420F6D"/>
    <w:rsid w:val="00422270"/>
    <w:rsid w:val="0042398C"/>
    <w:rsid w:val="00423BCE"/>
    <w:rsid w:val="00425F45"/>
    <w:rsid w:val="004265A1"/>
    <w:rsid w:val="00427122"/>
    <w:rsid w:val="00427BB0"/>
    <w:rsid w:val="004376C1"/>
    <w:rsid w:val="00437916"/>
    <w:rsid w:val="004379D6"/>
    <w:rsid w:val="00440E02"/>
    <w:rsid w:val="004413C2"/>
    <w:rsid w:val="0044290A"/>
    <w:rsid w:val="00442E47"/>
    <w:rsid w:val="004450AA"/>
    <w:rsid w:val="00445810"/>
    <w:rsid w:val="00450645"/>
    <w:rsid w:val="00450936"/>
    <w:rsid w:val="004526F0"/>
    <w:rsid w:val="00453163"/>
    <w:rsid w:val="00455805"/>
    <w:rsid w:val="00455E2D"/>
    <w:rsid w:val="004562BC"/>
    <w:rsid w:val="004577C8"/>
    <w:rsid w:val="00460E88"/>
    <w:rsid w:val="00462160"/>
    <w:rsid w:val="004655C1"/>
    <w:rsid w:val="00465AE3"/>
    <w:rsid w:val="00465FCC"/>
    <w:rsid w:val="00470005"/>
    <w:rsid w:val="00471FDD"/>
    <w:rsid w:val="0047228E"/>
    <w:rsid w:val="00472604"/>
    <w:rsid w:val="00472F7D"/>
    <w:rsid w:val="0047367D"/>
    <w:rsid w:val="00473DBF"/>
    <w:rsid w:val="004760E5"/>
    <w:rsid w:val="00476F66"/>
    <w:rsid w:val="00477B30"/>
    <w:rsid w:val="004814F0"/>
    <w:rsid w:val="00482D38"/>
    <w:rsid w:val="00483D02"/>
    <w:rsid w:val="00486624"/>
    <w:rsid w:val="0049327D"/>
    <w:rsid w:val="004949A3"/>
    <w:rsid w:val="00496529"/>
    <w:rsid w:val="00497386"/>
    <w:rsid w:val="004A0208"/>
    <w:rsid w:val="004A0B52"/>
    <w:rsid w:val="004A1431"/>
    <w:rsid w:val="004A1D2C"/>
    <w:rsid w:val="004A5106"/>
    <w:rsid w:val="004A5956"/>
    <w:rsid w:val="004A5AA4"/>
    <w:rsid w:val="004A6C11"/>
    <w:rsid w:val="004A7C83"/>
    <w:rsid w:val="004B0854"/>
    <w:rsid w:val="004B1C4F"/>
    <w:rsid w:val="004B205B"/>
    <w:rsid w:val="004B3245"/>
    <w:rsid w:val="004B3C5A"/>
    <w:rsid w:val="004B4985"/>
    <w:rsid w:val="004B5DB4"/>
    <w:rsid w:val="004B5F91"/>
    <w:rsid w:val="004B689C"/>
    <w:rsid w:val="004B6CD0"/>
    <w:rsid w:val="004C2001"/>
    <w:rsid w:val="004C3137"/>
    <w:rsid w:val="004C4303"/>
    <w:rsid w:val="004C4343"/>
    <w:rsid w:val="004C450A"/>
    <w:rsid w:val="004C626D"/>
    <w:rsid w:val="004C6E09"/>
    <w:rsid w:val="004C729A"/>
    <w:rsid w:val="004C7AFE"/>
    <w:rsid w:val="004D2A60"/>
    <w:rsid w:val="004D38F7"/>
    <w:rsid w:val="004D46D2"/>
    <w:rsid w:val="004E1031"/>
    <w:rsid w:val="004E631E"/>
    <w:rsid w:val="004F2DB7"/>
    <w:rsid w:val="004F515B"/>
    <w:rsid w:val="004F7438"/>
    <w:rsid w:val="00501EF0"/>
    <w:rsid w:val="00502969"/>
    <w:rsid w:val="00505CD3"/>
    <w:rsid w:val="00506AC4"/>
    <w:rsid w:val="0051124E"/>
    <w:rsid w:val="005150DF"/>
    <w:rsid w:val="0051511C"/>
    <w:rsid w:val="00515731"/>
    <w:rsid w:val="0051794C"/>
    <w:rsid w:val="005222F6"/>
    <w:rsid w:val="005249C4"/>
    <w:rsid w:val="00524A8E"/>
    <w:rsid w:val="00525B87"/>
    <w:rsid w:val="00526F29"/>
    <w:rsid w:val="00526F56"/>
    <w:rsid w:val="00530C86"/>
    <w:rsid w:val="00532CB6"/>
    <w:rsid w:val="00533135"/>
    <w:rsid w:val="005371CC"/>
    <w:rsid w:val="005402A8"/>
    <w:rsid w:val="00541A1C"/>
    <w:rsid w:val="0054399B"/>
    <w:rsid w:val="00545CAE"/>
    <w:rsid w:val="005535F5"/>
    <w:rsid w:val="0055396E"/>
    <w:rsid w:val="00553B3A"/>
    <w:rsid w:val="00554E64"/>
    <w:rsid w:val="00556873"/>
    <w:rsid w:val="005622C3"/>
    <w:rsid w:val="005628F2"/>
    <w:rsid w:val="00564099"/>
    <w:rsid w:val="005642F0"/>
    <w:rsid w:val="00564FB2"/>
    <w:rsid w:val="00566921"/>
    <w:rsid w:val="0056715E"/>
    <w:rsid w:val="0056744B"/>
    <w:rsid w:val="00567689"/>
    <w:rsid w:val="0057075D"/>
    <w:rsid w:val="00571CD2"/>
    <w:rsid w:val="0057537A"/>
    <w:rsid w:val="0057712A"/>
    <w:rsid w:val="00580EC7"/>
    <w:rsid w:val="005813D4"/>
    <w:rsid w:val="005824D4"/>
    <w:rsid w:val="00582B34"/>
    <w:rsid w:val="00582F1A"/>
    <w:rsid w:val="00583778"/>
    <w:rsid w:val="00586319"/>
    <w:rsid w:val="0059095B"/>
    <w:rsid w:val="00592589"/>
    <w:rsid w:val="00593404"/>
    <w:rsid w:val="00595AC1"/>
    <w:rsid w:val="00596578"/>
    <w:rsid w:val="005A07D9"/>
    <w:rsid w:val="005A0CAC"/>
    <w:rsid w:val="005A0F5E"/>
    <w:rsid w:val="005A2EF2"/>
    <w:rsid w:val="005A370F"/>
    <w:rsid w:val="005A3D01"/>
    <w:rsid w:val="005A3F17"/>
    <w:rsid w:val="005A5BCF"/>
    <w:rsid w:val="005A739B"/>
    <w:rsid w:val="005B19C1"/>
    <w:rsid w:val="005B2180"/>
    <w:rsid w:val="005B2D8E"/>
    <w:rsid w:val="005B30DE"/>
    <w:rsid w:val="005B372F"/>
    <w:rsid w:val="005B3905"/>
    <w:rsid w:val="005B5C9F"/>
    <w:rsid w:val="005B5DD8"/>
    <w:rsid w:val="005C0A3E"/>
    <w:rsid w:val="005C125D"/>
    <w:rsid w:val="005C2C78"/>
    <w:rsid w:val="005C312C"/>
    <w:rsid w:val="005C3A32"/>
    <w:rsid w:val="005C5026"/>
    <w:rsid w:val="005C568C"/>
    <w:rsid w:val="005C5DBA"/>
    <w:rsid w:val="005C6B4E"/>
    <w:rsid w:val="005D0666"/>
    <w:rsid w:val="005D179D"/>
    <w:rsid w:val="005D2CC5"/>
    <w:rsid w:val="005D58F6"/>
    <w:rsid w:val="005D5E9B"/>
    <w:rsid w:val="005D7EBA"/>
    <w:rsid w:val="005E0FA9"/>
    <w:rsid w:val="005E1ECF"/>
    <w:rsid w:val="005E3717"/>
    <w:rsid w:val="005E3A18"/>
    <w:rsid w:val="005E4CCC"/>
    <w:rsid w:val="005E4E2B"/>
    <w:rsid w:val="005E7F15"/>
    <w:rsid w:val="005F1D8C"/>
    <w:rsid w:val="005F23E7"/>
    <w:rsid w:val="005F63F7"/>
    <w:rsid w:val="005F7DE3"/>
    <w:rsid w:val="00601DA2"/>
    <w:rsid w:val="00602FD6"/>
    <w:rsid w:val="00603284"/>
    <w:rsid w:val="00605785"/>
    <w:rsid w:val="0060767A"/>
    <w:rsid w:val="00610171"/>
    <w:rsid w:val="00612BB2"/>
    <w:rsid w:val="00612F53"/>
    <w:rsid w:val="00613CB1"/>
    <w:rsid w:val="006149EB"/>
    <w:rsid w:val="00621469"/>
    <w:rsid w:val="0062737B"/>
    <w:rsid w:val="00630F47"/>
    <w:rsid w:val="00631AA3"/>
    <w:rsid w:val="00632951"/>
    <w:rsid w:val="006333F3"/>
    <w:rsid w:val="00634258"/>
    <w:rsid w:val="00634947"/>
    <w:rsid w:val="006362D2"/>
    <w:rsid w:val="00640422"/>
    <w:rsid w:val="0064151B"/>
    <w:rsid w:val="006417AA"/>
    <w:rsid w:val="006420B8"/>
    <w:rsid w:val="00642D7E"/>
    <w:rsid w:val="0064363C"/>
    <w:rsid w:val="00644EBE"/>
    <w:rsid w:val="00645326"/>
    <w:rsid w:val="00647999"/>
    <w:rsid w:val="00650D03"/>
    <w:rsid w:val="00650FA4"/>
    <w:rsid w:val="00651D9E"/>
    <w:rsid w:val="0065271B"/>
    <w:rsid w:val="006533BC"/>
    <w:rsid w:val="006563C6"/>
    <w:rsid w:val="0065746B"/>
    <w:rsid w:val="006574C1"/>
    <w:rsid w:val="00660479"/>
    <w:rsid w:val="006622B7"/>
    <w:rsid w:val="00664927"/>
    <w:rsid w:val="00665BE8"/>
    <w:rsid w:val="0066668B"/>
    <w:rsid w:val="00670415"/>
    <w:rsid w:val="00670A60"/>
    <w:rsid w:val="006715E6"/>
    <w:rsid w:val="00674FAE"/>
    <w:rsid w:val="00675BEF"/>
    <w:rsid w:val="006760E6"/>
    <w:rsid w:val="006766FC"/>
    <w:rsid w:val="00676BEE"/>
    <w:rsid w:val="00676D88"/>
    <w:rsid w:val="00682C73"/>
    <w:rsid w:val="00683361"/>
    <w:rsid w:val="00683F9A"/>
    <w:rsid w:val="00684487"/>
    <w:rsid w:val="0068598C"/>
    <w:rsid w:val="00685FAD"/>
    <w:rsid w:val="0068633D"/>
    <w:rsid w:val="00690E41"/>
    <w:rsid w:val="006913B3"/>
    <w:rsid w:val="00693AF3"/>
    <w:rsid w:val="00693F70"/>
    <w:rsid w:val="00696004"/>
    <w:rsid w:val="00696A0E"/>
    <w:rsid w:val="00697D76"/>
    <w:rsid w:val="006A38D3"/>
    <w:rsid w:val="006A4DE1"/>
    <w:rsid w:val="006A4FA8"/>
    <w:rsid w:val="006A56E6"/>
    <w:rsid w:val="006A73FE"/>
    <w:rsid w:val="006B0333"/>
    <w:rsid w:val="006B08EB"/>
    <w:rsid w:val="006B0DB0"/>
    <w:rsid w:val="006B14FA"/>
    <w:rsid w:val="006B1687"/>
    <w:rsid w:val="006B1F32"/>
    <w:rsid w:val="006B1FB2"/>
    <w:rsid w:val="006B2B93"/>
    <w:rsid w:val="006B4311"/>
    <w:rsid w:val="006B4E00"/>
    <w:rsid w:val="006B603A"/>
    <w:rsid w:val="006B66FC"/>
    <w:rsid w:val="006B763B"/>
    <w:rsid w:val="006C25A3"/>
    <w:rsid w:val="006C2B5B"/>
    <w:rsid w:val="006C3317"/>
    <w:rsid w:val="006C3D49"/>
    <w:rsid w:val="006C52C7"/>
    <w:rsid w:val="006C5627"/>
    <w:rsid w:val="006D02B0"/>
    <w:rsid w:val="006D0644"/>
    <w:rsid w:val="006D1F24"/>
    <w:rsid w:val="006D2289"/>
    <w:rsid w:val="006D23CE"/>
    <w:rsid w:val="006D457E"/>
    <w:rsid w:val="006D5D5C"/>
    <w:rsid w:val="006E104D"/>
    <w:rsid w:val="006E1E3E"/>
    <w:rsid w:val="006E216F"/>
    <w:rsid w:val="006E4A74"/>
    <w:rsid w:val="006E603E"/>
    <w:rsid w:val="006E71DE"/>
    <w:rsid w:val="006F14DF"/>
    <w:rsid w:val="006F16C3"/>
    <w:rsid w:val="006F52A7"/>
    <w:rsid w:val="006F63CE"/>
    <w:rsid w:val="006F6874"/>
    <w:rsid w:val="006F706D"/>
    <w:rsid w:val="006F7070"/>
    <w:rsid w:val="007005E8"/>
    <w:rsid w:val="00700E7F"/>
    <w:rsid w:val="0070291D"/>
    <w:rsid w:val="00702E4D"/>
    <w:rsid w:val="00704845"/>
    <w:rsid w:val="00704CF8"/>
    <w:rsid w:val="00706D37"/>
    <w:rsid w:val="00707DAE"/>
    <w:rsid w:val="00707FA8"/>
    <w:rsid w:val="00714BF8"/>
    <w:rsid w:val="0071512F"/>
    <w:rsid w:val="007157C0"/>
    <w:rsid w:val="007169DD"/>
    <w:rsid w:val="00717A32"/>
    <w:rsid w:val="007227E1"/>
    <w:rsid w:val="007236CA"/>
    <w:rsid w:val="00727F8B"/>
    <w:rsid w:val="00730A1C"/>
    <w:rsid w:val="00731D6A"/>
    <w:rsid w:val="00732A1F"/>
    <w:rsid w:val="00734196"/>
    <w:rsid w:val="00735A1C"/>
    <w:rsid w:val="00736E37"/>
    <w:rsid w:val="007419D0"/>
    <w:rsid w:val="007439A1"/>
    <w:rsid w:val="00745593"/>
    <w:rsid w:val="00747006"/>
    <w:rsid w:val="007470A9"/>
    <w:rsid w:val="007503B8"/>
    <w:rsid w:val="00750E86"/>
    <w:rsid w:val="00753E34"/>
    <w:rsid w:val="00756A9B"/>
    <w:rsid w:val="00757BD7"/>
    <w:rsid w:val="007618D0"/>
    <w:rsid w:val="00762207"/>
    <w:rsid w:val="00762EDA"/>
    <w:rsid w:val="00762FCA"/>
    <w:rsid w:val="0076374C"/>
    <w:rsid w:val="00765223"/>
    <w:rsid w:val="007658AD"/>
    <w:rsid w:val="00771D1E"/>
    <w:rsid w:val="007739BB"/>
    <w:rsid w:val="00774039"/>
    <w:rsid w:val="00775898"/>
    <w:rsid w:val="0077731B"/>
    <w:rsid w:val="0078357C"/>
    <w:rsid w:val="00792C16"/>
    <w:rsid w:val="00793421"/>
    <w:rsid w:val="00793ED2"/>
    <w:rsid w:val="007973AF"/>
    <w:rsid w:val="00797B74"/>
    <w:rsid w:val="00797F4A"/>
    <w:rsid w:val="007A2D01"/>
    <w:rsid w:val="007A5689"/>
    <w:rsid w:val="007A6443"/>
    <w:rsid w:val="007A6A19"/>
    <w:rsid w:val="007A6A31"/>
    <w:rsid w:val="007A7768"/>
    <w:rsid w:val="007A7DE3"/>
    <w:rsid w:val="007B1D24"/>
    <w:rsid w:val="007B2120"/>
    <w:rsid w:val="007B23E3"/>
    <w:rsid w:val="007B4E1F"/>
    <w:rsid w:val="007C19E3"/>
    <w:rsid w:val="007C2AE2"/>
    <w:rsid w:val="007C2FD5"/>
    <w:rsid w:val="007C43A4"/>
    <w:rsid w:val="007C4B83"/>
    <w:rsid w:val="007C74AA"/>
    <w:rsid w:val="007D02B0"/>
    <w:rsid w:val="007D2182"/>
    <w:rsid w:val="007D32CD"/>
    <w:rsid w:val="007D4660"/>
    <w:rsid w:val="007E00FB"/>
    <w:rsid w:val="007E0D06"/>
    <w:rsid w:val="007E2602"/>
    <w:rsid w:val="007E4FB0"/>
    <w:rsid w:val="007E569C"/>
    <w:rsid w:val="007E741D"/>
    <w:rsid w:val="007F09B7"/>
    <w:rsid w:val="007F0B1A"/>
    <w:rsid w:val="007F1131"/>
    <w:rsid w:val="007F1E2F"/>
    <w:rsid w:val="007F441E"/>
    <w:rsid w:val="007F4739"/>
    <w:rsid w:val="007F53B9"/>
    <w:rsid w:val="007F632E"/>
    <w:rsid w:val="007F7390"/>
    <w:rsid w:val="00804CAC"/>
    <w:rsid w:val="00804E7D"/>
    <w:rsid w:val="0080626A"/>
    <w:rsid w:val="008071C3"/>
    <w:rsid w:val="008123CD"/>
    <w:rsid w:val="00817445"/>
    <w:rsid w:val="008175EF"/>
    <w:rsid w:val="0081770B"/>
    <w:rsid w:val="008204EE"/>
    <w:rsid w:val="008224C7"/>
    <w:rsid w:val="008260B7"/>
    <w:rsid w:val="00827763"/>
    <w:rsid w:val="00827B43"/>
    <w:rsid w:val="00831B8F"/>
    <w:rsid w:val="00833E5A"/>
    <w:rsid w:val="00837B66"/>
    <w:rsid w:val="00840E5C"/>
    <w:rsid w:val="00841654"/>
    <w:rsid w:val="00842DD2"/>
    <w:rsid w:val="008442EE"/>
    <w:rsid w:val="0084442D"/>
    <w:rsid w:val="00845307"/>
    <w:rsid w:val="0084558F"/>
    <w:rsid w:val="00846017"/>
    <w:rsid w:val="00846CE9"/>
    <w:rsid w:val="00846D2A"/>
    <w:rsid w:val="00847607"/>
    <w:rsid w:val="00847E8E"/>
    <w:rsid w:val="0085307A"/>
    <w:rsid w:val="00853654"/>
    <w:rsid w:val="008541C4"/>
    <w:rsid w:val="00854FC2"/>
    <w:rsid w:val="008575AB"/>
    <w:rsid w:val="00860141"/>
    <w:rsid w:val="00861A7C"/>
    <w:rsid w:val="00864E8A"/>
    <w:rsid w:val="00866A08"/>
    <w:rsid w:val="00867166"/>
    <w:rsid w:val="0087384D"/>
    <w:rsid w:val="0087552B"/>
    <w:rsid w:val="00875A94"/>
    <w:rsid w:val="00875C13"/>
    <w:rsid w:val="00875DF0"/>
    <w:rsid w:val="00876227"/>
    <w:rsid w:val="008813FA"/>
    <w:rsid w:val="00881680"/>
    <w:rsid w:val="008817B8"/>
    <w:rsid w:val="00882BCD"/>
    <w:rsid w:val="00890A99"/>
    <w:rsid w:val="008913F7"/>
    <w:rsid w:val="00892180"/>
    <w:rsid w:val="00894856"/>
    <w:rsid w:val="00895C1A"/>
    <w:rsid w:val="008960FF"/>
    <w:rsid w:val="00897FF3"/>
    <w:rsid w:val="008A0E00"/>
    <w:rsid w:val="008A3ACF"/>
    <w:rsid w:val="008A545E"/>
    <w:rsid w:val="008A71F9"/>
    <w:rsid w:val="008B03AC"/>
    <w:rsid w:val="008B0DEE"/>
    <w:rsid w:val="008B1608"/>
    <w:rsid w:val="008B4AAC"/>
    <w:rsid w:val="008B4DE6"/>
    <w:rsid w:val="008B5075"/>
    <w:rsid w:val="008C08D6"/>
    <w:rsid w:val="008C2908"/>
    <w:rsid w:val="008C293B"/>
    <w:rsid w:val="008C2E05"/>
    <w:rsid w:val="008C3155"/>
    <w:rsid w:val="008D0295"/>
    <w:rsid w:val="008D13BE"/>
    <w:rsid w:val="008D1B33"/>
    <w:rsid w:val="008D4FB1"/>
    <w:rsid w:val="008D507D"/>
    <w:rsid w:val="008E0E3C"/>
    <w:rsid w:val="008E1B72"/>
    <w:rsid w:val="008E1D11"/>
    <w:rsid w:val="008E2CBC"/>
    <w:rsid w:val="008E2D11"/>
    <w:rsid w:val="008E44F1"/>
    <w:rsid w:val="008E45AE"/>
    <w:rsid w:val="008E4CE5"/>
    <w:rsid w:val="008E5FE0"/>
    <w:rsid w:val="008E79FA"/>
    <w:rsid w:val="008E7CFD"/>
    <w:rsid w:val="008E7D6F"/>
    <w:rsid w:val="008F1035"/>
    <w:rsid w:val="008F5544"/>
    <w:rsid w:val="008F63D4"/>
    <w:rsid w:val="00900100"/>
    <w:rsid w:val="009011EB"/>
    <w:rsid w:val="00902E5E"/>
    <w:rsid w:val="00905980"/>
    <w:rsid w:val="0090697D"/>
    <w:rsid w:val="009106D9"/>
    <w:rsid w:val="00910B18"/>
    <w:rsid w:val="00910B50"/>
    <w:rsid w:val="00911F12"/>
    <w:rsid w:val="00913B52"/>
    <w:rsid w:val="00914384"/>
    <w:rsid w:val="00915657"/>
    <w:rsid w:val="009178D3"/>
    <w:rsid w:val="00917AFA"/>
    <w:rsid w:val="00917B0C"/>
    <w:rsid w:val="009201E1"/>
    <w:rsid w:val="0092107D"/>
    <w:rsid w:val="00922A0F"/>
    <w:rsid w:val="00922FC0"/>
    <w:rsid w:val="009238C1"/>
    <w:rsid w:val="00925287"/>
    <w:rsid w:val="0092595C"/>
    <w:rsid w:val="009279B1"/>
    <w:rsid w:val="00930D18"/>
    <w:rsid w:val="00931D40"/>
    <w:rsid w:val="009364A8"/>
    <w:rsid w:val="00937081"/>
    <w:rsid w:val="00941FDD"/>
    <w:rsid w:val="009426B2"/>
    <w:rsid w:val="00942B5B"/>
    <w:rsid w:val="00944A33"/>
    <w:rsid w:val="00945904"/>
    <w:rsid w:val="009524D4"/>
    <w:rsid w:val="0095363E"/>
    <w:rsid w:val="0095410C"/>
    <w:rsid w:val="009550B1"/>
    <w:rsid w:val="00960297"/>
    <w:rsid w:val="00960B9D"/>
    <w:rsid w:val="009629EA"/>
    <w:rsid w:val="00962CA6"/>
    <w:rsid w:val="00964B1C"/>
    <w:rsid w:val="00964E72"/>
    <w:rsid w:val="0096565F"/>
    <w:rsid w:val="00965AAE"/>
    <w:rsid w:val="00965D26"/>
    <w:rsid w:val="009712A9"/>
    <w:rsid w:val="009725B0"/>
    <w:rsid w:val="00973A07"/>
    <w:rsid w:val="009742E7"/>
    <w:rsid w:val="009760DA"/>
    <w:rsid w:val="009766A1"/>
    <w:rsid w:val="009808B4"/>
    <w:rsid w:val="00980BA7"/>
    <w:rsid w:val="009820FE"/>
    <w:rsid w:val="00984E2A"/>
    <w:rsid w:val="00985439"/>
    <w:rsid w:val="00985863"/>
    <w:rsid w:val="00990E5E"/>
    <w:rsid w:val="00991145"/>
    <w:rsid w:val="00991FEC"/>
    <w:rsid w:val="00992372"/>
    <w:rsid w:val="00992D46"/>
    <w:rsid w:val="00993F62"/>
    <w:rsid w:val="00995918"/>
    <w:rsid w:val="00995AC3"/>
    <w:rsid w:val="00997C43"/>
    <w:rsid w:val="009A0E1D"/>
    <w:rsid w:val="009A1002"/>
    <w:rsid w:val="009A1043"/>
    <w:rsid w:val="009A1B56"/>
    <w:rsid w:val="009A30DB"/>
    <w:rsid w:val="009A488D"/>
    <w:rsid w:val="009A62BE"/>
    <w:rsid w:val="009A62FC"/>
    <w:rsid w:val="009A6FE4"/>
    <w:rsid w:val="009B022D"/>
    <w:rsid w:val="009B1B87"/>
    <w:rsid w:val="009B2E9E"/>
    <w:rsid w:val="009B47D6"/>
    <w:rsid w:val="009B58AA"/>
    <w:rsid w:val="009B64F9"/>
    <w:rsid w:val="009C1189"/>
    <w:rsid w:val="009C212E"/>
    <w:rsid w:val="009C2C95"/>
    <w:rsid w:val="009C3332"/>
    <w:rsid w:val="009C45E4"/>
    <w:rsid w:val="009C46DA"/>
    <w:rsid w:val="009C727F"/>
    <w:rsid w:val="009D0C3E"/>
    <w:rsid w:val="009D0E2B"/>
    <w:rsid w:val="009D2A42"/>
    <w:rsid w:val="009D3772"/>
    <w:rsid w:val="009D480C"/>
    <w:rsid w:val="009D57B4"/>
    <w:rsid w:val="009D61AE"/>
    <w:rsid w:val="009D7946"/>
    <w:rsid w:val="009E12E5"/>
    <w:rsid w:val="009E3ACE"/>
    <w:rsid w:val="009E5003"/>
    <w:rsid w:val="009E551E"/>
    <w:rsid w:val="009E667A"/>
    <w:rsid w:val="009E6EEF"/>
    <w:rsid w:val="009E7D44"/>
    <w:rsid w:val="009F4E92"/>
    <w:rsid w:val="009F6C15"/>
    <w:rsid w:val="00A01C70"/>
    <w:rsid w:val="00A024FD"/>
    <w:rsid w:val="00A0319E"/>
    <w:rsid w:val="00A0458E"/>
    <w:rsid w:val="00A04A4F"/>
    <w:rsid w:val="00A05005"/>
    <w:rsid w:val="00A05D65"/>
    <w:rsid w:val="00A07498"/>
    <w:rsid w:val="00A074DB"/>
    <w:rsid w:val="00A11452"/>
    <w:rsid w:val="00A1164C"/>
    <w:rsid w:val="00A15260"/>
    <w:rsid w:val="00A15DF0"/>
    <w:rsid w:val="00A2068C"/>
    <w:rsid w:val="00A21510"/>
    <w:rsid w:val="00A2284F"/>
    <w:rsid w:val="00A24200"/>
    <w:rsid w:val="00A26917"/>
    <w:rsid w:val="00A26EAB"/>
    <w:rsid w:val="00A2762A"/>
    <w:rsid w:val="00A278E1"/>
    <w:rsid w:val="00A2792B"/>
    <w:rsid w:val="00A3223E"/>
    <w:rsid w:val="00A34770"/>
    <w:rsid w:val="00A36A75"/>
    <w:rsid w:val="00A36C8B"/>
    <w:rsid w:val="00A370AD"/>
    <w:rsid w:val="00A43069"/>
    <w:rsid w:val="00A44BEA"/>
    <w:rsid w:val="00A46227"/>
    <w:rsid w:val="00A46380"/>
    <w:rsid w:val="00A46FCC"/>
    <w:rsid w:val="00A477BE"/>
    <w:rsid w:val="00A50E49"/>
    <w:rsid w:val="00A52B94"/>
    <w:rsid w:val="00A54439"/>
    <w:rsid w:val="00A5778B"/>
    <w:rsid w:val="00A57A74"/>
    <w:rsid w:val="00A606BA"/>
    <w:rsid w:val="00A615D9"/>
    <w:rsid w:val="00A61A19"/>
    <w:rsid w:val="00A62391"/>
    <w:rsid w:val="00A64E7F"/>
    <w:rsid w:val="00A65E74"/>
    <w:rsid w:val="00A662EA"/>
    <w:rsid w:val="00A71552"/>
    <w:rsid w:val="00A7282A"/>
    <w:rsid w:val="00A728A1"/>
    <w:rsid w:val="00A742BD"/>
    <w:rsid w:val="00A743A9"/>
    <w:rsid w:val="00A77345"/>
    <w:rsid w:val="00A80DE3"/>
    <w:rsid w:val="00A818F0"/>
    <w:rsid w:val="00A8231D"/>
    <w:rsid w:val="00A82D24"/>
    <w:rsid w:val="00A83619"/>
    <w:rsid w:val="00A83CB0"/>
    <w:rsid w:val="00A862E5"/>
    <w:rsid w:val="00A863A1"/>
    <w:rsid w:val="00A872F7"/>
    <w:rsid w:val="00A874CB"/>
    <w:rsid w:val="00A87FC1"/>
    <w:rsid w:val="00A9005F"/>
    <w:rsid w:val="00A91E50"/>
    <w:rsid w:val="00A95B37"/>
    <w:rsid w:val="00A967F7"/>
    <w:rsid w:val="00A97907"/>
    <w:rsid w:val="00AA0535"/>
    <w:rsid w:val="00AA2C47"/>
    <w:rsid w:val="00AA4098"/>
    <w:rsid w:val="00AA5E63"/>
    <w:rsid w:val="00AA78ED"/>
    <w:rsid w:val="00AB112B"/>
    <w:rsid w:val="00AB2040"/>
    <w:rsid w:val="00AB627E"/>
    <w:rsid w:val="00AB7204"/>
    <w:rsid w:val="00AC3788"/>
    <w:rsid w:val="00AC3C5D"/>
    <w:rsid w:val="00AD1023"/>
    <w:rsid w:val="00AD13AE"/>
    <w:rsid w:val="00AD393B"/>
    <w:rsid w:val="00AD3F30"/>
    <w:rsid w:val="00AD499F"/>
    <w:rsid w:val="00AD6C6F"/>
    <w:rsid w:val="00AD7A97"/>
    <w:rsid w:val="00AD7B35"/>
    <w:rsid w:val="00AD7F67"/>
    <w:rsid w:val="00AE0085"/>
    <w:rsid w:val="00AE0767"/>
    <w:rsid w:val="00AE0CF3"/>
    <w:rsid w:val="00AE123C"/>
    <w:rsid w:val="00AE1D01"/>
    <w:rsid w:val="00AE350B"/>
    <w:rsid w:val="00AE4149"/>
    <w:rsid w:val="00AE6F85"/>
    <w:rsid w:val="00AF0683"/>
    <w:rsid w:val="00AF158B"/>
    <w:rsid w:val="00AF2A8F"/>
    <w:rsid w:val="00AF2C52"/>
    <w:rsid w:val="00AF38D1"/>
    <w:rsid w:val="00AF4B39"/>
    <w:rsid w:val="00B004D6"/>
    <w:rsid w:val="00B02817"/>
    <w:rsid w:val="00B035BA"/>
    <w:rsid w:val="00B10375"/>
    <w:rsid w:val="00B1228F"/>
    <w:rsid w:val="00B13B43"/>
    <w:rsid w:val="00B14CDF"/>
    <w:rsid w:val="00B177FC"/>
    <w:rsid w:val="00B20B3C"/>
    <w:rsid w:val="00B21DA1"/>
    <w:rsid w:val="00B22B1A"/>
    <w:rsid w:val="00B23AC4"/>
    <w:rsid w:val="00B27308"/>
    <w:rsid w:val="00B32477"/>
    <w:rsid w:val="00B33492"/>
    <w:rsid w:val="00B33AA6"/>
    <w:rsid w:val="00B34277"/>
    <w:rsid w:val="00B34ED3"/>
    <w:rsid w:val="00B35140"/>
    <w:rsid w:val="00B354F5"/>
    <w:rsid w:val="00B35A0E"/>
    <w:rsid w:val="00B36613"/>
    <w:rsid w:val="00B379D6"/>
    <w:rsid w:val="00B37DB7"/>
    <w:rsid w:val="00B4006C"/>
    <w:rsid w:val="00B44227"/>
    <w:rsid w:val="00B459F0"/>
    <w:rsid w:val="00B51F38"/>
    <w:rsid w:val="00B5209D"/>
    <w:rsid w:val="00B61A0A"/>
    <w:rsid w:val="00B63607"/>
    <w:rsid w:val="00B66224"/>
    <w:rsid w:val="00B6648A"/>
    <w:rsid w:val="00B66AD8"/>
    <w:rsid w:val="00B70460"/>
    <w:rsid w:val="00B70CFA"/>
    <w:rsid w:val="00B71BFD"/>
    <w:rsid w:val="00B72B5E"/>
    <w:rsid w:val="00B73232"/>
    <w:rsid w:val="00B73C16"/>
    <w:rsid w:val="00B74EE4"/>
    <w:rsid w:val="00B75953"/>
    <w:rsid w:val="00B75A2D"/>
    <w:rsid w:val="00B75F8B"/>
    <w:rsid w:val="00B8074F"/>
    <w:rsid w:val="00B81A78"/>
    <w:rsid w:val="00B87C42"/>
    <w:rsid w:val="00B90CEF"/>
    <w:rsid w:val="00B91FC2"/>
    <w:rsid w:val="00B923E1"/>
    <w:rsid w:val="00B92544"/>
    <w:rsid w:val="00B9356E"/>
    <w:rsid w:val="00B93E82"/>
    <w:rsid w:val="00B9494B"/>
    <w:rsid w:val="00BA14A3"/>
    <w:rsid w:val="00BA4753"/>
    <w:rsid w:val="00BA77DE"/>
    <w:rsid w:val="00BA78E3"/>
    <w:rsid w:val="00BB078E"/>
    <w:rsid w:val="00BB49D5"/>
    <w:rsid w:val="00BB6283"/>
    <w:rsid w:val="00BB7AC6"/>
    <w:rsid w:val="00BC01EE"/>
    <w:rsid w:val="00BC07C9"/>
    <w:rsid w:val="00BC4C16"/>
    <w:rsid w:val="00BC5F6A"/>
    <w:rsid w:val="00BC602A"/>
    <w:rsid w:val="00BC73C0"/>
    <w:rsid w:val="00BD4FED"/>
    <w:rsid w:val="00BD7E2B"/>
    <w:rsid w:val="00BE0011"/>
    <w:rsid w:val="00BE07AC"/>
    <w:rsid w:val="00BE2182"/>
    <w:rsid w:val="00BE25B6"/>
    <w:rsid w:val="00BE2868"/>
    <w:rsid w:val="00BE29C4"/>
    <w:rsid w:val="00BE3089"/>
    <w:rsid w:val="00BE4D7F"/>
    <w:rsid w:val="00BF120D"/>
    <w:rsid w:val="00BF3006"/>
    <w:rsid w:val="00BF5925"/>
    <w:rsid w:val="00BF7F05"/>
    <w:rsid w:val="00C02916"/>
    <w:rsid w:val="00C02B77"/>
    <w:rsid w:val="00C05D24"/>
    <w:rsid w:val="00C06315"/>
    <w:rsid w:val="00C06B02"/>
    <w:rsid w:val="00C075C3"/>
    <w:rsid w:val="00C1389E"/>
    <w:rsid w:val="00C14262"/>
    <w:rsid w:val="00C162D5"/>
    <w:rsid w:val="00C16664"/>
    <w:rsid w:val="00C16AB1"/>
    <w:rsid w:val="00C16D51"/>
    <w:rsid w:val="00C21285"/>
    <w:rsid w:val="00C21B7E"/>
    <w:rsid w:val="00C26812"/>
    <w:rsid w:val="00C33895"/>
    <w:rsid w:val="00C34A27"/>
    <w:rsid w:val="00C35BA2"/>
    <w:rsid w:val="00C40132"/>
    <w:rsid w:val="00C40F85"/>
    <w:rsid w:val="00C43802"/>
    <w:rsid w:val="00C441C4"/>
    <w:rsid w:val="00C44B61"/>
    <w:rsid w:val="00C50875"/>
    <w:rsid w:val="00C50F1C"/>
    <w:rsid w:val="00C53060"/>
    <w:rsid w:val="00C53283"/>
    <w:rsid w:val="00C53D8B"/>
    <w:rsid w:val="00C540EB"/>
    <w:rsid w:val="00C5572C"/>
    <w:rsid w:val="00C57C70"/>
    <w:rsid w:val="00C60B1A"/>
    <w:rsid w:val="00C61F66"/>
    <w:rsid w:val="00C6296F"/>
    <w:rsid w:val="00C63E56"/>
    <w:rsid w:val="00C6400C"/>
    <w:rsid w:val="00C64293"/>
    <w:rsid w:val="00C64F1C"/>
    <w:rsid w:val="00C65E08"/>
    <w:rsid w:val="00C72E1F"/>
    <w:rsid w:val="00C7317D"/>
    <w:rsid w:val="00C73828"/>
    <w:rsid w:val="00C74566"/>
    <w:rsid w:val="00C75709"/>
    <w:rsid w:val="00C76766"/>
    <w:rsid w:val="00C76CBC"/>
    <w:rsid w:val="00C805B2"/>
    <w:rsid w:val="00C814F3"/>
    <w:rsid w:val="00C82C15"/>
    <w:rsid w:val="00C83EB6"/>
    <w:rsid w:val="00C90242"/>
    <w:rsid w:val="00C902C2"/>
    <w:rsid w:val="00C9090E"/>
    <w:rsid w:val="00C90E1F"/>
    <w:rsid w:val="00C912C0"/>
    <w:rsid w:val="00C91D34"/>
    <w:rsid w:val="00C9284A"/>
    <w:rsid w:val="00C92E49"/>
    <w:rsid w:val="00C94BF1"/>
    <w:rsid w:val="00C96261"/>
    <w:rsid w:val="00C96728"/>
    <w:rsid w:val="00C97EBF"/>
    <w:rsid w:val="00CA1201"/>
    <w:rsid w:val="00CA225A"/>
    <w:rsid w:val="00CA29FE"/>
    <w:rsid w:val="00CA2F55"/>
    <w:rsid w:val="00CA3497"/>
    <w:rsid w:val="00CA5E45"/>
    <w:rsid w:val="00CA5E6A"/>
    <w:rsid w:val="00CA73AF"/>
    <w:rsid w:val="00CA7FDC"/>
    <w:rsid w:val="00CB073E"/>
    <w:rsid w:val="00CB5A33"/>
    <w:rsid w:val="00CB7C13"/>
    <w:rsid w:val="00CB7EE0"/>
    <w:rsid w:val="00CC39E9"/>
    <w:rsid w:val="00CC3BB2"/>
    <w:rsid w:val="00CC4D27"/>
    <w:rsid w:val="00CC4D6D"/>
    <w:rsid w:val="00CC4F75"/>
    <w:rsid w:val="00CC5B09"/>
    <w:rsid w:val="00CC6A31"/>
    <w:rsid w:val="00CC729F"/>
    <w:rsid w:val="00CC79A3"/>
    <w:rsid w:val="00CD071F"/>
    <w:rsid w:val="00CD2520"/>
    <w:rsid w:val="00CD2B8C"/>
    <w:rsid w:val="00CD3556"/>
    <w:rsid w:val="00CD370C"/>
    <w:rsid w:val="00CD3D0E"/>
    <w:rsid w:val="00CD4F54"/>
    <w:rsid w:val="00CD5C71"/>
    <w:rsid w:val="00CD5FB7"/>
    <w:rsid w:val="00CD7FF9"/>
    <w:rsid w:val="00CE041F"/>
    <w:rsid w:val="00CE0E09"/>
    <w:rsid w:val="00CE5FD0"/>
    <w:rsid w:val="00CE7E24"/>
    <w:rsid w:val="00CF082C"/>
    <w:rsid w:val="00CF0FC9"/>
    <w:rsid w:val="00CF1134"/>
    <w:rsid w:val="00CF34DB"/>
    <w:rsid w:val="00CF36EA"/>
    <w:rsid w:val="00CF78DC"/>
    <w:rsid w:val="00CF7F58"/>
    <w:rsid w:val="00D03372"/>
    <w:rsid w:val="00D03F0A"/>
    <w:rsid w:val="00D0508E"/>
    <w:rsid w:val="00D06B40"/>
    <w:rsid w:val="00D06C84"/>
    <w:rsid w:val="00D0722B"/>
    <w:rsid w:val="00D10420"/>
    <w:rsid w:val="00D12091"/>
    <w:rsid w:val="00D13086"/>
    <w:rsid w:val="00D153F3"/>
    <w:rsid w:val="00D17A70"/>
    <w:rsid w:val="00D21059"/>
    <w:rsid w:val="00D2397A"/>
    <w:rsid w:val="00D26647"/>
    <w:rsid w:val="00D3177D"/>
    <w:rsid w:val="00D320AE"/>
    <w:rsid w:val="00D348B3"/>
    <w:rsid w:val="00D35730"/>
    <w:rsid w:val="00D3690C"/>
    <w:rsid w:val="00D41AF7"/>
    <w:rsid w:val="00D43036"/>
    <w:rsid w:val="00D451F5"/>
    <w:rsid w:val="00D45D09"/>
    <w:rsid w:val="00D46217"/>
    <w:rsid w:val="00D47178"/>
    <w:rsid w:val="00D5008E"/>
    <w:rsid w:val="00D53F7D"/>
    <w:rsid w:val="00D550E3"/>
    <w:rsid w:val="00D56863"/>
    <w:rsid w:val="00D579DB"/>
    <w:rsid w:val="00D636DC"/>
    <w:rsid w:val="00D65422"/>
    <w:rsid w:val="00D65BF2"/>
    <w:rsid w:val="00D6729F"/>
    <w:rsid w:val="00D71C42"/>
    <w:rsid w:val="00D779DA"/>
    <w:rsid w:val="00D81C20"/>
    <w:rsid w:val="00D81F56"/>
    <w:rsid w:val="00D827E0"/>
    <w:rsid w:val="00D82DC9"/>
    <w:rsid w:val="00D837FA"/>
    <w:rsid w:val="00D843FC"/>
    <w:rsid w:val="00D85665"/>
    <w:rsid w:val="00D8655F"/>
    <w:rsid w:val="00D91C6C"/>
    <w:rsid w:val="00D93A0A"/>
    <w:rsid w:val="00D93E77"/>
    <w:rsid w:val="00D940A1"/>
    <w:rsid w:val="00D94431"/>
    <w:rsid w:val="00D965D3"/>
    <w:rsid w:val="00DA0C30"/>
    <w:rsid w:val="00DA2651"/>
    <w:rsid w:val="00DA2E0E"/>
    <w:rsid w:val="00DA4446"/>
    <w:rsid w:val="00DA50EC"/>
    <w:rsid w:val="00DA5A73"/>
    <w:rsid w:val="00DA612F"/>
    <w:rsid w:val="00DA704B"/>
    <w:rsid w:val="00DB09A4"/>
    <w:rsid w:val="00DB0AAD"/>
    <w:rsid w:val="00DB0CA7"/>
    <w:rsid w:val="00DB3FAB"/>
    <w:rsid w:val="00DB6717"/>
    <w:rsid w:val="00DB7920"/>
    <w:rsid w:val="00DC087D"/>
    <w:rsid w:val="00DC2285"/>
    <w:rsid w:val="00DC2E6B"/>
    <w:rsid w:val="00DC4207"/>
    <w:rsid w:val="00DD1B61"/>
    <w:rsid w:val="00DD2F76"/>
    <w:rsid w:val="00DD50E0"/>
    <w:rsid w:val="00DD5126"/>
    <w:rsid w:val="00DD5333"/>
    <w:rsid w:val="00DD7633"/>
    <w:rsid w:val="00DE1A79"/>
    <w:rsid w:val="00DE1DF4"/>
    <w:rsid w:val="00DE32BF"/>
    <w:rsid w:val="00DE4C91"/>
    <w:rsid w:val="00DE4D56"/>
    <w:rsid w:val="00DE67F4"/>
    <w:rsid w:val="00DE7C12"/>
    <w:rsid w:val="00DF0435"/>
    <w:rsid w:val="00DF0BE8"/>
    <w:rsid w:val="00DF1223"/>
    <w:rsid w:val="00DF1EF3"/>
    <w:rsid w:val="00DF3470"/>
    <w:rsid w:val="00DF3D82"/>
    <w:rsid w:val="00DF524B"/>
    <w:rsid w:val="00DF594B"/>
    <w:rsid w:val="00E04F0C"/>
    <w:rsid w:val="00E0554E"/>
    <w:rsid w:val="00E05550"/>
    <w:rsid w:val="00E063A4"/>
    <w:rsid w:val="00E06C1B"/>
    <w:rsid w:val="00E07395"/>
    <w:rsid w:val="00E07EC2"/>
    <w:rsid w:val="00E11FFA"/>
    <w:rsid w:val="00E127FB"/>
    <w:rsid w:val="00E13479"/>
    <w:rsid w:val="00E1592A"/>
    <w:rsid w:val="00E15D25"/>
    <w:rsid w:val="00E23F3C"/>
    <w:rsid w:val="00E26C16"/>
    <w:rsid w:val="00E26CE6"/>
    <w:rsid w:val="00E26EB8"/>
    <w:rsid w:val="00E30DD3"/>
    <w:rsid w:val="00E32066"/>
    <w:rsid w:val="00E32158"/>
    <w:rsid w:val="00E329C7"/>
    <w:rsid w:val="00E343FA"/>
    <w:rsid w:val="00E34F70"/>
    <w:rsid w:val="00E34FF8"/>
    <w:rsid w:val="00E41053"/>
    <w:rsid w:val="00E41A5F"/>
    <w:rsid w:val="00E445D0"/>
    <w:rsid w:val="00E44712"/>
    <w:rsid w:val="00E459E4"/>
    <w:rsid w:val="00E4636A"/>
    <w:rsid w:val="00E4792C"/>
    <w:rsid w:val="00E52B61"/>
    <w:rsid w:val="00E5495C"/>
    <w:rsid w:val="00E54FF5"/>
    <w:rsid w:val="00E56F9D"/>
    <w:rsid w:val="00E57CB9"/>
    <w:rsid w:val="00E604B9"/>
    <w:rsid w:val="00E60DAD"/>
    <w:rsid w:val="00E61CD8"/>
    <w:rsid w:val="00E6287A"/>
    <w:rsid w:val="00E62C17"/>
    <w:rsid w:val="00E63BB2"/>
    <w:rsid w:val="00E63DA2"/>
    <w:rsid w:val="00E66568"/>
    <w:rsid w:val="00E70685"/>
    <w:rsid w:val="00E70C81"/>
    <w:rsid w:val="00E70D80"/>
    <w:rsid w:val="00E7320C"/>
    <w:rsid w:val="00E734A2"/>
    <w:rsid w:val="00E74E6B"/>
    <w:rsid w:val="00E75AB5"/>
    <w:rsid w:val="00E772CC"/>
    <w:rsid w:val="00E80691"/>
    <w:rsid w:val="00E82642"/>
    <w:rsid w:val="00E8341A"/>
    <w:rsid w:val="00E84F8B"/>
    <w:rsid w:val="00E854DE"/>
    <w:rsid w:val="00E86342"/>
    <w:rsid w:val="00E91650"/>
    <w:rsid w:val="00E93986"/>
    <w:rsid w:val="00E94A02"/>
    <w:rsid w:val="00E95117"/>
    <w:rsid w:val="00E96D98"/>
    <w:rsid w:val="00E97604"/>
    <w:rsid w:val="00EA216F"/>
    <w:rsid w:val="00EA571E"/>
    <w:rsid w:val="00EA5D1F"/>
    <w:rsid w:val="00EA6789"/>
    <w:rsid w:val="00EA76C8"/>
    <w:rsid w:val="00EB0AA6"/>
    <w:rsid w:val="00EB23E4"/>
    <w:rsid w:val="00EB4783"/>
    <w:rsid w:val="00EB6408"/>
    <w:rsid w:val="00EC0783"/>
    <w:rsid w:val="00EC1DF3"/>
    <w:rsid w:val="00EC2D27"/>
    <w:rsid w:val="00EC4998"/>
    <w:rsid w:val="00EC6651"/>
    <w:rsid w:val="00EC6E5E"/>
    <w:rsid w:val="00ED230A"/>
    <w:rsid w:val="00ED2D74"/>
    <w:rsid w:val="00ED4244"/>
    <w:rsid w:val="00ED5628"/>
    <w:rsid w:val="00ED57D6"/>
    <w:rsid w:val="00EE0C74"/>
    <w:rsid w:val="00EE1882"/>
    <w:rsid w:val="00EE1EB5"/>
    <w:rsid w:val="00EE22D6"/>
    <w:rsid w:val="00EE6463"/>
    <w:rsid w:val="00EF0FF6"/>
    <w:rsid w:val="00EF1078"/>
    <w:rsid w:val="00EF1738"/>
    <w:rsid w:val="00EF50FC"/>
    <w:rsid w:val="00EF6D3F"/>
    <w:rsid w:val="00F001EA"/>
    <w:rsid w:val="00F0523B"/>
    <w:rsid w:val="00F05A30"/>
    <w:rsid w:val="00F067BE"/>
    <w:rsid w:val="00F07604"/>
    <w:rsid w:val="00F153DB"/>
    <w:rsid w:val="00F157F6"/>
    <w:rsid w:val="00F20760"/>
    <w:rsid w:val="00F20C12"/>
    <w:rsid w:val="00F21434"/>
    <w:rsid w:val="00F2451E"/>
    <w:rsid w:val="00F24A9D"/>
    <w:rsid w:val="00F25249"/>
    <w:rsid w:val="00F25CBD"/>
    <w:rsid w:val="00F25D10"/>
    <w:rsid w:val="00F26A19"/>
    <w:rsid w:val="00F26B8B"/>
    <w:rsid w:val="00F30089"/>
    <w:rsid w:val="00F31186"/>
    <w:rsid w:val="00F31EB0"/>
    <w:rsid w:val="00F3325A"/>
    <w:rsid w:val="00F356CD"/>
    <w:rsid w:val="00F361DD"/>
    <w:rsid w:val="00F371AD"/>
    <w:rsid w:val="00F40930"/>
    <w:rsid w:val="00F40C7D"/>
    <w:rsid w:val="00F5075F"/>
    <w:rsid w:val="00F5151C"/>
    <w:rsid w:val="00F51682"/>
    <w:rsid w:val="00F51D56"/>
    <w:rsid w:val="00F52FD3"/>
    <w:rsid w:val="00F544A1"/>
    <w:rsid w:val="00F56EFC"/>
    <w:rsid w:val="00F56FB2"/>
    <w:rsid w:val="00F60F1B"/>
    <w:rsid w:val="00F61EFD"/>
    <w:rsid w:val="00F63515"/>
    <w:rsid w:val="00F639F5"/>
    <w:rsid w:val="00F645E3"/>
    <w:rsid w:val="00F64B65"/>
    <w:rsid w:val="00F651F0"/>
    <w:rsid w:val="00F65F2D"/>
    <w:rsid w:val="00F71300"/>
    <w:rsid w:val="00F71FB7"/>
    <w:rsid w:val="00F74123"/>
    <w:rsid w:val="00F74B24"/>
    <w:rsid w:val="00F753AD"/>
    <w:rsid w:val="00F80E84"/>
    <w:rsid w:val="00F814AA"/>
    <w:rsid w:val="00F824C2"/>
    <w:rsid w:val="00F84AA8"/>
    <w:rsid w:val="00F85260"/>
    <w:rsid w:val="00F853A1"/>
    <w:rsid w:val="00F85EA3"/>
    <w:rsid w:val="00F86324"/>
    <w:rsid w:val="00F87C38"/>
    <w:rsid w:val="00F90FEB"/>
    <w:rsid w:val="00F92EDF"/>
    <w:rsid w:val="00F9399F"/>
    <w:rsid w:val="00F93EDB"/>
    <w:rsid w:val="00F94E44"/>
    <w:rsid w:val="00F9527E"/>
    <w:rsid w:val="00F95F3F"/>
    <w:rsid w:val="00F97268"/>
    <w:rsid w:val="00FA0BBC"/>
    <w:rsid w:val="00FA20A5"/>
    <w:rsid w:val="00FA3D4B"/>
    <w:rsid w:val="00FA4A66"/>
    <w:rsid w:val="00FA55D1"/>
    <w:rsid w:val="00FA5679"/>
    <w:rsid w:val="00FA612D"/>
    <w:rsid w:val="00FB0B97"/>
    <w:rsid w:val="00FB10FE"/>
    <w:rsid w:val="00FB1402"/>
    <w:rsid w:val="00FB1AA8"/>
    <w:rsid w:val="00FB311D"/>
    <w:rsid w:val="00FB32B2"/>
    <w:rsid w:val="00FB374E"/>
    <w:rsid w:val="00FB3D34"/>
    <w:rsid w:val="00FB3E91"/>
    <w:rsid w:val="00FB6777"/>
    <w:rsid w:val="00FC1FC6"/>
    <w:rsid w:val="00FC387B"/>
    <w:rsid w:val="00FC38DA"/>
    <w:rsid w:val="00FC5C64"/>
    <w:rsid w:val="00FC5E1F"/>
    <w:rsid w:val="00FD0157"/>
    <w:rsid w:val="00FD16CA"/>
    <w:rsid w:val="00FD272A"/>
    <w:rsid w:val="00FD3991"/>
    <w:rsid w:val="00FD4570"/>
    <w:rsid w:val="00FD5744"/>
    <w:rsid w:val="00FD717D"/>
    <w:rsid w:val="00FD725A"/>
    <w:rsid w:val="00FE0F22"/>
    <w:rsid w:val="00FE3D4A"/>
    <w:rsid w:val="00FE46C8"/>
    <w:rsid w:val="00FE501F"/>
    <w:rsid w:val="00FE527E"/>
    <w:rsid w:val="00FE66EA"/>
    <w:rsid w:val="00FF08B9"/>
    <w:rsid w:val="00FF0F8D"/>
    <w:rsid w:val="00FF1ACA"/>
    <w:rsid w:val="00FF1FE4"/>
    <w:rsid w:val="00FF256C"/>
    <w:rsid w:val="00FF27CC"/>
    <w:rsid w:val="00FF36FD"/>
    <w:rsid w:val="00FF4408"/>
    <w:rsid w:val="00FF49D7"/>
    <w:rsid w:val="00FF4BA7"/>
    <w:rsid w:val="00FF5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5D1"/>
    <w:pPr>
      <w:spacing w:line="264" w:lineRule="auto"/>
    </w:pPr>
    <w:rPr>
      <w:rFonts w:ascii="Arial" w:hAnsi="Arial"/>
      <w:sz w:val="22"/>
      <w:szCs w:val="24"/>
    </w:rPr>
  </w:style>
  <w:style w:type="paragraph" w:styleId="Heading1">
    <w:name w:val="heading 1"/>
    <w:basedOn w:val="Normal"/>
    <w:next w:val="Normal"/>
    <w:qFormat/>
    <w:rsid w:val="00FA55D1"/>
    <w:pPr>
      <w:keepNext/>
      <w:keepLines/>
      <w:numPr>
        <w:ilvl w:val="12"/>
      </w:numPr>
      <w:jc w:val="center"/>
      <w:outlineLvl w:val="0"/>
    </w:pPr>
    <w:rPr>
      <w:rFonts w:cs="Arial"/>
      <w:b/>
      <w:bCs/>
      <w:szCs w:val="22"/>
    </w:rPr>
  </w:style>
  <w:style w:type="paragraph" w:styleId="Heading2">
    <w:name w:val="heading 2"/>
    <w:basedOn w:val="Normal"/>
    <w:next w:val="Normal"/>
    <w:qFormat/>
    <w:rsid w:val="00FA55D1"/>
    <w:pPr>
      <w:keepNext/>
      <w:jc w:val="center"/>
      <w:outlineLvl w:val="1"/>
    </w:pPr>
    <w:rPr>
      <w:b/>
      <w:bCs/>
      <w:vertAlign w:val="superscript"/>
    </w:rPr>
  </w:style>
  <w:style w:type="paragraph" w:styleId="Heading3">
    <w:name w:val="heading 3"/>
    <w:basedOn w:val="Normal"/>
    <w:next w:val="Normal"/>
    <w:qFormat/>
    <w:rsid w:val="00FA55D1"/>
    <w:pPr>
      <w:keepNext/>
      <w:numPr>
        <w:ilvl w:val="12"/>
      </w:numPr>
      <w:outlineLvl w:val="2"/>
    </w:pPr>
    <w:rPr>
      <w:rFonts w:cs="Arial"/>
      <w:b/>
      <w:bCs/>
      <w:szCs w:val="22"/>
    </w:rPr>
  </w:style>
  <w:style w:type="paragraph" w:styleId="Heading4">
    <w:name w:val="heading 4"/>
    <w:basedOn w:val="Normal"/>
    <w:next w:val="Normal"/>
    <w:qFormat/>
    <w:rsid w:val="00FA55D1"/>
    <w:pPr>
      <w:keepNext/>
      <w:numPr>
        <w:ilvl w:val="12"/>
      </w:numPr>
      <w:tabs>
        <w:tab w:val="left" w:pos="0"/>
        <w:tab w:val="left" w:pos="720"/>
        <w:tab w:val="left" w:pos="1440"/>
      </w:tabs>
      <w:jc w:val="center"/>
      <w:outlineLvl w:val="3"/>
    </w:pPr>
    <w:rPr>
      <w:rFonts w:cs="Arial"/>
      <w:b/>
      <w:bCs/>
      <w:sz w:val="28"/>
      <w:vertAlign w:val="superscript"/>
    </w:rPr>
  </w:style>
  <w:style w:type="paragraph" w:styleId="Heading5">
    <w:name w:val="heading 5"/>
    <w:basedOn w:val="Normal"/>
    <w:next w:val="Normal"/>
    <w:qFormat/>
    <w:rsid w:val="00FA55D1"/>
    <w:pPr>
      <w:keepNext/>
      <w:outlineLvl w:val="4"/>
    </w:pPr>
    <w:rPr>
      <w:rFonts w:cs="Arial"/>
      <w:b/>
      <w:bCs/>
      <w:sz w:val="20"/>
    </w:rPr>
  </w:style>
  <w:style w:type="paragraph" w:styleId="Heading6">
    <w:name w:val="heading 6"/>
    <w:basedOn w:val="Normal"/>
    <w:next w:val="Normal"/>
    <w:qFormat/>
    <w:rsid w:val="00FA55D1"/>
    <w:pPr>
      <w:keepNext/>
      <w:numPr>
        <w:ilvl w:val="12"/>
      </w:numPr>
      <w:tabs>
        <w:tab w:val="left" w:pos="0"/>
        <w:tab w:val="left" w:pos="720"/>
        <w:tab w:val="left" w:pos="1440"/>
      </w:tabs>
      <w:spacing w:before="2"/>
      <w:jc w:val="center"/>
      <w:outlineLvl w:val="5"/>
    </w:pPr>
    <w:rPr>
      <w:rFonts w:cs="Arial"/>
      <w:b/>
      <w:bCs/>
      <w:sz w:val="20"/>
    </w:rPr>
  </w:style>
  <w:style w:type="paragraph" w:styleId="Heading7">
    <w:name w:val="heading 7"/>
    <w:basedOn w:val="Normal"/>
    <w:next w:val="Normal"/>
    <w:qFormat/>
    <w:rsid w:val="00FA55D1"/>
    <w:pPr>
      <w:keepNext/>
      <w:spacing w:line="0" w:lineRule="atLeast"/>
      <w:outlineLvl w:val="6"/>
    </w:pPr>
    <w:rPr>
      <w:i/>
      <w:iCs/>
      <w:szCs w:val="20"/>
    </w:rPr>
  </w:style>
  <w:style w:type="paragraph" w:styleId="Heading8">
    <w:name w:val="heading 8"/>
    <w:basedOn w:val="Normal"/>
    <w:next w:val="Normal"/>
    <w:qFormat/>
    <w:rsid w:val="00FA55D1"/>
    <w:pPr>
      <w:keepNext/>
      <w:jc w:val="center"/>
      <w:outlineLvl w:val="7"/>
    </w:pPr>
    <w:rPr>
      <w:rFonts w:cs="Arial"/>
      <w:b/>
      <w:bCs/>
      <w:sz w:val="21"/>
      <w:szCs w:val="21"/>
    </w:rPr>
  </w:style>
  <w:style w:type="paragraph" w:styleId="Heading9">
    <w:name w:val="heading 9"/>
    <w:basedOn w:val="Normal"/>
    <w:next w:val="Normal"/>
    <w:qFormat/>
    <w:rsid w:val="00C83EB6"/>
    <w:pPr>
      <w:widowControl w:val="0"/>
      <w:autoSpaceDE w:val="0"/>
      <w:autoSpaceDN w:val="0"/>
      <w:adjustRightInd w:val="0"/>
      <w:spacing w:before="240" w:after="60"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A55D1"/>
    <w:pPr>
      <w:autoSpaceDE w:val="0"/>
      <w:autoSpaceDN w:val="0"/>
      <w:adjustRightInd w:val="0"/>
      <w:spacing w:line="264" w:lineRule="auto"/>
      <w:ind w:left="720"/>
    </w:pPr>
    <w:rPr>
      <w:rFonts w:ascii="Arial" w:hAnsi="Arial"/>
      <w:sz w:val="22"/>
      <w:szCs w:val="24"/>
    </w:rPr>
  </w:style>
  <w:style w:type="character" w:customStyle="1" w:styleId="footnoteref">
    <w:name w:val="footnote ref"/>
    <w:rsid w:val="00FA55D1"/>
    <w:rPr>
      <w:vertAlign w:val="superscript"/>
    </w:rPr>
  </w:style>
  <w:style w:type="paragraph" w:styleId="BodyText">
    <w:name w:val="Body Text"/>
    <w:basedOn w:val="Normal"/>
    <w:rsid w:val="00FA55D1"/>
    <w:rPr>
      <w:rFonts w:cs="Arial"/>
      <w:szCs w:val="22"/>
    </w:rPr>
  </w:style>
  <w:style w:type="paragraph" w:styleId="BodyTextIndent">
    <w:name w:val="Body Text Indent"/>
    <w:basedOn w:val="Normal"/>
    <w:rsid w:val="00FA55D1"/>
    <w:pPr>
      <w:numPr>
        <w:ilvl w:val="12"/>
      </w:numPr>
      <w:tabs>
        <w:tab w:val="left" w:pos="0"/>
        <w:tab w:val="left" w:pos="720"/>
        <w:tab w:val="left" w:pos="2160"/>
      </w:tabs>
      <w:ind w:left="720" w:hanging="720"/>
    </w:pPr>
    <w:rPr>
      <w:rFonts w:cs="Arial"/>
      <w:szCs w:val="22"/>
    </w:rPr>
  </w:style>
  <w:style w:type="paragraph" w:styleId="BodyTextIndent2">
    <w:name w:val="Body Text Indent 2"/>
    <w:basedOn w:val="Normal"/>
    <w:rsid w:val="00FA55D1"/>
    <w:pPr>
      <w:numPr>
        <w:ilvl w:val="12"/>
      </w:numPr>
      <w:tabs>
        <w:tab w:val="left" w:pos="0"/>
        <w:tab w:val="left" w:pos="1440"/>
        <w:tab w:val="left" w:pos="2160"/>
      </w:tabs>
      <w:ind w:left="720"/>
    </w:pPr>
    <w:rPr>
      <w:rFonts w:cs="Arial"/>
      <w:szCs w:val="22"/>
    </w:rPr>
  </w:style>
  <w:style w:type="paragraph" w:styleId="BodyTextIndent3">
    <w:name w:val="Body Text Indent 3"/>
    <w:basedOn w:val="Normal"/>
    <w:rsid w:val="00FA55D1"/>
    <w:pPr>
      <w:numPr>
        <w:ilvl w:val="12"/>
      </w:numPr>
      <w:tabs>
        <w:tab w:val="left" w:pos="0"/>
        <w:tab w:val="left" w:pos="720"/>
        <w:tab w:val="left" w:pos="1440"/>
      </w:tabs>
      <w:ind w:left="1440" w:hanging="1440"/>
    </w:pPr>
    <w:rPr>
      <w:rFonts w:cs="Arial"/>
      <w:szCs w:val="22"/>
    </w:rPr>
  </w:style>
  <w:style w:type="paragraph" w:styleId="BodyText2">
    <w:name w:val="Body Text 2"/>
    <w:basedOn w:val="Normal"/>
    <w:rsid w:val="00FA55D1"/>
    <w:pPr>
      <w:spacing w:after="240"/>
    </w:pPr>
    <w:rPr>
      <w:rFonts w:cs="Arial"/>
      <w:sz w:val="18"/>
    </w:rPr>
  </w:style>
  <w:style w:type="paragraph" w:styleId="Footer">
    <w:name w:val="footer"/>
    <w:basedOn w:val="Normal"/>
    <w:rsid w:val="00FA55D1"/>
    <w:pPr>
      <w:tabs>
        <w:tab w:val="center" w:pos="4320"/>
        <w:tab w:val="right" w:pos="8640"/>
      </w:tabs>
    </w:pPr>
  </w:style>
  <w:style w:type="character" w:styleId="PageNumber">
    <w:name w:val="page number"/>
    <w:basedOn w:val="DefaultParagraphFont"/>
    <w:rsid w:val="00FA55D1"/>
  </w:style>
  <w:style w:type="character" w:customStyle="1" w:styleId="SYSHYPERTEXT">
    <w:name w:val="SYS_HYPERTEXT"/>
    <w:rsid w:val="00FA55D1"/>
    <w:rPr>
      <w:color w:val="0000FF"/>
      <w:u w:val="single"/>
    </w:rPr>
  </w:style>
  <w:style w:type="paragraph" w:styleId="FootnoteText">
    <w:name w:val="footnote text"/>
    <w:basedOn w:val="Normal"/>
    <w:semiHidden/>
    <w:rsid w:val="00FA55D1"/>
    <w:rPr>
      <w:sz w:val="20"/>
      <w:szCs w:val="20"/>
    </w:rPr>
  </w:style>
  <w:style w:type="character" w:styleId="FootnoteReference">
    <w:name w:val="footnote reference"/>
    <w:basedOn w:val="DefaultParagraphFont"/>
    <w:semiHidden/>
    <w:rsid w:val="00FA55D1"/>
    <w:rPr>
      <w:vertAlign w:val="superscript"/>
    </w:rPr>
  </w:style>
  <w:style w:type="character" w:styleId="Hyperlink">
    <w:name w:val="Hyperlink"/>
    <w:basedOn w:val="DefaultParagraphFont"/>
    <w:rsid w:val="00FA55D1"/>
    <w:rPr>
      <w:color w:val="0000FF"/>
      <w:u w:val="single"/>
    </w:rPr>
  </w:style>
  <w:style w:type="character" w:styleId="FollowedHyperlink">
    <w:name w:val="FollowedHyperlink"/>
    <w:basedOn w:val="DefaultParagraphFont"/>
    <w:rsid w:val="00FA55D1"/>
    <w:rPr>
      <w:color w:val="800080"/>
      <w:u w:val="single"/>
    </w:rPr>
  </w:style>
  <w:style w:type="paragraph" w:styleId="Header">
    <w:name w:val="header"/>
    <w:basedOn w:val="Normal"/>
    <w:rsid w:val="00FA55D1"/>
    <w:pPr>
      <w:tabs>
        <w:tab w:val="center" w:pos="4320"/>
        <w:tab w:val="right" w:pos="8640"/>
      </w:tabs>
    </w:pPr>
  </w:style>
  <w:style w:type="paragraph" w:styleId="BodyText3">
    <w:name w:val="Body Text 3"/>
    <w:basedOn w:val="Normal"/>
    <w:rsid w:val="00FA55D1"/>
    <w:pPr>
      <w:keepNext/>
      <w:keepLines/>
      <w:tabs>
        <w:tab w:val="left" w:pos="0"/>
        <w:tab w:val="left" w:pos="720"/>
      </w:tabs>
      <w:jc w:val="center"/>
    </w:pPr>
    <w:rPr>
      <w:rFonts w:cs="Arial"/>
      <w:b/>
      <w:bCs/>
      <w:sz w:val="20"/>
      <w:szCs w:val="22"/>
    </w:rPr>
  </w:style>
  <w:style w:type="paragraph" w:styleId="BalloonText">
    <w:name w:val="Balloon Text"/>
    <w:basedOn w:val="Normal"/>
    <w:semiHidden/>
    <w:rsid w:val="00FA55D1"/>
    <w:rPr>
      <w:rFonts w:ascii="Tahoma" w:hAnsi="Tahoma" w:cs="Tahoma"/>
      <w:sz w:val="16"/>
      <w:szCs w:val="16"/>
    </w:rPr>
  </w:style>
  <w:style w:type="character" w:styleId="CommentReference">
    <w:name w:val="annotation reference"/>
    <w:basedOn w:val="DefaultParagraphFont"/>
    <w:semiHidden/>
    <w:rsid w:val="00FA55D1"/>
    <w:rPr>
      <w:sz w:val="16"/>
      <w:szCs w:val="16"/>
    </w:rPr>
  </w:style>
  <w:style w:type="paragraph" w:styleId="CommentText">
    <w:name w:val="annotation text"/>
    <w:basedOn w:val="Normal"/>
    <w:semiHidden/>
    <w:rsid w:val="00FA55D1"/>
    <w:rPr>
      <w:sz w:val="20"/>
      <w:szCs w:val="20"/>
    </w:rPr>
  </w:style>
  <w:style w:type="paragraph" w:customStyle="1" w:styleId="font5">
    <w:name w:val="font5"/>
    <w:basedOn w:val="Normal"/>
    <w:rsid w:val="00FA55D1"/>
    <w:pPr>
      <w:spacing w:before="100" w:beforeAutospacing="1" w:after="100" w:afterAutospacing="1"/>
    </w:pPr>
    <w:rPr>
      <w:rFonts w:eastAsia="Arial Unicode MS" w:cs="Arial"/>
      <w:b/>
      <w:bCs/>
      <w:sz w:val="20"/>
      <w:szCs w:val="20"/>
    </w:rPr>
  </w:style>
  <w:style w:type="paragraph" w:customStyle="1" w:styleId="font6">
    <w:name w:val="font6"/>
    <w:basedOn w:val="Normal"/>
    <w:rsid w:val="00FA55D1"/>
    <w:pPr>
      <w:spacing w:before="100" w:beforeAutospacing="1" w:after="100" w:afterAutospacing="1"/>
    </w:pPr>
    <w:rPr>
      <w:rFonts w:eastAsia="Arial Unicode MS" w:cs="Arial"/>
      <w:sz w:val="20"/>
      <w:szCs w:val="20"/>
    </w:rPr>
  </w:style>
  <w:style w:type="paragraph" w:customStyle="1" w:styleId="font7">
    <w:name w:val="font7"/>
    <w:basedOn w:val="Normal"/>
    <w:rsid w:val="00FA55D1"/>
    <w:pPr>
      <w:spacing w:before="100" w:beforeAutospacing="1" w:after="100" w:afterAutospacing="1"/>
    </w:pPr>
    <w:rPr>
      <w:rFonts w:eastAsia="Arial Unicode MS" w:cs="Arial"/>
      <w:sz w:val="18"/>
      <w:szCs w:val="18"/>
    </w:rPr>
  </w:style>
  <w:style w:type="paragraph" w:customStyle="1" w:styleId="xl24">
    <w:name w:val="xl24"/>
    <w:basedOn w:val="Normal"/>
    <w:rsid w:val="00FA55D1"/>
    <w:pPr>
      <w:pBdr>
        <w:left w:val="single" w:sz="4" w:space="0" w:color="000000"/>
      </w:pBdr>
      <w:spacing w:before="100" w:beforeAutospacing="1" w:after="100" w:afterAutospacing="1"/>
      <w:jc w:val="right"/>
    </w:pPr>
    <w:rPr>
      <w:rFonts w:eastAsia="Arial Unicode MS" w:cs="Arial"/>
    </w:rPr>
  </w:style>
  <w:style w:type="paragraph" w:customStyle="1" w:styleId="xl25">
    <w:name w:val="xl25"/>
    <w:basedOn w:val="Normal"/>
    <w:rsid w:val="00FA55D1"/>
    <w:pPr>
      <w:pBdr>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26">
    <w:name w:val="xl26"/>
    <w:basedOn w:val="Normal"/>
    <w:rsid w:val="00FA55D1"/>
    <w:pPr>
      <w:pBdr>
        <w:left w:val="double" w:sz="6" w:space="0" w:color="000000"/>
      </w:pBdr>
      <w:spacing w:before="100" w:beforeAutospacing="1" w:after="100" w:afterAutospacing="1"/>
    </w:pPr>
    <w:rPr>
      <w:rFonts w:eastAsia="Arial Unicode MS" w:cs="Arial"/>
    </w:rPr>
  </w:style>
  <w:style w:type="paragraph" w:customStyle="1" w:styleId="xl27">
    <w:name w:val="xl27"/>
    <w:basedOn w:val="Normal"/>
    <w:rsid w:val="00FA55D1"/>
    <w:pPr>
      <w:pBdr>
        <w:top w:val="single" w:sz="4" w:space="0" w:color="000000"/>
        <w:left w:val="double" w:sz="6" w:space="0" w:color="000000"/>
      </w:pBdr>
      <w:spacing w:before="100" w:beforeAutospacing="1" w:after="100" w:afterAutospacing="1"/>
    </w:pPr>
    <w:rPr>
      <w:rFonts w:eastAsia="Arial Unicode MS" w:cs="Arial"/>
    </w:rPr>
  </w:style>
  <w:style w:type="paragraph" w:customStyle="1" w:styleId="xl28">
    <w:name w:val="xl28"/>
    <w:basedOn w:val="Normal"/>
    <w:rsid w:val="00FA55D1"/>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29">
    <w:name w:val="xl29"/>
    <w:basedOn w:val="Normal"/>
    <w:rsid w:val="00FA55D1"/>
    <w:pPr>
      <w:pBdr>
        <w:top w:val="single" w:sz="4" w:space="0" w:color="000000"/>
        <w:left w:val="double" w:sz="6" w:space="0" w:color="000000"/>
        <w:bottom w:val="single" w:sz="4" w:space="0" w:color="000000"/>
      </w:pBdr>
      <w:spacing w:before="100" w:beforeAutospacing="1" w:after="100" w:afterAutospacing="1"/>
    </w:pPr>
    <w:rPr>
      <w:rFonts w:eastAsia="Arial Unicode MS" w:cs="Arial"/>
    </w:rPr>
  </w:style>
  <w:style w:type="paragraph" w:customStyle="1" w:styleId="xl30">
    <w:name w:val="xl30"/>
    <w:basedOn w:val="Normal"/>
    <w:rsid w:val="00FA55D1"/>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1">
    <w:name w:val="xl31"/>
    <w:basedOn w:val="Normal"/>
    <w:rsid w:val="00FA55D1"/>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2">
    <w:name w:val="xl32"/>
    <w:basedOn w:val="Normal"/>
    <w:rsid w:val="00FA55D1"/>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3">
    <w:name w:val="xl33"/>
    <w:basedOn w:val="Normal"/>
    <w:rsid w:val="00FA55D1"/>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4">
    <w:name w:val="xl34"/>
    <w:basedOn w:val="Normal"/>
    <w:rsid w:val="00FA55D1"/>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5">
    <w:name w:val="xl35"/>
    <w:basedOn w:val="Normal"/>
    <w:rsid w:val="00FA55D1"/>
    <w:pPr>
      <w:spacing w:before="100" w:beforeAutospacing="1" w:after="100" w:afterAutospacing="1"/>
    </w:pPr>
    <w:rPr>
      <w:rFonts w:eastAsia="Arial Unicode MS" w:cs="Arial"/>
      <w:sz w:val="4"/>
      <w:szCs w:val="4"/>
    </w:rPr>
  </w:style>
  <w:style w:type="paragraph" w:customStyle="1" w:styleId="xl36">
    <w:name w:val="xl36"/>
    <w:basedOn w:val="Normal"/>
    <w:rsid w:val="00FA55D1"/>
    <w:pPr>
      <w:spacing w:before="100" w:beforeAutospacing="1" w:after="100" w:afterAutospacing="1"/>
    </w:pPr>
    <w:rPr>
      <w:rFonts w:eastAsia="Arial Unicode MS" w:cs="Arial"/>
      <w:sz w:val="18"/>
      <w:szCs w:val="18"/>
    </w:rPr>
  </w:style>
  <w:style w:type="paragraph" w:customStyle="1" w:styleId="xl37">
    <w:name w:val="xl37"/>
    <w:basedOn w:val="Normal"/>
    <w:rsid w:val="00FA55D1"/>
    <w:pPr>
      <w:spacing w:before="100" w:beforeAutospacing="1" w:after="100" w:afterAutospacing="1"/>
    </w:pPr>
    <w:rPr>
      <w:rFonts w:eastAsia="Arial Unicode MS" w:cs="Arial"/>
      <w:sz w:val="18"/>
      <w:szCs w:val="18"/>
    </w:rPr>
  </w:style>
  <w:style w:type="paragraph" w:customStyle="1" w:styleId="xl38">
    <w:name w:val="xl38"/>
    <w:basedOn w:val="Normal"/>
    <w:rsid w:val="00FA55D1"/>
    <w:pPr>
      <w:pBdr>
        <w:left w:val="single" w:sz="4" w:space="0" w:color="000000"/>
        <w:bottom w:val="double" w:sz="6" w:space="0" w:color="000000"/>
      </w:pBdr>
      <w:spacing w:before="100" w:beforeAutospacing="1" w:after="100" w:afterAutospacing="1"/>
      <w:jc w:val="center"/>
      <w:textAlignment w:val="center"/>
    </w:pPr>
    <w:rPr>
      <w:rFonts w:eastAsia="Arial Unicode MS" w:cs="Arial"/>
      <w:b/>
      <w:bCs/>
    </w:rPr>
  </w:style>
  <w:style w:type="paragraph" w:customStyle="1" w:styleId="xl39">
    <w:name w:val="xl39"/>
    <w:basedOn w:val="Normal"/>
    <w:rsid w:val="00FA55D1"/>
    <w:pPr>
      <w:pBdr>
        <w:left w:val="single" w:sz="4" w:space="0" w:color="000000"/>
        <w:bottom w:val="double" w:sz="6" w:space="0" w:color="000000"/>
        <w:right w:val="double" w:sz="6" w:space="0" w:color="000000"/>
      </w:pBdr>
      <w:spacing w:before="100" w:beforeAutospacing="1" w:after="100" w:afterAutospacing="1"/>
      <w:jc w:val="right"/>
    </w:pPr>
    <w:rPr>
      <w:rFonts w:eastAsia="Arial Unicode MS" w:cs="Arial"/>
      <w:b/>
      <w:bCs/>
    </w:rPr>
  </w:style>
  <w:style w:type="paragraph" w:customStyle="1" w:styleId="xl40">
    <w:name w:val="xl40"/>
    <w:basedOn w:val="Normal"/>
    <w:rsid w:val="00FA55D1"/>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41">
    <w:name w:val="xl41"/>
    <w:basedOn w:val="Normal"/>
    <w:rsid w:val="00FA55D1"/>
    <w:pPr>
      <w:pBdr>
        <w:top w:val="single" w:sz="4" w:space="0" w:color="auto"/>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42">
    <w:name w:val="xl42"/>
    <w:basedOn w:val="Normal"/>
    <w:rsid w:val="00FA55D1"/>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43">
    <w:name w:val="xl43"/>
    <w:basedOn w:val="Normal"/>
    <w:rsid w:val="00FA55D1"/>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4">
    <w:name w:val="xl44"/>
    <w:basedOn w:val="Normal"/>
    <w:rsid w:val="00FA55D1"/>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5">
    <w:name w:val="xl45"/>
    <w:basedOn w:val="Normal"/>
    <w:rsid w:val="00FA55D1"/>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46">
    <w:name w:val="xl46"/>
    <w:basedOn w:val="Normal"/>
    <w:rsid w:val="00FA55D1"/>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7">
    <w:name w:val="xl47"/>
    <w:basedOn w:val="Normal"/>
    <w:rsid w:val="00FA55D1"/>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8">
    <w:name w:val="xl48"/>
    <w:basedOn w:val="Normal"/>
    <w:rsid w:val="00FA55D1"/>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9">
    <w:name w:val="xl49"/>
    <w:basedOn w:val="Normal"/>
    <w:rsid w:val="00FA55D1"/>
    <w:pPr>
      <w:pBdr>
        <w:left w:val="double" w:sz="6" w:space="0" w:color="000000"/>
        <w:bottom w:val="single" w:sz="4" w:space="0" w:color="000000"/>
      </w:pBdr>
      <w:spacing w:before="100" w:beforeAutospacing="1" w:after="100" w:afterAutospacing="1"/>
    </w:pPr>
    <w:rPr>
      <w:rFonts w:eastAsia="Arial Unicode MS" w:cs="Arial"/>
    </w:rPr>
  </w:style>
  <w:style w:type="paragraph" w:customStyle="1" w:styleId="xl50">
    <w:name w:val="xl50"/>
    <w:basedOn w:val="Normal"/>
    <w:rsid w:val="00FA55D1"/>
    <w:pPr>
      <w:pBdr>
        <w:top w:val="single" w:sz="4" w:space="0" w:color="000000"/>
        <w:left w:val="double" w:sz="6" w:space="0" w:color="000000"/>
        <w:bottom w:val="single" w:sz="4" w:space="0" w:color="auto"/>
      </w:pBdr>
      <w:spacing w:before="100" w:beforeAutospacing="1" w:after="100" w:afterAutospacing="1"/>
    </w:pPr>
    <w:rPr>
      <w:rFonts w:eastAsia="Arial Unicode MS" w:cs="Arial"/>
    </w:rPr>
  </w:style>
  <w:style w:type="paragraph" w:customStyle="1" w:styleId="xl51">
    <w:name w:val="xl51"/>
    <w:basedOn w:val="Normal"/>
    <w:rsid w:val="00FA55D1"/>
    <w:pPr>
      <w:pBdr>
        <w:left w:val="double" w:sz="6" w:space="0" w:color="000000"/>
        <w:bottom w:val="double" w:sz="6" w:space="0" w:color="000000"/>
      </w:pBdr>
      <w:spacing w:before="100" w:beforeAutospacing="1" w:after="100" w:afterAutospacing="1"/>
    </w:pPr>
    <w:rPr>
      <w:rFonts w:eastAsia="Arial Unicode MS" w:cs="Arial"/>
    </w:rPr>
  </w:style>
  <w:style w:type="paragraph" w:customStyle="1" w:styleId="xl52">
    <w:name w:val="xl52"/>
    <w:basedOn w:val="Normal"/>
    <w:rsid w:val="00FA55D1"/>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53">
    <w:name w:val="xl53"/>
    <w:basedOn w:val="Normal"/>
    <w:rsid w:val="00FA55D1"/>
    <w:pPr>
      <w:pBdr>
        <w:left w:val="single" w:sz="4" w:space="0" w:color="000000"/>
      </w:pBdr>
      <w:spacing w:before="100" w:beforeAutospacing="1" w:after="100" w:afterAutospacing="1"/>
      <w:jc w:val="right"/>
    </w:pPr>
    <w:rPr>
      <w:rFonts w:eastAsia="Arial Unicode MS" w:cs="Arial"/>
    </w:rPr>
  </w:style>
  <w:style w:type="paragraph" w:customStyle="1" w:styleId="xl54">
    <w:name w:val="xl54"/>
    <w:basedOn w:val="Normal"/>
    <w:rsid w:val="00FA55D1"/>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5">
    <w:name w:val="xl55"/>
    <w:basedOn w:val="Normal"/>
    <w:rsid w:val="00FA55D1"/>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56">
    <w:name w:val="xl56"/>
    <w:basedOn w:val="Normal"/>
    <w:rsid w:val="00FA55D1"/>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7">
    <w:name w:val="xl57"/>
    <w:basedOn w:val="Normal"/>
    <w:rsid w:val="00FA55D1"/>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8">
    <w:name w:val="xl58"/>
    <w:basedOn w:val="Normal"/>
    <w:rsid w:val="00FA55D1"/>
    <w:pPr>
      <w:pBdr>
        <w:top w:val="double" w:sz="6" w:space="0" w:color="000000"/>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59">
    <w:name w:val="xl59"/>
    <w:basedOn w:val="Normal"/>
    <w:rsid w:val="00FA55D1"/>
    <w:pPr>
      <w:pBdr>
        <w:top w:val="single" w:sz="4" w:space="0" w:color="auto"/>
        <w:left w:val="double" w:sz="6" w:space="0" w:color="000000"/>
        <w:bottom w:val="single" w:sz="4" w:space="0" w:color="auto"/>
      </w:pBdr>
      <w:spacing w:before="100" w:beforeAutospacing="1" w:after="100" w:afterAutospacing="1"/>
    </w:pPr>
    <w:rPr>
      <w:rFonts w:eastAsia="Arial Unicode MS" w:cs="Arial"/>
    </w:rPr>
  </w:style>
  <w:style w:type="paragraph" w:customStyle="1" w:styleId="xl60">
    <w:name w:val="xl60"/>
    <w:basedOn w:val="Normal"/>
    <w:rsid w:val="00FA55D1"/>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1">
    <w:name w:val="xl61"/>
    <w:basedOn w:val="Normal"/>
    <w:rsid w:val="00FA55D1"/>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2">
    <w:name w:val="xl62"/>
    <w:basedOn w:val="Normal"/>
    <w:rsid w:val="00FA55D1"/>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3">
    <w:name w:val="xl63"/>
    <w:basedOn w:val="Normal"/>
    <w:rsid w:val="00FA55D1"/>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4">
    <w:name w:val="xl64"/>
    <w:basedOn w:val="Normal"/>
    <w:rsid w:val="00FA55D1"/>
    <w:pPr>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eastAsia="Arial Unicode MS" w:cs="Arial"/>
    </w:rPr>
  </w:style>
  <w:style w:type="paragraph" w:customStyle="1" w:styleId="xl65">
    <w:name w:val="xl65"/>
    <w:basedOn w:val="Normal"/>
    <w:rsid w:val="00FA55D1"/>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6">
    <w:name w:val="xl66"/>
    <w:basedOn w:val="Normal"/>
    <w:rsid w:val="00FA55D1"/>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7">
    <w:name w:val="xl67"/>
    <w:basedOn w:val="Normal"/>
    <w:rsid w:val="00FA55D1"/>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8">
    <w:name w:val="xl68"/>
    <w:basedOn w:val="Normal"/>
    <w:rsid w:val="00FA55D1"/>
    <w:pPr>
      <w:pBdr>
        <w:top w:val="single" w:sz="4" w:space="0" w:color="auto"/>
        <w:left w:val="single" w:sz="4" w:space="0" w:color="000000"/>
        <w:bottom w:val="double" w:sz="6" w:space="0" w:color="auto"/>
        <w:right w:val="double" w:sz="6" w:space="0" w:color="000000"/>
      </w:pBdr>
      <w:spacing w:before="100" w:beforeAutospacing="1" w:after="100" w:afterAutospacing="1"/>
      <w:jc w:val="right"/>
    </w:pPr>
    <w:rPr>
      <w:rFonts w:eastAsia="Arial Unicode MS" w:cs="Arial"/>
    </w:rPr>
  </w:style>
  <w:style w:type="paragraph" w:customStyle="1" w:styleId="xl69">
    <w:name w:val="xl69"/>
    <w:basedOn w:val="Normal"/>
    <w:rsid w:val="00FA55D1"/>
    <w:pPr>
      <w:spacing w:before="100" w:beforeAutospacing="1" w:after="100" w:afterAutospacing="1"/>
      <w:jc w:val="center"/>
    </w:pPr>
    <w:rPr>
      <w:rFonts w:eastAsia="Arial Unicode MS" w:cs="Arial"/>
      <w:b/>
      <w:bCs/>
      <w:szCs w:val="22"/>
    </w:rPr>
  </w:style>
  <w:style w:type="paragraph" w:customStyle="1" w:styleId="xl70">
    <w:name w:val="xl70"/>
    <w:basedOn w:val="Normal"/>
    <w:rsid w:val="00FA55D1"/>
    <w:pPr>
      <w:pBdr>
        <w:top w:val="double" w:sz="6" w:space="0" w:color="000000"/>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71">
    <w:name w:val="xl71"/>
    <w:basedOn w:val="Normal"/>
    <w:rsid w:val="00FA55D1"/>
    <w:pPr>
      <w:pBdr>
        <w:top w:val="double" w:sz="6" w:space="0" w:color="000000"/>
        <w:bottom w:val="double" w:sz="6" w:space="0" w:color="000000"/>
      </w:pBdr>
      <w:spacing w:before="100" w:beforeAutospacing="1" w:after="100" w:afterAutospacing="1"/>
    </w:pPr>
    <w:rPr>
      <w:rFonts w:eastAsia="Arial Unicode MS" w:cs="Arial"/>
      <w:b/>
      <w:bCs/>
    </w:rPr>
  </w:style>
  <w:style w:type="paragraph" w:customStyle="1" w:styleId="xl72">
    <w:name w:val="xl72"/>
    <w:basedOn w:val="Normal"/>
    <w:rsid w:val="00FA55D1"/>
    <w:pPr>
      <w:pBdr>
        <w:top w:val="double" w:sz="6" w:space="0" w:color="000000"/>
        <w:bottom w:val="double" w:sz="6" w:space="0" w:color="000000"/>
        <w:right w:val="double" w:sz="6" w:space="0" w:color="000000"/>
      </w:pBdr>
      <w:spacing w:before="100" w:beforeAutospacing="1" w:after="100" w:afterAutospacing="1"/>
    </w:pPr>
    <w:rPr>
      <w:rFonts w:eastAsia="Arial Unicode MS" w:cs="Arial"/>
      <w:b/>
      <w:bCs/>
    </w:rPr>
  </w:style>
  <w:style w:type="paragraph" w:customStyle="1" w:styleId="xl73">
    <w:name w:val="xl73"/>
    <w:basedOn w:val="Normal"/>
    <w:rsid w:val="00FA55D1"/>
    <w:pPr>
      <w:pBdr>
        <w:bottom w:val="double" w:sz="6" w:space="0" w:color="000000"/>
      </w:pBdr>
      <w:spacing w:before="100" w:beforeAutospacing="1" w:after="100" w:afterAutospacing="1"/>
      <w:jc w:val="center"/>
    </w:pPr>
    <w:rPr>
      <w:rFonts w:eastAsia="Arial Unicode MS" w:cs="Arial"/>
      <w:b/>
      <w:bCs/>
      <w:szCs w:val="22"/>
    </w:rPr>
  </w:style>
  <w:style w:type="paragraph" w:customStyle="1" w:styleId="xl74">
    <w:name w:val="xl74"/>
    <w:basedOn w:val="Normal"/>
    <w:rsid w:val="00FA55D1"/>
    <w:pPr>
      <w:pBdr>
        <w:bottom w:val="double" w:sz="6" w:space="0" w:color="000000"/>
      </w:pBdr>
      <w:spacing w:before="100" w:beforeAutospacing="1" w:after="100" w:afterAutospacing="1"/>
    </w:pPr>
    <w:rPr>
      <w:rFonts w:ascii="Arial Unicode MS" w:eastAsia="Arial Unicode MS" w:hAnsi="Arial Unicode MS" w:cs="Arial Unicode MS"/>
    </w:rPr>
  </w:style>
  <w:style w:type="paragraph" w:customStyle="1" w:styleId="xl75">
    <w:name w:val="xl75"/>
    <w:basedOn w:val="Normal"/>
    <w:rsid w:val="00FA55D1"/>
    <w:pPr>
      <w:pBdr>
        <w:top w:val="double" w:sz="6" w:space="0" w:color="000000"/>
        <w:left w:val="single" w:sz="4"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6">
    <w:name w:val="xl76"/>
    <w:basedOn w:val="Normal"/>
    <w:rsid w:val="00FA55D1"/>
    <w:pPr>
      <w:pBdr>
        <w:left w:val="single" w:sz="4" w:space="0" w:color="000000"/>
        <w:bottom w:val="double" w:sz="6"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7">
    <w:name w:val="xl77"/>
    <w:basedOn w:val="Normal"/>
    <w:rsid w:val="00FA55D1"/>
    <w:pPr>
      <w:pBdr>
        <w:top w:val="double" w:sz="6" w:space="0" w:color="000000"/>
        <w:left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8">
    <w:name w:val="xl78"/>
    <w:basedOn w:val="Normal"/>
    <w:rsid w:val="00FA55D1"/>
    <w:pPr>
      <w:pBdr>
        <w:left w:val="double" w:sz="6" w:space="0" w:color="000000"/>
        <w:bottom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9">
    <w:name w:val="xl79"/>
    <w:basedOn w:val="Normal"/>
    <w:rsid w:val="00FA55D1"/>
    <w:pPr>
      <w:pBdr>
        <w:top w:val="double" w:sz="6" w:space="0" w:color="000000"/>
        <w:left w:val="single" w:sz="4"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0">
    <w:name w:val="xl80"/>
    <w:basedOn w:val="Normal"/>
    <w:rsid w:val="00FA55D1"/>
    <w:pPr>
      <w:pBdr>
        <w:top w:val="double" w:sz="6"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1">
    <w:name w:val="xl81"/>
    <w:basedOn w:val="Normal"/>
    <w:rsid w:val="00FA55D1"/>
    <w:pPr>
      <w:pBdr>
        <w:top w:val="double" w:sz="6" w:space="0" w:color="000000"/>
        <w:bottom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82">
    <w:name w:val="xl82"/>
    <w:basedOn w:val="Normal"/>
    <w:rsid w:val="00FA55D1"/>
    <w:pPr>
      <w:spacing w:before="100" w:beforeAutospacing="1" w:after="100" w:afterAutospacing="1"/>
    </w:pPr>
    <w:rPr>
      <w:rFonts w:eastAsia="Arial Unicode MS" w:cs="Arial"/>
      <w:sz w:val="18"/>
      <w:szCs w:val="18"/>
    </w:rPr>
  </w:style>
  <w:style w:type="paragraph" w:customStyle="1" w:styleId="xl83">
    <w:name w:val="xl83"/>
    <w:basedOn w:val="Normal"/>
    <w:rsid w:val="00FA55D1"/>
    <w:pPr>
      <w:spacing w:before="100" w:beforeAutospacing="1" w:after="100" w:afterAutospacing="1"/>
    </w:pPr>
    <w:rPr>
      <w:rFonts w:ascii="Arial Unicode MS" w:eastAsia="Arial Unicode MS" w:hAnsi="Arial Unicode MS" w:cs="Arial Unicode MS"/>
    </w:rPr>
  </w:style>
  <w:style w:type="paragraph" w:customStyle="1" w:styleId="xl84">
    <w:name w:val="xl84"/>
    <w:basedOn w:val="Normal"/>
    <w:rsid w:val="00FA55D1"/>
    <w:pPr>
      <w:pBdr>
        <w:top w:val="double" w:sz="6" w:space="0" w:color="000000"/>
        <w:left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font8">
    <w:name w:val="font8"/>
    <w:basedOn w:val="Normal"/>
    <w:rsid w:val="00FA55D1"/>
    <w:pPr>
      <w:spacing w:before="100" w:beforeAutospacing="1" w:after="100" w:afterAutospacing="1"/>
    </w:pPr>
    <w:rPr>
      <w:rFonts w:ascii="Tahoma" w:eastAsia="Arial Unicode MS" w:hAnsi="Tahoma" w:cs="Tahoma"/>
      <w:color w:val="000000"/>
      <w:sz w:val="16"/>
      <w:szCs w:val="16"/>
    </w:rPr>
  </w:style>
  <w:style w:type="paragraph" w:customStyle="1" w:styleId="font9">
    <w:name w:val="font9"/>
    <w:basedOn w:val="Normal"/>
    <w:rsid w:val="00FA55D1"/>
    <w:pPr>
      <w:spacing w:before="100" w:beforeAutospacing="1" w:after="100" w:afterAutospacing="1"/>
    </w:pPr>
    <w:rPr>
      <w:rFonts w:ascii="Tahoma" w:eastAsia="Arial Unicode MS" w:hAnsi="Tahoma" w:cs="Tahoma"/>
      <w:b/>
      <w:bCs/>
      <w:color w:val="000000"/>
      <w:sz w:val="16"/>
      <w:szCs w:val="16"/>
    </w:rPr>
  </w:style>
  <w:style w:type="character" w:styleId="EndnoteReference">
    <w:name w:val="endnote reference"/>
    <w:basedOn w:val="DefaultParagraphFont"/>
    <w:semiHidden/>
    <w:rsid w:val="00FA55D1"/>
    <w:rPr>
      <w:vertAlign w:val="superscript"/>
    </w:rPr>
  </w:style>
  <w:style w:type="paragraph" w:styleId="Caption">
    <w:name w:val="caption"/>
    <w:basedOn w:val="Normal"/>
    <w:next w:val="Normal"/>
    <w:qFormat/>
    <w:rsid w:val="00FA55D1"/>
    <w:pPr>
      <w:spacing w:before="120" w:after="120"/>
      <w:jc w:val="center"/>
    </w:pPr>
    <w:rPr>
      <w:b/>
      <w:bCs/>
      <w:szCs w:val="20"/>
    </w:rPr>
  </w:style>
  <w:style w:type="paragraph" w:customStyle="1" w:styleId="Bullet">
    <w:name w:val="Bullet"/>
    <w:basedOn w:val="BodyText"/>
    <w:link w:val="BulletChar"/>
    <w:rsid w:val="00FA55D1"/>
    <w:pPr>
      <w:numPr>
        <w:numId w:val="19"/>
      </w:numPr>
      <w:autoSpaceDE w:val="0"/>
      <w:autoSpaceDN w:val="0"/>
      <w:adjustRightInd w:val="0"/>
      <w:spacing w:after="180" w:line="288" w:lineRule="auto"/>
    </w:pPr>
  </w:style>
  <w:style w:type="paragraph" w:styleId="CommentSubject">
    <w:name w:val="annotation subject"/>
    <w:basedOn w:val="CommentText"/>
    <w:next w:val="CommentText"/>
    <w:semiHidden/>
    <w:rsid w:val="004B689C"/>
    <w:rPr>
      <w:b/>
      <w:bCs/>
    </w:rPr>
  </w:style>
  <w:style w:type="paragraph" w:styleId="DocumentMap">
    <w:name w:val="Document Map"/>
    <w:basedOn w:val="Normal"/>
    <w:semiHidden/>
    <w:rsid w:val="00A15DF0"/>
    <w:pPr>
      <w:shd w:val="clear" w:color="auto" w:fill="000080"/>
    </w:pPr>
    <w:rPr>
      <w:rFonts w:ascii="Tahoma" w:hAnsi="Tahoma" w:cs="Tahoma"/>
      <w:sz w:val="20"/>
      <w:szCs w:val="20"/>
    </w:rPr>
  </w:style>
  <w:style w:type="paragraph" w:customStyle="1" w:styleId="rHeading2">
    <w:name w:val="rHeading 2"/>
    <w:basedOn w:val="BodyText"/>
    <w:rsid w:val="00E70C81"/>
    <w:pPr>
      <w:widowControl w:val="0"/>
      <w:autoSpaceDE w:val="0"/>
      <w:autoSpaceDN w:val="0"/>
      <w:adjustRightInd w:val="0"/>
      <w:spacing w:after="120" w:line="360" w:lineRule="auto"/>
      <w:ind w:firstLine="432"/>
    </w:pPr>
  </w:style>
  <w:style w:type="paragraph" w:customStyle="1" w:styleId="Default">
    <w:name w:val="Default"/>
    <w:rsid w:val="00C83EB6"/>
    <w:pPr>
      <w:autoSpaceDE w:val="0"/>
      <w:autoSpaceDN w:val="0"/>
      <w:adjustRightInd w:val="0"/>
    </w:pPr>
    <w:rPr>
      <w:rFonts w:ascii="ONPKG B+ Melior" w:hAnsi="ONPKG B+ Melior"/>
      <w:color w:val="000000"/>
      <w:sz w:val="24"/>
      <w:szCs w:val="24"/>
    </w:rPr>
  </w:style>
  <w:style w:type="paragraph" w:customStyle="1" w:styleId="Bodytext1">
    <w:name w:val="Body text 1"/>
    <w:basedOn w:val="Normal"/>
    <w:rsid w:val="00C83EB6"/>
    <w:pPr>
      <w:spacing w:line="360" w:lineRule="auto"/>
      <w:ind w:left="432"/>
    </w:pPr>
    <w:rPr>
      <w:rFonts w:cs="Arial"/>
    </w:rPr>
  </w:style>
  <w:style w:type="paragraph" w:customStyle="1" w:styleId="AppendixBodyText">
    <w:name w:val="Appendix Body Text"/>
    <w:basedOn w:val="BodyText"/>
    <w:rsid w:val="00C83EB6"/>
    <w:pPr>
      <w:widowControl w:val="0"/>
      <w:autoSpaceDE w:val="0"/>
      <w:autoSpaceDN w:val="0"/>
      <w:adjustRightInd w:val="0"/>
      <w:spacing w:after="120" w:line="240" w:lineRule="auto"/>
      <w:ind w:firstLine="432"/>
    </w:pPr>
  </w:style>
  <w:style w:type="paragraph" w:customStyle="1" w:styleId="AppendixTableText">
    <w:name w:val="Appendix Table Text"/>
    <w:basedOn w:val="Normal"/>
    <w:rsid w:val="00C83EB6"/>
    <w:pPr>
      <w:framePr w:hSpace="180" w:wrap="around" w:vAnchor="text" w:hAnchor="text" w:x="216" w:y="1"/>
      <w:widowControl w:val="0"/>
      <w:tabs>
        <w:tab w:val="left" w:pos="1080"/>
      </w:tabs>
      <w:adjustRightInd w:val="0"/>
      <w:spacing w:line="240" w:lineRule="auto"/>
      <w:suppressOverlap/>
      <w:jc w:val="right"/>
    </w:pPr>
    <w:rPr>
      <w:rFonts w:ascii="Arial Narrow" w:hAnsi="Arial Narrow" w:cs="Arial"/>
      <w:sz w:val="20"/>
    </w:rPr>
  </w:style>
  <w:style w:type="paragraph" w:customStyle="1" w:styleId="AppendixCertification">
    <w:name w:val="Appendix Certification"/>
    <w:basedOn w:val="Normal"/>
    <w:rsid w:val="00C83EB6"/>
    <w:pPr>
      <w:widowControl w:val="0"/>
      <w:tabs>
        <w:tab w:val="left" w:pos="1080"/>
      </w:tabs>
      <w:adjustRightInd w:val="0"/>
      <w:spacing w:line="240" w:lineRule="auto"/>
    </w:pPr>
    <w:rPr>
      <w:rFonts w:ascii="Times New Roman" w:hAnsi="Times New Roman"/>
      <w:szCs w:val="22"/>
    </w:rPr>
  </w:style>
  <w:style w:type="paragraph" w:customStyle="1" w:styleId="Level2">
    <w:name w:val="Level 2"/>
    <w:rsid w:val="00C83EB6"/>
    <w:pPr>
      <w:autoSpaceDE w:val="0"/>
      <w:autoSpaceDN w:val="0"/>
      <w:adjustRightInd w:val="0"/>
      <w:ind w:left="1440"/>
    </w:pPr>
    <w:rPr>
      <w:sz w:val="24"/>
      <w:szCs w:val="24"/>
    </w:rPr>
  </w:style>
  <w:style w:type="paragraph" w:customStyle="1" w:styleId="Heading0">
    <w:name w:val="Heading 0"/>
    <w:basedOn w:val="Normal"/>
    <w:rsid w:val="00C83EB6"/>
    <w:pPr>
      <w:widowControl w:val="0"/>
      <w:numPr>
        <w:ilvl w:val="12"/>
      </w:numPr>
      <w:autoSpaceDE w:val="0"/>
      <w:autoSpaceDN w:val="0"/>
      <w:adjustRightInd w:val="0"/>
      <w:spacing w:line="360" w:lineRule="auto"/>
    </w:pPr>
    <w:rPr>
      <w:rFonts w:cs="Arial"/>
      <w:b/>
      <w:bCs/>
      <w:szCs w:val="22"/>
    </w:rPr>
  </w:style>
  <w:style w:type="paragraph" w:customStyle="1" w:styleId="ListSmallLetters">
    <w:name w:val="List Small Letters"/>
    <w:basedOn w:val="BodyText"/>
    <w:rsid w:val="00C83EB6"/>
    <w:pPr>
      <w:widowControl w:val="0"/>
      <w:autoSpaceDE w:val="0"/>
      <w:autoSpaceDN w:val="0"/>
      <w:adjustRightInd w:val="0"/>
      <w:spacing w:after="120" w:line="360" w:lineRule="auto"/>
    </w:pPr>
  </w:style>
  <w:style w:type="character" w:styleId="Emphasis">
    <w:name w:val="Emphasis"/>
    <w:uiPriority w:val="20"/>
    <w:qFormat/>
    <w:rsid w:val="00C83EB6"/>
    <w:rPr>
      <w:i/>
      <w:iCs/>
    </w:rPr>
  </w:style>
  <w:style w:type="character" w:customStyle="1" w:styleId="Hypertext">
    <w:name w:val="Hypertext"/>
    <w:rsid w:val="00C83EB6"/>
    <w:rPr>
      <w:color w:val="0000FF"/>
      <w:u w:val="single"/>
    </w:rPr>
  </w:style>
  <w:style w:type="paragraph" w:customStyle="1" w:styleId="CM42">
    <w:name w:val="CM42"/>
    <w:basedOn w:val="Normal"/>
    <w:next w:val="Normal"/>
    <w:rsid w:val="00C83EB6"/>
    <w:pPr>
      <w:autoSpaceDE w:val="0"/>
      <w:autoSpaceDN w:val="0"/>
      <w:adjustRightInd w:val="0"/>
      <w:spacing w:after="103" w:line="240" w:lineRule="auto"/>
    </w:pPr>
    <w:rPr>
      <w:rFonts w:ascii="LGNLG J+ Melior" w:hAnsi="LGNLG J+ Melior"/>
      <w:sz w:val="24"/>
    </w:rPr>
  </w:style>
  <w:style w:type="paragraph" w:customStyle="1" w:styleId="CM8">
    <w:name w:val="CM8"/>
    <w:basedOn w:val="Default"/>
    <w:next w:val="Default"/>
    <w:rsid w:val="00C83EB6"/>
    <w:pPr>
      <w:spacing w:line="198" w:lineRule="atLeast"/>
    </w:pPr>
    <w:rPr>
      <w:color w:val="auto"/>
    </w:rPr>
  </w:style>
  <w:style w:type="paragraph" w:customStyle="1" w:styleId="CM4">
    <w:name w:val="CM4"/>
    <w:basedOn w:val="Normal"/>
    <w:next w:val="Normal"/>
    <w:rsid w:val="00C83EB6"/>
    <w:pPr>
      <w:autoSpaceDE w:val="0"/>
      <w:autoSpaceDN w:val="0"/>
      <w:adjustRightInd w:val="0"/>
      <w:spacing w:line="198" w:lineRule="atLeast"/>
    </w:pPr>
    <w:rPr>
      <w:rFonts w:ascii="LGNLG J+ Melior" w:hAnsi="LGNLG J+ Melior"/>
      <w:sz w:val="24"/>
    </w:rPr>
  </w:style>
  <w:style w:type="paragraph" w:styleId="ListBullet">
    <w:name w:val="List Bullet"/>
    <w:basedOn w:val="Normal"/>
    <w:autoRedefine/>
    <w:rsid w:val="00C83EB6"/>
    <w:pPr>
      <w:widowControl w:val="0"/>
      <w:numPr>
        <w:numId w:val="2"/>
      </w:numPr>
      <w:tabs>
        <w:tab w:val="num" w:pos="450"/>
      </w:tabs>
      <w:autoSpaceDE w:val="0"/>
      <w:autoSpaceDN w:val="0"/>
      <w:adjustRightInd w:val="0"/>
      <w:spacing w:line="360" w:lineRule="auto"/>
      <w:ind w:left="450" w:hanging="450"/>
    </w:pPr>
    <w:rPr>
      <w:rFonts w:cs="Arial"/>
      <w:szCs w:val="22"/>
    </w:rPr>
  </w:style>
  <w:style w:type="paragraph" w:customStyle="1" w:styleId="ListLargeLetters">
    <w:name w:val="List Large Letters"/>
    <w:basedOn w:val="BodyText"/>
    <w:rsid w:val="00C83EB6"/>
    <w:pPr>
      <w:widowControl w:val="0"/>
      <w:numPr>
        <w:ilvl w:val="1"/>
        <w:numId w:val="3"/>
      </w:numPr>
      <w:autoSpaceDE w:val="0"/>
      <w:autoSpaceDN w:val="0"/>
      <w:adjustRightInd w:val="0"/>
      <w:spacing w:after="120" w:line="360" w:lineRule="auto"/>
      <w:ind w:hanging="540"/>
    </w:pPr>
  </w:style>
  <w:style w:type="paragraph" w:customStyle="1" w:styleId="CheckboxList">
    <w:name w:val="Checkbox List"/>
    <w:basedOn w:val="Citation"/>
    <w:rsid w:val="00C83EB6"/>
    <w:pPr>
      <w:numPr>
        <w:numId w:val="4"/>
      </w:numPr>
    </w:pPr>
  </w:style>
  <w:style w:type="paragraph" w:customStyle="1" w:styleId="Citation">
    <w:name w:val="Citation"/>
    <w:basedOn w:val="Normal"/>
    <w:rsid w:val="00C83EB6"/>
    <w:pPr>
      <w:widowControl w:val="0"/>
      <w:pBdr>
        <w:left w:val="single" w:sz="4" w:space="4" w:color="auto"/>
      </w:pBdr>
      <w:tabs>
        <w:tab w:val="left" w:pos="1080"/>
      </w:tabs>
      <w:adjustRightInd w:val="0"/>
      <w:spacing w:line="240" w:lineRule="auto"/>
      <w:ind w:left="1080"/>
    </w:pPr>
    <w:rPr>
      <w:rFonts w:ascii="Garamond" w:hAnsi="Garamond"/>
      <w:sz w:val="24"/>
    </w:rPr>
  </w:style>
  <w:style w:type="paragraph" w:customStyle="1" w:styleId="AppendixListBullet">
    <w:name w:val="Appendix List Bullet"/>
    <w:basedOn w:val="ListBullet"/>
    <w:rsid w:val="00C83EB6"/>
    <w:pPr>
      <w:numPr>
        <w:numId w:val="7"/>
      </w:numPr>
      <w:tabs>
        <w:tab w:val="num" w:pos="450"/>
        <w:tab w:val="left" w:pos="1080"/>
      </w:tabs>
      <w:spacing w:line="240" w:lineRule="auto"/>
      <w:ind w:left="1080" w:hanging="634"/>
    </w:pPr>
  </w:style>
  <w:style w:type="paragraph" w:customStyle="1" w:styleId="AppendixHeading1">
    <w:name w:val="Appendix Heading 1"/>
    <w:basedOn w:val="Normal"/>
    <w:rsid w:val="00C83EB6"/>
    <w:pPr>
      <w:widowControl w:val="0"/>
      <w:numPr>
        <w:ilvl w:val="1"/>
        <w:numId w:val="8"/>
      </w:numPr>
      <w:tabs>
        <w:tab w:val="right" w:pos="9360"/>
      </w:tabs>
      <w:autoSpaceDE w:val="0"/>
      <w:autoSpaceDN w:val="0"/>
      <w:adjustRightInd w:val="0"/>
      <w:spacing w:after="120" w:line="240" w:lineRule="auto"/>
      <w:ind w:left="0" w:firstLine="0"/>
    </w:pPr>
    <w:rPr>
      <w:rFonts w:cs="Arial"/>
      <w:b/>
      <w:bCs/>
      <w:szCs w:val="22"/>
    </w:rPr>
  </w:style>
  <w:style w:type="paragraph" w:customStyle="1" w:styleId="FootnoteTex">
    <w:name w:val="Footnote Tex"/>
    <w:rsid w:val="00C83EB6"/>
    <w:pPr>
      <w:autoSpaceDE w:val="0"/>
      <w:autoSpaceDN w:val="0"/>
      <w:adjustRightInd w:val="0"/>
    </w:pPr>
  </w:style>
  <w:style w:type="paragraph" w:customStyle="1" w:styleId="AppendixTable">
    <w:name w:val="Appendix Table"/>
    <w:basedOn w:val="BodyTextIndent2"/>
    <w:rsid w:val="00C83EB6"/>
    <w:pPr>
      <w:widowControl w:val="0"/>
      <w:numPr>
        <w:ilvl w:val="0"/>
      </w:numPr>
      <w:tabs>
        <w:tab w:val="clear" w:pos="0"/>
        <w:tab w:val="clear" w:pos="1440"/>
        <w:tab w:val="clear" w:pos="2160"/>
        <w:tab w:val="left" w:pos="-1380"/>
        <w:tab w:val="left" w:pos="-720"/>
        <w:tab w:val="left" w:pos="360"/>
        <w:tab w:val="left" w:pos="1800"/>
      </w:tabs>
      <w:autoSpaceDE w:val="0"/>
      <w:autoSpaceDN w:val="0"/>
      <w:adjustRightInd w:val="0"/>
      <w:spacing w:line="240" w:lineRule="auto"/>
      <w:ind w:left="720"/>
    </w:pPr>
    <w:rPr>
      <w:sz w:val="20"/>
      <w:szCs w:val="20"/>
    </w:rPr>
  </w:style>
  <w:style w:type="paragraph" w:styleId="HTMLPreformatted">
    <w:name w:val="HTML Preformatted"/>
    <w:basedOn w:val="Normal"/>
    <w:rsid w:val="00C83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paragraph" w:customStyle="1" w:styleId="CM24">
    <w:name w:val="CM24"/>
    <w:basedOn w:val="Default"/>
    <w:next w:val="Default"/>
    <w:rsid w:val="00C83EB6"/>
    <w:pPr>
      <w:spacing w:line="203" w:lineRule="atLeast"/>
    </w:pPr>
    <w:rPr>
      <w:rFonts w:ascii="LGNLG J+ Melior" w:hAnsi="LGNLG J+ Melior"/>
      <w:color w:val="auto"/>
    </w:rPr>
  </w:style>
  <w:style w:type="paragraph" w:customStyle="1" w:styleId="CM3">
    <w:name w:val="CM3"/>
    <w:basedOn w:val="Default"/>
    <w:next w:val="Default"/>
    <w:rsid w:val="00C83EB6"/>
    <w:pPr>
      <w:spacing w:line="200" w:lineRule="atLeast"/>
    </w:pPr>
    <w:rPr>
      <w:rFonts w:ascii="LGNLG J+ Melior" w:hAnsi="LGNLG J+ Melior"/>
      <w:color w:val="auto"/>
    </w:rPr>
  </w:style>
  <w:style w:type="paragraph" w:customStyle="1" w:styleId="CM6">
    <w:name w:val="CM6"/>
    <w:basedOn w:val="Default"/>
    <w:next w:val="Default"/>
    <w:rsid w:val="00C83EB6"/>
    <w:pPr>
      <w:numPr>
        <w:numId w:val="31"/>
      </w:numPr>
      <w:tabs>
        <w:tab w:val="clear" w:pos="360"/>
      </w:tabs>
      <w:spacing w:line="200" w:lineRule="atLeast"/>
      <w:ind w:left="0" w:firstLine="0"/>
    </w:pPr>
    <w:rPr>
      <w:rFonts w:ascii="LGNLG J+ Melior" w:hAnsi="LGNLG J+ Melior"/>
      <w:color w:val="auto"/>
    </w:rPr>
  </w:style>
  <w:style w:type="paragraph" w:styleId="ListBullet2">
    <w:name w:val="List Bullet 2"/>
    <w:basedOn w:val="Normal"/>
    <w:autoRedefine/>
    <w:rsid w:val="00C83EB6"/>
    <w:pPr>
      <w:numPr>
        <w:numId w:val="5"/>
      </w:numPr>
      <w:tabs>
        <w:tab w:val="num" w:pos="1440"/>
      </w:tabs>
      <w:spacing w:line="240" w:lineRule="auto"/>
      <w:ind w:left="1440"/>
    </w:pPr>
    <w:rPr>
      <w:rFonts w:cs="Arial"/>
      <w:sz w:val="20"/>
    </w:rPr>
  </w:style>
  <w:style w:type="paragraph" w:customStyle="1" w:styleId="tabletext">
    <w:name w:val="table text"/>
    <w:basedOn w:val="Normal"/>
    <w:rsid w:val="00C83EB6"/>
    <w:pPr>
      <w:widowControl w:val="0"/>
      <w:numPr>
        <w:ilvl w:val="12"/>
      </w:numPr>
      <w:tabs>
        <w:tab w:val="left" w:pos="-720"/>
        <w:tab w:val="left" w:pos="0"/>
        <w:tab w:val="left" w:pos="78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60" w:after="60" w:line="240" w:lineRule="auto"/>
    </w:pPr>
    <w:rPr>
      <w:rFonts w:eastAsia="@MS Mincho" w:cs="Arial"/>
      <w:sz w:val="18"/>
      <w:szCs w:val="18"/>
    </w:rPr>
  </w:style>
  <w:style w:type="paragraph" w:customStyle="1" w:styleId="CM31">
    <w:name w:val="CM31"/>
    <w:basedOn w:val="Default"/>
    <w:next w:val="Default"/>
    <w:rsid w:val="00C83EB6"/>
    <w:pPr>
      <w:spacing w:after="88"/>
    </w:pPr>
    <w:rPr>
      <w:rFonts w:ascii="BILLF G+ Melior" w:hAnsi="BILLF G+ Melior"/>
      <w:color w:val="auto"/>
    </w:rPr>
  </w:style>
  <w:style w:type="paragraph" w:styleId="NormalWeb">
    <w:name w:val="Normal (Web)"/>
    <w:basedOn w:val="Normal"/>
    <w:uiPriority w:val="99"/>
    <w:rsid w:val="00C83EB6"/>
    <w:pPr>
      <w:spacing w:before="100" w:beforeAutospacing="1" w:after="100" w:afterAutospacing="1" w:line="240" w:lineRule="auto"/>
    </w:pPr>
    <w:rPr>
      <w:rFonts w:ascii="Times New Roman" w:hAnsi="Times New Roman"/>
      <w:sz w:val="24"/>
    </w:rPr>
  </w:style>
  <w:style w:type="paragraph" w:customStyle="1" w:styleId="SPCCcomment">
    <w:name w:val="SPCC comment"/>
    <w:basedOn w:val="Normal"/>
    <w:rsid w:val="00C83EB6"/>
    <w:pPr>
      <w:spacing w:after="120" w:line="240" w:lineRule="auto"/>
      <w:ind w:left="720" w:hanging="720"/>
    </w:pPr>
    <w:rPr>
      <w:rFonts w:cs="Arial"/>
      <w:iCs/>
      <w:szCs w:val="22"/>
    </w:rPr>
  </w:style>
  <w:style w:type="character" w:customStyle="1" w:styleId="reportoutline">
    <w:name w:val="reportoutline"/>
    <w:basedOn w:val="DefaultParagraphFont"/>
    <w:rsid w:val="00C83EB6"/>
  </w:style>
  <w:style w:type="paragraph" w:customStyle="1" w:styleId="western">
    <w:name w:val="western"/>
    <w:basedOn w:val="Normal"/>
    <w:rsid w:val="00C83EB6"/>
    <w:pPr>
      <w:spacing w:before="100" w:beforeAutospacing="1" w:after="100" w:afterAutospacing="1" w:line="240" w:lineRule="auto"/>
    </w:pPr>
    <w:rPr>
      <w:rFonts w:ascii="Times New Roman" w:hAnsi="Times New Roman"/>
      <w:sz w:val="24"/>
    </w:rPr>
  </w:style>
  <w:style w:type="paragraph" w:customStyle="1" w:styleId="CM55">
    <w:name w:val="CM55"/>
    <w:basedOn w:val="Default"/>
    <w:next w:val="Default"/>
    <w:rsid w:val="00C83EB6"/>
    <w:pPr>
      <w:spacing w:after="305"/>
    </w:pPr>
    <w:rPr>
      <w:rFonts w:ascii="Arial" w:hAnsi="Arial"/>
      <w:color w:val="auto"/>
    </w:rPr>
  </w:style>
  <w:style w:type="paragraph" w:customStyle="1" w:styleId="CM14">
    <w:name w:val="CM14"/>
    <w:basedOn w:val="Default"/>
    <w:next w:val="Default"/>
    <w:rsid w:val="00C83EB6"/>
    <w:pPr>
      <w:spacing w:after="313"/>
    </w:pPr>
    <w:rPr>
      <w:rFonts w:ascii="Arial" w:hAnsi="Arial"/>
      <w:color w:val="auto"/>
    </w:rPr>
  </w:style>
  <w:style w:type="paragraph" w:customStyle="1" w:styleId="CM12">
    <w:name w:val="CM12"/>
    <w:basedOn w:val="Default"/>
    <w:next w:val="Default"/>
    <w:rsid w:val="00C83EB6"/>
    <w:pPr>
      <w:spacing w:line="303" w:lineRule="atLeast"/>
    </w:pPr>
    <w:rPr>
      <w:rFonts w:ascii="Arial" w:hAnsi="Arial"/>
      <w:color w:val="auto"/>
    </w:rPr>
  </w:style>
  <w:style w:type="paragraph" w:customStyle="1" w:styleId="CM62">
    <w:name w:val="CM62"/>
    <w:basedOn w:val="Normal"/>
    <w:next w:val="Normal"/>
    <w:rsid w:val="00C83EB6"/>
    <w:pPr>
      <w:autoSpaceDE w:val="0"/>
      <w:autoSpaceDN w:val="0"/>
      <w:adjustRightInd w:val="0"/>
      <w:spacing w:after="515" w:line="240" w:lineRule="auto"/>
    </w:pPr>
    <w:rPr>
      <w:sz w:val="24"/>
    </w:rPr>
  </w:style>
  <w:style w:type="paragraph" w:customStyle="1" w:styleId="CM39">
    <w:name w:val="CM39"/>
    <w:basedOn w:val="Default"/>
    <w:next w:val="Default"/>
    <w:rsid w:val="00C83EB6"/>
    <w:pPr>
      <w:spacing w:after="310"/>
    </w:pPr>
    <w:rPr>
      <w:rFonts w:ascii="Arial" w:hAnsi="Arial"/>
      <w:color w:val="auto"/>
    </w:rPr>
  </w:style>
  <w:style w:type="paragraph" w:customStyle="1" w:styleId="CM43">
    <w:name w:val="CM43"/>
    <w:basedOn w:val="Default"/>
    <w:next w:val="Default"/>
    <w:rsid w:val="00C83EB6"/>
    <w:pPr>
      <w:spacing w:line="200" w:lineRule="atLeast"/>
    </w:pPr>
    <w:rPr>
      <w:color w:val="auto"/>
    </w:rPr>
  </w:style>
  <w:style w:type="character" w:customStyle="1" w:styleId="paraheader">
    <w:name w:val="paraheader"/>
    <w:basedOn w:val="DefaultParagraphFont"/>
    <w:rsid w:val="00C83EB6"/>
  </w:style>
  <w:style w:type="character" w:styleId="Strong">
    <w:name w:val="Strong"/>
    <w:basedOn w:val="DefaultParagraphFont"/>
    <w:uiPriority w:val="22"/>
    <w:qFormat/>
    <w:rsid w:val="00C83EB6"/>
    <w:rPr>
      <w:b/>
      <w:bCs/>
    </w:rPr>
  </w:style>
  <w:style w:type="paragraph" w:styleId="PlainText">
    <w:name w:val="Plain Text"/>
    <w:basedOn w:val="Normal"/>
    <w:rsid w:val="00C83EB6"/>
    <w:pPr>
      <w:spacing w:line="240" w:lineRule="auto"/>
    </w:pPr>
    <w:rPr>
      <w:rFonts w:ascii="Courier New" w:hAnsi="Courier New" w:cs="Courier New"/>
      <w:sz w:val="20"/>
      <w:szCs w:val="20"/>
    </w:rPr>
  </w:style>
  <w:style w:type="character" w:customStyle="1" w:styleId="defaultlabelstyle8">
    <w:name w:val="defaultlabelstyle8"/>
    <w:basedOn w:val="DefaultParagraphFont"/>
    <w:rsid w:val="00C83EB6"/>
    <w:rPr>
      <w:rFonts w:ascii="Verdana" w:hAnsi="Verdana" w:hint="default"/>
      <w:color w:val="333333"/>
      <w:sz w:val="18"/>
      <w:szCs w:val="18"/>
    </w:rPr>
  </w:style>
  <w:style w:type="character" w:customStyle="1" w:styleId="defaultlabelstyle6">
    <w:name w:val="defaultlabelstyle6"/>
    <w:basedOn w:val="DefaultParagraphFont"/>
    <w:rsid w:val="00C83EB6"/>
    <w:rPr>
      <w:rFonts w:ascii="Verdana" w:hAnsi="Verdana" w:hint="default"/>
      <w:color w:val="333333"/>
      <w:sz w:val="20"/>
      <w:szCs w:val="20"/>
    </w:rPr>
  </w:style>
  <w:style w:type="paragraph" w:customStyle="1" w:styleId="Header1">
    <w:name w:val="Header 1"/>
    <w:basedOn w:val="Normal"/>
    <w:rsid w:val="00C83EB6"/>
    <w:pPr>
      <w:autoSpaceDE w:val="0"/>
      <w:autoSpaceDN w:val="0"/>
      <w:adjustRightInd w:val="0"/>
      <w:spacing w:line="480" w:lineRule="auto"/>
    </w:pPr>
    <w:rPr>
      <w:rFonts w:ascii="Times New Roman" w:hAnsi="Times New Roman"/>
      <w:b/>
      <w:sz w:val="24"/>
    </w:rPr>
  </w:style>
  <w:style w:type="paragraph" w:styleId="TOC1">
    <w:name w:val="toc 1"/>
    <w:basedOn w:val="Normal"/>
    <w:next w:val="Normal"/>
    <w:autoRedefine/>
    <w:semiHidden/>
    <w:rsid w:val="008E44F1"/>
    <w:pPr>
      <w:widowControl w:val="0"/>
      <w:tabs>
        <w:tab w:val="left" w:pos="480"/>
        <w:tab w:val="right" w:leader="dot" w:pos="9350"/>
      </w:tabs>
      <w:autoSpaceDE w:val="0"/>
      <w:autoSpaceDN w:val="0"/>
      <w:adjustRightInd w:val="0"/>
      <w:spacing w:line="480" w:lineRule="auto"/>
    </w:pPr>
    <w:rPr>
      <w:rFonts w:ascii="Times New Roman" w:hAnsi="Times New Roman"/>
      <w:noProof/>
      <w:sz w:val="24"/>
    </w:rPr>
  </w:style>
  <w:style w:type="paragraph" w:styleId="TOC2">
    <w:name w:val="toc 2"/>
    <w:basedOn w:val="Normal"/>
    <w:next w:val="Normal"/>
    <w:autoRedefine/>
    <w:semiHidden/>
    <w:rsid w:val="008E44F1"/>
    <w:pPr>
      <w:widowControl w:val="0"/>
      <w:tabs>
        <w:tab w:val="left" w:pos="720"/>
        <w:tab w:val="right" w:leader="dot" w:pos="9350"/>
      </w:tabs>
      <w:autoSpaceDE w:val="0"/>
      <w:autoSpaceDN w:val="0"/>
      <w:adjustRightInd w:val="0"/>
      <w:spacing w:line="480" w:lineRule="auto"/>
      <w:ind w:left="245"/>
    </w:pPr>
    <w:rPr>
      <w:rFonts w:ascii="Times New Roman" w:hAnsi="Times New Roman"/>
      <w:noProof/>
      <w:sz w:val="24"/>
    </w:rPr>
  </w:style>
  <w:style w:type="paragraph" w:styleId="TOC3">
    <w:name w:val="toc 3"/>
    <w:basedOn w:val="Normal"/>
    <w:next w:val="Normal"/>
    <w:autoRedefine/>
    <w:semiHidden/>
    <w:rsid w:val="008E44F1"/>
    <w:pPr>
      <w:widowControl w:val="0"/>
      <w:tabs>
        <w:tab w:val="left" w:pos="960"/>
        <w:tab w:val="right" w:leader="dot" w:pos="9350"/>
      </w:tabs>
      <w:autoSpaceDE w:val="0"/>
      <w:autoSpaceDN w:val="0"/>
      <w:adjustRightInd w:val="0"/>
      <w:spacing w:line="480" w:lineRule="auto"/>
      <w:ind w:left="475"/>
    </w:pPr>
    <w:rPr>
      <w:rFonts w:ascii="Times New Roman" w:hAnsi="Times New Roman"/>
      <w:noProof/>
      <w:sz w:val="24"/>
    </w:rPr>
  </w:style>
  <w:style w:type="paragraph" w:styleId="MacroText">
    <w:name w:val="macro"/>
    <w:semiHidden/>
    <w:rsid w:val="008E44F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Revision">
    <w:name w:val="Revision"/>
    <w:hidden/>
    <w:semiHidden/>
    <w:rsid w:val="008E44F1"/>
    <w:rPr>
      <w:sz w:val="24"/>
      <w:szCs w:val="24"/>
    </w:rPr>
  </w:style>
  <w:style w:type="character" w:customStyle="1" w:styleId="BulletChar">
    <w:name w:val="Bullet Char"/>
    <w:basedOn w:val="DefaultParagraphFont"/>
    <w:link w:val="Bullet"/>
    <w:locked/>
    <w:rsid w:val="009C3332"/>
    <w:rPr>
      <w:rFonts w:ascii="Arial" w:hAnsi="Arial" w:cs="Arial"/>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50172093">
      <w:bodyDiv w:val="1"/>
      <w:marLeft w:val="0"/>
      <w:marRight w:val="0"/>
      <w:marTop w:val="0"/>
      <w:marBottom w:val="0"/>
      <w:divBdr>
        <w:top w:val="none" w:sz="0" w:space="0" w:color="auto"/>
        <w:left w:val="none" w:sz="0" w:space="0" w:color="auto"/>
        <w:bottom w:val="none" w:sz="0" w:space="0" w:color="auto"/>
        <w:right w:val="none" w:sz="0" w:space="0" w:color="auto"/>
      </w:divBdr>
    </w:div>
    <w:div w:id="209805877">
      <w:bodyDiv w:val="1"/>
      <w:marLeft w:val="0"/>
      <w:marRight w:val="0"/>
      <w:marTop w:val="0"/>
      <w:marBottom w:val="0"/>
      <w:divBdr>
        <w:top w:val="none" w:sz="0" w:space="0" w:color="auto"/>
        <w:left w:val="none" w:sz="0" w:space="0" w:color="auto"/>
        <w:bottom w:val="none" w:sz="0" w:space="0" w:color="auto"/>
        <w:right w:val="none" w:sz="0" w:space="0" w:color="auto"/>
      </w:divBdr>
    </w:div>
    <w:div w:id="233128453">
      <w:bodyDiv w:val="1"/>
      <w:marLeft w:val="0"/>
      <w:marRight w:val="0"/>
      <w:marTop w:val="0"/>
      <w:marBottom w:val="0"/>
      <w:divBdr>
        <w:top w:val="none" w:sz="0" w:space="0" w:color="auto"/>
        <w:left w:val="none" w:sz="0" w:space="0" w:color="auto"/>
        <w:bottom w:val="none" w:sz="0" w:space="0" w:color="auto"/>
        <w:right w:val="none" w:sz="0" w:space="0" w:color="auto"/>
      </w:divBdr>
    </w:div>
    <w:div w:id="338965485">
      <w:bodyDiv w:val="1"/>
      <w:marLeft w:val="0"/>
      <w:marRight w:val="0"/>
      <w:marTop w:val="0"/>
      <w:marBottom w:val="0"/>
      <w:divBdr>
        <w:top w:val="none" w:sz="0" w:space="0" w:color="auto"/>
        <w:left w:val="none" w:sz="0" w:space="0" w:color="auto"/>
        <w:bottom w:val="none" w:sz="0" w:space="0" w:color="auto"/>
        <w:right w:val="none" w:sz="0" w:space="0" w:color="auto"/>
      </w:divBdr>
    </w:div>
    <w:div w:id="462770111">
      <w:bodyDiv w:val="1"/>
      <w:marLeft w:val="0"/>
      <w:marRight w:val="0"/>
      <w:marTop w:val="0"/>
      <w:marBottom w:val="0"/>
      <w:divBdr>
        <w:top w:val="none" w:sz="0" w:space="0" w:color="auto"/>
        <w:left w:val="none" w:sz="0" w:space="0" w:color="auto"/>
        <w:bottom w:val="none" w:sz="0" w:space="0" w:color="auto"/>
        <w:right w:val="none" w:sz="0" w:space="0" w:color="auto"/>
      </w:divBdr>
    </w:div>
    <w:div w:id="819615486">
      <w:bodyDiv w:val="1"/>
      <w:marLeft w:val="0"/>
      <w:marRight w:val="0"/>
      <w:marTop w:val="0"/>
      <w:marBottom w:val="0"/>
      <w:divBdr>
        <w:top w:val="none" w:sz="0" w:space="0" w:color="auto"/>
        <w:left w:val="none" w:sz="0" w:space="0" w:color="auto"/>
        <w:bottom w:val="none" w:sz="0" w:space="0" w:color="auto"/>
        <w:right w:val="none" w:sz="0" w:space="0" w:color="auto"/>
      </w:divBdr>
    </w:div>
    <w:div w:id="825973106">
      <w:bodyDiv w:val="1"/>
      <w:marLeft w:val="0"/>
      <w:marRight w:val="0"/>
      <w:marTop w:val="0"/>
      <w:marBottom w:val="0"/>
      <w:divBdr>
        <w:top w:val="none" w:sz="0" w:space="0" w:color="auto"/>
        <w:left w:val="none" w:sz="0" w:space="0" w:color="auto"/>
        <w:bottom w:val="none" w:sz="0" w:space="0" w:color="auto"/>
        <w:right w:val="none" w:sz="0" w:space="0" w:color="auto"/>
      </w:divBdr>
    </w:div>
    <w:div w:id="849951902">
      <w:bodyDiv w:val="1"/>
      <w:marLeft w:val="0"/>
      <w:marRight w:val="0"/>
      <w:marTop w:val="0"/>
      <w:marBottom w:val="0"/>
      <w:divBdr>
        <w:top w:val="none" w:sz="0" w:space="0" w:color="auto"/>
        <w:left w:val="none" w:sz="0" w:space="0" w:color="auto"/>
        <w:bottom w:val="none" w:sz="0" w:space="0" w:color="auto"/>
        <w:right w:val="none" w:sz="0" w:space="0" w:color="auto"/>
      </w:divBdr>
    </w:div>
    <w:div w:id="954335746">
      <w:bodyDiv w:val="1"/>
      <w:marLeft w:val="0"/>
      <w:marRight w:val="0"/>
      <w:marTop w:val="0"/>
      <w:marBottom w:val="0"/>
      <w:divBdr>
        <w:top w:val="none" w:sz="0" w:space="0" w:color="auto"/>
        <w:left w:val="none" w:sz="0" w:space="0" w:color="auto"/>
        <w:bottom w:val="none" w:sz="0" w:space="0" w:color="auto"/>
        <w:right w:val="none" w:sz="0" w:space="0" w:color="auto"/>
      </w:divBdr>
    </w:div>
    <w:div w:id="1044672489">
      <w:bodyDiv w:val="1"/>
      <w:marLeft w:val="0"/>
      <w:marRight w:val="0"/>
      <w:marTop w:val="0"/>
      <w:marBottom w:val="0"/>
      <w:divBdr>
        <w:top w:val="none" w:sz="0" w:space="0" w:color="auto"/>
        <w:left w:val="none" w:sz="0" w:space="0" w:color="auto"/>
        <w:bottom w:val="none" w:sz="0" w:space="0" w:color="auto"/>
        <w:right w:val="none" w:sz="0" w:space="0" w:color="auto"/>
      </w:divBdr>
    </w:div>
    <w:div w:id="1139299914">
      <w:bodyDiv w:val="1"/>
      <w:marLeft w:val="0"/>
      <w:marRight w:val="0"/>
      <w:marTop w:val="0"/>
      <w:marBottom w:val="0"/>
      <w:divBdr>
        <w:top w:val="none" w:sz="0" w:space="0" w:color="auto"/>
        <w:left w:val="none" w:sz="0" w:space="0" w:color="auto"/>
        <w:bottom w:val="none" w:sz="0" w:space="0" w:color="auto"/>
        <w:right w:val="none" w:sz="0" w:space="0" w:color="auto"/>
      </w:divBdr>
    </w:div>
    <w:div w:id="1272399329">
      <w:bodyDiv w:val="1"/>
      <w:marLeft w:val="0"/>
      <w:marRight w:val="0"/>
      <w:marTop w:val="0"/>
      <w:marBottom w:val="0"/>
      <w:divBdr>
        <w:top w:val="none" w:sz="0" w:space="0" w:color="auto"/>
        <w:left w:val="none" w:sz="0" w:space="0" w:color="auto"/>
        <w:bottom w:val="none" w:sz="0" w:space="0" w:color="auto"/>
        <w:right w:val="none" w:sz="0" w:space="0" w:color="auto"/>
      </w:divBdr>
    </w:div>
    <w:div w:id="1281064657">
      <w:bodyDiv w:val="1"/>
      <w:marLeft w:val="0"/>
      <w:marRight w:val="0"/>
      <w:marTop w:val="0"/>
      <w:marBottom w:val="0"/>
      <w:divBdr>
        <w:top w:val="none" w:sz="0" w:space="0" w:color="auto"/>
        <w:left w:val="none" w:sz="0" w:space="0" w:color="auto"/>
        <w:bottom w:val="none" w:sz="0" w:space="0" w:color="auto"/>
        <w:right w:val="none" w:sz="0" w:space="0" w:color="auto"/>
      </w:divBdr>
    </w:div>
    <w:div w:id="1364751848">
      <w:bodyDiv w:val="1"/>
      <w:marLeft w:val="0"/>
      <w:marRight w:val="0"/>
      <w:marTop w:val="0"/>
      <w:marBottom w:val="0"/>
      <w:divBdr>
        <w:top w:val="none" w:sz="0" w:space="0" w:color="auto"/>
        <w:left w:val="none" w:sz="0" w:space="0" w:color="auto"/>
        <w:bottom w:val="none" w:sz="0" w:space="0" w:color="auto"/>
        <w:right w:val="none" w:sz="0" w:space="0" w:color="auto"/>
      </w:divBdr>
    </w:div>
    <w:div w:id="1431853839">
      <w:bodyDiv w:val="1"/>
      <w:marLeft w:val="0"/>
      <w:marRight w:val="0"/>
      <w:marTop w:val="0"/>
      <w:marBottom w:val="0"/>
      <w:divBdr>
        <w:top w:val="none" w:sz="0" w:space="0" w:color="auto"/>
        <w:left w:val="none" w:sz="0" w:space="0" w:color="auto"/>
        <w:bottom w:val="none" w:sz="0" w:space="0" w:color="auto"/>
        <w:right w:val="none" w:sz="0" w:space="0" w:color="auto"/>
      </w:divBdr>
    </w:div>
    <w:div w:id="1834907316">
      <w:bodyDiv w:val="1"/>
      <w:marLeft w:val="0"/>
      <w:marRight w:val="0"/>
      <w:marTop w:val="0"/>
      <w:marBottom w:val="0"/>
      <w:divBdr>
        <w:top w:val="none" w:sz="0" w:space="0" w:color="auto"/>
        <w:left w:val="none" w:sz="0" w:space="0" w:color="auto"/>
        <w:bottom w:val="none" w:sz="0" w:space="0" w:color="auto"/>
        <w:right w:val="none" w:sz="0" w:space="0" w:color="auto"/>
      </w:divBdr>
    </w:div>
    <w:div w:id="20483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ilspill/spcc_dec0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a.doe.gov/pub/oil_gas/petrosystem/petrosys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6AF90-F048-4B00-8804-3EE498FD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17311</Words>
  <Characters>98673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RENEWAL OF INFORMATION COLLECTION REQUEST (ICR) PROPOSED RULE</vt:lpstr>
    </vt:vector>
  </TitlesOfParts>
  <Company>Abt Associates Inc.</Company>
  <LinksUpToDate>false</LinksUpToDate>
  <CharactersWithSpaces>115753</CharactersWithSpaces>
  <SharedDoc>false</SharedDoc>
  <HLinks>
    <vt:vector size="18" baseType="variant">
      <vt:variant>
        <vt:i4>2818151</vt:i4>
      </vt:variant>
      <vt:variant>
        <vt:i4>205</vt:i4>
      </vt:variant>
      <vt:variant>
        <vt:i4>0</vt:i4>
      </vt:variant>
      <vt:variant>
        <vt:i4>5</vt:i4>
      </vt:variant>
      <vt:variant>
        <vt:lpwstr>http://www.regulations.gov/</vt:lpwstr>
      </vt:variant>
      <vt:variant>
        <vt:lpwstr/>
      </vt:variant>
      <vt:variant>
        <vt:i4>2686993</vt:i4>
      </vt:variant>
      <vt:variant>
        <vt:i4>6</vt:i4>
      </vt:variant>
      <vt:variant>
        <vt:i4>0</vt:i4>
      </vt:variant>
      <vt:variant>
        <vt:i4>5</vt:i4>
      </vt:variant>
      <vt:variant>
        <vt:lpwstr>http://www.epa.gov/oilspill/spcc_dec06.htm</vt:lpwstr>
      </vt:variant>
      <vt:variant>
        <vt:lpwstr/>
      </vt:variant>
      <vt:variant>
        <vt:i4>7995420</vt:i4>
      </vt:variant>
      <vt:variant>
        <vt:i4>0</vt:i4>
      </vt:variant>
      <vt:variant>
        <vt:i4>0</vt:i4>
      </vt:variant>
      <vt:variant>
        <vt:i4>5</vt:i4>
      </vt:variant>
      <vt:variant>
        <vt:lpwstr>http://www.eia.doe.gov/pub/oil_gas/petrosystem/petrosysog.html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(ICR) PROPOSED RULE</dc:title>
  <dc:subject/>
  <dc:creator>Svetlana Semenova</dc:creator>
  <cp:keywords/>
  <dc:description/>
  <cp:lastModifiedBy>JUMBERGE</cp:lastModifiedBy>
  <cp:revision>4</cp:revision>
  <cp:lastPrinted>2013-02-27T14:23:00Z</cp:lastPrinted>
  <dcterms:created xsi:type="dcterms:W3CDTF">2013-03-28T13:11:00Z</dcterms:created>
  <dcterms:modified xsi:type="dcterms:W3CDTF">2013-03-28T13:11:00Z</dcterms:modified>
</cp:coreProperties>
</file>