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9F8" w:rsidRPr="000B2C9D" w:rsidRDefault="009349F8" w:rsidP="00FD66F1">
      <w:pPr>
        <w:spacing w:after="0"/>
        <w:jc w:val="center"/>
        <w:rPr>
          <w:rFonts w:ascii="Times New Roman" w:hAnsi="Times New Roman"/>
          <w:sz w:val="24"/>
          <w:szCs w:val="24"/>
        </w:rPr>
      </w:pPr>
      <w:r w:rsidRPr="000B2C9D">
        <w:rPr>
          <w:rFonts w:ascii="Times New Roman" w:hAnsi="Times New Roman"/>
          <w:sz w:val="24"/>
          <w:szCs w:val="24"/>
        </w:rPr>
        <w:t>Supporting Statement</w:t>
      </w:r>
    </w:p>
    <w:p w:rsidR="009349F8" w:rsidRDefault="00B956FA" w:rsidP="00FD66F1">
      <w:pPr>
        <w:spacing w:after="0"/>
        <w:jc w:val="center"/>
        <w:rPr>
          <w:rFonts w:ascii="Times New Roman" w:hAnsi="Times New Roman"/>
          <w:b/>
          <w:sz w:val="24"/>
          <w:szCs w:val="24"/>
        </w:rPr>
      </w:pPr>
      <w:r>
        <w:rPr>
          <w:rFonts w:ascii="Times New Roman" w:hAnsi="Times New Roman"/>
          <w:b/>
          <w:sz w:val="24"/>
          <w:szCs w:val="24"/>
        </w:rPr>
        <w:t>FERC Form</w:t>
      </w:r>
      <w:r w:rsidR="00946BE3">
        <w:rPr>
          <w:rFonts w:ascii="Times New Roman" w:hAnsi="Times New Roman"/>
          <w:b/>
          <w:sz w:val="24"/>
          <w:szCs w:val="24"/>
        </w:rPr>
        <w:t xml:space="preserve"> No.</w:t>
      </w:r>
      <w:r>
        <w:rPr>
          <w:rFonts w:ascii="Times New Roman" w:hAnsi="Times New Roman"/>
          <w:b/>
          <w:sz w:val="24"/>
          <w:szCs w:val="24"/>
        </w:rPr>
        <w:t xml:space="preserve"> 6-Q</w:t>
      </w:r>
      <w:r w:rsidR="009349F8" w:rsidRPr="000B2C9D">
        <w:rPr>
          <w:rFonts w:ascii="Times New Roman" w:hAnsi="Times New Roman"/>
          <w:b/>
          <w:sz w:val="24"/>
          <w:szCs w:val="24"/>
        </w:rPr>
        <w:t xml:space="preserve">, </w:t>
      </w:r>
      <w:r>
        <w:rPr>
          <w:rFonts w:ascii="Times New Roman" w:hAnsi="Times New Roman"/>
          <w:b/>
          <w:sz w:val="24"/>
          <w:szCs w:val="24"/>
        </w:rPr>
        <w:t>Quarterly Financial Report of Oil Pipeline Companies</w:t>
      </w:r>
    </w:p>
    <w:p w:rsidR="00C9381C" w:rsidRPr="000B2C9D" w:rsidRDefault="00C9381C" w:rsidP="00FD66F1">
      <w:pPr>
        <w:spacing w:after="0"/>
        <w:jc w:val="center"/>
        <w:rPr>
          <w:rFonts w:ascii="Times New Roman" w:hAnsi="Times New Roman"/>
          <w:sz w:val="24"/>
          <w:szCs w:val="24"/>
        </w:rPr>
      </w:pPr>
    </w:p>
    <w:p w:rsidR="009349F8" w:rsidRPr="000B2C9D" w:rsidRDefault="009349F8" w:rsidP="004C1C7D">
      <w:pPr>
        <w:spacing w:after="0"/>
        <w:rPr>
          <w:rFonts w:ascii="Times New Roman" w:hAnsi="Times New Roman"/>
          <w:sz w:val="24"/>
          <w:szCs w:val="24"/>
        </w:rPr>
      </w:pPr>
      <w:r w:rsidRPr="000B2C9D">
        <w:rPr>
          <w:rFonts w:ascii="Times New Roman" w:hAnsi="Times New Roman"/>
          <w:sz w:val="24"/>
          <w:szCs w:val="24"/>
        </w:rPr>
        <w:t>The Federal Energy Regulatory Commission (Commission or FERC) requests that the Office of Management and Budget (</w:t>
      </w:r>
      <w:r w:rsidR="00B956FA">
        <w:rPr>
          <w:rFonts w:ascii="Times New Roman" w:hAnsi="Times New Roman"/>
          <w:sz w:val="24"/>
          <w:szCs w:val="24"/>
        </w:rPr>
        <w:t xml:space="preserve">OMB) review and approve FERC Form </w:t>
      </w:r>
      <w:r w:rsidR="00946BE3">
        <w:rPr>
          <w:rFonts w:ascii="Times New Roman" w:hAnsi="Times New Roman"/>
          <w:sz w:val="24"/>
          <w:szCs w:val="24"/>
        </w:rPr>
        <w:t xml:space="preserve">No. </w:t>
      </w:r>
      <w:r w:rsidR="00B956FA">
        <w:rPr>
          <w:rFonts w:ascii="Times New Roman" w:hAnsi="Times New Roman"/>
          <w:sz w:val="24"/>
          <w:szCs w:val="24"/>
        </w:rPr>
        <w:t>6-Q</w:t>
      </w:r>
      <w:r w:rsidRPr="000B2C9D">
        <w:rPr>
          <w:rFonts w:ascii="Times New Roman" w:hAnsi="Times New Roman"/>
          <w:sz w:val="24"/>
          <w:szCs w:val="24"/>
        </w:rPr>
        <w:t xml:space="preserve">, </w:t>
      </w:r>
      <w:r w:rsidR="00B956FA">
        <w:rPr>
          <w:rFonts w:ascii="Times New Roman" w:hAnsi="Times New Roman"/>
          <w:sz w:val="24"/>
          <w:szCs w:val="24"/>
        </w:rPr>
        <w:t>Quarterly Financial Report of Oil Companies</w:t>
      </w:r>
      <w:r w:rsidRPr="000B2C9D">
        <w:rPr>
          <w:rFonts w:ascii="Times New Roman" w:hAnsi="Times New Roman"/>
          <w:sz w:val="24"/>
          <w:szCs w:val="24"/>
        </w:rPr>
        <w:t>, fo</w:t>
      </w:r>
      <w:r w:rsidR="00B956FA">
        <w:rPr>
          <w:rFonts w:ascii="Times New Roman" w:hAnsi="Times New Roman"/>
          <w:sz w:val="24"/>
          <w:szCs w:val="24"/>
        </w:rPr>
        <w:t xml:space="preserve">r a three year period.  FERC Form </w:t>
      </w:r>
      <w:r w:rsidR="00946BE3">
        <w:rPr>
          <w:rFonts w:ascii="Times New Roman" w:hAnsi="Times New Roman"/>
          <w:sz w:val="24"/>
          <w:szCs w:val="24"/>
        </w:rPr>
        <w:t xml:space="preserve">No. </w:t>
      </w:r>
      <w:r w:rsidR="00B956FA">
        <w:rPr>
          <w:rFonts w:ascii="Times New Roman" w:hAnsi="Times New Roman"/>
          <w:sz w:val="24"/>
          <w:szCs w:val="24"/>
        </w:rPr>
        <w:t>6-Q (OMB Control No. 1902-0206</w:t>
      </w:r>
      <w:r w:rsidRPr="000B2C9D">
        <w:rPr>
          <w:rFonts w:ascii="Times New Roman" w:hAnsi="Times New Roman"/>
          <w:sz w:val="24"/>
          <w:szCs w:val="24"/>
        </w:rPr>
        <w:t xml:space="preserve">) is an existing Commission data collection (reporting requirement), as stated by 18 Code of Federal Regulations (CFR) Part </w:t>
      </w:r>
      <w:r w:rsidR="00B956FA">
        <w:rPr>
          <w:rFonts w:ascii="Times New Roman" w:hAnsi="Times New Roman"/>
          <w:sz w:val="24"/>
          <w:szCs w:val="24"/>
        </w:rPr>
        <w:t>357.4</w:t>
      </w:r>
      <w:r w:rsidRPr="000B2C9D">
        <w:rPr>
          <w:rFonts w:ascii="Times New Roman" w:hAnsi="Times New Roman"/>
          <w:sz w:val="24"/>
          <w:szCs w:val="24"/>
        </w:rPr>
        <w:t>.</w:t>
      </w:r>
      <w:r w:rsidR="000547C2">
        <w:rPr>
          <w:rFonts w:ascii="Times New Roman" w:hAnsi="Times New Roman"/>
          <w:sz w:val="24"/>
          <w:szCs w:val="24"/>
        </w:rPr>
        <w:t xml:space="preserve"> </w:t>
      </w:r>
    </w:p>
    <w:p w:rsidR="009349F8" w:rsidRPr="000B2C9D" w:rsidRDefault="009349F8" w:rsidP="00FD66F1">
      <w:pPr>
        <w:spacing w:after="0"/>
        <w:rPr>
          <w:rFonts w:ascii="Times New Roman" w:hAnsi="Times New Roman"/>
          <w:sz w:val="24"/>
          <w:szCs w:val="24"/>
        </w:rPr>
      </w:pPr>
    </w:p>
    <w:p w:rsidR="009349F8" w:rsidRDefault="009349F8" w:rsidP="0003053D">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CIRCUMSTANCES THAT MAKE THE COLLECTION OF INFORMATION NECESSARY</w:t>
      </w:r>
    </w:p>
    <w:p w:rsidR="009349F8" w:rsidRPr="000B2C9D" w:rsidRDefault="009349F8" w:rsidP="00EB3E6F">
      <w:pPr>
        <w:spacing w:after="0"/>
        <w:rPr>
          <w:rFonts w:ascii="Times New Roman" w:hAnsi="Times New Roman"/>
          <w:sz w:val="24"/>
          <w:szCs w:val="24"/>
        </w:rPr>
      </w:pPr>
    </w:p>
    <w:p w:rsidR="009349F8" w:rsidRDefault="00B956FA" w:rsidP="004C1C7D">
      <w:pPr>
        <w:spacing w:after="0"/>
        <w:rPr>
          <w:rFonts w:ascii="Times New Roman" w:hAnsi="Times New Roman"/>
          <w:sz w:val="24"/>
          <w:szCs w:val="24"/>
        </w:rPr>
      </w:pPr>
      <w:r>
        <w:rPr>
          <w:rFonts w:ascii="Times New Roman" w:hAnsi="Times New Roman"/>
          <w:sz w:val="24"/>
          <w:szCs w:val="24"/>
        </w:rPr>
        <w:t>The Interstate Commerce Act (ICA) authorizes the Commission to make investigations, collect, and record data in order to carry out</w:t>
      </w:r>
      <w:r w:rsidR="00726A4B">
        <w:rPr>
          <w:rFonts w:ascii="Times New Roman" w:hAnsi="Times New Roman"/>
          <w:sz w:val="24"/>
          <w:szCs w:val="24"/>
        </w:rPr>
        <w:t xml:space="preserve"> certain necessary and useful provisions.  The information collected </w:t>
      </w:r>
      <w:r w:rsidR="0018558A">
        <w:rPr>
          <w:rFonts w:ascii="Times New Roman" w:hAnsi="Times New Roman"/>
          <w:sz w:val="24"/>
          <w:szCs w:val="24"/>
        </w:rPr>
        <w:t xml:space="preserve">from oil pipeline companies </w:t>
      </w:r>
      <w:r w:rsidR="00726A4B">
        <w:rPr>
          <w:rFonts w:ascii="Times New Roman" w:hAnsi="Times New Roman"/>
          <w:sz w:val="24"/>
          <w:szCs w:val="24"/>
        </w:rPr>
        <w:t xml:space="preserve">under the requirements of the FERC Form </w:t>
      </w:r>
      <w:r w:rsidR="00946BE3">
        <w:rPr>
          <w:rFonts w:ascii="Times New Roman" w:hAnsi="Times New Roman"/>
          <w:sz w:val="24"/>
          <w:szCs w:val="24"/>
        </w:rPr>
        <w:t xml:space="preserve">No. </w:t>
      </w:r>
      <w:r w:rsidR="00726A4B">
        <w:rPr>
          <w:rFonts w:ascii="Times New Roman" w:hAnsi="Times New Roman"/>
          <w:sz w:val="24"/>
          <w:szCs w:val="24"/>
        </w:rPr>
        <w:t xml:space="preserve">6-Q provide the Commission the ability to implement the statutory provisions of the ICA including the authority to prescribe rules, regulations concerning accounts, records, memoranda as </w:t>
      </w:r>
      <w:proofErr w:type="gramStart"/>
      <w:r w:rsidR="00726A4B">
        <w:rPr>
          <w:rFonts w:ascii="Times New Roman" w:hAnsi="Times New Roman"/>
          <w:sz w:val="24"/>
          <w:szCs w:val="24"/>
        </w:rPr>
        <w:t>necessary</w:t>
      </w:r>
      <w:proofErr w:type="gramEnd"/>
      <w:r w:rsidR="00726A4B">
        <w:rPr>
          <w:rFonts w:ascii="Times New Roman" w:hAnsi="Times New Roman"/>
          <w:sz w:val="24"/>
          <w:szCs w:val="24"/>
        </w:rPr>
        <w:t xml:space="preserve">.  </w:t>
      </w:r>
      <w:r w:rsidR="002B6699">
        <w:rPr>
          <w:rFonts w:ascii="Times New Roman" w:hAnsi="Times New Roman"/>
          <w:sz w:val="24"/>
          <w:szCs w:val="24"/>
        </w:rPr>
        <w:t>The ICA also allows the Commission to prescribe a system of accounts for jurisdictional companies and (after notice)</w:t>
      </w:r>
      <w:r w:rsidR="0027091B">
        <w:rPr>
          <w:rFonts w:ascii="Times New Roman" w:hAnsi="Times New Roman"/>
          <w:sz w:val="24"/>
          <w:szCs w:val="24"/>
        </w:rPr>
        <w:t xml:space="preserve"> an opportunity for hearing can determine the accounts in which particular outlays and receipts can be entered, charged, or credited.</w:t>
      </w:r>
    </w:p>
    <w:p w:rsidR="0027091B" w:rsidRDefault="0027091B" w:rsidP="00B956FA">
      <w:pPr>
        <w:spacing w:after="0"/>
        <w:ind w:firstLine="360"/>
        <w:rPr>
          <w:rFonts w:ascii="Times New Roman" w:hAnsi="Times New Roman"/>
          <w:sz w:val="24"/>
          <w:szCs w:val="24"/>
        </w:rPr>
      </w:pPr>
    </w:p>
    <w:p w:rsidR="0027091B" w:rsidRDefault="0027091B" w:rsidP="004C1C7D">
      <w:pPr>
        <w:spacing w:after="0"/>
        <w:rPr>
          <w:rFonts w:ascii="Times New Roman" w:hAnsi="Times New Roman"/>
          <w:sz w:val="24"/>
          <w:szCs w:val="24"/>
        </w:rPr>
      </w:pPr>
      <w:r>
        <w:rPr>
          <w:rFonts w:ascii="Times New Roman" w:hAnsi="Times New Roman"/>
          <w:sz w:val="24"/>
          <w:szCs w:val="24"/>
        </w:rPr>
        <w:t>The financial accounting and reporting</w:t>
      </w:r>
      <w:r w:rsidR="00F75F2F">
        <w:rPr>
          <w:rFonts w:ascii="Times New Roman" w:hAnsi="Times New Roman"/>
          <w:sz w:val="24"/>
          <w:szCs w:val="24"/>
        </w:rPr>
        <w:t xml:space="preserve"> provides needed information concerning a FERC Form </w:t>
      </w:r>
      <w:r w:rsidR="00316A13">
        <w:rPr>
          <w:rFonts w:ascii="Times New Roman" w:hAnsi="Times New Roman"/>
          <w:sz w:val="24"/>
          <w:szCs w:val="24"/>
        </w:rPr>
        <w:t xml:space="preserve">No. </w:t>
      </w:r>
      <w:r w:rsidR="00F75F2F">
        <w:rPr>
          <w:rFonts w:ascii="Times New Roman" w:hAnsi="Times New Roman"/>
          <w:sz w:val="24"/>
          <w:szCs w:val="24"/>
        </w:rPr>
        <w:t xml:space="preserve">6-Q </w:t>
      </w:r>
      <w:proofErr w:type="gramStart"/>
      <w:r>
        <w:rPr>
          <w:rFonts w:ascii="Times New Roman" w:hAnsi="Times New Roman"/>
          <w:sz w:val="24"/>
          <w:szCs w:val="24"/>
        </w:rPr>
        <w:t>company’s</w:t>
      </w:r>
      <w:proofErr w:type="gramEnd"/>
      <w:r>
        <w:rPr>
          <w:rFonts w:ascii="Times New Roman" w:hAnsi="Times New Roman"/>
          <w:sz w:val="24"/>
          <w:szCs w:val="24"/>
        </w:rPr>
        <w:t xml:space="preserve"> past performance and its future prospects.  </w:t>
      </w:r>
      <w:r w:rsidR="001572A2">
        <w:rPr>
          <w:rFonts w:ascii="Times New Roman" w:hAnsi="Times New Roman"/>
          <w:sz w:val="24"/>
          <w:szCs w:val="24"/>
        </w:rPr>
        <w:t xml:space="preserve">Without reliable financial statements (prepared in accordance with the Commission’s Uniform Systems of Accounts), the Commission would be unable to accurately determine the costs that related to a particular time period, service, or line of business.  </w:t>
      </w:r>
      <w:r w:rsidR="006D438B">
        <w:rPr>
          <w:rFonts w:ascii="Times New Roman" w:hAnsi="Times New Roman"/>
          <w:sz w:val="24"/>
          <w:szCs w:val="24"/>
        </w:rPr>
        <w:t>Additionally, it would be more difficult for the Commission to determine if a certain entity was previously provided the opportunity to recover its costs via rates or to compare how the financial performance of one regulated entity relates to another.</w:t>
      </w:r>
    </w:p>
    <w:p w:rsidR="00836E35" w:rsidRDefault="00836E35" w:rsidP="00B956FA">
      <w:pPr>
        <w:spacing w:after="0"/>
        <w:ind w:firstLine="360"/>
        <w:rPr>
          <w:rFonts w:ascii="Times New Roman" w:hAnsi="Times New Roman"/>
          <w:sz w:val="24"/>
          <w:szCs w:val="24"/>
        </w:rPr>
      </w:pPr>
    </w:p>
    <w:p w:rsidR="004C1C7D" w:rsidRDefault="00946BE3" w:rsidP="00A107DD">
      <w:pPr>
        <w:spacing w:after="0"/>
        <w:rPr>
          <w:rFonts w:ascii="Times New Roman" w:hAnsi="Times New Roman"/>
          <w:sz w:val="24"/>
          <w:szCs w:val="24"/>
        </w:rPr>
      </w:pPr>
      <w:r w:rsidRPr="00946BE3">
        <w:rPr>
          <w:rFonts w:ascii="Times New Roman" w:hAnsi="Times New Roman"/>
          <w:sz w:val="24"/>
          <w:szCs w:val="24"/>
        </w:rPr>
        <w:t>The FERC Form No</w:t>
      </w:r>
      <w:r>
        <w:rPr>
          <w:rFonts w:ascii="Times New Roman" w:hAnsi="Times New Roman"/>
          <w:sz w:val="24"/>
          <w:szCs w:val="24"/>
        </w:rPr>
        <w:t xml:space="preserve">. </w:t>
      </w:r>
      <w:r w:rsidR="00AD4DF7" w:rsidRPr="00AD4DF7">
        <w:rPr>
          <w:rFonts w:ascii="Times New Roman" w:hAnsi="Times New Roman"/>
          <w:sz w:val="24"/>
          <w:szCs w:val="24"/>
        </w:rPr>
        <w:t>6-</w:t>
      </w:r>
      <w:r w:rsidR="004D4F1A" w:rsidRPr="00AD4DF7">
        <w:rPr>
          <w:rFonts w:ascii="Times New Roman" w:hAnsi="Times New Roman"/>
          <w:sz w:val="24"/>
          <w:szCs w:val="24"/>
        </w:rPr>
        <w:t xml:space="preserve">Q </w:t>
      </w:r>
      <w:r w:rsidR="004D4F1A" w:rsidRPr="004D4F1A">
        <w:rPr>
          <w:rFonts w:ascii="Times New Roman" w:hAnsi="Times New Roman"/>
          <w:sz w:val="24"/>
          <w:szCs w:val="24"/>
        </w:rPr>
        <w:t>assists</w:t>
      </w:r>
      <w:r w:rsidR="00836E35" w:rsidRPr="004C1C7D">
        <w:rPr>
          <w:rFonts w:ascii="Times New Roman" w:hAnsi="Times New Roman"/>
          <w:sz w:val="24"/>
          <w:szCs w:val="24"/>
        </w:rPr>
        <w:t xml:space="preserve"> the Commission in overseeing and policing the regulated oil pipeline markets to assist in enforcing the ICA. </w:t>
      </w:r>
    </w:p>
    <w:p w:rsidR="0070429D" w:rsidRPr="000B2C9D" w:rsidRDefault="00836E35" w:rsidP="00A107DD">
      <w:pPr>
        <w:spacing w:after="0"/>
        <w:rPr>
          <w:rFonts w:ascii="Times New Roman" w:hAnsi="Times New Roman"/>
          <w:sz w:val="24"/>
          <w:szCs w:val="24"/>
        </w:rPr>
      </w:pPr>
      <w:r w:rsidRPr="004C1C7D">
        <w:rPr>
          <w:rFonts w:ascii="Times New Roman" w:hAnsi="Times New Roman"/>
          <w:sz w:val="24"/>
          <w:szCs w:val="24"/>
        </w:rPr>
        <w:t xml:space="preserve"> </w:t>
      </w:r>
    </w:p>
    <w:p w:rsidR="009349F8" w:rsidRDefault="009349F8" w:rsidP="008F4A9D">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HOW, BY WHOM, AND FOR WHAT PURPOSE THE INFORMATION IS TO BE USED AND THE CONSEQUENCES OF NOT COLLECTING THE INFORMATION</w:t>
      </w:r>
    </w:p>
    <w:p w:rsidR="004C1C7D" w:rsidRDefault="004C1C7D" w:rsidP="004C1C7D">
      <w:pPr>
        <w:pStyle w:val="FERCparanumber"/>
        <w:numPr>
          <w:ilvl w:val="0"/>
          <w:numId w:val="0"/>
        </w:numPr>
        <w:spacing w:line="276" w:lineRule="auto"/>
        <w:rPr>
          <w:sz w:val="24"/>
        </w:rPr>
      </w:pPr>
    </w:p>
    <w:p w:rsidR="006D438B" w:rsidRDefault="006D438B" w:rsidP="004C1C7D">
      <w:pPr>
        <w:pStyle w:val="FERCparanumber"/>
        <w:numPr>
          <w:ilvl w:val="0"/>
          <w:numId w:val="0"/>
        </w:numPr>
        <w:spacing w:line="276" w:lineRule="auto"/>
        <w:rPr>
          <w:sz w:val="24"/>
        </w:rPr>
      </w:pPr>
      <w:r>
        <w:rPr>
          <w:sz w:val="24"/>
        </w:rPr>
        <w:t xml:space="preserve">The Commission’s Office of Enforcement (OE) uses the FERC Form </w:t>
      </w:r>
      <w:r w:rsidR="00E2619F">
        <w:rPr>
          <w:sz w:val="24"/>
        </w:rPr>
        <w:t xml:space="preserve">No. </w:t>
      </w:r>
      <w:r>
        <w:rPr>
          <w:sz w:val="24"/>
        </w:rPr>
        <w:t xml:space="preserve">6-Q data to assist in the implementation of its financial audits and programs for the continuous review of the financial condition of regulated companies and assessment of energy markets.  The Commission’s Office of </w:t>
      </w:r>
      <w:r w:rsidR="00732E6E">
        <w:rPr>
          <w:sz w:val="24"/>
        </w:rPr>
        <w:t xml:space="preserve">Energy </w:t>
      </w:r>
      <w:r>
        <w:rPr>
          <w:sz w:val="24"/>
        </w:rPr>
        <w:t xml:space="preserve">Markets Regulation (OEMR) uses the data collected for various rate proceedings and economic analyses.  The Commission’s Office of Administrative Litigation (OAL) uses the data </w:t>
      </w:r>
      <w:r>
        <w:rPr>
          <w:sz w:val="24"/>
        </w:rPr>
        <w:lastRenderedPageBreak/>
        <w:t>collected for background research for use in litigation.  The Commission’s Office of General Counsel (OGC</w:t>
      </w:r>
      <w:r w:rsidR="00B95541">
        <w:rPr>
          <w:sz w:val="24"/>
        </w:rPr>
        <w:t>) uses</w:t>
      </w:r>
      <w:r>
        <w:rPr>
          <w:sz w:val="24"/>
        </w:rPr>
        <w:t xml:space="preserve"> the data in its programs relating to the administratio</w:t>
      </w:r>
      <w:r w:rsidR="0018558A">
        <w:rPr>
          <w:sz w:val="24"/>
        </w:rPr>
        <w:t>n of the ICA</w:t>
      </w:r>
      <w:r>
        <w:rPr>
          <w:sz w:val="24"/>
        </w:rPr>
        <w:t xml:space="preserve">.  </w:t>
      </w:r>
    </w:p>
    <w:p w:rsidR="004C1C7D" w:rsidRDefault="004C1C7D" w:rsidP="004C1C7D">
      <w:pPr>
        <w:pStyle w:val="FERCparanumber"/>
        <w:numPr>
          <w:ilvl w:val="0"/>
          <w:numId w:val="0"/>
        </w:numPr>
        <w:spacing w:line="276" w:lineRule="auto"/>
        <w:rPr>
          <w:sz w:val="24"/>
        </w:rPr>
      </w:pPr>
    </w:p>
    <w:p w:rsidR="006D438B" w:rsidRPr="000B2C9D" w:rsidRDefault="006D438B" w:rsidP="004C1C7D">
      <w:pPr>
        <w:pStyle w:val="FERCparanumber"/>
        <w:numPr>
          <w:ilvl w:val="0"/>
          <w:numId w:val="0"/>
        </w:numPr>
        <w:spacing w:line="276" w:lineRule="auto"/>
        <w:rPr>
          <w:sz w:val="24"/>
        </w:rPr>
      </w:pPr>
      <w:r>
        <w:rPr>
          <w:sz w:val="24"/>
        </w:rPr>
        <w:t xml:space="preserve">Additionally, many state regulatory commissions use the FERC Form </w:t>
      </w:r>
      <w:r w:rsidR="00E2619F">
        <w:rPr>
          <w:sz w:val="24"/>
        </w:rPr>
        <w:t xml:space="preserve">No. </w:t>
      </w:r>
      <w:r>
        <w:rPr>
          <w:sz w:val="24"/>
        </w:rPr>
        <w:t>6-Q and the Uniform System of Accounts to satisfy their reporting requirements for companies under their jurisdiction.</w:t>
      </w:r>
    </w:p>
    <w:p w:rsidR="009349F8" w:rsidRPr="000B2C9D" w:rsidRDefault="009349F8" w:rsidP="00EB3E6F">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DESCRIBE ANY CONSIDERATION OF THE USE OF IMPROVED INFORMATION TECHNOLOGY TO REDUCE THE BURDEN AND TECHNICAL OR LEGAL OBSTACLES TO REDUCING BURDEN</w:t>
      </w:r>
    </w:p>
    <w:p w:rsidR="004C1C7D" w:rsidRDefault="004C1C7D" w:rsidP="004C1C7D">
      <w:pPr>
        <w:spacing w:after="0"/>
        <w:rPr>
          <w:rFonts w:ascii="Times New Roman" w:hAnsi="Times New Roman"/>
          <w:sz w:val="24"/>
          <w:szCs w:val="24"/>
        </w:rPr>
      </w:pPr>
    </w:p>
    <w:p w:rsidR="005A6CEF" w:rsidRDefault="005A6CEF" w:rsidP="004C1C7D">
      <w:pPr>
        <w:spacing w:after="0"/>
        <w:rPr>
          <w:rFonts w:ascii="Times New Roman" w:hAnsi="Times New Roman"/>
          <w:sz w:val="24"/>
          <w:szCs w:val="24"/>
        </w:rPr>
      </w:pPr>
      <w:r w:rsidRPr="005A6CEF">
        <w:rPr>
          <w:rFonts w:ascii="Times New Roman" w:hAnsi="Times New Roman"/>
          <w:sz w:val="24"/>
          <w:szCs w:val="24"/>
        </w:rPr>
        <w:t xml:space="preserve">FERC has attempted to facilitate the </w:t>
      </w:r>
      <w:r>
        <w:rPr>
          <w:rFonts w:ascii="Times New Roman" w:hAnsi="Times New Roman"/>
          <w:sz w:val="24"/>
          <w:szCs w:val="24"/>
        </w:rPr>
        <w:t>filing process</w:t>
      </w:r>
      <w:r w:rsidRPr="005A6CEF">
        <w:rPr>
          <w:rFonts w:ascii="Times New Roman" w:hAnsi="Times New Roman"/>
          <w:sz w:val="24"/>
          <w:szCs w:val="24"/>
        </w:rPr>
        <w:t xml:space="preserve"> by providing materials to </w:t>
      </w:r>
      <w:r w:rsidR="00EC78C2">
        <w:rPr>
          <w:rFonts w:ascii="Times New Roman" w:hAnsi="Times New Roman"/>
          <w:sz w:val="24"/>
          <w:szCs w:val="24"/>
        </w:rPr>
        <w:t xml:space="preserve">assist </w:t>
      </w:r>
      <w:r>
        <w:rPr>
          <w:rFonts w:ascii="Times New Roman" w:hAnsi="Times New Roman"/>
          <w:sz w:val="24"/>
          <w:szCs w:val="24"/>
        </w:rPr>
        <w:t xml:space="preserve">every </w:t>
      </w:r>
      <w:r w:rsidRPr="005A6CEF">
        <w:rPr>
          <w:rFonts w:ascii="Times New Roman" w:hAnsi="Times New Roman"/>
          <w:sz w:val="24"/>
          <w:szCs w:val="24"/>
        </w:rPr>
        <w:t xml:space="preserve">potential </w:t>
      </w:r>
      <w:r>
        <w:rPr>
          <w:rFonts w:ascii="Times New Roman" w:hAnsi="Times New Roman"/>
          <w:sz w:val="24"/>
          <w:szCs w:val="24"/>
        </w:rPr>
        <w:t xml:space="preserve">pipeline carrier’s response to this collection.  FERC Form </w:t>
      </w:r>
      <w:r w:rsidR="00E2619F">
        <w:rPr>
          <w:rFonts w:ascii="Times New Roman" w:hAnsi="Times New Roman"/>
          <w:sz w:val="24"/>
          <w:szCs w:val="24"/>
        </w:rPr>
        <w:t xml:space="preserve">No. </w:t>
      </w:r>
      <w:r>
        <w:rPr>
          <w:rFonts w:ascii="Times New Roman" w:hAnsi="Times New Roman"/>
          <w:sz w:val="24"/>
          <w:szCs w:val="24"/>
        </w:rPr>
        <w:t>6-Q</w:t>
      </w:r>
      <w:r w:rsidR="0018558A">
        <w:rPr>
          <w:rFonts w:ascii="Times New Roman" w:hAnsi="Times New Roman"/>
          <w:sz w:val="24"/>
          <w:szCs w:val="24"/>
        </w:rPr>
        <w:t xml:space="preserve"> and related helpful materials</w:t>
      </w:r>
      <w:r>
        <w:rPr>
          <w:rFonts w:ascii="Times New Roman" w:hAnsi="Times New Roman"/>
          <w:sz w:val="24"/>
          <w:szCs w:val="24"/>
        </w:rPr>
        <w:t xml:space="preserve"> can be found on the FERC website here:</w:t>
      </w:r>
      <w:r w:rsidR="0018558A" w:rsidRPr="0018558A">
        <w:t xml:space="preserve"> </w:t>
      </w:r>
      <w:r w:rsidR="0018558A">
        <w:t xml:space="preserve"> </w:t>
      </w:r>
      <w:hyperlink r:id="rId10" w:anchor="6Q" w:history="1">
        <w:r w:rsidR="0018558A" w:rsidRPr="00A85726">
          <w:rPr>
            <w:rStyle w:val="Hyperlink"/>
            <w:rFonts w:ascii="Times New Roman" w:hAnsi="Times New Roman"/>
            <w:sz w:val="24"/>
            <w:szCs w:val="24"/>
          </w:rPr>
          <w:t>http://www.ferc.gov/docs-filing/forms.asp#6Q</w:t>
        </w:r>
      </w:hyperlink>
      <w:r>
        <w:rPr>
          <w:rFonts w:ascii="Times New Roman" w:hAnsi="Times New Roman"/>
          <w:sz w:val="24"/>
          <w:szCs w:val="24"/>
        </w:rPr>
        <w:t>.</w:t>
      </w:r>
    </w:p>
    <w:p w:rsidR="004C1C7D" w:rsidRDefault="004C1C7D" w:rsidP="004C1C7D">
      <w:pPr>
        <w:spacing w:after="0"/>
        <w:rPr>
          <w:rFonts w:ascii="Times New Roman" w:hAnsi="Times New Roman"/>
          <w:sz w:val="24"/>
          <w:szCs w:val="24"/>
        </w:rPr>
      </w:pPr>
    </w:p>
    <w:p w:rsidR="005A6CEF" w:rsidRDefault="005A6CEF" w:rsidP="004C1C7D">
      <w:pPr>
        <w:spacing w:after="0"/>
        <w:rPr>
          <w:rFonts w:ascii="Times New Roman" w:hAnsi="Times New Roman"/>
          <w:sz w:val="24"/>
          <w:szCs w:val="24"/>
        </w:rPr>
      </w:pPr>
      <w:r>
        <w:rPr>
          <w:rFonts w:ascii="Times New Roman" w:hAnsi="Times New Roman"/>
          <w:sz w:val="24"/>
          <w:szCs w:val="24"/>
        </w:rPr>
        <w:t>The Commission observes</w:t>
      </w:r>
      <w:r w:rsidRPr="005A6CEF">
        <w:rPr>
          <w:rFonts w:ascii="Times New Roman" w:hAnsi="Times New Roman"/>
          <w:sz w:val="24"/>
          <w:szCs w:val="24"/>
        </w:rPr>
        <w:t xml:space="preserve"> that electronic submission of </w:t>
      </w:r>
      <w:r>
        <w:rPr>
          <w:rFonts w:ascii="Times New Roman" w:hAnsi="Times New Roman"/>
          <w:sz w:val="24"/>
          <w:szCs w:val="24"/>
        </w:rPr>
        <w:t>FERC Form</w:t>
      </w:r>
      <w:r w:rsidRPr="005A6CEF">
        <w:rPr>
          <w:rFonts w:ascii="Times New Roman" w:hAnsi="Times New Roman"/>
          <w:sz w:val="24"/>
          <w:szCs w:val="24"/>
        </w:rPr>
        <w:t xml:space="preserve"> </w:t>
      </w:r>
      <w:r w:rsidR="00946BE3">
        <w:rPr>
          <w:rFonts w:ascii="Times New Roman" w:hAnsi="Times New Roman"/>
          <w:sz w:val="24"/>
          <w:szCs w:val="24"/>
        </w:rPr>
        <w:t xml:space="preserve">No. </w:t>
      </w:r>
      <w:r w:rsidRPr="005A6CEF">
        <w:rPr>
          <w:rFonts w:ascii="Times New Roman" w:hAnsi="Times New Roman"/>
          <w:sz w:val="24"/>
          <w:szCs w:val="24"/>
        </w:rPr>
        <w:t>6-Q fili</w:t>
      </w:r>
      <w:r>
        <w:rPr>
          <w:rFonts w:ascii="Times New Roman" w:hAnsi="Times New Roman"/>
          <w:sz w:val="24"/>
          <w:szCs w:val="24"/>
        </w:rPr>
        <w:t>ngs yields significant benefits</w:t>
      </w:r>
      <w:r w:rsidRPr="005A6CEF">
        <w:rPr>
          <w:rFonts w:ascii="Times New Roman" w:hAnsi="Times New Roman"/>
          <w:sz w:val="24"/>
          <w:szCs w:val="24"/>
        </w:rPr>
        <w:t xml:space="preserve"> including more timely analysis and publication of data, increased data analysis capability, reduced cost of data </w:t>
      </w:r>
      <w:r>
        <w:rPr>
          <w:rFonts w:ascii="Times New Roman" w:hAnsi="Times New Roman"/>
          <w:sz w:val="24"/>
          <w:szCs w:val="24"/>
        </w:rPr>
        <w:t>entry and retrieval, simplification of</w:t>
      </w:r>
      <w:r w:rsidRPr="005A6CEF">
        <w:rPr>
          <w:rFonts w:ascii="Times New Roman" w:hAnsi="Times New Roman"/>
          <w:sz w:val="24"/>
          <w:szCs w:val="24"/>
        </w:rPr>
        <w:t xml:space="preserve"> the form design, and overall reduction of the reporting burden.</w:t>
      </w:r>
    </w:p>
    <w:p w:rsidR="005A6CEF" w:rsidRPr="000B2C9D" w:rsidRDefault="005A6CEF" w:rsidP="005A6CEF">
      <w:pPr>
        <w:spacing w:after="0"/>
        <w:rPr>
          <w:rFonts w:ascii="Times New Roman" w:hAnsi="Times New Roman"/>
          <w:sz w:val="24"/>
          <w:szCs w:val="24"/>
        </w:rPr>
      </w:pPr>
      <w:r w:rsidRPr="005A6CEF">
        <w:rPr>
          <w:rFonts w:ascii="Times New Roman" w:hAnsi="Times New Roman"/>
          <w:sz w:val="24"/>
          <w:szCs w:val="24"/>
        </w:rPr>
        <w:t xml:space="preserve"> </w:t>
      </w: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rsidR="004C1C7D" w:rsidRDefault="004C1C7D" w:rsidP="004C1C7D">
      <w:pPr>
        <w:spacing w:after="0"/>
        <w:rPr>
          <w:rFonts w:ascii="Times New Roman" w:hAnsi="Times New Roman"/>
          <w:sz w:val="24"/>
          <w:szCs w:val="24"/>
        </w:rPr>
      </w:pPr>
      <w:bookmarkStart w:id="0" w:name="_GoBack"/>
      <w:bookmarkEnd w:id="0"/>
    </w:p>
    <w:p w:rsidR="009349F8" w:rsidRPr="000B2C9D" w:rsidRDefault="009349F8" w:rsidP="004C1C7D">
      <w:pPr>
        <w:spacing w:after="0"/>
        <w:rPr>
          <w:rFonts w:ascii="Times New Roman" w:hAnsi="Times New Roman"/>
          <w:sz w:val="24"/>
          <w:szCs w:val="24"/>
        </w:rPr>
      </w:pPr>
      <w:r w:rsidRPr="000B2C9D">
        <w:rPr>
          <w:rFonts w:ascii="Times New Roman" w:hAnsi="Times New Roman"/>
          <w:sz w:val="24"/>
          <w:szCs w:val="24"/>
        </w:rPr>
        <w:t>Filing requirements are periodically reviewed as OMB review dates arise or as the Commission may deem necessary in carrying out its regulatory responsibilities under the Act in an effort to alleviate duplication.  All Commission information collections are subject to analysis by Commission staff and are examined for redundancy.  There is no other source of this information.</w:t>
      </w:r>
      <w:r w:rsidRPr="000B2C9D">
        <w:rPr>
          <w:rFonts w:ascii="Times New Roman" w:hAnsi="Times New Roman"/>
          <w:sz w:val="24"/>
          <w:szCs w:val="24"/>
        </w:rPr>
        <w:softHyphen/>
      </w:r>
    </w:p>
    <w:p w:rsidR="009349F8" w:rsidRPr="000B2C9D" w:rsidRDefault="009349F8" w:rsidP="00EB3E6F">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METHODS USED TO MINIMIZE THE BURDEN IN COLLECTION OF INFORMATION INVOLVING SMALL ENTITIES</w:t>
      </w:r>
    </w:p>
    <w:p w:rsidR="004C1C7D" w:rsidRDefault="004C1C7D" w:rsidP="004C1C7D">
      <w:pPr>
        <w:spacing w:after="0"/>
        <w:rPr>
          <w:rFonts w:ascii="Times New Roman" w:hAnsi="Times New Roman"/>
          <w:sz w:val="24"/>
          <w:szCs w:val="24"/>
        </w:rPr>
      </w:pPr>
    </w:p>
    <w:p w:rsidR="00AA7410" w:rsidRPr="00AA7410" w:rsidRDefault="00A06CDE" w:rsidP="00AA7410">
      <w:pPr>
        <w:spacing w:after="0"/>
        <w:rPr>
          <w:rFonts w:ascii="Times New Roman" w:hAnsi="Times New Roman"/>
          <w:sz w:val="24"/>
          <w:szCs w:val="24"/>
        </w:rPr>
      </w:pPr>
      <w:r>
        <w:rPr>
          <w:rFonts w:ascii="Times New Roman" w:hAnsi="Times New Roman"/>
          <w:sz w:val="24"/>
          <w:szCs w:val="24"/>
        </w:rPr>
        <w:t xml:space="preserve">Only companies </w:t>
      </w:r>
      <w:r w:rsidR="00AA7410">
        <w:rPr>
          <w:rFonts w:ascii="Times New Roman" w:hAnsi="Times New Roman"/>
          <w:sz w:val="24"/>
          <w:szCs w:val="24"/>
        </w:rPr>
        <w:t>(</w:t>
      </w:r>
      <w:r w:rsidR="00AA7410" w:rsidRPr="00AA7410">
        <w:rPr>
          <w:rFonts w:ascii="Times New Roman" w:hAnsi="Times New Roman"/>
          <w:sz w:val="24"/>
          <w:szCs w:val="24"/>
        </w:rPr>
        <w:t>whose annual jurisdictional operating revenues ha</w:t>
      </w:r>
      <w:r w:rsidR="00AA7410">
        <w:rPr>
          <w:rFonts w:ascii="Times New Roman" w:hAnsi="Times New Roman"/>
          <w:sz w:val="24"/>
          <w:szCs w:val="24"/>
        </w:rPr>
        <w:t>ve</w:t>
      </w:r>
      <w:r w:rsidR="00AA7410" w:rsidRPr="00AA7410">
        <w:rPr>
          <w:rFonts w:ascii="Times New Roman" w:hAnsi="Times New Roman"/>
          <w:sz w:val="24"/>
          <w:szCs w:val="24"/>
        </w:rPr>
        <w:t xml:space="preserve"> been $500,000 or</w:t>
      </w:r>
    </w:p>
    <w:p w:rsidR="009349F8" w:rsidRDefault="00AA7410" w:rsidP="00AA7410">
      <w:pPr>
        <w:spacing w:after="0"/>
        <w:rPr>
          <w:rFonts w:ascii="Times New Roman" w:hAnsi="Times New Roman"/>
          <w:sz w:val="24"/>
          <w:szCs w:val="24"/>
        </w:rPr>
      </w:pPr>
      <w:proofErr w:type="gramStart"/>
      <w:r w:rsidRPr="00AA7410">
        <w:rPr>
          <w:rFonts w:ascii="Times New Roman" w:hAnsi="Times New Roman"/>
          <w:sz w:val="24"/>
          <w:szCs w:val="24"/>
        </w:rPr>
        <w:t>more</w:t>
      </w:r>
      <w:proofErr w:type="gramEnd"/>
      <w:r w:rsidRPr="00AA7410">
        <w:rPr>
          <w:rFonts w:ascii="Times New Roman" w:hAnsi="Times New Roman"/>
          <w:sz w:val="24"/>
          <w:szCs w:val="24"/>
        </w:rPr>
        <w:t xml:space="preserve"> for each of the three previous calendar years</w:t>
      </w:r>
      <w:r>
        <w:rPr>
          <w:rFonts w:ascii="Times New Roman" w:hAnsi="Times New Roman"/>
          <w:sz w:val="24"/>
          <w:szCs w:val="24"/>
        </w:rPr>
        <w:t xml:space="preserve">) </w:t>
      </w:r>
      <w:r w:rsidR="00A06CDE">
        <w:rPr>
          <w:rFonts w:ascii="Times New Roman" w:hAnsi="Times New Roman"/>
          <w:sz w:val="24"/>
          <w:szCs w:val="24"/>
        </w:rPr>
        <w:t xml:space="preserve">that file the full FERC Form No. 6 are required to file the FERC Form No. 6-Q.  Consequently, companies with </w:t>
      </w:r>
      <w:r w:rsidR="00EC78C2" w:rsidRPr="00EC78C2">
        <w:rPr>
          <w:rFonts w:ascii="Times New Roman" w:hAnsi="Times New Roman"/>
          <w:sz w:val="24"/>
          <w:szCs w:val="24"/>
        </w:rPr>
        <w:t xml:space="preserve">annual </w:t>
      </w:r>
      <w:r w:rsidR="00A06CDE">
        <w:rPr>
          <w:rFonts w:ascii="Times New Roman" w:hAnsi="Times New Roman"/>
          <w:sz w:val="24"/>
          <w:szCs w:val="24"/>
        </w:rPr>
        <w:t>jurisdiction operating revenues below $500,000 are excluded from filing the FERC Form No. 6-Q.</w:t>
      </w:r>
      <w:r w:rsidR="00EC78C2" w:rsidRPr="00EC78C2">
        <w:t xml:space="preserve"> </w:t>
      </w:r>
    </w:p>
    <w:p w:rsidR="00A54CDD" w:rsidRPr="000B2C9D" w:rsidRDefault="00A54CDD" w:rsidP="00A54CDD">
      <w:pPr>
        <w:spacing w:after="0"/>
        <w:ind w:firstLine="36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lastRenderedPageBreak/>
        <w:t>CONSEQUENCE TO FEDERAL PROGRAM IF COLLECTION WERE CONDUCTED LESS FREQUENTLY</w:t>
      </w:r>
    </w:p>
    <w:p w:rsidR="00947BD2" w:rsidRDefault="00947BD2" w:rsidP="00947BD2">
      <w:pPr>
        <w:spacing w:after="0" w:line="240" w:lineRule="auto"/>
        <w:rPr>
          <w:rFonts w:ascii="Times New Roman" w:hAnsi="Times New Roman"/>
          <w:sz w:val="24"/>
          <w:szCs w:val="24"/>
        </w:rPr>
      </w:pPr>
    </w:p>
    <w:p w:rsidR="009349F8" w:rsidRDefault="00A54CDD" w:rsidP="00947BD2">
      <w:pPr>
        <w:spacing w:after="0" w:line="240" w:lineRule="auto"/>
        <w:rPr>
          <w:rFonts w:ascii="Times New Roman" w:hAnsi="Times New Roman"/>
          <w:sz w:val="24"/>
          <w:szCs w:val="24"/>
        </w:rPr>
      </w:pPr>
      <w:r w:rsidRPr="00A54CDD">
        <w:rPr>
          <w:rFonts w:ascii="Times New Roman" w:hAnsi="Times New Roman"/>
          <w:sz w:val="24"/>
          <w:szCs w:val="24"/>
        </w:rPr>
        <w:t xml:space="preserve">The Commission is authorized by statute to collect this information on an annual and quarterly basis. If the collection were conducted less frequently, the Commission would be unable to perform its mandated review responsibilities with respect to the assessment of the financial conditions of oil pipeline companies. The continued use of the </w:t>
      </w:r>
      <w:r>
        <w:rPr>
          <w:rFonts w:ascii="Times New Roman" w:hAnsi="Times New Roman"/>
          <w:sz w:val="24"/>
          <w:szCs w:val="24"/>
        </w:rPr>
        <w:t>FERC Form</w:t>
      </w:r>
      <w:r w:rsidRPr="00A54CDD">
        <w:rPr>
          <w:rFonts w:ascii="Times New Roman" w:hAnsi="Times New Roman"/>
          <w:sz w:val="24"/>
          <w:szCs w:val="24"/>
        </w:rPr>
        <w:t xml:space="preserve"> </w:t>
      </w:r>
      <w:r w:rsidR="00E2619F">
        <w:rPr>
          <w:rFonts w:ascii="Times New Roman" w:hAnsi="Times New Roman"/>
          <w:sz w:val="24"/>
          <w:szCs w:val="24"/>
        </w:rPr>
        <w:t xml:space="preserve">No. </w:t>
      </w:r>
      <w:r w:rsidRPr="00A54CDD">
        <w:rPr>
          <w:rFonts w:ascii="Times New Roman" w:hAnsi="Times New Roman"/>
          <w:sz w:val="24"/>
          <w:szCs w:val="24"/>
        </w:rPr>
        <w:t>6-Q ensures that the Commission has the financial, operational, and ratemaking information needed to carry out its regulatory responsibilities to monitor the oil pipeline industry.</w:t>
      </w:r>
    </w:p>
    <w:p w:rsidR="000702CE" w:rsidRPr="000B2C9D" w:rsidRDefault="000702CE" w:rsidP="00947BD2">
      <w:pPr>
        <w:spacing w:after="0" w:line="240" w:lineRule="auto"/>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EXPLAIN ANY SPECIAL CIRCUMSTANCES RELATING TO THE INFORMATION COLLECTION</w:t>
      </w:r>
    </w:p>
    <w:p w:rsidR="009349F8" w:rsidRPr="000B2C9D" w:rsidRDefault="009349F8" w:rsidP="00EB3E6F">
      <w:pPr>
        <w:spacing w:after="0"/>
        <w:rPr>
          <w:rFonts w:ascii="Times New Roman" w:hAnsi="Times New Roman"/>
          <w:sz w:val="24"/>
          <w:szCs w:val="24"/>
        </w:rPr>
      </w:pPr>
    </w:p>
    <w:p w:rsidR="009349F8" w:rsidRPr="000B2C9D" w:rsidRDefault="00A54CDD" w:rsidP="004C1C7D">
      <w:pPr>
        <w:spacing w:after="0"/>
        <w:rPr>
          <w:rFonts w:ascii="Times New Roman" w:hAnsi="Times New Roman"/>
          <w:sz w:val="24"/>
          <w:szCs w:val="24"/>
        </w:rPr>
      </w:pPr>
      <w:r>
        <w:rPr>
          <w:rFonts w:ascii="Times New Roman" w:hAnsi="Times New Roman"/>
          <w:sz w:val="24"/>
          <w:szCs w:val="24"/>
        </w:rPr>
        <w:t xml:space="preserve">FERC Form </w:t>
      </w:r>
      <w:r w:rsidR="00E2619F">
        <w:rPr>
          <w:rFonts w:ascii="Times New Roman" w:hAnsi="Times New Roman"/>
          <w:sz w:val="24"/>
          <w:szCs w:val="24"/>
        </w:rPr>
        <w:t xml:space="preserve">No. </w:t>
      </w:r>
      <w:r>
        <w:rPr>
          <w:rFonts w:ascii="Times New Roman" w:hAnsi="Times New Roman"/>
          <w:sz w:val="24"/>
          <w:szCs w:val="24"/>
        </w:rPr>
        <w:t>6-Q</w:t>
      </w:r>
      <w:r w:rsidR="009349F8" w:rsidRPr="000B2C9D">
        <w:rPr>
          <w:rFonts w:ascii="Times New Roman" w:hAnsi="Times New Roman"/>
          <w:sz w:val="24"/>
          <w:szCs w:val="24"/>
        </w:rPr>
        <w:t xml:space="preserve"> meets OMB's </w:t>
      </w:r>
      <w:r w:rsidR="00C160D1">
        <w:rPr>
          <w:rFonts w:ascii="Times New Roman" w:hAnsi="Times New Roman"/>
          <w:sz w:val="24"/>
          <w:szCs w:val="24"/>
        </w:rPr>
        <w:t>S</w:t>
      </w:r>
      <w:r w:rsidR="009349F8" w:rsidRPr="000B2C9D">
        <w:rPr>
          <w:rFonts w:ascii="Times New Roman" w:hAnsi="Times New Roman"/>
          <w:sz w:val="24"/>
          <w:szCs w:val="24"/>
        </w:rPr>
        <w:t>ection 1320.5 requirements.</w:t>
      </w:r>
    </w:p>
    <w:p w:rsidR="009349F8" w:rsidRPr="000B2C9D" w:rsidRDefault="009349F8" w:rsidP="00EB3E6F">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DESCRIBE EFFORTS TO CONSULT OUTSIDE THE AGENCY: SUMMARIZE PUBLIC COMMENTS AND THE AGENCY’S RESPONSE</w:t>
      </w:r>
    </w:p>
    <w:p w:rsidR="009349F8" w:rsidRPr="000B2C9D" w:rsidRDefault="009349F8" w:rsidP="00EB3E6F">
      <w:pPr>
        <w:spacing w:after="0"/>
        <w:rPr>
          <w:rFonts w:ascii="Times New Roman" w:hAnsi="Times New Roman"/>
          <w:sz w:val="24"/>
          <w:szCs w:val="24"/>
        </w:rPr>
      </w:pPr>
    </w:p>
    <w:p w:rsidR="009349F8" w:rsidRPr="000B2C9D" w:rsidRDefault="009349F8" w:rsidP="004C1C7D">
      <w:pPr>
        <w:spacing w:after="0"/>
        <w:rPr>
          <w:rFonts w:ascii="Times New Roman" w:hAnsi="Times New Roman"/>
          <w:sz w:val="24"/>
          <w:szCs w:val="24"/>
        </w:rPr>
      </w:pPr>
      <w:r w:rsidRPr="000B2C9D">
        <w:rPr>
          <w:rFonts w:ascii="Times New Roman" w:hAnsi="Times New Roman"/>
          <w:sz w:val="24"/>
          <w:szCs w:val="24"/>
        </w:rPr>
        <w:t>In accordance with OMB requirements, the Commission published a 60-day notice</w:t>
      </w:r>
      <w:bookmarkStart w:id="1" w:name="_Ref332712251"/>
      <w:r w:rsidRPr="000B2C9D">
        <w:rPr>
          <w:rStyle w:val="FootnoteReference"/>
          <w:rFonts w:ascii="Times New Roman" w:hAnsi="Times New Roman"/>
          <w:sz w:val="24"/>
          <w:szCs w:val="24"/>
          <w:vertAlign w:val="superscript"/>
        </w:rPr>
        <w:footnoteReference w:id="2"/>
      </w:r>
      <w:bookmarkEnd w:id="1"/>
      <w:r w:rsidRPr="000B2C9D">
        <w:rPr>
          <w:rFonts w:ascii="Times New Roman" w:hAnsi="Times New Roman"/>
          <w:sz w:val="24"/>
          <w:szCs w:val="24"/>
        </w:rPr>
        <w:t xml:space="preserve"> and a 30-day notice</w:t>
      </w:r>
      <w:r w:rsidRPr="000B2C9D">
        <w:rPr>
          <w:rStyle w:val="FootnoteReference"/>
          <w:rFonts w:ascii="Times New Roman" w:hAnsi="Times New Roman"/>
          <w:sz w:val="24"/>
          <w:szCs w:val="24"/>
          <w:vertAlign w:val="superscript"/>
        </w:rPr>
        <w:footnoteReference w:id="3"/>
      </w:r>
      <w:r w:rsidRPr="000B2C9D">
        <w:rPr>
          <w:rFonts w:ascii="Times New Roman" w:hAnsi="Times New Roman"/>
          <w:sz w:val="24"/>
          <w:szCs w:val="24"/>
        </w:rPr>
        <w:t xml:space="preserve"> to the public regarding this information </w:t>
      </w:r>
      <w:r w:rsidRPr="00B36454">
        <w:rPr>
          <w:rFonts w:ascii="Times New Roman" w:hAnsi="Times New Roman"/>
          <w:sz w:val="24"/>
          <w:szCs w:val="24"/>
        </w:rPr>
        <w:t xml:space="preserve">collection on </w:t>
      </w:r>
      <w:r w:rsidR="006D17FD">
        <w:rPr>
          <w:rFonts w:ascii="Times New Roman" w:hAnsi="Times New Roman"/>
          <w:sz w:val="24"/>
          <w:szCs w:val="24"/>
        </w:rPr>
        <w:t>2</w:t>
      </w:r>
      <w:r w:rsidRPr="00B36454">
        <w:rPr>
          <w:rFonts w:ascii="Times New Roman" w:hAnsi="Times New Roman"/>
          <w:sz w:val="24"/>
          <w:szCs w:val="24"/>
        </w:rPr>
        <w:t>/</w:t>
      </w:r>
      <w:r w:rsidR="006D17FD">
        <w:rPr>
          <w:rFonts w:ascii="Times New Roman" w:hAnsi="Times New Roman"/>
          <w:sz w:val="24"/>
          <w:szCs w:val="24"/>
        </w:rPr>
        <w:t>6</w:t>
      </w:r>
      <w:r w:rsidRPr="00B36454">
        <w:rPr>
          <w:rFonts w:ascii="Times New Roman" w:hAnsi="Times New Roman"/>
          <w:sz w:val="24"/>
          <w:szCs w:val="24"/>
        </w:rPr>
        <w:t>/</w:t>
      </w:r>
      <w:r w:rsidR="006D17FD">
        <w:rPr>
          <w:rFonts w:ascii="Times New Roman" w:hAnsi="Times New Roman"/>
          <w:sz w:val="24"/>
          <w:szCs w:val="24"/>
        </w:rPr>
        <w:t>2013</w:t>
      </w:r>
      <w:r w:rsidRPr="00B36454">
        <w:rPr>
          <w:rFonts w:ascii="Times New Roman" w:hAnsi="Times New Roman"/>
          <w:sz w:val="24"/>
          <w:szCs w:val="24"/>
        </w:rPr>
        <w:t xml:space="preserve"> and </w:t>
      </w:r>
      <w:r w:rsidR="000252B1">
        <w:rPr>
          <w:rFonts w:ascii="Times New Roman" w:hAnsi="Times New Roman"/>
          <w:sz w:val="24"/>
          <w:szCs w:val="24"/>
        </w:rPr>
        <w:t>4</w:t>
      </w:r>
      <w:r w:rsidRPr="004C1C7D">
        <w:rPr>
          <w:rFonts w:ascii="Times New Roman" w:hAnsi="Times New Roman"/>
          <w:sz w:val="24"/>
          <w:szCs w:val="24"/>
        </w:rPr>
        <w:t>/</w:t>
      </w:r>
      <w:r w:rsidR="000252B1" w:rsidRPr="004C1C7D">
        <w:rPr>
          <w:rFonts w:ascii="Times New Roman" w:hAnsi="Times New Roman"/>
          <w:sz w:val="24"/>
          <w:szCs w:val="24"/>
        </w:rPr>
        <w:t>24</w:t>
      </w:r>
      <w:r w:rsidRPr="004C1C7D">
        <w:rPr>
          <w:rFonts w:ascii="Times New Roman" w:hAnsi="Times New Roman"/>
          <w:sz w:val="24"/>
          <w:szCs w:val="24"/>
        </w:rPr>
        <w:t>/</w:t>
      </w:r>
      <w:r w:rsidR="00C160D1" w:rsidRPr="004C1C7D">
        <w:rPr>
          <w:rFonts w:ascii="Times New Roman" w:hAnsi="Times New Roman"/>
          <w:sz w:val="24"/>
          <w:szCs w:val="24"/>
        </w:rPr>
        <w:t>2013</w:t>
      </w:r>
      <w:r w:rsidRPr="00235A75">
        <w:rPr>
          <w:rFonts w:ascii="Times New Roman" w:hAnsi="Times New Roman"/>
          <w:sz w:val="24"/>
          <w:szCs w:val="24"/>
        </w:rPr>
        <w:t xml:space="preserve"> </w:t>
      </w:r>
      <w:r w:rsidRPr="000B2C9D">
        <w:rPr>
          <w:rFonts w:ascii="Times New Roman" w:hAnsi="Times New Roman"/>
          <w:sz w:val="24"/>
          <w:szCs w:val="24"/>
        </w:rPr>
        <w:t>respectively. Within the public notice, the Commission noted that it would be requesting a three-year extension of the public reporting burden with no change to the existing requirements concerning the collection of data.  The Commission received no comments.</w:t>
      </w:r>
    </w:p>
    <w:p w:rsidR="009349F8" w:rsidRPr="000B2C9D" w:rsidRDefault="009349F8" w:rsidP="00EB3E6F">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EXPLAIN ANY PAYMENT OR GIFTS TO RESPONDENTS</w:t>
      </w:r>
    </w:p>
    <w:p w:rsidR="009349F8" w:rsidRPr="000B2C9D" w:rsidRDefault="009349F8" w:rsidP="00D80FBD">
      <w:pPr>
        <w:spacing w:after="0"/>
        <w:rPr>
          <w:rFonts w:ascii="Times New Roman" w:hAnsi="Times New Roman"/>
          <w:sz w:val="24"/>
          <w:szCs w:val="24"/>
        </w:rPr>
      </w:pPr>
    </w:p>
    <w:p w:rsidR="009349F8" w:rsidRPr="000B2C9D" w:rsidRDefault="009349F8" w:rsidP="004C1C7D">
      <w:pPr>
        <w:spacing w:after="0"/>
        <w:rPr>
          <w:rFonts w:ascii="Times New Roman" w:hAnsi="Times New Roman"/>
          <w:sz w:val="24"/>
          <w:szCs w:val="24"/>
        </w:rPr>
      </w:pPr>
      <w:r w:rsidRPr="000B2C9D">
        <w:rPr>
          <w:rFonts w:ascii="Times New Roman" w:hAnsi="Times New Roman"/>
          <w:sz w:val="24"/>
          <w:szCs w:val="24"/>
        </w:rPr>
        <w:t>There are</w:t>
      </w:r>
      <w:r w:rsidR="006D17FD">
        <w:rPr>
          <w:rFonts w:ascii="Times New Roman" w:hAnsi="Times New Roman"/>
          <w:sz w:val="24"/>
          <w:szCs w:val="24"/>
        </w:rPr>
        <w:t xml:space="preserve"> no payments or gifts to FERC Form </w:t>
      </w:r>
      <w:r w:rsidR="00D35A79">
        <w:rPr>
          <w:rFonts w:ascii="Times New Roman" w:hAnsi="Times New Roman"/>
          <w:sz w:val="24"/>
          <w:szCs w:val="24"/>
        </w:rPr>
        <w:t xml:space="preserve">No. </w:t>
      </w:r>
      <w:r w:rsidR="006D17FD">
        <w:rPr>
          <w:rFonts w:ascii="Times New Roman" w:hAnsi="Times New Roman"/>
          <w:sz w:val="24"/>
          <w:szCs w:val="24"/>
        </w:rPr>
        <w:t>6-Q</w:t>
      </w:r>
      <w:r w:rsidRPr="000B2C9D">
        <w:rPr>
          <w:rFonts w:ascii="Times New Roman" w:hAnsi="Times New Roman"/>
          <w:sz w:val="24"/>
          <w:szCs w:val="24"/>
        </w:rPr>
        <w:t xml:space="preserve"> respondents.</w:t>
      </w:r>
    </w:p>
    <w:p w:rsidR="009349F8" w:rsidRPr="000B2C9D" w:rsidRDefault="009349F8" w:rsidP="00D80FBD">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DESCRIBE ANY ASSURANCE OF CONFIDENTIALITY PROVIDED TO RESPONDENTS</w:t>
      </w:r>
    </w:p>
    <w:p w:rsidR="009349F8" w:rsidRPr="000B2C9D" w:rsidRDefault="009349F8" w:rsidP="00D80FBD">
      <w:pPr>
        <w:spacing w:after="0"/>
        <w:rPr>
          <w:rFonts w:ascii="Times New Roman" w:hAnsi="Times New Roman"/>
          <w:sz w:val="24"/>
          <w:szCs w:val="24"/>
        </w:rPr>
      </w:pPr>
    </w:p>
    <w:p w:rsidR="009349F8" w:rsidRDefault="009349F8" w:rsidP="004C1C7D">
      <w:pPr>
        <w:spacing w:after="0"/>
        <w:rPr>
          <w:rFonts w:ascii="Times New Roman" w:hAnsi="Times New Roman"/>
          <w:sz w:val="24"/>
          <w:szCs w:val="24"/>
        </w:rPr>
      </w:pPr>
      <w:r w:rsidRPr="000B2C9D">
        <w:rPr>
          <w:rFonts w:ascii="Times New Roman" w:hAnsi="Times New Roman"/>
          <w:sz w:val="24"/>
          <w:szCs w:val="24"/>
        </w:rPr>
        <w:t>The Commission does not consider the i</w:t>
      </w:r>
      <w:r w:rsidR="006D17FD">
        <w:rPr>
          <w:rFonts w:ascii="Times New Roman" w:hAnsi="Times New Roman"/>
          <w:sz w:val="24"/>
          <w:szCs w:val="24"/>
        </w:rPr>
        <w:t xml:space="preserve">nformation collected in FERC Form </w:t>
      </w:r>
      <w:r w:rsidR="00D35A79">
        <w:rPr>
          <w:rFonts w:ascii="Times New Roman" w:hAnsi="Times New Roman"/>
          <w:sz w:val="24"/>
          <w:szCs w:val="24"/>
        </w:rPr>
        <w:t xml:space="preserve">No. </w:t>
      </w:r>
      <w:r w:rsidR="006D17FD">
        <w:rPr>
          <w:rFonts w:ascii="Times New Roman" w:hAnsi="Times New Roman"/>
          <w:sz w:val="24"/>
          <w:szCs w:val="24"/>
        </w:rPr>
        <w:t>6-Q</w:t>
      </w:r>
      <w:r w:rsidRPr="000B2C9D">
        <w:rPr>
          <w:rFonts w:ascii="Times New Roman" w:hAnsi="Times New Roman"/>
          <w:sz w:val="24"/>
          <w:szCs w:val="24"/>
        </w:rPr>
        <w:t xml:space="preserve"> filings to be confidential.  However, the filer may request privileged treatment of a filing that may contain information harmful to the competitive posture of the applicant if released to the general public.</w:t>
      </w:r>
      <w:r w:rsidRPr="000B2C9D">
        <w:rPr>
          <w:rStyle w:val="FootnoteReference"/>
          <w:rFonts w:ascii="Times New Roman" w:hAnsi="Times New Roman"/>
          <w:sz w:val="24"/>
          <w:szCs w:val="24"/>
          <w:vertAlign w:val="superscript"/>
        </w:rPr>
        <w:footnoteReference w:id="4"/>
      </w:r>
      <w:r w:rsidRPr="000B2C9D">
        <w:rPr>
          <w:rFonts w:ascii="Times New Roman" w:hAnsi="Times New Roman"/>
          <w:sz w:val="24"/>
          <w:szCs w:val="24"/>
        </w:rPr>
        <w:t xml:space="preserve">  </w:t>
      </w:r>
    </w:p>
    <w:p w:rsidR="009349F8" w:rsidRPr="000B2C9D" w:rsidRDefault="009349F8" w:rsidP="00D80FBD">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PROVIDE ADDITIONAL JUSTIFICATION FOR ANY QUESTIONS OF A SENSITIVE NATURE</w:t>
      </w:r>
    </w:p>
    <w:p w:rsidR="009349F8" w:rsidRPr="000B2C9D" w:rsidRDefault="009349F8" w:rsidP="00D80FBD">
      <w:pPr>
        <w:spacing w:after="0"/>
        <w:rPr>
          <w:rFonts w:ascii="Times New Roman" w:hAnsi="Times New Roman"/>
          <w:sz w:val="24"/>
          <w:szCs w:val="24"/>
        </w:rPr>
      </w:pPr>
    </w:p>
    <w:p w:rsidR="009349F8" w:rsidRPr="000B2C9D" w:rsidRDefault="009349F8" w:rsidP="004C1C7D">
      <w:pPr>
        <w:spacing w:after="0"/>
        <w:rPr>
          <w:rFonts w:ascii="Times New Roman" w:hAnsi="Times New Roman"/>
          <w:sz w:val="24"/>
          <w:szCs w:val="24"/>
        </w:rPr>
      </w:pPr>
      <w:r w:rsidRPr="000B2C9D">
        <w:rPr>
          <w:rFonts w:ascii="Times New Roman" w:hAnsi="Times New Roman"/>
          <w:sz w:val="24"/>
          <w:szCs w:val="24"/>
        </w:rPr>
        <w:lastRenderedPageBreak/>
        <w:t>The Commission considers t</w:t>
      </w:r>
      <w:r w:rsidR="006D17FD">
        <w:rPr>
          <w:rFonts w:ascii="Times New Roman" w:hAnsi="Times New Roman"/>
          <w:sz w:val="24"/>
          <w:szCs w:val="24"/>
        </w:rPr>
        <w:t xml:space="preserve">he questions within the FERC Form </w:t>
      </w:r>
      <w:r w:rsidR="007210ED">
        <w:rPr>
          <w:rFonts w:ascii="Times New Roman" w:hAnsi="Times New Roman"/>
          <w:sz w:val="24"/>
          <w:szCs w:val="24"/>
        </w:rPr>
        <w:t xml:space="preserve">No. </w:t>
      </w:r>
      <w:r w:rsidR="006D17FD">
        <w:rPr>
          <w:rFonts w:ascii="Times New Roman" w:hAnsi="Times New Roman"/>
          <w:sz w:val="24"/>
          <w:szCs w:val="24"/>
        </w:rPr>
        <w:t>6-Q</w:t>
      </w:r>
      <w:r w:rsidRPr="000B2C9D">
        <w:rPr>
          <w:rFonts w:ascii="Times New Roman" w:hAnsi="Times New Roman"/>
          <w:sz w:val="24"/>
          <w:szCs w:val="24"/>
        </w:rPr>
        <w:t xml:space="preserve"> neither sensitive in nature nor private.</w:t>
      </w:r>
    </w:p>
    <w:p w:rsidR="009349F8" w:rsidRPr="000B2C9D" w:rsidRDefault="009349F8" w:rsidP="00D80FBD">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ESTIMATED BURDEN OF COLLECTION OF INFORMATION</w:t>
      </w:r>
    </w:p>
    <w:p w:rsidR="004C1C7D" w:rsidRDefault="004C1C7D" w:rsidP="004C1C7D">
      <w:pPr>
        <w:spacing w:after="0"/>
        <w:rPr>
          <w:rFonts w:ascii="Times New Roman" w:hAnsi="Times New Roman"/>
          <w:sz w:val="24"/>
          <w:szCs w:val="24"/>
        </w:rPr>
      </w:pPr>
    </w:p>
    <w:p w:rsidR="00E57127" w:rsidRPr="004C1C7D" w:rsidRDefault="00E57127" w:rsidP="004C1C7D">
      <w:pPr>
        <w:spacing w:after="0"/>
        <w:rPr>
          <w:rFonts w:ascii="Times New Roman" w:hAnsi="Times New Roman"/>
          <w:sz w:val="24"/>
          <w:szCs w:val="24"/>
        </w:rPr>
      </w:pPr>
      <w:r w:rsidRPr="004C1C7D">
        <w:rPr>
          <w:rFonts w:ascii="Times New Roman" w:hAnsi="Times New Roman"/>
          <w:sz w:val="24"/>
          <w:szCs w:val="24"/>
        </w:rPr>
        <w:t xml:space="preserve">The annual burden estimate of </w:t>
      </w:r>
      <w:r w:rsidR="006E32A8">
        <w:rPr>
          <w:rFonts w:ascii="Times New Roman" w:hAnsi="Times New Roman"/>
          <w:sz w:val="24"/>
          <w:szCs w:val="24"/>
        </w:rPr>
        <w:t>71,100</w:t>
      </w:r>
      <w:r w:rsidRPr="004C1C7D">
        <w:rPr>
          <w:rFonts w:ascii="Times New Roman" w:hAnsi="Times New Roman"/>
          <w:sz w:val="24"/>
          <w:szCs w:val="24"/>
        </w:rPr>
        <w:t xml:space="preserve"> hour</w:t>
      </w:r>
      <w:r w:rsidR="00811A6A">
        <w:rPr>
          <w:rFonts w:ascii="Times New Roman" w:hAnsi="Times New Roman"/>
          <w:sz w:val="24"/>
          <w:szCs w:val="24"/>
        </w:rPr>
        <w:t>s for information requirements</w:t>
      </w:r>
      <w:r w:rsidRPr="004C1C7D">
        <w:rPr>
          <w:rFonts w:ascii="Times New Roman" w:hAnsi="Times New Roman"/>
          <w:sz w:val="24"/>
          <w:szCs w:val="24"/>
        </w:rPr>
        <w:t xml:space="preserve"> under</w:t>
      </w:r>
      <w:r w:rsidR="00811A6A">
        <w:rPr>
          <w:rFonts w:ascii="Times New Roman" w:hAnsi="Times New Roman"/>
          <w:sz w:val="24"/>
          <w:szCs w:val="24"/>
        </w:rPr>
        <w:t xml:space="preserve"> FERC Form No. 6-Q</w:t>
      </w:r>
      <w:r w:rsidRPr="004C1C7D">
        <w:rPr>
          <w:rFonts w:ascii="Times New Roman" w:hAnsi="Times New Roman"/>
          <w:sz w:val="24"/>
          <w:szCs w:val="24"/>
        </w:rPr>
        <w:t xml:space="preserve"> is based on the Commission's recent experience with filings of the complete </w:t>
      </w:r>
      <w:r w:rsidR="00FE59C1">
        <w:rPr>
          <w:rFonts w:ascii="Times New Roman" w:hAnsi="Times New Roman"/>
          <w:sz w:val="24"/>
          <w:szCs w:val="24"/>
        </w:rPr>
        <w:t xml:space="preserve">FERC </w:t>
      </w:r>
      <w:r w:rsidRPr="004C1C7D">
        <w:rPr>
          <w:rFonts w:ascii="Times New Roman" w:hAnsi="Times New Roman"/>
          <w:sz w:val="24"/>
          <w:szCs w:val="24"/>
        </w:rPr>
        <w:t xml:space="preserve">Form </w:t>
      </w:r>
      <w:r w:rsidR="00FE59C1">
        <w:rPr>
          <w:rFonts w:ascii="Times New Roman" w:hAnsi="Times New Roman"/>
          <w:sz w:val="24"/>
          <w:szCs w:val="24"/>
        </w:rPr>
        <w:t xml:space="preserve">No. </w:t>
      </w:r>
      <w:r w:rsidRPr="004C1C7D">
        <w:rPr>
          <w:rFonts w:ascii="Times New Roman" w:hAnsi="Times New Roman"/>
          <w:sz w:val="24"/>
          <w:szCs w:val="24"/>
        </w:rPr>
        <w:t xml:space="preserve">6-Q.  </w:t>
      </w:r>
    </w:p>
    <w:p w:rsidR="004C1C7D" w:rsidRDefault="004C1C7D" w:rsidP="004C1C7D">
      <w:pPr>
        <w:spacing w:after="0" w:line="240" w:lineRule="auto"/>
        <w:rPr>
          <w:rFonts w:ascii="Times New Roman" w:hAnsi="Times New Roman"/>
          <w:sz w:val="24"/>
          <w:szCs w:val="24"/>
        </w:rPr>
      </w:pPr>
    </w:p>
    <w:p w:rsidR="00D22318" w:rsidRDefault="00E57127" w:rsidP="006E3597">
      <w:pPr>
        <w:spacing w:after="0" w:line="240" w:lineRule="auto"/>
        <w:rPr>
          <w:rFonts w:ascii="Times New Roman" w:hAnsi="Times New Roman"/>
          <w:sz w:val="24"/>
          <w:szCs w:val="24"/>
        </w:rPr>
      </w:pPr>
      <w:r w:rsidRPr="004C1C7D">
        <w:rPr>
          <w:rFonts w:ascii="Times New Roman" w:hAnsi="Times New Roman"/>
          <w:sz w:val="24"/>
          <w:szCs w:val="24"/>
        </w:rPr>
        <w:t>A detailed summary of FERC Form No. 6-Q burden estimates is sho</w:t>
      </w:r>
      <w:r w:rsidR="006E3597">
        <w:rPr>
          <w:rFonts w:ascii="Times New Roman" w:hAnsi="Times New Roman"/>
          <w:sz w:val="24"/>
          <w:szCs w:val="24"/>
        </w:rPr>
        <w:t>wn below:</w:t>
      </w:r>
    </w:p>
    <w:tbl>
      <w:tblPr>
        <w:tblpPr w:leftFromText="180" w:rightFromText="180" w:vertAnchor="text" w:horzAnchor="margin" w:tblpX="108" w:tblpY="229"/>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1683"/>
        <w:gridCol w:w="1612"/>
        <w:gridCol w:w="1578"/>
        <w:gridCol w:w="1370"/>
        <w:gridCol w:w="1470"/>
      </w:tblGrid>
      <w:tr w:rsidR="00D22318" w:rsidRPr="00D22318" w:rsidTr="004C1C7D">
        <w:trPr>
          <w:trHeight w:val="260"/>
        </w:trPr>
        <w:tc>
          <w:tcPr>
            <w:tcW w:w="9378"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D22318" w:rsidRPr="00D22318" w:rsidRDefault="006D17FD" w:rsidP="00D22318">
            <w:pPr>
              <w:spacing w:after="0" w:line="240" w:lineRule="auto"/>
              <w:jc w:val="center"/>
              <w:rPr>
                <w:rFonts w:ascii="Times New Roman" w:eastAsia="Times New Roman" w:hAnsi="Times New Roman"/>
                <w:b/>
                <w:sz w:val="26"/>
                <w:szCs w:val="24"/>
              </w:rPr>
            </w:pPr>
            <w:r>
              <w:rPr>
                <w:rFonts w:ascii="Times New Roman" w:eastAsia="Times New Roman" w:hAnsi="Times New Roman"/>
                <w:b/>
                <w:sz w:val="26"/>
                <w:szCs w:val="24"/>
              </w:rPr>
              <w:t xml:space="preserve">FERC Form </w:t>
            </w:r>
            <w:r w:rsidR="00946BE3">
              <w:rPr>
                <w:rFonts w:ascii="Times New Roman" w:eastAsia="Times New Roman" w:hAnsi="Times New Roman"/>
                <w:b/>
                <w:sz w:val="26"/>
                <w:szCs w:val="24"/>
              </w:rPr>
              <w:t xml:space="preserve">No. </w:t>
            </w:r>
            <w:r>
              <w:rPr>
                <w:rFonts w:ascii="Times New Roman" w:eastAsia="Times New Roman" w:hAnsi="Times New Roman"/>
                <w:b/>
                <w:sz w:val="26"/>
                <w:szCs w:val="24"/>
              </w:rPr>
              <w:t>6-Q</w:t>
            </w:r>
            <w:r w:rsidR="00D22318" w:rsidRPr="00D22318">
              <w:rPr>
                <w:rFonts w:ascii="Times New Roman" w:eastAsia="Times New Roman" w:hAnsi="Times New Roman"/>
                <w:b/>
                <w:sz w:val="26"/>
                <w:szCs w:val="24"/>
              </w:rPr>
              <w:t xml:space="preserve">: </w:t>
            </w:r>
            <w:r w:rsidR="00D22318" w:rsidRPr="00D22318">
              <w:rPr>
                <w:rFonts w:ascii="Times New Roman" w:eastAsia="Times New Roman" w:hAnsi="Times New Roman"/>
                <w:sz w:val="26"/>
                <w:szCs w:val="24"/>
              </w:rPr>
              <w:t xml:space="preserve"> </w:t>
            </w:r>
            <w:r>
              <w:rPr>
                <w:rFonts w:ascii="Times New Roman" w:hAnsi="Times New Roman"/>
                <w:b/>
                <w:sz w:val="24"/>
                <w:szCs w:val="24"/>
              </w:rPr>
              <w:t xml:space="preserve"> Quarterly Financial Report of Oil Pipeline Companies</w:t>
            </w:r>
          </w:p>
        </w:tc>
      </w:tr>
      <w:tr w:rsidR="00797C09" w:rsidRPr="00D22318" w:rsidTr="00E74D92">
        <w:trPr>
          <w:trHeight w:val="1250"/>
        </w:trPr>
        <w:tc>
          <w:tcPr>
            <w:tcW w:w="1665" w:type="dxa"/>
            <w:tcBorders>
              <w:top w:val="single" w:sz="4" w:space="0" w:color="auto"/>
              <w:left w:val="single" w:sz="4" w:space="0" w:color="auto"/>
              <w:bottom w:val="single" w:sz="4" w:space="0" w:color="auto"/>
              <w:right w:val="single" w:sz="4" w:space="0" w:color="auto"/>
            </w:tcBorders>
            <w:shd w:val="clear" w:color="auto" w:fill="D9D9D9"/>
            <w:vAlign w:val="bottom"/>
          </w:tcPr>
          <w:p w:rsidR="00D22318" w:rsidRPr="00D22318" w:rsidRDefault="00D22318" w:rsidP="00D22318">
            <w:pPr>
              <w:spacing w:after="0" w:line="240" w:lineRule="auto"/>
              <w:rPr>
                <w:rFonts w:ascii="Times New Roman" w:eastAsia="Times New Roman" w:hAnsi="Times New Roman"/>
                <w:b/>
                <w:sz w:val="26"/>
                <w:szCs w:val="24"/>
              </w:rPr>
            </w:pPr>
          </w:p>
        </w:tc>
        <w:tc>
          <w:tcPr>
            <w:tcW w:w="1683"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22318" w:rsidRPr="00D22318" w:rsidRDefault="00D22318" w:rsidP="00D22318">
            <w:pPr>
              <w:spacing w:after="0" w:line="240" w:lineRule="auto"/>
              <w:jc w:val="center"/>
              <w:rPr>
                <w:rFonts w:ascii="Times New Roman" w:eastAsia="Times New Roman" w:hAnsi="Times New Roman"/>
                <w:b/>
                <w:sz w:val="26"/>
                <w:szCs w:val="24"/>
              </w:rPr>
            </w:pPr>
            <w:r w:rsidRPr="00D22318">
              <w:rPr>
                <w:rFonts w:ascii="Times New Roman" w:eastAsia="Times New Roman" w:hAnsi="Times New Roman"/>
                <w:b/>
                <w:sz w:val="26"/>
                <w:szCs w:val="24"/>
              </w:rPr>
              <w:t>Number of Respondents</w:t>
            </w:r>
          </w:p>
          <w:p w:rsidR="00D22318" w:rsidRPr="00D22318" w:rsidRDefault="00D22318" w:rsidP="00D22318">
            <w:pPr>
              <w:spacing w:after="0" w:line="240" w:lineRule="auto"/>
              <w:jc w:val="center"/>
              <w:rPr>
                <w:rFonts w:ascii="Times New Roman" w:eastAsia="Times New Roman" w:hAnsi="Times New Roman"/>
                <w:b/>
                <w:sz w:val="26"/>
                <w:szCs w:val="24"/>
              </w:rPr>
            </w:pPr>
            <w:r w:rsidRPr="00D22318">
              <w:rPr>
                <w:rFonts w:ascii="Times New Roman" w:eastAsia="Times New Roman" w:hAnsi="Times New Roman"/>
                <w:b/>
                <w:sz w:val="26"/>
                <w:szCs w:val="24"/>
              </w:rPr>
              <w:t>(A)</w:t>
            </w:r>
          </w:p>
        </w:tc>
        <w:tc>
          <w:tcPr>
            <w:tcW w:w="1612"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22318" w:rsidRPr="00D22318" w:rsidRDefault="00D22318" w:rsidP="00D22318">
            <w:pPr>
              <w:spacing w:after="0" w:line="240" w:lineRule="auto"/>
              <w:jc w:val="center"/>
              <w:rPr>
                <w:rFonts w:ascii="Times New Roman" w:eastAsia="Times New Roman" w:hAnsi="Times New Roman"/>
                <w:b/>
                <w:sz w:val="26"/>
                <w:szCs w:val="24"/>
              </w:rPr>
            </w:pPr>
            <w:r w:rsidRPr="00D22318">
              <w:rPr>
                <w:rFonts w:ascii="Times New Roman" w:eastAsia="Times New Roman" w:hAnsi="Times New Roman"/>
                <w:b/>
                <w:sz w:val="26"/>
                <w:szCs w:val="24"/>
              </w:rPr>
              <w:t>Number of Responses Per Respondent</w:t>
            </w:r>
          </w:p>
          <w:p w:rsidR="00D22318" w:rsidRPr="00D22318" w:rsidRDefault="00D22318" w:rsidP="00D22318">
            <w:pPr>
              <w:spacing w:after="0" w:line="240" w:lineRule="auto"/>
              <w:jc w:val="center"/>
              <w:rPr>
                <w:rFonts w:ascii="Times New Roman" w:eastAsia="Times New Roman" w:hAnsi="Times New Roman"/>
                <w:b/>
                <w:sz w:val="26"/>
                <w:szCs w:val="24"/>
              </w:rPr>
            </w:pPr>
            <w:r w:rsidRPr="00D22318">
              <w:rPr>
                <w:rFonts w:ascii="Times New Roman" w:eastAsia="Times New Roman" w:hAnsi="Times New Roman"/>
                <w:b/>
                <w:sz w:val="26"/>
                <w:szCs w:val="24"/>
              </w:rPr>
              <w:t>(B)</w:t>
            </w:r>
          </w:p>
        </w:tc>
        <w:tc>
          <w:tcPr>
            <w:tcW w:w="157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22318" w:rsidRPr="00D22318" w:rsidRDefault="00D22318" w:rsidP="00D22318">
            <w:pPr>
              <w:spacing w:after="0" w:line="240" w:lineRule="auto"/>
              <w:jc w:val="center"/>
              <w:rPr>
                <w:rFonts w:ascii="Times New Roman" w:eastAsia="Times New Roman" w:hAnsi="Times New Roman"/>
                <w:b/>
                <w:sz w:val="26"/>
                <w:szCs w:val="24"/>
              </w:rPr>
            </w:pPr>
            <w:r w:rsidRPr="00D22318">
              <w:rPr>
                <w:rFonts w:ascii="Times New Roman" w:eastAsia="Times New Roman" w:hAnsi="Times New Roman"/>
                <w:b/>
                <w:sz w:val="26"/>
                <w:szCs w:val="24"/>
              </w:rPr>
              <w:t>Total Number of Responses</w:t>
            </w:r>
          </w:p>
          <w:p w:rsidR="00D22318" w:rsidRPr="00D22318" w:rsidRDefault="00D22318" w:rsidP="00D22318">
            <w:pPr>
              <w:spacing w:after="0" w:line="240" w:lineRule="auto"/>
              <w:jc w:val="center"/>
              <w:rPr>
                <w:rFonts w:ascii="Times New Roman" w:eastAsia="Times New Roman" w:hAnsi="Times New Roman"/>
                <w:b/>
                <w:sz w:val="26"/>
                <w:szCs w:val="24"/>
              </w:rPr>
            </w:pPr>
            <w:r w:rsidRPr="00D22318">
              <w:rPr>
                <w:rFonts w:ascii="Times New Roman" w:eastAsia="Times New Roman" w:hAnsi="Times New Roman"/>
                <w:b/>
                <w:sz w:val="26"/>
                <w:szCs w:val="24"/>
              </w:rPr>
              <w:t>(A)x(B)=(C)</w:t>
            </w:r>
          </w:p>
        </w:tc>
        <w:tc>
          <w:tcPr>
            <w:tcW w:w="137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22318" w:rsidRPr="00D22318" w:rsidRDefault="00D22318" w:rsidP="00D22318">
            <w:pPr>
              <w:spacing w:after="0" w:line="240" w:lineRule="auto"/>
              <w:jc w:val="center"/>
              <w:rPr>
                <w:rFonts w:ascii="Times New Roman" w:eastAsia="Times New Roman" w:hAnsi="Times New Roman"/>
                <w:b/>
                <w:sz w:val="26"/>
                <w:szCs w:val="24"/>
              </w:rPr>
            </w:pPr>
            <w:r w:rsidRPr="00D22318">
              <w:rPr>
                <w:rFonts w:ascii="Times New Roman" w:eastAsia="Times New Roman" w:hAnsi="Times New Roman"/>
                <w:b/>
                <w:sz w:val="26"/>
                <w:szCs w:val="24"/>
              </w:rPr>
              <w:t>Average Burden Hours per Response</w:t>
            </w:r>
          </w:p>
          <w:p w:rsidR="00D22318" w:rsidRPr="00D22318" w:rsidRDefault="00D22318" w:rsidP="00D22318">
            <w:pPr>
              <w:spacing w:after="0" w:line="240" w:lineRule="auto"/>
              <w:jc w:val="center"/>
              <w:rPr>
                <w:rFonts w:ascii="Times New Roman" w:eastAsia="Times New Roman" w:hAnsi="Times New Roman"/>
                <w:b/>
                <w:sz w:val="26"/>
                <w:szCs w:val="24"/>
              </w:rPr>
            </w:pPr>
            <w:r w:rsidRPr="00D22318">
              <w:rPr>
                <w:rFonts w:ascii="Times New Roman" w:eastAsia="Times New Roman" w:hAnsi="Times New Roman"/>
                <w:b/>
                <w:sz w:val="26"/>
                <w:szCs w:val="24"/>
              </w:rPr>
              <w:t>(D)</w:t>
            </w:r>
          </w:p>
        </w:tc>
        <w:tc>
          <w:tcPr>
            <w:tcW w:w="147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22318" w:rsidRPr="00D22318" w:rsidRDefault="00D22318" w:rsidP="00D22318">
            <w:pPr>
              <w:spacing w:after="0" w:line="240" w:lineRule="auto"/>
              <w:jc w:val="center"/>
              <w:rPr>
                <w:rFonts w:ascii="Times New Roman" w:eastAsia="Times New Roman" w:hAnsi="Times New Roman"/>
                <w:b/>
                <w:sz w:val="26"/>
                <w:szCs w:val="24"/>
              </w:rPr>
            </w:pPr>
            <w:r w:rsidRPr="00D22318">
              <w:rPr>
                <w:rFonts w:ascii="Times New Roman" w:eastAsia="Times New Roman" w:hAnsi="Times New Roman"/>
                <w:b/>
                <w:sz w:val="26"/>
                <w:szCs w:val="24"/>
              </w:rPr>
              <w:t>Estimated Total Annual Burden</w:t>
            </w:r>
          </w:p>
          <w:p w:rsidR="00D22318" w:rsidRPr="00D22318" w:rsidRDefault="00D22318" w:rsidP="00D22318">
            <w:pPr>
              <w:spacing w:after="0" w:line="240" w:lineRule="auto"/>
              <w:jc w:val="center"/>
              <w:rPr>
                <w:rFonts w:ascii="Times New Roman" w:eastAsia="Times New Roman" w:hAnsi="Times New Roman"/>
                <w:b/>
                <w:sz w:val="26"/>
                <w:szCs w:val="24"/>
              </w:rPr>
            </w:pPr>
            <w:r w:rsidRPr="00D22318">
              <w:rPr>
                <w:rFonts w:ascii="Times New Roman" w:eastAsia="Times New Roman" w:hAnsi="Times New Roman"/>
                <w:b/>
                <w:sz w:val="26"/>
                <w:szCs w:val="24"/>
              </w:rPr>
              <w:t>(C)x(D)</w:t>
            </w:r>
          </w:p>
        </w:tc>
      </w:tr>
      <w:tr w:rsidR="00D22318" w:rsidRPr="00D22318" w:rsidTr="004C1C7D">
        <w:trPr>
          <w:trHeight w:val="242"/>
        </w:trPr>
        <w:tc>
          <w:tcPr>
            <w:tcW w:w="1665" w:type="dxa"/>
            <w:tcBorders>
              <w:top w:val="single" w:sz="4" w:space="0" w:color="auto"/>
              <w:left w:val="single" w:sz="4" w:space="0" w:color="auto"/>
              <w:bottom w:val="single" w:sz="4" w:space="0" w:color="auto"/>
              <w:right w:val="single" w:sz="4" w:space="0" w:color="auto"/>
            </w:tcBorders>
            <w:hideMark/>
          </w:tcPr>
          <w:p w:rsidR="00D22318" w:rsidRPr="00D22318" w:rsidRDefault="006D17FD" w:rsidP="006D17FD">
            <w:pPr>
              <w:spacing w:after="0" w:line="240" w:lineRule="auto"/>
              <w:rPr>
                <w:rFonts w:ascii="Times New Roman" w:eastAsia="Times New Roman" w:hAnsi="Times New Roman"/>
                <w:sz w:val="26"/>
                <w:szCs w:val="24"/>
              </w:rPr>
            </w:pPr>
            <w:r>
              <w:rPr>
                <w:rFonts w:ascii="Times New Roman" w:eastAsia="Times New Roman" w:hAnsi="Times New Roman"/>
                <w:sz w:val="26"/>
                <w:szCs w:val="24"/>
              </w:rPr>
              <w:t>Oil Pipeline</w:t>
            </w:r>
          </w:p>
        </w:tc>
        <w:tc>
          <w:tcPr>
            <w:tcW w:w="1683" w:type="dxa"/>
            <w:tcBorders>
              <w:top w:val="single" w:sz="4" w:space="0" w:color="auto"/>
              <w:left w:val="single" w:sz="4" w:space="0" w:color="auto"/>
              <w:bottom w:val="single" w:sz="4" w:space="0" w:color="auto"/>
              <w:right w:val="single" w:sz="4" w:space="0" w:color="auto"/>
            </w:tcBorders>
            <w:vAlign w:val="bottom"/>
            <w:hideMark/>
          </w:tcPr>
          <w:p w:rsidR="00D22318" w:rsidRPr="00D22318" w:rsidRDefault="006D17FD" w:rsidP="00B150E3">
            <w:pPr>
              <w:tabs>
                <w:tab w:val="left" w:pos="720"/>
              </w:tabs>
              <w:spacing w:after="0" w:line="240" w:lineRule="auto"/>
              <w:jc w:val="right"/>
              <w:rPr>
                <w:rFonts w:ascii="Times New Roman" w:eastAsia="Times New Roman" w:hAnsi="Times New Roman"/>
                <w:sz w:val="26"/>
                <w:szCs w:val="24"/>
              </w:rPr>
            </w:pPr>
            <w:r>
              <w:rPr>
                <w:rFonts w:ascii="Times New Roman" w:eastAsia="Times New Roman" w:hAnsi="Times New Roman"/>
                <w:sz w:val="26"/>
                <w:szCs w:val="24"/>
              </w:rPr>
              <w:t>15</w:t>
            </w:r>
            <w:r w:rsidR="00B150E3">
              <w:rPr>
                <w:rFonts w:ascii="Times New Roman" w:eastAsia="Times New Roman" w:hAnsi="Times New Roman"/>
                <w:sz w:val="26"/>
                <w:szCs w:val="24"/>
              </w:rPr>
              <w:t>8</w:t>
            </w:r>
          </w:p>
        </w:tc>
        <w:tc>
          <w:tcPr>
            <w:tcW w:w="1612" w:type="dxa"/>
            <w:tcBorders>
              <w:top w:val="single" w:sz="4" w:space="0" w:color="auto"/>
              <w:left w:val="single" w:sz="4" w:space="0" w:color="auto"/>
              <w:bottom w:val="single" w:sz="4" w:space="0" w:color="auto"/>
              <w:right w:val="single" w:sz="4" w:space="0" w:color="auto"/>
            </w:tcBorders>
            <w:vAlign w:val="bottom"/>
            <w:hideMark/>
          </w:tcPr>
          <w:p w:rsidR="00D22318" w:rsidRPr="00D22318" w:rsidRDefault="006D17FD" w:rsidP="00D22318">
            <w:pPr>
              <w:tabs>
                <w:tab w:val="left" w:pos="720"/>
              </w:tabs>
              <w:spacing w:after="0" w:line="240" w:lineRule="auto"/>
              <w:jc w:val="right"/>
              <w:rPr>
                <w:rFonts w:ascii="Times New Roman" w:eastAsia="Times New Roman" w:hAnsi="Times New Roman"/>
                <w:sz w:val="26"/>
                <w:szCs w:val="24"/>
              </w:rPr>
            </w:pPr>
            <w:r>
              <w:rPr>
                <w:rFonts w:ascii="Times New Roman" w:eastAsia="Times New Roman" w:hAnsi="Times New Roman"/>
                <w:sz w:val="26"/>
                <w:szCs w:val="24"/>
              </w:rPr>
              <w:t>3</w:t>
            </w:r>
          </w:p>
        </w:tc>
        <w:tc>
          <w:tcPr>
            <w:tcW w:w="1578" w:type="dxa"/>
            <w:tcBorders>
              <w:top w:val="single" w:sz="4" w:space="0" w:color="auto"/>
              <w:left w:val="single" w:sz="4" w:space="0" w:color="auto"/>
              <w:bottom w:val="single" w:sz="4" w:space="0" w:color="auto"/>
              <w:right w:val="single" w:sz="4" w:space="0" w:color="auto"/>
            </w:tcBorders>
            <w:vAlign w:val="bottom"/>
            <w:hideMark/>
          </w:tcPr>
          <w:p w:rsidR="00D22318" w:rsidRPr="00D22318" w:rsidRDefault="006D17FD" w:rsidP="00D22318">
            <w:pPr>
              <w:tabs>
                <w:tab w:val="left" w:pos="720"/>
              </w:tabs>
              <w:spacing w:after="0" w:line="240" w:lineRule="auto"/>
              <w:jc w:val="right"/>
              <w:rPr>
                <w:rFonts w:ascii="Times New Roman" w:eastAsia="Times New Roman" w:hAnsi="Times New Roman"/>
                <w:sz w:val="26"/>
                <w:szCs w:val="24"/>
              </w:rPr>
            </w:pPr>
            <w:r>
              <w:rPr>
                <w:rFonts w:ascii="Times New Roman" w:eastAsia="Times New Roman" w:hAnsi="Times New Roman"/>
                <w:sz w:val="26"/>
                <w:szCs w:val="24"/>
              </w:rPr>
              <w:t>4</w:t>
            </w:r>
            <w:r w:rsidR="00B150E3">
              <w:rPr>
                <w:rFonts w:ascii="Times New Roman" w:eastAsia="Times New Roman" w:hAnsi="Times New Roman"/>
                <w:sz w:val="26"/>
                <w:szCs w:val="24"/>
              </w:rPr>
              <w:t>74</w:t>
            </w:r>
          </w:p>
        </w:tc>
        <w:tc>
          <w:tcPr>
            <w:tcW w:w="1370" w:type="dxa"/>
            <w:tcBorders>
              <w:top w:val="single" w:sz="4" w:space="0" w:color="auto"/>
              <w:left w:val="single" w:sz="4" w:space="0" w:color="auto"/>
              <w:bottom w:val="single" w:sz="4" w:space="0" w:color="auto"/>
              <w:right w:val="single" w:sz="4" w:space="0" w:color="auto"/>
            </w:tcBorders>
            <w:vAlign w:val="bottom"/>
            <w:hideMark/>
          </w:tcPr>
          <w:p w:rsidR="00D22318" w:rsidRPr="00D22318" w:rsidRDefault="006D17FD" w:rsidP="00D22318">
            <w:pPr>
              <w:tabs>
                <w:tab w:val="left" w:pos="720"/>
              </w:tabs>
              <w:spacing w:after="0" w:line="240" w:lineRule="auto"/>
              <w:jc w:val="right"/>
              <w:rPr>
                <w:rFonts w:ascii="Times New Roman" w:eastAsia="Times New Roman" w:hAnsi="Times New Roman"/>
                <w:sz w:val="26"/>
                <w:szCs w:val="24"/>
              </w:rPr>
            </w:pPr>
            <w:r>
              <w:rPr>
                <w:rFonts w:ascii="Times New Roman" w:eastAsia="Times New Roman" w:hAnsi="Times New Roman"/>
                <w:sz w:val="26"/>
                <w:szCs w:val="24"/>
              </w:rPr>
              <w:t>150</w:t>
            </w:r>
          </w:p>
        </w:tc>
        <w:tc>
          <w:tcPr>
            <w:tcW w:w="1470" w:type="dxa"/>
            <w:tcBorders>
              <w:top w:val="single" w:sz="4" w:space="0" w:color="auto"/>
              <w:left w:val="single" w:sz="4" w:space="0" w:color="auto"/>
              <w:bottom w:val="single" w:sz="4" w:space="0" w:color="auto"/>
              <w:right w:val="single" w:sz="4" w:space="0" w:color="auto"/>
            </w:tcBorders>
            <w:vAlign w:val="bottom"/>
            <w:hideMark/>
          </w:tcPr>
          <w:p w:rsidR="00D22318" w:rsidRPr="00D22318" w:rsidRDefault="00B150E3" w:rsidP="00D22318">
            <w:pPr>
              <w:tabs>
                <w:tab w:val="left" w:pos="720"/>
              </w:tabs>
              <w:spacing w:after="0" w:line="240" w:lineRule="auto"/>
              <w:jc w:val="right"/>
              <w:rPr>
                <w:rFonts w:ascii="Times New Roman" w:eastAsia="Times New Roman" w:hAnsi="Times New Roman"/>
                <w:sz w:val="26"/>
                <w:szCs w:val="24"/>
              </w:rPr>
            </w:pPr>
            <w:r>
              <w:rPr>
                <w:rFonts w:ascii="Times New Roman" w:eastAsia="Times New Roman" w:hAnsi="Times New Roman"/>
                <w:sz w:val="26"/>
                <w:szCs w:val="24"/>
              </w:rPr>
              <w:t>71,100</w:t>
            </w:r>
          </w:p>
        </w:tc>
      </w:tr>
    </w:tbl>
    <w:p w:rsidR="009349F8" w:rsidRPr="000B2C9D" w:rsidRDefault="009349F8" w:rsidP="00D80FBD">
      <w:pPr>
        <w:spacing w:after="0"/>
        <w:rPr>
          <w:rFonts w:ascii="Times New Roman" w:hAnsi="Times New Roman"/>
          <w:sz w:val="24"/>
          <w:szCs w:val="24"/>
        </w:rPr>
      </w:pPr>
    </w:p>
    <w:p w:rsidR="009349F8" w:rsidRPr="000B2C9D" w:rsidRDefault="009349F8" w:rsidP="00D80FBD">
      <w:pPr>
        <w:spacing w:after="0"/>
        <w:rPr>
          <w:rFonts w:ascii="Times New Roman" w:hAnsi="Times New Roman"/>
          <w:sz w:val="24"/>
          <w:szCs w:val="24"/>
        </w:rPr>
      </w:pPr>
      <w:r w:rsidRPr="000B2C9D">
        <w:rPr>
          <w:rFonts w:ascii="Times New Roman" w:hAnsi="Times New Roman"/>
          <w:sz w:val="24"/>
          <w:szCs w:val="24"/>
        </w:rPr>
        <w:t>The following table shows the labor cost associated with the burden hours.</w:t>
      </w:r>
    </w:p>
    <w:p w:rsidR="009349F8" w:rsidRPr="000B2C9D" w:rsidRDefault="009349F8" w:rsidP="00D80FBD">
      <w:pPr>
        <w:spacing w:after="0"/>
        <w:rPr>
          <w:rFonts w:ascii="Times New Roman" w:hAnsi="Times New Roman"/>
          <w:sz w:val="24"/>
          <w:szCs w:val="24"/>
        </w:rPr>
      </w:pPr>
    </w:p>
    <w:tbl>
      <w:tblPr>
        <w:tblW w:w="9288" w:type="dxa"/>
        <w:tblBorders>
          <w:top w:val="single" w:sz="4"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168"/>
        <w:gridCol w:w="2970"/>
        <w:gridCol w:w="3150"/>
      </w:tblGrid>
      <w:tr w:rsidR="00B36454" w:rsidRPr="003761F7" w:rsidTr="00B36454">
        <w:trPr>
          <w:trHeight w:val="395"/>
          <w:tblHeader/>
        </w:trPr>
        <w:tc>
          <w:tcPr>
            <w:tcW w:w="3168" w:type="dxa"/>
            <w:shd w:val="clear" w:color="auto" w:fill="D9D9D9"/>
            <w:vAlign w:val="bottom"/>
          </w:tcPr>
          <w:p w:rsidR="00B36454" w:rsidRPr="000B2C9D" w:rsidRDefault="00B36454" w:rsidP="005F1C3C">
            <w:pPr>
              <w:spacing w:after="0" w:line="240" w:lineRule="auto"/>
              <w:jc w:val="center"/>
              <w:rPr>
                <w:rFonts w:ascii="Times New Roman" w:hAnsi="Times New Roman"/>
                <w:b/>
                <w:bCs/>
                <w:sz w:val="24"/>
                <w:szCs w:val="24"/>
              </w:rPr>
            </w:pPr>
            <w:r w:rsidRPr="000B2C9D">
              <w:rPr>
                <w:rFonts w:ascii="Times New Roman" w:hAnsi="Times New Roman"/>
                <w:b/>
                <w:bCs/>
                <w:sz w:val="24"/>
                <w:szCs w:val="24"/>
              </w:rPr>
              <w:t xml:space="preserve">Annual Burden Hours </w:t>
            </w:r>
          </w:p>
          <w:p w:rsidR="00B36454" w:rsidRPr="000B2C9D" w:rsidRDefault="00B36454" w:rsidP="005F1C3C">
            <w:pPr>
              <w:spacing w:after="0" w:line="240" w:lineRule="auto"/>
              <w:jc w:val="center"/>
              <w:rPr>
                <w:rFonts w:ascii="Times New Roman" w:hAnsi="Times New Roman"/>
                <w:b/>
                <w:bCs/>
                <w:sz w:val="24"/>
                <w:szCs w:val="24"/>
              </w:rPr>
            </w:pPr>
            <w:r w:rsidRPr="000B2C9D">
              <w:rPr>
                <w:rFonts w:ascii="Times New Roman" w:hAnsi="Times New Roman"/>
                <w:b/>
                <w:bCs/>
                <w:sz w:val="24"/>
                <w:szCs w:val="24"/>
              </w:rPr>
              <w:t>(1)</w:t>
            </w:r>
          </w:p>
        </w:tc>
        <w:tc>
          <w:tcPr>
            <w:tcW w:w="2970" w:type="dxa"/>
            <w:shd w:val="clear" w:color="auto" w:fill="D9D9D9"/>
            <w:vAlign w:val="bottom"/>
          </w:tcPr>
          <w:p w:rsidR="00B36454" w:rsidRPr="003761F7" w:rsidRDefault="00B36454" w:rsidP="005F1C3C">
            <w:pPr>
              <w:spacing w:after="0" w:line="240" w:lineRule="auto"/>
              <w:jc w:val="center"/>
              <w:rPr>
                <w:rFonts w:ascii="Times New Roman" w:hAnsi="Times New Roman"/>
                <w:b/>
                <w:bCs/>
                <w:sz w:val="24"/>
                <w:szCs w:val="24"/>
              </w:rPr>
            </w:pPr>
            <w:r w:rsidRPr="003761F7">
              <w:rPr>
                <w:rFonts w:ascii="Times New Roman" w:hAnsi="Times New Roman"/>
                <w:b/>
                <w:bCs/>
                <w:sz w:val="24"/>
                <w:szCs w:val="24"/>
              </w:rPr>
              <w:t>Estimated Hourly Cost ($)</w:t>
            </w:r>
          </w:p>
          <w:p w:rsidR="00B36454" w:rsidRPr="003761F7" w:rsidRDefault="00B36454" w:rsidP="005F1C3C">
            <w:pPr>
              <w:spacing w:after="0" w:line="240" w:lineRule="auto"/>
              <w:jc w:val="center"/>
              <w:rPr>
                <w:rFonts w:ascii="Times New Roman" w:hAnsi="Times New Roman"/>
                <w:b/>
                <w:bCs/>
                <w:sz w:val="24"/>
                <w:szCs w:val="24"/>
              </w:rPr>
            </w:pPr>
            <w:r w:rsidRPr="003761F7">
              <w:rPr>
                <w:rFonts w:ascii="Times New Roman" w:hAnsi="Times New Roman"/>
                <w:b/>
                <w:bCs/>
                <w:sz w:val="24"/>
                <w:szCs w:val="24"/>
              </w:rPr>
              <w:t>(2)</w:t>
            </w:r>
          </w:p>
        </w:tc>
        <w:tc>
          <w:tcPr>
            <w:tcW w:w="3150" w:type="dxa"/>
            <w:shd w:val="clear" w:color="auto" w:fill="D9D9D9"/>
            <w:vAlign w:val="bottom"/>
          </w:tcPr>
          <w:p w:rsidR="00B36454" w:rsidRPr="003761F7" w:rsidRDefault="00B36454" w:rsidP="005F1C3C">
            <w:pPr>
              <w:spacing w:after="0" w:line="240" w:lineRule="auto"/>
              <w:jc w:val="center"/>
              <w:rPr>
                <w:rFonts w:ascii="Times New Roman" w:hAnsi="Times New Roman"/>
                <w:b/>
                <w:bCs/>
                <w:sz w:val="24"/>
                <w:szCs w:val="24"/>
              </w:rPr>
            </w:pPr>
            <w:r w:rsidRPr="003761F7">
              <w:rPr>
                <w:rFonts w:ascii="Times New Roman" w:hAnsi="Times New Roman"/>
                <w:b/>
                <w:bCs/>
                <w:sz w:val="24"/>
                <w:szCs w:val="24"/>
              </w:rPr>
              <w:t>Estimated Total  Annual Cost to Respondents ($)</w:t>
            </w:r>
          </w:p>
          <w:p w:rsidR="00B36454" w:rsidRPr="003761F7" w:rsidRDefault="00B36454" w:rsidP="005F1C3C">
            <w:pPr>
              <w:spacing w:after="0" w:line="240" w:lineRule="auto"/>
              <w:jc w:val="center"/>
              <w:rPr>
                <w:rFonts w:ascii="Times New Roman" w:hAnsi="Times New Roman"/>
                <w:b/>
                <w:bCs/>
                <w:sz w:val="24"/>
                <w:szCs w:val="24"/>
              </w:rPr>
            </w:pPr>
            <w:r w:rsidRPr="003761F7">
              <w:rPr>
                <w:rFonts w:ascii="Times New Roman" w:hAnsi="Times New Roman"/>
                <w:b/>
                <w:bCs/>
                <w:sz w:val="24"/>
                <w:szCs w:val="24"/>
              </w:rPr>
              <w:t>(1) X (2)</w:t>
            </w:r>
          </w:p>
        </w:tc>
      </w:tr>
      <w:tr w:rsidR="00B36454" w:rsidRPr="003761F7" w:rsidTr="008E7479">
        <w:trPr>
          <w:trHeight w:val="273"/>
        </w:trPr>
        <w:tc>
          <w:tcPr>
            <w:tcW w:w="3168" w:type="dxa"/>
            <w:vAlign w:val="bottom"/>
          </w:tcPr>
          <w:p w:rsidR="00B36454" w:rsidRPr="000B2C9D" w:rsidRDefault="00A63E25" w:rsidP="008E7479">
            <w:pPr>
              <w:spacing w:after="0" w:line="240" w:lineRule="auto"/>
              <w:jc w:val="right"/>
              <w:rPr>
                <w:rFonts w:ascii="Times New Roman" w:hAnsi="Times New Roman"/>
                <w:sz w:val="24"/>
                <w:szCs w:val="24"/>
              </w:rPr>
            </w:pPr>
            <w:r>
              <w:rPr>
                <w:rFonts w:ascii="Times New Roman" w:hAnsi="Times New Roman"/>
                <w:sz w:val="24"/>
                <w:szCs w:val="24"/>
              </w:rPr>
              <w:t>71,100</w:t>
            </w:r>
          </w:p>
        </w:tc>
        <w:tc>
          <w:tcPr>
            <w:tcW w:w="2970" w:type="dxa"/>
            <w:vAlign w:val="bottom"/>
          </w:tcPr>
          <w:p w:rsidR="00B36454" w:rsidRPr="003761F7" w:rsidRDefault="00B36454" w:rsidP="003761F7">
            <w:pPr>
              <w:spacing w:after="0" w:line="240" w:lineRule="auto"/>
              <w:jc w:val="right"/>
              <w:rPr>
                <w:rFonts w:ascii="Times New Roman" w:hAnsi="Times New Roman"/>
                <w:sz w:val="24"/>
                <w:szCs w:val="24"/>
              </w:rPr>
            </w:pPr>
            <w:r w:rsidRPr="003761F7">
              <w:rPr>
                <w:rFonts w:ascii="Times New Roman" w:hAnsi="Times New Roman"/>
                <w:sz w:val="24"/>
                <w:szCs w:val="24"/>
              </w:rPr>
              <w:t>$</w:t>
            </w:r>
            <w:r w:rsidR="003761F7" w:rsidRPr="003761F7">
              <w:rPr>
                <w:rFonts w:ascii="Times New Roman" w:hAnsi="Times New Roman"/>
                <w:sz w:val="24"/>
                <w:szCs w:val="24"/>
              </w:rPr>
              <w:t>7</w:t>
            </w:r>
            <w:r w:rsidR="003761F7" w:rsidRPr="003761F7">
              <w:rPr>
                <w:rFonts w:ascii="Times New Roman" w:hAnsi="Times New Roman"/>
                <w:sz w:val="24"/>
                <w:szCs w:val="24"/>
              </w:rPr>
              <w:t>0</w:t>
            </w:r>
            <w:r w:rsidRPr="003761F7">
              <w:rPr>
                <w:rStyle w:val="FootnoteReference"/>
                <w:rFonts w:ascii="Times New Roman" w:hAnsi="Times New Roman"/>
                <w:sz w:val="24"/>
                <w:szCs w:val="24"/>
                <w:vertAlign w:val="superscript"/>
              </w:rPr>
              <w:footnoteReference w:id="5"/>
            </w:r>
          </w:p>
        </w:tc>
        <w:tc>
          <w:tcPr>
            <w:tcW w:w="3150" w:type="dxa"/>
            <w:vAlign w:val="bottom"/>
          </w:tcPr>
          <w:p w:rsidR="00B36454" w:rsidRPr="003761F7" w:rsidRDefault="006D17FD" w:rsidP="00A63E25">
            <w:pPr>
              <w:spacing w:after="0" w:line="240" w:lineRule="auto"/>
              <w:jc w:val="right"/>
              <w:rPr>
                <w:rFonts w:ascii="Times New Roman" w:hAnsi="Times New Roman"/>
                <w:sz w:val="24"/>
                <w:szCs w:val="24"/>
              </w:rPr>
            </w:pPr>
            <w:r w:rsidRPr="003761F7">
              <w:rPr>
                <w:rFonts w:ascii="Times New Roman" w:hAnsi="Times New Roman"/>
                <w:sz w:val="24"/>
                <w:szCs w:val="24"/>
              </w:rPr>
              <w:t>$</w:t>
            </w:r>
            <w:r w:rsidR="00A63E25" w:rsidRPr="003761F7">
              <w:rPr>
                <w:rFonts w:ascii="Times New Roman" w:hAnsi="Times New Roman"/>
                <w:sz w:val="24"/>
                <w:szCs w:val="24"/>
              </w:rPr>
              <w:t>4,977,000</w:t>
            </w:r>
          </w:p>
        </w:tc>
      </w:tr>
    </w:tbl>
    <w:p w:rsidR="009349F8" w:rsidRPr="000B2C9D" w:rsidRDefault="009349F8" w:rsidP="00D80FBD">
      <w:pPr>
        <w:spacing w:after="0"/>
        <w:rPr>
          <w:rFonts w:ascii="Times New Roman" w:hAnsi="Times New Roman"/>
          <w:sz w:val="24"/>
          <w:szCs w:val="24"/>
        </w:rPr>
      </w:pPr>
    </w:p>
    <w:p w:rsidR="004C1C7D" w:rsidRDefault="004C1C7D" w:rsidP="004C1C7D">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ESTIMATE OF THE TOTAL ANNUAL COST BURDEN TO RESPONDENTS</w:t>
      </w:r>
    </w:p>
    <w:p w:rsidR="009349F8" w:rsidRDefault="009349F8" w:rsidP="00E636D7">
      <w:pPr>
        <w:spacing w:after="0"/>
        <w:rPr>
          <w:rFonts w:ascii="Times New Roman" w:hAnsi="Times New Roman"/>
          <w:sz w:val="24"/>
          <w:szCs w:val="24"/>
        </w:rPr>
      </w:pPr>
    </w:p>
    <w:p w:rsidR="006E3597" w:rsidRDefault="006E3597" w:rsidP="00E636D7">
      <w:pPr>
        <w:spacing w:after="0"/>
        <w:rPr>
          <w:rFonts w:ascii="Times New Roman" w:hAnsi="Times New Roman"/>
          <w:sz w:val="24"/>
          <w:szCs w:val="24"/>
        </w:rPr>
      </w:pPr>
      <w:r>
        <w:rPr>
          <w:rFonts w:ascii="Times New Roman" w:hAnsi="Times New Roman"/>
          <w:sz w:val="24"/>
          <w:szCs w:val="24"/>
        </w:rPr>
        <w:t>The Commission does not estimate any capital, start-up, or other non-labor costs associated with this collection.  All costs are captured as part of the labor hours included in item #12.</w:t>
      </w:r>
    </w:p>
    <w:p w:rsidR="006E3597" w:rsidRPr="000B2C9D" w:rsidRDefault="006E3597" w:rsidP="00E636D7">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ESTIMATED ANNUALIZED COST TO FEDERAL GOVERNMENT</w:t>
      </w:r>
    </w:p>
    <w:p w:rsidR="009349F8" w:rsidRPr="000B2C9D" w:rsidRDefault="009349F8" w:rsidP="00A276F5">
      <w:pPr>
        <w:spacing w:after="0"/>
        <w:rPr>
          <w:rFonts w:ascii="Times New Roman" w:hAnsi="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9349F8" w:rsidRPr="000B2C9D" w:rsidTr="005F1C3C">
        <w:tc>
          <w:tcPr>
            <w:tcW w:w="3182" w:type="dxa"/>
            <w:shd w:val="clear" w:color="auto" w:fill="CCCCCC"/>
          </w:tcPr>
          <w:p w:rsidR="009349F8" w:rsidRPr="000B2C9D" w:rsidRDefault="009349F8" w:rsidP="00A276F5">
            <w:pPr>
              <w:spacing w:after="0" w:line="240" w:lineRule="auto"/>
              <w:rPr>
                <w:rFonts w:ascii="Times New Roman" w:hAnsi="Times New Roman"/>
                <w:sz w:val="24"/>
                <w:szCs w:val="24"/>
              </w:rPr>
            </w:pPr>
          </w:p>
        </w:tc>
        <w:tc>
          <w:tcPr>
            <w:tcW w:w="3201" w:type="dxa"/>
            <w:shd w:val="clear" w:color="auto" w:fill="CCCCCC"/>
          </w:tcPr>
          <w:p w:rsidR="009349F8" w:rsidRPr="000B2C9D" w:rsidRDefault="009349F8" w:rsidP="00A276F5">
            <w:pPr>
              <w:spacing w:after="0" w:line="240" w:lineRule="auto"/>
              <w:rPr>
                <w:rFonts w:ascii="Times New Roman" w:hAnsi="Times New Roman"/>
                <w:b/>
                <w:sz w:val="24"/>
                <w:szCs w:val="24"/>
              </w:rPr>
            </w:pPr>
            <w:r w:rsidRPr="000B2C9D">
              <w:rPr>
                <w:rFonts w:ascii="Times New Roman" w:hAnsi="Times New Roman"/>
                <w:b/>
                <w:sz w:val="24"/>
                <w:szCs w:val="24"/>
              </w:rPr>
              <w:t>Number of Employees (FTE)</w:t>
            </w:r>
          </w:p>
        </w:tc>
        <w:tc>
          <w:tcPr>
            <w:tcW w:w="2995" w:type="dxa"/>
            <w:shd w:val="clear" w:color="auto" w:fill="CCCCCC"/>
          </w:tcPr>
          <w:p w:rsidR="009349F8" w:rsidRPr="000B2C9D" w:rsidRDefault="009349F8" w:rsidP="00A276F5">
            <w:pPr>
              <w:spacing w:after="0" w:line="240" w:lineRule="auto"/>
              <w:rPr>
                <w:rFonts w:ascii="Times New Roman" w:hAnsi="Times New Roman"/>
                <w:b/>
                <w:sz w:val="24"/>
                <w:szCs w:val="24"/>
              </w:rPr>
            </w:pPr>
            <w:r w:rsidRPr="000B2C9D">
              <w:rPr>
                <w:rFonts w:ascii="Times New Roman" w:hAnsi="Times New Roman"/>
                <w:b/>
                <w:sz w:val="24"/>
                <w:szCs w:val="24"/>
              </w:rPr>
              <w:t>Estimated Annual Federal Cost</w:t>
            </w:r>
          </w:p>
        </w:tc>
      </w:tr>
      <w:tr w:rsidR="009349F8" w:rsidRPr="000B2C9D" w:rsidTr="008E7479">
        <w:tc>
          <w:tcPr>
            <w:tcW w:w="3182" w:type="dxa"/>
          </w:tcPr>
          <w:p w:rsidR="009349F8" w:rsidRPr="000B2C9D" w:rsidRDefault="009349F8" w:rsidP="00A276F5">
            <w:pPr>
              <w:spacing w:after="0" w:line="240" w:lineRule="auto"/>
              <w:rPr>
                <w:rFonts w:ascii="Times New Roman" w:hAnsi="Times New Roman"/>
                <w:sz w:val="24"/>
                <w:szCs w:val="24"/>
              </w:rPr>
            </w:pPr>
            <w:r w:rsidRPr="000B2C9D">
              <w:rPr>
                <w:rFonts w:ascii="Times New Roman" w:hAnsi="Times New Roman"/>
                <w:sz w:val="24"/>
                <w:szCs w:val="24"/>
              </w:rPr>
              <w:t>Analysis and Processing of filings</w:t>
            </w:r>
            <w:r w:rsidRPr="000B2C9D">
              <w:rPr>
                <w:rStyle w:val="FootnoteReference"/>
                <w:rFonts w:ascii="Times New Roman" w:hAnsi="Times New Roman"/>
                <w:sz w:val="24"/>
                <w:szCs w:val="24"/>
                <w:vertAlign w:val="superscript"/>
              </w:rPr>
              <w:footnoteReference w:id="6"/>
            </w:r>
          </w:p>
        </w:tc>
        <w:tc>
          <w:tcPr>
            <w:tcW w:w="3201" w:type="dxa"/>
            <w:vAlign w:val="bottom"/>
          </w:tcPr>
          <w:p w:rsidR="009349F8" w:rsidRPr="000B2C9D" w:rsidRDefault="0063471B" w:rsidP="008E7479">
            <w:pPr>
              <w:spacing w:after="0" w:line="240" w:lineRule="auto"/>
              <w:jc w:val="right"/>
              <w:rPr>
                <w:rFonts w:ascii="Times New Roman" w:hAnsi="Times New Roman"/>
                <w:sz w:val="24"/>
                <w:szCs w:val="24"/>
              </w:rPr>
            </w:pPr>
            <w:r>
              <w:rPr>
                <w:rFonts w:ascii="Times New Roman" w:hAnsi="Times New Roman"/>
                <w:sz w:val="24"/>
                <w:szCs w:val="24"/>
              </w:rPr>
              <w:t>.5</w:t>
            </w:r>
          </w:p>
        </w:tc>
        <w:tc>
          <w:tcPr>
            <w:tcW w:w="2995" w:type="dxa"/>
            <w:vAlign w:val="bottom"/>
          </w:tcPr>
          <w:p w:rsidR="009349F8" w:rsidRPr="000B2C9D" w:rsidRDefault="00035789" w:rsidP="008E7479">
            <w:pPr>
              <w:spacing w:after="0" w:line="240" w:lineRule="auto"/>
              <w:jc w:val="right"/>
              <w:rPr>
                <w:rFonts w:ascii="Times New Roman" w:hAnsi="Times New Roman"/>
                <w:sz w:val="24"/>
                <w:szCs w:val="24"/>
              </w:rPr>
            </w:pPr>
            <w:r>
              <w:rPr>
                <w:rFonts w:ascii="Times New Roman" w:hAnsi="Times New Roman"/>
                <w:sz w:val="24"/>
                <w:szCs w:val="24"/>
              </w:rPr>
              <w:t>$72,909</w:t>
            </w:r>
          </w:p>
        </w:tc>
      </w:tr>
      <w:tr w:rsidR="009349F8" w:rsidRPr="000B2C9D" w:rsidTr="005F1C3C">
        <w:tc>
          <w:tcPr>
            <w:tcW w:w="3182" w:type="dxa"/>
          </w:tcPr>
          <w:p w:rsidR="009349F8" w:rsidRPr="000B2C9D" w:rsidRDefault="009349F8" w:rsidP="00A276F5">
            <w:pPr>
              <w:spacing w:after="0" w:line="240" w:lineRule="auto"/>
              <w:rPr>
                <w:rFonts w:ascii="Times New Roman" w:hAnsi="Times New Roman"/>
                <w:sz w:val="24"/>
                <w:szCs w:val="24"/>
              </w:rPr>
            </w:pPr>
            <w:r w:rsidRPr="000B2C9D">
              <w:rPr>
                <w:rFonts w:ascii="Times New Roman" w:hAnsi="Times New Roman"/>
                <w:sz w:val="24"/>
                <w:szCs w:val="24"/>
              </w:rPr>
              <w:t>PRA</w:t>
            </w:r>
            <w:r w:rsidRPr="000B2C9D">
              <w:rPr>
                <w:rStyle w:val="FootnoteReference"/>
                <w:rFonts w:ascii="Times New Roman" w:hAnsi="Times New Roman"/>
                <w:sz w:val="24"/>
                <w:szCs w:val="24"/>
                <w:vertAlign w:val="superscript"/>
              </w:rPr>
              <w:footnoteReference w:id="7"/>
            </w:r>
            <w:r w:rsidRPr="000B2C9D">
              <w:rPr>
                <w:rFonts w:ascii="Times New Roman" w:hAnsi="Times New Roman"/>
                <w:sz w:val="24"/>
                <w:szCs w:val="24"/>
              </w:rPr>
              <w:t xml:space="preserve"> Administrative Cost</w:t>
            </w:r>
            <w:r w:rsidRPr="000B2C9D">
              <w:rPr>
                <w:rStyle w:val="FootnoteReference"/>
                <w:rFonts w:ascii="Times New Roman" w:hAnsi="Times New Roman"/>
                <w:sz w:val="24"/>
                <w:szCs w:val="24"/>
                <w:vertAlign w:val="superscript"/>
              </w:rPr>
              <w:footnoteReference w:id="8"/>
            </w:r>
          </w:p>
        </w:tc>
        <w:tc>
          <w:tcPr>
            <w:tcW w:w="3201" w:type="dxa"/>
            <w:vMerge w:val="restart"/>
            <w:shd w:val="clear" w:color="auto" w:fill="D9D9D9"/>
            <w:vAlign w:val="center"/>
          </w:tcPr>
          <w:p w:rsidR="009349F8" w:rsidRPr="000B2C9D" w:rsidRDefault="009349F8" w:rsidP="005F1C3C">
            <w:pPr>
              <w:spacing w:after="0" w:line="240" w:lineRule="auto"/>
              <w:jc w:val="right"/>
              <w:rPr>
                <w:rFonts w:ascii="Times New Roman" w:hAnsi="Times New Roman"/>
                <w:sz w:val="24"/>
                <w:szCs w:val="24"/>
              </w:rPr>
            </w:pPr>
          </w:p>
        </w:tc>
        <w:tc>
          <w:tcPr>
            <w:tcW w:w="2995" w:type="dxa"/>
            <w:vAlign w:val="center"/>
          </w:tcPr>
          <w:p w:rsidR="009349F8" w:rsidRPr="000B2C9D" w:rsidRDefault="00035789" w:rsidP="00EA31AE">
            <w:pPr>
              <w:spacing w:after="0" w:line="240" w:lineRule="auto"/>
              <w:jc w:val="right"/>
              <w:rPr>
                <w:rFonts w:ascii="Times New Roman" w:hAnsi="Times New Roman"/>
                <w:sz w:val="24"/>
                <w:szCs w:val="24"/>
              </w:rPr>
            </w:pPr>
            <w:r>
              <w:rPr>
                <w:rFonts w:ascii="Times New Roman" w:hAnsi="Times New Roman"/>
                <w:sz w:val="24"/>
                <w:szCs w:val="24"/>
              </w:rPr>
              <w:t>$2,250</w:t>
            </w:r>
          </w:p>
        </w:tc>
      </w:tr>
      <w:tr w:rsidR="009349F8" w:rsidRPr="000B2C9D" w:rsidTr="005F1C3C">
        <w:tc>
          <w:tcPr>
            <w:tcW w:w="3182" w:type="dxa"/>
          </w:tcPr>
          <w:p w:rsidR="009349F8" w:rsidRPr="000B2C9D" w:rsidRDefault="009349F8" w:rsidP="00A276F5">
            <w:pPr>
              <w:spacing w:after="0" w:line="240" w:lineRule="auto"/>
              <w:rPr>
                <w:rFonts w:ascii="Times New Roman" w:hAnsi="Times New Roman"/>
                <w:b/>
                <w:sz w:val="24"/>
                <w:szCs w:val="24"/>
              </w:rPr>
            </w:pPr>
            <w:r w:rsidRPr="000B2C9D">
              <w:rPr>
                <w:rFonts w:ascii="Times New Roman" w:hAnsi="Times New Roman"/>
                <w:b/>
                <w:sz w:val="24"/>
                <w:szCs w:val="24"/>
              </w:rPr>
              <w:lastRenderedPageBreak/>
              <w:t>FERC Total</w:t>
            </w:r>
          </w:p>
        </w:tc>
        <w:tc>
          <w:tcPr>
            <w:tcW w:w="3201" w:type="dxa"/>
            <w:vMerge/>
            <w:shd w:val="clear" w:color="auto" w:fill="D9D9D9"/>
            <w:vAlign w:val="center"/>
          </w:tcPr>
          <w:p w:rsidR="009349F8" w:rsidRPr="000B2C9D" w:rsidRDefault="009349F8" w:rsidP="005F1C3C">
            <w:pPr>
              <w:spacing w:after="0" w:line="240" w:lineRule="auto"/>
              <w:jc w:val="right"/>
              <w:rPr>
                <w:rFonts w:ascii="Times New Roman" w:hAnsi="Times New Roman"/>
                <w:sz w:val="24"/>
                <w:szCs w:val="24"/>
              </w:rPr>
            </w:pPr>
          </w:p>
        </w:tc>
        <w:tc>
          <w:tcPr>
            <w:tcW w:w="2995" w:type="dxa"/>
            <w:vAlign w:val="center"/>
          </w:tcPr>
          <w:p w:rsidR="009349F8" w:rsidRPr="000B2C9D" w:rsidRDefault="00035789" w:rsidP="00044424">
            <w:pPr>
              <w:spacing w:after="0" w:line="240" w:lineRule="auto"/>
              <w:jc w:val="right"/>
              <w:rPr>
                <w:rFonts w:ascii="Times New Roman" w:hAnsi="Times New Roman"/>
                <w:sz w:val="24"/>
                <w:szCs w:val="24"/>
              </w:rPr>
            </w:pPr>
            <w:r>
              <w:rPr>
                <w:rFonts w:ascii="Times New Roman" w:hAnsi="Times New Roman"/>
                <w:sz w:val="24"/>
                <w:szCs w:val="24"/>
              </w:rPr>
              <w:t>$75,159</w:t>
            </w:r>
          </w:p>
        </w:tc>
      </w:tr>
    </w:tbl>
    <w:p w:rsidR="004C1C7D" w:rsidRDefault="004C1C7D" w:rsidP="004C1C7D">
      <w:pPr>
        <w:spacing w:after="0"/>
        <w:rPr>
          <w:rFonts w:ascii="Times New Roman" w:hAnsi="Times New Roman"/>
          <w:sz w:val="24"/>
          <w:szCs w:val="24"/>
        </w:rPr>
      </w:pPr>
    </w:p>
    <w:p w:rsidR="009349F8" w:rsidRPr="000B2C9D" w:rsidRDefault="009349F8" w:rsidP="004C1C7D">
      <w:pPr>
        <w:spacing w:after="0"/>
        <w:rPr>
          <w:rFonts w:ascii="Times New Roman" w:hAnsi="Times New Roman"/>
          <w:sz w:val="24"/>
          <w:szCs w:val="24"/>
        </w:rPr>
      </w:pPr>
      <w:r w:rsidRPr="000B2C9D">
        <w:rPr>
          <w:rFonts w:ascii="Times New Roman" w:hAnsi="Times New Roman"/>
          <w:sz w:val="24"/>
          <w:szCs w:val="24"/>
        </w:rPr>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rsidR="009349F8" w:rsidRPr="000B2C9D" w:rsidRDefault="009349F8" w:rsidP="00A276F5">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REASONS FOR CHANGES IN BURDEN INCLUDING THE NEED FOR ANY INCREASE</w:t>
      </w:r>
    </w:p>
    <w:p w:rsidR="004C1C7D" w:rsidRDefault="004C1C7D" w:rsidP="004C1C7D">
      <w:pPr>
        <w:spacing w:after="0"/>
        <w:rPr>
          <w:rFonts w:ascii="Times New Roman" w:hAnsi="Times New Roman"/>
          <w:b/>
          <w:sz w:val="24"/>
          <w:szCs w:val="24"/>
        </w:rPr>
      </w:pPr>
    </w:p>
    <w:p w:rsidR="009349F8" w:rsidRDefault="009349F8" w:rsidP="004C1C7D">
      <w:pPr>
        <w:spacing w:after="0"/>
        <w:rPr>
          <w:rFonts w:ascii="Times New Roman" w:hAnsi="Times New Roman"/>
          <w:sz w:val="24"/>
          <w:szCs w:val="24"/>
        </w:rPr>
      </w:pPr>
      <w:r w:rsidRPr="000B2C9D">
        <w:rPr>
          <w:rFonts w:ascii="Times New Roman" w:hAnsi="Times New Roman"/>
          <w:sz w:val="24"/>
          <w:szCs w:val="24"/>
        </w:rPr>
        <w:t>The</w:t>
      </w:r>
      <w:r w:rsidR="00BC1960">
        <w:rPr>
          <w:rFonts w:ascii="Times New Roman" w:hAnsi="Times New Roman"/>
          <w:sz w:val="24"/>
          <w:szCs w:val="24"/>
        </w:rPr>
        <w:t xml:space="preserve"> </w:t>
      </w:r>
      <w:r w:rsidR="00035789">
        <w:rPr>
          <w:rFonts w:ascii="Times New Roman" w:hAnsi="Times New Roman"/>
          <w:sz w:val="24"/>
          <w:szCs w:val="24"/>
        </w:rPr>
        <w:t xml:space="preserve">reason for the change in reporting burden </w:t>
      </w:r>
      <w:r w:rsidR="004D4F1A">
        <w:rPr>
          <w:rFonts w:ascii="Times New Roman" w:hAnsi="Times New Roman"/>
          <w:sz w:val="24"/>
          <w:szCs w:val="24"/>
        </w:rPr>
        <w:t>is</w:t>
      </w:r>
      <w:r w:rsidR="004D4F1A">
        <w:rPr>
          <w:rStyle w:val="CommentReference"/>
        </w:rPr>
        <w:t xml:space="preserve"> </w:t>
      </w:r>
      <w:r w:rsidR="004D4F1A">
        <w:rPr>
          <w:rFonts w:ascii="Times New Roman" w:hAnsi="Times New Roman"/>
          <w:sz w:val="24"/>
          <w:szCs w:val="24"/>
        </w:rPr>
        <w:t>due</w:t>
      </w:r>
      <w:r w:rsidR="00AF130B">
        <w:rPr>
          <w:rFonts w:ascii="Times New Roman" w:hAnsi="Times New Roman"/>
          <w:sz w:val="24"/>
          <w:szCs w:val="24"/>
        </w:rPr>
        <w:t xml:space="preserve"> to the increase in the number of filers completing the </w:t>
      </w:r>
      <w:r w:rsidR="003B42BA">
        <w:rPr>
          <w:rFonts w:ascii="Times New Roman" w:hAnsi="Times New Roman"/>
          <w:sz w:val="24"/>
          <w:szCs w:val="24"/>
        </w:rPr>
        <w:t xml:space="preserve">FERC </w:t>
      </w:r>
      <w:r w:rsidR="00AF130B">
        <w:rPr>
          <w:rFonts w:ascii="Times New Roman" w:hAnsi="Times New Roman"/>
          <w:sz w:val="24"/>
          <w:szCs w:val="24"/>
        </w:rPr>
        <w:t xml:space="preserve">Form </w:t>
      </w:r>
      <w:r w:rsidR="003B42BA">
        <w:rPr>
          <w:rFonts w:ascii="Times New Roman" w:hAnsi="Times New Roman"/>
          <w:sz w:val="24"/>
          <w:szCs w:val="24"/>
        </w:rPr>
        <w:t xml:space="preserve">No. </w:t>
      </w:r>
      <w:r w:rsidR="00AF130B">
        <w:rPr>
          <w:rFonts w:ascii="Times New Roman" w:hAnsi="Times New Roman"/>
          <w:sz w:val="24"/>
          <w:szCs w:val="24"/>
        </w:rPr>
        <w:t xml:space="preserve">6-Q.  </w:t>
      </w:r>
      <w:r w:rsidR="00A02F89">
        <w:rPr>
          <w:rFonts w:ascii="Times New Roman" w:hAnsi="Times New Roman"/>
          <w:sz w:val="24"/>
          <w:szCs w:val="24"/>
        </w:rPr>
        <w:t xml:space="preserve">The number of filers is constantly in flux because there are new market entrants and those leaving the market or consolidation of market participants.  </w:t>
      </w:r>
      <w:r w:rsidR="00AF130B">
        <w:rPr>
          <w:rFonts w:ascii="Times New Roman" w:hAnsi="Times New Roman"/>
          <w:sz w:val="24"/>
          <w:szCs w:val="24"/>
        </w:rPr>
        <w:t xml:space="preserve">The number of </w:t>
      </w:r>
      <w:r w:rsidR="00A02F89">
        <w:rPr>
          <w:rFonts w:ascii="Times New Roman" w:hAnsi="Times New Roman"/>
          <w:sz w:val="24"/>
          <w:szCs w:val="24"/>
        </w:rPr>
        <w:t xml:space="preserve">FERC Form No. 6-Q </w:t>
      </w:r>
      <w:r w:rsidR="00AF130B">
        <w:rPr>
          <w:rFonts w:ascii="Times New Roman" w:hAnsi="Times New Roman"/>
          <w:sz w:val="24"/>
          <w:szCs w:val="24"/>
        </w:rPr>
        <w:t xml:space="preserve">filers increased from </w:t>
      </w:r>
      <w:r w:rsidR="00D67E8E">
        <w:rPr>
          <w:rFonts w:ascii="Times New Roman" w:hAnsi="Times New Roman"/>
          <w:sz w:val="24"/>
          <w:szCs w:val="24"/>
        </w:rPr>
        <w:t>142</w:t>
      </w:r>
      <w:r w:rsidR="00AF130B">
        <w:rPr>
          <w:rFonts w:ascii="Times New Roman" w:hAnsi="Times New Roman"/>
          <w:sz w:val="24"/>
          <w:szCs w:val="24"/>
        </w:rPr>
        <w:t xml:space="preserve"> to 158</w:t>
      </w:r>
      <w:r w:rsidR="00D67E8E">
        <w:rPr>
          <w:rFonts w:ascii="Times New Roman" w:hAnsi="Times New Roman"/>
          <w:sz w:val="24"/>
          <w:szCs w:val="24"/>
        </w:rPr>
        <w:t xml:space="preserve"> since the last OMB approval of this collection</w:t>
      </w:r>
      <w:r w:rsidR="00AF130B">
        <w:rPr>
          <w:rFonts w:ascii="Times New Roman" w:hAnsi="Times New Roman"/>
          <w:sz w:val="24"/>
          <w:szCs w:val="24"/>
        </w:rPr>
        <w:t>.</w:t>
      </w:r>
    </w:p>
    <w:p w:rsidR="004C1C7D" w:rsidRDefault="004C1C7D" w:rsidP="004C1C7D">
      <w:pPr>
        <w:widowControl w:val="0"/>
        <w:autoSpaceDE w:val="0"/>
        <w:autoSpaceDN w:val="0"/>
        <w:adjustRightInd w:val="0"/>
        <w:spacing w:after="0"/>
        <w:rPr>
          <w:rFonts w:ascii="Times New Roman" w:hAnsi="Times New Roman"/>
          <w:sz w:val="24"/>
          <w:szCs w:val="24"/>
        </w:rPr>
      </w:pP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958"/>
        <w:gridCol w:w="1960"/>
      </w:tblGrid>
      <w:tr w:rsidR="00D67E8E" w:rsidRPr="00D67E8E" w:rsidTr="006E3597">
        <w:trPr>
          <w:trHeight w:val="870"/>
        </w:trPr>
        <w:tc>
          <w:tcPr>
            <w:tcW w:w="2589" w:type="dxa"/>
            <w:shd w:val="clear" w:color="auto" w:fill="D9D9D9"/>
            <w:vAlign w:val="bottom"/>
          </w:tcPr>
          <w:p w:rsidR="00D67E8E" w:rsidRPr="00D67E8E" w:rsidRDefault="00D67E8E" w:rsidP="00D67E8E">
            <w:pPr>
              <w:widowControl w:val="0"/>
              <w:autoSpaceDE w:val="0"/>
              <w:autoSpaceDN w:val="0"/>
              <w:adjustRightInd w:val="0"/>
              <w:spacing w:after="0" w:line="240" w:lineRule="auto"/>
              <w:jc w:val="center"/>
              <w:rPr>
                <w:rFonts w:ascii="Times New Roman" w:eastAsia="Times New Roman" w:hAnsi="Times New Roman"/>
                <w:b/>
                <w:sz w:val="24"/>
                <w:szCs w:val="26"/>
              </w:rPr>
            </w:pPr>
            <w:r w:rsidRPr="00D67E8E">
              <w:rPr>
                <w:rFonts w:ascii="Times New Roman" w:eastAsia="Times New Roman" w:hAnsi="Times New Roman"/>
                <w:b/>
                <w:sz w:val="24"/>
                <w:szCs w:val="26"/>
              </w:rPr>
              <w:t>FERC-</w:t>
            </w:r>
            <w:r>
              <w:rPr>
                <w:rFonts w:ascii="Times New Roman" w:eastAsia="Times New Roman" w:hAnsi="Times New Roman"/>
                <w:b/>
                <w:sz w:val="24"/>
                <w:szCs w:val="26"/>
              </w:rPr>
              <w:t>6Q</w:t>
            </w:r>
          </w:p>
        </w:tc>
        <w:tc>
          <w:tcPr>
            <w:tcW w:w="1779" w:type="dxa"/>
            <w:shd w:val="clear" w:color="auto" w:fill="D9D9D9"/>
            <w:vAlign w:val="bottom"/>
          </w:tcPr>
          <w:p w:rsidR="00D67E8E" w:rsidRPr="00D67E8E" w:rsidRDefault="00D67E8E" w:rsidP="00D67E8E">
            <w:pPr>
              <w:widowControl w:val="0"/>
              <w:autoSpaceDE w:val="0"/>
              <w:autoSpaceDN w:val="0"/>
              <w:adjustRightInd w:val="0"/>
              <w:spacing w:after="0" w:line="240" w:lineRule="auto"/>
              <w:jc w:val="center"/>
              <w:rPr>
                <w:rFonts w:ascii="Times New Roman" w:eastAsia="Times New Roman" w:hAnsi="Times New Roman"/>
                <w:b/>
                <w:sz w:val="24"/>
                <w:szCs w:val="26"/>
              </w:rPr>
            </w:pPr>
            <w:r w:rsidRPr="00D67E8E">
              <w:rPr>
                <w:rFonts w:ascii="Times New Roman" w:eastAsia="Times New Roman" w:hAnsi="Times New Roman"/>
                <w:b/>
                <w:sz w:val="24"/>
                <w:szCs w:val="26"/>
              </w:rPr>
              <w:t>Total Request</w:t>
            </w:r>
          </w:p>
        </w:tc>
        <w:tc>
          <w:tcPr>
            <w:tcW w:w="1959" w:type="dxa"/>
            <w:shd w:val="clear" w:color="auto" w:fill="D9D9D9"/>
            <w:vAlign w:val="bottom"/>
          </w:tcPr>
          <w:p w:rsidR="00D67E8E" w:rsidRPr="00D67E8E" w:rsidRDefault="00D67E8E" w:rsidP="00D67E8E">
            <w:pPr>
              <w:widowControl w:val="0"/>
              <w:autoSpaceDE w:val="0"/>
              <w:autoSpaceDN w:val="0"/>
              <w:adjustRightInd w:val="0"/>
              <w:spacing w:after="0" w:line="240" w:lineRule="auto"/>
              <w:jc w:val="center"/>
              <w:rPr>
                <w:rFonts w:ascii="Times New Roman" w:eastAsia="Times New Roman" w:hAnsi="Times New Roman"/>
                <w:b/>
                <w:sz w:val="24"/>
                <w:szCs w:val="26"/>
              </w:rPr>
            </w:pPr>
            <w:r w:rsidRPr="00D67E8E">
              <w:rPr>
                <w:rFonts w:ascii="Times New Roman" w:eastAsia="Times New Roman" w:hAnsi="Times New Roman"/>
                <w:b/>
                <w:sz w:val="24"/>
                <w:szCs w:val="26"/>
              </w:rPr>
              <w:t>Previously Approved</w:t>
            </w:r>
          </w:p>
        </w:tc>
        <w:tc>
          <w:tcPr>
            <w:tcW w:w="1958" w:type="dxa"/>
            <w:shd w:val="clear" w:color="auto" w:fill="D9D9D9"/>
            <w:vAlign w:val="bottom"/>
          </w:tcPr>
          <w:p w:rsidR="00D67E8E" w:rsidRPr="00D67E8E" w:rsidRDefault="00D67E8E" w:rsidP="00D67E8E">
            <w:pPr>
              <w:widowControl w:val="0"/>
              <w:autoSpaceDE w:val="0"/>
              <w:autoSpaceDN w:val="0"/>
              <w:adjustRightInd w:val="0"/>
              <w:spacing w:after="0" w:line="240" w:lineRule="auto"/>
              <w:jc w:val="center"/>
              <w:rPr>
                <w:rFonts w:ascii="Times New Roman" w:eastAsia="Times New Roman" w:hAnsi="Times New Roman"/>
                <w:b/>
                <w:sz w:val="24"/>
                <w:szCs w:val="26"/>
              </w:rPr>
            </w:pPr>
            <w:r w:rsidRPr="00D67E8E">
              <w:rPr>
                <w:rFonts w:ascii="Times New Roman" w:eastAsia="Times New Roman" w:hAnsi="Times New Roman"/>
                <w:b/>
                <w:sz w:val="24"/>
                <w:szCs w:val="26"/>
              </w:rPr>
              <w:t>Change due to Adjustment in Estimate</w:t>
            </w:r>
          </w:p>
        </w:tc>
        <w:tc>
          <w:tcPr>
            <w:tcW w:w="1960" w:type="dxa"/>
            <w:shd w:val="clear" w:color="auto" w:fill="D9D9D9"/>
            <w:vAlign w:val="bottom"/>
          </w:tcPr>
          <w:p w:rsidR="00D67E8E" w:rsidRPr="00D67E8E" w:rsidRDefault="00D67E8E" w:rsidP="00D67E8E">
            <w:pPr>
              <w:widowControl w:val="0"/>
              <w:autoSpaceDE w:val="0"/>
              <w:autoSpaceDN w:val="0"/>
              <w:adjustRightInd w:val="0"/>
              <w:spacing w:after="0" w:line="240" w:lineRule="auto"/>
              <w:jc w:val="center"/>
              <w:rPr>
                <w:rFonts w:ascii="Times New Roman" w:eastAsia="Times New Roman" w:hAnsi="Times New Roman"/>
                <w:b/>
                <w:sz w:val="24"/>
                <w:szCs w:val="26"/>
              </w:rPr>
            </w:pPr>
            <w:r w:rsidRPr="00D67E8E">
              <w:rPr>
                <w:rFonts w:ascii="Times New Roman" w:eastAsia="Times New Roman" w:hAnsi="Times New Roman"/>
                <w:b/>
                <w:sz w:val="24"/>
                <w:szCs w:val="26"/>
              </w:rPr>
              <w:t>Change Due to Agency Discretion</w:t>
            </w:r>
          </w:p>
        </w:tc>
      </w:tr>
      <w:tr w:rsidR="00D67E8E" w:rsidRPr="00D67E8E" w:rsidTr="006E3597">
        <w:trPr>
          <w:trHeight w:val="591"/>
        </w:trPr>
        <w:tc>
          <w:tcPr>
            <w:tcW w:w="2589" w:type="dxa"/>
            <w:shd w:val="clear" w:color="auto" w:fill="auto"/>
          </w:tcPr>
          <w:p w:rsidR="00D67E8E" w:rsidRPr="00D67E8E" w:rsidRDefault="00D67E8E" w:rsidP="00D67E8E">
            <w:pPr>
              <w:widowControl w:val="0"/>
              <w:autoSpaceDE w:val="0"/>
              <w:autoSpaceDN w:val="0"/>
              <w:adjustRightInd w:val="0"/>
              <w:spacing w:after="0" w:line="240" w:lineRule="auto"/>
              <w:jc w:val="center"/>
              <w:rPr>
                <w:rFonts w:ascii="Times New Roman" w:eastAsia="Times New Roman" w:hAnsi="Times New Roman"/>
                <w:sz w:val="24"/>
                <w:szCs w:val="26"/>
              </w:rPr>
            </w:pPr>
            <w:r w:rsidRPr="00D67E8E">
              <w:rPr>
                <w:rFonts w:ascii="Times New Roman" w:eastAsia="Times New Roman" w:hAnsi="Times New Roman"/>
                <w:sz w:val="24"/>
                <w:szCs w:val="26"/>
              </w:rPr>
              <w:t>Annual Number of Responses</w:t>
            </w:r>
          </w:p>
        </w:tc>
        <w:tc>
          <w:tcPr>
            <w:tcW w:w="1779" w:type="dxa"/>
            <w:shd w:val="clear" w:color="auto" w:fill="auto"/>
            <w:vAlign w:val="center"/>
          </w:tcPr>
          <w:p w:rsidR="00D67E8E" w:rsidRPr="00D67E8E" w:rsidRDefault="00D67E8E" w:rsidP="00D67E8E">
            <w:pPr>
              <w:widowControl w:val="0"/>
              <w:autoSpaceDE w:val="0"/>
              <w:autoSpaceDN w:val="0"/>
              <w:adjustRightInd w:val="0"/>
              <w:spacing w:after="0" w:line="240" w:lineRule="auto"/>
              <w:jc w:val="right"/>
              <w:rPr>
                <w:rFonts w:ascii="Times New Roman" w:eastAsia="Times New Roman" w:hAnsi="Times New Roman"/>
                <w:sz w:val="24"/>
                <w:szCs w:val="26"/>
              </w:rPr>
            </w:pPr>
            <w:r>
              <w:rPr>
                <w:rFonts w:ascii="Times New Roman" w:eastAsia="Times New Roman" w:hAnsi="Times New Roman"/>
                <w:sz w:val="24"/>
                <w:szCs w:val="26"/>
              </w:rPr>
              <w:t>474</w:t>
            </w:r>
          </w:p>
        </w:tc>
        <w:tc>
          <w:tcPr>
            <w:tcW w:w="1959" w:type="dxa"/>
            <w:shd w:val="clear" w:color="auto" w:fill="auto"/>
            <w:vAlign w:val="center"/>
          </w:tcPr>
          <w:p w:rsidR="00D67E8E" w:rsidRPr="00D67E8E" w:rsidRDefault="00D67E8E" w:rsidP="00D67E8E">
            <w:pPr>
              <w:widowControl w:val="0"/>
              <w:autoSpaceDE w:val="0"/>
              <w:autoSpaceDN w:val="0"/>
              <w:adjustRightInd w:val="0"/>
              <w:spacing w:after="0" w:line="240" w:lineRule="auto"/>
              <w:jc w:val="right"/>
              <w:rPr>
                <w:rFonts w:ascii="Times New Roman" w:eastAsia="Times New Roman" w:hAnsi="Times New Roman"/>
                <w:sz w:val="24"/>
                <w:szCs w:val="26"/>
              </w:rPr>
            </w:pPr>
            <w:r>
              <w:rPr>
                <w:rFonts w:ascii="Times New Roman" w:eastAsia="Times New Roman" w:hAnsi="Times New Roman"/>
                <w:sz w:val="24"/>
                <w:szCs w:val="26"/>
              </w:rPr>
              <w:t>426</w:t>
            </w:r>
          </w:p>
        </w:tc>
        <w:tc>
          <w:tcPr>
            <w:tcW w:w="1958" w:type="dxa"/>
            <w:shd w:val="clear" w:color="auto" w:fill="auto"/>
            <w:vAlign w:val="center"/>
          </w:tcPr>
          <w:p w:rsidR="00D67E8E" w:rsidRPr="00D67E8E" w:rsidRDefault="00D67E8E" w:rsidP="00D67E8E">
            <w:pPr>
              <w:widowControl w:val="0"/>
              <w:autoSpaceDE w:val="0"/>
              <w:autoSpaceDN w:val="0"/>
              <w:adjustRightInd w:val="0"/>
              <w:spacing w:after="0" w:line="240" w:lineRule="auto"/>
              <w:jc w:val="right"/>
              <w:rPr>
                <w:rFonts w:ascii="Times New Roman" w:eastAsia="Times New Roman" w:hAnsi="Times New Roman"/>
                <w:sz w:val="24"/>
                <w:szCs w:val="26"/>
              </w:rPr>
            </w:pPr>
            <w:r>
              <w:rPr>
                <w:rFonts w:ascii="Times New Roman" w:eastAsia="Times New Roman" w:hAnsi="Times New Roman"/>
                <w:sz w:val="24"/>
                <w:szCs w:val="26"/>
              </w:rPr>
              <w:t>48</w:t>
            </w:r>
          </w:p>
        </w:tc>
        <w:tc>
          <w:tcPr>
            <w:tcW w:w="1960" w:type="dxa"/>
            <w:shd w:val="clear" w:color="auto" w:fill="auto"/>
            <w:vAlign w:val="center"/>
          </w:tcPr>
          <w:p w:rsidR="00D67E8E" w:rsidRPr="00D67E8E" w:rsidRDefault="00D67E8E" w:rsidP="00D67E8E">
            <w:pPr>
              <w:widowControl w:val="0"/>
              <w:autoSpaceDE w:val="0"/>
              <w:autoSpaceDN w:val="0"/>
              <w:adjustRightInd w:val="0"/>
              <w:spacing w:after="0" w:line="240" w:lineRule="auto"/>
              <w:jc w:val="right"/>
              <w:rPr>
                <w:rFonts w:ascii="Times New Roman" w:eastAsia="Times New Roman" w:hAnsi="Times New Roman"/>
                <w:sz w:val="24"/>
                <w:szCs w:val="26"/>
              </w:rPr>
            </w:pPr>
            <w:r>
              <w:rPr>
                <w:rFonts w:ascii="Times New Roman" w:eastAsia="Times New Roman" w:hAnsi="Times New Roman"/>
                <w:sz w:val="24"/>
                <w:szCs w:val="26"/>
              </w:rPr>
              <w:t>-</w:t>
            </w:r>
          </w:p>
        </w:tc>
      </w:tr>
      <w:tr w:rsidR="00D67E8E" w:rsidRPr="00D67E8E" w:rsidTr="006E3597">
        <w:trPr>
          <w:trHeight w:val="575"/>
        </w:trPr>
        <w:tc>
          <w:tcPr>
            <w:tcW w:w="2589" w:type="dxa"/>
            <w:shd w:val="clear" w:color="auto" w:fill="auto"/>
          </w:tcPr>
          <w:p w:rsidR="00D67E8E" w:rsidRPr="00D67E8E" w:rsidRDefault="00D67E8E" w:rsidP="00D67E8E">
            <w:pPr>
              <w:widowControl w:val="0"/>
              <w:autoSpaceDE w:val="0"/>
              <w:autoSpaceDN w:val="0"/>
              <w:adjustRightInd w:val="0"/>
              <w:spacing w:after="0" w:line="240" w:lineRule="auto"/>
              <w:jc w:val="center"/>
              <w:rPr>
                <w:rFonts w:ascii="Times New Roman" w:eastAsia="Times New Roman" w:hAnsi="Times New Roman"/>
                <w:sz w:val="24"/>
                <w:szCs w:val="26"/>
              </w:rPr>
            </w:pPr>
            <w:r w:rsidRPr="00D67E8E">
              <w:rPr>
                <w:rFonts w:ascii="Times New Roman" w:eastAsia="Times New Roman" w:hAnsi="Times New Roman"/>
                <w:sz w:val="24"/>
                <w:szCs w:val="26"/>
              </w:rPr>
              <w:t>Annual Time Burden (</w:t>
            </w:r>
            <w:proofErr w:type="spellStart"/>
            <w:r w:rsidRPr="00D67E8E">
              <w:rPr>
                <w:rFonts w:ascii="Times New Roman" w:eastAsia="Times New Roman" w:hAnsi="Times New Roman"/>
                <w:sz w:val="24"/>
                <w:szCs w:val="26"/>
              </w:rPr>
              <w:t>Hr</w:t>
            </w:r>
            <w:proofErr w:type="spellEnd"/>
            <w:r w:rsidRPr="00D67E8E">
              <w:rPr>
                <w:rFonts w:ascii="Times New Roman" w:eastAsia="Times New Roman" w:hAnsi="Times New Roman"/>
                <w:sz w:val="24"/>
                <w:szCs w:val="26"/>
              </w:rPr>
              <w:t>)</w:t>
            </w:r>
          </w:p>
        </w:tc>
        <w:tc>
          <w:tcPr>
            <w:tcW w:w="1779" w:type="dxa"/>
            <w:shd w:val="clear" w:color="auto" w:fill="auto"/>
            <w:vAlign w:val="center"/>
          </w:tcPr>
          <w:p w:rsidR="00D67E8E" w:rsidRPr="00D67E8E" w:rsidRDefault="00D67E8E" w:rsidP="003761F7">
            <w:pPr>
              <w:widowControl w:val="0"/>
              <w:autoSpaceDE w:val="0"/>
              <w:autoSpaceDN w:val="0"/>
              <w:adjustRightInd w:val="0"/>
              <w:spacing w:after="0" w:line="240" w:lineRule="auto"/>
              <w:jc w:val="right"/>
              <w:rPr>
                <w:rFonts w:ascii="Times New Roman" w:eastAsia="Times New Roman" w:hAnsi="Times New Roman"/>
                <w:sz w:val="24"/>
                <w:szCs w:val="26"/>
              </w:rPr>
            </w:pPr>
            <w:r>
              <w:rPr>
                <w:rFonts w:ascii="Times New Roman" w:eastAsia="Times New Roman" w:hAnsi="Times New Roman"/>
                <w:sz w:val="24"/>
                <w:szCs w:val="26"/>
              </w:rPr>
              <w:t>71,</w:t>
            </w:r>
            <w:r w:rsidR="003761F7">
              <w:rPr>
                <w:rFonts w:ascii="Times New Roman" w:eastAsia="Times New Roman" w:hAnsi="Times New Roman"/>
                <w:sz w:val="24"/>
                <w:szCs w:val="26"/>
              </w:rPr>
              <w:t>1</w:t>
            </w:r>
            <w:r>
              <w:rPr>
                <w:rFonts w:ascii="Times New Roman" w:eastAsia="Times New Roman" w:hAnsi="Times New Roman"/>
                <w:sz w:val="24"/>
                <w:szCs w:val="26"/>
              </w:rPr>
              <w:t>00</w:t>
            </w:r>
          </w:p>
        </w:tc>
        <w:tc>
          <w:tcPr>
            <w:tcW w:w="1959" w:type="dxa"/>
            <w:shd w:val="clear" w:color="auto" w:fill="auto"/>
            <w:vAlign w:val="center"/>
          </w:tcPr>
          <w:p w:rsidR="00D67E8E" w:rsidRPr="00D67E8E" w:rsidRDefault="00D67E8E" w:rsidP="00D67E8E">
            <w:pPr>
              <w:widowControl w:val="0"/>
              <w:autoSpaceDE w:val="0"/>
              <w:autoSpaceDN w:val="0"/>
              <w:adjustRightInd w:val="0"/>
              <w:spacing w:after="0" w:line="240" w:lineRule="auto"/>
              <w:jc w:val="right"/>
              <w:rPr>
                <w:rFonts w:ascii="Times New Roman" w:eastAsia="Times New Roman" w:hAnsi="Times New Roman"/>
                <w:sz w:val="24"/>
                <w:szCs w:val="26"/>
              </w:rPr>
            </w:pPr>
            <w:r>
              <w:rPr>
                <w:rFonts w:ascii="Times New Roman" w:eastAsia="Times New Roman" w:hAnsi="Times New Roman"/>
                <w:sz w:val="24"/>
                <w:szCs w:val="26"/>
              </w:rPr>
              <w:t>63,900</w:t>
            </w:r>
          </w:p>
        </w:tc>
        <w:tc>
          <w:tcPr>
            <w:tcW w:w="1958" w:type="dxa"/>
            <w:shd w:val="clear" w:color="auto" w:fill="auto"/>
            <w:vAlign w:val="center"/>
          </w:tcPr>
          <w:p w:rsidR="00D67E8E" w:rsidRPr="00D67E8E" w:rsidRDefault="00D67E8E" w:rsidP="00D67E8E">
            <w:pPr>
              <w:widowControl w:val="0"/>
              <w:autoSpaceDE w:val="0"/>
              <w:autoSpaceDN w:val="0"/>
              <w:adjustRightInd w:val="0"/>
              <w:spacing w:after="0" w:line="240" w:lineRule="auto"/>
              <w:jc w:val="right"/>
              <w:rPr>
                <w:rFonts w:ascii="Times New Roman" w:eastAsia="Times New Roman" w:hAnsi="Times New Roman"/>
                <w:sz w:val="24"/>
                <w:szCs w:val="26"/>
              </w:rPr>
            </w:pPr>
            <w:r>
              <w:rPr>
                <w:rFonts w:ascii="Times New Roman" w:eastAsia="Times New Roman" w:hAnsi="Times New Roman"/>
                <w:sz w:val="24"/>
                <w:szCs w:val="26"/>
              </w:rPr>
              <w:t>7,200</w:t>
            </w:r>
          </w:p>
        </w:tc>
        <w:tc>
          <w:tcPr>
            <w:tcW w:w="1960" w:type="dxa"/>
            <w:shd w:val="clear" w:color="auto" w:fill="auto"/>
            <w:vAlign w:val="center"/>
          </w:tcPr>
          <w:p w:rsidR="00D67E8E" w:rsidRPr="00D67E8E" w:rsidRDefault="00D67E8E" w:rsidP="00D67E8E">
            <w:pPr>
              <w:widowControl w:val="0"/>
              <w:autoSpaceDE w:val="0"/>
              <w:autoSpaceDN w:val="0"/>
              <w:adjustRightInd w:val="0"/>
              <w:spacing w:after="0" w:line="240" w:lineRule="auto"/>
              <w:jc w:val="right"/>
              <w:rPr>
                <w:rFonts w:ascii="Times New Roman" w:eastAsia="Times New Roman" w:hAnsi="Times New Roman"/>
                <w:sz w:val="24"/>
                <w:szCs w:val="26"/>
              </w:rPr>
            </w:pPr>
            <w:r>
              <w:rPr>
                <w:rFonts w:ascii="Times New Roman" w:eastAsia="Times New Roman" w:hAnsi="Times New Roman"/>
                <w:sz w:val="24"/>
                <w:szCs w:val="26"/>
              </w:rPr>
              <w:t>-</w:t>
            </w:r>
          </w:p>
        </w:tc>
      </w:tr>
      <w:tr w:rsidR="00D67E8E" w:rsidRPr="00D67E8E" w:rsidTr="006E3597">
        <w:trPr>
          <w:trHeight w:val="295"/>
        </w:trPr>
        <w:tc>
          <w:tcPr>
            <w:tcW w:w="2589" w:type="dxa"/>
            <w:tcBorders>
              <w:bottom w:val="single" w:sz="4" w:space="0" w:color="auto"/>
            </w:tcBorders>
            <w:shd w:val="clear" w:color="auto" w:fill="auto"/>
          </w:tcPr>
          <w:p w:rsidR="00D67E8E" w:rsidRPr="00D67E8E" w:rsidRDefault="00D67E8E" w:rsidP="00D67E8E">
            <w:pPr>
              <w:widowControl w:val="0"/>
              <w:autoSpaceDE w:val="0"/>
              <w:autoSpaceDN w:val="0"/>
              <w:adjustRightInd w:val="0"/>
              <w:spacing w:after="0" w:line="240" w:lineRule="auto"/>
              <w:jc w:val="center"/>
              <w:rPr>
                <w:rFonts w:ascii="Times New Roman" w:eastAsia="Times New Roman" w:hAnsi="Times New Roman"/>
                <w:sz w:val="24"/>
                <w:szCs w:val="26"/>
              </w:rPr>
            </w:pPr>
            <w:r w:rsidRPr="00D67E8E">
              <w:rPr>
                <w:rFonts w:ascii="Times New Roman" w:eastAsia="Times New Roman" w:hAnsi="Times New Roman"/>
                <w:sz w:val="24"/>
                <w:szCs w:val="26"/>
              </w:rPr>
              <w:t>Annual Cost Burden ($)</w:t>
            </w:r>
          </w:p>
        </w:tc>
        <w:tc>
          <w:tcPr>
            <w:tcW w:w="1779" w:type="dxa"/>
            <w:tcBorders>
              <w:bottom w:val="single" w:sz="4" w:space="0" w:color="auto"/>
            </w:tcBorders>
            <w:shd w:val="clear" w:color="auto" w:fill="auto"/>
            <w:vAlign w:val="center"/>
          </w:tcPr>
          <w:p w:rsidR="00D67E8E" w:rsidRPr="00D67E8E" w:rsidRDefault="00D67E8E" w:rsidP="00D67E8E">
            <w:pPr>
              <w:widowControl w:val="0"/>
              <w:autoSpaceDE w:val="0"/>
              <w:autoSpaceDN w:val="0"/>
              <w:adjustRightInd w:val="0"/>
              <w:spacing w:after="0" w:line="240" w:lineRule="auto"/>
              <w:jc w:val="right"/>
              <w:rPr>
                <w:rFonts w:ascii="Times New Roman" w:eastAsia="Times New Roman" w:hAnsi="Times New Roman"/>
                <w:sz w:val="24"/>
                <w:szCs w:val="26"/>
              </w:rPr>
            </w:pPr>
            <w:r>
              <w:rPr>
                <w:rFonts w:ascii="Times New Roman" w:eastAsia="Times New Roman" w:hAnsi="Times New Roman"/>
                <w:sz w:val="24"/>
                <w:szCs w:val="26"/>
              </w:rPr>
              <w:t>$0</w:t>
            </w:r>
          </w:p>
        </w:tc>
        <w:tc>
          <w:tcPr>
            <w:tcW w:w="1959" w:type="dxa"/>
            <w:tcBorders>
              <w:bottom w:val="single" w:sz="4" w:space="0" w:color="auto"/>
            </w:tcBorders>
            <w:shd w:val="clear" w:color="auto" w:fill="auto"/>
            <w:vAlign w:val="center"/>
          </w:tcPr>
          <w:p w:rsidR="00D67E8E" w:rsidRPr="00D67E8E" w:rsidRDefault="00D67E8E" w:rsidP="00D67E8E">
            <w:pPr>
              <w:widowControl w:val="0"/>
              <w:autoSpaceDE w:val="0"/>
              <w:autoSpaceDN w:val="0"/>
              <w:adjustRightInd w:val="0"/>
              <w:spacing w:after="0" w:line="240" w:lineRule="auto"/>
              <w:jc w:val="right"/>
              <w:rPr>
                <w:rFonts w:ascii="Times New Roman" w:eastAsia="Times New Roman" w:hAnsi="Times New Roman"/>
                <w:sz w:val="24"/>
                <w:szCs w:val="26"/>
              </w:rPr>
            </w:pPr>
            <w:r>
              <w:rPr>
                <w:rFonts w:ascii="Times New Roman" w:eastAsia="Times New Roman" w:hAnsi="Times New Roman"/>
                <w:sz w:val="24"/>
                <w:szCs w:val="26"/>
              </w:rPr>
              <w:t>$4,235,931</w:t>
            </w:r>
          </w:p>
        </w:tc>
        <w:tc>
          <w:tcPr>
            <w:tcW w:w="1958" w:type="dxa"/>
            <w:tcBorders>
              <w:bottom w:val="single" w:sz="4" w:space="0" w:color="auto"/>
            </w:tcBorders>
            <w:shd w:val="clear" w:color="auto" w:fill="auto"/>
            <w:vAlign w:val="center"/>
          </w:tcPr>
          <w:p w:rsidR="00D67E8E" w:rsidRPr="00D67E8E" w:rsidRDefault="00D67E8E" w:rsidP="00D67E8E">
            <w:pPr>
              <w:widowControl w:val="0"/>
              <w:autoSpaceDE w:val="0"/>
              <w:autoSpaceDN w:val="0"/>
              <w:adjustRightInd w:val="0"/>
              <w:spacing w:after="0" w:line="240" w:lineRule="auto"/>
              <w:jc w:val="right"/>
              <w:rPr>
                <w:rFonts w:ascii="Times New Roman" w:eastAsia="Times New Roman" w:hAnsi="Times New Roman"/>
                <w:sz w:val="24"/>
                <w:szCs w:val="26"/>
              </w:rPr>
            </w:pPr>
            <w:r>
              <w:rPr>
                <w:rFonts w:ascii="Times New Roman" w:eastAsia="Times New Roman" w:hAnsi="Times New Roman"/>
                <w:sz w:val="24"/>
                <w:szCs w:val="26"/>
              </w:rPr>
              <w:t>-$4,235,931</w:t>
            </w:r>
          </w:p>
        </w:tc>
        <w:tc>
          <w:tcPr>
            <w:tcW w:w="1960" w:type="dxa"/>
            <w:tcBorders>
              <w:bottom w:val="single" w:sz="4" w:space="0" w:color="auto"/>
            </w:tcBorders>
            <w:shd w:val="clear" w:color="auto" w:fill="auto"/>
            <w:vAlign w:val="center"/>
          </w:tcPr>
          <w:p w:rsidR="00D67E8E" w:rsidRPr="00D67E8E" w:rsidRDefault="00D67E8E" w:rsidP="00D67E8E">
            <w:pPr>
              <w:widowControl w:val="0"/>
              <w:autoSpaceDE w:val="0"/>
              <w:autoSpaceDN w:val="0"/>
              <w:adjustRightInd w:val="0"/>
              <w:spacing w:after="0" w:line="240" w:lineRule="auto"/>
              <w:jc w:val="right"/>
              <w:rPr>
                <w:rFonts w:ascii="Times New Roman" w:eastAsia="Times New Roman" w:hAnsi="Times New Roman"/>
                <w:sz w:val="24"/>
                <w:szCs w:val="26"/>
              </w:rPr>
            </w:pPr>
            <w:r>
              <w:rPr>
                <w:rFonts w:ascii="Times New Roman" w:eastAsia="Times New Roman" w:hAnsi="Times New Roman"/>
                <w:sz w:val="24"/>
                <w:szCs w:val="26"/>
              </w:rPr>
              <w:t>-</w:t>
            </w:r>
          </w:p>
        </w:tc>
      </w:tr>
    </w:tbl>
    <w:p w:rsidR="00D67E8E" w:rsidRDefault="00D67E8E" w:rsidP="004C1C7D">
      <w:pPr>
        <w:widowControl w:val="0"/>
        <w:autoSpaceDE w:val="0"/>
        <w:autoSpaceDN w:val="0"/>
        <w:adjustRightInd w:val="0"/>
        <w:spacing w:after="0"/>
        <w:rPr>
          <w:rFonts w:ascii="Times New Roman" w:hAnsi="Times New Roman"/>
          <w:sz w:val="24"/>
          <w:szCs w:val="24"/>
        </w:rPr>
      </w:pPr>
    </w:p>
    <w:p w:rsidR="00F2092A" w:rsidRPr="00F2092A" w:rsidRDefault="00F2092A" w:rsidP="004C1C7D">
      <w:pPr>
        <w:widowControl w:val="0"/>
        <w:autoSpaceDE w:val="0"/>
        <w:autoSpaceDN w:val="0"/>
        <w:adjustRightInd w:val="0"/>
        <w:spacing w:after="0"/>
        <w:rPr>
          <w:rFonts w:ascii="Times New Roman" w:eastAsia="Times New Roman" w:hAnsi="Times New Roman"/>
          <w:sz w:val="24"/>
          <w:szCs w:val="24"/>
        </w:rPr>
      </w:pPr>
      <w:r w:rsidRPr="00F2092A">
        <w:rPr>
          <w:rFonts w:ascii="Times New Roman" w:eastAsia="Times New Roman" w:hAnsi="Times New Roman"/>
          <w:sz w:val="24"/>
          <w:szCs w:val="24"/>
        </w:rPr>
        <w:t>With the clearance package, the cost to industry is displayed using the unit of burden hours.  In accordance with the “ROCIS HOW TO Guide for Agency Users of the Information Collection Request (ICR) Module”, users should not report as a dollar cost any burden reported in hours</w:t>
      </w:r>
      <w:r w:rsidRPr="00F2092A">
        <w:rPr>
          <w:rFonts w:ascii="Times New Roman" w:eastAsia="Times New Roman" w:hAnsi="Times New Roman"/>
          <w:b/>
          <w:sz w:val="26"/>
          <w:szCs w:val="26"/>
          <w:vertAlign w:val="superscript"/>
        </w:rPr>
        <w:footnoteReference w:id="9"/>
      </w:r>
      <w:r w:rsidRPr="00F2092A">
        <w:rPr>
          <w:rFonts w:ascii="Times New Roman" w:eastAsia="Times New Roman" w:hAnsi="Times New Roman"/>
          <w:sz w:val="24"/>
          <w:szCs w:val="24"/>
        </w:rPr>
        <w:t>.  Therefore, Commission staff corrected the industry’s annual cost burden within the ROCIS metadata to show that the Commission associates no cost to capital investment or other non-labor costs.  The Commission estimates the monetary cost related to the burden hours in #1</w:t>
      </w:r>
      <w:r w:rsidR="00D67E8E">
        <w:rPr>
          <w:rFonts w:ascii="Times New Roman" w:eastAsia="Times New Roman" w:hAnsi="Times New Roman"/>
          <w:sz w:val="24"/>
          <w:szCs w:val="24"/>
        </w:rPr>
        <w:t>2</w:t>
      </w:r>
      <w:r w:rsidRPr="00F2092A">
        <w:rPr>
          <w:rFonts w:ascii="Times New Roman" w:eastAsia="Times New Roman" w:hAnsi="Times New Roman"/>
          <w:sz w:val="24"/>
          <w:szCs w:val="24"/>
        </w:rPr>
        <w:t xml:space="preserve"> (above).  This was done e</w:t>
      </w:r>
      <w:r w:rsidR="00035789">
        <w:rPr>
          <w:rFonts w:ascii="Times New Roman" w:eastAsia="Times New Roman" w:hAnsi="Times New Roman"/>
          <w:sz w:val="24"/>
          <w:szCs w:val="24"/>
        </w:rPr>
        <w:t xml:space="preserve">rroneously in previous FERC Form </w:t>
      </w:r>
      <w:r w:rsidR="00926850">
        <w:rPr>
          <w:rFonts w:ascii="Times New Roman" w:eastAsia="Times New Roman" w:hAnsi="Times New Roman"/>
          <w:sz w:val="24"/>
          <w:szCs w:val="24"/>
        </w:rPr>
        <w:t xml:space="preserve">No. </w:t>
      </w:r>
      <w:r w:rsidR="00035789">
        <w:rPr>
          <w:rFonts w:ascii="Times New Roman" w:eastAsia="Times New Roman" w:hAnsi="Times New Roman"/>
          <w:sz w:val="24"/>
          <w:szCs w:val="24"/>
        </w:rPr>
        <w:t>6-Q</w:t>
      </w:r>
      <w:r>
        <w:rPr>
          <w:rFonts w:ascii="Times New Roman" w:eastAsia="Times New Roman" w:hAnsi="Times New Roman"/>
          <w:sz w:val="24"/>
          <w:szCs w:val="24"/>
        </w:rPr>
        <w:t xml:space="preserve"> </w:t>
      </w:r>
      <w:r w:rsidRPr="00F2092A">
        <w:rPr>
          <w:rFonts w:ascii="Times New Roman" w:eastAsia="Times New Roman" w:hAnsi="Times New Roman"/>
          <w:sz w:val="24"/>
          <w:szCs w:val="24"/>
        </w:rPr>
        <w:t>supporting statements.  Commission staff corrected the error within the current proposed clearance package</w:t>
      </w:r>
      <w:r w:rsidR="00D67E8E">
        <w:rPr>
          <w:rFonts w:ascii="Times New Roman" w:eastAsia="Times New Roman" w:hAnsi="Times New Roman"/>
          <w:sz w:val="24"/>
          <w:szCs w:val="24"/>
        </w:rPr>
        <w:t>, which is why the above table shows a removal of $4,235,931 in annual cost burden</w:t>
      </w:r>
      <w:r w:rsidRPr="00F2092A">
        <w:rPr>
          <w:rFonts w:ascii="Times New Roman" w:eastAsia="Times New Roman" w:hAnsi="Times New Roman"/>
          <w:sz w:val="24"/>
          <w:szCs w:val="24"/>
        </w:rPr>
        <w:t>.</w:t>
      </w:r>
    </w:p>
    <w:p w:rsidR="00F2092A" w:rsidRPr="000B2C9D" w:rsidRDefault="00F2092A" w:rsidP="00A276F5">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TIME SCHEDULE FOR PUBLICATION OF DATA</w:t>
      </w:r>
    </w:p>
    <w:p w:rsidR="004C1C7D" w:rsidRDefault="004C1C7D" w:rsidP="004C1C7D">
      <w:pPr>
        <w:spacing w:after="0"/>
        <w:rPr>
          <w:rFonts w:ascii="Times New Roman" w:hAnsi="Times New Roman"/>
          <w:sz w:val="24"/>
          <w:szCs w:val="24"/>
        </w:rPr>
      </w:pPr>
    </w:p>
    <w:p w:rsidR="009349F8" w:rsidRPr="000B2C9D" w:rsidRDefault="009349F8" w:rsidP="004C1C7D">
      <w:pPr>
        <w:spacing w:after="0"/>
        <w:rPr>
          <w:rFonts w:ascii="Times New Roman" w:hAnsi="Times New Roman"/>
          <w:sz w:val="24"/>
          <w:szCs w:val="24"/>
        </w:rPr>
      </w:pPr>
      <w:r w:rsidRPr="000B2C9D">
        <w:rPr>
          <w:rFonts w:ascii="Times New Roman" w:hAnsi="Times New Roman"/>
          <w:sz w:val="24"/>
          <w:szCs w:val="24"/>
        </w:rPr>
        <w:lastRenderedPageBreak/>
        <w:t>There are no tabulating, statistical or tabulating analysis or publication plans for the collection of information.  The Commission uses the data for regulatory purposes only.</w:t>
      </w:r>
    </w:p>
    <w:p w:rsidR="009349F8" w:rsidRPr="000B2C9D" w:rsidRDefault="009349F8" w:rsidP="00414F32">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DISPLAY OF EXPIRATION DATE</w:t>
      </w:r>
    </w:p>
    <w:p w:rsidR="004C1C7D" w:rsidRDefault="004C1C7D" w:rsidP="004C1C7D">
      <w:pPr>
        <w:tabs>
          <w:tab w:val="left" w:pos="-1440"/>
        </w:tabs>
        <w:autoSpaceDE w:val="0"/>
        <w:autoSpaceDN w:val="0"/>
        <w:adjustRightInd w:val="0"/>
        <w:spacing w:after="0"/>
        <w:rPr>
          <w:rFonts w:ascii="Times New Roman" w:hAnsi="Times New Roman"/>
          <w:sz w:val="24"/>
          <w:szCs w:val="24"/>
        </w:rPr>
      </w:pPr>
    </w:p>
    <w:p w:rsidR="009349F8" w:rsidRPr="000B2C9D" w:rsidRDefault="00035789" w:rsidP="004C1C7D">
      <w:pPr>
        <w:tabs>
          <w:tab w:val="left" w:pos="-1440"/>
        </w:tabs>
        <w:autoSpaceDE w:val="0"/>
        <w:autoSpaceDN w:val="0"/>
        <w:adjustRightInd w:val="0"/>
        <w:spacing w:after="0"/>
        <w:rPr>
          <w:rFonts w:ascii="Times New Roman" w:hAnsi="Times New Roman"/>
          <w:sz w:val="24"/>
          <w:szCs w:val="24"/>
        </w:rPr>
      </w:pPr>
      <w:r>
        <w:rPr>
          <w:rFonts w:ascii="Times New Roman" w:hAnsi="Times New Roman"/>
          <w:sz w:val="24"/>
          <w:szCs w:val="24"/>
        </w:rPr>
        <w:t xml:space="preserve">The Commission’s website displays the expiration date in the information portion of the </w:t>
      </w:r>
      <w:r w:rsidR="00FE59C1">
        <w:rPr>
          <w:rFonts w:ascii="Times New Roman" w:hAnsi="Times New Roman"/>
          <w:sz w:val="24"/>
          <w:szCs w:val="24"/>
        </w:rPr>
        <w:t xml:space="preserve">FERC </w:t>
      </w:r>
      <w:r>
        <w:rPr>
          <w:rFonts w:ascii="Times New Roman" w:hAnsi="Times New Roman"/>
          <w:sz w:val="24"/>
          <w:szCs w:val="24"/>
        </w:rPr>
        <w:t>Form</w:t>
      </w:r>
      <w:r w:rsidR="00FE59C1">
        <w:rPr>
          <w:rFonts w:ascii="Times New Roman" w:hAnsi="Times New Roman"/>
          <w:sz w:val="24"/>
          <w:szCs w:val="24"/>
        </w:rPr>
        <w:t xml:space="preserve"> No.</w:t>
      </w:r>
      <w:r>
        <w:rPr>
          <w:rFonts w:ascii="Times New Roman" w:hAnsi="Times New Roman"/>
          <w:sz w:val="24"/>
          <w:szCs w:val="24"/>
        </w:rPr>
        <w:t xml:space="preserve"> 6-Q’s web posting viewable here: </w:t>
      </w:r>
      <w:hyperlink r:id="rId11" w:anchor="6Q" w:history="1">
        <w:r w:rsidRPr="00E73B32">
          <w:rPr>
            <w:rStyle w:val="Hyperlink"/>
            <w:rFonts w:ascii="Times New Roman" w:hAnsi="Times New Roman"/>
            <w:sz w:val="24"/>
            <w:szCs w:val="24"/>
          </w:rPr>
          <w:t>http://www.ferc.gov/docs-filing/forms.asp#6Q</w:t>
        </w:r>
      </w:hyperlink>
      <w:r>
        <w:rPr>
          <w:rFonts w:ascii="Times New Roman" w:hAnsi="Times New Roman"/>
          <w:sz w:val="24"/>
          <w:szCs w:val="24"/>
        </w:rPr>
        <w:t xml:space="preserve">.  Additionally, the FERC Form </w:t>
      </w:r>
      <w:r w:rsidR="00FE59C1">
        <w:rPr>
          <w:rFonts w:ascii="Times New Roman" w:hAnsi="Times New Roman"/>
          <w:sz w:val="24"/>
          <w:szCs w:val="24"/>
        </w:rPr>
        <w:t xml:space="preserve">No. </w:t>
      </w:r>
      <w:r>
        <w:rPr>
          <w:rFonts w:ascii="Times New Roman" w:hAnsi="Times New Roman"/>
          <w:sz w:val="24"/>
          <w:szCs w:val="24"/>
        </w:rPr>
        <w:t>6-Q displays the expiration date in the upper right-hand corner of the first page.</w:t>
      </w:r>
    </w:p>
    <w:p w:rsidR="009349F8" w:rsidRPr="000B2C9D" w:rsidRDefault="009349F8" w:rsidP="00414F32">
      <w:pPr>
        <w:spacing w:after="0"/>
        <w:rPr>
          <w:rFonts w:ascii="Times New Roman" w:hAnsi="Times New Roman"/>
          <w:sz w:val="24"/>
          <w:szCs w:val="24"/>
        </w:rPr>
      </w:pPr>
    </w:p>
    <w:p w:rsidR="009349F8" w:rsidRDefault="009349F8" w:rsidP="00FB5D48">
      <w:pPr>
        <w:pStyle w:val="ListParagraph"/>
        <w:numPr>
          <w:ilvl w:val="0"/>
          <w:numId w:val="41"/>
        </w:numPr>
        <w:spacing w:after="0"/>
        <w:ind w:left="360"/>
        <w:rPr>
          <w:rFonts w:ascii="Times New Roman" w:hAnsi="Times New Roman"/>
          <w:b/>
          <w:sz w:val="24"/>
          <w:szCs w:val="24"/>
        </w:rPr>
      </w:pPr>
      <w:r w:rsidRPr="000B2C9D">
        <w:rPr>
          <w:rFonts w:ascii="Times New Roman" w:hAnsi="Times New Roman"/>
          <w:b/>
          <w:sz w:val="24"/>
          <w:szCs w:val="24"/>
        </w:rPr>
        <w:t>EXCEPTIONS TO THE CERTIFICATION STATEMENT</w:t>
      </w:r>
    </w:p>
    <w:p w:rsidR="004C1C7D" w:rsidRDefault="004C1C7D" w:rsidP="004C1C7D">
      <w:pPr>
        <w:widowControl w:val="0"/>
        <w:autoSpaceDE w:val="0"/>
        <w:autoSpaceDN w:val="0"/>
        <w:adjustRightInd w:val="0"/>
        <w:spacing w:after="0"/>
        <w:rPr>
          <w:rFonts w:ascii="Times New Roman" w:hAnsi="Times New Roman"/>
          <w:b/>
          <w:sz w:val="24"/>
          <w:szCs w:val="24"/>
        </w:rPr>
      </w:pPr>
    </w:p>
    <w:p w:rsidR="00FB5D48" w:rsidRPr="00FB5D48" w:rsidRDefault="00FB5D48" w:rsidP="004C1C7D">
      <w:pPr>
        <w:widowControl w:val="0"/>
        <w:autoSpaceDE w:val="0"/>
        <w:autoSpaceDN w:val="0"/>
        <w:adjustRightInd w:val="0"/>
        <w:spacing w:after="0"/>
        <w:rPr>
          <w:rFonts w:ascii="Times New Roman" w:eastAsia="Times New Roman" w:hAnsi="Times New Roman"/>
          <w:sz w:val="24"/>
          <w:szCs w:val="24"/>
        </w:rPr>
      </w:pPr>
      <w:r w:rsidRPr="00FB5D48">
        <w:rPr>
          <w:rFonts w:ascii="Times New Roman" w:eastAsia="Times New Roman" w:hAnsi="Times New Roman"/>
          <w:sz w:val="24"/>
          <w:szCs w:val="24"/>
        </w:rPr>
        <w:t>The Commission does not use the data collected for this reporting requirement for statistical purposes.  Therefore, the Commission does not use as stated in item (i) of the certification to OMB "effective and efficient statistical survey methodology."  The information collected is case</w:t>
      </w:r>
      <w:r w:rsidR="003A6D60">
        <w:rPr>
          <w:rFonts w:ascii="Times New Roman" w:eastAsia="Times New Roman" w:hAnsi="Times New Roman"/>
          <w:sz w:val="24"/>
          <w:szCs w:val="24"/>
        </w:rPr>
        <w:t>-</w:t>
      </w:r>
      <w:r w:rsidRPr="00FB5D48">
        <w:rPr>
          <w:rFonts w:ascii="Times New Roman" w:eastAsia="Times New Roman" w:hAnsi="Times New Roman"/>
          <w:sz w:val="24"/>
          <w:szCs w:val="24"/>
        </w:rPr>
        <w:t xml:space="preserve"> specific to each information collection.</w:t>
      </w:r>
    </w:p>
    <w:p w:rsidR="009349F8" w:rsidRPr="000B2C9D" w:rsidRDefault="009349F8" w:rsidP="00FB5D48">
      <w:pPr>
        <w:spacing w:after="0"/>
        <w:rPr>
          <w:rFonts w:ascii="Times New Roman" w:hAnsi="Times New Roman"/>
          <w:sz w:val="24"/>
          <w:szCs w:val="24"/>
        </w:rPr>
      </w:pPr>
    </w:p>
    <w:sectPr w:rsidR="009349F8" w:rsidRPr="000B2C9D" w:rsidSect="0076155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58A" w:rsidRDefault="0018558A" w:rsidP="00FD66F1">
      <w:pPr>
        <w:spacing w:after="0" w:line="240" w:lineRule="auto"/>
      </w:pPr>
      <w:r>
        <w:separator/>
      </w:r>
    </w:p>
  </w:endnote>
  <w:endnote w:type="continuationSeparator" w:id="0">
    <w:p w:rsidR="0018558A" w:rsidRDefault="0018558A" w:rsidP="00FD66F1">
      <w:pPr>
        <w:spacing w:after="0" w:line="240" w:lineRule="auto"/>
      </w:pPr>
      <w:r>
        <w:continuationSeparator/>
      </w:r>
    </w:p>
  </w:endnote>
  <w:endnote w:type="continuationNotice" w:id="1">
    <w:p w:rsidR="0018558A" w:rsidRDefault="001855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576497"/>
      <w:docPartObj>
        <w:docPartGallery w:val="Page Numbers (Bottom of Page)"/>
        <w:docPartUnique/>
      </w:docPartObj>
    </w:sdtPr>
    <w:sdtEndPr>
      <w:rPr>
        <w:rFonts w:ascii="Times New Roman" w:hAnsi="Times New Roman"/>
        <w:noProof/>
        <w:sz w:val="24"/>
        <w:szCs w:val="24"/>
      </w:rPr>
    </w:sdtEndPr>
    <w:sdtContent>
      <w:p w:rsidR="003D547E" w:rsidRPr="003849F1" w:rsidRDefault="003D547E">
        <w:pPr>
          <w:pStyle w:val="Footer"/>
          <w:jc w:val="right"/>
          <w:rPr>
            <w:rFonts w:ascii="Times New Roman" w:hAnsi="Times New Roman"/>
            <w:sz w:val="24"/>
            <w:szCs w:val="24"/>
          </w:rPr>
        </w:pPr>
        <w:r w:rsidRPr="003849F1">
          <w:rPr>
            <w:rFonts w:ascii="Times New Roman" w:hAnsi="Times New Roman"/>
            <w:sz w:val="24"/>
            <w:szCs w:val="24"/>
          </w:rPr>
          <w:fldChar w:fldCharType="begin"/>
        </w:r>
        <w:r w:rsidRPr="003849F1">
          <w:rPr>
            <w:rFonts w:ascii="Times New Roman" w:hAnsi="Times New Roman"/>
            <w:sz w:val="24"/>
            <w:szCs w:val="24"/>
          </w:rPr>
          <w:instrText xml:space="preserve"> PAGE   \* MERGEFORMAT </w:instrText>
        </w:r>
        <w:r w:rsidRPr="003849F1">
          <w:rPr>
            <w:rFonts w:ascii="Times New Roman" w:hAnsi="Times New Roman"/>
            <w:sz w:val="24"/>
            <w:szCs w:val="24"/>
          </w:rPr>
          <w:fldChar w:fldCharType="separate"/>
        </w:r>
        <w:r w:rsidR="002E17FE">
          <w:rPr>
            <w:rFonts w:ascii="Times New Roman" w:hAnsi="Times New Roman"/>
            <w:noProof/>
            <w:sz w:val="24"/>
            <w:szCs w:val="24"/>
          </w:rPr>
          <w:t>4</w:t>
        </w:r>
        <w:r w:rsidRPr="003849F1">
          <w:rPr>
            <w:rFonts w:ascii="Times New Roman" w:hAnsi="Times New Roman"/>
            <w:noProof/>
            <w:sz w:val="24"/>
            <w:szCs w:val="24"/>
          </w:rPr>
          <w:fldChar w:fldCharType="end"/>
        </w:r>
      </w:p>
    </w:sdtContent>
  </w:sdt>
  <w:p w:rsidR="003D547E" w:rsidRDefault="003D54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58A" w:rsidRDefault="0018558A" w:rsidP="00FD66F1">
      <w:pPr>
        <w:spacing w:after="0" w:line="240" w:lineRule="auto"/>
      </w:pPr>
      <w:r>
        <w:separator/>
      </w:r>
    </w:p>
  </w:footnote>
  <w:footnote w:type="continuationSeparator" w:id="0">
    <w:p w:rsidR="0018558A" w:rsidRDefault="0018558A" w:rsidP="00FD66F1">
      <w:pPr>
        <w:spacing w:after="0" w:line="240" w:lineRule="auto"/>
      </w:pPr>
      <w:r>
        <w:continuationSeparator/>
      </w:r>
    </w:p>
  </w:footnote>
  <w:footnote w:type="continuationNotice" w:id="1">
    <w:p w:rsidR="0018558A" w:rsidRDefault="0018558A">
      <w:pPr>
        <w:spacing w:after="0" w:line="240" w:lineRule="auto"/>
      </w:pPr>
    </w:p>
  </w:footnote>
  <w:footnote w:id="2">
    <w:p w:rsidR="0018558A" w:rsidRPr="00C160D1" w:rsidRDefault="0018558A" w:rsidP="00C160D1">
      <w:pPr>
        <w:pStyle w:val="FootnoteText"/>
      </w:pPr>
      <w:r w:rsidRPr="00C160D1">
        <w:rPr>
          <w:rStyle w:val="FootnoteReference"/>
        </w:rPr>
        <w:footnoteRef/>
      </w:r>
      <w:r>
        <w:t xml:space="preserve"> 78</w:t>
      </w:r>
      <w:r w:rsidRPr="00C160D1">
        <w:t xml:space="preserve"> FR </w:t>
      </w:r>
      <w:r>
        <w:t>8500</w:t>
      </w:r>
    </w:p>
  </w:footnote>
  <w:footnote w:id="3">
    <w:p w:rsidR="0018558A" w:rsidRPr="00C160D1" w:rsidRDefault="0018558A" w:rsidP="00C160D1">
      <w:pPr>
        <w:pStyle w:val="FootnoteText"/>
      </w:pPr>
      <w:r w:rsidRPr="00C160D1">
        <w:rPr>
          <w:rStyle w:val="FootnoteReference"/>
        </w:rPr>
        <w:footnoteRef/>
      </w:r>
      <w:r w:rsidRPr="00C160D1">
        <w:t xml:space="preserve"> </w:t>
      </w:r>
      <w:r w:rsidRPr="004C1C7D">
        <w:t>78 FR 24187</w:t>
      </w:r>
    </w:p>
  </w:footnote>
  <w:footnote w:id="4">
    <w:p w:rsidR="0018558A" w:rsidRPr="00C160D1" w:rsidRDefault="0018558A" w:rsidP="00C160D1">
      <w:pPr>
        <w:pStyle w:val="FootnoteText"/>
      </w:pPr>
      <w:r w:rsidRPr="00C160D1">
        <w:rPr>
          <w:rStyle w:val="FootnoteReference"/>
        </w:rPr>
        <w:footnoteRef/>
      </w:r>
      <w:r w:rsidRPr="00C160D1">
        <w:t xml:space="preserve"> 18 CFR 388.112</w:t>
      </w:r>
    </w:p>
  </w:footnote>
  <w:footnote w:id="5">
    <w:p w:rsidR="0018558A" w:rsidRPr="00C160D1" w:rsidRDefault="0018558A" w:rsidP="00C160D1">
      <w:pPr>
        <w:pStyle w:val="FootnoteText"/>
      </w:pPr>
      <w:r w:rsidRPr="00C160D1">
        <w:rPr>
          <w:rStyle w:val="FootnoteReference"/>
        </w:rPr>
        <w:footnoteRef/>
      </w:r>
      <w:r w:rsidRPr="00C160D1">
        <w:t xml:space="preserve"> This figure is rounded to the </w:t>
      </w:r>
      <w:r w:rsidRPr="00C51B04">
        <w:t>nearest dollar</w:t>
      </w:r>
      <w:r>
        <w:t>.</w:t>
      </w:r>
    </w:p>
  </w:footnote>
  <w:footnote w:id="6">
    <w:p w:rsidR="0018558A" w:rsidRPr="00D22318" w:rsidRDefault="0018558A" w:rsidP="00D22318">
      <w:pPr>
        <w:pStyle w:val="FootnoteText"/>
      </w:pPr>
      <w:r w:rsidRPr="00C160D1">
        <w:rPr>
          <w:rStyle w:val="FootnoteReference"/>
        </w:rPr>
        <w:footnoteRef/>
      </w:r>
      <w:r w:rsidRPr="00C160D1">
        <w:t xml:space="preserve"> Based upon 2013</w:t>
      </w:r>
      <w:r w:rsidRPr="00D22318">
        <w:t xml:space="preserve"> FTE average salary plus </w:t>
      </w:r>
      <w:r w:rsidRPr="00EA4E2E">
        <w:t>benefits ($14</w:t>
      </w:r>
      <w:r>
        <w:t>5</w:t>
      </w:r>
      <w:r w:rsidRPr="00EA4E2E">
        <w:t>,</w:t>
      </w:r>
      <w:r>
        <w:t>818</w:t>
      </w:r>
      <w:r w:rsidRPr="00EA4E2E">
        <w:t>)</w:t>
      </w:r>
    </w:p>
  </w:footnote>
  <w:footnote w:id="7">
    <w:p w:rsidR="0018558A" w:rsidRPr="00D22318" w:rsidRDefault="0018558A" w:rsidP="00D22318">
      <w:pPr>
        <w:pStyle w:val="FootnoteText"/>
      </w:pPr>
      <w:r w:rsidRPr="00C160D1">
        <w:rPr>
          <w:rStyle w:val="FootnoteReference"/>
        </w:rPr>
        <w:footnoteRef/>
      </w:r>
      <w:r w:rsidRPr="00C160D1">
        <w:t xml:space="preserve"> Paperwork Reduction Act of 1995 (PRA)</w:t>
      </w:r>
    </w:p>
  </w:footnote>
  <w:footnote w:id="8">
    <w:p w:rsidR="0018558A" w:rsidRPr="00D22318" w:rsidRDefault="0018558A" w:rsidP="00D22318">
      <w:pPr>
        <w:pStyle w:val="FootnoteText"/>
      </w:pPr>
      <w:r w:rsidRPr="00C160D1">
        <w:rPr>
          <w:rStyle w:val="FootnoteReference"/>
        </w:rPr>
        <w:footnoteRef/>
      </w:r>
      <w:r w:rsidRPr="00C160D1">
        <w:t xml:space="preserve"> Based upon Commission staff time/effort</w:t>
      </w:r>
      <w:r>
        <w:t xml:space="preserve"> and Federal Register costs</w:t>
      </w:r>
    </w:p>
  </w:footnote>
  <w:footnote w:id="9">
    <w:p w:rsidR="0018558A" w:rsidRPr="003F643B" w:rsidRDefault="0018558A" w:rsidP="00F2092A">
      <w:pPr>
        <w:pStyle w:val="FootnoteText"/>
      </w:pPr>
      <w:r w:rsidRPr="003F643B">
        <w:rPr>
          <w:rStyle w:val="FootnoteReference"/>
        </w:rPr>
        <w:footnoteRef/>
      </w:r>
      <w:r w:rsidRPr="003F643B">
        <w:t xml:space="preserve"> </w:t>
      </w:r>
      <w:hyperlink r:id="rId1" w:history="1">
        <w:r w:rsidRPr="003F643B">
          <w:rPr>
            <w:rStyle w:val="Hyperlink"/>
          </w:rPr>
          <w:t>https://www.rocis.gov/rocis/jsp/common/ROCIS_HOW_TO_Guide_for_AGENCY_Users_of_ICR_Module-03192012_v2.pdf</w:t>
        </w:r>
      </w:hyperlink>
      <w:r w:rsidRPr="003F643B">
        <w:t>, p.37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58A" w:rsidRDefault="0018558A">
    <w:pPr>
      <w:pStyle w:val="Header"/>
    </w:pPr>
    <w:r>
      <w:rPr>
        <w:rFonts w:ascii="Times New Roman" w:hAnsi="Times New Roman"/>
        <w:sz w:val="24"/>
        <w:szCs w:val="24"/>
      </w:rPr>
      <w:t>FERC Form No. 6-Q (OMB Control No. 1902-0206)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36CD1C"/>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11542E00"/>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CC046D5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2D50A70E"/>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C9DC7C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EF4F8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2CAAB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386D20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4E2BE68"/>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ECDC437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E6A5409"/>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2">
    <w:nsid w:val="4FCC1895"/>
    <w:multiLevelType w:val="hybridMultilevel"/>
    <w:tmpl w:val="632C2E0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EE719D3"/>
    <w:multiLevelType w:val="hybridMultilevel"/>
    <w:tmpl w:val="B9A2F77C"/>
    <w:lvl w:ilvl="0" w:tplc="E4FAF836">
      <w:start w:val="1"/>
      <w:numFmt w:val="decimal"/>
      <w:pStyle w:val="FERCparanumber"/>
      <w:lvlText w:val="%1."/>
      <w:lvlJc w:val="left"/>
      <w:pPr>
        <w:tabs>
          <w:tab w:val="num" w:pos="72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2"/>
  </w:num>
  <w:num w:numId="42">
    <w:abstractNumId w:val="11"/>
  </w:num>
  <w:num w:numId="43">
    <w:abstractNumId w:val="13"/>
  </w:num>
  <w:num w:numId="4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5066"/>
    <w:rsid w:val="00005C25"/>
    <w:rsid w:val="000240E7"/>
    <w:rsid w:val="000252B1"/>
    <w:rsid w:val="0003053D"/>
    <w:rsid w:val="00035789"/>
    <w:rsid w:val="00035845"/>
    <w:rsid w:val="00044424"/>
    <w:rsid w:val="00050A5B"/>
    <w:rsid w:val="000547C2"/>
    <w:rsid w:val="000634C3"/>
    <w:rsid w:val="00064354"/>
    <w:rsid w:val="000702CE"/>
    <w:rsid w:val="0007328D"/>
    <w:rsid w:val="00080A48"/>
    <w:rsid w:val="000838B0"/>
    <w:rsid w:val="000A2EC8"/>
    <w:rsid w:val="000B0C37"/>
    <w:rsid w:val="000B2C9D"/>
    <w:rsid w:val="000D3807"/>
    <w:rsid w:val="00116779"/>
    <w:rsid w:val="00124988"/>
    <w:rsid w:val="00143103"/>
    <w:rsid w:val="001453DB"/>
    <w:rsid w:val="00146BB0"/>
    <w:rsid w:val="00156F4C"/>
    <w:rsid w:val="001572A2"/>
    <w:rsid w:val="00176BE9"/>
    <w:rsid w:val="001805A2"/>
    <w:rsid w:val="00181727"/>
    <w:rsid w:val="0018558A"/>
    <w:rsid w:val="00185730"/>
    <w:rsid w:val="00187FAB"/>
    <w:rsid w:val="00193E27"/>
    <w:rsid w:val="00194D14"/>
    <w:rsid w:val="001A6397"/>
    <w:rsid w:val="001B7E0A"/>
    <w:rsid w:val="001D5E5E"/>
    <w:rsid w:val="001E3AD8"/>
    <w:rsid w:val="001F5574"/>
    <w:rsid w:val="00200E1D"/>
    <w:rsid w:val="00220CF1"/>
    <w:rsid w:val="00235A75"/>
    <w:rsid w:val="002402C1"/>
    <w:rsid w:val="0026674D"/>
    <w:rsid w:val="0027091B"/>
    <w:rsid w:val="00274D8B"/>
    <w:rsid w:val="00286CFC"/>
    <w:rsid w:val="002B6699"/>
    <w:rsid w:val="002E17FE"/>
    <w:rsid w:val="002E1D1B"/>
    <w:rsid w:val="002E2F37"/>
    <w:rsid w:val="002F7A0D"/>
    <w:rsid w:val="00316A13"/>
    <w:rsid w:val="00331283"/>
    <w:rsid w:val="00331764"/>
    <w:rsid w:val="00334743"/>
    <w:rsid w:val="00365CA0"/>
    <w:rsid w:val="003761F7"/>
    <w:rsid w:val="003849F1"/>
    <w:rsid w:val="003A1F5B"/>
    <w:rsid w:val="003A4859"/>
    <w:rsid w:val="003A6D60"/>
    <w:rsid w:val="003B09A2"/>
    <w:rsid w:val="003B0A25"/>
    <w:rsid w:val="003B42BA"/>
    <w:rsid w:val="003B669D"/>
    <w:rsid w:val="003C2060"/>
    <w:rsid w:val="003D0B60"/>
    <w:rsid w:val="003D3823"/>
    <w:rsid w:val="003D547E"/>
    <w:rsid w:val="003D5CD2"/>
    <w:rsid w:val="00405771"/>
    <w:rsid w:val="0041113E"/>
    <w:rsid w:val="004115D7"/>
    <w:rsid w:val="004144F8"/>
    <w:rsid w:val="00414F32"/>
    <w:rsid w:val="00417678"/>
    <w:rsid w:val="004236FE"/>
    <w:rsid w:val="00436066"/>
    <w:rsid w:val="0045497A"/>
    <w:rsid w:val="00464178"/>
    <w:rsid w:val="004670F1"/>
    <w:rsid w:val="00485549"/>
    <w:rsid w:val="00493D39"/>
    <w:rsid w:val="004976DB"/>
    <w:rsid w:val="004C1C7D"/>
    <w:rsid w:val="004C4C89"/>
    <w:rsid w:val="004C7DBD"/>
    <w:rsid w:val="004D4F1A"/>
    <w:rsid w:val="004F6977"/>
    <w:rsid w:val="00522F69"/>
    <w:rsid w:val="0053287C"/>
    <w:rsid w:val="005610C9"/>
    <w:rsid w:val="005642A6"/>
    <w:rsid w:val="00571C5E"/>
    <w:rsid w:val="0057700F"/>
    <w:rsid w:val="005828A1"/>
    <w:rsid w:val="005876C7"/>
    <w:rsid w:val="005979E6"/>
    <w:rsid w:val="005A2149"/>
    <w:rsid w:val="005A2792"/>
    <w:rsid w:val="005A6CEF"/>
    <w:rsid w:val="005B1309"/>
    <w:rsid w:val="005B77CE"/>
    <w:rsid w:val="005C1B75"/>
    <w:rsid w:val="005C3177"/>
    <w:rsid w:val="005C542C"/>
    <w:rsid w:val="005D04EF"/>
    <w:rsid w:val="005F1C3C"/>
    <w:rsid w:val="005F74ED"/>
    <w:rsid w:val="00603CFE"/>
    <w:rsid w:val="006050FD"/>
    <w:rsid w:val="006166FA"/>
    <w:rsid w:val="0063471B"/>
    <w:rsid w:val="00640241"/>
    <w:rsid w:val="0065104A"/>
    <w:rsid w:val="006632B9"/>
    <w:rsid w:val="00664BC0"/>
    <w:rsid w:val="00672E19"/>
    <w:rsid w:val="006800FF"/>
    <w:rsid w:val="0068236E"/>
    <w:rsid w:val="006837F8"/>
    <w:rsid w:val="006866FA"/>
    <w:rsid w:val="00690136"/>
    <w:rsid w:val="00696062"/>
    <w:rsid w:val="006B4576"/>
    <w:rsid w:val="006C5925"/>
    <w:rsid w:val="006D17FD"/>
    <w:rsid w:val="006D438B"/>
    <w:rsid w:val="006D607B"/>
    <w:rsid w:val="006E32A8"/>
    <w:rsid w:val="006E3597"/>
    <w:rsid w:val="006E7BF6"/>
    <w:rsid w:val="00701737"/>
    <w:rsid w:val="007038DB"/>
    <w:rsid w:val="0070429D"/>
    <w:rsid w:val="007164EF"/>
    <w:rsid w:val="007210ED"/>
    <w:rsid w:val="00726A4B"/>
    <w:rsid w:val="00732E6E"/>
    <w:rsid w:val="00761550"/>
    <w:rsid w:val="00766983"/>
    <w:rsid w:val="00767313"/>
    <w:rsid w:val="007737B1"/>
    <w:rsid w:val="00773AEB"/>
    <w:rsid w:val="00787670"/>
    <w:rsid w:val="007954B4"/>
    <w:rsid w:val="00797C09"/>
    <w:rsid w:val="007A1A3F"/>
    <w:rsid w:val="007A1BE4"/>
    <w:rsid w:val="007A2C84"/>
    <w:rsid w:val="007A2F92"/>
    <w:rsid w:val="007A69CC"/>
    <w:rsid w:val="007C068B"/>
    <w:rsid w:val="007D6013"/>
    <w:rsid w:val="007E3489"/>
    <w:rsid w:val="007E7C0F"/>
    <w:rsid w:val="00807D0E"/>
    <w:rsid w:val="00811A6A"/>
    <w:rsid w:val="00830E9C"/>
    <w:rsid w:val="008330BD"/>
    <w:rsid w:val="008333AF"/>
    <w:rsid w:val="008356FF"/>
    <w:rsid w:val="00835B5B"/>
    <w:rsid w:val="00836A04"/>
    <w:rsid w:val="00836E35"/>
    <w:rsid w:val="008619E1"/>
    <w:rsid w:val="0086457D"/>
    <w:rsid w:val="008712A5"/>
    <w:rsid w:val="0087308A"/>
    <w:rsid w:val="0087615B"/>
    <w:rsid w:val="00876F75"/>
    <w:rsid w:val="008A21A4"/>
    <w:rsid w:val="008A22DB"/>
    <w:rsid w:val="008C2774"/>
    <w:rsid w:val="008C288D"/>
    <w:rsid w:val="008D0DE0"/>
    <w:rsid w:val="008E70CD"/>
    <w:rsid w:val="008E7479"/>
    <w:rsid w:val="008F4A9D"/>
    <w:rsid w:val="00906893"/>
    <w:rsid w:val="00913A8B"/>
    <w:rsid w:val="00913D82"/>
    <w:rsid w:val="00926850"/>
    <w:rsid w:val="009349F8"/>
    <w:rsid w:val="00941FFF"/>
    <w:rsid w:val="0094624A"/>
    <w:rsid w:val="00946BE3"/>
    <w:rsid w:val="00947BD2"/>
    <w:rsid w:val="00950BC1"/>
    <w:rsid w:val="00955CB7"/>
    <w:rsid w:val="00960FF9"/>
    <w:rsid w:val="0096365B"/>
    <w:rsid w:val="00964337"/>
    <w:rsid w:val="00970FE4"/>
    <w:rsid w:val="0098104D"/>
    <w:rsid w:val="0099408E"/>
    <w:rsid w:val="009A0F6A"/>
    <w:rsid w:val="009C1C9F"/>
    <w:rsid w:val="009C3198"/>
    <w:rsid w:val="009D11CF"/>
    <w:rsid w:val="009D6740"/>
    <w:rsid w:val="009E1190"/>
    <w:rsid w:val="009E4633"/>
    <w:rsid w:val="009F1894"/>
    <w:rsid w:val="009F595F"/>
    <w:rsid w:val="00A02F89"/>
    <w:rsid w:val="00A06CDE"/>
    <w:rsid w:val="00A107DD"/>
    <w:rsid w:val="00A276F5"/>
    <w:rsid w:val="00A3160E"/>
    <w:rsid w:val="00A4071B"/>
    <w:rsid w:val="00A436E1"/>
    <w:rsid w:val="00A4525F"/>
    <w:rsid w:val="00A50033"/>
    <w:rsid w:val="00A54CDD"/>
    <w:rsid w:val="00A55DBC"/>
    <w:rsid w:val="00A5730C"/>
    <w:rsid w:val="00A63E25"/>
    <w:rsid w:val="00A72E7B"/>
    <w:rsid w:val="00A752C9"/>
    <w:rsid w:val="00A83085"/>
    <w:rsid w:val="00A90371"/>
    <w:rsid w:val="00A9638D"/>
    <w:rsid w:val="00A96B65"/>
    <w:rsid w:val="00AA6B2B"/>
    <w:rsid w:val="00AA7410"/>
    <w:rsid w:val="00AB53AD"/>
    <w:rsid w:val="00AD3DE5"/>
    <w:rsid w:val="00AD4DF7"/>
    <w:rsid w:val="00AF130B"/>
    <w:rsid w:val="00B01772"/>
    <w:rsid w:val="00B150E3"/>
    <w:rsid w:val="00B15847"/>
    <w:rsid w:val="00B24695"/>
    <w:rsid w:val="00B26FB2"/>
    <w:rsid w:val="00B31765"/>
    <w:rsid w:val="00B36454"/>
    <w:rsid w:val="00B44B01"/>
    <w:rsid w:val="00B95541"/>
    <w:rsid w:val="00B956FA"/>
    <w:rsid w:val="00BA1C7D"/>
    <w:rsid w:val="00BA3C9E"/>
    <w:rsid w:val="00BA4E1F"/>
    <w:rsid w:val="00BA7C56"/>
    <w:rsid w:val="00BC050C"/>
    <w:rsid w:val="00BC1960"/>
    <w:rsid w:val="00BD407C"/>
    <w:rsid w:val="00BF3D9A"/>
    <w:rsid w:val="00C01698"/>
    <w:rsid w:val="00C108BB"/>
    <w:rsid w:val="00C160D1"/>
    <w:rsid w:val="00C246F9"/>
    <w:rsid w:val="00C31FBB"/>
    <w:rsid w:val="00C42BB2"/>
    <w:rsid w:val="00C510DD"/>
    <w:rsid w:val="00C51B04"/>
    <w:rsid w:val="00C628E0"/>
    <w:rsid w:val="00C65768"/>
    <w:rsid w:val="00C72D7C"/>
    <w:rsid w:val="00C76146"/>
    <w:rsid w:val="00C83337"/>
    <w:rsid w:val="00C84FE6"/>
    <w:rsid w:val="00C9381C"/>
    <w:rsid w:val="00CA1C4B"/>
    <w:rsid w:val="00CA59C3"/>
    <w:rsid w:val="00CB2792"/>
    <w:rsid w:val="00CB701C"/>
    <w:rsid w:val="00CC7AE4"/>
    <w:rsid w:val="00CD0831"/>
    <w:rsid w:val="00CD4E43"/>
    <w:rsid w:val="00CE5536"/>
    <w:rsid w:val="00CE63ED"/>
    <w:rsid w:val="00CF0100"/>
    <w:rsid w:val="00CF297F"/>
    <w:rsid w:val="00CF5A45"/>
    <w:rsid w:val="00D03E32"/>
    <w:rsid w:val="00D20C0A"/>
    <w:rsid w:val="00D20EC9"/>
    <w:rsid w:val="00D22318"/>
    <w:rsid w:val="00D340F7"/>
    <w:rsid w:val="00D35A79"/>
    <w:rsid w:val="00D3728E"/>
    <w:rsid w:val="00D46243"/>
    <w:rsid w:val="00D62C34"/>
    <w:rsid w:val="00D67E8E"/>
    <w:rsid w:val="00D758B6"/>
    <w:rsid w:val="00D80FBD"/>
    <w:rsid w:val="00D940DB"/>
    <w:rsid w:val="00DC4E36"/>
    <w:rsid w:val="00DF2C33"/>
    <w:rsid w:val="00DF35C5"/>
    <w:rsid w:val="00E105BF"/>
    <w:rsid w:val="00E11CA6"/>
    <w:rsid w:val="00E14565"/>
    <w:rsid w:val="00E15F00"/>
    <w:rsid w:val="00E20612"/>
    <w:rsid w:val="00E2619F"/>
    <w:rsid w:val="00E445DF"/>
    <w:rsid w:val="00E44F77"/>
    <w:rsid w:val="00E57127"/>
    <w:rsid w:val="00E636D7"/>
    <w:rsid w:val="00E64A4D"/>
    <w:rsid w:val="00E65CE0"/>
    <w:rsid w:val="00E74D92"/>
    <w:rsid w:val="00E86597"/>
    <w:rsid w:val="00E87A4F"/>
    <w:rsid w:val="00E87AFB"/>
    <w:rsid w:val="00EA31AE"/>
    <w:rsid w:val="00EA4E2E"/>
    <w:rsid w:val="00EB06F5"/>
    <w:rsid w:val="00EB3E6F"/>
    <w:rsid w:val="00EB5AFF"/>
    <w:rsid w:val="00EB7488"/>
    <w:rsid w:val="00EC3FE1"/>
    <w:rsid w:val="00EC78C2"/>
    <w:rsid w:val="00ED4D76"/>
    <w:rsid w:val="00ED5560"/>
    <w:rsid w:val="00EF35DC"/>
    <w:rsid w:val="00EF5F66"/>
    <w:rsid w:val="00F06D4F"/>
    <w:rsid w:val="00F0760C"/>
    <w:rsid w:val="00F10526"/>
    <w:rsid w:val="00F12DC2"/>
    <w:rsid w:val="00F152DF"/>
    <w:rsid w:val="00F2092A"/>
    <w:rsid w:val="00F2118F"/>
    <w:rsid w:val="00F31F68"/>
    <w:rsid w:val="00F62F79"/>
    <w:rsid w:val="00F6690F"/>
    <w:rsid w:val="00F71F47"/>
    <w:rsid w:val="00F73EC2"/>
    <w:rsid w:val="00F75F2F"/>
    <w:rsid w:val="00F86929"/>
    <w:rsid w:val="00FB5D48"/>
    <w:rsid w:val="00FC0A87"/>
    <w:rsid w:val="00FD66F1"/>
    <w:rsid w:val="00FE4CD9"/>
    <w:rsid w:val="00FE5796"/>
    <w:rsid w:val="00FE59C1"/>
    <w:rsid w:val="00FF577D"/>
    <w:rsid w:val="00FF777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atentStyles>
  <w:style w:type="paragraph" w:default="1" w:styleId="Normal">
    <w:name w:val="Normal"/>
    <w:qFormat/>
    <w:rsid w:val="00761550"/>
    <w:pPr>
      <w:spacing w:after="200" w:line="276" w:lineRule="auto"/>
    </w:pPr>
  </w:style>
  <w:style w:type="paragraph" w:styleId="Heading1">
    <w:name w:val="heading 1"/>
    <w:basedOn w:val="Normal"/>
    <w:next w:val="Normal"/>
    <w:link w:val="Heading1Char"/>
    <w:uiPriority w:val="99"/>
    <w:qFormat/>
    <w:rsid w:val="00D758B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D758B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D758B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D758B6"/>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D758B6"/>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D758B6"/>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D758B6"/>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D758B6"/>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D758B6"/>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58B6"/>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D758B6"/>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D758B6"/>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D758B6"/>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D758B6"/>
    <w:rPr>
      <w:rFonts w:ascii="Cambria" w:hAnsi="Cambria" w:cs="Times New Roman"/>
      <w:color w:val="243F60"/>
    </w:rPr>
  </w:style>
  <w:style w:type="character" w:customStyle="1" w:styleId="Heading6Char">
    <w:name w:val="Heading 6 Char"/>
    <w:basedOn w:val="DefaultParagraphFont"/>
    <w:link w:val="Heading6"/>
    <w:uiPriority w:val="99"/>
    <w:semiHidden/>
    <w:locked/>
    <w:rsid w:val="00D758B6"/>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D758B6"/>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D758B6"/>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D758B6"/>
    <w:rPr>
      <w:rFonts w:ascii="Cambria" w:hAnsi="Cambria" w:cs="Times New Roman"/>
      <w:i/>
      <w:iCs/>
      <w:color w:val="404040"/>
      <w:sz w:val="20"/>
      <w:szCs w:val="20"/>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4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
    <w:basedOn w:val="Normal"/>
    <w:link w:val="FootnoteTextChar1"/>
    <w:semiHidden/>
    <w:rsid w:val="00E636D7"/>
    <w:pPr>
      <w:widowControl w:val="0"/>
      <w:autoSpaceDE w:val="0"/>
      <w:autoSpaceDN w:val="0"/>
      <w:adjustRightInd w:val="0"/>
      <w:spacing w:after="0" w:line="240" w:lineRule="auto"/>
    </w:pPr>
    <w:rPr>
      <w:rFonts w:ascii="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uiPriority w:val="99"/>
    <w:semiHidden/>
    <w:rsid w:val="00E94463"/>
    <w:rPr>
      <w:sz w:val="20"/>
      <w:szCs w:val="20"/>
    </w:rPr>
  </w:style>
  <w:style w:type="character" w:customStyle="1" w:styleId="FootnoteTextChar5">
    <w:name w:val="Footnote Text Char5"/>
    <w:aliases w:val="Footnote Text Char2 Char Char5,Footnote Text Char Char1 Char Char5,Footnote Text Char1 Char Char Char Char5,Footnote Text Char Char Char Char Char Char5,Footnote Text Char1 Char Char Char Char Char Char Char Char5,ft Char5,fn Char5"/>
    <w:basedOn w:val="DefaultParagraphFont"/>
    <w:uiPriority w:val="99"/>
    <w:semiHidden/>
    <w:locked/>
    <w:rPr>
      <w:rFonts w:cs="Times New Roman"/>
      <w:sz w:val="20"/>
      <w:szCs w:val="20"/>
    </w:rPr>
  </w:style>
  <w:style w:type="character" w:customStyle="1" w:styleId="FootnoteTextChar4">
    <w:name w:val="Footnote Text Char4"/>
    <w:aliases w:val="Footnote Text Char2 Char Char4,Footnote Text Char Char1 Char Char4,Footnote Text Char1 Char Char Char Char4,Footnote Text Char Char Char Char Char Char4,Footnote Text Char1 Char Char Char Char Char Char Char Char4,ft Char4,fn Char4"/>
    <w:basedOn w:val="DefaultParagraphFont"/>
    <w:uiPriority w:val="99"/>
    <w:semiHidden/>
    <w:locked/>
    <w:rsid w:val="001E3AD8"/>
    <w:rPr>
      <w:rFonts w:cs="Times New Roman"/>
      <w:sz w:val="20"/>
      <w:szCs w:val="20"/>
    </w:rPr>
  </w:style>
  <w:style w:type="character" w:customStyle="1" w:styleId="FootnoteTextChar3">
    <w:name w:val="Footnote Text Char3"/>
    <w:aliases w:val="Footnote Text Char2 Char Char3,Footnote Text Char Char1 Char Char3,Footnote Text Char1 Char Char Char Char3,Footnote Text Char Char Char Char Char Char3,Footnote Text Char1 Char Char Char Char Char Char Char Char3,ft Char3,fn Char3"/>
    <w:basedOn w:val="DefaultParagraphFont"/>
    <w:uiPriority w:val="99"/>
    <w:semiHidden/>
    <w:locked/>
    <w:rsid w:val="00DF2C33"/>
    <w:rPr>
      <w:rFonts w:cs="Times New Roman"/>
      <w:sz w:val="20"/>
      <w:szCs w:val="20"/>
    </w:rPr>
  </w:style>
  <w:style w:type="character" w:customStyle="1" w:styleId="FootnoteTextChar2">
    <w:name w:val="Footnote Text Char2"/>
    <w:aliases w:val="Footnote Text Char2 Char Char2,Footnote Text Char Char1 Char Char2,Footnote Text Char1 Char Char Char Char2,Footnote Text Char Char Char Char Char Char2,Footnote Text Char1 Char Char Char Char Char Char Char Char2,ft Char2,fn Char2"/>
    <w:basedOn w:val="DefaultParagraphFont"/>
    <w:locked/>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116779"/>
    <w:rPr>
      <w:rFonts w:cs="Times New Roman"/>
      <w:color w:val="0000FF"/>
      <w:u w:val="single"/>
    </w:rPr>
  </w:style>
  <w:style w:type="character" w:styleId="FollowedHyperlink">
    <w:name w:val="FollowedHyperlink"/>
    <w:basedOn w:val="DefaultParagraphFont"/>
    <w:uiPriority w:val="99"/>
    <w:semiHidden/>
    <w:rsid w:val="004236FE"/>
    <w:rPr>
      <w:rFonts w:cs="Times New Roman"/>
      <w:color w:val="800080"/>
      <w:u w:val="single"/>
    </w:rPr>
  </w:style>
  <w:style w:type="paragraph" w:styleId="Bibliography">
    <w:name w:val="Bibliography"/>
    <w:basedOn w:val="Normal"/>
    <w:next w:val="Normal"/>
    <w:uiPriority w:val="99"/>
    <w:semiHidden/>
    <w:rsid w:val="00D758B6"/>
  </w:style>
  <w:style w:type="paragraph" w:styleId="BlockText">
    <w:name w:val="Block Text"/>
    <w:basedOn w:val="Normal"/>
    <w:uiPriority w:val="99"/>
    <w:semiHidden/>
    <w:rsid w:val="00D758B6"/>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Times New Roman"/>
      <w:i/>
      <w:iCs/>
      <w:color w:val="4F81BD"/>
    </w:rPr>
  </w:style>
  <w:style w:type="paragraph" w:styleId="BodyText">
    <w:name w:val="Body Text"/>
    <w:basedOn w:val="Normal"/>
    <w:link w:val="BodyTextChar"/>
    <w:uiPriority w:val="99"/>
    <w:semiHidden/>
    <w:rsid w:val="00D758B6"/>
    <w:pPr>
      <w:spacing w:after="120"/>
    </w:pPr>
  </w:style>
  <w:style w:type="character" w:customStyle="1" w:styleId="BodyTextChar">
    <w:name w:val="Body Text Char"/>
    <w:basedOn w:val="DefaultParagraphFont"/>
    <w:link w:val="BodyText"/>
    <w:uiPriority w:val="99"/>
    <w:semiHidden/>
    <w:locked/>
    <w:rsid w:val="00D758B6"/>
    <w:rPr>
      <w:rFonts w:cs="Times New Roman"/>
    </w:rPr>
  </w:style>
  <w:style w:type="paragraph" w:styleId="BodyText2">
    <w:name w:val="Body Text 2"/>
    <w:basedOn w:val="Normal"/>
    <w:link w:val="BodyText2Char"/>
    <w:uiPriority w:val="99"/>
    <w:semiHidden/>
    <w:rsid w:val="00D758B6"/>
    <w:pPr>
      <w:spacing w:after="120" w:line="480" w:lineRule="auto"/>
    </w:pPr>
  </w:style>
  <w:style w:type="character" w:customStyle="1" w:styleId="BodyText2Char">
    <w:name w:val="Body Text 2 Char"/>
    <w:basedOn w:val="DefaultParagraphFont"/>
    <w:link w:val="BodyText2"/>
    <w:uiPriority w:val="99"/>
    <w:semiHidden/>
    <w:locked/>
    <w:rsid w:val="00D758B6"/>
    <w:rPr>
      <w:rFonts w:cs="Times New Roman"/>
    </w:rPr>
  </w:style>
  <w:style w:type="paragraph" w:styleId="BodyText3">
    <w:name w:val="Body Text 3"/>
    <w:basedOn w:val="Normal"/>
    <w:link w:val="BodyText3Char"/>
    <w:uiPriority w:val="99"/>
    <w:semiHidden/>
    <w:rsid w:val="00D758B6"/>
    <w:pPr>
      <w:spacing w:after="120"/>
    </w:pPr>
    <w:rPr>
      <w:sz w:val="16"/>
      <w:szCs w:val="16"/>
    </w:rPr>
  </w:style>
  <w:style w:type="character" w:customStyle="1" w:styleId="BodyText3Char">
    <w:name w:val="Body Text 3 Char"/>
    <w:basedOn w:val="DefaultParagraphFont"/>
    <w:link w:val="BodyText3"/>
    <w:uiPriority w:val="99"/>
    <w:semiHidden/>
    <w:locked/>
    <w:rsid w:val="00D758B6"/>
    <w:rPr>
      <w:rFonts w:cs="Times New Roman"/>
      <w:sz w:val="16"/>
      <w:szCs w:val="16"/>
    </w:rPr>
  </w:style>
  <w:style w:type="paragraph" w:styleId="BodyTextFirstIndent">
    <w:name w:val="Body Text First Indent"/>
    <w:basedOn w:val="BodyText"/>
    <w:link w:val="BodyTextFirstIndentChar"/>
    <w:uiPriority w:val="99"/>
    <w:semiHidden/>
    <w:rsid w:val="00D758B6"/>
    <w:pPr>
      <w:spacing w:after="200"/>
      <w:ind w:firstLine="360"/>
    </w:pPr>
  </w:style>
  <w:style w:type="character" w:customStyle="1" w:styleId="BodyTextFirstIndentChar">
    <w:name w:val="Body Text First Indent Char"/>
    <w:basedOn w:val="BodyTextChar"/>
    <w:link w:val="BodyTextFirstIndent"/>
    <w:uiPriority w:val="99"/>
    <w:semiHidden/>
    <w:locked/>
    <w:rsid w:val="00D758B6"/>
    <w:rPr>
      <w:rFonts w:cs="Times New Roman"/>
    </w:rPr>
  </w:style>
  <w:style w:type="paragraph" w:styleId="BodyTextIndent">
    <w:name w:val="Body Text Indent"/>
    <w:basedOn w:val="Normal"/>
    <w:link w:val="BodyTextIndentChar"/>
    <w:uiPriority w:val="99"/>
    <w:semiHidden/>
    <w:rsid w:val="00D758B6"/>
    <w:pPr>
      <w:spacing w:after="120"/>
      <w:ind w:left="360"/>
    </w:pPr>
  </w:style>
  <w:style w:type="character" w:customStyle="1" w:styleId="BodyTextIndentChar">
    <w:name w:val="Body Text Indent Char"/>
    <w:basedOn w:val="DefaultParagraphFont"/>
    <w:link w:val="BodyTextIndent"/>
    <w:uiPriority w:val="99"/>
    <w:semiHidden/>
    <w:locked/>
    <w:rsid w:val="00D758B6"/>
    <w:rPr>
      <w:rFonts w:cs="Times New Roman"/>
    </w:rPr>
  </w:style>
  <w:style w:type="paragraph" w:styleId="BodyTextFirstIndent2">
    <w:name w:val="Body Text First Indent 2"/>
    <w:basedOn w:val="BodyTextIndent"/>
    <w:link w:val="BodyTextFirstIndent2Char"/>
    <w:uiPriority w:val="99"/>
    <w:semiHidden/>
    <w:rsid w:val="00D758B6"/>
    <w:pPr>
      <w:spacing w:after="200"/>
      <w:ind w:firstLine="360"/>
    </w:pPr>
  </w:style>
  <w:style w:type="character" w:customStyle="1" w:styleId="BodyTextFirstIndent2Char">
    <w:name w:val="Body Text First Indent 2 Char"/>
    <w:basedOn w:val="BodyTextIndentChar"/>
    <w:link w:val="BodyTextFirstIndent2"/>
    <w:uiPriority w:val="99"/>
    <w:semiHidden/>
    <w:locked/>
    <w:rsid w:val="00D758B6"/>
    <w:rPr>
      <w:rFonts w:cs="Times New Roman"/>
    </w:rPr>
  </w:style>
  <w:style w:type="paragraph" w:styleId="BodyTextIndent2">
    <w:name w:val="Body Text Indent 2"/>
    <w:basedOn w:val="Normal"/>
    <w:link w:val="BodyTextIndent2Char"/>
    <w:uiPriority w:val="99"/>
    <w:semiHidden/>
    <w:rsid w:val="00D758B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D758B6"/>
    <w:rPr>
      <w:rFonts w:cs="Times New Roman"/>
    </w:rPr>
  </w:style>
  <w:style w:type="paragraph" w:styleId="BodyTextIndent3">
    <w:name w:val="Body Text Indent 3"/>
    <w:basedOn w:val="Normal"/>
    <w:link w:val="BodyTextIndent3Char"/>
    <w:uiPriority w:val="99"/>
    <w:semiHidden/>
    <w:rsid w:val="00D758B6"/>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D758B6"/>
    <w:rPr>
      <w:rFonts w:cs="Times New Roman"/>
      <w:sz w:val="16"/>
      <w:szCs w:val="16"/>
    </w:rPr>
  </w:style>
  <w:style w:type="paragraph" w:styleId="Caption">
    <w:name w:val="caption"/>
    <w:basedOn w:val="Normal"/>
    <w:next w:val="Normal"/>
    <w:uiPriority w:val="99"/>
    <w:qFormat/>
    <w:rsid w:val="00D758B6"/>
    <w:pPr>
      <w:spacing w:line="240" w:lineRule="auto"/>
    </w:pPr>
    <w:rPr>
      <w:b/>
      <w:bCs/>
      <w:color w:val="4F81BD"/>
      <w:sz w:val="18"/>
      <w:szCs w:val="18"/>
    </w:rPr>
  </w:style>
  <w:style w:type="paragraph" w:styleId="Closing">
    <w:name w:val="Closing"/>
    <w:basedOn w:val="Normal"/>
    <w:link w:val="ClosingChar"/>
    <w:uiPriority w:val="99"/>
    <w:semiHidden/>
    <w:rsid w:val="00D758B6"/>
    <w:pPr>
      <w:spacing w:after="0" w:line="240" w:lineRule="auto"/>
      <w:ind w:left="4320"/>
    </w:pPr>
  </w:style>
  <w:style w:type="character" w:customStyle="1" w:styleId="ClosingChar">
    <w:name w:val="Closing Char"/>
    <w:basedOn w:val="DefaultParagraphFont"/>
    <w:link w:val="Closing"/>
    <w:uiPriority w:val="99"/>
    <w:semiHidden/>
    <w:locked/>
    <w:rsid w:val="00D758B6"/>
    <w:rPr>
      <w:rFonts w:cs="Times New Roman"/>
    </w:rPr>
  </w:style>
  <w:style w:type="paragraph" w:styleId="Date">
    <w:name w:val="Date"/>
    <w:basedOn w:val="Normal"/>
    <w:next w:val="Normal"/>
    <w:link w:val="DateChar"/>
    <w:uiPriority w:val="99"/>
    <w:semiHidden/>
    <w:rsid w:val="00D758B6"/>
  </w:style>
  <w:style w:type="character" w:customStyle="1" w:styleId="DateChar">
    <w:name w:val="Date Char"/>
    <w:basedOn w:val="DefaultParagraphFont"/>
    <w:link w:val="Date"/>
    <w:uiPriority w:val="99"/>
    <w:semiHidden/>
    <w:locked/>
    <w:rsid w:val="00D758B6"/>
    <w:rPr>
      <w:rFonts w:cs="Times New Roman"/>
    </w:rPr>
  </w:style>
  <w:style w:type="paragraph" w:styleId="DocumentMap">
    <w:name w:val="Document Map"/>
    <w:basedOn w:val="Normal"/>
    <w:link w:val="DocumentMapChar"/>
    <w:uiPriority w:val="99"/>
    <w:semiHidden/>
    <w:rsid w:val="00D758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758B6"/>
    <w:rPr>
      <w:rFonts w:ascii="Tahoma" w:hAnsi="Tahoma" w:cs="Tahoma"/>
      <w:sz w:val="16"/>
      <w:szCs w:val="16"/>
    </w:rPr>
  </w:style>
  <w:style w:type="paragraph" w:styleId="E-mailSignature">
    <w:name w:val="E-mail Signature"/>
    <w:basedOn w:val="Normal"/>
    <w:link w:val="E-mailSignatureChar"/>
    <w:uiPriority w:val="99"/>
    <w:semiHidden/>
    <w:rsid w:val="00D758B6"/>
    <w:pPr>
      <w:spacing w:after="0" w:line="240" w:lineRule="auto"/>
    </w:pPr>
  </w:style>
  <w:style w:type="character" w:customStyle="1" w:styleId="E-mailSignatureChar">
    <w:name w:val="E-mail Signature Char"/>
    <w:basedOn w:val="DefaultParagraphFont"/>
    <w:link w:val="E-mailSignature"/>
    <w:uiPriority w:val="99"/>
    <w:semiHidden/>
    <w:locked/>
    <w:rsid w:val="00D758B6"/>
    <w:rPr>
      <w:rFonts w:cs="Times New Roman"/>
    </w:rPr>
  </w:style>
  <w:style w:type="paragraph" w:styleId="EndnoteText">
    <w:name w:val="endnote text"/>
    <w:basedOn w:val="Normal"/>
    <w:link w:val="EndnoteTextChar"/>
    <w:uiPriority w:val="99"/>
    <w:semiHidden/>
    <w:rsid w:val="00D758B6"/>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D758B6"/>
    <w:rPr>
      <w:rFonts w:cs="Times New Roman"/>
      <w:sz w:val="20"/>
      <w:szCs w:val="20"/>
    </w:rPr>
  </w:style>
  <w:style w:type="paragraph" w:styleId="EnvelopeAddress">
    <w:name w:val="envelope address"/>
    <w:basedOn w:val="Normal"/>
    <w:uiPriority w:val="99"/>
    <w:semiHidden/>
    <w:rsid w:val="00D758B6"/>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EnvelopeReturn">
    <w:name w:val="envelope return"/>
    <w:basedOn w:val="Normal"/>
    <w:uiPriority w:val="99"/>
    <w:semiHidden/>
    <w:rsid w:val="00D758B6"/>
    <w:pPr>
      <w:spacing w:after="0" w:line="240" w:lineRule="auto"/>
    </w:pPr>
    <w:rPr>
      <w:rFonts w:ascii="Cambria" w:eastAsia="Times New Roman" w:hAnsi="Cambria"/>
      <w:sz w:val="20"/>
      <w:szCs w:val="20"/>
    </w:rPr>
  </w:style>
  <w:style w:type="paragraph" w:styleId="HTMLAddress">
    <w:name w:val="HTML Address"/>
    <w:basedOn w:val="Normal"/>
    <w:link w:val="HTMLAddressChar"/>
    <w:uiPriority w:val="99"/>
    <w:semiHidden/>
    <w:rsid w:val="00D758B6"/>
    <w:pPr>
      <w:spacing w:after="0" w:line="240" w:lineRule="auto"/>
    </w:pPr>
    <w:rPr>
      <w:i/>
      <w:iCs/>
    </w:rPr>
  </w:style>
  <w:style w:type="character" w:customStyle="1" w:styleId="HTMLAddressChar">
    <w:name w:val="HTML Address Char"/>
    <w:basedOn w:val="DefaultParagraphFont"/>
    <w:link w:val="HTMLAddress"/>
    <w:uiPriority w:val="99"/>
    <w:semiHidden/>
    <w:locked/>
    <w:rsid w:val="00D758B6"/>
    <w:rPr>
      <w:rFonts w:cs="Times New Roman"/>
      <w:i/>
      <w:iCs/>
    </w:rPr>
  </w:style>
  <w:style w:type="paragraph" w:styleId="HTMLPreformatted">
    <w:name w:val="HTML Preformatted"/>
    <w:basedOn w:val="Normal"/>
    <w:link w:val="HTMLPreformattedChar"/>
    <w:uiPriority w:val="99"/>
    <w:semiHidden/>
    <w:rsid w:val="00D758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D758B6"/>
    <w:rPr>
      <w:rFonts w:ascii="Consolas" w:hAnsi="Consolas" w:cs="Times New Roman"/>
      <w:sz w:val="20"/>
      <w:szCs w:val="20"/>
    </w:rPr>
  </w:style>
  <w:style w:type="paragraph" w:styleId="Index1">
    <w:name w:val="index 1"/>
    <w:basedOn w:val="Normal"/>
    <w:next w:val="Normal"/>
    <w:uiPriority w:val="99"/>
    <w:semiHidden/>
    <w:rsid w:val="00D758B6"/>
    <w:pPr>
      <w:spacing w:after="0" w:line="240" w:lineRule="auto"/>
      <w:ind w:left="220" w:hanging="220"/>
    </w:pPr>
  </w:style>
  <w:style w:type="paragraph" w:styleId="Index2">
    <w:name w:val="index 2"/>
    <w:basedOn w:val="Normal"/>
    <w:next w:val="Normal"/>
    <w:uiPriority w:val="99"/>
    <w:semiHidden/>
    <w:rsid w:val="00D758B6"/>
    <w:pPr>
      <w:spacing w:after="0" w:line="240" w:lineRule="auto"/>
      <w:ind w:left="440" w:hanging="220"/>
    </w:pPr>
  </w:style>
  <w:style w:type="paragraph" w:styleId="Index3">
    <w:name w:val="index 3"/>
    <w:basedOn w:val="Normal"/>
    <w:next w:val="Normal"/>
    <w:uiPriority w:val="99"/>
    <w:semiHidden/>
    <w:rsid w:val="00D758B6"/>
    <w:pPr>
      <w:spacing w:after="0" w:line="240" w:lineRule="auto"/>
      <w:ind w:left="660" w:hanging="220"/>
    </w:pPr>
  </w:style>
  <w:style w:type="paragraph" w:styleId="Index4">
    <w:name w:val="index 4"/>
    <w:basedOn w:val="Normal"/>
    <w:next w:val="Normal"/>
    <w:uiPriority w:val="99"/>
    <w:semiHidden/>
    <w:rsid w:val="00D758B6"/>
    <w:pPr>
      <w:spacing w:after="0" w:line="240" w:lineRule="auto"/>
      <w:ind w:left="880" w:hanging="220"/>
    </w:pPr>
  </w:style>
  <w:style w:type="paragraph" w:styleId="Index5">
    <w:name w:val="index 5"/>
    <w:basedOn w:val="Normal"/>
    <w:next w:val="Normal"/>
    <w:uiPriority w:val="99"/>
    <w:semiHidden/>
    <w:rsid w:val="00D758B6"/>
    <w:pPr>
      <w:spacing w:after="0" w:line="240" w:lineRule="auto"/>
      <w:ind w:left="1100" w:hanging="220"/>
    </w:pPr>
  </w:style>
  <w:style w:type="paragraph" w:styleId="Index6">
    <w:name w:val="index 6"/>
    <w:basedOn w:val="Normal"/>
    <w:next w:val="Normal"/>
    <w:uiPriority w:val="99"/>
    <w:semiHidden/>
    <w:rsid w:val="00D758B6"/>
    <w:pPr>
      <w:spacing w:after="0" w:line="240" w:lineRule="auto"/>
      <w:ind w:left="1320" w:hanging="220"/>
    </w:pPr>
  </w:style>
  <w:style w:type="paragraph" w:styleId="Index7">
    <w:name w:val="index 7"/>
    <w:basedOn w:val="Normal"/>
    <w:next w:val="Normal"/>
    <w:uiPriority w:val="99"/>
    <w:semiHidden/>
    <w:rsid w:val="00D758B6"/>
    <w:pPr>
      <w:spacing w:after="0" w:line="240" w:lineRule="auto"/>
      <w:ind w:left="1540" w:hanging="220"/>
    </w:pPr>
  </w:style>
  <w:style w:type="paragraph" w:styleId="Index8">
    <w:name w:val="index 8"/>
    <w:basedOn w:val="Normal"/>
    <w:next w:val="Normal"/>
    <w:uiPriority w:val="99"/>
    <w:semiHidden/>
    <w:rsid w:val="00D758B6"/>
    <w:pPr>
      <w:spacing w:after="0" w:line="240" w:lineRule="auto"/>
      <w:ind w:left="1760" w:hanging="220"/>
    </w:pPr>
  </w:style>
  <w:style w:type="paragraph" w:styleId="Index9">
    <w:name w:val="index 9"/>
    <w:basedOn w:val="Normal"/>
    <w:next w:val="Normal"/>
    <w:uiPriority w:val="99"/>
    <w:semiHidden/>
    <w:rsid w:val="00D758B6"/>
    <w:pPr>
      <w:spacing w:after="0" w:line="240" w:lineRule="auto"/>
      <w:ind w:left="1980" w:hanging="220"/>
    </w:pPr>
  </w:style>
  <w:style w:type="paragraph" w:styleId="IndexHeading">
    <w:name w:val="index heading"/>
    <w:basedOn w:val="Normal"/>
    <w:next w:val="Index1"/>
    <w:uiPriority w:val="99"/>
    <w:semiHidden/>
    <w:rsid w:val="00D758B6"/>
    <w:rPr>
      <w:rFonts w:ascii="Cambria" w:eastAsia="Times New Roman" w:hAnsi="Cambria"/>
      <w:b/>
      <w:bCs/>
    </w:rPr>
  </w:style>
  <w:style w:type="paragraph" w:styleId="IntenseQuote">
    <w:name w:val="Intense Quote"/>
    <w:basedOn w:val="Normal"/>
    <w:next w:val="Normal"/>
    <w:link w:val="IntenseQuoteChar"/>
    <w:uiPriority w:val="99"/>
    <w:qFormat/>
    <w:rsid w:val="00D758B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D758B6"/>
    <w:rPr>
      <w:rFonts w:cs="Times New Roman"/>
      <w:b/>
      <w:bCs/>
      <w:i/>
      <w:iCs/>
      <w:color w:val="4F81BD"/>
    </w:rPr>
  </w:style>
  <w:style w:type="paragraph" w:styleId="List">
    <w:name w:val="List"/>
    <w:basedOn w:val="Normal"/>
    <w:uiPriority w:val="99"/>
    <w:semiHidden/>
    <w:rsid w:val="00D758B6"/>
    <w:pPr>
      <w:ind w:left="360" w:hanging="360"/>
      <w:contextualSpacing/>
    </w:pPr>
  </w:style>
  <w:style w:type="paragraph" w:styleId="List2">
    <w:name w:val="List 2"/>
    <w:basedOn w:val="Normal"/>
    <w:uiPriority w:val="99"/>
    <w:semiHidden/>
    <w:rsid w:val="00D758B6"/>
    <w:pPr>
      <w:ind w:left="720" w:hanging="360"/>
      <w:contextualSpacing/>
    </w:pPr>
  </w:style>
  <w:style w:type="paragraph" w:styleId="List3">
    <w:name w:val="List 3"/>
    <w:basedOn w:val="Normal"/>
    <w:uiPriority w:val="99"/>
    <w:semiHidden/>
    <w:rsid w:val="00D758B6"/>
    <w:pPr>
      <w:ind w:left="1080" w:hanging="360"/>
      <w:contextualSpacing/>
    </w:pPr>
  </w:style>
  <w:style w:type="paragraph" w:styleId="List4">
    <w:name w:val="List 4"/>
    <w:basedOn w:val="Normal"/>
    <w:uiPriority w:val="99"/>
    <w:semiHidden/>
    <w:rsid w:val="00D758B6"/>
    <w:pPr>
      <w:ind w:left="1440" w:hanging="360"/>
      <w:contextualSpacing/>
    </w:pPr>
  </w:style>
  <w:style w:type="paragraph" w:styleId="List5">
    <w:name w:val="List 5"/>
    <w:basedOn w:val="Normal"/>
    <w:uiPriority w:val="99"/>
    <w:semiHidden/>
    <w:rsid w:val="00D758B6"/>
    <w:pPr>
      <w:ind w:left="1800" w:hanging="360"/>
      <w:contextualSpacing/>
    </w:pPr>
  </w:style>
  <w:style w:type="paragraph" w:styleId="ListBullet">
    <w:name w:val="List Bullet"/>
    <w:basedOn w:val="Normal"/>
    <w:uiPriority w:val="99"/>
    <w:semiHidden/>
    <w:rsid w:val="00D758B6"/>
    <w:pPr>
      <w:numPr>
        <w:numId w:val="1"/>
      </w:numPr>
      <w:contextualSpacing/>
    </w:pPr>
  </w:style>
  <w:style w:type="paragraph" w:styleId="ListBullet2">
    <w:name w:val="List Bullet 2"/>
    <w:basedOn w:val="Normal"/>
    <w:uiPriority w:val="99"/>
    <w:semiHidden/>
    <w:rsid w:val="00D758B6"/>
    <w:pPr>
      <w:numPr>
        <w:numId w:val="2"/>
      </w:numPr>
      <w:contextualSpacing/>
    </w:pPr>
  </w:style>
  <w:style w:type="paragraph" w:styleId="ListBullet3">
    <w:name w:val="List Bullet 3"/>
    <w:basedOn w:val="Normal"/>
    <w:uiPriority w:val="99"/>
    <w:semiHidden/>
    <w:rsid w:val="00D758B6"/>
    <w:pPr>
      <w:numPr>
        <w:numId w:val="3"/>
      </w:numPr>
      <w:contextualSpacing/>
    </w:pPr>
  </w:style>
  <w:style w:type="paragraph" w:styleId="ListBullet4">
    <w:name w:val="List Bullet 4"/>
    <w:basedOn w:val="Normal"/>
    <w:uiPriority w:val="99"/>
    <w:semiHidden/>
    <w:rsid w:val="00D758B6"/>
    <w:pPr>
      <w:numPr>
        <w:numId w:val="4"/>
      </w:numPr>
      <w:contextualSpacing/>
    </w:pPr>
  </w:style>
  <w:style w:type="paragraph" w:styleId="ListBullet5">
    <w:name w:val="List Bullet 5"/>
    <w:basedOn w:val="Normal"/>
    <w:uiPriority w:val="99"/>
    <w:semiHidden/>
    <w:rsid w:val="00D758B6"/>
    <w:pPr>
      <w:numPr>
        <w:numId w:val="5"/>
      </w:numPr>
      <w:contextualSpacing/>
    </w:pPr>
  </w:style>
  <w:style w:type="paragraph" w:styleId="ListContinue2">
    <w:name w:val="List Continue 2"/>
    <w:basedOn w:val="Normal"/>
    <w:uiPriority w:val="99"/>
    <w:semiHidden/>
    <w:rsid w:val="00D758B6"/>
    <w:pPr>
      <w:spacing w:after="120"/>
      <w:ind w:left="720"/>
      <w:contextualSpacing/>
    </w:pPr>
  </w:style>
  <w:style w:type="paragraph" w:styleId="ListContinue3">
    <w:name w:val="List Continue 3"/>
    <w:basedOn w:val="Normal"/>
    <w:uiPriority w:val="99"/>
    <w:semiHidden/>
    <w:rsid w:val="00D758B6"/>
    <w:pPr>
      <w:spacing w:after="120"/>
      <w:ind w:left="1080"/>
      <w:contextualSpacing/>
    </w:pPr>
  </w:style>
  <w:style w:type="paragraph" w:styleId="ListContinue4">
    <w:name w:val="List Continue 4"/>
    <w:basedOn w:val="Normal"/>
    <w:uiPriority w:val="99"/>
    <w:semiHidden/>
    <w:rsid w:val="00D758B6"/>
    <w:pPr>
      <w:spacing w:after="120"/>
      <w:ind w:left="1440"/>
      <w:contextualSpacing/>
    </w:pPr>
  </w:style>
  <w:style w:type="paragraph" w:styleId="ListContinue5">
    <w:name w:val="List Continue 5"/>
    <w:basedOn w:val="Normal"/>
    <w:uiPriority w:val="99"/>
    <w:semiHidden/>
    <w:rsid w:val="00D758B6"/>
    <w:pPr>
      <w:spacing w:after="120"/>
      <w:ind w:left="1800"/>
      <w:contextualSpacing/>
    </w:pPr>
  </w:style>
  <w:style w:type="paragraph" w:styleId="ListNumber">
    <w:name w:val="List Number"/>
    <w:basedOn w:val="Normal"/>
    <w:uiPriority w:val="99"/>
    <w:semiHidden/>
    <w:rsid w:val="00D758B6"/>
    <w:pPr>
      <w:numPr>
        <w:numId w:val="6"/>
      </w:numPr>
      <w:contextualSpacing/>
    </w:pPr>
  </w:style>
  <w:style w:type="paragraph" w:styleId="ListNumber2">
    <w:name w:val="List Number 2"/>
    <w:basedOn w:val="Normal"/>
    <w:uiPriority w:val="99"/>
    <w:semiHidden/>
    <w:rsid w:val="00D758B6"/>
    <w:pPr>
      <w:numPr>
        <w:numId w:val="7"/>
      </w:numPr>
      <w:contextualSpacing/>
    </w:pPr>
  </w:style>
  <w:style w:type="paragraph" w:styleId="ListNumber3">
    <w:name w:val="List Number 3"/>
    <w:basedOn w:val="Normal"/>
    <w:uiPriority w:val="99"/>
    <w:semiHidden/>
    <w:rsid w:val="00D758B6"/>
    <w:pPr>
      <w:numPr>
        <w:numId w:val="8"/>
      </w:numPr>
      <w:contextualSpacing/>
    </w:pPr>
  </w:style>
  <w:style w:type="paragraph" w:styleId="ListNumber4">
    <w:name w:val="List Number 4"/>
    <w:basedOn w:val="Normal"/>
    <w:uiPriority w:val="99"/>
    <w:semiHidden/>
    <w:rsid w:val="00D758B6"/>
    <w:pPr>
      <w:numPr>
        <w:numId w:val="9"/>
      </w:numPr>
      <w:contextualSpacing/>
    </w:pPr>
  </w:style>
  <w:style w:type="paragraph" w:styleId="ListNumber5">
    <w:name w:val="List Number 5"/>
    <w:basedOn w:val="Normal"/>
    <w:uiPriority w:val="99"/>
    <w:semiHidden/>
    <w:rsid w:val="00D758B6"/>
    <w:pPr>
      <w:numPr>
        <w:numId w:val="10"/>
      </w:numPr>
      <w:contextualSpacing/>
    </w:pPr>
  </w:style>
  <w:style w:type="paragraph" w:styleId="MacroText">
    <w:name w:val="macro"/>
    <w:link w:val="MacroTextChar"/>
    <w:uiPriority w:val="99"/>
    <w:semiHidden/>
    <w:rsid w:val="00D758B6"/>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uiPriority w:val="99"/>
    <w:semiHidden/>
    <w:locked/>
    <w:rsid w:val="00D758B6"/>
    <w:rPr>
      <w:rFonts w:ascii="Consolas" w:hAnsi="Consolas" w:cs="Times New Roman"/>
      <w:lang w:val="en-US" w:eastAsia="en-US" w:bidi="ar-SA"/>
    </w:rPr>
  </w:style>
  <w:style w:type="paragraph" w:styleId="MessageHeader">
    <w:name w:val="Message Header"/>
    <w:basedOn w:val="Normal"/>
    <w:link w:val="MessageHeaderChar"/>
    <w:uiPriority w:val="99"/>
    <w:semiHidden/>
    <w:rsid w:val="00D758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uiPriority w:val="99"/>
    <w:semiHidden/>
    <w:locked/>
    <w:rsid w:val="00D758B6"/>
    <w:rPr>
      <w:rFonts w:ascii="Cambria" w:hAnsi="Cambria" w:cs="Times New Roman"/>
      <w:sz w:val="24"/>
      <w:szCs w:val="24"/>
      <w:shd w:val="pct20" w:color="auto" w:fill="auto"/>
    </w:rPr>
  </w:style>
  <w:style w:type="paragraph" w:styleId="NoSpacing">
    <w:name w:val="No Spacing"/>
    <w:uiPriority w:val="99"/>
    <w:qFormat/>
    <w:rsid w:val="00D758B6"/>
  </w:style>
  <w:style w:type="paragraph" w:styleId="NormalWeb">
    <w:name w:val="Normal (Web)"/>
    <w:basedOn w:val="Normal"/>
    <w:uiPriority w:val="99"/>
    <w:semiHidden/>
    <w:rsid w:val="00D758B6"/>
    <w:rPr>
      <w:rFonts w:ascii="Times New Roman" w:hAnsi="Times New Roman"/>
      <w:sz w:val="24"/>
      <w:szCs w:val="24"/>
    </w:rPr>
  </w:style>
  <w:style w:type="paragraph" w:styleId="NormalIndent">
    <w:name w:val="Normal Indent"/>
    <w:basedOn w:val="Normal"/>
    <w:uiPriority w:val="99"/>
    <w:semiHidden/>
    <w:rsid w:val="00D758B6"/>
    <w:pPr>
      <w:ind w:left="720"/>
    </w:pPr>
  </w:style>
  <w:style w:type="paragraph" w:styleId="NoteHeading">
    <w:name w:val="Note Heading"/>
    <w:basedOn w:val="Normal"/>
    <w:next w:val="Normal"/>
    <w:link w:val="NoteHeadingChar"/>
    <w:uiPriority w:val="99"/>
    <w:semiHidden/>
    <w:rsid w:val="00D758B6"/>
    <w:pPr>
      <w:spacing w:after="0" w:line="240" w:lineRule="auto"/>
    </w:pPr>
  </w:style>
  <w:style w:type="character" w:customStyle="1" w:styleId="NoteHeadingChar">
    <w:name w:val="Note Heading Char"/>
    <w:basedOn w:val="DefaultParagraphFont"/>
    <w:link w:val="NoteHeading"/>
    <w:uiPriority w:val="99"/>
    <w:semiHidden/>
    <w:locked/>
    <w:rsid w:val="00D758B6"/>
    <w:rPr>
      <w:rFonts w:cs="Times New Roman"/>
    </w:rPr>
  </w:style>
  <w:style w:type="paragraph" w:styleId="PlainText">
    <w:name w:val="Plain Text"/>
    <w:basedOn w:val="Normal"/>
    <w:link w:val="PlainTextChar"/>
    <w:uiPriority w:val="99"/>
    <w:semiHidden/>
    <w:rsid w:val="00D758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D758B6"/>
    <w:rPr>
      <w:rFonts w:ascii="Consolas" w:hAnsi="Consolas" w:cs="Times New Roman"/>
      <w:sz w:val="21"/>
      <w:szCs w:val="21"/>
    </w:rPr>
  </w:style>
  <w:style w:type="paragraph" w:styleId="Quote">
    <w:name w:val="Quote"/>
    <w:basedOn w:val="Normal"/>
    <w:next w:val="Normal"/>
    <w:link w:val="QuoteChar"/>
    <w:uiPriority w:val="99"/>
    <w:qFormat/>
    <w:rsid w:val="00D758B6"/>
    <w:rPr>
      <w:i/>
      <w:iCs/>
      <w:color w:val="000000"/>
    </w:rPr>
  </w:style>
  <w:style w:type="character" w:customStyle="1" w:styleId="QuoteChar">
    <w:name w:val="Quote Char"/>
    <w:basedOn w:val="DefaultParagraphFont"/>
    <w:link w:val="Quote"/>
    <w:uiPriority w:val="99"/>
    <w:locked/>
    <w:rsid w:val="00D758B6"/>
    <w:rPr>
      <w:rFonts w:cs="Times New Roman"/>
      <w:i/>
      <w:iCs/>
      <w:color w:val="000000"/>
    </w:rPr>
  </w:style>
  <w:style w:type="paragraph" w:styleId="Salutation">
    <w:name w:val="Salutation"/>
    <w:basedOn w:val="Normal"/>
    <w:next w:val="Normal"/>
    <w:link w:val="SalutationChar"/>
    <w:uiPriority w:val="99"/>
    <w:semiHidden/>
    <w:rsid w:val="00D758B6"/>
  </w:style>
  <w:style w:type="character" w:customStyle="1" w:styleId="SalutationChar">
    <w:name w:val="Salutation Char"/>
    <w:basedOn w:val="DefaultParagraphFont"/>
    <w:link w:val="Salutation"/>
    <w:uiPriority w:val="99"/>
    <w:semiHidden/>
    <w:locked/>
    <w:rsid w:val="00D758B6"/>
    <w:rPr>
      <w:rFonts w:cs="Times New Roman"/>
    </w:rPr>
  </w:style>
  <w:style w:type="paragraph" w:styleId="Signature">
    <w:name w:val="Signature"/>
    <w:basedOn w:val="Normal"/>
    <w:link w:val="SignatureChar"/>
    <w:uiPriority w:val="99"/>
    <w:semiHidden/>
    <w:rsid w:val="00D758B6"/>
    <w:pPr>
      <w:spacing w:after="0" w:line="240" w:lineRule="auto"/>
      <w:ind w:left="4320"/>
    </w:pPr>
  </w:style>
  <w:style w:type="character" w:customStyle="1" w:styleId="SignatureChar">
    <w:name w:val="Signature Char"/>
    <w:basedOn w:val="DefaultParagraphFont"/>
    <w:link w:val="Signature"/>
    <w:uiPriority w:val="99"/>
    <w:semiHidden/>
    <w:locked/>
    <w:rsid w:val="00D758B6"/>
    <w:rPr>
      <w:rFonts w:cs="Times New Roman"/>
    </w:rPr>
  </w:style>
  <w:style w:type="paragraph" w:styleId="Subtitle">
    <w:name w:val="Subtitle"/>
    <w:basedOn w:val="Normal"/>
    <w:next w:val="Normal"/>
    <w:link w:val="SubtitleChar"/>
    <w:uiPriority w:val="99"/>
    <w:qFormat/>
    <w:rsid w:val="00D758B6"/>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D758B6"/>
    <w:rPr>
      <w:rFonts w:ascii="Cambria" w:hAnsi="Cambria" w:cs="Times New Roman"/>
      <w:i/>
      <w:iCs/>
      <w:color w:val="4F81BD"/>
      <w:spacing w:val="15"/>
      <w:sz w:val="24"/>
      <w:szCs w:val="24"/>
    </w:rPr>
  </w:style>
  <w:style w:type="paragraph" w:styleId="TableofAuthorities">
    <w:name w:val="table of authorities"/>
    <w:basedOn w:val="Normal"/>
    <w:next w:val="Normal"/>
    <w:uiPriority w:val="99"/>
    <w:semiHidden/>
    <w:rsid w:val="00D758B6"/>
    <w:pPr>
      <w:spacing w:after="0"/>
      <w:ind w:left="220" w:hanging="220"/>
    </w:pPr>
  </w:style>
  <w:style w:type="paragraph" w:styleId="TableofFigures">
    <w:name w:val="table of figures"/>
    <w:basedOn w:val="Normal"/>
    <w:next w:val="Normal"/>
    <w:uiPriority w:val="99"/>
    <w:semiHidden/>
    <w:rsid w:val="00D758B6"/>
    <w:pPr>
      <w:spacing w:after="0"/>
    </w:pPr>
  </w:style>
  <w:style w:type="paragraph" w:styleId="Title">
    <w:name w:val="Title"/>
    <w:basedOn w:val="Normal"/>
    <w:next w:val="Normal"/>
    <w:link w:val="TitleChar"/>
    <w:uiPriority w:val="99"/>
    <w:qFormat/>
    <w:rsid w:val="00D758B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D758B6"/>
    <w:rPr>
      <w:rFonts w:ascii="Cambria" w:hAnsi="Cambria" w:cs="Times New Roman"/>
      <w:color w:val="17365D"/>
      <w:spacing w:val="5"/>
      <w:kern w:val="28"/>
      <w:sz w:val="52"/>
      <w:szCs w:val="52"/>
    </w:rPr>
  </w:style>
  <w:style w:type="paragraph" w:styleId="TOAHeading">
    <w:name w:val="toa heading"/>
    <w:basedOn w:val="Normal"/>
    <w:next w:val="Normal"/>
    <w:uiPriority w:val="99"/>
    <w:semiHidden/>
    <w:rsid w:val="00D758B6"/>
    <w:pPr>
      <w:spacing w:before="120"/>
    </w:pPr>
    <w:rPr>
      <w:rFonts w:ascii="Cambria" w:eastAsia="Times New Roman" w:hAnsi="Cambria"/>
      <w:b/>
      <w:bCs/>
      <w:sz w:val="24"/>
      <w:szCs w:val="24"/>
    </w:rPr>
  </w:style>
  <w:style w:type="paragraph" w:styleId="TOC1">
    <w:name w:val="toc 1"/>
    <w:basedOn w:val="Normal"/>
    <w:next w:val="Normal"/>
    <w:uiPriority w:val="99"/>
    <w:semiHidden/>
    <w:rsid w:val="00D758B6"/>
    <w:pPr>
      <w:spacing w:after="100"/>
    </w:pPr>
  </w:style>
  <w:style w:type="paragraph" w:styleId="TOC2">
    <w:name w:val="toc 2"/>
    <w:basedOn w:val="Normal"/>
    <w:next w:val="Normal"/>
    <w:uiPriority w:val="99"/>
    <w:semiHidden/>
    <w:rsid w:val="00D758B6"/>
    <w:pPr>
      <w:spacing w:after="100"/>
      <w:ind w:left="220"/>
    </w:pPr>
  </w:style>
  <w:style w:type="paragraph" w:styleId="TOC3">
    <w:name w:val="toc 3"/>
    <w:basedOn w:val="Normal"/>
    <w:next w:val="Normal"/>
    <w:uiPriority w:val="99"/>
    <w:semiHidden/>
    <w:rsid w:val="00D758B6"/>
    <w:pPr>
      <w:spacing w:after="100"/>
      <w:ind w:left="440"/>
    </w:pPr>
  </w:style>
  <w:style w:type="paragraph" w:styleId="TOC4">
    <w:name w:val="toc 4"/>
    <w:basedOn w:val="Normal"/>
    <w:next w:val="Normal"/>
    <w:uiPriority w:val="99"/>
    <w:semiHidden/>
    <w:rsid w:val="00D758B6"/>
    <w:pPr>
      <w:spacing w:after="100"/>
      <w:ind w:left="660"/>
    </w:pPr>
  </w:style>
  <w:style w:type="paragraph" w:styleId="TOC5">
    <w:name w:val="toc 5"/>
    <w:basedOn w:val="Normal"/>
    <w:next w:val="Normal"/>
    <w:uiPriority w:val="99"/>
    <w:semiHidden/>
    <w:rsid w:val="00D758B6"/>
    <w:pPr>
      <w:spacing w:after="100"/>
      <w:ind w:left="880"/>
    </w:pPr>
  </w:style>
  <w:style w:type="paragraph" w:styleId="TOC6">
    <w:name w:val="toc 6"/>
    <w:basedOn w:val="Normal"/>
    <w:next w:val="Normal"/>
    <w:uiPriority w:val="99"/>
    <w:semiHidden/>
    <w:rsid w:val="00D758B6"/>
    <w:pPr>
      <w:spacing w:after="100"/>
      <w:ind w:left="1100"/>
    </w:pPr>
  </w:style>
  <w:style w:type="paragraph" w:styleId="TOC7">
    <w:name w:val="toc 7"/>
    <w:basedOn w:val="Normal"/>
    <w:next w:val="Normal"/>
    <w:uiPriority w:val="99"/>
    <w:semiHidden/>
    <w:rsid w:val="00D758B6"/>
    <w:pPr>
      <w:spacing w:after="100"/>
      <w:ind w:left="1320"/>
    </w:pPr>
  </w:style>
  <w:style w:type="paragraph" w:styleId="TOC8">
    <w:name w:val="toc 8"/>
    <w:basedOn w:val="Normal"/>
    <w:next w:val="Normal"/>
    <w:uiPriority w:val="99"/>
    <w:semiHidden/>
    <w:rsid w:val="00D758B6"/>
    <w:pPr>
      <w:spacing w:after="100"/>
      <w:ind w:left="1540"/>
    </w:pPr>
  </w:style>
  <w:style w:type="paragraph" w:styleId="TOC9">
    <w:name w:val="toc 9"/>
    <w:basedOn w:val="Normal"/>
    <w:next w:val="Normal"/>
    <w:uiPriority w:val="99"/>
    <w:semiHidden/>
    <w:rsid w:val="00D758B6"/>
    <w:pPr>
      <w:spacing w:after="100"/>
      <w:ind w:left="1760"/>
    </w:pPr>
  </w:style>
  <w:style w:type="paragraph" w:styleId="TOCHeading">
    <w:name w:val="TOC Heading"/>
    <w:basedOn w:val="Heading1"/>
    <w:next w:val="Normal"/>
    <w:uiPriority w:val="99"/>
    <w:qFormat/>
    <w:rsid w:val="00D758B6"/>
    <w:pPr>
      <w:outlineLvl w:val="9"/>
    </w:pPr>
  </w:style>
  <w:style w:type="paragraph" w:customStyle="1" w:styleId="FERCparanumber">
    <w:name w:val="FERC paranumber"/>
    <w:basedOn w:val="Normal"/>
    <w:link w:val="FERCparanumberChar"/>
    <w:uiPriority w:val="99"/>
    <w:rsid w:val="005B1309"/>
    <w:pPr>
      <w:numPr>
        <w:numId w:val="43"/>
      </w:numPr>
      <w:spacing w:after="0" w:line="240" w:lineRule="auto"/>
    </w:pPr>
    <w:rPr>
      <w:rFonts w:ascii="Times New Roman" w:hAnsi="Times New Roman"/>
      <w:sz w:val="26"/>
      <w:szCs w:val="24"/>
    </w:rPr>
  </w:style>
  <w:style w:type="character" w:customStyle="1" w:styleId="FERCparanumberChar">
    <w:name w:val="FERC paranumber Char"/>
    <w:link w:val="FERCparanumber"/>
    <w:uiPriority w:val="99"/>
    <w:locked/>
    <w:rsid w:val="005B1309"/>
    <w:rPr>
      <w:rFonts w:ascii="Times New Roman" w:hAnsi="Times New Roman"/>
      <w:sz w:val="26"/>
      <w:szCs w:val="24"/>
    </w:rPr>
  </w:style>
  <w:style w:type="table" w:styleId="TableGrid">
    <w:name w:val="Table Grid"/>
    <w:basedOn w:val="TableNormal"/>
    <w:uiPriority w:val="99"/>
    <w:locked/>
    <w:rsid w:val="007E3489"/>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atentStyles>
  <w:style w:type="paragraph" w:default="1" w:styleId="Normal">
    <w:name w:val="Normal"/>
    <w:qFormat/>
    <w:rsid w:val="00761550"/>
    <w:pPr>
      <w:spacing w:after="200" w:line="276" w:lineRule="auto"/>
    </w:pPr>
  </w:style>
  <w:style w:type="paragraph" w:styleId="Heading1">
    <w:name w:val="heading 1"/>
    <w:basedOn w:val="Normal"/>
    <w:next w:val="Normal"/>
    <w:link w:val="Heading1Char"/>
    <w:uiPriority w:val="99"/>
    <w:qFormat/>
    <w:rsid w:val="00D758B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D758B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D758B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D758B6"/>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D758B6"/>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D758B6"/>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D758B6"/>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D758B6"/>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D758B6"/>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58B6"/>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D758B6"/>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D758B6"/>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D758B6"/>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D758B6"/>
    <w:rPr>
      <w:rFonts w:ascii="Cambria" w:hAnsi="Cambria" w:cs="Times New Roman"/>
      <w:color w:val="243F60"/>
    </w:rPr>
  </w:style>
  <w:style w:type="character" w:customStyle="1" w:styleId="Heading6Char">
    <w:name w:val="Heading 6 Char"/>
    <w:basedOn w:val="DefaultParagraphFont"/>
    <w:link w:val="Heading6"/>
    <w:uiPriority w:val="99"/>
    <w:semiHidden/>
    <w:locked/>
    <w:rsid w:val="00D758B6"/>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D758B6"/>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D758B6"/>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D758B6"/>
    <w:rPr>
      <w:rFonts w:ascii="Cambria" w:hAnsi="Cambria" w:cs="Times New Roman"/>
      <w:i/>
      <w:iCs/>
      <w:color w:val="404040"/>
      <w:sz w:val="20"/>
      <w:szCs w:val="20"/>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4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
    <w:basedOn w:val="Normal"/>
    <w:link w:val="FootnoteTextChar1"/>
    <w:semiHidden/>
    <w:rsid w:val="00E636D7"/>
    <w:pPr>
      <w:widowControl w:val="0"/>
      <w:autoSpaceDE w:val="0"/>
      <w:autoSpaceDN w:val="0"/>
      <w:adjustRightInd w:val="0"/>
      <w:spacing w:after="0" w:line="240" w:lineRule="auto"/>
    </w:pPr>
    <w:rPr>
      <w:rFonts w:ascii="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uiPriority w:val="99"/>
    <w:semiHidden/>
    <w:rsid w:val="00E94463"/>
    <w:rPr>
      <w:sz w:val="20"/>
      <w:szCs w:val="20"/>
    </w:rPr>
  </w:style>
  <w:style w:type="character" w:customStyle="1" w:styleId="FootnoteTextChar5">
    <w:name w:val="Footnote Text Char5"/>
    <w:aliases w:val="Footnote Text Char2 Char Char5,Footnote Text Char Char1 Char Char5,Footnote Text Char1 Char Char Char Char5,Footnote Text Char Char Char Char Char Char5,Footnote Text Char1 Char Char Char Char Char Char Char Char5,ft Char5,fn Char5"/>
    <w:basedOn w:val="DefaultParagraphFont"/>
    <w:uiPriority w:val="99"/>
    <w:semiHidden/>
    <w:locked/>
    <w:rPr>
      <w:rFonts w:cs="Times New Roman"/>
      <w:sz w:val="20"/>
      <w:szCs w:val="20"/>
    </w:rPr>
  </w:style>
  <w:style w:type="character" w:customStyle="1" w:styleId="FootnoteTextChar4">
    <w:name w:val="Footnote Text Char4"/>
    <w:aliases w:val="Footnote Text Char2 Char Char4,Footnote Text Char Char1 Char Char4,Footnote Text Char1 Char Char Char Char4,Footnote Text Char Char Char Char Char Char4,Footnote Text Char1 Char Char Char Char Char Char Char Char4,ft Char4,fn Char4"/>
    <w:basedOn w:val="DefaultParagraphFont"/>
    <w:uiPriority w:val="99"/>
    <w:semiHidden/>
    <w:locked/>
    <w:rsid w:val="001E3AD8"/>
    <w:rPr>
      <w:rFonts w:cs="Times New Roman"/>
      <w:sz w:val="20"/>
      <w:szCs w:val="20"/>
    </w:rPr>
  </w:style>
  <w:style w:type="character" w:customStyle="1" w:styleId="FootnoteTextChar3">
    <w:name w:val="Footnote Text Char3"/>
    <w:aliases w:val="Footnote Text Char2 Char Char3,Footnote Text Char Char1 Char Char3,Footnote Text Char1 Char Char Char Char3,Footnote Text Char Char Char Char Char Char3,Footnote Text Char1 Char Char Char Char Char Char Char Char3,ft Char3,fn Char3"/>
    <w:basedOn w:val="DefaultParagraphFont"/>
    <w:uiPriority w:val="99"/>
    <w:semiHidden/>
    <w:locked/>
    <w:rsid w:val="00DF2C33"/>
    <w:rPr>
      <w:rFonts w:cs="Times New Roman"/>
      <w:sz w:val="20"/>
      <w:szCs w:val="20"/>
    </w:rPr>
  </w:style>
  <w:style w:type="character" w:customStyle="1" w:styleId="FootnoteTextChar2">
    <w:name w:val="Footnote Text Char2"/>
    <w:aliases w:val="Footnote Text Char2 Char Char2,Footnote Text Char Char1 Char Char2,Footnote Text Char1 Char Char Char Char2,Footnote Text Char Char Char Char Char Char2,Footnote Text Char1 Char Char Char Char Char Char Char Char2,ft Char2,fn Char2"/>
    <w:basedOn w:val="DefaultParagraphFont"/>
    <w:locked/>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116779"/>
    <w:rPr>
      <w:rFonts w:cs="Times New Roman"/>
      <w:color w:val="0000FF"/>
      <w:u w:val="single"/>
    </w:rPr>
  </w:style>
  <w:style w:type="character" w:styleId="FollowedHyperlink">
    <w:name w:val="FollowedHyperlink"/>
    <w:basedOn w:val="DefaultParagraphFont"/>
    <w:uiPriority w:val="99"/>
    <w:semiHidden/>
    <w:rsid w:val="004236FE"/>
    <w:rPr>
      <w:rFonts w:cs="Times New Roman"/>
      <w:color w:val="800080"/>
      <w:u w:val="single"/>
    </w:rPr>
  </w:style>
  <w:style w:type="paragraph" w:styleId="Bibliography">
    <w:name w:val="Bibliography"/>
    <w:basedOn w:val="Normal"/>
    <w:next w:val="Normal"/>
    <w:uiPriority w:val="99"/>
    <w:semiHidden/>
    <w:rsid w:val="00D758B6"/>
  </w:style>
  <w:style w:type="paragraph" w:styleId="BlockText">
    <w:name w:val="Block Text"/>
    <w:basedOn w:val="Normal"/>
    <w:uiPriority w:val="99"/>
    <w:semiHidden/>
    <w:rsid w:val="00D758B6"/>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Times New Roman"/>
      <w:i/>
      <w:iCs/>
      <w:color w:val="4F81BD"/>
    </w:rPr>
  </w:style>
  <w:style w:type="paragraph" w:styleId="BodyText">
    <w:name w:val="Body Text"/>
    <w:basedOn w:val="Normal"/>
    <w:link w:val="BodyTextChar"/>
    <w:uiPriority w:val="99"/>
    <w:semiHidden/>
    <w:rsid w:val="00D758B6"/>
    <w:pPr>
      <w:spacing w:after="120"/>
    </w:pPr>
  </w:style>
  <w:style w:type="character" w:customStyle="1" w:styleId="BodyTextChar">
    <w:name w:val="Body Text Char"/>
    <w:basedOn w:val="DefaultParagraphFont"/>
    <w:link w:val="BodyText"/>
    <w:uiPriority w:val="99"/>
    <w:semiHidden/>
    <w:locked/>
    <w:rsid w:val="00D758B6"/>
    <w:rPr>
      <w:rFonts w:cs="Times New Roman"/>
    </w:rPr>
  </w:style>
  <w:style w:type="paragraph" w:styleId="BodyText2">
    <w:name w:val="Body Text 2"/>
    <w:basedOn w:val="Normal"/>
    <w:link w:val="BodyText2Char"/>
    <w:uiPriority w:val="99"/>
    <w:semiHidden/>
    <w:rsid w:val="00D758B6"/>
    <w:pPr>
      <w:spacing w:after="120" w:line="480" w:lineRule="auto"/>
    </w:pPr>
  </w:style>
  <w:style w:type="character" w:customStyle="1" w:styleId="BodyText2Char">
    <w:name w:val="Body Text 2 Char"/>
    <w:basedOn w:val="DefaultParagraphFont"/>
    <w:link w:val="BodyText2"/>
    <w:uiPriority w:val="99"/>
    <w:semiHidden/>
    <w:locked/>
    <w:rsid w:val="00D758B6"/>
    <w:rPr>
      <w:rFonts w:cs="Times New Roman"/>
    </w:rPr>
  </w:style>
  <w:style w:type="paragraph" w:styleId="BodyText3">
    <w:name w:val="Body Text 3"/>
    <w:basedOn w:val="Normal"/>
    <w:link w:val="BodyText3Char"/>
    <w:uiPriority w:val="99"/>
    <w:semiHidden/>
    <w:rsid w:val="00D758B6"/>
    <w:pPr>
      <w:spacing w:after="120"/>
    </w:pPr>
    <w:rPr>
      <w:sz w:val="16"/>
      <w:szCs w:val="16"/>
    </w:rPr>
  </w:style>
  <w:style w:type="character" w:customStyle="1" w:styleId="BodyText3Char">
    <w:name w:val="Body Text 3 Char"/>
    <w:basedOn w:val="DefaultParagraphFont"/>
    <w:link w:val="BodyText3"/>
    <w:uiPriority w:val="99"/>
    <w:semiHidden/>
    <w:locked/>
    <w:rsid w:val="00D758B6"/>
    <w:rPr>
      <w:rFonts w:cs="Times New Roman"/>
      <w:sz w:val="16"/>
      <w:szCs w:val="16"/>
    </w:rPr>
  </w:style>
  <w:style w:type="paragraph" w:styleId="BodyTextFirstIndent">
    <w:name w:val="Body Text First Indent"/>
    <w:basedOn w:val="BodyText"/>
    <w:link w:val="BodyTextFirstIndentChar"/>
    <w:uiPriority w:val="99"/>
    <w:semiHidden/>
    <w:rsid w:val="00D758B6"/>
    <w:pPr>
      <w:spacing w:after="200"/>
      <w:ind w:firstLine="360"/>
    </w:pPr>
  </w:style>
  <w:style w:type="character" w:customStyle="1" w:styleId="BodyTextFirstIndentChar">
    <w:name w:val="Body Text First Indent Char"/>
    <w:basedOn w:val="BodyTextChar"/>
    <w:link w:val="BodyTextFirstIndent"/>
    <w:uiPriority w:val="99"/>
    <w:semiHidden/>
    <w:locked/>
    <w:rsid w:val="00D758B6"/>
    <w:rPr>
      <w:rFonts w:cs="Times New Roman"/>
    </w:rPr>
  </w:style>
  <w:style w:type="paragraph" w:styleId="BodyTextIndent">
    <w:name w:val="Body Text Indent"/>
    <w:basedOn w:val="Normal"/>
    <w:link w:val="BodyTextIndentChar"/>
    <w:uiPriority w:val="99"/>
    <w:semiHidden/>
    <w:rsid w:val="00D758B6"/>
    <w:pPr>
      <w:spacing w:after="120"/>
      <w:ind w:left="360"/>
    </w:pPr>
  </w:style>
  <w:style w:type="character" w:customStyle="1" w:styleId="BodyTextIndentChar">
    <w:name w:val="Body Text Indent Char"/>
    <w:basedOn w:val="DefaultParagraphFont"/>
    <w:link w:val="BodyTextIndent"/>
    <w:uiPriority w:val="99"/>
    <w:semiHidden/>
    <w:locked/>
    <w:rsid w:val="00D758B6"/>
    <w:rPr>
      <w:rFonts w:cs="Times New Roman"/>
    </w:rPr>
  </w:style>
  <w:style w:type="paragraph" w:styleId="BodyTextFirstIndent2">
    <w:name w:val="Body Text First Indent 2"/>
    <w:basedOn w:val="BodyTextIndent"/>
    <w:link w:val="BodyTextFirstIndent2Char"/>
    <w:uiPriority w:val="99"/>
    <w:semiHidden/>
    <w:rsid w:val="00D758B6"/>
    <w:pPr>
      <w:spacing w:after="200"/>
      <w:ind w:firstLine="360"/>
    </w:pPr>
  </w:style>
  <w:style w:type="character" w:customStyle="1" w:styleId="BodyTextFirstIndent2Char">
    <w:name w:val="Body Text First Indent 2 Char"/>
    <w:basedOn w:val="BodyTextIndentChar"/>
    <w:link w:val="BodyTextFirstIndent2"/>
    <w:uiPriority w:val="99"/>
    <w:semiHidden/>
    <w:locked/>
    <w:rsid w:val="00D758B6"/>
    <w:rPr>
      <w:rFonts w:cs="Times New Roman"/>
    </w:rPr>
  </w:style>
  <w:style w:type="paragraph" w:styleId="BodyTextIndent2">
    <w:name w:val="Body Text Indent 2"/>
    <w:basedOn w:val="Normal"/>
    <w:link w:val="BodyTextIndent2Char"/>
    <w:uiPriority w:val="99"/>
    <w:semiHidden/>
    <w:rsid w:val="00D758B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D758B6"/>
    <w:rPr>
      <w:rFonts w:cs="Times New Roman"/>
    </w:rPr>
  </w:style>
  <w:style w:type="paragraph" w:styleId="BodyTextIndent3">
    <w:name w:val="Body Text Indent 3"/>
    <w:basedOn w:val="Normal"/>
    <w:link w:val="BodyTextIndent3Char"/>
    <w:uiPriority w:val="99"/>
    <w:semiHidden/>
    <w:rsid w:val="00D758B6"/>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D758B6"/>
    <w:rPr>
      <w:rFonts w:cs="Times New Roman"/>
      <w:sz w:val="16"/>
      <w:szCs w:val="16"/>
    </w:rPr>
  </w:style>
  <w:style w:type="paragraph" w:styleId="Caption">
    <w:name w:val="caption"/>
    <w:basedOn w:val="Normal"/>
    <w:next w:val="Normal"/>
    <w:uiPriority w:val="99"/>
    <w:qFormat/>
    <w:rsid w:val="00D758B6"/>
    <w:pPr>
      <w:spacing w:line="240" w:lineRule="auto"/>
    </w:pPr>
    <w:rPr>
      <w:b/>
      <w:bCs/>
      <w:color w:val="4F81BD"/>
      <w:sz w:val="18"/>
      <w:szCs w:val="18"/>
    </w:rPr>
  </w:style>
  <w:style w:type="paragraph" w:styleId="Closing">
    <w:name w:val="Closing"/>
    <w:basedOn w:val="Normal"/>
    <w:link w:val="ClosingChar"/>
    <w:uiPriority w:val="99"/>
    <w:semiHidden/>
    <w:rsid w:val="00D758B6"/>
    <w:pPr>
      <w:spacing w:after="0" w:line="240" w:lineRule="auto"/>
      <w:ind w:left="4320"/>
    </w:pPr>
  </w:style>
  <w:style w:type="character" w:customStyle="1" w:styleId="ClosingChar">
    <w:name w:val="Closing Char"/>
    <w:basedOn w:val="DefaultParagraphFont"/>
    <w:link w:val="Closing"/>
    <w:uiPriority w:val="99"/>
    <w:semiHidden/>
    <w:locked/>
    <w:rsid w:val="00D758B6"/>
    <w:rPr>
      <w:rFonts w:cs="Times New Roman"/>
    </w:rPr>
  </w:style>
  <w:style w:type="paragraph" w:styleId="Date">
    <w:name w:val="Date"/>
    <w:basedOn w:val="Normal"/>
    <w:next w:val="Normal"/>
    <w:link w:val="DateChar"/>
    <w:uiPriority w:val="99"/>
    <w:semiHidden/>
    <w:rsid w:val="00D758B6"/>
  </w:style>
  <w:style w:type="character" w:customStyle="1" w:styleId="DateChar">
    <w:name w:val="Date Char"/>
    <w:basedOn w:val="DefaultParagraphFont"/>
    <w:link w:val="Date"/>
    <w:uiPriority w:val="99"/>
    <w:semiHidden/>
    <w:locked/>
    <w:rsid w:val="00D758B6"/>
    <w:rPr>
      <w:rFonts w:cs="Times New Roman"/>
    </w:rPr>
  </w:style>
  <w:style w:type="paragraph" w:styleId="DocumentMap">
    <w:name w:val="Document Map"/>
    <w:basedOn w:val="Normal"/>
    <w:link w:val="DocumentMapChar"/>
    <w:uiPriority w:val="99"/>
    <w:semiHidden/>
    <w:rsid w:val="00D758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758B6"/>
    <w:rPr>
      <w:rFonts w:ascii="Tahoma" w:hAnsi="Tahoma" w:cs="Tahoma"/>
      <w:sz w:val="16"/>
      <w:szCs w:val="16"/>
    </w:rPr>
  </w:style>
  <w:style w:type="paragraph" w:styleId="E-mailSignature">
    <w:name w:val="E-mail Signature"/>
    <w:basedOn w:val="Normal"/>
    <w:link w:val="E-mailSignatureChar"/>
    <w:uiPriority w:val="99"/>
    <w:semiHidden/>
    <w:rsid w:val="00D758B6"/>
    <w:pPr>
      <w:spacing w:after="0" w:line="240" w:lineRule="auto"/>
    </w:pPr>
  </w:style>
  <w:style w:type="character" w:customStyle="1" w:styleId="E-mailSignatureChar">
    <w:name w:val="E-mail Signature Char"/>
    <w:basedOn w:val="DefaultParagraphFont"/>
    <w:link w:val="E-mailSignature"/>
    <w:uiPriority w:val="99"/>
    <w:semiHidden/>
    <w:locked/>
    <w:rsid w:val="00D758B6"/>
    <w:rPr>
      <w:rFonts w:cs="Times New Roman"/>
    </w:rPr>
  </w:style>
  <w:style w:type="paragraph" w:styleId="EndnoteText">
    <w:name w:val="endnote text"/>
    <w:basedOn w:val="Normal"/>
    <w:link w:val="EndnoteTextChar"/>
    <w:uiPriority w:val="99"/>
    <w:semiHidden/>
    <w:rsid w:val="00D758B6"/>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D758B6"/>
    <w:rPr>
      <w:rFonts w:cs="Times New Roman"/>
      <w:sz w:val="20"/>
      <w:szCs w:val="20"/>
    </w:rPr>
  </w:style>
  <w:style w:type="paragraph" w:styleId="EnvelopeAddress">
    <w:name w:val="envelope address"/>
    <w:basedOn w:val="Normal"/>
    <w:uiPriority w:val="99"/>
    <w:semiHidden/>
    <w:rsid w:val="00D758B6"/>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EnvelopeReturn">
    <w:name w:val="envelope return"/>
    <w:basedOn w:val="Normal"/>
    <w:uiPriority w:val="99"/>
    <w:semiHidden/>
    <w:rsid w:val="00D758B6"/>
    <w:pPr>
      <w:spacing w:after="0" w:line="240" w:lineRule="auto"/>
    </w:pPr>
    <w:rPr>
      <w:rFonts w:ascii="Cambria" w:eastAsia="Times New Roman" w:hAnsi="Cambria"/>
      <w:sz w:val="20"/>
      <w:szCs w:val="20"/>
    </w:rPr>
  </w:style>
  <w:style w:type="paragraph" w:styleId="HTMLAddress">
    <w:name w:val="HTML Address"/>
    <w:basedOn w:val="Normal"/>
    <w:link w:val="HTMLAddressChar"/>
    <w:uiPriority w:val="99"/>
    <w:semiHidden/>
    <w:rsid w:val="00D758B6"/>
    <w:pPr>
      <w:spacing w:after="0" w:line="240" w:lineRule="auto"/>
    </w:pPr>
    <w:rPr>
      <w:i/>
      <w:iCs/>
    </w:rPr>
  </w:style>
  <w:style w:type="character" w:customStyle="1" w:styleId="HTMLAddressChar">
    <w:name w:val="HTML Address Char"/>
    <w:basedOn w:val="DefaultParagraphFont"/>
    <w:link w:val="HTMLAddress"/>
    <w:uiPriority w:val="99"/>
    <w:semiHidden/>
    <w:locked/>
    <w:rsid w:val="00D758B6"/>
    <w:rPr>
      <w:rFonts w:cs="Times New Roman"/>
      <w:i/>
      <w:iCs/>
    </w:rPr>
  </w:style>
  <w:style w:type="paragraph" w:styleId="HTMLPreformatted">
    <w:name w:val="HTML Preformatted"/>
    <w:basedOn w:val="Normal"/>
    <w:link w:val="HTMLPreformattedChar"/>
    <w:uiPriority w:val="99"/>
    <w:semiHidden/>
    <w:rsid w:val="00D758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D758B6"/>
    <w:rPr>
      <w:rFonts w:ascii="Consolas" w:hAnsi="Consolas" w:cs="Times New Roman"/>
      <w:sz w:val="20"/>
      <w:szCs w:val="20"/>
    </w:rPr>
  </w:style>
  <w:style w:type="paragraph" w:styleId="Index1">
    <w:name w:val="index 1"/>
    <w:basedOn w:val="Normal"/>
    <w:next w:val="Normal"/>
    <w:uiPriority w:val="99"/>
    <w:semiHidden/>
    <w:rsid w:val="00D758B6"/>
    <w:pPr>
      <w:spacing w:after="0" w:line="240" w:lineRule="auto"/>
      <w:ind w:left="220" w:hanging="220"/>
    </w:pPr>
  </w:style>
  <w:style w:type="paragraph" w:styleId="Index2">
    <w:name w:val="index 2"/>
    <w:basedOn w:val="Normal"/>
    <w:next w:val="Normal"/>
    <w:uiPriority w:val="99"/>
    <w:semiHidden/>
    <w:rsid w:val="00D758B6"/>
    <w:pPr>
      <w:spacing w:after="0" w:line="240" w:lineRule="auto"/>
      <w:ind w:left="440" w:hanging="220"/>
    </w:pPr>
  </w:style>
  <w:style w:type="paragraph" w:styleId="Index3">
    <w:name w:val="index 3"/>
    <w:basedOn w:val="Normal"/>
    <w:next w:val="Normal"/>
    <w:uiPriority w:val="99"/>
    <w:semiHidden/>
    <w:rsid w:val="00D758B6"/>
    <w:pPr>
      <w:spacing w:after="0" w:line="240" w:lineRule="auto"/>
      <w:ind w:left="660" w:hanging="220"/>
    </w:pPr>
  </w:style>
  <w:style w:type="paragraph" w:styleId="Index4">
    <w:name w:val="index 4"/>
    <w:basedOn w:val="Normal"/>
    <w:next w:val="Normal"/>
    <w:uiPriority w:val="99"/>
    <w:semiHidden/>
    <w:rsid w:val="00D758B6"/>
    <w:pPr>
      <w:spacing w:after="0" w:line="240" w:lineRule="auto"/>
      <w:ind w:left="880" w:hanging="220"/>
    </w:pPr>
  </w:style>
  <w:style w:type="paragraph" w:styleId="Index5">
    <w:name w:val="index 5"/>
    <w:basedOn w:val="Normal"/>
    <w:next w:val="Normal"/>
    <w:uiPriority w:val="99"/>
    <w:semiHidden/>
    <w:rsid w:val="00D758B6"/>
    <w:pPr>
      <w:spacing w:after="0" w:line="240" w:lineRule="auto"/>
      <w:ind w:left="1100" w:hanging="220"/>
    </w:pPr>
  </w:style>
  <w:style w:type="paragraph" w:styleId="Index6">
    <w:name w:val="index 6"/>
    <w:basedOn w:val="Normal"/>
    <w:next w:val="Normal"/>
    <w:uiPriority w:val="99"/>
    <w:semiHidden/>
    <w:rsid w:val="00D758B6"/>
    <w:pPr>
      <w:spacing w:after="0" w:line="240" w:lineRule="auto"/>
      <w:ind w:left="1320" w:hanging="220"/>
    </w:pPr>
  </w:style>
  <w:style w:type="paragraph" w:styleId="Index7">
    <w:name w:val="index 7"/>
    <w:basedOn w:val="Normal"/>
    <w:next w:val="Normal"/>
    <w:uiPriority w:val="99"/>
    <w:semiHidden/>
    <w:rsid w:val="00D758B6"/>
    <w:pPr>
      <w:spacing w:after="0" w:line="240" w:lineRule="auto"/>
      <w:ind w:left="1540" w:hanging="220"/>
    </w:pPr>
  </w:style>
  <w:style w:type="paragraph" w:styleId="Index8">
    <w:name w:val="index 8"/>
    <w:basedOn w:val="Normal"/>
    <w:next w:val="Normal"/>
    <w:uiPriority w:val="99"/>
    <w:semiHidden/>
    <w:rsid w:val="00D758B6"/>
    <w:pPr>
      <w:spacing w:after="0" w:line="240" w:lineRule="auto"/>
      <w:ind w:left="1760" w:hanging="220"/>
    </w:pPr>
  </w:style>
  <w:style w:type="paragraph" w:styleId="Index9">
    <w:name w:val="index 9"/>
    <w:basedOn w:val="Normal"/>
    <w:next w:val="Normal"/>
    <w:uiPriority w:val="99"/>
    <w:semiHidden/>
    <w:rsid w:val="00D758B6"/>
    <w:pPr>
      <w:spacing w:after="0" w:line="240" w:lineRule="auto"/>
      <w:ind w:left="1980" w:hanging="220"/>
    </w:pPr>
  </w:style>
  <w:style w:type="paragraph" w:styleId="IndexHeading">
    <w:name w:val="index heading"/>
    <w:basedOn w:val="Normal"/>
    <w:next w:val="Index1"/>
    <w:uiPriority w:val="99"/>
    <w:semiHidden/>
    <w:rsid w:val="00D758B6"/>
    <w:rPr>
      <w:rFonts w:ascii="Cambria" w:eastAsia="Times New Roman" w:hAnsi="Cambria"/>
      <w:b/>
      <w:bCs/>
    </w:rPr>
  </w:style>
  <w:style w:type="paragraph" w:styleId="IntenseQuote">
    <w:name w:val="Intense Quote"/>
    <w:basedOn w:val="Normal"/>
    <w:next w:val="Normal"/>
    <w:link w:val="IntenseQuoteChar"/>
    <w:uiPriority w:val="99"/>
    <w:qFormat/>
    <w:rsid w:val="00D758B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D758B6"/>
    <w:rPr>
      <w:rFonts w:cs="Times New Roman"/>
      <w:b/>
      <w:bCs/>
      <w:i/>
      <w:iCs/>
      <w:color w:val="4F81BD"/>
    </w:rPr>
  </w:style>
  <w:style w:type="paragraph" w:styleId="List">
    <w:name w:val="List"/>
    <w:basedOn w:val="Normal"/>
    <w:uiPriority w:val="99"/>
    <w:semiHidden/>
    <w:rsid w:val="00D758B6"/>
    <w:pPr>
      <w:ind w:left="360" w:hanging="360"/>
      <w:contextualSpacing/>
    </w:pPr>
  </w:style>
  <w:style w:type="paragraph" w:styleId="List2">
    <w:name w:val="List 2"/>
    <w:basedOn w:val="Normal"/>
    <w:uiPriority w:val="99"/>
    <w:semiHidden/>
    <w:rsid w:val="00D758B6"/>
    <w:pPr>
      <w:ind w:left="720" w:hanging="360"/>
      <w:contextualSpacing/>
    </w:pPr>
  </w:style>
  <w:style w:type="paragraph" w:styleId="List3">
    <w:name w:val="List 3"/>
    <w:basedOn w:val="Normal"/>
    <w:uiPriority w:val="99"/>
    <w:semiHidden/>
    <w:rsid w:val="00D758B6"/>
    <w:pPr>
      <w:ind w:left="1080" w:hanging="360"/>
      <w:contextualSpacing/>
    </w:pPr>
  </w:style>
  <w:style w:type="paragraph" w:styleId="List4">
    <w:name w:val="List 4"/>
    <w:basedOn w:val="Normal"/>
    <w:uiPriority w:val="99"/>
    <w:semiHidden/>
    <w:rsid w:val="00D758B6"/>
    <w:pPr>
      <w:ind w:left="1440" w:hanging="360"/>
      <w:contextualSpacing/>
    </w:pPr>
  </w:style>
  <w:style w:type="paragraph" w:styleId="List5">
    <w:name w:val="List 5"/>
    <w:basedOn w:val="Normal"/>
    <w:uiPriority w:val="99"/>
    <w:semiHidden/>
    <w:rsid w:val="00D758B6"/>
    <w:pPr>
      <w:ind w:left="1800" w:hanging="360"/>
      <w:contextualSpacing/>
    </w:pPr>
  </w:style>
  <w:style w:type="paragraph" w:styleId="ListBullet">
    <w:name w:val="List Bullet"/>
    <w:basedOn w:val="Normal"/>
    <w:uiPriority w:val="99"/>
    <w:semiHidden/>
    <w:rsid w:val="00D758B6"/>
    <w:pPr>
      <w:numPr>
        <w:numId w:val="1"/>
      </w:numPr>
      <w:contextualSpacing/>
    </w:pPr>
  </w:style>
  <w:style w:type="paragraph" w:styleId="ListBullet2">
    <w:name w:val="List Bullet 2"/>
    <w:basedOn w:val="Normal"/>
    <w:uiPriority w:val="99"/>
    <w:semiHidden/>
    <w:rsid w:val="00D758B6"/>
    <w:pPr>
      <w:numPr>
        <w:numId w:val="2"/>
      </w:numPr>
      <w:contextualSpacing/>
    </w:pPr>
  </w:style>
  <w:style w:type="paragraph" w:styleId="ListBullet3">
    <w:name w:val="List Bullet 3"/>
    <w:basedOn w:val="Normal"/>
    <w:uiPriority w:val="99"/>
    <w:semiHidden/>
    <w:rsid w:val="00D758B6"/>
    <w:pPr>
      <w:numPr>
        <w:numId w:val="3"/>
      </w:numPr>
      <w:contextualSpacing/>
    </w:pPr>
  </w:style>
  <w:style w:type="paragraph" w:styleId="ListBullet4">
    <w:name w:val="List Bullet 4"/>
    <w:basedOn w:val="Normal"/>
    <w:uiPriority w:val="99"/>
    <w:semiHidden/>
    <w:rsid w:val="00D758B6"/>
    <w:pPr>
      <w:numPr>
        <w:numId w:val="4"/>
      </w:numPr>
      <w:contextualSpacing/>
    </w:pPr>
  </w:style>
  <w:style w:type="paragraph" w:styleId="ListBullet5">
    <w:name w:val="List Bullet 5"/>
    <w:basedOn w:val="Normal"/>
    <w:uiPriority w:val="99"/>
    <w:semiHidden/>
    <w:rsid w:val="00D758B6"/>
    <w:pPr>
      <w:numPr>
        <w:numId w:val="5"/>
      </w:numPr>
      <w:contextualSpacing/>
    </w:pPr>
  </w:style>
  <w:style w:type="paragraph" w:styleId="ListContinue2">
    <w:name w:val="List Continue 2"/>
    <w:basedOn w:val="Normal"/>
    <w:uiPriority w:val="99"/>
    <w:semiHidden/>
    <w:rsid w:val="00D758B6"/>
    <w:pPr>
      <w:spacing w:after="120"/>
      <w:ind w:left="720"/>
      <w:contextualSpacing/>
    </w:pPr>
  </w:style>
  <w:style w:type="paragraph" w:styleId="ListContinue3">
    <w:name w:val="List Continue 3"/>
    <w:basedOn w:val="Normal"/>
    <w:uiPriority w:val="99"/>
    <w:semiHidden/>
    <w:rsid w:val="00D758B6"/>
    <w:pPr>
      <w:spacing w:after="120"/>
      <w:ind w:left="1080"/>
      <w:contextualSpacing/>
    </w:pPr>
  </w:style>
  <w:style w:type="paragraph" w:styleId="ListContinue4">
    <w:name w:val="List Continue 4"/>
    <w:basedOn w:val="Normal"/>
    <w:uiPriority w:val="99"/>
    <w:semiHidden/>
    <w:rsid w:val="00D758B6"/>
    <w:pPr>
      <w:spacing w:after="120"/>
      <w:ind w:left="1440"/>
      <w:contextualSpacing/>
    </w:pPr>
  </w:style>
  <w:style w:type="paragraph" w:styleId="ListContinue5">
    <w:name w:val="List Continue 5"/>
    <w:basedOn w:val="Normal"/>
    <w:uiPriority w:val="99"/>
    <w:semiHidden/>
    <w:rsid w:val="00D758B6"/>
    <w:pPr>
      <w:spacing w:after="120"/>
      <w:ind w:left="1800"/>
      <w:contextualSpacing/>
    </w:pPr>
  </w:style>
  <w:style w:type="paragraph" w:styleId="ListNumber">
    <w:name w:val="List Number"/>
    <w:basedOn w:val="Normal"/>
    <w:uiPriority w:val="99"/>
    <w:semiHidden/>
    <w:rsid w:val="00D758B6"/>
    <w:pPr>
      <w:numPr>
        <w:numId w:val="6"/>
      </w:numPr>
      <w:contextualSpacing/>
    </w:pPr>
  </w:style>
  <w:style w:type="paragraph" w:styleId="ListNumber2">
    <w:name w:val="List Number 2"/>
    <w:basedOn w:val="Normal"/>
    <w:uiPriority w:val="99"/>
    <w:semiHidden/>
    <w:rsid w:val="00D758B6"/>
    <w:pPr>
      <w:numPr>
        <w:numId w:val="7"/>
      </w:numPr>
      <w:contextualSpacing/>
    </w:pPr>
  </w:style>
  <w:style w:type="paragraph" w:styleId="ListNumber3">
    <w:name w:val="List Number 3"/>
    <w:basedOn w:val="Normal"/>
    <w:uiPriority w:val="99"/>
    <w:semiHidden/>
    <w:rsid w:val="00D758B6"/>
    <w:pPr>
      <w:numPr>
        <w:numId w:val="8"/>
      </w:numPr>
      <w:contextualSpacing/>
    </w:pPr>
  </w:style>
  <w:style w:type="paragraph" w:styleId="ListNumber4">
    <w:name w:val="List Number 4"/>
    <w:basedOn w:val="Normal"/>
    <w:uiPriority w:val="99"/>
    <w:semiHidden/>
    <w:rsid w:val="00D758B6"/>
    <w:pPr>
      <w:numPr>
        <w:numId w:val="9"/>
      </w:numPr>
      <w:contextualSpacing/>
    </w:pPr>
  </w:style>
  <w:style w:type="paragraph" w:styleId="ListNumber5">
    <w:name w:val="List Number 5"/>
    <w:basedOn w:val="Normal"/>
    <w:uiPriority w:val="99"/>
    <w:semiHidden/>
    <w:rsid w:val="00D758B6"/>
    <w:pPr>
      <w:numPr>
        <w:numId w:val="10"/>
      </w:numPr>
      <w:contextualSpacing/>
    </w:pPr>
  </w:style>
  <w:style w:type="paragraph" w:styleId="MacroText">
    <w:name w:val="macro"/>
    <w:link w:val="MacroTextChar"/>
    <w:uiPriority w:val="99"/>
    <w:semiHidden/>
    <w:rsid w:val="00D758B6"/>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uiPriority w:val="99"/>
    <w:semiHidden/>
    <w:locked/>
    <w:rsid w:val="00D758B6"/>
    <w:rPr>
      <w:rFonts w:ascii="Consolas" w:hAnsi="Consolas" w:cs="Times New Roman"/>
      <w:lang w:val="en-US" w:eastAsia="en-US" w:bidi="ar-SA"/>
    </w:rPr>
  </w:style>
  <w:style w:type="paragraph" w:styleId="MessageHeader">
    <w:name w:val="Message Header"/>
    <w:basedOn w:val="Normal"/>
    <w:link w:val="MessageHeaderChar"/>
    <w:uiPriority w:val="99"/>
    <w:semiHidden/>
    <w:rsid w:val="00D758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uiPriority w:val="99"/>
    <w:semiHidden/>
    <w:locked/>
    <w:rsid w:val="00D758B6"/>
    <w:rPr>
      <w:rFonts w:ascii="Cambria" w:hAnsi="Cambria" w:cs="Times New Roman"/>
      <w:sz w:val="24"/>
      <w:szCs w:val="24"/>
      <w:shd w:val="pct20" w:color="auto" w:fill="auto"/>
    </w:rPr>
  </w:style>
  <w:style w:type="paragraph" w:styleId="NoSpacing">
    <w:name w:val="No Spacing"/>
    <w:uiPriority w:val="99"/>
    <w:qFormat/>
    <w:rsid w:val="00D758B6"/>
  </w:style>
  <w:style w:type="paragraph" w:styleId="NormalWeb">
    <w:name w:val="Normal (Web)"/>
    <w:basedOn w:val="Normal"/>
    <w:uiPriority w:val="99"/>
    <w:semiHidden/>
    <w:rsid w:val="00D758B6"/>
    <w:rPr>
      <w:rFonts w:ascii="Times New Roman" w:hAnsi="Times New Roman"/>
      <w:sz w:val="24"/>
      <w:szCs w:val="24"/>
    </w:rPr>
  </w:style>
  <w:style w:type="paragraph" w:styleId="NormalIndent">
    <w:name w:val="Normal Indent"/>
    <w:basedOn w:val="Normal"/>
    <w:uiPriority w:val="99"/>
    <w:semiHidden/>
    <w:rsid w:val="00D758B6"/>
    <w:pPr>
      <w:ind w:left="720"/>
    </w:pPr>
  </w:style>
  <w:style w:type="paragraph" w:styleId="NoteHeading">
    <w:name w:val="Note Heading"/>
    <w:basedOn w:val="Normal"/>
    <w:next w:val="Normal"/>
    <w:link w:val="NoteHeadingChar"/>
    <w:uiPriority w:val="99"/>
    <w:semiHidden/>
    <w:rsid w:val="00D758B6"/>
    <w:pPr>
      <w:spacing w:after="0" w:line="240" w:lineRule="auto"/>
    </w:pPr>
  </w:style>
  <w:style w:type="character" w:customStyle="1" w:styleId="NoteHeadingChar">
    <w:name w:val="Note Heading Char"/>
    <w:basedOn w:val="DefaultParagraphFont"/>
    <w:link w:val="NoteHeading"/>
    <w:uiPriority w:val="99"/>
    <w:semiHidden/>
    <w:locked/>
    <w:rsid w:val="00D758B6"/>
    <w:rPr>
      <w:rFonts w:cs="Times New Roman"/>
    </w:rPr>
  </w:style>
  <w:style w:type="paragraph" w:styleId="PlainText">
    <w:name w:val="Plain Text"/>
    <w:basedOn w:val="Normal"/>
    <w:link w:val="PlainTextChar"/>
    <w:uiPriority w:val="99"/>
    <w:semiHidden/>
    <w:rsid w:val="00D758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D758B6"/>
    <w:rPr>
      <w:rFonts w:ascii="Consolas" w:hAnsi="Consolas" w:cs="Times New Roman"/>
      <w:sz w:val="21"/>
      <w:szCs w:val="21"/>
    </w:rPr>
  </w:style>
  <w:style w:type="paragraph" w:styleId="Quote">
    <w:name w:val="Quote"/>
    <w:basedOn w:val="Normal"/>
    <w:next w:val="Normal"/>
    <w:link w:val="QuoteChar"/>
    <w:uiPriority w:val="99"/>
    <w:qFormat/>
    <w:rsid w:val="00D758B6"/>
    <w:rPr>
      <w:i/>
      <w:iCs/>
      <w:color w:val="000000"/>
    </w:rPr>
  </w:style>
  <w:style w:type="character" w:customStyle="1" w:styleId="QuoteChar">
    <w:name w:val="Quote Char"/>
    <w:basedOn w:val="DefaultParagraphFont"/>
    <w:link w:val="Quote"/>
    <w:uiPriority w:val="99"/>
    <w:locked/>
    <w:rsid w:val="00D758B6"/>
    <w:rPr>
      <w:rFonts w:cs="Times New Roman"/>
      <w:i/>
      <w:iCs/>
      <w:color w:val="000000"/>
    </w:rPr>
  </w:style>
  <w:style w:type="paragraph" w:styleId="Salutation">
    <w:name w:val="Salutation"/>
    <w:basedOn w:val="Normal"/>
    <w:next w:val="Normal"/>
    <w:link w:val="SalutationChar"/>
    <w:uiPriority w:val="99"/>
    <w:semiHidden/>
    <w:rsid w:val="00D758B6"/>
  </w:style>
  <w:style w:type="character" w:customStyle="1" w:styleId="SalutationChar">
    <w:name w:val="Salutation Char"/>
    <w:basedOn w:val="DefaultParagraphFont"/>
    <w:link w:val="Salutation"/>
    <w:uiPriority w:val="99"/>
    <w:semiHidden/>
    <w:locked/>
    <w:rsid w:val="00D758B6"/>
    <w:rPr>
      <w:rFonts w:cs="Times New Roman"/>
    </w:rPr>
  </w:style>
  <w:style w:type="paragraph" w:styleId="Signature">
    <w:name w:val="Signature"/>
    <w:basedOn w:val="Normal"/>
    <w:link w:val="SignatureChar"/>
    <w:uiPriority w:val="99"/>
    <w:semiHidden/>
    <w:rsid w:val="00D758B6"/>
    <w:pPr>
      <w:spacing w:after="0" w:line="240" w:lineRule="auto"/>
      <w:ind w:left="4320"/>
    </w:pPr>
  </w:style>
  <w:style w:type="character" w:customStyle="1" w:styleId="SignatureChar">
    <w:name w:val="Signature Char"/>
    <w:basedOn w:val="DefaultParagraphFont"/>
    <w:link w:val="Signature"/>
    <w:uiPriority w:val="99"/>
    <w:semiHidden/>
    <w:locked/>
    <w:rsid w:val="00D758B6"/>
    <w:rPr>
      <w:rFonts w:cs="Times New Roman"/>
    </w:rPr>
  </w:style>
  <w:style w:type="paragraph" w:styleId="Subtitle">
    <w:name w:val="Subtitle"/>
    <w:basedOn w:val="Normal"/>
    <w:next w:val="Normal"/>
    <w:link w:val="SubtitleChar"/>
    <w:uiPriority w:val="99"/>
    <w:qFormat/>
    <w:rsid w:val="00D758B6"/>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D758B6"/>
    <w:rPr>
      <w:rFonts w:ascii="Cambria" w:hAnsi="Cambria" w:cs="Times New Roman"/>
      <w:i/>
      <w:iCs/>
      <w:color w:val="4F81BD"/>
      <w:spacing w:val="15"/>
      <w:sz w:val="24"/>
      <w:szCs w:val="24"/>
    </w:rPr>
  </w:style>
  <w:style w:type="paragraph" w:styleId="TableofAuthorities">
    <w:name w:val="table of authorities"/>
    <w:basedOn w:val="Normal"/>
    <w:next w:val="Normal"/>
    <w:uiPriority w:val="99"/>
    <w:semiHidden/>
    <w:rsid w:val="00D758B6"/>
    <w:pPr>
      <w:spacing w:after="0"/>
      <w:ind w:left="220" w:hanging="220"/>
    </w:pPr>
  </w:style>
  <w:style w:type="paragraph" w:styleId="TableofFigures">
    <w:name w:val="table of figures"/>
    <w:basedOn w:val="Normal"/>
    <w:next w:val="Normal"/>
    <w:uiPriority w:val="99"/>
    <w:semiHidden/>
    <w:rsid w:val="00D758B6"/>
    <w:pPr>
      <w:spacing w:after="0"/>
    </w:pPr>
  </w:style>
  <w:style w:type="paragraph" w:styleId="Title">
    <w:name w:val="Title"/>
    <w:basedOn w:val="Normal"/>
    <w:next w:val="Normal"/>
    <w:link w:val="TitleChar"/>
    <w:uiPriority w:val="99"/>
    <w:qFormat/>
    <w:rsid w:val="00D758B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D758B6"/>
    <w:rPr>
      <w:rFonts w:ascii="Cambria" w:hAnsi="Cambria" w:cs="Times New Roman"/>
      <w:color w:val="17365D"/>
      <w:spacing w:val="5"/>
      <w:kern w:val="28"/>
      <w:sz w:val="52"/>
      <w:szCs w:val="52"/>
    </w:rPr>
  </w:style>
  <w:style w:type="paragraph" w:styleId="TOAHeading">
    <w:name w:val="toa heading"/>
    <w:basedOn w:val="Normal"/>
    <w:next w:val="Normal"/>
    <w:uiPriority w:val="99"/>
    <w:semiHidden/>
    <w:rsid w:val="00D758B6"/>
    <w:pPr>
      <w:spacing w:before="120"/>
    </w:pPr>
    <w:rPr>
      <w:rFonts w:ascii="Cambria" w:eastAsia="Times New Roman" w:hAnsi="Cambria"/>
      <w:b/>
      <w:bCs/>
      <w:sz w:val="24"/>
      <w:szCs w:val="24"/>
    </w:rPr>
  </w:style>
  <w:style w:type="paragraph" w:styleId="TOC1">
    <w:name w:val="toc 1"/>
    <w:basedOn w:val="Normal"/>
    <w:next w:val="Normal"/>
    <w:uiPriority w:val="99"/>
    <w:semiHidden/>
    <w:rsid w:val="00D758B6"/>
    <w:pPr>
      <w:spacing w:after="100"/>
    </w:pPr>
  </w:style>
  <w:style w:type="paragraph" w:styleId="TOC2">
    <w:name w:val="toc 2"/>
    <w:basedOn w:val="Normal"/>
    <w:next w:val="Normal"/>
    <w:uiPriority w:val="99"/>
    <w:semiHidden/>
    <w:rsid w:val="00D758B6"/>
    <w:pPr>
      <w:spacing w:after="100"/>
      <w:ind w:left="220"/>
    </w:pPr>
  </w:style>
  <w:style w:type="paragraph" w:styleId="TOC3">
    <w:name w:val="toc 3"/>
    <w:basedOn w:val="Normal"/>
    <w:next w:val="Normal"/>
    <w:uiPriority w:val="99"/>
    <w:semiHidden/>
    <w:rsid w:val="00D758B6"/>
    <w:pPr>
      <w:spacing w:after="100"/>
      <w:ind w:left="440"/>
    </w:pPr>
  </w:style>
  <w:style w:type="paragraph" w:styleId="TOC4">
    <w:name w:val="toc 4"/>
    <w:basedOn w:val="Normal"/>
    <w:next w:val="Normal"/>
    <w:uiPriority w:val="99"/>
    <w:semiHidden/>
    <w:rsid w:val="00D758B6"/>
    <w:pPr>
      <w:spacing w:after="100"/>
      <w:ind w:left="660"/>
    </w:pPr>
  </w:style>
  <w:style w:type="paragraph" w:styleId="TOC5">
    <w:name w:val="toc 5"/>
    <w:basedOn w:val="Normal"/>
    <w:next w:val="Normal"/>
    <w:uiPriority w:val="99"/>
    <w:semiHidden/>
    <w:rsid w:val="00D758B6"/>
    <w:pPr>
      <w:spacing w:after="100"/>
      <w:ind w:left="880"/>
    </w:pPr>
  </w:style>
  <w:style w:type="paragraph" w:styleId="TOC6">
    <w:name w:val="toc 6"/>
    <w:basedOn w:val="Normal"/>
    <w:next w:val="Normal"/>
    <w:uiPriority w:val="99"/>
    <w:semiHidden/>
    <w:rsid w:val="00D758B6"/>
    <w:pPr>
      <w:spacing w:after="100"/>
      <w:ind w:left="1100"/>
    </w:pPr>
  </w:style>
  <w:style w:type="paragraph" w:styleId="TOC7">
    <w:name w:val="toc 7"/>
    <w:basedOn w:val="Normal"/>
    <w:next w:val="Normal"/>
    <w:uiPriority w:val="99"/>
    <w:semiHidden/>
    <w:rsid w:val="00D758B6"/>
    <w:pPr>
      <w:spacing w:after="100"/>
      <w:ind w:left="1320"/>
    </w:pPr>
  </w:style>
  <w:style w:type="paragraph" w:styleId="TOC8">
    <w:name w:val="toc 8"/>
    <w:basedOn w:val="Normal"/>
    <w:next w:val="Normal"/>
    <w:uiPriority w:val="99"/>
    <w:semiHidden/>
    <w:rsid w:val="00D758B6"/>
    <w:pPr>
      <w:spacing w:after="100"/>
      <w:ind w:left="1540"/>
    </w:pPr>
  </w:style>
  <w:style w:type="paragraph" w:styleId="TOC9">
    <w:name w:val="toc 9"/>
    <w:basedOn w:val="Normal"/>
    <w:next w:val="Normal"/>
    <w:uiPriority w:val="99"/>
    <w:semiHidden/>
    <w:rsid w:val="00D758B6"/>
    <w:pPr>
      <w:spacing w:after="100"/>
      <w:ind w:left="1760"/>
    </w:pPr>
  </w:style>
  <w:style w:type="paragraph" w:styleId="TOCHeading">
    <w:name w:val="TOC Heading"/>
    <w:basedOn w:val="Heading1"/>
    <w:next w:val="Normal"/>
    <w:uiPriority w:val="99"/>
    <w:qFormat/>
    <w:rsid w:val="00D758B6"/>
    <w:pPr>
      <w:outlineLvl w:val="9"/>
    </w:pPr>
  </w:style>
  <w:style w:type="paragraph" w:customStyle="1" w:styleId="FERCparanumber">
    <w:name w:val="FERC paranumber"/>
    <w:basedOn w:val="Normal"/>
    <w:link w:val="FERCparanumberChar"/>
    <w:uiPriority w:val="99"/>
    <w:rsid w:val="005B1309"/>
    <w:pPr>
      <w:numPr>
        <w:numId w:val="43"/>
      </w:numPr>
      <w:spacing w:after="0" w:line="240" w:lineRule="auto"/>
    </w:pPr>
    <w:rPr>
      <w:rFonts w:ascii="Times New Roman" w:hAnsi="Times New Roman"/>
      <w:sz w:val="26"/>
      <w:szCs w:val="24"/>
    </w:rPr>
  </w:style>
  <w:style w:type="character" w:customStyle="1" w:styleId="FERCparanumberChar">
    <w:name w:val="FERC paranumber Char"/>
    <w:link w:val="FERCparanumber"/>
    <w:uiPriority w:val="99"/>
    <w:locked/>
    <w:rsid w:val="005B1309"/>
    <w:rPr>
      <w:rFonts w:ascii="Times New Roman" w:hAnsi="Times New Roman"/>
      <w:sz w:val="26"/>
      <w:szCs w:val="24"/>
    </w:rPr>
  </w:style>
  <w:style w:type="table" w:styleId="TableGrid">
    <w:name w:val="Table Grid"/>
    <w:basedOn w:val="TableNormal"/>
    <w:uiPriority w:val="99"/>
    <w:locked/>
    <w:rsid w:val="007E3489"/>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173508">
      <w:bodyDiv w:val="1"/>
      <w:marLeft w:val="0"/>
      <w:marRight w:val="0"/>
      <w:marTop w:val="0"/>
      <w:marBottom w:val="0"/>
      <w:divBdr>
        <w:top w:val="none" w:sz="0" w:space="0" w:color="auto"/>
        <w:left w:val="none" w:sz="0" w:space="0" w:color="auto"/>
        <w:bottom w:val="none" w:sz="0" w:space="0" w:color="auto"/>
        <w:right w:val="none" w:sz="0" w:space="0" w:color="auto"/>
      </w:divBdr>
    </w:div>
    <w:div w:id="1302148728">
      <w:bodyDiv w:val="1"/>
      <w:marLeft w:val="0"/>
      <w:marRight w:val="0"/>
      <w:marTop w:val="0"/>
      <w:marBottom w:val="0"/>
      <w:divBdr>
        <w:top w:val="none" w:sz="0" w:space="0" w:color="auto"/>
        <w:left w:val="none" w:sz="0" w:space="0" w:color="auto"/>
        <w:bottom w:val="none" w:sz="0" w:space="0" w:color="auto"/>
        <w:right w:val="none" w:sz="0" w:space="0" w:color="auto"/>
      </w:divBdr>
    </w:div>
    <w:div w:id="202631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erc.gov/docs-filing/forms.asp"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ferc.gov/docs-filing/forms.as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ocis.gov/rocis/jsp/common/ROCIS_HOW_TO_Guide_for_AGENCY_Users_of_ICR_Module-03192012_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0D9C3-E2CD-442B-B41B-467B731FA032}">
  <ds:schemaRefs>
    <ds:schemaRef ds:uri="http://schemas.openxmlformats.org/officeDocument/2006/bibliography"/>
  </ds:schemaRefs>
</ds:datastoreItem>
</file>

<file path=customXml/itemProps2.xml><?xml version="1.0" encoding="utf-8"?>
<ds:datastoreItem xmlns:ds="http://schemas.openxmlformats.org/officeDocument/2006/customXml" ds:itemID="{6FC4E862-B185-405E-9A53-B4DDC9D72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1632</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FERC</Company>
  <LinksUpToDate>false</LinksUpToDate>
  <CharactersWithSpaces>10913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ferc</dc:creator>
  <cp:lastModifiedBy>Ellen Brown</cp:lastModifiedBy>
  <cp:revision>3</cp:revision>
  <cp:lastPrinted>2013-04-18T12:24:00Z</cp:lastPrinted>
  <dcterms:created xsi:type="dcterms:W3CDTF">2013-04-29T16:10:00Z</dcterms:created>
  <dcterms:modified xsi:type="dcterms:W3CDTF">2013-04-29T16:11:00Z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Draft WMR for 4/19/13</vt:lpwstr>
  </property>
  <property fmtid="{D5CDD505-2E9C-101B-9397-08002B2CF9AE}" pid="4" name="_AuthorEmail">
    <vt:lpwstr>brenda.devine@ferc.gov</vt:lpwstr>
  </property>
  <property fmtid="{D5CDD505-2E9C-101B-9397-08002B2CF9AE}" pid="5" name="_AuthorEmailDisplayName">
    <vt:lpwstr>Brenda Devine</vt:lpwstr>
  </property>
  <property fmtid="{D5CDD505-2E9C-101B-9397-08002B2CF9AE}" pid="6" name="_AdHocReviewCycleID">
    <vt:i4>379299017</vt:i4>
  </property>
  <property fmtid="{D5CDD505-2E9C-101B-9397-08002B2CF9AE}" pid="7" name="_ReviewingToolsShownOnce">
    <vt:lpwstr/>
  </property>
</Properties>
</file>