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suppressAutoHyphens/>
        <w:jc w:val="center"/>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86054" w:rsidRDefault="00F77B35" w:rsidP="00F77B35">
      <w:pPr>
        <w:tabs>
          <w:tab w:val="left" w:pos="0"/>
        </w:tabs>
        <w:suppressAutoHyphens/>
        <w:ind w:left="720"/>
        <w:rPr>
          <w:rFonts w:ascii="Times New Roman" w:hAnsi="Times New Roman"/>
          <w:szCs w:val="24"/>
        </w:rPr>
      </w:pPr>
      <w:r>
        <w:rPr>
          <w:rFonts w:ascii="Times New Roman" w:hAnsi="Times New Roman"/>
          <w:szCs w:val="24"/>
        </w:rPr>
        <w:t>This request is for approval of an extension of</w:t>
      </w:r>
      <w:r w:rsidR="00800063">
        <w:rPr>
          <w:rFonts w:ascii="Times New Roman" w:hAnsi="Times New Roman"/>
          <w:szCs w:val="24"/>
        </w:rPr>
        <w:t xml:space="preserve"> the</w:t>
      </w:r>
      <w:r>
        <w:rPr>
          <w:rFonts w:ascii="Times New Roman" w:hAnsi="Times New Roman"/>
          <w:szCs w:val="24"/>
        </w:rPr>
        <w:t xml:space="preserve"> reporting requirements currently located in the Student Assistance General Provisions, 34 CFR 668, Subpart I.  This subpart governs the Immigration-Status Confirmation, as authorized by section 484(g) of the Higher Education Act of 1965, as amended (HEA) (20 U.S.C. 1091).  </w:t>
      </w:r>
      <w:r w:rsidR="00800063">
        <w:rPr>
          <w:rFonts w:ascii="Times New Roman" w:hAnsi="Times New Roman"/>
          <w:szCs w:val="24"/>
        </w:rPr>
        <w:t xml:space="preserve">The regulations can be reviewed at </w:t>
      </w:r>
      <w:hyperlink r:id="rId9" w:history="1">
        <w:r w:rsidRPr="00E07FB2">
          <w:rPr>
            <w:rStyle w:val="Hyperlink"/>
            <w:rFonts w:ascii="Times New Roman" w:hAnsi="Times New Roman"/>
            <w:szCs w:val="24"/>
          </w:rPr>
          <w:t>http://ecfr.gpoaccess.gov/cgi/t/text/text-idx?c=ecfr&amp;sid=fdd03bd111d27c5bdb9def18df0446b8&amp;rgn=div6&amp;view=text&amp;node=34:3.1.3.1.34.9&amp;idno=34</w:t>
        </w:r>
      </w:hyperlink>
      <w:r>
        <w:rPr>
          <w:rFonts w:ascii="Times New Roman" w:hAnsi="Times New Roman"/>
          <w:szCs w:val="24"/>
        </w:rPr>
        <w:t xml:space="preserve"> </w:t>
      </w:r>
    </w:p>
    <w:p w:rsidR="00DC68F5" w:rsidRDefault="00DC68F5" w:rsidP="00F77B35">
      <w:pPr>
        <w:tabs>
          <w:tab w:val="left" w:pos="0"/>
        </w:tabs>
        <w:suppressAutoHyphens/>
        <w:ind w:left="720"/>
        <w:rPr>
          <w:rFonts w:ascii="Times New Roman" w:hAnsi="Times New Roman"/>
          <w:szCs w:val="24"/>
        </w:rPr>
      </w:pPr>
    </w:p>
    <w:p w:rsidR="00DC68F5" w:rsidRPr="00EF7FF5" w:rsidRDefault="00DC68F5" w:rsidP="00DC68F5">
      <w:pPr>
        <w:tabs>
          <w:tab w:val="left" w:pos="0"/>
        </w:tabs>
        <w:suppressAutoHyphens/>
        <w:ind w:left="720"/>
        <w:rPr>
          <w:rFonts w:ascii="Times New Roman" w:hAnsi="Times New Roman"/>
          <w:szCs w:val="24"/>
        </w:rPr>
      </w:pPr>
      <w:r>
        <w:rPr>
          <w:rFonts w:ascii="Times New Roman" w:hAnsi="Times New Roman"/>
          <w:szCs w:val="24"/>
        </w:rPr>
        <w:t>This collection updates the usage by individuals and schools.</w:t>
      </w:r>
      <w:r w:rsidRPr="00096D8F">
        <w:rPr>
          <w:rFonts w:ascii="Times New Roman" w:hAnsi="Times New Roman"/>
          <w:szCs w:val="24"/>
        </w:rPr>
        <w:t xml:space="preserve"> </w:t>
      </w:r>
      <w:r>
        <w:rPr>
          <w:rFonts w:ascii="Times New Roman" w:hAnsi="Times New Roman"/>
          <w:szCs w:val="24"/>
        </w:rPr>
        <w:t xml:space="preserve"> This is necessary to determine eligibility to receive program benefits and to prevent fraud and abuse of program funds.  </w:t>
      </w:r>
    </w:p>
    <w:p w:rsidR="00800063" w:rsidRDefault="00800063" w:rsidP="00F77B35">
      <w:pPr>
        <w:tabs>
          <w:tab w:val="left" w:pos="0"/>
        </w:tabs>
        <w:suppressAutoHyphens/>
        <w:ind w:left="720"/>
        <w:rPr>
          <w:rFonts w:ascii="Times New Roman" w:hAnsi="Times New Roman"/>
          <w:szCs w:val="24"/>
        </w:rPr>
      </w:pPr>
    </w:p>
    <w:p w:rsidR="00BE09D2" w:rsidRDefault="007706B8" w:rsidP="00F77B35">
      <w:pPr>
        <w:tabs>
          <w:tab w:val="left" w:pos="0"/>
        </w:tabs>
        <w:suppressAutoHyphens/>
        <w:ind w:left="720"/>
        <w:rPr>
          <w:rFonts w:ascii="Times New Roman" w:hAnsi="Times New Roman"/>
          <w:szCs w:val="24"/>
        </w:rPr>
      </w:pPr>
      <w:r>
        <w:rPr>
          <w:rFonts w:ascii="Times New Roman" w:hAnsi="Times New Roman"/>
          <w:szCs w:val="24"/>
        </w:rPr>
        <w:t xml:space="preserve">The regulations in 668.133 </w:t>
      </w:r>
      <w:r w:rsidR="00AD00EB">
        <w:rPr>
          <w:rFonts w:ascii="Times New Roman" w:hAnsi="Times New Roman"/>
          <w:szCs w:val="24"/>
        </w:rPr>
        <w:t xml:space="preserve">requires </w:t>
      </w:r>
      <w:r w:rsidR="009A264B">
        <w:rPr>
          <w:rFonts w:ascii="Times New Roman" w:hAnsi="Times New Roman"/>
          <w:szCs w:val="24"/>
        </w:rPr>
        <w:t xml:space="preserve">when </w:t>
      </w:r>
      <w:r>
        <w:rPr>
          <w:rFonts w:ascii="Times New Roman" w:hAnsi="Times New Roman"/>
          <w:szCs w:val="24"/>
        </w:rPr>
        <w:t xml:space="preserve">an institution </w:t>
      </w:r>
      <w:r w:rsidR="009A264B">
        <w:rPr>
          <w:rFonts w:ascii="Times New Roman" w:hAnsi="Times New Roman"/>
          <w:szCs w:val="24"/>
        </w:rPr>
        <w:t xml:space="preserve">must </w:t>
      </w:r>
      <w:r w:rsidR="009B1FEE">
        <w:rPr>
          <w:rFonts w:ascii="Times New Roman" w:hAnsi="Times New Roman"/>
          <w:szCs w:val="24"/>
        </w:rPr>
        <w:t xml:space="preserve">have a student produce documentation that </w:t>
      </w:r>
      <w:r w:rsidR="00AD00EB">
        <w:rPr>
          <w:rFonts w:ascii="Times New Roman" w:hAnsi="Times New Roman"/>
          <w:szCs w:val="24"/>
        </w:rPr>
        <w:t xml:space="preserve">supports their status as an eligible noncitizen as provided by the U.S. </w:t>
      </w:r>
      <w:r w:rsidR="009A264B">
        <w:rPr>
          <w:rFonts w:ascii="Times New Roman" w:hAnsi="Times New Roman"/>
          <w:szCs w:val="24"/>
        </w:rPr>
        <w:t xml:space="preserve">Department of Homeland Security’s (DHS) office of Citizenship and Immigration Services (USCIS) </w:t>
      </w:r>
      <w:r w:rsidR="00AD00EB">
        <w:rPr>
          <w:rFonts w:ascii="Times New Roman" w:hAnsi="Times New Roman"/>
          <w:szCs w:val="24"/>
        </w:rPr>
        <w:t xml:space="preserve">and request DHS secondary </w:t>
      </w:r>
      <w:r w:rsidR="009A264B">
        <w:rPr>
          <w:rFonts w:ascii="Times New Roman" w:hAnsi="Times New Roman"/>
          <w:szCs w:val="24"/>
        </w:rPr>
        <w:t>confirmation of such eligibility through the use of the G-845 form if the student’s Title IV output document requires that confirmation</w:t>
      </w:r>
      <w:r w:rsidR="00AD00EB">
        <w:rPr>
          <w:rFonts w:ascii="Times New Roman" w:hAnsi="Times New Roman"/>
          <w:szCs w:val="24"/>
        </w:rPr>
        <w:t xml:space="preserve"> or when confirmation is provided by DHS-USCIS, but the institution has conflicting information about the student’s status</w:t>
      </w:r>
      <w:r w:rsidR="009A264B">
        <w:rPr>
          <w:rFonts w:ascii="Times New Roman" w:hAnsi="Times New Roman"/>
          <w:szCs w:val="24"/>
        </w:rPr>
        <w:t>.</w:t>
      </w:r>
    </w:p>
    <w:p w:rsidR="009A264B" w:rsidRDefault="009A264B" w:rsidP="00F77B35">
      <w:pPr>
        <w:tabs>
          <w:tab w:val="left" w:pos="0"/>
        </w:tabs>
        <w:suppressAutoHyphens/>
        <w:ind w:left="720"/>
        <w:rPr>
          <w:rFonts w:ascii="Times New Roman" w:hAnsi="Times New Roman"/>
          <w:szCs w:val="24"/>
        </w:rPr>
      </w:pPr>
    </w:p>
    <w:p w:rsidR="00BE09D2" w:rsidRDefault="009A264B" w:rsidP="00F77B35">
      <w:pPr>
        <w:tabs>
          <w:tab w:val="left" w:pos="0"/>
        </w:tabs>
        <w:suppressAutoHyphens/>
        <w:ind w:left="720"/>
        <w:rPr>
          <w:rFonts w:ascii="Times New Roman" w:hAnsi="Times New Roman"/>
          <w:szCs w:val="24"/>
        </w:rPr>
      </w:pPr>
      <w:r>
        <w:rPr>
          <w:rFonts w:ascii="Times New Roman" w:hAnsi="Times New Roman"/>
          <w:szCs w:val="24"/>
        </w:rPr>
        <w:t>The regulations in 668.134</w:t>
      </w:r>
      <w:r w:rsidR="004B16F2">
        <w:rPr>
          <w:rFonts w:ascii="Times New Roman" w:hAnsi="Times New Roman"/>
          <w:szCs w:val="24"/>
        </w:rPr>
        <w:t xml:space="preserve"> require an institution to have written policies and procedures for requesting proof </w:t>
      </w:r>
      <w:r w:rsidR="0068122A">
        <w:rPr>
          <w:rFonts w:ascii="Times New Roman" w:hAnsi="Times New Roman"/>
          <w:szCs w:val="24"/>
        </w:rPr>
        <w:t xml:space="preserve">from students </w:t>
      </w:r>
      <w:r w:rsidR="004B16F2">
        <w:rPr>
          <w:rFonts w:ascii="Times New Roman" w:hAnsi="Times New Roman"/>
          <w:szCs w:val="24"/>
        </w:rPr>
        <w:t>and getting confirmation of eligibility for Title IV funds</w:t>
      </w:r>
      <w:r w:rsidR="0068122A">
        <w:rPr>
          <w:rFonts w:ascii="Times New Roman" w:hAnsi="Times New Roman"/>
          <w:szCs w:val="24"/>
        </w:rPr>
        <w:t xml:space="preserve">. The regulations also specify that the institution provide </w:t>
      </w:r>
      <w:r w:rsidR="00243DE7">
        <w:rPr>
          <w:rFonts w:ascii="Times New Roman" w:hAnsi="Times New Roman"/>
          <w:szCs w:val="24"/>
        </w:rPr>
        <w:t xml:space="preserve">in writing </w:t>
      </w:r>
      <w:r w:rsidR="0068122A">
        <w:rPr>
          <w:rFonts w:ascii="Times New Roman" w:hAnsi="Times New Roman"/>
          <w:szCs w:val="24"/>
        </w:rPr>
        <w:t xml:space="preserve">to </w:t>
      </w:r>
      <w:r w:rsidR="00243DE7">
        <w:rPr>
          <w:rFonts w:ascii="Times New Roman" w:hAnsi="Times New Roman"/>
          <w:szCs w:val="24"/>
        </w:rPr>
        <w:t xml:space="preserve">each student required to undergo secondary confirmation </w:t>
      </w:r>
      <w:r w:rsidR="0068122A">
        <w:rPr>
          <w:rFonts w:ascii="Times New Roman" w:hAnsi="Times New Roman"/>
          <w:szCs w:val="24"/>
        </w:rPr>
        <w:t>a clear explanation of the documents that must be submitted for eligibility confirmation as well as a clear explanation of the student’s responsibilities including deadlines and consequences of failing to complete the required actions.</w:t>
      </w:r>
      <w:r w:rsidR="00243DE7" w:rsidDel="00243DE7">
        <w:rPr>
          <w:rFonts w:ascii="Times New Roman" w:hAnsi="Times New Roman"/>
          <w:szCs w:val="24"/>
        </w:rPr>
        <w:t xml:space="preserve"> </w:t>
      </w:r>
    </w:p>
    <w:p w:rsidR="00DC68F5" w:rsidRDefault="00DC68F5" w:rsidP="00F77B35">
      <w:pPr>
        <w:tabs>
          <w:tab w:val="left" w:pos="0"/>
        </w:tabs>
        <w:suppressAutoHyphens/>
        <w:ind w:left="720"/>
        <w:rPr>
          <w:rFonts w:ascii="Times New Roman" w:hAnsi="Times New Roman"/>
          <w:szCs w:val="24"/>
        </w:rPr>
      </w:pPr>
    </w:p>
    <w:p w:rsidR="007706B8" w:rsidRDefault="00800063" w:rsidP="00F77B35">
      <w:pPr>
        <w:tabs>
          <w:tab w:val="left" w:pos="0"/>
        </w:tabs>
        <w:suppressAutoHyphens/>
        <w:ind w:left="720"/>
        <w:rPr>
          <w:rFonts w:ascii="Times New Roman" w:hAnsi="Times New Roman"/>
          <w:szCs w:val="24"/>
        </w:rPr>
      </w:pPr>
      <w:r>
        <w:rPr>
          <w:rFonts w:ascii="Times New Roman" w:hAnsi="Times New Roman"/>
          <w:szCs w:val="24"/>
        </w:rPr>
        <w:t>The regulations in 668.135</w:t>
      </w:r>
      <w:r w:rsidR="00A60321">
        <w:rPr>
          <w:rFonts w:ascii="Times New Roman" w:hAnsi="Times New Roman"/>
          <w:szCs w:val="24"/>
        </w:rPr>
        <w:t xml:space="preserve"> require an institution to have procedures for completing the manual secondary confirmation of eligibility for Title IV funds for eligible noncitizens </w:t>
      </w:r>
      <w:r w:rsidR="001802A4">
        <w:rPr>
          <w:rFonts w:ascii="Times New Roman" w:hAnsi="Times New Roman"/>
          <w:szCs w:val="24"/>
        </w:rPr>
        <w:t>that</w:t>
      </w:r>
      <w:r w:rsidR="00A60321">
        <w:rPr>
          <w:rFonts w:ascii="Times New Roman" w:hAnsi="Times New Roman"/>
          <w:szCs w:val="24"/>
        </w:rPr>
        <w:t xml:space="preserve"> did not have their eligibility determined through the automated confirmation process.</w:t>
      </w:r>
      <w:r w:rsidR="00096D8F">
        <w:rPr>
          <w:rFonts w:ascii="Times New Roman" w:hAnsi="Times New Roman"/>
          <w:szCs w:val="24"/>
        </w:rPr>
        <w:t xml:space="preserve">  </w:t>
      </w:r>
      <w:r w:rsidR="00DC68F5">
        <w:rPr>
          <w:rFonts w:ascii="Times New Roman" w:hAnsi="Times New Roman"/>
          <w:szCs w:val="24"/>
        </w:rPr>
        <w:t>While the regulation discusses the completion of the G-845, the burden estimate here is limited to the copying of the supporting documents to be submitted with the G-845.  It does not include the burden assessment already calculated by DHS USCIS.</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096D8F" w:rsidP="00096D8F">
      <w:pPr>
        <w:tabs>
          <w:tab w:val="left" w:pos="-720"/>
        </w:tabs>
        <w:suppressAutoHyphens/>
        <w:ind w:left="720"/>
        <w:rPr>
          <w:rFonts w:ascii="Times New Roman" w:hAnsi="Times New Roman"/>
          <w:szCs w:val="24"/>
        </w:rPr>
      </w:pPr>
      <w:r>
        <w:rPr>
          <w:rFonts w:ascii="Times New Roman" w:hAnsi="Times New Roman"/>
          <w:szCs w:val="24"/>
        </w:rPr>
        <w:t>Collection of the information enables the Secretary to determine if a noncitizen applicant for Title IV, HEA benefits is an eligible student as defined in section 484(a)(5) of the HEA.  The ability to make this determination reduces the potential for fraud and abuse in the Title IV, HEA programs caused by ineligible aliens receiving Federal student financial assistance.  By reducing the potential for fraud and abuse, the Secretary is better able to safeguard Federal student financial aid dollars for the intended purpose of providing educational opportunities to U.S. citizens or noncitizens with Title IV, HEA eligible immigration credentials.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Default="00386054" w:rsidP="00B23356">
      <w:pPr>
        <w:tabs>
          <w:tab w:val="left" w:pos="-720"/>
        </w:tabs>
        <w:suppressAutoHyphens/>
        <w:ind w:left="720"/>
        <w:rPr>
          <w:rFonts w:ascii="Times New Roman" w:hAnsi="Times New Roman"/>
          <w:szCs w:val="24"/>
        </w:rPr>
      </w:pPr>
    </w:p>
    <w:p w:rsidR="00386054" w:rsidRPr="00EF7FF5" w:rsidRDefault="00B23356" w:rsidP="00D111D2">
      <w:pPr>
        <w:tabs>
          <w:tab w:val="left" w:pos="-720"/>
        </w:tabs>
        <w:suppressAutoHyphens/>
        <w:ind w:left="720"/>
        <w:rPr>
          <w:rFonts w:ascii="Times New Roman" w:hAnsi="Times New Roman"/>
          <w:szCs w:val="24"/>
        </w:rPr>
      </w:pPr>
      <w:r>
        <w:rPr>
          <w:rFonts w:ascii="Times New Roman" w:hAnsi="Times New Roman"/>
          <w:szCs w:val="24"/>
        </w:rPr>
        <w:t>The Secretary uses an automated data matching system in conjunction with the Department of Homeland Security’s (DHS) office of Citizenship and Immigration Services (USCIS) to electronically confirm the eligible noncitizen status of a noncitizen applicant for Title IV, HEA benefits</w:t>
      </w:r>
      <w:r w:rsidR="00D111D2">
        <w:rPr>
          <w:rFonts w:ascii="Times New Roman" w:hAnsi="Times New Roman"/>
          <w:szCs w:val="24"/>
        </w:rPr>
        <w:t>.  The data matching system is operated in full compliance with the Computer Matching and Privacy Protection Act of 1988 (CMPPA), as amended in order to prevent fraud and abuse.  As required by the CMPPA, applicants with immigration statuses that are not confirmed as eligible noncitizens by the data matching system are not presumed to be ineligible and are instead, subject to a secondary automated confirmation process within USCIS.  In those limited cases where confirmation is not achieved after the automated secondary confirmation, the noncitizen applicant is subject to a manual secondary confirmation process requiring the institution to request written confirmation from USCIS through the submission of a G-845 Form (as provided by USCIS), along with copies of the student’s immigration status documentation that has been already provided to the institution by the applicant.  Th</w:t>
      </w:r>
      <w:r w:rsidR="00243DE7">
        <w:rPr>
          <w:rFonts w:ascii="Times New Roman" w:hAnsi="Times New Roman"/>
          <w:szCs w:val="24"/>
        </w:rPr>
        <w:t>e elements of this</w:t>
      </w:r>
      <w:r w:rsidR="00D111D2">
        <w:rPr>
          <w:rFonts w:ascii="Times New Roman" w:hAnsi="Times New Roman"/>
          <w:szCs w:val="24"/>
        </w:rPr>
        <w:t xml:space="preserve"> manual process</w:t>
      </w:r>
      <w:r w:rsidR="00243DE7">
        <w:rPr>
          <w:rFonts w:ascii="Times New Roman" w:hAnsi="Times New Roman"/>
          <w:szCs w:val="24"/>
        </w:rPr>
        <w:t xml:space="preserve"> (except for the completion and submission of the G-845 form, which is approved under OMB 16</w:t>
      </w:r>
      <w:r w:rsidR="006106E3">
        <w:rPr>
          <w:rFonts w:ascii="Times New Roman" w:hAnsi="Times New Roman"/>
          <w:szCs w:val="24"/>
        </w:rPr>
        <w:t>15</w:t>
      </w:r>
      <w:r w:rsidR="00243DE7">
        <w:rPr>
          <w:rFonts w:ascii="Times New Roman" w:hAnsi="Times New Roman"/>
          <w:szCs w:val="24"/>
        </w:rPr>
        <w:t>-0</w:t>
      </w:r>
      <w:r w:rsidR="006106E3">
        <w:rPr>
          <w:rFonts w:ascii="Times New Roman" w:hAnsi="Times New Roman"/>
          <w:szCs w:val="24"/>
        </w:rPr>
        <w:t>101</w:t>
      </w:r>
      <w:r w:rsidR="00243DE7">
        <w:rPr>
          <w:rFonts w:ascii="Times New Roman" w:hAnsi="Times New Roman"/>
          <w:szCs w:val="24"/>
        </w:rPr>
        <w:t xml:space="preserve"> through the U.S. Department of Homeland Security) </w:t>
      </w:r>
      <w:r w:rsidR="00D111D2">
        <w:rPr>
          <w:rFonts w:ascii="Times New Roman" w:hAnsi="Times New Roman"/>
          <w:szCs w:val="24"/>
        </w:rPr>
        <w:t>, which we refer to as manual secondary confirmation, constitutes the information collection for which we are requesting approval.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D111D2" w:rsidP="00D111D2">
      <w:pPr>
        <w:tabs>
          <w:tab w:val="left" w:pos="-720"/>
        </w:tabs>
        <w:suppressAutoHyphens/>
        <w:ind w:left="720"/>
        <w:rPr>
          <w:rFonts w:ascii="Times New Roman" w:hAnsi="Times New Roman"/>
          <w:szCs w:val="24"/>
        </w:rPr>
      </w:pPr>
      <w:r>
        <w:rPr>
          <w:rFonts w:ascii="Times New Roman" w:hAnsi="Times New Roman"/>
          <w:szCs w:val="24"/>
        </w:rPr>
        <w:t>There is no duplication of records or similar information already available for use by institutions.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0C3BD7" w:rsidP="000C3BD7">
      <w:pPr>
        <w:tabs>
          <w:tab w:val="left" w:pos="-720"/>
        </w:tabs>
        <w:suppressAutoHyphens/>
        <w:ind w:left="720"/>
        <w:rPr>
          <w:rFonts w:ascii="Times New Roman" w:hAnsi="Times New Roman"/>
          <w:szCs w:val="24"/>
        </w:rPr>
      </w:pPr>
      <w:r>
        <w:rPr>
          <w:rFonts w:ascii="Times New Roman" w:hAnsi="Times New Roman"/>
          <w:szCs w:val="24"/>
        </w:rPr>
        <w:t>The information collected does not involve small business entities.</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0C3BD7" w:rsidP="000C3BD7">
      <w:pPr>
        <w:tabs>
          <w:tab w:val="left" w:pos="-720"/>
        </w:tabs>
        <w:suppressAutoHyphens/>
        <w:ind w:left="720"/>
        <w:rPr>
          <w:rFonts w:ascii="Times New Roman" w:hAnsi="Times New Roman"/>
          <w:szCs w:val="24"/>
        </w:rPr>
      </w:pPr>
      <w:r>
        <w:rPr>
          <w:rFonts w:ascii="Times New Roman" w:hAnsi="Times New Roman"/>
          <w:szCs w:val="24"/>
        </w:rPr>
        <w:t>If this information is not collected or is collected less frequently, the potential for fraud and abuse increases.  Also, section 484(g)(1) provides that the Secretary will verify applicant claims of citizenship or eligible noncitizen status prior to awarding grants, loans or work assistance under Title IV of the HEA.  The provision precludes the Secretary from employing any procedure that does not verify U.S. citizenship or eligible immigration status of all applicants for Title IV, HEA benefits.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7. </w:t>
      </w:r>
      <w:r w:rsidR="008C03DF">
        <w:rPr>
          <w:rFonts w:ascii="Times New Roman" w:hAnsi="Times New Roman"/>
          <w:szCs w:val="24"/>
        </w:rPr>
        <w:t xml:space="preserve"> </w:t>
      </w:r>
      <w:r w:rsidRPr="00EF7FF5">
        <w:rPr>
          <w:rFonts w:ascii="Times New Roman" w:hAnsi="Times New Roman"/>
          <w:szCs w:val="24"/>
        </w:rPr>
        <w:t>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0C3BD7" w:rsidRDefault="00386054" w:rsidP="000C3BD7">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lastRenderedPageBreak/>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Default="000C3BD7" w:rsidP="000C3BD7">
      <w:pPr>
        <w:tabs>
          <w:tab w:val="left" w:pos="-720"/>
        </w:tabs>
        <w:suppressAutoHyphens/>
        <w:ind w:left="360"/>
        <w:rPr>
          <w:rFonts w:ascii="Times New Roman" w:hAnsi="Times New Roman"/>
          <w:szCs w:val="24"/>
        </w:rPr>
      </w:pPr>
      <w:r>
        <w:rPr>
          <w:rFonts w:ascii="Times New Roman" w:hAnsi="Times New Roman"/>
          <w:szCs w:val="24"/>
        </w:rPr>
        <w:t>Under 34 CFR 668.135, an institution that receives immigration status documents from a student with an immigration status that was not confirmed using the USCIS/ED data match or the automated secondary confirmation process is required to request written confirmation from the USCIS within 10 business days.</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No institution is required to submit more than the original completed G-845 Form and one copy of any USCIS immigration status document(s).</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No institution is required to retain immigration status records for more than three years after the end of the award year for which the Title IV, HEA aid was awarded and disbursed.</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This information collection does not include a statistical survey or use of a statistical data classification.</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This information collection does not include a pledge of confidentiality that is not supported by authority established in statute or regulation, is not supported by disclosure and date security policies consistent with the pledge, or which impedes sharing of data with other agencies.</w:t>
      </w:r>
    </w:p>
    <w:p w:rsidR="000C3BD7" w:rsidRDefault="000C3BD7" w:rsidP="000C3BD7">
      <w:pPr>
        <w:tabs>
          <w:tab w:val="left" w:pos="-720"/>
        </w:tabs>
        <w:suppressAutoHyphens/>
        <w:ind w:left="360"/>
        <w:rPr>
          <w:rFonts w:ascii="Times New Roman" w:hAnsi="Times New Roman"/>
          <w:szCs w:val="24"/>
        </w:rPr>
      </w:pPr>
    </w:p>
    <w:p w:rsidR="000C3BD7" w:rsidRDefault="000C3BD7" w:rsidP="000C3BD7">
      <w:pPr>
        <w:tabs>
          <w:tab w:val="left" w:pos="-720"/>
        </w:tabs>
        <w:suppressAutoHyphens/>
        <w:ind w:left="360"/>
        <w:rPr>
          <w:rFonts w:ascii="Times New Roman" w:hAnsi="Times New Roman"/>
          <w:szCs w:val="24"/>
        </w:rPr>
      </w:pPr>
      <w:r>
        <w:rPr>
          <w:rFonts w:ascii="Times New Roman" w:hAnsi="Times New Roman"/>
          <w:szCs w:val="24"/>
        </w:rPr>
        <w:t>This information collection does not require respondents to submit proprietary trade secrets or other confidential information.</w:t>
      </w:r>
    </w:p>
    <w:p w:rsidR="000C3BD7" w:rsidRPr="00EF7FF5" w:rsidRDefault="000C3BD7">
      <w:pPr>
        <w:tabs>
          <w:tab w:val="left" w:pos="-720"/>
        </w:tabs>
        <w:suppressAutoHyphens/>
        <w:rPr>
          <w:rFonts w:ascii="Times New Roman" w:hAnsi="Times New Roman"/>
          <w:szCs w:val="24"/>
        </w:rPr>
      </w:pPr>
    </w:p>
    <w:p w:rsidR="00386054" w:rsidRPr="00EF7FF5" w:rsidRDefault="001743A5" w:rsidP="008C03DF">
      <w:pPr>
        <w:numPr>
          <w:ilvl w:val="0"/>
          <w:numId w:val="2"/>
        </w:numPr>
        <w:tabs>
          <w:tab w:val="left" w:pos="-720"/>
          <w:tab w:val="left" w:pos="0"/>
        </w:tabs>
        <w:suppressAutoHyphens/>
        <w:ind w:left="0" w:firstLine="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8C03DF">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8C03DF">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EF7FF5" w:rsidRDefault="008C03DF" w:rsidP="008C03DF">
      <w:pPr>
        <w:tabs>
          <w:tab w:val="left" w:pos="-720"/>
        </w:tabs>
        <w:suppressAutoHyphens/>
        <w:ind w:left="360"/>
        <w:rPr>
          <w:rFonts w:ascii="Times New Roman" w:hAnsi="Times New Roman"/>
          <w:szCs w:val="24"/>
        </w:rPr>
      </w:pPr>
      <w:r>
        <w:rPr>
          <w:rFonts w:ascii="Times New Roman" w:hAnsi="Times New Roman"/>
          <w:szCs w:val="24"/>
        </w:rPr>
        <w:t xml:space="preserve">This information collection is not being submitted in conjunction with a notice of proposed rulemaking.  Consultations with members of the financial aid community are made to determine if there are areas of improvement needed in the secondary confirmation process.  These consultations have been instrumental in finding ways to increase the percentage of </w:t>
      </w:r>
      <w:r>
        <w:rPr>
          <w:rFonts w:ascii="Times New Roman" w:hAnsi="Times New Roman"/>
          <w:szCs w:val="24"/>
        </w:rPr>
        <w:lastRenderedPageBreak/>
        <w:t>noncitizen applicants with immigration statuses that are confirmed using the electronic data match and, as a result, to reduce the percentage of applicants requiring manual secondary confirmation.  Consultations with the USCIS are conducted approximately twice yearly and more often if needed – these consultations are useful in addressing interagency processing problems and in discussing how new technologies can be employed to perform these functions more efficiently.  Automated secondary confirmation as provided by USCIS has significantly reduced the percentage of non-matches that lead to the required data collections and submission of the G-845 Form to USCIS.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8C03DF" w:rsidP="008C03DF">
      <w:pPr>
        <w:tabs>
          <w:tab w:val="left" w:pos="-720"/>
        </w:tabs>
        <w:suppressAutoHyphens/>
        <w:ind w:left="360"/>
        <w:rPr>
          <w:rFonts w:ascii="Times New Roman" w:hAnsi="Times New Roman"/>
          <w:szCs w:val="24"/>
        </w:rPr>
      </w:pPr>
      <w:r>
        <w:rPr>
          <w:rFonts w:ascii="Times New Roman" w:hAnsi="Times New Roman"/>
          <w:szCs w:val="24"/>
        </w:rPr>
        <w:t>There is no payment or gift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EF7FF5" w:rsidRDefault="00457FA6" w:rsidP="00457FA6">
      <w:pPr>
        <w:tabs>
          <w:tab w:val="left" w:pos="-720"/>
        </w:tabs>
        <w:suppressAutoHyphens/>
        <w:ind w:left="360"/>
        <w:rPr>
          <w:rFonts w:ascii="Times New Roman" w:hAnsi="Times New Roman"/>
          <w:szCs w:val="24"/>
        </w:rPr>
      </w:pPr>
      <w:r>
        <w:rPr>
          <w:rFonts w:ascii="Times New Roman" w:hAnsi="Times New Roman"/>
          <w:szCs w:val="24"/>
        </w:rPr>
        <w:t>These requirements do not prescribe any assurance of confidentiality to institutions except as required under the provisions of the CMPPA.</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457FA6" w:rsidRDefault="00457FA6" w:rsidP="00894329">
      <w:pPr>
        <w:tabs>
          <w:tab w:val="left" w:pos="-720"/>
        </w:tabs>
        <w:suppressAutoHyphens/>
        <w:ind w:left="360"/>
        <w:rPr>
          <w:rFonts w:ascii="Times New Roman" w:hAnsi="Times New Roman"/>
          <w:szCs w:val="24"/>
        </w:rPr>
      </w:pPr>
      <w:r>
        <w:rPr>
          <w:rFonts w:ascii="Times New Roman" w:hAnsi="Times New Roman"/>
          <w:szCs w:val="24"/>
        </w:rPr>
        <w:t xml:space="preserve">These regulations do not include any </w:t>
      </w:r>
      <w:r w:rsidR="00894329">
        <w:rPr>
          <w:rFonts w:ascii="Times New Roman" w:hAnsi="Times New Roman"/>
          <w:szCs w:val="24"/>
        </w:rPr>
        <w:t>questions of a sensitive nature.</w:t>
      </w:r>
    </w:p>
    <w:p w:rsidR="00894329" w:rsidRPr="00EF7FF5" w:rsidRDefault="00894329" w:rsidP="00894329">
      <w:pPr>
        <w:tabs>
          <w:tab w:val="left" w:pos="-720"/>
        </w:tabs>
        <w:suppressAutoHyphens/>
        <w:ind w:left="360"/>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457FA6">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w:t>
      </w:r>
      <w:r w:rsidRPr="00EF7FF5">
        <w:rPr>
          <w:rStyle w:val="a"/>
          <w:rFonts w:ascii="Times New Roman" w:hAnsi="Times New Roman"/>
          <w:szCs w:val="24"/>
        </w:rPr>
        <w:lastRenderedPageBreak/>
        <w:t xml:space="preserve">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457FA6">
      <w:pPr>
        <w:numPr>
          <w:ilvl w:val="0"/>
          <w:numId w:val="7"/>
        </w:numPr>
        <w:tabs>
          <w:tab w:val="clear" w:pos="1060"/>
          <w:tab w:val="left" w:pos="-720"/>
          <w:tab w:val="num" w:pos="720"/>
          <w:tab w:val="left" w:pos="1247"/>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A7323A" w:rsidRDefault="00386054" w:rsidP="00A7323A">
      <w:pPr>
        <w:numPr>
          <w:ilvl w:val="0"/>
          <w:numId w:val="7"/>
        </w:numPr>
        <w:tabs>
          <w:tab w:val="clear" w:pos="1060"/>
          <w:tab w:val="left" w:pos="-720"/>
          <w:tab w:val="num" w:pos="720"/>
          <w:tab w:val="left" w:pos="1247"/>
        </w:tabs>
        <w:suppressAutoHyphens/>
        <w:ind w:left="720"/>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7323A" w:rsidRDefault="00A7323A" w:rsidP="00A7323A">
      <w:pPr>
        <w:tabs>
          <w:tab w:val="left" w:pos="-720"/>
          <w:tab w:val="left" w:pos="1247"/>
        </w:tabs>
        <w:suppressAutoHyphens/>
        <w:rPr>
          <w:rFonts w:ascii="Times New Roman" w:hAnsi="Times New Roman"/>
          <w:szCs w:val="24"/>
        </w:rPr>
      </w:pPr>
    </w:p>
    <w:p w:rsidR="00DC68F5" w:rsidRDefault="00DC68F5" w:rsidP="00A7323A">
      <w:pPr>
        <w:tabs>
          <w:tab w:val="left" w:pos="-720"/>
          <w:tab w:val="left" w:pos="1247"/>
        </w:tabs>
        <w:suppressAutoHyphens/>
        <w:rPr>
          <w:rFonts w:ascii="Times New Roman" w:hAnsi="Times New Roman"/>
          <w:szCs w:val="24"/>
        </w:rPr>
      </w:pPr>
    </w:p>
    <w:p w:rsidR="00386054" w:rsidRPr="00A7323A" w:rsidRDefault="00A7323A" w:rsidP="00A7323A">
      <w:pPr>
        <w:tabs>
          <w:tab w:val="left" w:pos="-720"/>
          <w:tab w:val="left" w:pos="1247"/>
        </w:tabs>
        <w:suppressAutoHyphens/>
        <w:ind w:left="360"/>
        <w:rPr>
          <w:rFonts w:ascii="Times New Roman" w:hAnsi="Times New Roman"/>
          <w:szCs w:val="24"/>
        </w:rPr>
      </w:pPr>
      <w:r w:rsidRPr="00A7323A">
        <w:rPr>
          <w:rFonts w:ascii="Times New Roman" w:hAnsi="Times New Roman"/>
          <w:szCs w:val="24"/>
          <w:u w:val="single"/>
        </w:rPr>
        <w:t>Total Current Inventory</w:t>
      </w:r>
      <w:r w:rsidRPr="00A7323A">
        <w:rPr>
          <w:rFonts w:ascii="Times New Roman" w:hAnsi="Times New Roman"/>
          <w:szCs w:val="24"/>
        </w:rPr>
        <w:t>:</w:t>
      </w:r>
    </w:p>
    <w:p w:rsidR="004F4A3B" w:rsidRDefault="004F4A3B" w:rsidP="00457FA6">
      <w:pPr>
        <w:suppressAutoHyphens/>
        <w:ind w:left="360"/>
        <w:rPr>
          <w:rFonts w:ascii="Times New Roman" w:hAnsi="Times New Roman"/>
          <w:szCs w:val="24"/>
        </w:rPr>
      </w:pPr>
    </w:p>
    <w:p w:rsidR="00A7323A" w:rsidRPr="00EF7FF5" w:rsidRDefault="00A7323A" w:rsidP="00457FA6">
      <w:pPr>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sidR="002D495D">
        <w:rPr>
          <w:rFonts w:ascii="Times New Roman" w:hAnsi="Times New Roman"/>
          <w:szCs w:val="24"/>
        </w:rPr>
        <w:tab/>
      </w:r>
      <w:r>
        <w:rPr>
          <w:rFonts w:ascii="Times New Roman" w:hAnsi="Times New Roman"/>
          <w:szCs w:val="24"/>
        </w:rPr>
        <w:t>#</w:t>
      </w:r>
      <w:r w:rsidR="002D495D">
        <w:rPr>
          <w:rFonts w:ascii="Times New Roman" w:hAnsi="Times New Roman"/>
          <w:szCs w:val="24"/>
        </w:rPr>
        <w:t xml:space="preserve"> </w:t>
      </w:r>
      <w:proofErr w:type="gramStart"/>
      <w:r w:rsidR="002D495D">
        <w:rPr>
          <w:rFonts w:ascii="Times New Roman" w:hAnsi="Times New Roman"/>
          <w:szCs w:val="24"/>
        </w:rPr>
        <w:t>of</w:t>
      </w:r>
      <w:proofErr w:type="gramEnd"/>
      <w:r w:rsidR="002D495D">
        <w:rPr>
          <w:rFonts w:ascii="Times New Roman" w:hAnsi="Times New Roman"/>
          <w:szCs w:val="24"/>
        </w:rPr>
        <w:t xml:space="preserve"> Respondents</w:t>
      </w:r>
      <w:r w:rsidR="002D495D">
        <w:rPr>
          <w:rFonts w:ascii="Times New Roman" w:hAnsi="Times New Roman"/>
          <w:szCs w:val="24"/>
        </w:rPr>
        <w:tab/>
        <w:t># of Responses</w:t>
      </w:r>
      <w:r w:rsidR="002D495D">
        <w:rPr>
          <w:rFonts w:ascii="Times New Roman" w:hAnsi="Times New Roman"/>
          <w:szCs w:val="24"/>
        </w:rPr>
        <w:tab/>
      </w:r>
      <w:r w:rsidR="005C0ECC">
        <w:rPr>
          <w:rFonts w:ascii="Times New Roman" w:hAnsi="Times New Roman"/>
          <w:szCs w:val="24"/>
        </w:rPr>
        <w:t xml:space="preserve">   </w:t>
      </w:r>
      <w:r>
        <w:rPr>
          <w:rFonts w:ascii="Times New Roman" w:hAnsi="Times New Roman"/>
          <w:szCs w:val="24"/>
        </w:rPr>
        <w:t>Burden Hours</w:t>
      </w:r>
    </w:p>
    <w:p w:rsidR="00386054" w:rsidRDefault="002D495D">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4,928</w:t>
      </w:r>
      <w:r>
        <w:rPr>
          <w:rFonts w:ascii="Times New Roman" w:hAnsi="Times New Roman"/>
          <w:szCs w:val="24"/>
        </w:rPr>
        <w:tab/>
      </w:r>
      <w:r>
        <w:rPr>
          <w:rFonts w:ascii="Times New Roman" w:hAnsi="Times New Roman"/>
          <w:szCs w:val="24"/>
        </w:rPr>
        <w:tab/>
        <w:t xml:space="preserve">      78,848</w:t>
      </w:r>
      <w:r>
        <w:rPr>
          <w:rFonts w:ascii="Times New Roman" w:hAnsi="Times New Roman"/>
          <w:szCs w:val="24"/>
        </w:rPr>
        <w:tab/>
      </w:r>
      <w:r>
        <w:rPr>
          <w:rFonts w:ascii="Times New Roman" w:hAnsi="Times New Roman"/>
          <w:szCs w:val="24"/>
        </w:rPr>
        <w:tab/>
      </w:r>
      <w:r w:rsidR="005C0ECC">
        <w:rPr>
          <w:rFonts w:ascii="Times New Roman" w:hAnsi="Times New Roman"/>
          <w:szCs w:val="24"/>
        </w:rPr>
        <w:tab/>
      </w:r>
      <w:r w:rsidR="00A7323A">
        <w:rPr>
          <w:rFonts w:ascii="Times New Roman" w:hAnsi="Times New Roman"/>
          <w:szCs w:val="24"/>
        </w:rPr>
        <w:t>19,712</w:t>
      </w:r>
    </w:p>
    <w:p w:rsidR="00A7323A" w:rsidRDefault="00A7323A">
      <w:pPr>
        <w:tabs>
          <w:tab w:val="left" w:pos="-720"/>
        </w:tabs>
        <w:suppressAutoHyphens/>
        <w:rPr>
          <w:rFonts w:ascii="Times New Roman" w:hAnsi="Times New Roman"/>
          <w:szCs w:val="24"/>
        </w:rPr>
      </w:pPr>
    </w:p>
    <w:p w:rsidR="00DC68F5" w:rsidRDefault="00DC68F5">
      <w:pPr>
        <w:tabs>
          <w:tab w:val="left" w:pos="-720"/>
        </w:tabs>
        <w:suppressAutoHyphens/>
        <w:rPr>
          <w:rFonts w:ascii="Times New Roman" w:hAnsi="Times New Roman"/>
          <w:szCs w:val="24"/>
        </w:rPr>
      </w:pPr>
    </w:p>
    <w:p w:rsidR="00A7323A" w:rsidRDefault="00A7323A" w:rsidP="00A7323A">
      <w:pPr>
        <w:tabs>
          <w:tab w:val="left" w:pos="-720"/>
        </w:tabs>
        <w:suppressAutoHyphens/>
        <w:ind w:left="360"/>
        <w:rPr>
          <w:rFonts w:ascii="Times New Roman" w:hAnsi="Times New Roman"/>
          <w:szCs w:val="24"/>
        </w:rPr>
      </w:pPr>
      <w:r>
        <w:rPr>
          <w:rFonts w:ascii="Times New Roman" w:hAnsi="Times New Roman"/>
          <w:szCs w:val="24"/>
          <w:u w:val="single"/>
        </w:rPr>
        <w:t>Revised Inventory</w:t>
      </w:r>
      <w:r>
        <w:rPr>
          <w:rFonts w:ascii="Times New Roman" w:hAnsi="Times New Roman"/>
          <w:szCs w:val="24"/>
        </w:rPr>
        <w:t>:</w:t>
      </w:r>
    </w:p>
    <w:p w:rsidR="00A7323A" w:rsidRDefault="00A7323A" w:rsidP="00A7323A">
      <w:pPr>
        <w:tabs>
          <w:tab w:val="left" w:pos="-720"/>
        </w:tabs>
        <w:suppressAutoHyphens/>
        <w:ind w:left="360"/>
        <w:rPr>
          <w:rFonts w:ascii="Times New Roman" w:hAnsi="Times New Roman"/>
          <w:szCs w:val="24"/>
        </w:rPr>
      </w:pPr>
    </w:p>
    <w:p w:rsidR="00DC68F5" w:rsidRDefault="00DC68F5" w:rsidP="00A7323A">
      <w:pPr>
        <w:tabs>
          <w:tab w:val="left" w:pos="-720"/>
        </w:tabs>
        <w:suppressAutoHyphens/>
        <w:ind w:left="360"/>
        <w:rPr>
          <w:rFonts w:ascii="Times New Roman" w:hAnsi="Times New Roman"/>
          <w:szCs w:val="24"/>
        </w:rPr>
      </w:pPr>
    </w:p>
    <w:p w:rsidR="00A34D4E" w:rsidRDefault="00A7323A" w:rsidP="00A7323A">
      <w:pPr>
        <w:tabs>
          <w:tab w:val="left" w:pos="0"/>
        </w:tabs>
        <w:suppressAutoHyphens/>
        <w:ind w:left="360"/>
        <w:rPr>
          <w:rFonts w:ascii="Times New Roman" w:hAnsi="Times New Roman"/>
          <w:szCs w:val="24"/>
        </w:rPr>
      </w:pPr>
      <w:r>
        <w:rPr>
          <w:rFonts w:ascii="Times New Roman" w:hAnsi="Times New Roman"/>
          <w:szCs w:val="24"/>
        </w:rPr>
        <w:t xml:space="preserve">Of the 950,817 applications from noncitizen applicants processed in the 2010-2011 award year, 95,554 were not confirmed using the data matches (automatic primary or automatic secondary) and required additional information to confirm Title IV eligibility.  </w:t>
      </w:r>
      <w:r w:rsidR="00DB4C68">
        <w:rPr>
          <w:rFonts w:ascii="Times New Roman" w:hAnsi="Times New Roman"/>
          <w:szCs w:val="24"/>
        </w:rPr>
        <w:t xml:space="preserve">The 95,551 are reduced by </w:t>
      </w:r>
      <w:r w:rsidR="006D553B">
        <w:rPr>
          <w:rFonts w:ascii="Times New Roman" w:hAnsi="Times New Roman"/>
          <w:szCs w:val="24"/>
        </w:rPr>
        <w:t xml:space="preserve">25% to 71,666, </w:t>
      </w:r>
      <w:r w:rsidR="00894329">
        <w:rPr>
          <w:rFonts w:ascii="Times New Roman" w:hAnsi="Times New Roman"/>
          <w:szCs w:val="24"/>
        </w:rPr>
        <w:t>as</w:t>
      </w:r>
      <w:r w:rsidR="006D553B">
        <w:rPr>
          <w:rFonts w:ascii="Times New Roman" w:hAnsi="Times New Roman"/>
          <w:szCs w:val="24"/>
        </w:rPr>
        <w:t xml:space="preserve"> the estimated </w:t>
      </w:r>
      <w:r w:rsidR="00894329">
        <w:rPr>
          <w:rFonts w:ascii="Times New Roman" w:hAnsi="Times New Roman"/>
          <w:szCs w:val="24"/>
        </w:rPr>
        <w:t>number</w:t>
      </w:r>
      <w:r w:rsidR="006D553B">
        <w:rPr>
          <w:rFonts w:ascii="Times New Roman" w:hAnsi="Times New Roman"/>
          <w:szCs w:val="24"/>
        </w:rPr>
        <w:t xml:space="preserve"> of students who will begin enrollment and therefore utilize </w:t>
      </w:r>
      <w:r w:rsidR="00DB4C68">
        <w:rPr>
          <w:rFonts w:ascii="Times New Roman" w:hAnsi="Times New Roman"/>
          <w:szCs w:val="24"/>
        </w:rPr>
        <w:t xml:space="preserve">the Pell Grant Program </w:t>
      </w:r>
      <w:r w:rsidR="006D553B">
        <w:rPr>
          <w:rFonts w:ascii="Times New Roman" w:hAnsi="Times New Roman"/>
          <w:szCs w:val="24"/>
        </w:rPr>
        <w:t>is</w:t>
      </w:r>
      <w:r w:rsidR="00DB4C68">
        <w:rPr>
          <w:rFonts w:ascii="Times New Roman" w:hAnsi="Times New Roman"/>
          <w:szCs w:val="24"/>
        </w:rPr>
        <w:t xml:space="preserve"> 75%</w:t>
      </w:r>
      <w:r w:rsidR="006D553B">
        <w:rPr>
          <w:rFonts w:ascii="Times New Roman" w:hAnsi="Times New Roman"/>
          <w:szCs w:val="24"/>
        </w:rPr>
        <w:t xml:space="preserve"> of </w:t>
      </w:r>
      <w:r w:rsidR="00894329">
        <w:rPr>
          <w:rFonts w:ascii="Times New Roman" w:hAnsi="Times New Roman"/>
          <w:szCs w:val="24"/>
        </w:rPr>
        <w:t xml:space="preserve">non-confirmed </w:t>
      </w:r>
      <w:r w:rsidR="006D553B">
        <w:rPr>
          <w:rFonts w:ascii="Times New Roman" w:hAnsi="Times New Roman"/>
          <w:szCs w:val="24"/>
        </w:rPr>
        <w:t>applicants</w:t>
      </w:r>
      <w:r w:rsidR="00DB4C68">
        <w:rPr>
          <w:rFonts w:ascii="Times New Roman" w:hAnsi="Times New Roman"/>
          <w:szCs w:val="24"/>
        </w:rPr>
        <w:t xml:space="preserve">.  </w:t>
      </w:r>
    </w:p>
    <w:p w:rsidR="00A34D4E" w:rsidRDefault="00A34D4E" w:rsidP="00A7323A">
      <w:pPr>
        <w:tabs>
          <w:tab w:val="left" w:pos="0"/>
        </w:tabs>
        <w:suppressAutoHyphens/>
        <w:ind w:left="360"/>
        <w:rPr>
          <w:rFonts w:ascii="Times New Roman" w:hAnsi="Times New Roman"/>
          <w:szCs w:val="24"/>
        </w:rPr>
      </w:pPr>
    </w:p>
    <w:p w:rsidR="00A7323A" w:rsidRDefault="00590D7E" w:rsidP="00A7323A">
      <w:pPr>
        <w:tabs>
          <w:tab w:val="left" w:pos="0"/>
        </w:tabs>
        <w:suppressAutoHyphens/>
        <w:ind w:left="360"/>
        <w:rPr>
          <w:rFonts w:ascii="Times New Roman" w:hAnsi="Times New Roman"/>
          <w:szCs w:val="24"/>
        </w:rPr>
      </w:pPr>
      <w:r>
        <w:rPr>
          <w:rFonts w:ascii="Times New Roman" w:hAnsi="Times New Roman"/>
          <w:szCs w:val="24"/>
        </w:rPr>
        <w:t>The 25% o</w:t>
      </w:r>
      <w:r w:rsidR="00894329">
        <w:rPr>
          <w:rFonts w:ascii="Times New Roman" w:hAnsi="Times New Roman"/>
          <w:szCs w:val="24"/>
        </w:rPr>
        <w:t>r 23,885</w:t>
      </w:r>
      <w:r>
        <w:rPr>
          <w:rFonts w:ascii="Times New Roman" w:hAnsi="Times New Roman"/>
          <w:szCs w:val="24"/>
        </w:rPr>
        <w:t xml:space="preserve"> possible Pell Grant Program applicants</w:t>
      </w:r>
      <w:r w:rsidR="00A34D4E">
        <w:rPr>
          <w:rFonts w:ascii="Times New Roman" w:hAnsi="Times New Roman"/>
          <w:szCs w:val="24"/>
        </w:rPr>
        <w:t xml:space="preserve"> either dropped out of the application process or were not subject to manual secondary confirmation because of the regulatory provisions in 34 CFR 668.133(b) that exempt respondents from this requirement if such confirmation was successfully used to confirm a student’s eligible noncitizen status in the previous award year.</w:t>
      </w:r>
    </w:p>
    <w:p w:rsidR="004F4A3B" w:rsidRDefault="004F4A3B" w:rsidP="00A7323A">
      <w:pPr>
        <w:tabs>
          <w:tab w:val="left" w:pos="0"/>
        </w:tabs>
        <w:suppressAutoHyphens/>
        <w:ind w:left="360"/>
        <w:rPr>
          <w:rFonts w:ascii="Times New Roman" w:hAnsi="Times New Roman"/>
          <w:szCs w:val="24"/>
        </w:rPr>
      </w:pPr>
    </w:p>
    <w:p w:rsidR="00DC68F5" w:rsidRDefault="00DC68F5" w:rsidP="00A7323A">
      <w:pPr>
        <w:tabs>
          <w:tab w:val="left" w:pos="0"/>
        </w:tabs>
        <w:suppressAutoHyphens/>
        <w:ind w:left="360"/>
        <w:rPr>
          <w:rFonts w:ascii="Times New Roman" w:hAnsi="Times New Roman"/>
          <w:szCs w:val="24"/>
        </w:rPr>
      </w:pPr>
    </w:p>
    <w:p w:rsidR="00DC68F5" w:rsidRDefault="00DC68F5" w:rsidP="00A7323A">
      <w:pPr>
        <w:tabs>
          <w:tab w:val="left" w:pos="0"/>
        </w:tabs>
        <w:suppressAutoHyphens/>
        <w:ind w:left="360"/>
        <w:rPr>
          <w:rFonts w:ascii="Times New Roman" w:hAnsi="Times New Roman"/>
          <w:szCs w:val="24"/>
        </w:rPr>
      </w:pPr>
    </w:p>
    <w:p w:rsidR="00DC68F5" w:rsidRDefault="00DC68F5" w:rsidP="00A7323A">
      <w:pPr>
        <w:tabs>
          <w:tab w:val="left" w:pos="0"/>
        </w:tabs>
        <w:suppressAutoHyphens/>
        <w:ind w:left="360"/>
        <w:rPr>
          <w:rFonts w:ascii="Times New Roman" w:hAnsi="Times New Roman"/>
          <w:szCs w:val="24"/>
        </w:rPr>
      </w:pPr>
    </w:p>
    <w:p w:rsidR="00DC68F5" w:rsidRDefault="00DC68F5" w:rsidP="00A7323A">
      <w:pPr>
        <w:tabs>
          <w:tab w:val="left" w:pos="0"/>
        </w:tabs>
        <w:suppressAutoHyphens/>
        <w:ind w:left="360"/>
        <w:rPr>
          <w:rFonts w:ascii="Times New Roman" w:hAnsi="Times New Roman"/>
          <w:szCs w:val="24"/>
        </w:rPr>
      </w:pPr>
    </w:p>
    <w:p w:rsidR="006D3370" w:rsidRDefault="006D3370" w:rsidP="00A7323A">
      <w:pPr>
        <w:tabs>
          <w:tab w:val="left" w:pos="0"/>
        </w:tabs>
        <w:suppressAutoHyphens/>
        <w:ind w:left="360"/>
        <w:rPr>
          <w:rFonts w:ascii="Times New Roman" w:hAnsi="Times New Roman"/>
          <w:szCs w:val="24"/>
        </w:rPr>
      </w:pPr>
      <w:r>
        <w:rPr>
          <w:rFonts w:ascii="Times New Roman" w:hAnsi="Times New Roman"/>
          <w:szCs w:val="24"/>
        </w:rPr>
        <w:lastRenderedPageBreak/>
        <w:t>Revised Inventory – by affected entity</w:t>
      </w:r>
    </w:p>
    <w:p w:rsidR="006D3370" w:rsidRDefault="006D3370" w:rsidP="00A7323A">
      <w:pPr>
        <w:tabs>
          <w:tab w:val="left" w:pos="0"/>
        </w:tabs>
        <w:suppressAutoHyphens/>
        <w:ind w:left="360"/>
        <w:rPr>
          <w:rFonts w:ascii="Times New Roman" w:hAnsi="Times New Roman"/>
          <w:szCs w:val="24"/>
        </w:rPr>
      </w:pPr>
    </w:p>
    <w:p w:rsidR="006D3370" w:rsidRDefault="006D3370" w:rsidP="00A7323A">
      <w:pPr>
        <w:tabs>
          <w:tab w:val="left" w:pos="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of</w:t>
      </w:r>
      <w:proofErr w:type="gramEnd"/>
      <w:r>
        <w:rPr>
          <w:rFonts w:ascii="Times New Roman" w:hAnsi="Times New Roman"/>
          <w:szCs w:val="24"/>
        </w:rPr>
        <w:t xml:space="preserve"> Respondents</w:t>
      </w:r>
      <w:r>
        <w:rPr>
          <w:rFonts w:ascii="Times New Roman" w:hAnsi="Times New Roman"/>
          <w:szCs w:val="24"/>
        </w:rPr>
        <w:tab/>
        <w:t>#</w:t>
      </w:r>
      <w:r w:rsidR="00A34D4E">
        <w:rPr>
          <w:rFonts w:ascii="Times New Roman" w:hAnsi="Times New Roman"/>
          <w:szCs w:val="24"/>
        </w:rPr>
        <w:t xml:space="preserve"> of Responses</w:t>
      </w:r>
      <w:r>
        <w:rPr>
          <w:rFonts w:ascii="Times New Roman" w:hAnsi="Times New Roman"/>
          <w:szCs w:val="24"/>
        </w:rPr>
        <w:tab/>
        <w:t>X Hours/</w:t>
      </w:r>
      <w:r>
        <w:rPr>
          <w:rFonts w:ascii="Times New Roman" w:hAnsi="Times New Roman"/>
          <w:szCs w:val="24"/>
        </w:rPr>
        <w:tab/>
      </w:r>
      <w:r>
        <w:rPr>
          <w:rFonts w:ascii="Times New Roman" w:hAnsi="Times New Roman"/>
          <w:szCs w:val="24"/>
        </w:rPr>
        <w:tab/>
        <w:t>= Burden</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34D4E">
        <w:rPr>
          <w:rFonts w:ascii="Times New Roman" w:hAnsi="Times New Roman"/>
          <w:szCs w:val="24"/>
        </w:rPr>
        <w:tab/>
      </w:r>
      <w:r>
        <w:rPr>
          <w:rFonts w:ascii="Times New Roman" w:hAnsi="Times New Roman"/>
          <w:szCs w:val="24"/>
        </w:rPr>
        <w:tab/>
      </w:r>
      <w:r>
        <w:rPr>
          <w:rFonts w:ascii="Times New Roman" w:hAnsi="Times New Roman"/>
          <w:szCs w:val="24"/>
        </w:rPr>
        <w:tab/>
        <w:t>Response</w:t>
      </w:r>
      <w:r>
        <w:rPr>
          <w:rFonts w:ascii="Times New Roman" w:hAnsi="Times New Roman"/>
          <w:szCs w:val="24"/>
        </w:rPr>
        <w:tab/>
      </w:r>
      <w:r>
        <w:rPr>
          <w:rFonts w:ascii="Times New Roman" w:hAnsi="Times New Roman"/>
          <w:szCs w:val="24"/>
        </w:rPr>
        <w:tab/>
        <w:t xml:space="preserve">    Hours</w:t>
      </w:r>
    </w:p>
    <w:p w:rsidR="004F4A3B" w:rsidRDefault="004F4A3B" w:rsidP="00A7323A">
      <w:pPr>
        <w:tabs>
          <w:tab w:val="left" w:pos="0"/>
        </w:tabs>
        <w:suppressAutoHyphens/>
        <w:ind w:left="360"/>
        <w:rPr>
          <w:rFonts w:ascii="Times New Roman" w:hAnsi="Times New Roman"/>
          <w:szCs w:val="24"/>
        </w:rPr>
      </w:pPr>
    </w:p>
    <w:p w:rsidR="00F57FA5" w:rsidRDefault="00F57FA5" w:rsidP="00A7323A">
      <w:pPr>
        <w:tabs>
          <w:tab w:val="left" w:pos="0"/>
        </w:tabs>
        <w:suppressAutoHyphens/>
        <w:ind w:left="360"/>
        <w:rPr>
          <w:rFonts w:ascii="Times New Roman" w:hAnsi="Times New Roman"/>
          <w:szCs w:val="24"/>
        </w:rPr>
      </w:pPr>
      <w:r>
        <w:rPr>
          <w:rFonts w:ascii="Times New Roman" w:hAnsi="Times New Roman"/>
          <w:szCs w:val="24"/>
        </w:rPr>
        <w:t>Individuals:</w:t>
      </w:r>
    </w:p>
    <w:p w:rsidR="00F57FA5" w:rsidRDefault="00F57FA5" w:rsidP="00A34D4E">
      <w:pPr>
        <w:tabs>
          <w:tab w:val="left" w:pos="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sidR="00A34D4E">
        <w:rPr>
          <w:rFonts w:ascii="Times New Roman" w:hAnsi="Times New Roman"/>
          <w:szCs w:val="24"/>
        </w:rPr>
        <w:t xml:space="preserve">          71,666</w:t>
      </w:r>
      <w:r w:rsidR="00A34D4E">
        <w:rPr>
          <w:rFonts w:ascii="Times New Roman" w:hAnsi="Times New Roman"/>
          <w:szCs w:val="24"/>
        </w:rPr>
        <w:tab/>
      </w:r>
      <w:r w:rsidR="00A34D4E">
        <w:rPr>
          <w:rFonts w:ascii="Times New Roman" w:hAnsi="Times New Roman"/>
          <w:szCs w:val="24"/>
        </w:rPr>
        <w:tab/>
      </w:r>
      <w:r w:rsidR="00A34D4E">
        <w:rPr>
          <w:rFonts w:ascii="Times New Roman" w:hAnsi="Times New Roman"/>
          <w:szCs w:val="24"/>
        </w:rPr>
        <w:tab/>
        <w:t>71,666</w:t>
      </w:r>
      <w:r w:rsidR="00A34D4E">
        <w:rPr>
          <w:rFonts w:ascii="Times New Roman" w:hAnsi="Times New Roman"/>
          <w:szCs w:val="24"/>
        </w:rPr>
        <w:tab/>
      </w:r>
      <w:r w:rsidR="00A34D4E">
        <w:rPr>
          <w:rFonts w:ascii="Times New Roman" w:hAnsi="Times New Roman"/>
          <w:szCs w:val="24"/>
        </w:rPr>
        <w:tab/>
        <w:t>.08 hours</w:t>
      </w:r>
      <w:r w:rsidR="00A34D4E">
        <w:rPr>
          <w:rFonts w:ascii="Times New Roman" w:hAnsi="Times New Roman"/>
          <w:szCs w:val="24"/>
        </w:rPr>
        <w:tab/>
      </w:r>
      <w:r w:rsidR="00A34D4E">
        <w:rPr>
          <w:rFonts w:ascii="Times New Roman" w:hAnsi="Times New Roman"/>
          <w:szCs w:val="24"/>
        </w:rPr>
        <w:tab/>
        <w:t>= 5,733</w:t>
      </w:r>
    </w:p>
    <w:p w:rsidR="00A34D4E" w:rsidRDefault="00A34D4E" w:rsidP="00A34D4E">
      <w:pPr>
        <w:tabs>
          <w:tab w:val="left" w:pos="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(5 minutes)</w:t>
      </w:r>
    </w:p>
    <w:p w:rsidR="006D3370" w:rsidRPr="00A7323A" w:rsidRDefault="006D3370" w:rsidP="00A7323A">
      <w:pPr>
        <w:tabs>
          <w:tab w:val="left" w:pos="0"/>
        </w:tabs>
        <w:suppressAutoHyphens/>
        <w:ind w:left="360"/>
        <w:rPr>
          <w:rFonts w:ascii="Times New Roman" w:hAnsi="Times New Roman"/>
          <w:szCs w:val="24"/>
        </w:rPr>
      </w:pPr>
      <w:r>
        <w:rPr>
          <w:rFonts w:ascii="Times New Roman" w:hAnsi="Times New Roman"/>
          <w:szCs w:val="24"/>
        </w:rPr>
        <w:t>For-profit institution:</w:t>
      </w:r>
    </w:p>
    <w:p w:rsidR="00A7323A" w:rsidRDefault="006D3370">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2,086</w:t>
      </w:r>
      <w:r>
        <w:rPr>
          <w:rFonts w:ascii="Times New Roman" w:hAnsi="Times New Roman"/>
          <w:szCs w:val="24"/>
        </w:rPr>
        <w:tab/>
      </w:r>
      <w:r>
        <w:rPr>
          <w:rFonts w:ascii="Times New Roman" w:hAnsi="Times New Roman"/>
          <w:szCs w:val="24"/>
        </w:rPr>
        <w:tab/>
      </w:r>
      <w:r>
        <w:rPr>
          <w:rFonts w:ascii="Times New Roman" w:hAnsi="Times New Roman"/>
          <w:szCs w:val="24"/>
        </w:rPr>
        <w:tab/>
      </w:r>
      <w:r w:rsidR="001C5D7E">
        <w:rPr>
          <w:rFonts w:ascii="Times New Roman" w:hAnsi="Times New Roman"/>
          <w:szCs w:val="24"/>
        </w:rPr>
        <w:t>26,516</w:t>
      </w:r>
      <w:r>
        <w:rPr>
          <w:rFonts w:ascii="Times New Roman" w:hAnsi="Times New Roman"/>
          <w:szCs w:val="24"/>
        </w:rPr>
        <w:tab/>
      </w:r>
      <w:r>
        <w:rPr>
          <w:rFonts w:ascii="Times New Roman" w:hAnsi="Times New Roman"/>
          <w:szCs w:val="24"/>
        </w:rPr>
        <w:tab/>
        <w:t>.</w:t>
      </w:r>
      <w:r w:rsidR="00A34D4E">
        <w:rPr>
          <w:rFonts w:ascii="Times New Roman" w:hAnsi="Times New Roman"/>
          <w:szCs w:val="24"/>
        </w:rPr>
        <w:t>17</w:t>
      </w:r>
      <w:r>
        <w:rPr>
          <w:rFonts w:ascii="Times New Roman" w:hAnsi="Times New Roman"/>
          <w:szCs w:val="24"/>
        </w:rPr>
        <w:t xml:space="preserve"> hours</w:t>
      </w:r>
      <w:r>
        <w:rPr>
          <w:rFonts w:ascii="Times New Roman" w:hAnsi="Times New Roman"/>
          <w:szCs w:val="24"/>
        </w:rPr>
        <w:tab/>
      </w:r>
      <w:r>
        <w:rPr>
          <w:rFonts w:ascii="Times New Roman" w:hAnsi="Times New Roman"/>
          <w:szCs w:val="24"/>
        </w:rPr>
        <w:tab/>
        <w:t xml:space="preserve">= </w:t>
      </w:r>
      <w:r w:rsidR="001C5D7E">
        <w:rPr>
          <w:rFonts w:ascii="Times New Roman" w:hAnsi="Times New Roman"/>
          <w:szCs w:val="24"/>
        </w:rPr>
        <w:t>4,508</w:t>
      </w:r>
    </w:p>
    <w:p w:rsidR="00A522DB" w:rsidRDefault="00BD2C24">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w:t>
      </w:r>
      <w:r w:rsidR="00A34D4E">
        <w:rPr>
          <w:rFonts w:ascii="Times New Roman" w:hAnsi="Times New Roman"/>
          <w:szCs w:val="24"/>
        </w:rPr>
        <w:t>0</w:t>
      </w:r>
      <w:r>
        <w:rPr>
          <w:rFonts w:ascii="Times New Roman" w:hAnsi="Times New Roman"/>
          <w:szCs w:val="24"/>
        </w:rPr>
        <w:t xml:space="preserve"> min.)</w:t>
      </w:r>
    </w:p>
    <w:p w:rsidR="006D3370" w:rsidRDefault="006D3370" w:rsidP="006D3370">
      <w:pPr>
        <w:tabs>
          <w:tab w:val="left" w:pos="-720"/>
        </w:tabs>
        <w:suppressAutoHyphens/>
        <w:ind w:left="360"/>
        <w:rPr>
          <w:rFonts w:ascii="Times New Roman" w:hAnsi="Times New Roman"/>
          <w:szCs w:val="24"/>
        </w:rPr>
      </w:pPr>
      <w:r>
        <w:rPr>
          <w:rFonts w:ascii="Times New Roman" w:hAnsi="Times New Roman"/>
          <w:szCs w:val="24"/>
        </w:rPr>
        <w:t>Not-for-profit institution:</w:t>
      </w:r>
    </w:p>
    <w:p w:rsidR="006D3370" w:rsidRDefault="006D3370"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1,731</w:t>
      </w:r>
      <w:r>
        <w:rPr>
          <w:rFonts w:ascii="Times New Roman" w:hAnsi="Times New Roman"/>
          <w:szCs w:val="24"/>
        </w:rPr>
        <w:tab/>
      </w:r>
      <w:r>
        <w:rPr>
          <w:rFonts w:ascii="Times New Roman" w:hAnsi="Times New Roman"/>
          <w:szCs w:val="24"/>
        </w:rPr>
        <w:tab/>
      </w:r>
      <w:r>
        <w:rPr>
          <w:rFonts w:ascii="Times New Roman" w:hAnsi="Times New Roman"/>
          <w:szCs w:val="24"/>
        </w:rPr>
        <w:tab/>
      </w:r>
      <w:r w:rsidR="001C5D7E">
        <w:rPr>
          <w:rFonts w:ascii="Times New Roman" w:hAnsi="Times New Roman"/>
          <w:szCs w:val="24"/>
        </w:rPr>
        <w:t>21,500</w:t>
      </w:r>
      <w:r>
        <w:rPr>
          <w:rFonts w:ascii="Times New Roman" w:hAnsi="Times New Roman"/>
          <w:szCs w:val="24"/>
        </w:rPr>
        <w:tab/>
      </w:r>
      <w:r>
        <w:rPr>
          <w:rFonts w:ascii="Times New Roman" w:hAnsi="Times New Roman"/>
          <w:szCs w:val="24"/>
        </w:rPr>
        <w:tab/>
        <w:t>.</w:t>
      </w:r>
      <w:r w:rsidR="00A34D4E">
        <w:rPr>
          <w:rFonts w:ascii="Times New Roman" w:hAnsi="Times New Roman"/>
          <w:szCs w:val="24"/>
        </w:rPr>
        <w:t>17</w:t>
      </w:r>
      <w:r>
        <w:rPr>
          <w:rFonts w:ascii="Times New Roman" w:hAnsi="Times New Roman"/>
          <w:szCs w:val="24"/>
        </w:rPr>
        <w:t xml:space="preserve"> hours</w:t>
      </w:r>
      <w:r>
        <w:rPr>
          <w:rFonts w:ascii="Times New Roman" w:hAnsi="Times New Roman"/>
          <w:szCs w:val="24"/>
        </w:rPr>
        <w:tab/>
      </w:r>
      <w:r>
        <w:rPr>
          <w:rFonts w:ascii="Times New Roman" w:hAnsi="Times New Roman"/>
          <w:szCs w:val="24"/>
        </w:rPr>
        <w:tab/>
        <w:t xml:space="preserve">= </w:t>
      </w:r>
      <w:r w:rsidR="001C5D7E">
        <w:rPr>
          <w:rFonts w:ascii="Times New Roman" w:hAnsi="Times New Roman"/>
          <w:szCs w:val="24"/>
        </w:rPr>
        <w:t>3,655</w:t>
      </w:r>
    </w:p>
    <w:p w:rsidR="00BD2C24" w:rsidRDefault="00A34D4E"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(10</w:t>
      </w:r>
      <w:r w:rsidR="00BD2C24">
        <w:rPr>
          <w:rFonts w:ascii="Times New Roman" w:hAnsi="Times New Roman"/>
          <w:szCs w:val="24"/>
        </w:rPr>
        <w:t xml:space="preserve"> min.)</w:t>
      </w:r>
    </w:p>
    <w:p w:rsidR="006D3370" w:rsidRDefault="006D3370" w:rsidP="006D3370">
      <w:pPr>
        <w:tabs>
          <w:tab w:val="left" w:pos="-720"/>
        </w:tabs>
        <w:suppressAutoHyphens/>
        <w:ind w:left="360"/>
        <w:rPr>
          <w:rFonts w:ascii="Times New Roman" w:hAnsi="Times New Roman"/>
          <w:szCs w:val="24"/>
        </w:rPr>
      </w:pPr>
      <w:r>
        <w:rPr>
          <w:rFonts w:ascii="Times New Roman" w:hAnsi="Times New Roman"/>
          <w:szCs w:val="24"/>
        </w:rPr>
        <w:t>State, local or Tribal entities</w:t>
      </w:r>
    </w:p>
    <w:p w:rsidR="006D3370" w:rsidRDefault="006D3370" w:rsidP="001C5D7E">
      <w:pPr>
        <w:tabs>
          <w:tab w:val="left" w:pos="-720"/>
          <w:tab w:val="left" w:pos="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1,892</w:t>
      </w:r>
      <w:r>
        <w:rPr>
          <w:rFonts w:ascii="Times New Roman" w:hAnsi="Times New Roman"/>
          <w:szCs w:val="24"/>
        </w:rPr>
        <w:tab/>
      </w:r>
      <w:r>
        <w:rPr>
          <w:rFonts w:ascii="Times New Roman" w:hAnsi="Times New Roman"/>
          <w:szCs w:val="24"/>
        </w:rPr>
        <w:tab/>
      </w:r>
      <w:r>
        <w:rPr>
          <w:rFonts w:ascii="Times New Roman" w:hAnsi="Times New Roman"/>
          <w:szCs w:val="24"/>
        </w:rPr>
        <w:tab/>
      </w:r>
      <w:r w:rsidR="001C5D7E">
        <w:rPr>
          <w:rFonts w:ascii="Times New Roman" w:hAnsi="Times New Roman"/>
          <w:szCs w:val="24"/>
        </w:rPr>
        <w:t>23,650</w:t>
      </w:r>
      <w:r>
        <w:rPr>
          <w:rFonts w:ascii="Times New Roman" w:hAnsi="Times New Roman"/>
          <w:szCs w:val="24"/>
        </w:rPr>
        <w:tab/>
      </w:r>
      <w:r>
        <w:rPr>
          <w:rFonts w:ascii="Times New Roman" w:hAnsi="Times New Roman"/>
          <w:szCs w:val="24"/>
        </w:rPr>
        <w:tab/>
        <w:t>.</w:t>
      </w:r>
      <w:r w:rsidR="00A34D4E">
        <w:rPr>
          <w:rFonts w:ascii="Times New Roman" w:hAnsi="Times New Roman"/>
          <w:szCs w:val="24"/>
        </w:rPr>
        <w:t>17</w:t>
      </w:r>
      <w:r>
        <w:rPr>
          <w:rFonts w:ascii="Times New Roman" w:hAnsi="Times New Roman"/>
          <w:szCs w:val="24"/>
        </w:rPr>
        <w:t xml:space="preserve"> hours</w:t>
      </w:r>
      <w:r>
        <w:rPr>
          <w:rFonts w:ascii="Times New Roman" w:hAnsi="Times New Roman"/>
          <w:szCs w:val="24"/>
        </w:rPr>
        <w:tab/>
      </w:r>
      <w:r>
        <w:rPr>
          <w:rFonts w:ascii="Times New Roman" w:hAnsi="Times New Roman"/>
          <w:szCs w:val="24"/>
        </w:rPr>
        <w:tab/>
        <w:t xml:space="preserve">= </w:t>
      </w:r>
      <w:r w:rsidR="001C5D7E">
        <w:rPr>
          <w:rFonts w:ascii="Times New Roman" w:hAnsi="Times New Roman"/>
          <w:szCs w:val="24"/>
        </w:rPr>
        <w:t>4,021</w:t>
      </w:r>
    </w:p>
    <w:p w:rsidR="00A522DB" w:rsidRDefault="00BD2C24"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w:t>
      </w:r>
      <w:r w:rsidR="00A34D4E">
        <w:rPr>
          <w:rFonts w:ascii="Times New Roman" w:hAnsi="Times New Roman"/>
          <w:szCs w:val="24"/>
        </w:rPr>
        <w:t>0</w:t>
      </w:r>
      <w:r>
        <w:rPr>
          <w:rFonts w:ascii="Times New Roman" w:hAnsi="Times New Roman"/>
          <w:szCs w:val="24"/>
        </w:rPr>
        <w:t xml:space="preserve"> min.)</w:t>
      </w:r>
    </w:p>
    <w:p w:rsidR="006D3370" w:rsidRDefault="006D3370" w:rsidP="006D3370">
      <w:pPr>
        <w:tabs>
          <w:tab w:val="left" w:pos="-720"/>
        </w:tabs>
        <w:suppressAutoHyphens/>
        <w:ind w:left="360"/>
        <w:rPr>
          <w:rFonts w:ascii="Times New Roman" w:hAnsi="Times New Roman"/>
          <w:szCs w:val="24"/>
        </w:rPr>
      </w:pPr>
      <w:r>
        <w:rPr>
          <w:rFonts w:ascii="Times New Roman" w:hAnsi="Times New Roman"/>
          <w:szCs w:val="24"/>
        </w:rPr>
        <w:t>Total Revised Inventory</w:t>
      </w:r>
    </w:p>
    <w:p w:rsidR="00A522DB" w:rsidRDefault="001C5D7E"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t xml:space="preserve"># </w:t>
      </w:r>
      <w:proofErr w:type="gramStart"/>
      <w:r>
        <w:rPr>
          <w:rFonts w:ascii="Times New Roman" w:hAnsi="Times New Roman"/>
          <w:szCs w:val="24"/>
        </w:rPr>
        <w:t>of</w:t>
      </w:r>
      <w:proofErr w:type="gramEnd"/>
      <w:r>
        <w:rPr>
          <w:rFonts w:ascii="Times New Roman" w:hAnsi="Times New Roman"/>
          <w:szCs w:val="24"/>
        </w:rPr>
        <w:t xml:space="preserve"> Respondents</w:t>
      </w:r>
      <w:r>
        <w:rPr>
          <w:rFonts w:ascii="Times New Roman" w:hAnsi="Times New Roman"/>
          <w:szCs w:val="24"/>
        </w:rPr>
        <w:tab/>
      </w:r>
      <w:r w:rsidR="00A522DB">
        <w:rPr>
          <w:rFonts w:ascii="Times New Roman" w:hAnsi="Times New Roman"/>
          <w:szCs w:val="24"/>
        </w:rPr>
        <w:t># of Responses</w:t>
      </w:r>
      <w:r w:rsidR="00A522DB">
        <w:rPr>
          <w:rFonts w:ascii="Times New Roman" w:hAnsi="Times New Roman"/>
          <w:szCs w:val="24"/>
        </w:rPr>
        <w:tab/>
      </w:r>
      <w:r w:rsidR="00A522DB">
        <w:rPr>
          <w:rFonts w:ascii="Times New Roman" w:hAnsi="Times New Roman"/>
          <w:szCs w:val="24"/>
        </w:rPr>
        <w:tab/>
      </w:r>
      <w:r w:rsidR="004F4A3B">
        <w:rPr>
          <w:rFonts w:ascii="Times New Roman" w:hAnsi="Times New Roman"/>
          <w:szCs w:val="24"/>
        </w:rPr>
        <w:tab/>
      </w:r>
      <w:r w:rsidR="00A522DB">
        <w:rPr>
          <w:rFonts w:ascii="Times New Roman" w:hAnsi="Times New Roman"/>
          <w:szCs w:val="24"/>
        </w:rPr>
        <w:t>Burden Hours</w:t>
      </w:r>
    </w:p>
    <w:p w:rsidR="006D3370" w:rsidRDefault="001C5D7E"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t xml:space="preserve">          77,375</w:t>
      </w:r>
      <w:r w:rsidR="006D3370">
        <w:rPr>
          <w:rFonts w:ascii="Times New Roman" w:hAnsi="Times New Roman"/>
          <w:szCs w:val="24"/>
        </w:rPr>
        <w:tab/>
      </w:r>
      <w:r w:rsidR="006D3370">
        <w:rPr>
          <w:rFonts w:ascii="Times New Roman" w:hAnsi="Times New Roman"/>
          <w:szCs w:val="24"/>
        </w:rPr>
        <w:tab/>
      </w:r>
      <w:r w:rsidR="00DC68F5">
        <w:rPr>
          <w:rFonts w:ascii="Times New Roman" w:hAnsi="Times New Roman"/>
          <w:szCs w:val="24"/>
        </w:rPr>
        <w:t xml:space="preserve">          </w:t>
      </w:r>
      <w:r w:rsidR="004F4A3B">
        <w:rPr>
          <w:rFonts w:ascii="Times New Roman" w:hAnsi="Times New Roman"/>
          <w:szCs w:val="24"/>
        </w:rPr>
        <w:t>143,332</w:t>
      </w:r>
      <w:r w:rsidR="00A522DB">
        <w:rPr>
          <w:rFonts w:ascii="Times New Roman" w:hAnsi="Times New Roman"/>
          <w:szCs w:val="24"/>
        </w:rPr>
        <w:tab/>
      </w:r>
      <w:r w:rsidR="00A522DB">
        <w:rPr>
          <w:rFonts w:ascii="Times New Roman" w:hAnsi="Times New Roman"/>
          <w:szCs w:val="24"/>
        </w:rPr>
        <w:tab/>
      </w:r>
      <w:r w:rsidR="004D284D">
        <w:rPr>
          <w:rFonts w:ascii="Times New Roman" w:hAnsi="Times New Roman"/>
          <w:szCs w:val="24"/>
        </w:rPr>
        <w:tab/>
      </w:r>
      <w:r w:rsidR="00DC68F5">
        <w:rPr>
          <w:rFonts w:ascii="Times New Roman" w:hAnsi="Times New Roman"/>
          <w:szCs w:val="24"/>
        </w:rPr>
        <w:tab/>
      </w:r>
      <w:r w:rsidR="004F4A3B">
        <w:rPr>
          <w:rFonts w:ascii="Times New Roman" w:hAnsi="Times New Roman"/>
          <w:szCs w:val="24"/>
        </w:rPr>
        <w:tab/>
      </w:r>
      <w:r w:rsidR="00A522DB">
        <w:rPr>
          <w:rFonts w:ascii="Times New Roman" w:hAnsi="Times New Roman"/>
          <w:szCs w:val="24"/>
        </w:rPr>
        <w:t>1</w:t>
      </w:r>
      <w:r w:rsidR="004F4A3B">
        <w:rPr>
          <w:rFonts w:ascii="Times New Roman" w:hAnsi="Times New Roman"/>
          <w:szCs w:val="24"/>
        </w:rPr>
        <w:t>7</w:t>
      </w:r>
      <w:r w:rsidR="00A522DB">
        <w:rPr>
          <w:rFonts w:ascii="Times New Roman" w:hAnsi="Times New Roman"/>
          <w:szCs w:val="24"/>
        </w:rPr>
        <w:t>,</w:t>
      </w:r>
      <w:r w:rsidR="004F4A3B">
        <w:rPr>
          <w:rFonts w:ascii="Times New Roman" w:hAnsi="Times New Roman"/>
          <w:szCs w:val="24"/>
        </w:rPr>
        <w:t>917</w:t>
      </w:r>
    </w:p>
    <w:p w:rsidR="004D284D" w:rsidRDefault="004D284D" w:rsidP="006D3370">
      <w:pPr>
        <w:tabs>
          <w:tab w:val="left" w:pos="-720"/>
        </w:tabs>
        <w:suppressAutoHyphens/>
        <w:ind w:left="360"/>
        <w:rPr>
          <w:rFonts w:ascii="Times New Roman" w:hAnsi="Times New Roman"/>
          <w:szCs w:val="24"/>
        </w:rPr>
      </w:pPr>
    </w:p>
    <w:p w:rsidR="004F4A3B" w:rsidRDefault="004F4A3B" w:rsidP="006D3370">
      <w:pPr>
        <w:tabs>
          <w:tab w:val="left" w:pos="-720"/>
        </w:tabs>
        <w:suppressAutoHyphens/>
        <w:ind w:left="360"/>
        <w:rPr>
          <w:rFonts w:ascii="Times New Roman" w:hAnsi="Times New Roman"/>
          <w:szCs w:val="24"/>
        </w:rPr>
      </w:pPr>
      <w:r>
        <w:rPr>
          <w:rFonts w:ascii="Times New Roman" w:hAnsi="Times New Roman"/>
          <w:szCs w:val="24"/>
        </w:rPr>
        <w:t>These figures do not include the USCIS calculated burden of 5 minutes for the completion and submission of the G-845 for OMB # 1615-0101.</w:t>
      </w:r>
    </w:p>
    <w:p w:rsidR="004F4A3B" w:rsidRDefault="004F4A3B" w:rsidP="006D3370">
      <w:pPr>
        <w:tabs>
          <w:tab w:val="left" w:pos="-720"/>
        </w:tabs>
        <w:suppressAutoHyphens/>
        <w:ind w:left="360"/>
        <w:rPr>
          <w:rFonts w:ascii="Times New Roman" w:hAnsi="Times New Roman"/>
          <w:szCs w:val="24"/>
        </w:rPr>
      </w:pPr>
    </w:p>
    <w:p w:rsidR="004D284D" w:rsidRDefault="004D284D" w:rsidP="006D3370">
      <w:pPr>
        <w:tabs>
          <w:tab w:val="left" w:pos="-720"/>
        </w:tabs>
        <w:suppressAutoHyphens/>
        <w:ind w:left="360"/>
        <w:rPr>
          <w:rFonts w:ascii="Times New Roman" w:hAnsi="Times New Roman"/>
          <w:szCs w:val="24"/>
        </w:rPr>
      </w:pPr>
      <w:r>
        <w:rPr>
          <w:rFonts w:ascii="Times New Roman" w:hAnsi="Times New Roman"/>
          <w:szCs w:val="24"/>
        </w:rPr>
        <w:t>The annual cost burden attributable to staff is as follows:</w:t>
      </w:r>
    </w:p>
    <w:p w:rsidR="004D284D" w:rsidRDefault="004D284D" w:rsidP="006D3370">
      <w:pPr>
        <w:tabs>
          <w:tab w:val="left" w:pos="-720"/>
        </w:tabs>
        <w:suppressAutoHyphens/>
        <w:ind w:left="360"/>
        <w:rPr>
          <w:rFonts w:ascii="Times New Roman" w:hAnsi="Times New Roman"/>
          <w:szCs w:val="24"/>
        </w:rPr>
      </w:pPr>
    </w:p>
    <w:p w:rsidR="004D284D" w:rsidRDefault="004D284D"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$5.50</w:t>
      </w:r>
      <w:r>
        <w:rPr>
          <w:rFonts w:ascii="Times New Roman" w:hAnsi="Times New Roman"/>
          <w:szCs w:val="24"/>
        </w:rPr>
        <w:tab/>
        <w:t>respondent salary cost ($22/hr x 15 min)</w:t>
      </w:r>
    </w:p>
    <w:p w:rsidR="006D3370" w:rsidRDefault="004D284D"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D284D">
        <w:rPr>
          <w:rFonts w:ascii="Times New Roman" w:hAnsi="Times New Roman"/>
          <w:szCs w:val="24"/>
          <w:u w:val="single"/>
        </w:rPr>
        <w:t xml:space="preserve">X       </w:t>
      </w:r>
      <w:r w:rsidR="00894329">
        <w:rPr>
          <w:rFonts w:ascii="Times New Roman" w:hAnsi="Times New Roman"/>
          <w:szCs w:val="24"/>
          <w:u w:val="single"/>
        </w:rPr>
        <w:t>17</w:t>
      </w:r>
      <w:r w:rsidRPr="004D284D">
        <w:rPr>
          <w:rFonts w:ascii="Times New Roman" w:hAnsi="Times New Roman"/>
          <w:szCs w:val="24"/>
          <w:u w:val="single"/>
        </w:rPr>
        <w:t>,</w:t>
      </w:r>
      <w:r w:rsidR="00894329">
        <w:rPr>
          <w:rFonts w:ascii="Times New Roman" w:hAnsi="Times New Roman"/>
          <w:szCs w:val="24"/>
          <w:u w:val="single"/>
        </w:rPr>
        <w:t>914</w:t>
      </w:r>
      <w:r>
        <w:rPr>
          <w:rFonts w:ascii="Times New Roman" w:hAnsi="Times New Roman"/>
          <w:szCs w:val="24"/>
        </w:rPr>
        <w:tab/>
        <w:t>estimated annual frequency</w:t>
      </w:r>
    </w:p>
    <w:p w:rsidR="004D284D" w:rsidRDefault="004D284D" w:rsidP="006D3370">
      <w:pPr>
        <w:tabs>
          <w:tab w:val="left" w:pos="-720"/>
        </w:tabs>
        <w:suppressAutoHyphens/>
        <w:ind w:left="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 </w:t>
      </w:r>
      <w:r w:rsidR="00894329">
        <w:rPr>
          <w:rFonts w:ascii="Times New Roman" w:hAnsi="Times New Roman"/>
          <w:szCs w:val="24"/>
        </w:rPr>
        <w:t xml:space="preserve">  98,544</w:t>
      </w:r>
    </w:p>
    <w:p w:rsidR="004D284D" w:rsidRPr="004D284D" w:rsidRDefault="004D284D" w:rsidP="006D3370">
      <w:pPr>
        <w:tabs>
          <w:tab w:val="left" w:pos="-720"/>
        </w:tabs>
        <w:suppressAutoHyphens/>
        <w:ind w:left="36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 xml:space="preserve">Total Annualized Capital/Startup Cost: </w:t>
      </w:r>
      <w:bookmarkStart w:id="0" w:name="Startup"/>
      <w:r w:rsidR="003239B2"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3239B2" w:rsidRPr="00EF7FF5">
        <w:rPr>
          <w:rFonts w:ascii="Times New Roman" w:hAnsi="Times New Roman"/>
          <w:szCs w:val="24"/>
        </w:rPr>
      </w:r>
      <w:r w:rsidR="003239B2"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3239B2" w:rsidRPr="00EF7FF5">
        <w:rPr>
          <w:rFonts w:ascii="Times New Roman" w:hAnsi="Times New Roman"/>
          <w:szCs w:val="24"/>
        </w:rPr>
        <w:fldChar w:fldCharType="end"/>
      </w:r>
      <w:bookmarkEnd w:id="0"/>
      <w:r w:rsidR="00A522DB">
        <w:rPr>
          <w:rFonts w:ascii="Times New Roman" w:hAnsi="Times New Roman"/>
          <w:szCs w:val="24"/>
        </w:rPr>
        <w:tab/>
        <w:t>0</w:t>
      </w:r>
    </w:p>
    <w:p w:rsidR="004D284D" w:rsidRPr="00EF7FF5" w:rsidRDefault="004D284D">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r w:rsidR="004D284D">
        <w:rPr>
          <w:rFonts w:ascii="Times New Roman" w:hAnsi="Times New Roman"/>
          <w:szCs w:val="24"/>
        </w:rPr>
        <w:t xml:space="preserve">    $ 0.44</w:t>
      </w:r>
      <w:r w:rsidR="004D284D">
        <w:rPr>
          <w:rFonts w:ascii="Times New Roman" w:hAnsi="Times New Roman"/>
          <w:szCs w:val="24"/>
        </w:rPr>
        <w:tab/>
        <w:t>Postage</w:t>
      </w:r>
    </w:p>
    <w:p w:rsidR="004D284D" w:rsidRDefault="004D284D">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$ 0.60</w:t>
      </w:r>
      <w:r>
        <w:rPr>
          <w:rFonts w:ascii="Times New Roman" w:hAnsi="Times New Roman"/>
          <w:szCs w:val="24"/>
        </w:rPr>
        <w:tab/>
        <w:t>Photocopying and student interview</w:t>
      </w:r>
    </w:p>
    <w:p w:rsidR="004D284D" w:rsidRDefault="003E6AF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4D284D">
        <w:rPr>
          <w:rFonts w:ascii="Times New Roman" w:hAnsi="Times New Roman"/>
          <w:szCs w:val="24"/>
        </w:rPr>
        <w:tab/>
      </w:r>
      <w:r w:rsidR="004D284D">
        <w:rPr>
          <w:rFonts w:ascii="Times New Roman" w:hAnsi="Times New Roman"/>
          <w:szCs w:val="24"/>
        </w:rPr>
        <w:tab/>
      </w:r>
      <w:r w:rsidR="004D284D" w:rsidRPr="004D284D">
        <w:rPr>
          <w:rFonts w:ascii="Times New Roman" w:hAnsi="Times New Roman"/>
          <w:szCs w:val="24"/>
          <w:u w:val="single"/>
        </w:rPr>
        <w:t xml:space="preserve"> </w:t>
      </w:r>
      <w:proofErr w:type="gramStart"/>
      <w:r w:rsidR="004D284D" w:rsidRPr="004D284D">
        <w:rPr>
          <w:rFonts w:ascii="Times New Roman" w:hAnsi="Times New Roman"/>
          <w:szCs w:val="24"/>
          <w:u w:val="single"/>
        </w:rPr>
        <w:t>X  1</w:t>
      </w:r>
      <w:r w:rsidR="00894329">
        <w:rPr>
          <w:rFonts w:ascii="Times New Roman" w:hAnsi="Times New Roman"/>
          <w:szCs w:val="24"/>
          <w:u w:val="single"/>
        </w:rPr>
        <w:t>7,917</w:t>
      </w:r>
      <w:proofErr w:type="gramEnd"/>
      <w:r w:rsidR="004D284D">
        <w:rPr>
          <w:rFonts w:ascii="Times New Roman" w:hAnsi="Times New Roman"/>
          <w:szCs w:val="24"/>
        </w:rPr>
        <w:tab/>
        <w:t>Estimated annual frequency</w:t>
      </w:r>
    </w:p>
    <w:p w:rsidR="004D284D" w:rsidRDefault="004D284D">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003A33BE">
        <w:rPr>
          <w:rFonts w:ascii="Times New Roman" w:hAnsi="Times New Roman"/>
          <w:szCs w:val="24"/>
        </w:rPr>
        <w:t xml:space="preserve"> </w:t>
      </w:r>
      <w:r w:rsidRPr="00EF7FF5">
        <w:rPr>
          <w:rFonts w:ascii="Times New Roman" w:hAnsi="Times New Roman"/>
          <w:szCs w:val="24"/>
        </w:rPr>
        <w:t xml:space="preserve"> </w:t>
      </w:r>
      <w:bookmarkStart w:id="1" w:name="Total_Cost"/>
      <w:r w:rsidR="003239B2"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3239B2" w:rsidRPr="00EF7FF5">
        <w:rPr>
          <w:rFonts w:ascii="Times New Roman" w:hAnsi="Times New Roman"/>
          <w:szCs w:val="24"/>
        </w:rPr>
      </w:r>
      <w:r w:rsidR="003239B2" w:rsidRPr="00EF7FF5">
        <w:rPr>
          <w:rFonts w:ascii="Times New Roman" w:hAnsi="Times New Roman"/>
          <w:szCs w:val="24"/>
        </w:rPr>
        <w:fldChar w:fldCharType="separate"/>
      </w:r>
      <w:r w:rsidRPr="00E023B7">
        <w:rPr>
          <w:rFonts w:ascii="Times New Roman" w:hAnsi="Times New Roman"/>
          <w:noProof/>
          <w:szCs w:val="24"/>
        </w:rPr>
        <w:t> </w:t>
      </w:r>
      <w:r w:rsidR="004D284D">
        <w:rPr>
          <w:rFonts w:ascii="Times New Roman" w:hAnsi="Times New Roman"/>
          <w:szCs w:val="24"/>
        </w:rPr>
        <w:t>= $1</w:t>
      </w:r>
      <w:r w:rsidR="00894329">
        <w:rPr>
          <w:rFonts w:ascii="Times New Roman" w:hAnsi="Times New Roman"/>
          <w:szCs w:val="24"/>
        </w:rPr>
        <w:t>8</w:t>
      </w:r>
      <w:r w:rsidR="004D284D">
        <w:rPr>
          <w:rFonts w:ascii="Times New Roman" w:hAnsi="Times New Roman"/>
          <w:szCs w:val="24"/>
        </w:rPr>
        <w:t>,6</w:t>
      </w:r>
      <w:r w:rsidR="00894329">
        <w:rPr>
          <w:rFonts w:ascii="Times New Roman" w:hAnsi="Times New Roman"/>
          <w:szCs w:val="24"/>
        </w:rPr>
        <w:t>34</w:t>
      </w:r>
      <w:r w:rsidR="004D284D">
        <w:rPr>
          <w:rFonts w:ascii="Times New Roman" w:hAnsi="Times New Roman"/>
          <w:szCs w:val="24"/>
        </w:rPr>
        <w:tab/>
        <w:t>Total annual cost to respondents</w:t>
      </w:r>
      <w:r w:rsidR="004D284D" w:rsidRPr="00E023B7">
        <w:rPr>
          <w:rFonts w:ascii="Times New Roman" w:hAnsi="Times New Roman"/>
          <w:noProof/>
          <w:szCs w:val="24"/>
        </w:rPr>
        <w:t xml:space="preserve">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3239B2" w:rsidRPr="00EF7FF5">
        <w:rPr>
          <w:rFonts w:ascii="Times New Roman" w:hAnsi="Times New Roman"/>
          <w:szCs w:val="24"/>
        </w:rPr>
        <w:fldChar w:fldCharType="end"/>
      </w:r>
      <w:bookmarkEnd w:id="1"/>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Default="003A33BE">
      <w:pPr>
        <w:tabs>
          <w:tab w:val="left" w:pos="-720"/>
        </w:tabs>
        <w:suppressAutoHyphens/>
        <w:rPr>
          <w:rFonts w:ascii="Times New Roman" w:hAnsi="Times New Roman"/>
          <w:szCs w:val="24"/>
        </w:rPr>
      </w:pPr>
      <w:r>
        <w:rPr>
          <w:rFonts w:ascii="Times New Roman" w:hAnsi="Times New Roman"/>
          <w:szCs w:val="24"/>
        </w:rPr>
        <w:tab/>
        <w:t>ED’s CPS Processing Costs</w:t>
      </w:r>
    </w:p>
    <w:p w:rsidR="003A33BE"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950,817</w:t>
      </w:r>
      <w:r>
        <w:rPr>
          <w:rFonts w:ascii="Times New Roman" w:hAnsi="Times New Roman"/>
          <w:szCs w:val="24"/>
        </w:rPr>
        <w:tab/>
        <w:t>Records sent to USCIS</w:t>
      </w:r>
    </w:p>
    <w:p w:rsidR="003A33BE"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3A33BE">
        <w:rPr>
          <w:rFonts w:ascii="Times New Roman" w:hAnsi="Times New Roman"/>
          <w:szCs w:val="24"/>
          <w:u w:val="single"/>
        </w:rPr>
        <w:t>X    $0.01</w:t>
      </w:r>
      <w:r>
        <w:rPr>
          <w:rFonts w:ascii="Times New Roman" w:hAnsi="Times New Roman"/>
          <w:szCs w:val="24"/>
        </w:rPr>
        <w:tab/>
        <w:t>Processing cost per record</w:t>
      </w:r>
    </w:p>
    <w:p w:rsidR="003A33BE"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$9,508</w:t>
      </w:r>
      <w:r>
        <w:rPr>
          <w:rFonts w:ascii="Times New Roman" w:hAnsi="Times New Roman"/>
          <w:szCs w:val="24"/>
        </w:rPr>
        <w:tab/>
        <w:t>Application processing</w:t>
      </w:r>
    </w:p>
    <w:p w:rsidR="003A33BE" w:rsidRDefault="003A33BE">
      <w:pPr>
        <w:tabs>
          <w:tab w:val="left" w:pos="-720"/>
        </w:tabs>
        <w:suppressAutoHyphens/>
        <w:rPr>
          <w:rFonts w:ascii="Times New Roman" w:hAnsi="Times New Roman"/>
          <w:szCs w:val="24"/>
        </w:rPr>
      </w:pPr>
    </w:p>
    <w:p w:rsidR="003A33BE" w:rsidRPr="00EF7FF5" w:rsidRDefault="003A33BE">
      <w:pPr>
        <w:tabs>
          <w:tab w:val="left" w:pos="-720"/>
        </w:tabs>
        <w:suppressAutoHyphens/>
        <w:rPr>
          <w:rFonts w:ascii="Times New Roman" w:hAnsi="Times New Roman"/>
          <w:szCs w:val="24"/>
        </w:rPr>
      </w:pPr>
      <w:r>
        <w:rPr>
          <w:rFonts w:ascii="Times New Roman" w:hAnsi="Times New Roman"/>
          <w:szCs w:val="24"/>
        </w:rPr>
        <w:tab/>
        <w:t>ED’s Correction Processing Costs</w:t>
      </w:r>
    </w:p>
    <w:p w:rsidR="00386054"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112,393</w:t>
      </w:r>
      <w:r>
        <w:rPr>
          <w:rFonts w:ascii="Times New Roman" w:hAnsi="Times New Roman"/>
          <w:szCs w:val="24"/>
        </w:rPr>
        <w:tab/>
        <w:t>No match records</w:t>
      </w:r>
    </w:p>
    <w:p w:rsidR="003A33BE"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X      0.25</w:t>
      </w:r>
      <w:r>
        <w:rPr>
          <w:rFonts w:ascii="Times New Roman" w:hAnsi="Times New Roman"/>
          <w:szCs w:val="24"/>
        </w:rPr>
        <w:tab/>
        <w:t>Percent returning as corrections</w:t>
      </w:r>
    </w:p>
    <w:p w:rsidR="003A33BE" w:rsidRPr="00EF7FF5"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3A33BE">
        <w:rPr>
          <w:rFonts w:ascii="Times New Roman" w:hAnsi="Times New Roman"/>
          <w:szCs w:val="24"/>
          <w:u w:val="single"/>
        </w:rPr>
        <w:t>X      .084</w:t>
      </w:r>
      <w:r>
        <w:rPr>
          <w:rFonts w:ascii="Times New Roman" w:hAnsi="Times New Roman"/>
          <w:szCs w:val="24"/>
        </w:rPr>
        <w:tab/>
        <w:t>Cost per record for history correction reprocessing</w:t>
      </w:r>
    </w:p>
    <w:p w:rsidR="00386054"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$2,360</w:t>
      </w:r>
      <w:r>
        <w:rPr>
          <w:rFonts w:ascii="Times New Roman" w:hAnsi="Times New Roman"/>
          <w:szCs w:val="24"/>
        </w:rPr>
        <w:tab/>
        <w:t>History correction reprocessing</w:t>
      </w:r>
    </w:p>
    <w:p w:rsidR="003A33BE" w:rsidRDefault="003A33BE">
      <w:pPr>
        <w:tabs>
          <w:tab w:val="left" w:pos="-720"/>
        </w:tabs>
        <w:suppressAutoHyphens/>
        <w:rPr>
          <w:rFonts w:ascii="Times New Roman" w:hAnsi="Times New Roman"/>
          <w:szCs w:val="24"/>
        </w:rPr>
      </w:pPr>
    </w:p>
    <w:p w:rsidR="003A33BE" w:rsidRDefault="003A33BE">
      <w:pPr>
        <w:tabs>
          <w:tab w:val="left" w:pos="-720"/>
        </w:tabs>
        <w:suppressAutoHyphens/>
        <w:rPr>
          <w:rFonts w:ascii="Times New Roman" w:hAnsi="Times New Roman"/>
          <w:szCs w:val="24"/>
        </w:rPr>
      </w:pPr>
      <w:r>
        <w:rPr>
          <w:rFonts w:ascii="Times New Roman" w:hAnsi="Times New Roman"/>
          <w:szCs w:val="24"/>
        </w:rPr>
        <w:tab/>
        <w:t>Cost to ED</w:t>
      </w:r>
    </w:p>
    <w:p w:rsidR="003A33BE"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$9,508</w:t>
      </w:r>
      <w:r>
        <w:rPr>
          <w:rFonts w:ascii="Times New Roman" w:hAnsi="Times New Roman"/>
          <w:szCs w:val="24"/>
        </w:rPr>
        <w:tab/>
        <w:t>Application processing</w:t>
      </w:r>
    </w:p>
    <w:p w:rsidR="003A33BE"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$2,360</w:t>
      </w:r>
      <w:r>
        <w:rPr>
          <w:rFonts w:ascii="Times New Roman" w:hAnsi="Times New Roman"/>
          <w:szCs w:val="24"/>
        </w:rPr>
        <w:tab/>
        <w:t>History correction reprocessing</w:t>
      </w:r>
    </w:p>
    <w:p w:rsidR="003A33BE" w:rsidRDefault="003A33B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2D495D">
        <w:rPr>
          <w:rFonts w:ascii="Times New Roman" w:hAnsi="Times New Roman"/>
          <w:szCs w:val="24"/>
        </w:rPr>
        <w:t>+ $10,100</w:t>
      </w:r>
      <w:r>
        <w:rPr>
          <w:rFonts w:ascii="Times New Roman" w:hAnsi="Times New Roman"/>
          <w:szCs w:val="24"/>
        </w:rPr>
        <w:tab/>
        <w:t>Leased phone lines</w:t>
      </w:r>
    </w:p>
    <w:p w:rsidR="002D495D" w:rsidRDefault="003A33BE"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2D495D">
        <w:rPr>
          <w:rFonts w:ascii="Times New Roman" w:hAnsi="Times New Roman"/>
          <w:szCs w:val="24"/>
        </w:rPr>
        <w:tab/>
      </w:r>
      <w:r w:rsidR="002D495D" w:rsidRPr="002D495D">
        <w:rPr>
          <w:rFonts w:ascii="Times New Roman" w:hAnsi="Times New Roman"/>
          <w:szCs w:val="24"/>
          <w:u w:val="single"/>
        </w:rPr>
        <w:t>+</w:t>
      </w:r>
      <w:r w:rsidRPr="002D495D">
        <w:rPr>
          <w:rFonts w:ascii="Times New Roman" w:hAnsi="Times New Roman"/>
          <w:szCs w:val="24"/>
          <w:u w:val="single"/>
        </w:rPr>
        <w:t xml:space="preserve"> $45,652</w:t>
      </w:r>
      <w:r w:rsidR="002D495D">
        <w:rPr>
          <w:rFonts w:ascii="Times New Roman" w:hAnsi="Times New Roman"/>
          <w:szCs w:val="24"/>
        </w:rPr>
        <w:tab/>
        <w:t>ED administration costs</w:t>
      </w: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$67,620</w:t>
      </w:r>
      <w:r>
        <w:rPr>
          <w:rFonts w:ascii="Times New Roman" w:hAnsi="Times New Roman"/>
          <w:szCs w:val="24"/>
        </w:rPr>
        <w:tab/>
        <w:t>Estimated total annual cost to ED</w:t>
      </w: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t>USCIS Costs</w:t>
      </w: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$72,912</w:t>
      </w:r>
      <w:r>
        <w:rPr>
          <w:rFonts w:ascii="Times New Roman" w:hAnsi="Times New Roman"/>
          <w:szCs w:val="24"/>
        </w:rPr>
        <w:tab/>
        <w:t>Personnel costs including fringe benefits</w:t>
      </w: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  $</w:t>
      </w:r>
      <w:proofErr w:type="gramEnd"/>
      <w:r>
        <w:rPr>
          <w:rFonts w:ascii="Times New Roman" w:hAnsi="Times New Roman"/>
          <w:szCs w:val="24"/>
        </w:rPr>
        <w:t>33,682</w:t>
      </w:r>
      <w:r>
        <w:rPr>
          <w:rFonts w:ascii="Times New Roman" w:hAnsi="Times New Roman"/>
          <w:szCs w:val="24"/>
        </w:rPr>
        <w:tab/>
        <w:t>Contractor costs</w:t>
      </w: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Pr>
          <w:rFonts w:ascii="Times New Roman" w:hAnsi="Times New Roman"/>
          <w:szCs w:val="24"/>
        </w:rPr>
        <w:t>+  $</w:t>
      </w:r>
      <w:proofErr w:type="gramEnd"/>
      <w:r>
        <w:rPr>
          <w:rFonts w:ascii="Times New Roman" w:hAnsi="Times New Roman"/>
          <w:szCs w:val="24"/>
        </w:rPr>
        <w:t>51,297</w:t>
      </w:r>
      <w:r>
        <w:rPr>
          <w:rFonts w:ascii="Times New Roman" w:hAnsi="Times New Roman"/>
          <w:szCs w:val="24"/>
        </w:rPr>
        <w:tab/>
        <w:t>Program funding costs</w:t>
      </w: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gramStart"/>
      <w:r w:rsidRPr="002D495D">
        <w:rPr>
          <w:rFonts w:ascii="Times New Roman" w:hAnsi="Times New Roman"/>
          <w:szCs w:val="24"/>
          <w:u w:val="single"/>
        </w:rPr>
        <w:t>+  $</w:t>
      </w:r>
      <w:proofErr w:type="gramEnd"/>
      <w:r w:rsidRPr="002D495D">
        <w:rPr>
          <w:rFonts w:ascii="Times New Roman" w:hAnsi="Times New Roman"/>
          <w:szCs w:val="24"/>
          <w:u w:val="single"/>
        </w:rPr>
        <w:t>28,901</w:t>
      </w:r>
      <w:r>
        <w:rPr>
          <w:rFonts w:ascii="Times New Roman" w:hAnsi="Times New Roman"/>
          <w:szCs w:val="24"/>
        </w:rPr>
        <w:tab/>
        <w:t>Database matching costs</w:t>
      </w: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=$186,792</w:t>
      </w:r>
      <w:r>
        <w:rPr>
          <w:rFonts w:ascii="Times New Roman" w:hAnsi="Times New Roman"/>
          <w:szCs w:val="24"/>
        </w:rPr>
        <w:tab/>
        <w:t>Estimated total annual cost to USCIS</w:t>
      </w: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p>
    <w:p w:rsidR="002D495D"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r>
        <w:rPr>
          <w:rFonts w:ascii="Times New Roman" w:hAnsi="Times New Roman"/>
          <w:szCs w:val="24"/>
        </w:rPr>
        <w:tab/>
        <w:t>Total estimated cost to government is $254,412.</w:t>
      </w:r>
    </w:p>
    <w:p w:rsidR="002D495D" w:rsidRPr="00EF7FF5" w:rsidRDefault="002D495D" w:rsidP="002D495D">
      <w:pPr>
        <w:tabs>
          <w:tab w:val="left" w:pos="-720"/>
          <w:tab w:val="left" w:pos="0"/>
          <w:tab w:val="left" w:pos="720"/>
          <w:tab w:val="left" w:pos="1440"/>
          <w:tab w:val="left" w:pos="2160"/>
          <w:tab w:val="left" w:pos="2880"/>
          <w:tab w:val="left" w:pos="360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894329" w:rsidRDefault="00561D7D" w:rsidP="00561D7D">
      <w:pPr>
        <w:tabs>
          <w:tab w:val="left" w:pos="-720"/>
        </w:tabs>
        <w:suppressAutoHyphens/>
        <w:ind w:left="360"/>
        <w:rPr>
          <w:rFonts w:ascii="Times New Roman" w:hAnsi="Times New Roman"/>
          <w:szCs w:val="24"/>
        </w:rPr>
      </w:pPr>
      <w:r>
        <w:rPr>
          <w:rFonts w:ascii="Times New Roman" w:hAnsi="Times New Roman"/>
          <w:szCs w:val="24"/>
        </w:rPr>
        <w:t>The program adjustments are the result of improved matches being performed through USCIS</w:t>
      </w:r>
      <w:r w:rsidR="007A562E">
        <w:rPr>
          <w:rFonts w:ascii="Times New Roman" w:hAnsi="Times New Roman"/>
          <w:szCs w:val="24"/>
        </w:rPr>
        <w:t xml:space="preserve">, </w:t>
      </w:r>
      <w:r>
        <w:rPr>
          <w:rFonts w:ascii="Times New Roman" w:hAnsi="Times New Roman"/>
          <w:szCs w:val="24"/>
        </w:rPr>
        <w:t>there are fewer manual secondary confirmations be</w:t>
      </w:r>
      <w:r w:rsidR="007A562E">
        <w:rPr>
          <w:rFonts w:ascii="Times New Roman" w:hAnsi="Times New Roman"/>
          <w:szCs w:val="24"/>
        </w:rPr>
        <w:t>ing</w:t>
      </w:r>
      <w:r>
        <w:rPr>
          <w:rFonts w:ascii="Times New Roman" w:hAnsi="Times New Roman"/>
          <w:szCs w:val="24"/>
        </w:rPr>
        <w:t xml:space="preserve"> performed by </w:t>
      </w:r>
      <w:r w:rsidR="007A562E">
        <w:rPr>
          <w:rFonts w:ascii="Times New Roman" w:hAnsi="Times New Roman"/>
          <w:szCs w:val="24"/>
        </w:rPr>
        <w:t xml:space="preserve">institutions.  So even though the number of </w:t>
      </w:r>
      <w:r w:rsidR="004A0335">
        <w:rPr>
          <w:rFonts w:ascii="Times New Roman" w:hAnsi="Times New Roman"/>
          <w:szCs w:val="24"/>
        </w:rPr>
        <w:t>participating institution</w:t>
      </w:r>
      <w:r w:rsidR="007A562E">
        <w:rPr>
          <w:rFonts w:ascii="Times New Roman" w:hAnsi="Times New Roman"/>
          <w:szCs w:val="24"/>
        </w:rPr>
        <w:t xml:space="preserve"> respondents has increas</w:t>
      </w:r>
      <w:r w:rsidR="004F4A3B">
        <w:rPr>
          <w:rFonts w:ascii="Times New Roman" w:hAnsi="Times New Roman"/>
          <w:szCs w:val="24"/>
        </w:rPr>
        <w:t xml:space="preserve">ed the burden has decreased.   </w:t>
      </w:r>
    </w:p>
    <w:p w:rsidR="00894329" w:rsidRDefault="00894329" w:rsidP="00561D7D">
      <w:pPr>
        <w:tabs>
          <w:tab w:val="left" w:pos="-720"/>
        </w:tabs>
        <w:suppressAutoHyphens/>
        <w:ind w:left="360"/>
        <w:rPr>
          <w:rFonts w:ascii="Times New Roman" w:hAnsi="Times New Roman"/>
          <w:szCs w:val="24"/>
        </w:rPr>
      </w:pPr>
    </w:p>
    <w:p w:rsidR="00386054" w:rsidRDefault="004F4A3B" w:rsidP="00561D7D">
      <w:pPr>
        <w:tabs>
          <w:tab w:val="left" w:pos="-720"/>
        </w:tabs>
        <w:suppressAutoHyphens/>
        <w:ind w:left="360"/>
        <w:rPr>
          <w:rFonts w:ascii="Times New Roman" w:hAnsi="Times New Roman"/>
          <w:szCs w:val="24"/>
        </w:rPr>
      </w:pPr>
      <w:r>
        <w:rPr>
          <w:rFonts w:ascii="Times New Roman" w:hAnsi="Times New Roman"/>
          <w:szCs w:val="24"/>
        </w:rPr>
        <w:t>These adjustments also correct the number of respondents to include the burden to students who must present documentation to the school to be included with the G-845 form to complete the confirmation of eligibility to receive Title IV assistance.</w:t>
      </w:r>
    </w:p>
    <w:p w:rsidR="007A562E" w:rsidRDefault="007A562E" w:rsidP="00561D7D">
      <w:pPr>
        <w:tabs>
          <w:tab w:val="left" w:pos="-720"/>
        </w:tabs>
        <w:suppressAutoHyphens/>
        <w:ind w:left="360"/>
        <w:rPr>
          <w:rFonts w:ascii="Times New Roman" w:hAnsi="Times New Roman"/>
          <w:szCs w:val="24"/>
        </w:rPr>
      </w:pPr>
    </w:p>
    <w:p w:rsidR="007A562E" w:rsidRPr="004A0335" w:rsidRDefault="007A562E" w:rsidP="00561D7D">
      <w:pPr>
        <w:tabs>
          <w:tab w:val="left" w:pos="-720"/>
        </w:tabs>
        <w:suppressAutoHyphens/>
        <w:ind w:left="360"/>
        <w:rPr>
          <w:rFonts w:ascii="Times New Roman" w:hAnsi="Times New Roman"/>
          <w:szCs w:val="24"/>
          <w:u w:val="single"/>
        </w:rPr>
      </w:pPr>
      <w:r>
        <w:rPr>
          <w:rFonts w:ascii="Times New Roman" w:hAnsi="Times New Roman"/>
          <w:szCs w:val="24"/>
        </w:rPr>
        <w:tab/>
      </w:r>
      <w:r>
        <w:rPr>
          <w:rFonts w:ascii="Times New Roman" w:hAnsi="Times New Roman"/>
          <w:szCs w:val="24"/>
        </w:rPr>
        <w:tab/>
      </w:r>
      <w:r w:rsidR="004A0335">
        <w:rPr>
          <w:rFonts w:ascii="Times New Roman" w:hAnsi="Times New Roman"/>
          <w:szCs w:val="24"/>
        </w:rPr>
        <w:tab/>
      </w:r>
      <w:r w:rsidRPr="004A0335">
        <w:rPr>
          <w:rFonts w:ascii="Times New Roman" w:hAnsi="Times New Roman"/>
          <w:szCs w:val="24"/>
          <w:u w:val="single"/>
        </w:rPr>
        <w:t xml:space="preserve"># </w:t>
      </w:r>
      <w:proofErr w:type="gramStart"/>
      <w:r w:rsidRPr="004A0335">
        <w:rPr>
          <w:rFonts w:ascii="Times New Roman" w:hAnsi="Times New Roman"/>
          <w:szCs w:val="24"/>
          <w:u w:val="single"/>
        </w:rPr>
        <w:t>of</w:t>
      </w:r>
      <w:proofErr w:type="gramEnd"/>
      <w:r w:rsidRPr="004A0335">
        <w:rPr>
          <w:rFonts w:ascii="Times New Roman" w:hAnsi="Times New Roman"/>
          <w:szCs w:val="24"/>
          <w:u w:val="single"/>
        </w:rPr>
        <w:t xml:space="preserve"> Respondents</w:t>
      </w:r>
      <w:r w:rsidRPr="004A0335">
        <w:rPr>
          <w:rFonts w:ascii="Times New Roman" w:hAnsi="Times New Roman"/>
          <w:szCs w:val="24"/>
          <w:u w:val="single"/>
        </w:rPr>
        <w:tab/>
        <w:t># of Responses</w:t>
      </w:r>
      <w:r w:rsidRPr="004A0335">
        <w:rPr>
          <w:rFonts w:ascii="Times New Roman" w:hAnsi="Times New Roman"/>
          <w:szCs w:val="24"/>
          <w:u w:val="single"/>
        </w:rPr>
        <w:tab/>
        <w:t>Burden Hours</w:t>
      </w:r>
    </w:p>
    <w:p w:rsidR="007A562E" w:rsidRDefault="007A562E" w:rsidP="00561D7D">
      <w:pPr>
        <w:tabs>
          <w:tab w:val="left" w:pos="-720"/>
        </w:tabs>
        <w:suppressAutoHyphens/>
        <w:ind w:left="360"/>
        <w:rPr>
          <w:rFonts w:ascii="Times New Roman" w:hAnsi="Times New Roman"/>
          <w:szCs w:val="24"/>
        </w:rPr>
      </w:pPr>
      <w:r>
        <w:rPr>
          <w:rFonts w:ascii="Times New Roman" w:hAnsi="Times New Roman"/>
          <w:szCs w:val="24"/>
        </w:rPr>
        <w:t>Current Inventory</w:t>
      </w:r>
      <w:r w:rsidR="004A0335">
        <w:rPr>
          <w:rFonts w:ascii="Times New Roman" w:hAnsi="Times New Roman"/>
          <w:szCs w:val="24"/>
        </w:rPr>
        <w:tab/>
      </w:r>
      <w:r w:rsidR="004A0335">
        <w:rPr>
          <w:rFonts w:ascii="Times New Roman" w:hAnsi="Times New Roman"/>
          <w:szCs w:val="24"/>
        </w:rPr>
        <w:tab/>
      </w:r>
      <w:r>
        <w:rPr>
          <w:rFonts w:ascii="Times New Roman" w:hAnsi="Times New Roman"/>
          <w:szCs w:val="24"/>
        </w:rPr>
        <w:t>4,928</w:t>
      </w:r>
      <w:r>
        <w:rPr>
          <w:rFonts w:ascii="Times New Roman" w:hAnsi="Times New Roman"/>
          <w:szCs w:val="24"/>
        </w:rPr>
        <w:tab/>
      </w:r>
      <w:r>
        <w:rPr>
          <w:rFonts w:ascii="Times New Roman" w:hAnsi="Times New Roman"/>
          <w:szCs w:val="24"/>
        </w:rPr>
        <w:tab/>
      </w:r>
      <w:r>
        <w:rPr>
          <w:rFonts w:ascii="Times New Roman" w:hAnsi="Times New Roman"/>
          <w:szCs w:val="24"/>
        </w:rPr>
        <w:tab/>
        <w:t>78,848</w:t>
      </w:r>
      <w:r>
        <w:rPr>
          <w:rFonts w:ascii="Times New Roman" w:hAnsi="Times New Roman"/>
          <w:szCs w:val="24"/>
        </w:rPr>
        <w:tab/>
      </w:r>
      <w:r>
        <w:rPr>
          <w:rFonts w:ascii="Times New Roman" w:hAnsi="Times New Roman"/>
          <w:szCs w:val="24"/>
        </w:rPr>
        <w:tab/>
      </w:r>
      <w:r>
        <w:rPr>
          <w:rFonts w:ascii="Times New Roman" w:hAnsi="Times New Roman"/>
          <w:szCs w:val="24"/>
        </w:rPr>
        <w:tab/>
        <w:t>19,712</w:t>
      </w:r>
    </w:p>
    <w:p w:rsidR="007A562E" w:rsidRDefault="007A562E" w:rsidP="00561D7D">
      <w:pPr>
        <w:tabs>
          <w:tab w:val="left" w:pos="-720"/>
        </w:tabs>
        <w:suppressAutoHyphens/>
        <w:ind w:left="360"/>
        <w:rPr>
          <w:rFonts w:ascii="Times New Roman" w:hAnsi="Times New Roman"/>
          <w:szCs w:val="24"/>
        </w:rPr>
      </w:pPr>
      <w:r>
        <w:rPr>
          <w:rFonts w:ascii="Times New Roman" w:hAnsi="Times New Roman"/>
          <w:szCs w:val="24"/>
        </w:rPr>
        <w:t>Revised Inventory</w:t>
      </w:r>
      <w:r w:rsidR="004A0335">
        <w:rPr>
          <w:rFonts w:ascii="Times New Roman" w:hAnsi="Times New Roman"/>
          <w:szCs w:val="24"/>
        </w:rPr>
        <w:tab/>
      </w:r>
      <w:r w:rsidR="004F4A3B">
        <w:rPr>
          <w:rFonts w:ascii="Times New Roman" w:hAnsi="Times New Roman"/>
          <w:szCs w:val="24"/>
        </w:rPr>
        <w:t xml:space="preserve">          </w:t>
      </w:r>
      <w:r w:rsidR="004F4A3B" w:rsidRPr="004F4A3B">
        <w:rPr>
          <w:rFonts w:ascii="Times New Roman" w:hAnsi="Times New Roman"/>
          <w:szCs w:val="24"/>
          <w:u w:val="single"/>
        </w:rPr>
        <w:t>77,375</w:t>
      </w:r>
      <w:r>
        <w:rPr>
          <w:rFonts w:ascii="Times New Roman" w:hAnsi="Times New Roman"/>
          <w:szCs w:val="24"/>
        </w:rPr>
        <w:tab/>
      </w:r>
      <w:r>
        <w:rPr>
          <w:rFonts w:ascii="Times New Roman" w:hAnsi="Times New Roman"/>
          <w:szCs w:val="24"/>
        </w:rPr>
        <w:tab/>
      </w:r>
      <w:r w:rsidR="004F4A3B">
        <w:rPr>
          <w:rFonts w:ascii="Times New Roman" w:hAnsi="Times New Roman"/>
          <w:szCs w:val="24"/>
        </w:rPr>
        <w:t xml:space="preserve">          </w:t>
      </w:r>
      <w:r w:rsidR="004F4A3B" w:rsidRPr="004F4A3B">
        <w:rPr>
          <w:rFonts w:ascii="Times New Roman" w:hAnsi="Times New Roman"/>
          <w:szCs w:val="24"/>
          <w:u w:val="single"/>
        </w:rPr>
        <w:t>143,332</w:t>
      </w:r>
      <w:r>
        <w:rPr>
          <w:rFonts w:ascii="Times New Roman" w:hAnsi="Times New Roman"/>
          <w:szCs w:val="24"/>
        </w:rPr>
        <w:tab/>
      </w:r>
      <w:r>
        <w:rPr>
          <w:rFonts w:ascii="Times New Roman" w:hAnsi="Times New Roman"/>
          <w:szCs w:val="24"/>
        </w:rPr>
        <w:tab/>
      </w:r>
      <w:r>
        <w:rPr>
          <w:rFonts w:ascii="Times New Roman" w:hAnsi="Times New Roman"/>
          <w:szCs w:val="24"/>
        </w:rPr>
        <w:tab/>
      </w:r>
      <w:r w:rsidRPr="004A0335">
        <w:rPr>
          <w:rFonts w:ascii="Times New Roman" w:hAnsi="Times New Roman"/>
          <w:szCs w:val="24"/>
          <w:u w:val="single"/>
        </w:rPr>
        <w:t>1</w:t>
      </w:r>
      <w:r w:rsidR="004F4A3B">
        <w:rPr>
          <w:rFonts w:ascii="Times New Roman" w:hAnsi="Times New Roman"/>
          <w:szCs w:val="24"/>
          <w:u w:val="single"/>
        </w:rPr>
        <w:t>7</w:t>
      </w:r>
      <w:r w:rsidRPr="004A0335">
        <w:rPr>
          <w:rFonts w:ascii="Times New Roman" w:hAnsi="Times New Roman"/>
          <w:szCs w:val="24"/>
          <w:u w:val="single"/>
        </w:rPr>
        <w:t>,</w:t>
      </w:r>
      <w:r w:rsidR="004F4A3B">
        <w:rPr>
          <w:rFonts w:ascii="Times New Roman" w:hAnsi="Times New Roman"/>
          <w:szCs w:val="24"/>
          <w:u w:val="single"/>
        </w:rPr>
        <w:t>917</w:t>
      </w:r>
    </w:p>
    <w:p w:rsidR="007A562E" w:rsidRPr="00EF7FF5" w:rsidRDefault="007A562E" w:rsidP="00561D7D">
      <w:pPr>
        <w:tabs>
          <w:tab w:val="left" w:pos="-720"/>
        </w:tabs>
        <w:suppressAutoHyphens/>
        <w:ind w:left="360"/>
        <w:rPr>
          <w:rFonts w:ascii="Times New Roman" w:hAnsi="Times New Roman"/>
          <w:szCs w:val="24"/>
        </w:rPr>
      </w:pPr>
      <w:r>
        <w:rPr>
          <w:rFonts w:ascii="Times New Roman" w:hAnsi="Times New Roman"/>
          <w:szCs w:val="24"/>
        </w:rPr>
        <w:t>Difference</w:t>
      </w:r>
      <w:r w:rsidR="004F4A3B">
        <w:rPr>
          <w:rFonts w:ascii="Times New Roman" w:hAnsi="Times New Roman"/>
          <w:szCs w:val="24"/>
        </w:rPr>
        <w:tab/>
      </w:r>
      <w:r w:rsidR="004F4A3B">
        <w:rPr>
          <w:rFonts w:ascii="Times New Roman" w:hAnsi="Times New Roman"/>
          <w:szCs w:val="24"/>
        </w:rPr>
        <w:tab/>
        <w:t xml:space="preserve">        +72,447</w:t>
      </w:r>
      <w:r w:rsidR="004F4A3B">
        <w:rPr>
          <w:rFonts w:ascii="Times New Roman" w:hAnsi="Times New Roman"/>
          <w:szCs w:val="24"/>
        </w:rPr>
        <w:tab/>
      </w:r>
      <w:r w:rsidR="004F4A3B">
        <w:rPr>
          <w:rFonts w:ascii="Times New Roman" w:hAnsi="Times New Roman"/>
          <w:szCs w:val="24"/>
        </w:rPr>
        <w:tab/>
        <w:t xml:space="preserve">          +64,484</w:t>
      </w:r>
      <w:r>
        <w:rPr>
          <w:rFonts w:ascii="Times New Roman" w:hAnsi="Times New Roman"/>
          <w:szCs w:val="24"/>
        </w:rPr>
        <w:tab/>
      </w:r>
      <w:r>
        <w:rPr>
          <w:rFonts w:ascii="Times New Roman" w:hAnsi="Times New Roman"/>
          <w:szCs w:val="24"/>
        </w:rPr>
        <w:tab/>
      </w:r>
      <w:r>
        <w:rPr>
          <w:rFonts w:ascii="Times New Roman" w:hAnsi="Times New Roman"/>
          <w:szCs w:val="24"/>
        </w:rPr>
        <w:tab/>
      </w:r>
      <w:r w:rsidR="004F4A3B">
        <w:rPr>
          <w:rFonts w:ascii="Times New Roman" w:hAnsi="Times New Roman"/>
          <w:szCs w:val="24"/>
        </w:rPr>
        <w:t xml:space="preserve"> </w:t>
      </w:r>
      <w:r>
        <w:rPr>
          <w:rFonts w:ascii="Times New Roman" w:hAnsi="Times New Roman"/>
          <w:szCs w:val="24"/>
        </w:rPr>
        <w:t>-1,</w:t>
      </w:r>
      <w:r w:rsidR="004F4A3B">
        <w:rPr>
          <w:rFonts w:ascii="Times New Roman" w:hAnsi="Times New Roman"/>
          <w:szCs w:val="24"/>
        </w:rPr>
        <w:t>795</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457FA6" w:rsidRPr="00EF7FF5" w:rsidRDefault="00457FA6" w:rsidP="00457FA6">
      <w:pPr>
        <w:tabs>
          <w:tab w:val="left" w:pos="-720"/>
          <w:tab w:val="left" w:pos="360"/>
        </w:tabs>
        <w:suppressAutoHyphens/>
        <w:ind w:left="360"/>
        <w:rPr>
          <w:rFonts w:ascii="Times New Roman" w:hAnsi="Times New Roman"/>
          <w:szCs w:val="24"/>
        </w:rPr>
      </w:pPr>
      <w:r>
        <w:rPr>
          <w:rFonts w:ascii="Times New Roman" w:hAnsi="Times New Roman"/>
          <w:szCs w:val="24"/>
        </w:rPr>
        <w:t>There are no plans to publish the results of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457FA6" w:rsidP="00457FA6">
      <w:pPr>
        <w:tabs>
          <w:tab w:val="left" w:pos="-720"/>
        </w:tabs>
        <w:suppressAutoHyphens/>
        <w:ind w:left="360"/>
        <w:rPr>
          <w:rFonts w:ascii="Times New Roman" w:hAnsi="Times New Roman"/>
          <w:szCs w:val="24"/>
        </w:rPr>
      </w:pPr>
      <w:r>
        <w:rPr>
          <w:rFonts w:ascii="Times New Roman" w:hAnsi="Times New Roman"/>
          <w:szCs w:val="24"/>
        </w:rPr>
        <w:lastRenderedPageBreak/>
        <w:t>The Department of Education is not seeking approval not display the expiration date for OMB approval.</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457FA6" w:rsidRDefault="00457FA6">
      <w:pPr>
        <w:tabs>
          <w:tab w:val="left" w:pos="-720"/>
        </w:tabs>
        <w:suppressAutoHyphens/>
        <w:rPr>
          <w:rStyle w:val="a"/>
          <w:rFonts w:ascii="Times New Roman" w:hAnsi="Times New Roman"/>
          <w:szCs w:val="24"/>
        </w:rPr>
      </w:pPr>
    </w:p>
    <w:p w:rsidR="00457FA6" w:rsidRPr="00EF7FF5" w:rsidRDefault="00457FA6" w:rsidP="00457FA6">
      <w:pPr>
        <w:tabs>
          <w:tab w:val="left" w:pos="-720"/>
        </w:tabs>
        <w:suppressAutoHyphens/>
        <w:ind w:left="360"/>
        <w:rPr>
          <w:rFonts w:ascii="Times New Roman" w:hAnsi="Times New Roman"/>
          <w:szCs w:val="24"/>
        </w:rPr>
      </w:pPr>
      <w:r>
        <w:rPr>
          <w:rStyle w:val="a"/>
          <w:rFonts w:ascii="Times New Roman" w:hAnsi="Times New Roman"/>
          <w:szCs w:val="24"/>
        </w:rPr>
        <w:t>The Department of Education is not seeking an exception to the certification for Paperwork Reduction Act submissions.</w:t>
      </w:r>
    </w:p>
    <w:sectPr w:rsidR="00457FA6" w:rsidRPr="00EF7FF5" w:rsidSect="00E07290">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BE" w:rsidRDefault="008A0BBE">
      <w:pPr>
        <w:spacing w:line="20" w:lineRule="exact"/>
      </w:pPr>
    </w:p>
  </w:endnote>
  <w:endnote w:type="continuationSeparator" w:id="0">
    <w:p w:rsidR="008A0BBE" w:rsidRDefault="008A0BBE">
      <w:r>
        <w:t xml:space="preserve"> </w:t>
      </w:r>
    </w:p>
  </w:endnote>
  <w:endnote w:type="continuationNotice" w:id="1">
    <w:p w:rsidR="008A0BBE" w:rsidRDefault="008A0BB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46" w:rsidRDefault="002419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E7" w:rsidRDefault="00243DE7">
    <w:pPr>
      <w:spacing w:before="140" w:line="100" w:lineRule="exact"/>
      <w:rPr>
        <w:sz w:val="10"/>
      </w:rPr>
    </w:pPr>
  </w:p>
  <w:p w:rsidR="00243DE7" w:rsidRDefault="00243DE7">
    <w:pPr>
      <w:tabs>
        <w:tab w:val="left" w:pos="0"/>
      </w:tabs>
      <w:suppressAutoHyphens/>
    </w:pPr>
  </w:p>
  <w:p w:rsidR="00243DE7" w:rsidRDefault="008A0BBE">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243DE7" w:rsidRPr="004F4A3B" w:rsidRDefault="00243DE7">
                <w:pPr>
                  <w:tabs>
                    <w:tab w:val="center" w:pos="4650"/>
                  </w:tabs>
                  <w:suppressAutoHyphens/>
                  <w:jc w:val="both"/>
                  <w:rPr>
                    <w:rFonts w:ascii="Times New Roman" w:hAnsi="Times New Roman"/>
                    <w:sz w:val="20"/>
                  </w:rPr>
                </w:pPr>
                <w:r>
                  <w:tab/>
                </w:r>
                <w:r w:rsidR="003239B2" w:rsidRPr="004F4A3B">
                  <w:rPr>
                    <w:rFonts w:ascii="Times New Roman" w:hAnsi="Times New Roman"/>
                    <w:sz w:val="20"/>
                  </w:rPr>
                  <w:fldChar w:fldCharType="begin"/>
                </w:r>
                <w:r w:rsidRPr="004F4A3B">
                  <w:rPr>
                    <w:rFonts w:ascii="Times New Roman" w:hAnsi="Times New Roman"/>
                    <w:sz w:val="20"/>
                  </w:rPr>
                  <w:instrText>page \* arabic</w:instrText>
                </w:r>
                <w:r w:rsidR="003239B2" w:rsidRPr="004F4A3B">
                  <w:rPr>
                    <w:rFonts w:ascii="Times New Roman" w:hAnsi="Times New Roman"/>
                    <w:sz w:val="20"/>
                  </w:rPr>
                  <w:fldChar w:fldCharType="separate"/>
                </w:r>
                <w:r w:rsidR="00241946">
                  <w:rPr>
                    <w:rFonts w:ascii="Times New Roman" w:hAnsi="Times New Roman"/>
                    <w:noProof/>
                    <w:sz w:val="20"/>
                  </w:rPr>
                  <w:t>1</w:t>
                </w:r>
                <w:r w:rsidR="003239B2" w:rsidRPr="004F4A3B">
                  <w:rPr>
                    <w:rFonts w:ascii="Times New Roman" w:hAnsi="Times New Roman"/>
                    <w:sz w:val="20"/>
                  </w:rPr>
                  <w:fldChar w:fldCharType="end"/>
                </w:r>
              </w:p>
            </w:txbxContent>
          </v:textbox>
          <w10:wrap anchorx="margin"/>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46" w:rsidRDefault="002419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BE" w:rsidRDefault="008A0BBE">
      <w:r>
        <w:separator/>
      </w:r>
    </w:p>
  </w:footnote>
  <w:footnote w:type="continuationSeparator" w:id="0">
    <w:p w:rsidR="008A0BBE" w:rsidRDefault="008A0BBE">
      <w:r>
        <w:continuationSeparator/>
      </w:r>
    </w:p>
  </w:footnote>
  <w:footnote w:id="1">
    <w:p w:rsidR="00243DE7" w:rsidRDefault="00243DE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243DE7" w:rsidRDefault="00243DE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46" w:rsidRDefault="002419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E7" w:rsidRDefault="00243DE7">
    <w:pPr>
      <w:pStyle w:val="Header"/>
      <w:rPr>
        <w:rFonts w:ascii="Times New Roman" w:hAnsi="Times New Roman"/>
        <w:sz w:val="20"/>
      </w:rPr>
    </w:pPr>
    <w:r>
      <w:rPr>
        <w:rFonts w:ascii="Times New Roman" w:hAnsi="Times New Roman"/>
        <w:sz w:val="20"/>
      </w:rPr>
      <w:t xml:space="preserve">EDICS Tracking and OMB Number: (04766) 1845-0052 </w:t>
    </w:r>
    <w:r>
      <w:rPr>
        <w:rFonts w:ascii="Times New Roman" w:hAnsi="Times New Roman"/>
        <w:sz w:val="20"/>
      </w:rPr>
      <w:t>v</w:t>
    </w:r>
    <w:r w:rsidR="00241946">
      <w:rPr>
        <w:rFonts w:ascii="Times New Roman" w:hAnsi="Times New Roman"/>
        <w:sz w:val="20"/>
      </w:rPr>
      <w:t>6</w:t>
    </w:r>
    <w:bookmarkStart w:id="2" w:name="_GoBack"/>
    <w:bookmarkEnd w:id="2"/>
    <w:r>
      <w:rPr>
        <w:rFonts w:ascii="Times New Roman" w:hAnsi="Times New Roman"/>
        <w:sz w:val="20"/>
      </w:rPr>
      <w:t xml:space="preserve">                                         Revised: </w:t>
    </w:r>
    <w:r w:rsidR="00241946">
      <w:rPr>
        <w:rFonts w:ascii="Times New Roman" w:hAnsi="Times New Roman"/>
        <w:sz w:val="20"/>
      </w:rPr>
      <w:t>3</w:t>
    </w:r>
    <w:r>
      <w:rPr>
        <w:rFonts w:ascii="Times New Roman" w:hAnsi="Times New Roman"/>
        <w:sz w:val="20"/>
      </w:rPr>
      <w:t>/</w:t>
    </w:r>
    <w:r w:rsidR="00241946">
      <w:rPr>
        <w:rFonts w:ascii="Times New Roman" w:hAnsi="Times New Roman"/>
        <w:sz w:val="20"/>
      </w:rPr>
      <w:t>2</w:t>
    </w:r>
    <w:r>
      <w:rPr>
        <w:rFonts w:ascii="Times New Roman" w:hAnsi="Times New Roman"/>
        <w:sz w:val="20"/>
      </w:rPr>
      <w:t>/201</w:t>
    </w:r>
    <w:r w:rsidR="00241946">
      <w:rPr>
        <w:rFonts w:ascii="Times New Roman" w:hAnsi="Times New Roman"/>
        <w:sz w:val="20"/>
      </w:rPr>
      <w:t>2</w:t>
    </w:r>
  </w:p>
  <w:p w:rsidR="00243DE7" w:rsidRPr="00386054" w:rsidRDefault="00243DE7">
    <w:pPr>
      <w:pStyle w:val="Header"/>
      <w:rPr>
        <w:rFonts w:ascii="Times New Roman" w:hAnsi="Times New Roman"/>
        <w:sz w:val="20"/>
      </w:rPr>
    </w:pPr>
    <w:r>
      <w:rPr>
        <w:rFonts w:ascii="Times New Roman" w:hAnsi="Times New Roman"/>
        <w:sz w:val="20"/>
      </w:rPr>
      <w:t>RIN Number: XXXX-XXXX (if applicable)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46" w:rsidRDefault="00241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47279"/>
    <w:rsid w:val="00050CBE"/>
    <w:rsid w:val="00085FB2"/>
    <w:rsid w:val="000909E0"/>
    <w:rsid w:val="00096D8F"/>
    <w:rsid w:val="000B14D8"/>
    <w:rsid w:val="000C3BD7"/>
    <w:rsid w:val="000E592D"/>
    <w:rsid w:val="000F175B"/>
    <w:rsid w:val="0014500F"/>
    <w:rsid w:val="00153F20"/>
    <w:rsid w:val="001743A5"/>
    <w:rsid w:val="001802A4"/>
    <w:rsid w:val="0018279C"/>
    <w:rsid w:val="001C5D7E"/>
    <w:rsid w:val="001D46BA"/>
    <w:rsid w:val="001E4E9B"/>
    <w:rsid w:val="001F28DC"/>
    <w:rsid w:val="00241946"/>
    <w:rsid w:val="00243DE7"/>
    <w:rsid w:val="002473CE"/>
    <w:rsid w:val="002B0412"/>
    <w:rsid w:val="002B0A95"/>
    <w:rsid w:val="002C1AFB"/>
    <w:rsid w:val="002D495D"/>
    <w:rsid w:val="003239B2"/>
    <w:rsid w:val="0035604A"/>
    <w:rsid w:val="00386054"/>
    <w:rsid w:val="00397860"/>
    <w:rsid w:val="003A33BE"/>
    <w:rsid w:val="003C29C2"/>
    <w:rsid w:val="003C7F70"/>
    <w:rsid w:val="003E285A"/>
    <w:rsid w:val="003E6AFE"/>
    <w:rsid w:val="00457FA6"/>
    <w:rsid w:val="004A0335"/>
    <w:rsid w:val="004A2DBB"/>
    <w:rsid w:val="004B16F2"/>
    <w:rsid w:val="004D284D"/>
    <w:rsid w:val="004E23D9"/>
    <w:rsid w:val="004F4A3B"/>
    <w:rsid w:val="004F692A"/>
    <w:rsid w:val="00511102"/>
    <w:rsid w:val="00512598"/>
    <w:rsid w:val="00561D7D"/>
    <w:rsid w:val="00563CCF"/>
    <w:rsid w:val="00590D7E"/>
    <w:rsid w:val="005A1566"/>
    <w:rsid w:val="005A1DFC"/>
    <w:rsid w:val="005A4185"/>
    <w:rsid w:val="005C0ECC"/>
    <w:rsid w:val="005C5482"/>
    <w:rsid w:val="005D2E7B"/>
    <w:rsid w:val="006043BB"/>
    <w:rsid w:val="006106E3"/>
    <w:rsid w:val="0063484C"/>
    <w:rsid w:val="00654305"/>
    <w:rsid w:val="006737C0"/>
    <w:rsid w:val="00677BC2"/>
    <w:rsid w:val="0068122A"/>
    <w:rsid w:val="006A3B5C"/>
    <w:rsid w:val="006C01D0"/>
    <w:rsid w:val="006D3370"/>
    <w:rsid w:val="006D553B"/>
    <w:rsid w:val="00726339"/>
    <w:rsid w:val="0075319F"/>
    <w:rsid w:val="007661D9"/>
    <w:rsid w:val="007706B8"/>
    <w:rsid w:val="007A475D"/>
    <w:rsid w:val="007A562E"/>
    <w:rsid w:val="007B14E8"/>
    <w:rsid w:val="007C12B5"/>
    <w:rsid w:val="007E77FA"/>
    <w:rsid w:val="00800063"/>
    <w:rsid w:val="008011B6"/>
    <w:rsid w:val="00867DE5"/>
    <w:rsid w:val="00873E75"/>
    <w:rsid w:val="00885B06"/>
    <w:rsid w:val="00894329"/>
    <w:rsid w:val="008A0BBE"/>
    <w:rsid w:val="008C03DF"/>
    <w:rsid w:val="008F3062"/>
    <w:rsid w:val="00921CB1"/>
    <w:rsid w:val="00925F1E"/>
    <w:rsid w:val="009544A3"/>
    <w:rsid w:val="00975CBB"/>
    <w:rsid w:val="009949A8"/>
    <w:rsid w:val="009A264B"/>
    <w:rsid w:val="009B1FEE"/>
    <w:rsid w:val="009C19A6"/>
    <w:rsid w:val="00A01331"/>
    <w:rsid w:val="00A154BE"/>
    <w:rsid w:val="00A34D4E"/>
    <w:rsid w:val="00A41F2C"/>
    <w:rsid w:val="00A522DB"/>
    <w:rsid w:val="00A60321"/>
    <w:rsid w:val="00A7323A"/>
    <w:rsid w:val="00A828FA"/>
    <w:rsid w:val="00A87940"/>
    <w:rsid w:val="00A94CCB"/>
    <w:rsid w:val="00AB0D7D"/>
    <w:rsid w:val="00AD00EB"/>
    <w:rsid w:val="00AD5005"/>
    <w:rsid w:val="00B02DAB"/>
    <w:rsid w:val="00B23356"/>
    <w:rsid w:val="00B23EC0"/>
    <w:rsid w:val="00B25338"/>
    <w:rsid w:val="00B40901"/>
    <w:rsid w:val="00B6162A"/>
    <w:rsid w:val="00BC244F"/>
    <w:rsid w:val="00BD1325"/>
    <w:rsid w:val="00BD2C24"/>
    <w:rsid w:val="00BE09D2"/>
    <w:rsid w:val="00C01E75"/>
    <w:rsid w:val="00C641E9"/>
    <w:rsid w:val="00C723C2"/>
    <w:rsid w:val="00C8439B"/>
    <w:rsid w:val="00CB37E6"/>
    <w:rsid w:val="00CB4094"/>
    <w:rsid w:val="00CC5670"/>
    <w:rsid w:val="00CE72AF"/>
    <w:rsid w:val="00D111D2"/>
    <w:rsid w:val="00D115BF"/>
    <w:rsid w:val="00D269C3"/>
    <w:rsid w:val="00DB4C68"/>
    <w:rsid w:val="00DC3CDC"/>
    <w:rsid w:val="00DC68F5"/>
    <w:rsid w:val="00E023B7"/>
    <w:rsid w:val="00E07290"/>
    <w:rsid w:val="00EA3C1F"/>
    <w:rsid w:val="00EC2CC4"/>
    <w:rsid w:val="00EF657B"/>
    <w:rsid w:val="00EF7FF5"/>
    <w:rsid w:val="00F313DF"/>
    <w:rsid w:val="00F32C4F"/>
    <w:rsid w:val="00F57FA5"/>
    <w:rsid w:val="00F77B35"/>
    <w:rsid w:val="00FA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77B35"/>
    <w:rPr>
      <w:color w:val="0000FF" w:themeColor="hyperlink"/>
      <w:u w:val="single"/>
    </w:rPr>
  </w:style>
  <w:style w:type="character" w:styleId="FollowedHyperlink">
    <w:name w:val="FollowedHyperlink"/>
    <w:basedOn w:val="DefaultParagraphFont"/>
    <w:uiPriority w:val="99"/>
    <w:semiHidden/>
    <w:unhideWhenUsed/>
    <w:rsid w:val="00BE09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fr.gpoaccess.gov/cgi/t/text/text-idx?c=ecfr&amp;sid=fdd03bd111d27c5bdb9def18df0446b8&amp;rgn=div6&amp;view=text&amp;node=34:3.1.3.1.34.9&amp;idno=34"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45615-AA2B-4C88-907F-FC20CE272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3555</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2</cp:revision>
  <cp:lastPrinted>2011-12-14T15:34:00Z</cp:lastPrinted>
  <dcterms:created xsi:type="dcterms:W3CDTF">2012-03-05T14:35:00Z</dcterms:created>
  <dcterms:modified xsi:type="dcterms:W3CDTF">2012-03-05T14:35:00Z</dcterms:modified>
</cp:coreProperties>
</file>