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37145D">
      <w:pPr>
        <w:pStyle w:val="Title"/>
        <w:ind w:right="-480"/>
        <w:rPr>
          <w:rFonts w:ascii="Times New Roman" w:hAnsi="Times New Roman"/>
          <w:b/>
          <w:bCs/>
          <w:szCs w:val="24"/>
        </w:rPr>
      </w:pPr>
      <w:r w:rsidRPr="000A1AC8">
        <w:rPr>
          <w:rFonts w:ascii="Times New Roman" w:hAnsi="Times New Roman"/>
          <w:b/>
          <w:bCs/>
          <w:szCs w:val="24"/>
        </w:rPr>
        <w:t>Supporting Statement for</w:t>
      </w:r>
    </w:p>
    <w:p w:rsidR="00CA6AE6" w:rsidRDefault="00CA6AE6" w:rsidP="00F40221">
      <w:pPr>
        <w:ind w:right="-480"/>
        <w:jc w:val="center"/>
        <w:rPr>
          <w:b/>
          <w:bCs/>
        </w:rPr>
      </w:pPr>
      <w:r w:rsidRPr="000A1AC8">
        <w:rPr>
          <w:b/>
          <w:bCs/>
        </w:rPr>
        <w:t xml:space="preserve">Consolidated Reports of Condition and Income </w:t>
      </w:r>
    </w:p>
    <w:p w:rsidR="00CA6AE6" w:rsidRPr="000A1AC8" w:rsidRDefault="00CA6AE6" w:rsidP="00F40221">
      <w:pPr>
        <w:ind w:right="-480"/>
        <w:jc w:val="center"/>
        <w:rPr>
          <w:b/>
          <w:bCs/>
        </w:rPr>
      </w:pPr>
      <w:r w:rsidRPr="000A1AC8">
        <w:rPr>
          <w:b/>
          <w:bCs/>
        </w:rPr>
        <w:t>(Interagency Call Report)</w:t>
      </w:r>
    </w:p>
    <w:p w:rsidR="00CA6AE6" w:rsidRPr="000A1AC8" w:rsidRDefault="00CA6AE6" w:rsidP="00F40221">
      <w:pPr>
        <w:ind w:right="-480"/>
        <w:jc w:val="center"/>
        <w:rPr>
          <w:b/>
          <w:bCs/>
        </w:rPr>
      </w:pPr>
      <w:r w:rsidRPr="000A1AC8">
        <w:rPr>
          <w:b/>
          <w:bCs/>
        </w:rPr>
        <w:t>OMB Control No. 1557-0081</w:t>
      </w:r>
    </w:p>
    <w:p w:rsidR="00CA6AE6" w:rsidRDefault="00CA6AE6" w:rsidP="00F402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F402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F40221">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F40221">
      <w:pPr>
        <w:tabs>
          <w:tab w:val="left" w:pos="432"/>
          <w:tab w:val="left" w:pos="1296"/>
          <w:tab w:val="left" w:pos="1728"/>
          <w:tab w:val="left" w:pos="4176"/>
        </w:tabs>
        <w:ind w:left="432" w:hanging="432"/>
        <w:rPr>
          <w:color w:val="000000"/>
          <w:szCs w:val="20"/>
        </w:rPr>
      </w:pPr>
    </w:p>
    <w:p w:rsidR="00CA6AE6" w:rsidRPr="0057093A" w:rsidRDefault="00CA6AE6" w:rsidP="00F40221">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CA6AE6" w:rsidRDefault="00CA6AE6" w:rsidP="00F402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287"/>
        <w:rPr>
          <w:rFonts w:ascii="Times New Roman" w:hAnsi="Times New Roman"/>
          <w:sz w:val="24"/>
          <w:szCs w:val="24"/>
        </w:rPr>
      </w:pPr>
    </w:p>
    <w:p w:rsidR="00925DD0" w:rsidRDefault="0097330C" w:rsidP="00F40221">
      <w:pPr>
        <w:pStyle w:val="Preformatted"/>
        <w:rPr>
          <w:rFonts w:ascii="Times New Roman" w:hAnsi="Times New Roman"/>
          <w:sz w:val="24"/>
          <w:szCs w:val="24"/>
        </w:rPr>
      </w:pPr>
      <w:r>
        <w:rPr>
          <w:rFonts w:ascii="Times New Roman" w:hAnsi="Times New Roman"/>
          <w:sz w:val="24"/>
          <w:szCs w:val="24"/>
        </w:rPr>
        <w:tab/>
      </w:r>
      <w:r w:rsidRPr="00CB7144">
        <w:rPr>
          <w:rFonts w:ascii="Times New Roman" w:hAnsi="Times New Roman"/>
          <w:sz w:val="24"/>
          <w:szCs w:val="24"/>
        </w:rPr>
        <w:t xml:space="preserve">On </w:t>
      </w:r>
      <w:r>
        <w:rPr>
          <w:rFonts w:ascii="Times New Roman" w:hAnsi="Times New Roman"/>
          <w:sz w:val="24"/>
          <w:szCs w:val="24"/>
        </w:rPr>
        <w:t>February 21, 2013</w:t>
      </w:r>
      <w:r w:rsidR="00925DD0">
        <w:rPr>
          <w:rFonts w:ascii="Times New Roman" w:hAnsi="Times New Roman"/>
          <w:sz w:val="24"/>
          <w:szCs w:val="24"/>
        </w:rPr>
        <w:t xml:space="preserve">, the agencies </w:t>
      </w:r>
      <w:r w:rsidRPr="00CB7144">
        <w:rPr>
          <w:rFonts w:ascii="Times New Roman" w:hAnsi="Times New Roman"/>
          <w:sz w:val="24"/>
          <w:szCs w:val="24"/>
        </w:rPr>
        <w:t xml:space="preserve">requested public comment for 60 days on a proposal to extend, with revision, the </w:t>
      </w:r>
      <w:r w:rsidRPr="007F5145">
        <w:rPr>
          <w:rFonts w:ascii="Times New Roman" w:hAnsi="Times New Roman"/>
          <w:sz w:val="24"/>
          <w:szCs w:val="24"/>
        </w:rPr>
        <w:t>Call Report.</w:t>
      </w:r>
      <w:r w:rsidR="00033A04">
        <w:rPr>
          <w:rStyle w:val="FootnoteReference"/>
          <w:rFonts w:ascii="Times New Roman" w:hAnsi="Times New Roman"/>
          <w:sz w:val="24"/>
          <w:szCs w:val="24"/>
        </w:rPr>
        <w:footnoteReference w:id="1"/>
      </w:r>
      <w:r w:rsidRPr="007F5145">
        <w:rPr>
          <w:rFonts w:ascii="Times New Roman" w:hAnsi="Times New Roman"/>
          <w:sz w:val="24"/>
          <w:szCs w:val="24"/>
        </w:rPr>
        <w:t xml:space="preserve">  After considering the comments received on the proposal, the FFIEC and the agencies will </w:t>
      </w:r>
      <w:r>
        <w:rPr>
          <w:rFonts w:ascii="Times New Roman" w:hAnsi="Times New Roman"/>
          <w:sz w:val="24"/>
          <w:szCs w:val="24"/>
        </w:rPr>
        <w:t>proceed</w:t>
      </w:r>
      <w:r w:rsidRPr="007F5145">
        <w:rPr>
          <w:rFonts w:ascii="Times New Roman" w:hAnsi="Times New Roman"/>
          <w:sz w:val="24"/>
          <w:szCs w:val="24"/>
        </w:rPr>
        <w:t xml:space="preserve"> with </w:t>
      </w:r>
      <w:r w:rsidR="00B754A0">
        <w:rPr>
          <w:rFonts w:ascii="Times New Roman" w:hAnsi="Times New Roman"/>
          <w:sz w:val="24"/>
          <w:szCs w:val="24"/>
        </w:rPr>
        <w:t xml:space="preserve">(1) </w:t>
      </w:r>
      <w:r>
        <w:rPr>
          <w:rFonts w:ascii="Times New Roman" w:hAnsi="Times New Roman"/>
          <w:sz w:val="24"/>
          <w:szCs w:val="24"/>
        </w:rPr>
        <w:t xml:space="preserve">a proposed scope revision to an item in the equity capital reconciliation and </w:t>
      </w:r>
      <w:r w:rsidR="00B754A0">
        <w:rPr>
          <w:rFonts w:ascii="Times New Roman" w:hAnsi="Times New Roman"/>
          <w:sz w:val="24"/>
          <w:szCs w:val="24"/>
        </w:rPr>
        <w:t xml:space="preserve">(2) </w:t>
      </w:r>
      <w:r>
        <w:rPr>
          <w:rFonts w:ascii="Times New Roman" w:hAnsi="Times New Roman"/>
          <w:sz w:val="24"/>
          <w:szCs w:val="24"/>
        </w:rPr>
        <w:t>with the reporting changes proposed for large and highly complex institutions for deposit insurance assessment purposes</w:t>
      </w:r>
      <w:r w:rsidR="00B754A0">
        <w:rPr>
          <w:rFonts w:ascii="Times New Roman" w:hAnsi="Times New Roman"/>
          <w:sz w:val="24"/>
          <w:szCs w:val="24"/>
        </w:rPr>
        <w:t>. These changes will be</w:t>
      </w:r>
      <w:r>
        <w:rPr>
          <w:rFonts w:ascii="Times New Roman" w:hAnsi="Times New Roman"/>
          <w:sz w:val="24"/>
          <w:szCs w:val="24"/>
        </w:rPr>
        <w:t xml:space="preserve"> effective June 30, 2013.  </w:t>
      </w:r>
    </w:p>
    <w:p w:rsidR="00925DD0" w:rsidRDefault="00925DD0" w:rsidP="00F40221">
      <w:pPr>
        <w:pStyle w:val="Preformatted"/>
        <w:rPr>
          <w:rFonts w:ascii="Times New Roman" w:hAnsi="Times New Roman"/>
          <w:sz w:val="24"/>
          <w:szCs w:val="24"/>
        </w:rPr>
      </w:pPr>
    </w:p>
    <w:p w:rsidR="0097330C" w:rsidRDefault="00925DD0" w:rsidP="00F40221">
      <w:pPr>
        <w:pStyle w:val="Preformatted"/>
        <w:rPr>
          <w:rFonts w:ascii="Times New Roman" w:hAnsi="Times New Roman"/>
          <w:sz w:val="24"/>
        </w:rPr>
      </w:pPr>
      <w:r>
        <w:rPr>
          <w:rFonts w:ascii="Times New Roman" w:hAnsi="Times New Roman"/>
          <w:sz w:val="24"/>
          <w:szCs w:val="24"/>
        </w:rPr>
        <w:tab/>
        <w:t>L</w:t>
      </w:r>
      <w:r w:rsidR="0097330C">
        <w:rPr>
          <w:rFonts w:ascii="Times New Roman" w:hAnsi="Times New Roman"/>
          <w:sz w:val="24"/>
          <w:szCs w:val="24"/>
        </w:rPr>
        <w:t xml:space="preserve">arge and highly complex institutions with foreign offices </w:t>
      </w:r>
      <w:proofErr w:type="gramStart"/>
      <w:r w:rsidR="0097330C">
        <w:rPr>
          <w:rFonts w:ascii="Times New Roman" w:hAnsi="Times New Roman"/>
          <w:sz w:val="24"/>
          <w:szCs w:val="24"/>
        </w:rPr>
        <w:t>will be permitted</w:t>
      </w:r>
      <w:proofErr w:type="gramEnd"/>
      <w:r w:rsidR="0097330C">
        <w:rPr>
          <w:rFonts w:ascii="Times New Roman" w:hAnsi="Times New Roman"/>
          <w:sz w:val="24"/>
          <w:szCs w:val="24"/>
        </w:rPr>
        <w:t xml:space="preserve"> to delay the reporting of foreign office data in certain existing items in the deposit insurance assessments schedule that currently capture only domestic office data until the September 30, 2013, report date.  </w:t>
      </w:r>
      <w:r w:rsidR="0097330C">
        <w:rPr>
          <w:rFonts w:ascii="Times New Roman" w:hAnsi="Times New Roman"/>
          <w:sz w:val="24"/>
        </w:rPr>
        <w:t>As for the other data items that had been proposed to be added to the Call Report effective June 30, 2013 (and one new item proposed to be collected annually beginning December 31, 2013), t</w:t>
      </w:r>
      <w:r w:rsidR="0097330C" w:rsidRPr="00E73E62">
        <w:rPr>
          <w:rFonts w:ascii="Times New Roman" w:hAnsi="Times New Roman"/>
          <w:sz w:val="24"/>
          <w:szCs w:val="24"/>
        </w:rPr>
        <w:t>he FFIEC and</w:t>
      </w:r>
      <w:r w:rsidR="0097330C">
        <w:rPr>
          <w:rFonts w:ascii="Times New Roman" w:hAnsi="Times New Roman"/>
          <w:sz w:val="24"/>
          <w:szCs w:val="24"/>
        </w:rPr>
        <w:t xml:space="preserve"> </w:t>
      </w:r>
      <w:r w:rsidR="0097330C" w:rsidRPr="00E73E62">
        <w:rPr>
          <w:rFonts w:ascii="Times New Roman" w:hAnsi="Times New Roman"/>
          <w:sz w:val="24"/>
          <w:szCs w:val="24"/>
        </w:rPr>
        <w:t>the agencies are continuing to evaluate</w:t>
      </w:r>
      <w:r w:rsidR="0097330C">
        <w:rPr>
          <w:rFonts w:ascii="Times New Roman" w:hAnsi="Times New Roman"/>
          <w:sz w:val="24"/>
          <w:szCs w:val="24"/>
        </w:rPr>
        <w:t xml:space="preserve"> </w:t>
      </w:r>
      <w:r w:rsidR="0097330C" w:rsidRPr="00E73E62">
        <w:rPr>
          <w:rFonts w:ascii="Times New Roman" w:hAnsi="Times New Roman"/>
          <w:sz w:val="24"/>
          <w:szCs w:val="24"/>
        </w:rPr>
        <w:t>the</w:t>
      </w:r>
      <w:r w:rsidR="0097330C">
        <w:rPr>
          <w:rFonts w:ascii="Times New Roman" w:hAnsi="Times New Roman"/>
          <w:sz w:val="24"/>
          <w:szCs w:val="24"/>
        </w:rPr>
        <w:t xml:space="preserve">se proposed new Call Report items in light of the comments received.  The FFIEC’s and the agencies’ decisions regarding these additional proposed data items will be the subject of a separate </w:t>
      </w:r>
      <w:r w:rsidR="0097330C" w:rsidRPr="00315DE6">
        <w:rPr>
          <w:rFonts w:ascii="Times New Roman" w:hAnsi="Times New Roman"/>
          <w:i/>
          <w:sz w:val="24"/>
          <w:szCs w:val="24"/>
        </w:rPr>
        <w:t>Federal Register</w:t>
      </w:r>
      <w:r w:rsidR="0097330C">
        <w:rPr>
          <w:rFonts w:ascii="Times New Roman" w:hAnsi="Times New Roman"/>
          <w:sz w:val="24"/>
          <w:szCs w:val="24"/>
        </w:rPr>
        <w:t xml:space="preserve"> notice.</w:t>
      </w:r>
    </w:p>
    <w:p w:rsidR="002E5DD1" w:rsidRPr="0057093A" w:rsidRDefault="002E5DD1" w:rsidP="00F402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color w:val="000000"/>
        </w:rPr>
      </w:pPr>
    </w:p>
    <w:p w:rsidR="00CA6AE6" w:rsidRPr="0057093A" w:rsidRDefault="00CA6AE6" w:rsidP="00F40221">
      <w:pPr>
        <w:tabs>
          <w:tab w:val="left" w:pos="432"/>
          <w:tab w:val="left" w:pos="1296"/>
          <w:tab w:val="left" w:pos="1728"/>
          <w:tab w:val="left" w:pos="4176"/>
        </w:tabs>
        <w:ind w:left="432" w:hanging="432"/>
        <w:rPr>
          <w:color w:val="000000"/>
          <w:szCs w:val="20"/>
          <w:u w:val="single"/>
        </w:rPr>
      </w:pPr>
      <w:r w:rsidRPr="0057093A">
        <w:rPr>
          <w:color w:val="000000"/>
          <w:szCs w:val="20"/>
        </w:rPr>
        <w:t>2.</w:t>
      </w:r>
      <w:r w:rsidRPr="0057093A">
        <w:rPr>
          <w:color w:val="000000"/>
          <w:szCs w:val="20"/>
        </w:rPr>
        <w:tab/>
      </w:r>
      <w:r w:rsidRPr="0057093A">
        <w:rPr>
          <w:color w:val="000000"/>
          <w:szCs w:val="20"/>
          <w:u w:val="single"/>
        </w:rPr>
        <w:t>Use of Information Collected</w:t>
      </w:r>
    </w:p>
    <w:p w:rsidR="00CA6AE6" w:rsidRPr="0057093A" w:rsidRDefault="00CA6AE6" w:rsidP="00F40221">
      <w:pPr>
        <w:rPr>
          <w:color w:val="000000"/>
          <w:szCs w:val="20"/>
        </w:rPr>
      </w:pPr>
    </w:p>
    <w:p w:rsidR="00F40221" w:rsidRDefault="00F40221" w:rsidP="00F40221">
      <w:pPr>
        <w:ind w:firstLine="720"/>
      </w:pPr>
      <w:r>
        <w:t xml:space="preserve">The proposed changes </w:t>
      </w:r>
      <w:r w:rsidRPr="000178F9">
        <w:t>include</w:t>
      </w:r>
      <w:r>
        <w:t>:</w:t>
      </w:r>
      <w:r w:rsidRPr="000178F9">
        <w:t xml:space="preserve"> </w:t>
      </w:r>
    </w:p>
    <w:p w:rsidR="00F40221" w:rsidRDefault="00F40221" w:rsidP="00F40221">
      <w:pPr>
        <w:ind w:firstLine="720"/>
      </w:pPr>
    </w:p>
    <w:p w:rsidR="00F40221" w:rsidRDefault="00F40221" w:rsidP="00F40221">
      <w:pPr>
        <w:numPr>
          <w:ilvl w:val="0"/>
          <w:numId w:val="14"/>
        </w:numPr>
      </w:pPr>
      <w:r w:rsidRPr="00A82D13">
        <w:t>A question that would be added to Schedule RC-E, Deposit Liabilities, asking whether the reporting institution offers separate deposit products (other than time deposits) to consumers compared to businesses, and</w:t>
      </w:r>
    </w:p>
    <w:p w:rsidR="00315DE6" w:rsidRPr="00A82D13" w:rsidRDefault="00315DE6" w:rsidP="00315DE6">
      <w:pPr>
        <w:ind w:left="360"/>
      </w:pPr>
    </w:p>
    <w:p w:rsidR="00F40221" w:rsidRPr="00A82D13" w:rsidRDefault="00F40221" w:rsidP="00F40221">
      <w:pPr>
        <w:numPr>
          <w:ilvl w:val="0"/>
          <w:numId w:val="16"/>
        </w:numPr>
      </w:pPr>
      <w:r w:rsidRPr="00A82D13">
        <w:t>For those institutions with $1 billion or more in total assets that offer separate products, new data items on the quarter-end amount of certain types of consumer transaction accounts and nontransaction savings deposit accounts that would be reported in Schedule RC-E, and</w:t>
      </w:r>
    </w:p>
    <w:p w:rsidR="00F40221" w:rsidRDefault="00F40221" w:rsidP="00F40221">
      <w:pPr>
        <w:numPr>
          <w:ilvl w:val="0"/>
          <w:numId w:val="16"/>
        </w:numPr>
      </w:pPr>
      <w:r w:rsidRPr="00A82D13">
        <w:t>For all institutions that offer separate products, a new breakdown on the year-to-date amounts of certain types of service charges on consumer deposit accounts reported as noninterest income in Schedule RI, Income Statement;</w:t>
      </w:r>
    </w:p>
    <w:p w:rsidR="00315DE6" w:rsidRPr="00A82D13" w:rsidRDefault="00315DE6" w:rsidP="00315DE6">
      <w:pPr>
        <w:ind w:left="720"/>
      </w:pPr>
    </w:p>
    <w:p w:rsidR="00F40221" w:rsidRPr="00A82D13" w:rsidRDefault="00F40221" w:rsidP="00F40221">
      <w:pPr>
        <w:numPr>
          <w:ilvl w:val="0"/>
          <w:numId w:val="14"/>
        </w:numPr>
      </w:pPr>
      <w:r w:rsidRPr="00A82D13">
        <w:t xml:space="preserve">A request for information on international remittance transfers in Schedule RC-M, Memoranda, including: </w:t>
      </w:r>
    </w:p>
    <w:p w:rsidR="00F40221" w:rsidRPr="00A82D13" w:rsidRDefault="00F40221" w:rsidP="00F40221">
      <w:pPr>
        <w:numPr>
          <w:ilvl w:val="0"/>
          <w:numId w:val="17"/>
        </w:numPr>
      </w:pPr>
      <w:r w:rsidRPr="00A82D13">
        <w:lastRenderedPageBreak/>
        <w:t xml:space="preserve">Questions about types of international remittance transfers offered, the settlement systems used to process the transfers, and whether the number of remittance transfers provided exceeds or is expected to exceed the </w:t>
      </w:r>
      <w:r>
        <w:t>Bure</w:t>
      </w:r>
      <w:r w:rsidRPr="00A82D13">
        <w:t>au’s safe harbor threshold (more than 100 transfers); and</w:t>
      </w:r>
    </w:p>
    <w:p w:rsidR="00F40221" w:rsidRDefault="00F40221" w:rsidP="00F40221">
      <w:pPr>
        <w:numPr>
          <w:ilvl w:val="0"/>
          <w:numId w:val="17"/>
        </w:numPr>
      </w:pPr>
      <w:r w:rsidRPr="00A82D13">
        <w:t xml:space="preserve">New data items to be reported by institutions not qualifying for the safe harbor on the number and dollar amount of international remittance transfers;  </w:t>
      </w:r>
    </w:p>
    <w:p w:rsidR="00315DE6" w:rsidRPr="00A82D13" w:rsidRDefault="00315DE6" w:rsidP="00315DE6">
      <w:pPr>
        <w:ind w:left="720"/>
      </w:pPr>
    </w:p>
    <w:p w:rsidR="00F40221" w:rsidRDefault="00F40221" w:rsidP="00F40221">
      <w:pPr>
        <w:numPr>
          <w:ilvl w:val="0"/>
          <w:numId w:val="14"/>
        </w:numPr>
      </w:pPr>
      <w:r w:rsidRPr="00A82D13">
        <w:t>New data items in Schedule RC-M for reporting all trade names that differ from an institution’s legal title that the institution uses to identify physical branches and public-facing Internet Web sites;</w:t>
      </w:r>
    </w:p>
    <w:p w:rsidR="00315DE6" w:rsidRPr="00A82D13" w:rsidRDefault="00315DE6" w:rsidP="00315DE6">
      <w:pPr>
        <w:ind w:left="360"/>
      </w:pPr>
    </w:p>
    <w:p w:rsidR="00F40221" w:rsidRDefault="00F40221" w:rsidP="00F40221">
      <w:pPr>
        <w:numPr>
          <w:ilvl w:val="0"/>
          <w:numId w:val="13"/>
        </w:numPr>
      </w:pPr>
      <w:r w:rsidRPr="00A82D13">
        <w:t>Additional data to be reported in Schedule RC-O, Other Data for Deposit Insurance and FICO Assessments, by large institutions and highly complex institutions (generally, institutions with $10 billion or more in total assets) to support the FDIC’s large bank pricing method for insurance assessments, including a new table of consumer loans by loan type and probability of default band, new data items providing information on loans secured by real estate at institutions with foreign offices, revisions of existing data items on real estate loan commitments and U.S. government-guaranteed real estate loans to include those in foreign offices, and other revisions to the information collected on assets guaranteed by the U.S. government</w:t>
      </w:r>
      <w:r>
        <w:t>;</w:t>
      </w:r>
    </w:p>
    <w:p w:rsidR="00315DE6" w:rsidRPr="00A82D13" w:rsidRDefault="00315DE6" w:rsidP="00315DE6">
      <w:pPr>
        <w:ind w:left="360"/>
      </w:pPr>
    </w:p>
    <w:p w:rsidR="00F40221" w:rsidRDefault="00F40221" w:rsidP="00F40221">
      <w:pPr>
        <w:numPr>
          <w:ilvl w:val="0"/>
          <w:numId w:val="15"/>
        </w:numPr>
      </w:pPr>
      <w:r w:rsidRPr="00A82D13">
        <w:t>A new data item in Schedule RC-M applicable only to institutions whose parent depository institution holding company is not a bank or savings and loan holding company in which the institution would report the total consolidated liabilities of its parent depository institution holding company annually as of December 31 to support the Board’s administration of the financial sector concentration limit established by the Dodd-Frank Act; and</w:t>
      </w:r>
    </w:p>
    <w:p w:rsidR="00315DE6" w:rsidRPr="00A82D13" w:rsidRDefault="00315DE6" w:rsidP="00315DE6">
      <w:pPr>
        <w:ind w:left="360"/>
      </w:pPr>
    </w:p>
    <w:p w:rsidR="00F40221" w:rsidRPr="00A82D13" w:rsidRDefault="00F40221" w:rsidP="00F40221">
      <w:pPr>
        <w:numPr>
          <w:ilvl w:val="0"/>
          <w:numId w:val="15"/>
        </w:numPr>
      </w:pPr>
      <w:proofErr w:type="gramStart"/>
      <w:r w:rsidRPr="00A82D13">
        <w:t>A revision of the scope of the existing item in Schedule RI-A, Changes in Bank Equity Capital, for “Other transactions with parent holding company” to include such transactions with all stockholders.</w:t>
      </w:r>
      <w:proofErr w:type="gramEnd"/>
    </w:p>
    <w:p w:rsidR="00F40221" w:rsidRDefault="00F40221" w:rsidP="00F40221"/>
    <w:p w:rsidR="00F40221" w:rsidRDefault="00F40221" w:rsidP="00F40221">
      <w:pPr>
        <w:tabs>
          <w:tab w:val="left" w:pos="720"/>
        </w:tabs>
        <w:ind w:firstLine="720"/>
      </w:pPr>
      <w:r>
        <w:t>In addition, the agencies invited comments on their plans to continue the collection of two existing items o</w:t>
      </w:r>
      <w:r w:rsidRPr="002F4BC8">
        <w:t>n the amount and number of noninterest-bearing transaction accounts of more than $250,000</w:t>
      </w:r>
      <w:r>
        <w:t xml:space="preserve"> in Schedule RC-O </w:t>
      </w:r>
      <w:r w:rsidRPr="002F4BC8">
        <w:t>in the March 2013 and future Call Reports, subject to further review and reconsideration of the collection of these data</w:t>
      </w:r>
      <w:r>
        <w:t>.  T</w:t>
      </w:r>
      <w:r w:rsidRPr="002F4BC8">
        <w:t xml:space="preserve">hese accounts </w:t>
      </w:r>
      <w:proofErr w:type="gramStart"/>
      <w:r w:rsidRPr="002F4BC8">
        <w:t>were covered</w:t>
      </w:r>
      <w:proofErr w:type="gramEnd"/>
      <w:r w:rsidRPr="002F4BC8">
        <w:t xml:space="preserve"> by temporary unlimited deposit insurance through December 31, 2012.  </w:t>
      </w:r>
    </w:p>
    <w:p w:rsidR="00F40221" w:rsidRDefault="00F40221" w:rsidP="00F40221">
      <w:pPr>
        <w:ind w:firstLine="720"/>
      </w:pPr>
    </w:p>
    <w:p w:rsidR="00CA6AE6" w:rsidRPr="00A16794" w:rsidRDefault="00CA6AE6" w:rsidP="00F40221">
      <w:pPr>
        <w:pStyle w:val="HTMLPreformatted"/>
        <w:rPr>
          <w:rFonts w:ascii="Times New Roman" w:hAnsi="Times New Roman" w:cs="Times New Roman"/>
          <w:color w:val="000000"/>
          <w:sz w:val="24"/>
          <w:szCs w:val="24"/>
        </w:rPr>
      </w:pPr>
      <w:r w:rsidRPr="00A16794">
        <w:rPr>
          <w:rFonts w:ascii="Times New Roman" w:hAnsi="Times New Roman" w:cs="Times New Roman"/>
          <w:color w:val="000000"/>
          <w:sz w:val="24"/>
          <w:szCs w:val="24"/>
        </w:rPr>
        <w:t>3.</w:t>
      </w:r>
      <w:r w:rsidRPr="00A16794">
        <w:rPr>
          <w:rFonts w:ascii="Times New Roman" w:hAnsi="Times New Roman" w:cs="Times New Roman"/>
          <w:color w:val="000000"/>
          <w:sz w:val="24"/>
          <w:szCs w:val="24"/>
        </w:rPr>
        <w:tab/>
      </w:r>
      <w:r w:rsidRPr="00A16794">
        <w:rPr>
          <w:rFonts w:ascii="Times New Roman" w:hAnsi="Times New Roman" w:cs="Times New Roman"/>
          <w:color w:val="000000"/>
          <w:sz w:val="24"/>
          <w:szCs w:val="24"/>
          <w:u w:val="single"/>
        </w:rPr>
        <w:t xml:space="preserve">Use of Technology to Reduce Burden </w:t>
      </w:r>
    </w:p>
    <w:p w:rsidR="00CA6AE6" w:rsidRPr="0057093A" w:rsidRDefault="00CA6AE6" w:rsidP="00F40221">
      <w:pPr>
        <w:rPr>
          <w:color w:val="000000"/>
          <w:szCs w:val="20"/>
        </w:rPr>
      </w:pPr>
    </w:p>
    <w:p w:rsidR="00CA6AE6" w:rsidRDefault="00CA6AE6" w:rsidP="00F40221">
      <w:pPr>
        <w:widowControl w:val="0"/>
        <w:ind w:firstLine="720"/>
        <w:rPr>
          <w:szCs w:val="20"/>
        </w:rPr>
      </w:pPr>
      <w:r w:rsidRPr="0057093A">
        <w:rPr>
          <w:szCs w:val="20"/>
        </w:rPr>
        <w:t>All banks and savings associations are subject to an electronic fili</w:t>
      </w:r>
      <w:r w:rsidR="00784C0B">
        <w:rPr>
          <w:szCs w:val="20"/>
        </w:rPr>
        <w:t>ng requirement for Call Reports</w:t>
      </w:r>
      <w:r w:rsidRPr="0057093A">
        <w:rPr>
          <w:szCs w:val="20"/>
        </w:rPr>
        <w:t>.  Institutions may use information technology to the extent feasible to maintain required records.</w:t>
      </w:r>
    </w:p>
    <w:p w:rsidR="000142A5" w:rsidRDefault="000142A5" w:rsidP="00F40221">
      <w:pPr>
        <w:widowControl w:val="0"/>
        <w:ind w:firstLine="720"/>
        <w:rPr>
          <w:szCs w:val="20"/>
        </w:rPr>
      </w:pPr>
    </w:p>
    <w:p w:rsidR="000142A5" w:rsidRDefault="000142A5" w:rsidP="00F40221">
      <w:pPr>
        <w:widowControl w:val="0"/>
        <w:ind w:firstLine="720"/>
        <w:rPr>
          <w:szCs w:val="20"/>
        </w:rPr>
      </w:pPr>
    </w:p>
    <w:p w:rsidR="000142A5" w:rsidRPr="0057093A" w:rsidRDefault="000142A5" w:rsidP="00F40221">
      <w:pPr>
        <w:widowControl w:val="0"/>
        <w:ind w:firstLine="720"/>
        <w:rPr>
          <w:szCs w:val="20"/>
        </w:rPr>
      </w:pPr>
    </w:p>
    <w:p w:rsidR="00CA6AE6" w:rsidRPr="0057093A" w:rsidRDefault="00CA6AE6" w:rsidP="00F40221">
      <w:pPr>
        <w:ind w:left="1296"/>
        <w:rPr>
          <w:color w:val="000000"/>
        </w:rPr>
      </w:pPr>
    </w:p>
    <w:p w:rsidR="00CA6AE6" w:rsidRPr="0057093A" w:rsidRDefault="00CA6AE6" w:rsidP="00F40221">
      <w:pPr>
        <w:numPr>
          <w:ilvl w:val="0"/>
          <w:numId w:val="6"/>
        </w:numPr>
        <w:tabs>
          <w:tab w:val="left" w:pos="432"/>
          <w:tab w:val="left" w:pos="1728"/>
          <w:tab w:val="left" w:pos="4176"/>
        </w:tabs>
        <w:ind w:left="432" w:hanging="432"/>
        <w:rPr>
          <w:color w:val="000000"/>
          <w:szCs w:val="20"/>
          <w:u w:val="single"/>
        </w:rPr>
      </w:pPr>
      <w:r w:rsidRPr="0057093A">
        <w:rPr>
          <w:color w:val="000000"/>
          <w:szCs w:val="20"/>
          <w:u w:val="single"/>
        </w:rPr>
        <w:lastRenderedPageBreak/>
        <w:t xml:space="preserve">Efforts to Identify Duplication </w:t>
      </w:r>
    </w:p>
    <w:p w:rsidR="00CA6AE6" w:rsidRPr="0057093A" w:rsidRDefault="00CA6AE6" w:rsidP="00F40221">
      <w:pPr>
        <w:ind w:left="432"/>
        <w:rPr>
          <w:color w:val="000000"/>
        </w:rPr>
      </w:pPr>
    </w:p>
    <w:p w:rsidR="00657DEF" w:rsidRPr="002D2DAC" w:rsidRDefault="00657DEF" w:rsidP="00F40221">
      <w:pPr>
        <w:pStyle w:val="BodyText"/>
        <w:ind w:right="-480" w:firstLine="720"/>
      </w:pPr>
      <w:r w:rsidRPr="002D2DAC">
        <w:t>This information is unique because no other report or a series of reports provides all the Call Report data in a consistent and timely manner.</w:t>
      </w:r>
    </w:p>
    <w:p w:rsidR="00CA6AE6" w:rsidRPr="0057093A" w:rsidRDefault="00CA6AE6" w:rsidP="00F40221">
      <w:pPr>
        <w:rPr>
          <w:color w:val="000000"/>
        </w:rPr>
      </w:pPr>
    </w:p>
    <w:p w:rsidR="00CA6AE6" w:rsidRPr="0057093A" w:rsidRDefault="00CA6AE6" w:rsidP="00F40221">
      <w:pPr>
        <w:keepNext/>
        <w:numPr>
          <w:ilvl w:val="0"/>
          <w:numId w:val="1"/>
        </w:numPr>
        <w:tabs>
          <w:tab w:val="left" w:pos="432"/>
          <w:tab w:val="left" w:pos="1728"/>
          <w:tab w:val="left" w:pos="4176"/>
        </w:tabs>
        <w:ind w:left="432" w:hanging="432"/>
        <w:rPr>
          <w:color w:val="000000"/>
          <w:szCs w:val="20"/>
          <w:u w:val="single"/>
        </w:rPr>
      </w:pPr>
      <w:r w:rsidRPr="0057093A">
        <w:rPr>
          <w:color w:val="000000"/>
          <w:szCs w:val="20"/>
          <w:u w:val="single"/>
        </w:rPr>
        <w:t>Minimizing the Burden on Small Entities</w:t>
      </w:r>
    </w:p>
    <w:p w:rsidR="00CA6AE6" w:rsidRPr="0057093A" w:rsidRDefault="00CA6AE6" w:rsidP="00F40221">
      <w:pPr>
        <w:keepNext/>
        <w:ind w:left="1282"/>
        <w:rPr>
          <w:color w:val="000000"/>
          <w:szCs w:val="20"/>
        </w:rPr>
      </w:pPr>
    </w:p>
    <w:p w:rsidR="00C0119C" w:rsidRPr="007160FD" w:rsidRDefault="00C0119C" w:rsidP="00F40221">
      <w:pPr>
        <w:pStyle w:val="BodyText"/>
        <w:ind w:right="-480" w:firstLine="720"/>
      </w:pPr>
      <w:r w:rsidRPr="007160FD">
        <w:t>Only the minimum information needed</w:t>
      </w:r>
      <w:r>
        <w:t xml:space="preserve"> to evaluate the condition of an institution</w:t>
      </w:r>
      <w:r w:rsidRPr="007160FD">
        <w:t xml:space="preserve">, regardless of size, is required.  </w:t>
      </w:r>
    </w:p>
    <w:p w:rsidR="00CA6AE6" w:rsidRDefault="00CA6AE6" w:rsidP="00F40221">
      <w:pPr>
        <w:widowControl w:val="0"/>
        <w:rPr>
          <w:szCs w:val="20"/>
        </w:rPr>
      </w:pPr>
    </w:p>
    <w:p w:rsidR="00CA6AE6" w:rsidRPr="0057093A" w:rsidRDefault="00CA6AE6" w:rsidP="00F4022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57093A">
        <w:rPr>
          <w:color w:val="000000"/>
          <w:szCs w:val="20"/>
        </w:rPr>
        <w:t xml:space="preserve">6.  </w:t>
      </w:r>
      <w:r w:rsidRPr="0057093A">
        <w:rPr>
          <w:color w:val="000000"/>
          <w:szCs w:val="20"/>
        </w:rPr>
        <w:tab/>
      </w:r>
      <w:r w:rsidRPr="0057093A">
        <w:rPr>
          <w:color w:val="000000"/>
          <w:szCs w:val="20"/>
          <w:u w:val="single"/>
        </w:rPr>
        <w:t>Consequences of Less Frequent Collection</w:t>
      </w:r>
    </w:p>
    <w:p w:rsidR="00CA6AE6" w:rsidRPr="0057093A" w:rsidRDefault="00CA6AE6" w:rsidP="00F40221">
      <w:pPr>
        <w:widowControl w:val="0"/>
        <w:ind w:left="1282" w:hanging="850"/>
        <w:rPr>
          <w:szCs w:val="20"/>
        </w:rPr>
      </w:pPr>
    </w:p>
    <w:p w:rsidR="009872D2" w:rsidRPr="00D16310" w:rsidRDefault="00D16310" w:rsidP="00F40221">
      <w:pPr>
        <w:pStyle w:val="BodyText"/>
        <w:ind w:right="-480" w:firstLine="720"/>
      </w:pPr>
      <w:r w:rsidRPr="002D2DAC">
        <w:t xml:space="preserve">The Federal financial regulatory agencies must have condition and income data at least quarterly </w:t>
      </w:r>
      <w:proofErr w:type="gramStart"/>
      <w:r w:rsidRPr="002D2DAC">
        <w:t>to properly monitor</w:t>
      </w:r>
      <w:proofErr w:type="gramEnd"/>
      <w:r w:rsidRPr="002D2DAC">
        <w:t xml:space="preserve"> individual bank and industry trends.  Less frequent collection of this information would impair the agencies' </w:t>
      </w:r>
      <w:r>
        <w:t>ability to monitor financial institutions</w:t>
      </w:r>
      <w:r w:rsidRPr="002D2DAC">
        <w:t xml:space="preserve"> and could delay regulatory response.  </w:t>
      </w: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7.</w:t>
      </w:r>
      <w:r w:rsidRPr="0057093A">
        <w:rPr>
          <w:color w:val="000000"/>
          <w:szCs w:val="20"/>
        </w:rPr>
        <w:tab/>
      </w:r>
      <w:r w:rsidRPr="0057093A">
        <w:rPr>
          <w:color w:val="000000"/>
          <w:szCs w:val="20"/>
          <w:u w:val="single"/>
        </w:rPr>
        <w:t>Special Circumstances</w:t>
      </w:r>
    </w:p>
    <w:p w:rsidR="00CA6AE6" w:rsidRPr="0057093A" w:rsidRDefault="00CA6AE6" w:rsidP="00F40221">
      <w:pPr>
        <w:rPr>
          <w:color w:val="000000"/>
          <w:szCs w:val="20"/>
        </w:rPr>
      </w:pPr>
    </w:p>
    <w:p w:rsidR="00CA6AE6" w:rsidRPr="0057093A" w:rsidRDefault="00CA6AE6" w:rsidP="00F40221">
      <w:pPr>
        <w:ind w:firstLine="720"/>
        <w:rPr>
          <w:color w:val="000000"/>
          <w:szCs w:val="20"/>
        </w:rPr>
      </w:pPr>
      <w:r w:rsidRPr="0057093A">
        <w:rPr>
          <w:color w:val="000000"/>
          <w:szCs w:val="20"/>
        </w:rPr>
        <w:t xml:space="preserve">There are no special circumstances.  </w:t>
      </w:r>
    </w:p>
    <w:p w:rsidR="00CA6AE6" w:rsidRPr="0057093A" w:rsidRDefault="00CA6AE6" w:rsidP="00F40221">
      <w:pPr>
        <w:rPr>
          <w:color w:val="000000"/>
          <w:szCs w:val="20"/>
        </w:rPr>
      </w:pP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w:t>
      </w:r>
      <w:proofErr w:type="gramStart"/>
      <w:r w:rsidRPr="0057093A">
        <w:rPr>
          <w:color w:val="000000"/>
          <w:szCs w:val="20"/>
          <w:u w:val="single"/>
        </w:rPr>
        <w:t>Outside</w:t>
      </w:r>
      <w:proofErr w:type="gramEnd"/>
      <w:r w:rsidRPr="0057093A">
        <w:rPr>
          <w:color w:val="000000"/>
          <w:szCs w:val="20"/>
          <w:u w:val="single"/>
        </w:rPr>
        <w:t xml:space="preserve"> the </w:t>
      </w:r>
      <w:r>
        <w:rPr>
          <w:color w:val="000000"/>
          <w:szCs w:val="20"/>
          <w:u w:val="single"/>
        </w:rPr>
        <w:t>OCC</w:t>
      </w:r>
    </w:p>
    <w:p w:rsidR="00CA6AE6" w:rsidRPr="0057093A" w:rsidRDefault="00CA6AE6" w:rsidP="00F40221">
      <w:pPr>
        <w:rPr>
          <w:color w:val="000000"/>
          <w:szCs w:val="20"/>
        </w:rPr>
      </w:pPr>
    </w:p>
    <w:p w:rsidR="00F40221" w:rsidRDefault="00F40221" w:rsidP="00A16794">
      <w:pPr>
        <w:ind w:firstLine="720"/>
      </w:pPr>
      <w:r w:rsidRPr="00776B09">
        <w:t>The agencies collectively received comme</w:t>
      </w:r>
      <w:r w:rsidRPr="00C25410">
        <w:t xml:space="preserve">nts </w:t>
      </w:r>
      <w:r>
        <w:t xml:space="preserve">on their February 2013 </w:t>
      </w:r>
      <w:r w:rsidRPr="00315DE6">
        <w:rPr>
          <w:i/>
        </w:rPr>
        <w:t>Federal Register</w:t>
      </w:r>
      <w:r>
        <w:t xml:space="preserve"> notice </w:t>
      </w:r>
      <w:r w:rsidRPr="00C25410">
        <w:t xml:space="preserve">from </w:t>
      </w:r>
      <w:r>
        <w:t>29 entities</w:t>
      </w:r>
      <w:r w:rsidRPr="00C25410">
        <w:t xml:space="preserve">: </w:t>
      </w:r>
      <w:r>
        <w:t>20 banking organizations, seven </w:t>
      </w:r>
      <w:r w:rsidRPr="00C25410">
        <w:t xml:space="preserve">bankers’ </w:t>
      </w:r>
      <w:r>
        <w:t>associations</w:t>
      </w:r>
      <w:r w:rsidRPr="00C25410">
        <w:t xml:space="preserve">, </w:t>
      </w:r>
      <w:proofErr w:type="gramStart"/>
      <w:r>
        <w:t>one life</w:t>
      </w:r>
      <w:proofErr w:type="gramEnd"/>
      <w:r>
        <w:t xml:space="preserve"> insurers’ association, and one government agency.  Commenters each addressed one or more of the proposed reporting changes, with near</w:t>
      </w:r>
      <w:r w:rsidR="00A16794">
        <w:t xml:space="preserve">ly three quarters of commenters </w:t>
      </w:r>
      <w:r w:rsidRPr="0017750C">
        <w:t xml:space="preserve">providing feedback on the proposed breakdown on the amounts of certain types of service charges on consumer deposit accounts and almost one third offering comments on the proposed reporting of the amounts of certain types of consumer deposit accounts.  Lesser percentages of commenters addressed the other proposals in the agencies’ February 2013 </w:t>
      </w:r>
      <w:r w:rsidRPr="00315DE6">
        <w:rPr>
          <w:i/>
        </w:rPr>
        <w:t>Federal Register</w:t>
      </w:r>
      <w:r w:rsidRPr="0017750C">
        <w:t xml:space="preserve"> notice, except that none of the commenters specifically addressed the proposed scope revision of an existing item in the equity capital reconciliation schedule.  </w:t>
      </w:r>
    </w:p>
    <w:p w:rsidR="00A16794" w:rsidRPr="0017750C" w:rsidRDefault="00A16794" w:rsidP="00A16794">
      <w:pPr>
        <w:ind w:firstLine="720"/>
      </w:pPr>
    </w:p>
    <w:p w:rsidR="00F40221" w:rsidRDefault="00F40221" w:rsidP="00F40221">
      <w:pPr>
        <w:ind w:firstLine="720"/>
      </w:pPr>
      <w:r w:rsidRPr="0017750C">
        <w:t>After considering</w:t>
      </w:r>
      <w:r w:rsidRPr="00FF1559">
        <w:t xml:space="preserve"> the comments the</w:t>
      </w:r>
      <w:r>
        <w:t xml:space="preserve"> </w:t>
      </w:r>
      <w:r w:rsidRPr="00FF1559">
        <w:t>agencies received, the FFIEC and the</w:t>
      </w:r>
      <w:r>
        <w:t xml:space="preserve"> </w:t>
      </w:r>
      <w:r w:rsidRPr="00FF1559">
        <w:t xml:space="preserve">agencies </w:t>
      </w:r>
      <w:r>
        <w:t xml:space="preserve">are proceeding at this time only with </w:t>
      </w:r>
      <w:r w:rsidR="00B754A0">
        <w:t xml:space="preserve">(1) </w:t>
      </w:r>
      <w:r>
        <w:t xml:space="preserve">the proposed scope revision mentioned above and </w:t>
      </w:r>
      <w:r w:rsidR="00B754A0">
        <w:t xml:space="preserve">(2) </w:t>
      </w:r>
      <w:r>
        <w:t xml:space="preserve">the reporting changes proposed for large and highly complex institutions for deposit insurance assessment purposes to which certain modifications </w:t>
      </w:r>
      <w:proofErr w:type="gramStart"/>
      <w:r>
        <w:t>have been made</w:t>
      </w:r>
      <w:proofErr w:type="gramEnd"/>
      <w:r>
        <w:t xml:space="preserve"> in response to comments received.  These reporting changes will take effect June 30, 2013, as had been proposed.  However, large and highly complex institutions with foreign offices will be permitted to delay the reporting of foreign office data in certain existing items in Schedule RC-O, Other Data for Deposit Insurance and FICO </w:t>
      </w:r>
      <w:proofErr w:type="gramStart"/>
      <w:r>
        <w:t>Assessments, that</w:t>
      </w:r>
      <w:proofErr w:type="gramEnd"/>
      <w:r>
        <w:t xml:space="preserve"> currently capture only domestic office data until the September 30, 2013, report date.  The agencies also will continue collecting the existing Schedule RC-O items o</w:t>
      </w:r>
      <w:r w:rsidRPr="002F4BC8">
        <w:t>n the amount and number of noninterest-bearing transaction accounts of more than $250,000</w:t>
      </w:r>
      <w:r>
        <w:t xml:space="preserve"> from all institutions through December 31, 2013, after which these items </w:t>
      </w:r>
      <w:proofErr w:type="gramStart"/>
      <w:r>
        <w:t>will be eliminated</w:t>
      </w:r>
      <w:proofErr w:type="gramEnd"/>
      <w:r>
        <w:t>.</w:t>
      </w:r>
    </w:p>
    <w:p w:rsidR="00A16794" w:rsidRDefault="00A16794" w:rsidP="00F40221">
      <w:pPr>
        <w:ind w:firstLine="720"/>
      </w:pPr>
    </w:p>
    <w:p w:rsidR="00F40221" w:rsidRDefault="00A16794" w:rsidP="00F40221">
      <w:pPr>
        <w:ind w:firstLine="720"/>
      </w:pPr>
      <w:r>
        <w:t xml:space="preserve">Regarding </w:t>
      </w:r>
      <w:r w:rsidR="00F40221">
        <w:t>the other data items that had been proposed to be added to the Call Report effective June 30, 2013 (and one new item proposed to be collected annually beginning December 31, 2013), t</w:t>
      </w:r>
      <w:r w:rsidR="00F40221" w:rsidRPr="00E73E62">
        <w:t>he FFIEC and</w:t>
      </w:r>
      <w:r w:rsidR="00F40221">
        <w:t xml:space="preserve"> </w:t>
      </w:r>
      <w:r w:rsidR="00F40221" w:rsidRPr="00E73E62">
        <w:t>the agencies are continuing to evaluate</w:t>
      </w:r>
      <w:r w:rsidR="00F40221">
        <w:t xml:space="preserve"> </w:t>
      </w:r>
      <w:r w:rsidR="00F40221" w:rsidRPr="00E73E62">
        <w:t>the</w:t>
      </w:r>
      <w:r w:rsidR="00F40221">
        <w:t>se proposed new Call Report items in light of the comments received.  W</w:t>
      </w:r>
      <w:r w:rsidR="00F40221" w:rsidRPr="00C56D25">
        <w:t>hen the</w:t>
      </w:r>
      <w:r w:rsidR="00F40221">
        <w:t xml:space="preserve"> FFIEC and the </w:t>
      </w:r>
      <w:r w:rsidR="00F40221" w:rsidRPr="00C56D25">
        <w:t xml:space="preserve">agencies </w:t>
      </w:r>
      <w:r w:rsidR="00F40221">
        <w:t xml:space="preserve">have </w:t>
      </w:r>
      <w:r w:rsidR="00F40221" w:rsidRPr="00C56D25">
        <w:t>decide</w:t>
      </w:r>
      <w:r w:rsidR="00F40221">
        <w:t>d whether and how</w:t>
      </w:r>
      <w:r w:rsidR="00F40221" w:rsidRPr="00C56D25">
        <w:t xml:space="preserve"> to </w:t>
      </w:r>
      <w:proofErr w:type="gramStart"/>
      <w:r w:rsidR="00F40221" w:rsidRPr="00C56D25">
        <w:t>proceed</w:t>
      </w:r>
      <w:proofErr w:type="gramEnd"/>
      <w:r w:rsidR="00F40221" w:rsidRPr="00C56D25">
        <w:t xml:space="preserve"> with </w:t>
      </w:r>
      <w:r w:rsidR="00F40221">
        <w:t>these other proposed new data items</w:t>
      </w:r>
      <w:r w:rsidR="00F40221" w:rsidRPr="00C56D25">
        <w:t xml:space="preserve">, </w:t>
      </w:r>
      <w:r w:rsidR="00F40221">
        <w:t xml:space="preserve">a separate </w:t>
      </w:r>
      <w:r w:rsidR="00F40221" w:rsidRPr="00315DE6">
        <w:rPr>
          <w:bCs/>
          <w:i/>
        </w:rPr>
        <w:t>Federal Register</w:t>
      </w:r>
      <w:r w:rsidR="00F40221" w:rsidRPr="00C56D25">
        <w:rPr>
          <w:b/>
          <w:bCs/>
        </w:rPr>
        <w:t xml:space="preserve"> </w:t>
      </w:r>
      <w:r w:rsidR="00F40221" w:rsidRPr="00C56D25">
        <w:t>notice</w:t>
      </w:r>
      <w:r w:rsidR="00F40221">
        <w:t xml:space="preserve"> will</w:t>
      </w:r>
      <w:r w:rsidR="00F40221" w:rsidRPr="00C56D25">
        <w:t xml:space="preserve"> be published and</w:t>
      </w:r>
      <w:r w:rsidR="00F40221">
        <w:t xml:space="preserve">, if applicable, </w:t>
      </w:r>
      <w:r w:rsidR="00F40221" w:rsidRPr="00C56D25">
        <w:t xml:space="preserve">submissions </w:t>
      </w:r>
      <w:r w:rsidR="00F40221">
        <w:t xml:space="preserve">by the agencies will be made </w:t>
      </w:r>
      <w:r w:rsidR="00F40221" w:rsidRPr="00C56D25">
        <w:t>to OMB.</w:t>
      </w:r>
      <w:r w:rsidR="00F40221">
        <w:t xml:space="preserve">  Because of the additional time necessary for the FFIEC and </w:t>
      </w:r>
      <w:r w:rsidR="00F40221" w:rsidRPr="00F76FB0">
        <w:t>the agencies</w:t>
      </w:r>
      <w:r w:rsidR="00F40221">
        <w:t xml:space="preserve"> to determine the outcome of these additional proposed Call Report revisions and to allow sufficient </w:t>
      </w:r>
      <w:proofErr w:type="gramStart"/>
      <w:r w:rsidR="00F40221">
        <w:t>lead time</w:t>
      </w:r>
      <w:proofErr w:type="gramEnd"/>
      <w:r w:rsidR="00F40221">
        <w:t xml:space="preserve"> for affected institutions to prepare for any resulting new reporting requirements, implementation of the additional revisions will not take effect before the </w:t>
      </w:r>
      <w:r w:rsidR="00B754A0">
        <w:t>December 31, 2013,</w:t>
      </w:r>
      <w:r w:rsidR="00F40221">
        <w:t xml:space="preserve"> report date</w:t>
      </w:r>
      <w:r w:rsidR="00F40221" w:rsidRPr="00F76FB0">
        <w:t>.</w:t>
      </w:r>
    </w:p>
    <w:p w:rsidR="00F40221" w:rsidRDefault="00F40221" w:rsidP="00F40221">
      <w:pPr>
        <w:ind w:firstLine="720"/>
      </w:pPr>
    </w:p>
    <w:p w:rsidR="00F40221" w:rsidRDefault="00F40221" w:rsidP="00F40221">
      <w:pPr>
        <w:ind w:firstLine="720"/>
      </w:pPr>
      <w:proofErr w:type="gramStart"/>
      <w:r w:rsidRPr="00924B3B">
        <w:rPr>
          <w:u w:val="single"/>
        </w:rPr>
        <w:t>Proposed Reporting Changes for Large and Highly Complex Institutions</w:t>
      </w:r>
      <w:r>
        <w:t xml:space="preserve"> – The agencies’ February 2013 </w:t>
      </w:r>
      <w:r w:rsidRPr="00315DE6">
        <w:rPr>
          <w:i/>
        </w:rPr>
        <w:t>Federal Register</w:t>
      </w:r>
      <w:r>
        <w:t xml:space="preserve"> notice explained that the FDIC Board of Directors had approved a final rule in October 2012 that amended certain aspects of the </w:t>
      </w:r>
      <w:r w:rsidRPr="0063439B">
        <w:t xml:space="preserve">methodology </w:t>
      </w:r>
      <w:r>
        <w:t xml:space="preserve">set forth in the FDIC’s assessment regulations (12 CFR Part 327) </w:t>
      </w:r>
      <w:r w:rsidRPr="0063439B">
        <w:t>for determining</w:t>
      </w:r>
      <w:r>
        <w:t xml:space="preserve"> the deposit insurance </w:t>
      </w:r>
      <w:r w:rsidRPr="0063439B">
        <w:t>assessment rates for large and highly complex institutions</w:t>
      </w:r>
      <w:r>
        <w:t>.</w:t>
      </w:r>
      <w:r>
        <w:rPr>
          <w:rStyle w:val="FootnoteReference"/>
        </w:rPr>
        <w:footnoteReference w:id="2"/>
      </w:r>
      <w:proofErr w:type="gramEnd"/>
      <w:r>
        <w:t xml:space="preserve">  This “large bank pricing rule,” originally adopted by the FDIC Board in February 2011,</w:t>
      </w:r>
      <w:r>
        <w:rPr>
          <w:rStyle w:val="FootnoteReference"/>
        </w:rPr>
        <w:footnoteReference w:id="3"/>
      </w:r>
      <w:r>
        <w:t xml:space="preserve"> </w:t>
      </w:r>
      <w:r w:rsidRPr="00AB1A21">
        <w:t>uses a scorecard method to determine a large or highly complex institution’s</w:t>
      </w:r>
      <w:r>
        <w:t xml:space="preserve"> assessmen</w:t>
      </w:r>
      <w:r w:rsidRPr="00AB1A21">
        <w:t xml:space="preserve">t rate. </w:t>
      </w:r>
      <w:r>
        <w:t xml:space="preserve"> </w:t>
      </w:r>
      <w:r w:rsidRPr="00AB1A21">
        <w:t>One of the financial ratios used in the scorecard is the ratio of higher</w:t>
      </w:r>
      <w:r>
        <w:t>-</w:t>
      </w:r>
      <w:r w:rsidRPr="00AB1A21">
        <w:t>risk</w:t>
      </w:r>
      <w:r>
        <w:t xml:space="preserve"> </w:t>
      </w:r>
      <w:r w:rsidRPr="00AB1A21">
        <w:t xml:space="preserve">assets to Tier </w:t>
      </w:r>
      <w:proofErr w:type="gramStart"/>
      <w:r w:rsidRPr="00AB1A21">
        <w:t>1</w:t>
      </w:r>
      <w:proofErr w:type="gramEnd"/>
      <w:r w:rsidRPr="00AB1A21">
        <w:t xml:space="preserve"> capital and reserves.</w:t>
      </w:r>
      <w:r>
        <w:t xml:space="preserve">  </w:t>
      </w:r>
      <w:proofErr w:type="gramStart"/>
      <w:r w:rsidRPr="00AB1A21">
        <w:t xml:space="preserve">The </w:t>
      </w:r>
      <w:r>
        <w:t xml:space="preserve">FDIC’s October 2012 assessments </w:t>
      </w:r>
      <w:r w:rsidRPr="00AB1A21">
        <w:t>final rule</w:t>
      </w:r>
      <w:r>
        <w:t xml:space="preserve">, which took effect April 1, 2013, </w:t>
      </w:r>
      <w:r w:rsidRPr="00AB1A21">
        <w:t>(1) revises the definitions of certain higher-risk assets</w:t>
      </w:r>
      <w:r>
        <w:t xml:space="preserve"> in the February 2011 assessments rule</w:t>
      </w:r>
      <w:r w:rsidRPr="00AB1A21">
        <w:t>, specifically</w:t>
      </w:r>
      <w:r>
        <w:t xml:space="preserve"> </w:t>
      </w:r>
      <w:r w:rsidRPr="00AB1A21">
        <w:t xml:space="preserve">leveraged loans, which are renamed </w:t>
      </w:r>
      <w:r>
        <w:t>“</w:t>
      </w:r>
      <w:r w:rsidRPr="00AB1A21">
        <w:t xml:space="preserve">higher-risk </w:t>
      </w:r>
      <w:r>
        <w:t>commercial and industrial (</w:t>
      </w:r>
      <w:r w:rsidRPr="00AB1A21">
        <w:t>C&amp;I</w:t>
      </w:r>
      <w:r>
        <w:t>)</w:t>
      </w:r>
      <w:r w:rsidRPr="00AB1A21">
        <w:t xml:space="preserve"> loans and securities,</w:t>
      </w:r>
      <w:r>
        <w:t>”</w:t>
      </w:r>
      <w:r w:rsidRPr="00AB1A21">
        <w:t xml:space="preserve"> and subprime</w:t>
      </w:r>
      <w:r>
        <w:t xml:space="preserve"> </w:t>
      </w:r>
      <w:r w:rsidRPr="00AB1A21">
        <w:t xml:space="preserve">consumer loans, which are renamed </w:t>
      </w:r>
      <w:r>
        <w:t>“</w:t>
      </w:r>
      <w:r w:rsidRPr="00AB1A21">
        <w:t>higher-risk consumer loans</w:t>
      </w:r>
      <w:r>
        <w:t>”</w:t>
      </w:r>
      <w:r w:rsidRPr="00AB1A21">
        <w:t>; (2) clarifies when an</w:t>
      </w:r>
      <w:r>
        <w:t xml:space="preserve"> </w:t>
      </w:r>
      <w:r w:rsidRPr="00AB1A21">
        <w:t>asset must be classified as higher risk; (3)</w:t>
      </w:r>
      <w:r>
        <w:t> </w:t>
      </w:r>
      <w:r w:rsidRPr="00AB1A21">
        <w:t>clarifies the way securitizations are identified</w:t>
      </w:r>
      <w:r>
        <w:t xml:space="preserve"> </w:t>
      </w:r>
      <w:r w:rsidRPr="00AB1A21">
        <w:t>as higher risk; and (4) further defines terms that are used in the large bank pricing rule.</w:t>
      </w:r>
      <w:proofErr w:type="gramEnd"/>
    </w:p>
    <w:p w:rsidR="00A16794" w:rsidRDefault="00A16794" w:rsidP="00F40221">
      <w:pPr>
        <w:ind w:firstLine="720"/>
      </w:pPr>
    </w:p>
    <w:p w:rsidR="00F40221" w:rsidRDefault="00F40221" w:rsidP="00F40221">
      <w:pPr>
        <w:ind w:firstLine="720"/>
      </w:pPr>
      <w:proofErr w:type="gramStart"/>
      <w:r>
        <w:t xml:space="preserve">The agencies’ February 2013 </w:t>
      </w:r>
      <w:r w:rsidRPr="005F40AF">
        <w:rPr>
          <w:i/>
        </w:rPr>
        <w:t>Federal Register</w:t>
      </w:r>
      <w:r>
        <w:t xml:space="preserve"> notice also explained that, i</w:t>
      </w:r>
      <w:r w:rsidRPr="002D03EE">
        <w:t>n re</w:t>
      </w:r>
      <w:r>
        <w:t>sponse to</w:t>
      </w:r>
      <w:r w:rsidRPr="002D03EE">
        <w:t xml:space="preserve"> large and highly complex institutions</w:t>
      </w:r>
      <w:r>
        <w:t>’ concerns</w:t>
      </w:r>
      <w:r w:rsidRPr="002D03EE">
        <w:t xml:space="preserve"> about their ability to identify loans meeting the subprime and leveraged loan definitions in the FDIC’s February 2011 assessments rule, the agencies provided transition guidance for reporting subprime consumer and leveraged </w:t>
      </w:r>
      <w:r w:rsidRPr="002D03EE">
        <w:rPr>
          <w:color w:val="000000"/>
        </w:rPr>
        <w:t xml:space="preserve">loans and securities </w:t>
      </w:r>
      <w:r>
        <w:rPr>
          <w:color w:val="000000"/>
        </w:rPr>
        <w:t xml:space="preserve">that took effect with the initial reporting of these data </w:t>
      </w:r>
      <w:r w:rsidRPr="002D03EE">
        <w:rPr>
          <w:color w:val="000000"/>
        </w:rPr>
        <w:t>in Schedule RC</w:t>
      </w:r>
      <w:r w:rsidRPr="002D03EE">
        <w:rPr>
          <w:color w:val="000000"/>
        </w:rPr>
        <w:noBreakHyphen/>
        <w:t>O</w:t>
      </w:r>
      <w:r>
        <w:rPr>
          <w:color w:val="000000"/>
        </w:rPr>
        <w:t>, Other Data for Deposit Insurance and FICO Assessments,</w:t>
      </w:r>
      <w:r w:rsidRPr="002D03EE">
        <w:rPr>
          <w:color w:val="000000"/>
        </w:rPr>
        <w:t xml:space="preserve"> </w:t>
      </w:r>
      <w:r>
        <w:rPr>
          <w:color w:val="000000"/>
        </w:rPr>
        <w:t xml:space="preserve">as of </w:t>
      </w:r>
      <w:r w:rsidRPr="002D03EE">
        <w:rPr>
          <w:color w:val="000000"/>
        </w:rPr>
        <w:t xml:space="preserve">June </w:t>
      </w:r>
      <w:r>
        <w:rPr>
          <w:color w:val="000000"/>
        </w:rPr>
        <w:t xml:space="preserve">30, </w:t>
      </w:r>
      <w:r w:rsidRPr="002D03EE">
        <w:rPr>
          <w:color w:val="000000"/>
        </w:rPr>
        <w:t>2011.</w:t>
      </w:r>
      <w:proofErr w:type="gramEnd"/>
      <w:r w:rsidRPr="002D03EE">
        <w:rPr>
          <w:color w:val="000000"/>
        </w:rPr>
        <w:t xml:space="preserve">  The transition </w:t>
      </w:r>
      <w:r>
        <w:rPr>
          <w:color w:val="000000"/>
        </w:rPr>
        <w:t>period</w:t>
      </w:r>
      <w:r w:rsidRPr="002D03EE">
        <w:rPr>
          <w:color w:val="000000"/>
        </w:rPr>
        <w:t xml:space="preserve"> for identifying and reporting subprime and leveraged loans </w:t>
      </w:r>
      <w:proofErr w:type="gramStart"/>
      <w:r w:rsidRPr="002D03EE">
        <w:rPr>
          <w:color w:val="000000"/>
        </w:rPr>
        <w:t>has been extended</w:t>
      </w:r>
      <w:proofErr w:type="gramEnd"/>
      <w:r>
        <w:rPr>
          <w:color w:val="000000"/>
        </w:rPr>
        <w:t xml:space="preserve"> over time t</w:t>
      </w:r>
      <w:r w:rsidRPr="002D03EE">
        <w:rPr>
          <w:color w:val="000000"/>
        </w:rPr>
        <w:t>o April 1, 2013.</w:t>
      </w:r>
      <w:r>
        <w:rPr>
          <w:color w:val="000000"/>
        </w:rPr>
        <w:t xml:space="preserve">  </w:t>
      </w:r>
      <w:proofErr w:type="gramStart"/>
      <w:r>
        <w:rPr>
          <w:color w:val="000000"/>
        </w:rPr>
        <w:t xml:space="preserve">Because the FDIC’s October 2012 assessments final rule </w:t>
      </w:r>
      <w:r>
        <w:t xml:space="preserve">amended the definitions of subprime and leveraged loans and securities and renamed these higher-risk asset categories, the agencies stated in their February 2013 </w:t>
      </w:r>
      <w:r w:rsidRPr="005F40AF">
        <w:rPr>
          <w:i/>
        </w:rPr>
        <w:t>Federal Register</w:t>
      </w:r>
      <w:r>
        <w:t xml:space="preserve"> notice that they would make corresponding changes to Memorandum items 8 and 9 of Schedule RC-O, </w:t>
      </w:r>
      <w:proofErr w:type="spellStart"/>
      <w:r>
        <w:t>recaptioning</w:t>
      </w:r>
      <w:proofErr w:type="spellEnd"/>
      <w:r>
        <w:t xml:space="preserve"> these items to read “‘H</w:t>
      </w:r>
      <w:r w:rsidRPr="00AB1A21">
        <w:t xml:space="preserve">igher-risk </w:t>
      </w:r>
      <w:r>
        <w:t xml:space="preserve">consumer loans’ as defined for assessment purposes only in FDIC regulations” and “‘Higher-risk commercial and industrial </w:t>
      </w:r>
      <w:r w:rsidRPr="00AB1A21">
        <w:t>loans and securities</w:t>
      </w:r>
      <w:r>
        <w:t>’ as defined for assessment purposes only in FDIC regulations,” respectively.</w:t>
      </w:r>
      <w:proofErr w:type="gramEnd"/>
      <w:r>
        <w:t xml:space="preserve">  The agencies also stated that the instructions for these two Schedule RC-O Memorandum items </w:t>
      </w:r>
      <w:proofErr w:type="gramStart"/>
      <w:r>
        <w:t>would be revised</w:t>
      </w:r>
      <w:proofErr w:type="gramEnd"/>
      <w:r>
        <w:t xml:space="preserve"> to incorporate the revised definitions of these higher-risk asset categories in the FDIC’s October 2012 </w:t>
      </w:r>
      <w:r>
        <w:lastRenderedPageBreak/>
        <w:t>assessments final rule, including the clarified definitions of higher-risk securitizations.</w:t>
      </w:r>
      <w:r>
        <w:rPr>
          <w:rStyle w:val="FootnoteReference"/>
        </w:rPr>
        <w:footnoteReference w:id="4"/>
      </w:r>
      <w:r>
        <w:t xml:space="preserve">  The effective date for these revisions </w:t>
      </w:r>
      <w:proofErr w:type="gramStart"/>
      <w:r>
        <w:t>was scheduled</w:t>
      </w:r>
      <w:proofErr w:type="gramEnd"/>
      <w:r>
        <w:t xml:space="preserve"> for June 30, 2013, the first report date after the April 1, 2013, effective date of the FDIC’s October 2012 assessments final rule.</w:t>
      </w:r>
      <w:r>
        <w:rPr>
          <w:rStyle w:val="FootnoteReference"/>
        </w:rPr>
        <w:footnoteReference w:id="5"/>
      </w:r>
    </w:p>
    <w:p w:rsidR="00315DE6" w:rsidRDefault="00315DE6" w:rsidP="00F40221">
      <w:pPr>
        <w:ind w:firstLine="720"/>
      </w:pPr>
    </w:p>
    <w:p w:rsidR="00F40221" w:rsidRDefault="00F40221" w:rsidP="00F40221">
      <w:pPr>
        <w:ind w:firstLine="720"/>
      </w:pPr>
      <w:r>
        <w:t xml:space="preserve">In addition, as previously mentioned, the FFIEC and the agencies proposed in their February 2013 </w:t>
      </w:r>
      <w:r w:rsidRPr="00315DE6">
        <w:rPr>
          <w:i/>
        </w:rPr>
        <w:t>Federal Register</w:t>
      </w:r>
      <w:r>
        <w:t xml:space="preserve"> notice to implement several revisions to the data to be reported in Schedule RC-O</w:t>
      </w:r>
      <w:r w:rsidRPr="00FB343D">
        <w:t xml:space="preserve"> </w:t>
      </w:r>
      <w:r>
        <w:t>by</w:t>
      </w:r>
      <w:r w:rsidRPr="00FB343D">
        <w:t xml:space="preserve"> </w:t>
      </w:r>
      <w:r>
        <w:t xml:space="preserve">large institutions and highly complex institutions </w:t>
      </w:r>
      <w:r w:rsidRPr="002E5496">
        <w:t xml:space="preserve">to support the FDIC’s large bank </w:t>
      </w:r>
      <w:r w:rsidRPr="00BE20E1">
        <w:t xml:space="preserve">pricing </w:t>
      </w:r>
      <w:r>
        <w:t xml:space="preserve">method for insurance assessments.  </w:t>
      </w:r>
      <w:proofErr w:type="gramStart"/>
      <w:r>
        <w:t xml:space="preserve">These revisions, which were proposed to take effect June 30, 2013, included a new table of consumer loans by loan type and probability of default band, new data items providing information on loans secured by real estate in foreign offices, </w:t>
      </w:r>
      <w:r w:rsidRPr="00A728F5">
        <w:t xml:space="preserve">revisions of certain existing </w:t>
      </w:r>
      <w:r>
        <w:t xml:space="preserve">data </w:t>
      </w:r>
      <w:r w:rsidRPr="00A728F5">
        <w:t>items on real estate loan</w:t>
      </w:r>
      <w:r>
        <w:t xml:space="preserve"> commitments and U.S. government-guaranteed real estate loans </w:t>
      </w:r>
      <w:r w:rsidRPr="00A728F5">
        <w:t>to include those in foreign offices</w:t>
      </w:r>
      <w:r>
        <w:t>,</w:t>
      </w:r>
      <w:r w:rsidRPr="00A728F5">
        <w:t xml:space="preserve"> and </w:t>
      </w:r>
      <w:r>
        <w:t xml:space="preserve">revisions to the information collected </w:t>
      </w:r>
      <w:r w:rsidRPr="00A728F5">
        <w:t xml:space="preserve">on government-guaranteed </w:t>
      </w:r>
      <w:r>
        <w:t>assets</w:t>
      </w:r>
      <w:r w:rsidRPr="00A728F5">
        <w:t xml:space="preserve"> to include </w:t>
      </w:r>
      <w:r>
        <w:t>the portion of non-agency residential mortgage-backed securities and loans covered under</w:t>
      </w:r>
      <w:r w:rsidRPr="00A728F5">
        <w:t xml:space="preserve"> FDIC loss-sharing</w:t>
      </w:r>
      <w:r>
        <w:t xml:space="preserve"> agreements</w:t>
      </w:r>
      <w:r w:rsidRPr="00A728F5">
        <w:t>.</w:t>
      </w:r>
      <w:proofErr w:type="gramEnd"/>
    </w:p>
    <w:p w:rsidR="00A16794" w:rsidRPr="00BE20E1" w:rsidRDefault="00A16794" w:rsidP="00F40221">
      <w:pPr>
        <w:ind w:firstLine="720"/>
      </w:pPr>
    </w:p>
    <w:p w:rsidR="00F40221" w:rsidRDefault="00F40221" w:rsidP="00A16794">
      <w:pPr>
        <w:ind w:firstLine="720"/>
      </w:pPr>
      <w:r>
        <w:t>In a joint letter, three bankers’ associations</w:t>
      </w:r>
      <w:r>
        <w:rPr>
          <w:rStyle w:val="FootnoteReference"/>
        </w:rPr>
        <w:footnoteReference w:id="6"/>
      </w:r>
      <w:r>
        <w:t xml:space="preserve"> commented on several aspects of the Schedule RC-O reporting changes applicable to large and highly complex institutions.  First, these associations</w:t>
      </w:r>
      <w:r w:rsidRPr="00C23053">
        <w:t xml:space="preserve"> recommend</w:t>
      </w:r>
      <w:r>
        <w:t xml:space="preserve">ed that the </w:t>
      </w:r>
      <w:r w:rsidRPr="00C23053">
        <w:t xml:space="preserve">definition of </w:t>
      </w:r>
      <w:r>
        <w:t>“H</w:t>
      </w:r>
      <w:r w:rsidRPr="00C23053">
        <w:t xml:space="preserve">igher-risk </w:t>
      </w:r>
      <w:r>
        <w:t>commercial and industrial lo</w:t>
      </w:r>
      <w:r w:rsidRPr="00C23053">
        <w:t>ans and securities</w:t>
      </w:r>
      <w:r>
        <w:t xml:space="preserve">” in the draft of the revised Call Report instructions for </w:t>
      </w:r>
      <w:r w:rsidRPr="00B54915">
        <w:t xml:space="preserve">Schedule RC-O, Memorandum item 9, be clarified to exclude loans to individuals for commercial, industrial, and professional purposes.  Adding this exclusion to the draft revised Memorandum item 9 instructions would be consistent with the existing instructions for reporting leveraged loans and securities in Memorandum item </w:t>
      </w:r>
      <w:proofErr w:type="gramStart"/>
      <w:r w:rsidRPr="00B54915">
        <w:t>9</w:t>
      </w:r>
      <w:proofErr w:type="gramEnd"/>
      <w:r w:rsidRPr="00B54915">
        <w:t>.  The agencies agree with the associations’ recommendation and will clarify the draft revised Memorandum item 9 instructions to exclude loans to individuals for commercial, industrial, and professional purposes from the reporting of “higher-risk C&amp;I loans and securities.”</w:t>
      </w:r>
    </w:p>
    <w:p w:rsidR="00A16794" w:rsidRPr="00B54915" w:rsidRDefault="00A16794" w:rsidP="00A16794">
      <w:pPr>
        <w:ind w:firstLine="720"/>
      </w:pPr>
    </w:p>
    <w:p w:rsidR="00F40221" w:rsidRDefault="00F40221" w:rsidP="00F40221">
      <w:pPr>
        <w:ind w:firstLine="720"/>
      </w:pPr>
      <w:proofErr w:type="gramStart"/>
      <w:r w:rsidRPr="00B54915">
        <w:t>Second, the three bankers’ associations jointly recommended that the proposed</w:t>
      </w:r>
      <w:r w:rsidRPr="00C26330">
        <w:t xml:space="preserve"> two-year probability of default table in Schedule RC-O</w:t>
      </w:r>
      <w:r>
        <w:t>,</w:t>
      </w:r>
      <w:r w:rsidRPr="00C26330">
        <w:t xml:space="preserve"> Memorandum item 19</w:t>
      </w:r>
      <w:r>
        <w:t>,</w:t>
      </w:r>
      <w:r w:rsidRPr="00C26330">
        <w:t xml:space="preserve"> co</w:t>
      </w:r>
      <w:r>
        <w:t>mbine</w:t>
      </w:r>
      <w:r w:rsidRPr="00C26330">
        <w:t xml:space="preserve"> </w:t>
      </w:r>
      <w:r>
        <w:t xml:space="preserve">Memorandum </w:t>
      </w:r>
      <w:r w:rsidRPr="00C26330">
        <w:t>items 19.d and 19.e</w:t>
      </w:r>
      <w:r>
        <w:t xml:space="preserve"> for </w:t>
      </w:r>
      <w:r w:rsidRPr="00C26330">
        <w:t>revolving</w:t>
      </w:r>
      <w:r>
        <w:t>,</w:t>
      </w:r>
      <w:r w:rsidRPr="00C26330">
        <w:t xml:space="preserve"> open-end loans secured by first and junior liens</w:t>
      </w:r>
      <w:r>
        <w:t>, respectively,</w:t>
      </w:r>
      <w:r w:rsidRPr="00C26330">
        <w:t xml:space="preserve"> on 1-4 family residential properties and extended under lines of credit into </w:t>
      </w:r>
      <w:r>
        <w:t>a single i</w:t>
      </w:r>
      <w:r w:rsidRPr="00C26330">
        <w:t xml:space="preserve">tem, rather than requiring </w:t>
      </w:r>
      <w:r>
        <w:t>large and highly complex institutions</w:t>
      </w:r>
      <w:r w:rsidRPr="00C26330">
        <w:t xml:space="preserve"> to report these </w:t>
      </w:r>
      <w:r>
        <w:t>categories of loans</w:t>
      </w:r>
      <w:r w:rsidRPr="00C26330">
        <w:t xml:space="preserve"> separately.</w:t>
      </w:r>
      <w:proofErr w:type="gramEnd"/>
      <w:r w:rsidRPr="00C26330">
        <w:t xml:space="preserve">  The </w:t>
      </w:r>
      <w:r>
        <w:t xml:space="preserve">associations </w:t>
      </w:r>
      <w:r w:rsidRPr="00C26330">
        <w:t>state</w:t>
      </w:r>
      <w:r>
        <w:t>d that because Schedule </w:t>
      </w:r>
      <w:r w:rsidRPr="00C26330">
        <w:t>RC-C</w:t>
      </w:r>
      <w:r>
        <w:t xml:space="preserve">, part I, Loans and Leases, </w:t>
      </w:r>
      <w:r w:rsidRPr="00C26330">
        <w:t xml:space="preserve">does not currently require </w:t>
      </w:r>
      <w:r>
        <w:t>institutions</w:t>
      </w:r>
      <w:r w:rsidRPr="00C26330">
        <w:t xml:space="preserve"> to separate</w:t>
      </w:r>
      <w:r>
        <w:t>ly report first and junior lien revolving credits, institutions</w:t>
      </w:r>
      <w:r w:rsidRPr="00C26330">
        <w:t xml:space="preserve">’ reporting systems </w:t>
      </w:r>
      <w:proofErr w:type="gramStart"/>
      <w:r w:rsidRPr="00C26330">
        <w:t xml:space="preserve">are not </w:t>
      </w:r>
      <w:r>
        <w:t>currently designed</w:t>
      </w:r>
      <w:proofErr w:type="gramEnd"/>
      <w:r>
        <w:t xml:space="preserve"> to separately identify these credits</w:t>
      </w:r>
      <w:r w:rsidRPr="00C26330">
        <w:t>.</w:t>
      </w:r>
      <w:r>
        <w:t xml:space="preserve">  </w:t>
      </w:r>
      <w:proofErr w:type="gramStart"/>
      <w:r>
        <w:t>As a consequence</w:t>
      </w:r>
      <w:proofErr w:type="gramEnd"/>
      <w:r>
        <w:t>, the</w:t>
      </w:r>
      <w:r w:rsidRPr="00C26330">
        <w:t xml:space="preserve"> </w:t>
      </w:r>
      <w:r>
        <w:t xml:space="preserve">associations questioned the merits of imposing such a systems change on institutions </w:t>
      </w:r>
      <w:r w:rsidRPr="00C26330">
        <w:t xml:space="preserve">given the </w:t>
      </w:r>
      <w:r>
        <w:t xml:space="preserve">cost and burden that would be </w:t>
      </w:r>
      <w:r w:rsidRPr="00C26330">
        <w:t>involved.</w:t>
      </w:r>
      <w:r>
        <w:t xml:space="preserve">  T</w:t>
      </w:r>
      <w:r w:rsidRPr="00C26330">
        <w:t xml:space="preserve">he </w:t>
      </w:r>
      <w:r>
        <w:t xml:space="preserve">agencies </w:t>
      </w:r>
      <w:r w:rsidRPr="00C26330">
        <w:t xml:space="preserve">agrees with the </w:t>
      </w:r>
      <w:r>
        <w:t xml:space="preserve">associations’ </w:t>
      </w:r>
      <w:r w:rsidRPr="00C26330">
        <w:t>recommendation and will co</w:t>
      </w:r>
      <w:r>
        <w:t xml:space="preserve">mbine the proposed Memorandum items 19.d and 19.e </w:t>
      </w:r>
      <w:r>
        <w:lastRenderedPageBreak/>
        <w:t xml:space="preserve">of Schedule RC-O so that large and highly complex institutions will report </w:t>
      </w:r>
      <w:r w:rsidRPr="00C26330">
        <w:t xml:space="preserve">the two-year probability of default </w:t>
      </w:r>
      <w:r>
        <w:t xml:space="preserve">for </w:t>
      </w:r>
      <w:r w:rsidRPr="00C26330">
        <w:t>all revolving</w:t>
      </w:r>
      <w:r>
        <w:t>,</w:t>
      </w:r>
      <w:r w:rsidRPr="00C26330">
        <w:t xml:space="preserve"> open-end loans secured by 1-4 family residential properties and extended under lines of credit</w:t>
      </w:r>
      <w:r>
        <w:t xml:space="preserve"> without regard to their lien position</w:t>
      </w:r>
      <w:r w:rsidRPr="00C26330">
        <w:t>.</w:t>
      </w:r>
      <w:r>
        <w:rPr>
          <w:rStyle w:val="FootnoteReference"/>
        </w:rPr>
        <w:footnoteReference w:id="7"/>
      </w:r>
    </w:p>
    <w:p w:rsidR="00A16794" w:rsidRPr="00C26330" w:rsidRDefault="00A16794" w:rsidP="00F40221">
      <w:pPr>
        <w:ind w:firstLine="720"/>
      </w:pPr>
    </w:p>
    <w:p w:rsidR="00F40221" w:rsidRDefault="00F40221" w:rsidP="00F40221">
      <w:pPr>
        <w:ind w:firstLine="720"/>
      </w:pPr>
      <w:r>
        <w:t xml:space="preserve">Third, the three associations’ </w:t>
      </w:r>
      <w:r w:rsidRPr="00C96CF4">
        <w:t>comment letter state</w:t>
      </w:r>
      <w:r>
        <w:t>d</w:t>
      </w:r>
      <w:r w:rsidRPr="00C96CF4">
        <w:t xml:space="preserve"> that</w:t>
      </w:r>
      <w:r>
        <w:t>, based on the provisions of the FDIC’s October 2012 assessments final rule,</w:t>
      </w:r>
      <w:r w:rsidRPr="00C96CF4">
        <w:t xml:space="preserve"> </w:t>
      </w:r>
      <w:r>
        <w:t>large and highly complex</w:t>
      </w:r>
      <w:r w:rsidRPr="00C96CF4">
        <w:t xml:space="preserve"> institutions expected </w:t>
      </w:r>
      <w:r>
        <w:t xml:space="preserve">that Schedule RC-O </w:t>
      </w:r>
      <w:proofErr w:type="gramStart"/>
      <w:r>
        <w:t>would be revised</w:t>
      </w:r>
      <w:proofErr w:type="gramEnd"/>
      <w:r>
        <w:t xml:space="preserve"> </w:t>
      </w:r>
      <w:r w:rsidRPr="00C96CF4">
        <w:t>to require</w:t>
      </w:r>
      <w:r>
        <w:t xml:space="preserve"> them</w:t>
      </w:r>
      <w:r w:rsidRPr="00C96CF4">
        <w:t xml:space="preserve"> to report higher-risk securitizations separately from nontraditional </w:t>
      </w:r>
      <w:r>
        <w:t xml:space="preserve">1-4 family residential </w:t>
      </w:r>
      <w:r w:rsidRPr="00C96CF4">
        <w:t>mortgage loan</w:t>
      </w:r>
      <w:r>
        <w:t>s</w:t>
      </w:r>
      <w:r w:rsidRPr="00C96CF4">
        <w:t xml:space="preserve">, </w:t>
      </w:r>
      <w:r>
        <w:t xml:space="preserve">higher-risk consumer loans, and </w:t>
      </w:r>
      <w:r w:rsidRPr="00C96CF4">
        <w:t>higher-risk C&amp;I loans</w:t>
      </w:r>
      <w:r>
        <w:t>.  The associations indicated that large and highly complex institutions</w:t>
      </w:r>
      <w:r w:rsidRPr="00C96CF4">
        <w:t xml:space="preserve"> would prefer to report these </w:t>
      </w:r>
      <w:r>
        <w:t xml:space="preserve">higher-risk </w:t>
      </w:r>
      <w:r w:rsidRPr="00C96CF4">
        <w:t xml:space="preserve">securitizations </w:t>
      </w:r>
      <w:r>
        <w:t xml:space="preserve">in a Schedule RC-O item that would be </w:t>
      </w:r>
      <w:r w:rsidRPr="00C96CF4">
        <w:t>separate</w:t>
      </w:r>
      <w:r>
        <w:t xml:space="preserve"> from the items for the three higher-risk loan categories</w:t>
      </w:r>
      <w:r w:rsidRPr="00C96CF4">
        <w:t xml:space="preserve">.  The </w:t>
      </w:r>
      <w:r>
        <w:t xml:space="preserve">associations further believe </w:t>
      </w:r>
      <w:r w:rsidRPr="00C96CF4">
        <w:t xml:space="preserve">that </w:t>
      </w:r>
      <w:r>
        <w:t xml:space="preserve">the separate </w:t>
      </w:r>
      <w:r w:rsidRPr="00C96CF4">
        <w:t xml:space="preserve">reporting </w:t>
      </w:r>
      <w:r>
        <w:t xml:space="preserve">of </w:t>
      </w:r>
      <w:r w:rsidRPr="00C96CF4">
        <w:t xml:space="preserve">higher-risk securitizations separately would allow the FDIC and the other </w:t>
      </w:r>
      <w:r>
        <w:t>banking</w:t>
      </w:r>
      <w:r w:rsidRPr="00C96CF4">
        <w:t xml:space="preserve"> agencies to examine the validity of the </w:t>
      </w:r>
      <w:r>
        <w:t xml:space="preserve">associations’ </w:t>
      </w:r>
      <w:r w:rsidRPr="00C96CF4">
        <w:t xml:space="preserve">previous argument that the structure of a securitization </w:t>
      </w:r>
      <w:proofErr w:type="gramStart"/>
      <w:r w:rsidRPr="00C96CF4">
        <w:t>should be considered</w:t>
      </w:r>
      <w:proofErr w:type="gramEnd"/>
      <w:r w:rsidRPr="00C96CF4">
        <w:t xml:space="preserve"> when determining whether </w:t>
      </w:r>
      <w:r>
        <w:t>a</w:t>
      </w:r>
      <w:r w:rsidRPr="00C96CF4">
        <w:t xml:space="preserve"> securitization is truly higher-risk.</w:t>
      </w:r>
      <w:r>
        <w:t xml:space="preserve">  </w:t>
      </w:r>
      <w:proofErr w:type="gramStart"/>
      <w:r w:rsidRPr="00C96CF4">
        <w:t xml:space="preserve">The </w:t>
      </w:r>
      <w:r>
        <w:t xml:space="preserve">agencies have decided revise the proposed reporting of higher-risk assets in Schedule RC-O in the manner recommended by the associations and will add a new Memorandum item to the schedule in which large and highly complex institutions would </w:t>
      </w:r>
      <w:r w:rsidRPr="00C96CF4">
        <w:t xml:space="preserve">report </w:t>
      </w:r>
      <w:r>
        <w:t xml:space="preserve">the total amount of </w:t>
      </w:r>
      <w:r w:rsidRPr="00C96CF4">
        <w:t xml:space="preserve">securitizations of nontraditional </w:t>
      </w:r>
      <w:r>
        <w:t xml:space="preserve">1-4 family residential </w:t>
      </w:r>
      <w:r w:rsidRPr="00C96CF4">
        <w:t xml:space="preserve">mortgage loans, </w:t>
      </w:r>
      <w:r>
        <w:t xml:space="preserve">higher-risk consumer loans, and </w:t>
      </w:r>
      <w:r w:rsidRPr="00C96CF4">
        <w:t>higher-risk C&amp;I loans</w:t>
      </w:r>
      <w:r>
        <w:t xml:space="preserve"> </w:t>
      </w:r>
      <w:r w:rsidRPr="00C96CF4">
        <w:t xml:space="preserve">separately </w:t>
      </w:r>
      <w:r>
        <w:t>from the three categories of higher-risk loans themselves</w:t>
      </w:r>
      <w:r w:rsidRPr="00C96CF4">
        <w:t>.</w:t>
      </w:r>
      <w:proofErr w:type="gramEnd"/>
      <w:r w:rsidRPr="00C96CF4">
        <w:t xml:space="preserve">  </w:t>
      </w:r>
      <w:r>
        <w:t xml:space="preserve">Separate reporting of higher-risk securitizations </w:t>
      </w:r>
      <w:r w:rsidRPr="00C96CF4">
        <w:t>would allow the FDIC to better track and analyze the composition of a bank’s higher-risk assets.</w:t>
      </w:r>
    </w:p>
    <w:p w:rsidR="00A16794" w:rsidRPr="00C96CF4" w:rsidRDefault="00A16794" w:rsidP="00F40221">
      <w:pPr>
        <w:ind w:firstLine="720"/>
      </w:pPr>
    </w:p>
    <w:p w:rsidR="00F40221" w:rsidRDefault="00F40221" w:rsidP="00F40221">
      <w:pPr>
        <w:ind w:firstLine="720"/>
      </w:pPr>
      <w:r>
        <w:t xml:space="preserve">  Next, t</w:t>
      </w:r>
      <w:r w:rsidRPr="00CD3D5F">
        <w:t xml:space="preserve">he </w:t>
      </w:r>
      <w:r>
        <w:t xml:space="preserve">three associations </w:t>
      </w:r>
      <w:r w:rsidRPr="00CD3D5F">
        <w:t>recommend</w:t>
      </w:r>
      <w:r>
        <w:t>ed</w:t>
      </w:r>
      <w:r w:rsidRPr="00CD3D5F">
        <w:t xml:space="preserve"> that </w:t>
      </w:r>
      <w:r>
        <w:t xml:space="preserve">large and highly complex institutions with foreign offices </w:t>
      </w:r>
      <w:r w:rsidRPr="00CD3D5F">
        <w:t>report</w:t>
      </w:r>
      <w:r>
        <w:t xml:space="preserve"> the proposed breakdown of their</w:t>
      </w:r>
      <w:r w:rsidRPr="00CD3D5F">
        <w:t xml:space="preserve"> “</w:t>
      </w:r>
      <w:r>
        <w:t xml:space="preserve">loans secured by real estate” for the </w:t>
      </w:r>
      <w:r w:rsidRPr="00CD3D5F">
        <w:t xml:space="preserve">consolidated </w:t>
      </w:r>
      <w:r>
        <w:t xml:space="preserve">institution (i.e., for both domestic and foreign offices) </w:t>
      </w:r>
      <w:r w:rsidRPr="00CD3D5F">
        <w:t>in Schedule RC-C</w:t>
      </w:r>
      <w:r>
        <w:t>,</w:t>
      </w:r>
      <w:r w:rsidRPr="00CD3D5F">
        <w:t xml:space="preserve"> Part I, rather than in </w:t>
      </w:r>
      <w:r>
        <w:t xml:space="preserve">new Memorandum items in </w:t>
      </w:r>
      <w:r w:rsidRPr="00CD3D5F">
        <w:t xml:space="preserve">Schedule RC-O as </w:t>
      </w:r>
      <w:r>
        <w:t xml:space="preserve">had been </w:t>
      </w:r>
      <w:r w:rsidRPr="00CD3D5F">
        <w:t xml:space="preserve">proposed.  </w:t>
      </w:r>
      <w:r>
        <w:t xml:space="preserve">All institutions with foreign offices file the FFIEC 031 version of the Call Report and they currently report a nine-category breakdown of their loans secured by real estate loans in domestic offices, but at </w:t>
      </w:r>
      <w:proofErr w:type="gramStart"/>
      <w:r>
        <w:t>present</w:t>
      </w:r>
      <w:proofErr w:type="gramEnd"/>
      <w:r>
        <w:t xml:space="preserve"> they report only the total amount of loans secured by real estate for the consolidated institution.  </w:t>
      </w:r>
      <w:proofErr w:type="gramStart"/>
      <w:r>
        <w:t xml:space="preserve">The associations </w:t>
      </w:r>
      <w:r w:rsidRPr="00CD3D5F">
        <w:t>assert</w:t>
      </w:r>
      <w:r>
        <w:t>ed</w:t>
      </w:r>
      <w:r w:rsidRPr="00CD3D5F">
        <w:t xml:space="preserve"> that </w:t>
      </w:r>
      <w:r>
        <w:t>requiring only those institutions with foreign offices that are large or highly complex institutions to include the real estate breakdown in Schedule RC</w:t>
      </w:r>
      <w:r>
        <w:noBreakHyphen/>
        <w:t xml:space="preserve">C, Part I, could be dealt with instructionally and </w:t>
      </w:r>
      <w:r w:rsidRPr="00CD3D5F">
        <w:t>would not cause confusion since special instr</w:t>
      </w:r>
      <w:r>
        <w:t>uctions are already in place to explain which subsets of institutions are required to</w:t>
      </w:r>
      <w:r w:rsidRPr="00CD3D5F">
        <w:t xml:space="preserve"> report</w:t>
      </w:r>
      <w:r>
        <w:t xml:space="preserve"> certain types of loan data</w:t>
      </w:r>
      <w:r w:rsidRPr="00CD3D5F">
        <w:t xml:space="preserve"> in Schedule RC-C</w:t>
      </w:r>
      <w:r>
        <w:t>, Part I</w:t>
      </w:r>
      <w:r w:rsidRPr="00CD3D5F">
        <w:t>.</w:t>
      </w:r>
      <w:proofErr w:type="gramEnd"/>
      <w:r>
        <w:t xml:space="preserve">  </w:t>
      </w:r>
      <w:r w:rsidRPr="00CD3D5F">
        <w:t xml:space="preserve">The </w:t>
      </w:r>
      <w:r>
        <w:t>agencies a</w:t>
      </w:r>
      <w:r w:rsidRPr="00CD3D5F">
        <w:t xml:space="preserve">gree with the </w:t>
      </w:r>
      <w:r>
        <w:t xml:space="preserve">associations’ </w:t>
      </w:r>
      <w:r w:rsidRPr="00CD3D5F">
        <w:t>recommendation</w:t>
      </w:r>
      <w:r>
        <w:t xml:space="preserve">.  Accordingly, Schedule RC-C, Part I, on the FFIEC 031 version of the Call Report </w:t>
      </w:r>
      <w:proofErr w:type="gramStart"/>
      <w:r>
        <w:t>will be revised</w:t>
      </w:r>
      <w:proofErr w:type="gramEnd"/>
      <w:r>
        <w:t xml:space="preserve"> </w:t>
      </w:r>
      <w:r w:rsidRPr="00CD3D5F">
        <w:t xml:space="preserve">to </w:t>
      </w:r>
      <w:r>
        <w:t xml:space="preserve">include the nine-category breakdown of loans secured by </w:t>
      </w:r>
      <w:r w:rsidRPr="00CD3D5F">
        <w:t xml:space="preserve">real estate </w:t>
      </w:r>
      <w:r>
        <w:t>for the consolidated institution</w:t>
      </w:r>
      <w:r w:rsidRPr="00CD3D5F">
        <w:t xml:space="preserve">.  The </w:t>
      </w:r>
      <w:r>
        <w:t>C</w:t>
      </w:r>
      <w:r w:rsidRPr="00CD3D5F">
        <w:t xml:space="preserve">all </w:t>
      </w:r>
      <w:r>
        <w:t>R</w:t>
      </w:r>
      <w:r w:rsidRPr="00CD3D5F">
        <w:t xml:space="preserve">eport instructions </w:t>
      </w:r>
      <w:r>
        <w:t xml:space="preserve">and the FFIEC 031 Call Report form will state </w:t>
      </w:r>
      <w:r w:rsidRPr="00CD3D5F">
        <w:t xml:space="preserve">that </w:t>
      </w:r>
      <w:r>
        <w:t xml:space="preserve">this breakdown is </w:t>
      </w:r>
      <w:r w:rsidRPr="00CD3D5F">
        <w:t xml:space="preserve">to </w:t>
      </w:r>
      <w:proofErr w:type="gramStart"/>
      <w:r w:rsidRPr="00CD3D5F">
        <w:t xml:space="preserve">be </w:t>
      </w:r>
      <w:r>
        <w:t>provided</w:t>
      </w:r>
      <w:proofErr w:type="gramEnd"/>
      <w:r w:rsidRPr="00CD3D5F">
        <w:t xml:space="preserve"> </w:t>
      </w:r>
      <w:r>
        <w:t xml:space="preserve">only </w:t>
      </w:r>
      <w:r w:rsidRPr="00CD3D5F">
        <w:t xml:space="preserve">by large and highly complex </w:t>
      </w:r>
      <w:r>
        <w:t>institutions</w:t>
      </w:r>
      <w:r w:rsidRPr="00CD3D5F">
        <w:t xml:space="preserve">.  </w:t>
      </w:r>
    </w:p>
    <w:p w:rsidR="00A16794" w:rsidRPr="00CD3D5F" w:rsidRDefault="00A16794" w:rsidP="00F40221">
      <w:pPr>
        <w:ind w:firstLine="720"/>
      </w:pPr>
    </w:p>
    <w:p w:rsidR="00F40221" w:rsidRPr="00FE669A" w:rsidRDefault="00F40221" w:rsidP="00F40221">
      <w:pPr>
        <w:ind w:firstLine="720"/>
      </w:pPr>
      <w:r>
        <w:t>Finally, Schedule RC-O, Memorandum items 10.a and 10.b, provide certain data on unfunded commitments for construction, land development, and other land loans secured by real estate (construction loans) while Memorandum items 13.a through 13.d collect data on the U.S. government</w:t>
      </w:r>
      <w:r>
        <w:noBreakHyphen/>
        <w:t xml:space="preserve">guaranteed or -insured portion of four categories of funded loans secured by real </w:t>
      </w:r>
      <w:r>
        <w:lastRenderedPageBreak/>
        <w:t>estate.  The agencies proposed to revise these Schedule RC</w:t>
      </w:r>
      <w:r>
        <w:noBreakHyphen/>
        <w:t xml:space="preserve">O Memorandum items on the FFIEC 031 version of the Call Report by expanding their scope to include commitments and loans in both foreign and domestic offices rather than only domestic offices.  </w:t>
      </w:r>
      <w:proofErr w:type="gramStart"/>
      <w:r>
        <w:t xml:space="preserve">The three bankers’ associations agreed that this proposed change would enable large and highly complex institutions with foreign offices to “report more accurately the balances need for Large Bank Pricing,” but their letter </w:t>
      </w:r>
      <w:r w:rsidRPr="00FE669A">
        <w:t>state</w:t>
      </w:r>
      <w:r>
        <w:t>d</w:t>
      </w:r>
      <w:r w:rsidRPr="00FE669A">
        <w:t xml:space="preserve"> that </w:t>
      </w:r>
      <w:r>
        <w:t xml:space="preserve">these institutions  would </w:t>
      </w:r>
      <w:r w:rsidRPr="00FE669A">
        <w:t xml:space="preserve">not have sufficient time to </w:t>
      </w:r>
      <w:r>
        <w:t xml:space="preserve">be </w:t>
      </w:r>
      <w:r w:rsidRPr="00FE669A">
        <w:t>pr</w:t>
      </w:r>
      <w:r>
        <w:t xml:space="preserve">epared to report as of  </w:t>
      </w:r>
      <w:r w:rsidRPr="00FE669A">
        <w:t>June 30, 2013</w:t>
      </w:r>
      <w:r>
        <w:t>, their</w:t>
      </w:r>
      <w:r w:rsidRPr="00FE669A">
        <w:t xml:space="preserve"> commitments to fund </w:t>
      </w:r>
      <w:r>
        <w:t xml:space="preserve">construction </w:t>
      </w:r>
      <w:r w:rsidRPr="00FE669A">
        <w:t xml:space="preserve">loans in foreign offices, the portion of </w:t>
      </w:r>
      <w:r>
        <w:t xml:space="preserve">such </w:t>
      </w:r>
      <w:r w:rsidRPr="00FE669A">
        <w:t xml:space="preserve">unfunded commitments that are guaranteed or insured by the U.S. government, and the portion of </w:t>
      </w:r>
      <w:r>
        <w:t xml:space="preserve">the four categories of </w:t>
      </w:r>
      <w:r w:rsidRPr="00FE669A">
        <w:t>funded real estate loans</w:t>
      </w:r>
      <w:r>
        <w:t xml:space="preserve"> </w:t>
      </w:r>
      <w:r w:rsidRPr="00FE669A">
        <w:t xml:space="preserve">in foreign offices that </w:t>
      </w:r>
      <w:r>
        <w:t>are</w:t>
      </w:r>
      <w:r w:rsidRPr="00FE669A">
        <w:t xml:space="preserve"> guaranteed or insured by the U.S. government.</w:t>
      </w:r>
      <w:proofErr w:type="gramEnd"/>
      <w:r w:rsidRPr="00FE669A">
        <w:t xml:space="preserve">  The </w:t>
      </w:r>
      <w:r>
        <w:t xml:space="preserve">agencies acknowledge that large and highly complex institutions </w:t>
      </w:r>
      <w:r w:rsidRPr="00FE669A">
        <w:t xml:space="preserve">with foreign </w:t>
      </w:r>
      <w:r>
        <w:t>offices</w:t>
      </w:r>
      <w:r w:rsidRPr="00FE669A">
        <w:t xml:space="preserve"> may need additional time to comply with the</w:t>
      </w:r>
      <w:r>
        <w:t xml:space="preserve"> expanded scope of Memorandum items 10.a, 10.b,</w:t>
      </w:r>
      <w:r w:rsidRPr="00FE669A">
        <w:t xml:space="preserve"> </w:t>
      </w:r>
      <w:r>
        <w:t xml:space="preserve">and 13.a through 13.d of Schedule RC-O.  Accordingly, the agencies will </w:t>
      </w:r>
      <w:r w:rsidRPr="00FE669A">
        <w:t>allow</w:t>
      </w:r>
      <w:r>
        <w:t xml:space="preserve"> such institutions </w:t>
      </w:r>
      <w:r w:rsidRPr="00FE669A">
        <w:t>until September 30, 2013</w:t>
      </w:r>
      <w:r>
        <w:t>,</w:t>
      </w:r>
      <w:r w:rsidRPr="00FE669A">
        <w:t xml:space="preserve"> to begin reporting </w:t>
      </w:r>
      <w:r>
        <w:t xml:space="preserve">the foreign office data in these Memorandum items.  </w:t>
      </w:r>
      <w:r w:rsidRPr="00FE669A">
        <w:t>Once a</w:t>
      </w:r>
      <w:r>
        <w:t xml:space="preserve"> large or highly complex institution </w:t>
      </w:r>
      <w:r w:rsidRPr="00FE669A">
        <w:t xml:space="preserve">has the systems in place to gather the necessary </w:t>
      </w:r>
      <w:r>
        <w:t xml:space="preserve">foreign office </w:t>
      </w:r>
      <w:r w:rsidRPr="00FE669A">
        <w:t xml:space="preserve">data, the </w:t>
      </w:r>
      <w:r>
        <w:t xml:space="preserve">institution would have </w:t>
      </w:r>
      <w:r w:rsidRPr="00FE669A">
        <w:t xml:space="preserve">the option to amend </w:t>
      </w:r>
      <w:r>
        <w:t>the amounts reported in these Schedule RC-O Memorandum items in its C</w:t>
      </w:r>
      <w:r w:rsidRPr="00FE669A">
        <w:t>all</w:t>
      </w:r>
      <w:r>
        <w:t xml:space="preserve"> R</w:t>
      </w:r>
      <w:r w:rsidRPr="00FE669A">
        <w:t xml:space="preserve">eport for June 30, 2013, but it </w:t>
      </w:r>
      <w:proofErr w:type="gramStart"/>
      <w:r>
        <w:t xml:space="preserve">would not be </w:t>
      </w:r>
      <w:r w:rsidRPr="00FE669A">
        <w:t>required</w:t>
      </w:r>
      <w:proofErr w:type="gramEnd"/>
      <w:r w:rsidRPr="00FE669A">
        <w:t xml:space="preserve"> to do so.</w:t>
      </w:r>
    </w:p>
    <w:p w:rsidR="00F40221" w:rsidRDefault="00F40221" w:rsidP="00F40221">
      <w:pPr>
        <w:ind w:firstLine="720"/>
      </w:pPr>
    </w:p>
    <w:p w:rsidR="00F40221" w:rsidRDefault="00F40221" w:rsidP="00F40221">
      <w:pPr>
        <w:ind w:firstLine="720"/>
      </w:pPr>
      <w:r w:rsidRPr="00046B63">
        <w:rPr>
          <w:u w:val="single"/>
        </w:rPr>
        <w:t>Noninterest-bearing Transaction Accounts of More than $250,000</w:t>
      </w:r>
      <w:r w:rsidRPr="00046B63">
        <w:t xml:space="preserve">  </w:t>
      </w:r>
      <w:r>
        <w:t xml:space="preserve">– In their February 2013 </w:t>
      </w:r>
      <w:r w:rsidRPr="005F40AF">
        <w:rPr>
          <w:i/>
        </w:rPr>
        <w:t xml:space="preserve">Federal Register </w:t>
      </w:r>
      <w:r>
        <w:t xml:space="preserve">notice, the agencies stated that they would continue to collect Memorandum items 5.a and 5.b of Schedule RC-O on the amount and number of noninterest-bearing transaction accounts of more than $250,000 for which temporary unlimited deposit insurance coverage ended on December 31, 2012.  By continuing to collect these items, the agencies would be able to monitor the behavior of these deposit accounts following the change in insurance coverage.  The agencies stated that they would review the reported information and reconsider its collection when the number of accounts and amount of deposits stabilizes.  </w:t>
      </w:r>
    </w:p>
    <w:p w:rsidR="00A16794" w:rsidRDefault="00A16794" w:rsidP="00F40221">
      <w:pPr>
        <w:ind w:firstLine="720"/>
      </w:pPr>
    </w:p>
    <w:p w:rsidR="00F40221" w:rsidRDefault="00F40221" w:rsidP="00F40221">
      <w:pPr>
        <w:ind w:firstLine="720"/>
      </w:pPr>
      <w:r>
        <w:t xml:space="preserve">In their joint comment letter, the three bankers’ associations encouraged the agencies to discontinue collecting Memorandum items 5.a and 5.b because the need to monitor the volume of deposits covered by the temporary unlimited deposit insurance is no longer relevant.  The associations also noted the reporting burden associated with these Memorandum items and stated that the agencies can analyze other deposit data collected in the Call Report to monitor significant deposit runoff.  The agencies recognize that there is ongoing burden associated with the continued collection of data on the amount and number of noninterest-bearing transaction accounts of more than $250,000.  </w:t>
      </w:r>
      <w:r w:rsidR="00B754A0">
        <w:t>However, the agencies believe that the Call Report is the best method to obtain this information to assist in tracking these deposits. T</w:t>
      </w:r>
      <w:r>
        <w:t xml:space="preserve">he agencies’ burden estimates for the Call Report, which </w:t>
      </w:r>
      <w:proofErr w:type="gramStart"/>
      <w:r>
        <w:t>are disclosed</w:t>
      </w:r>
      <w:proofErr w:type="gramEnd"/>
      <w:r>
        <w:t xml:space="preserve"> earlier in this notice, continue to include the estimated burden of these two Schedule RC</w:t>
      </w:r>
      <w:r>
        <w:noBreakHyphen/>
        <w:t xml:space="preserve">O Memorandum items.  Nevertheless, </w:t>
      </w:r>
      <w:r w:rsidR="00B754A0">
        <w:t>to address the comments</w:t>
      </w:r>
      <w:r>
        <w:t>, the agencies have agreed to terminate the collection of Memorandum items 5.a and 5.b after the December 31, 2013, report date.</w:t>
      </w:r>
    </w:p>
    <w:p w:rsidR="00A85FAA" w:rsidRDefault="00A85FAA" w:rsidP="00F40221">
      <w:pPr>
        <w:ind w:firstLine="720"/>
      </w:pPr>
    </w:p>
    <w:p w:rsidR="00CA6AE6" w:rsidRPr="0057093A" w:rsidRDefault="00CA6AE6" w:rsidP="00F40221">
      <w:pPr>
        <w:numPr>
          <w:ilvl w:val="0"/>
          <w:numId w:val="2"/>
        </w:numPr>
        <w:tabs>
          <w:tab w:val="left" w:pos="432"/>
          <w:tab w:val="left" w:pos="1728"/>
          <w:tab w:val="left" w:pos="4176"/>
        </w:tabs>
        <w:ind w:left="432" w:hanging="432"/>
        <w:rPr>
          <w:color w:val="000000"/>
          <w:szCs w:val="20"/>
        </w:rPr>
      </w:pPr>
      <w:r w:rsidRPr="0057093A">
        <w:rPr>
          <w:color w:val="000000"/>
          <w:szCs w:val="20"/>
          <w:u w:val="single"/>
        </w:rPr>
        <w:t>Payment or Gift to Respondents</w:t>
      </w:r>
    </w:p>
    <w:p w:rsidR="00CA6AE6" w:rsidRPr="0057093A" w:rsidRDefault="00CA6AE6" w:rsidP="00F40221">
      <w:pPr>
        <w:tabs>
          <w:tab w:val="left" w:pos="432"/>
          <w:tab w:val="left" w:pos="1296"/>
          <w:tab w:val="left" w:pos="1728"/>
          <w:tab w:val="left" w:pos="4176"/>
        </w:tabs>
        <w:ind w:left="1290"/>
        <w:rPr>
          <w:color w:val="000000"/>
          <w:szCs w:val="20"/>
        </w:rPr>
      </w:pPr>
    </w:p>
    <w:p w:rsidR="00CA6AE6" w:rsidRDefault="00CA6AE6" w:rsidP="00F40221">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gifts </w:t>
      </w:r>
      <w:proofErr w:type="gramStart"/>
      <w:r w:rsidRPr="0057093A">
        <w:rPr>
          <w:color w:val="000000"/>
          <w:szCs w:val="20"/>
        </w:rPr>
        <w:t>will be given</w:t>
      </w:r>
      <w:proofErr w:type="gramEnd"/>
      <w:r w:rsidRPr="0057093A">
        <w:rPr>
          <w:color w:val="000000"/>
          <w:szCs w:val="20"/>
        </w:rPr>
        <w:t xml:space="preserve"> to respondents.  </w:t>
      </w:r>
    </w:p>
    <w:p w:rsidR="000142A5" w:rsidRDefault="000142A5" w:rsidP="00F40221">
      <w:pPr>
        <w:tabs>
          <w:tab w:val="left" w:pos="432"/>
          <w:tab w:val="left" w:pos="1296"/>
          <w:tab w:val="left" w:pos="1728"/>
          <w:tab w:val="left" w:pos="4176"/>
        </w:tabs>
        <w:rPr>
          <w:color w:val="000000"/>
          <w:szCs w:val="20"/>
        </w:rPr>
      </w:pPr>
    </w:p>
    <w:p w:rsidR="000142A5" w:rsidRPr="0057093A" w:rsidRDefault="000142A5" w:rsidP="00F40221">
      <w:pPr>
        <w:tabs>
          <w:tab w:val="left" w:pos="432"/>
          <w:tab w:val="left" w:pos="1296"/>
          <w:tab w:val="left" w:pos="1728"/>
          <w:tab w:val="left" w:pos="4176"/>
        </w:tabs>
        <w:rPr>
          <w:color w:val="000000"/>
          <w:szCs w:val="20"/>
        </w:rPr>
      </w:pPr>
    </w:p>
    <w:p w:rsidR="00CA6AE6" w:rsidRPr="0057093A" w:rsidRDefault="00CA6AE6" w:rsidP="00F40221">
      <w:pPr>
        <w:tabs>
          <w:tab w:val="left" w:pos="432"/>
          <w:tab w:val="left" w:pos="1296"/>
          <w:tab w:val="left" w:pos="1728"/>
          <w:tab w:val="left" w:pos="4176"/>
        </w:tabs>
        <w:ind w:left="1290"/>
        <w:rPr>
          <w:color w:val="000000"/>
          <w:szCs w:val="20"/>
        </w:rPr>
      </w:pP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F40221">
      <w:pPr>
        <w:tabs>
          <w:tab w:val="left" w:pos="432"/>
          <w:tab w:val="left" w:pos="1296"/>
          <w:tab w:val="left" w:pos="1728"/>
          <w:tab w:val="left" w:pos="4176"/>
        </w:tabs>
        <w:rPr>
          <w:color w:val="000000"/>
          <w:szCs w:val="20"/>
        </w:rPr>
      </w:pPr>
    </w:p>
    <w:p w:rsidR="00BC2CD0" w:rsidRPr="00E33336" w:rsidRDefault="00CA6AE6" w:rsidP="00F40221">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CA6AE6" w:rsidRPr="0057093A" w:rsidRDefault="00CA6AE6" w:rsidP="00F40221">
      <w:pPr>
        <w:tabs>
          <w:tab w:val="left" w:pos="432"/>
          <w:tab w:val="left" w:pos="1296"/>
          <w:tab w:val="left" w:pos="1728"/>
          <w:tab w:val="left" w:pos="4176"/>
        </w:tabs>
        <w:rPr>
          <w:color w:val="000000"/>
          <w:szCs w:val="20"/>
        </w:rPr>
      </w:pP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11.</w:t>
      </w:r>
      <w:r w:rsidRPr="0057093A">
        <w:rPr>
          <w:color w:val="000000"/>
          <w:szCs w:val="20"/>
        </w:rPr>
        <w:tab/>
      </w:r>
      <w:r w:rsidRPr="0057093A">
        <w:rPr>
          <w:color w:val="000000"/>
          <w:szCs w:val="20"/>
          <w:u w:val="single"/>
        </w:rPr>
        <w:t>Information of a Sensitive Nature</w:t>
      </w:r>
    </w:p>
    <w:p w:rsidR="00CA6AE6" w:rsidRPr="0057093A" w:rsidRDefault="00CA6AE6" w:rsidP="00F40221">
      <w:pPr>
        <w:tabs>
          <w:tab w:val="left" w:pos="432"/>
          <w:tab w:val="left" w:pos="1296"/>
          <w:tab w:val="left" w:pos="1728"/>
          <w:tab w:val="left" w:pos="4176"/>
        </w:tabs>
        <w:rPr>
          <w:color w:val="000000"/>
          <w:szCs w:val="20"/>
        </w:rPr>
      </w:pPr>
    </w:p>
    <w:p w:rsidR="00CA6AE6" w:rsidRPr="0057093A" w:rsidRDefault="00CA6AE6" w:rsidP="00F40221">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F40221">
      <w:pPr>
        <w:tabs>
          <w:tab w:val="left" w:pos="432"/>
          <w:tab w:val="left" w:pos="1296"/>
          <w:tab w:val="left" w:pos="1728"/>
          <w:tab w:val="left" w:pos="4176"/>
        </w:tabs>
        <w:rPr>
          <w:color w:val="000000"/>
          <w:szCs w:val="20"/>
        </w:rPr>
      </w:pPr>
    </w:p>
    <w:p w:rsidR="004D05FB" w:rsidRDefault="00CA6AE6" w:rsidP="00F40221">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4D05FB" w:rsidRPr="004D05FB" w:rsidRDefault="004D05FB" w:rsidP="00F40221">
      <w:pPr>
        <w:keepLines/>
        <w:tabs>
          <w:tab w:val="left" w:pos="432"/>
          <w:tab w:val="left" w:pos="1728"/>
          <w:tab w:val="left" w:pos="4176"/>
        </w:tabs>
        <w:ind w:left="432"/>
        <w:rPr>
          <w:color w:val="000000"/>
          <w:szCs w:val="20"/>
          <w:u w:val="single"/>
        </w:rPr>
      </w:pPr>
      <w:r w:rsidRPr="004D05FB">
        <w:rPr>
          <w:snapToGrid w:val="0"/>
        </w:rPr>
        <w:tab/>
      </w:r>
    </w:p>
    <w:p w:rsidR="004D05FB" w:rsidRDefault="004D05FB" w:rsidP="00F40221">
      <w:pPr>
        <w:tabs>
          <w:tab w:val="left" w:pos="4230"/>
        </w:tabs>
        <w:ind w:firstLine="720"/>
        <w:rPr>
          <w:snapToGrid w:val="0"/>
        </w:rPr>
      </w:pPr>
      <w:r w:rsidRPr="00A16794">
        <w:rPr>
          <w:snapToGrid w:val="0"/>
          <w:u w:val="single"/>
        </w:rPr>
        <w:t>Estimated Number of Respondents:</w:t>
      </w:r>
      <w:r w:rsidR="004F2D31">
        <w:rPr>
          <w:snapToGrid w:val="0"/>
        </w:rPr>
        <w:t xml:space="preserve">  1,741</w:t>
      </w:r>
      <w:r>
        <w:rPr>
          <w:snapToGrid w:val="0"/>
        </w:rPr>
        <w:t xml:space="preserve"> national banks and federal                                                     </w:t>
      </w:r>
      <w:r>
        <w:rPr>
          <w:snapToGrid w:val="0"/>
        </w:rPr>
        <w:tab/>
        <w:t>savings associations.</w:t>
      </w:r>
    </w:p>
    <w:p w:rsidR="004D05FB" w:rsidRDefault="004D05FB" w:rsidP="00F40221">
      <w:pPr>
        <w:rPr>
          <w:snapToGrid w:val="0"/>
        </w:rPr>
      </w:pPr>
      <w:r>
        <w:rPr>
          <w:snapToGrid w:val="0"/>
        </w:rPr>
        <w:t xml:space="preserve"> </w:t>
      </w:r>
      <w:r>
        <w:rPr>
          <w:snapToGrid w:val="0"/>
        </w:rPr>
        <w:tab/>
      </w:r>
      <w:r w:rsidRPr="00A16794">
        <w:rPr>
          <w:snapToGrid w:val="0"/>
          <w:u w:val="single"/>
        </w:rPr>
        <w:t>Estimated Time per Response:</w:t>
      </w:r>
      <w:r w:rsidRPr="00B35440">
        <w:rPr>
          <w:snapToGrid w:val="0"/>
        </w:rPr>
        <w:t xml:space="preserve"> </w:t>
      </w:r>
      <w:r w:rsidR="004F2D31">
        <w:rPr>
          <w:snapToGrid w:val="0"/>
        </w:rPr>
        <w:t xml:space="preserve"> </w:t>
      </w:r>
      <w:r w:rsidR="00761714">
        <w:rPr>
          <w:snapToGrid w:val="0"/>
        </w:rPr>
        <w:t xml:space="preserve">   </w:t>
      </w:r>
      <w:r w:rsidR="004F2D31">
        <w:rPr>
          <w:snapToGrid w:val="0"/>
        </w:rPr>
        <w:t>54.92</w:t>
      </w:r>
      <w:r w:rsidRPr="00B35440">
        <w:rPr>
          <w:snapToGrid w:val="0"/>
        </w:rPr>
        <w:t xml:space="preserve"> burden hours per quarter</w:t>
      </w:r>
      <w:r>
        <w:rPr>
          <w:snapToGrid w:val="0"/>
        </w:rPr>
        <w:t xml:space="preserve"> </w:t>
      </w:r>
      <w:r w:rsidRPr="00B35440">
        <w:rPr>
          <w:snapToGrid w:val="0"/>
        </w:rPr>
        <w:t>to file</w:t>
      </w:r>
      <w:r w:rsidRPr="00A33182">
        <w:rPr>
          <w:snapToGrid w:val="0"/>
        </w:rPr>
        <w:t>.</w:t>
      </w:r>
    </w:p>
    <w:p w:rsidR="004D05FB" w:rsidRDefault="004D05FB" w:rsidP="00F40221">
      <w:pPr>
        <w:tabs>
          <w:tab w:val="left" w:pos="720"/>
          <w:tab w:val="left" w:pos="3960"/>
        </w:tabs>
        <w:autoSpaceDE w:val="0"/>
        <w:autoSpaceDN w:val="0"/>
        <w:adjustRightInd w:val="0"/>
        <w:rPr>
          <w:snapToGrid w:val="0"/>
        </w:rPr>
      </w:pPr>
      <w:r>
        <w:rPr>
          <w:i/>
          <w:snapToGrid w:val="0"/>
        </w:rPr>
        <w:tab/>
      </w:r>
      <w:r w:rsidRPr="00A16794">
        <w:rPr>
          <w:snapToGrid w:val="0"/>
          <w:u w:val="single"/>
        </w:rPr>
        <w:t>Estimated Total Annual Burden:</w:t>
      </w:r>
      <w:r>
        <w:rPr>
          <w:i/>
          <w:snapToGrid w:val="0"/>
        </w:rPr>
        <w:t xml:space="preserve"> </w:t>
      </w:r>
      <w:r w:rsidR="004F2D31">
        <w:rPr>
          <w:snapToGrid w:val="0"/>
        </w:rPr>
        <w:t xml:space="preserve"> 382,462</w:t>
      </w:r>
      <w:r w:rsidRPr="002F569F">
        <w:rPr>
          <w:snapToGrid w:val="0"/>
        </w:rPr>
        <w:t xml:space="preserve"> burden hours to file</w:t>
      </w:r>
      <w:r>
        <w:rPr>
          <w:snapToGrid w:val="0"/>
        </w:rPr>
        <w:t>.</w:t>
      </w:r>
    </w:p>
    <w:p w:rsidR="004F2D31" w:rsidRDefault="004F2D31" w:rsidP="00F40221">
      <w:pPr>
        <w:ind w:right="-480"/>
        <w:rPr>
          <w:lang w:val="en-CA"/>
        </w:rPr>
      </w:pPr>
    </w:p>
    <w:p w:rsidR="00CA6AE6" w:rsidRDefault="00CA6AE6" w:rsidP="00F40221">
      <w:pPr>
        <w:ind w:right="-480"/>
        <w:rPr>
          <w:lang w:val="en-CA"/>
        </w:rPr>
      </w:pPr>
      <w:r w:rsidRPr="000A1AC8">
        <w:rPr>
          <w:lang w:val="en-CA"/>
        </w:rPr>
        <w:t>The OCC estimates the cost of the hour burden to respondents as follows:</w:t>
      </w:r>
    </w:p>
    <w:p w:rsidR="00CA6AE6" w:rsidRPr="000A1AC8" w:rsidRDefault="00CA6AE6" w:rsidP="00F40221">
      <w:pPr>
        <w:ind w:right="-480"/>
        <w:rPr>
          <w:lang w:val="en-CA"/>
        </w:rPr>
      </w:pPr>
    </w:p>
    <w:p w:rsidR="00CA6AE6" w:rsidRPr="000A1AC8" w:rsidRDefault="00CA6AE6" w:rsidP="00F40221">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0" w:name="OLE_LINK1"/>
      <w:r w:rsidRPr="000A1AC8">
        <w:rPr>
          <w:color w:val="000000"/>
        </w:rPr>
        <w:t xml:space="preserve">20% x </w:t>
      </w:r>
      <w:r w:rsidR="00761714">
        <w:rPr>
          <w:snapToGrid w:val="0"/>
        </w:rPr>
        <w:t>382,462</w:t>
      </w:r>
      <w:r>
        <w:rPr>
          <w:snapToGrid w:val="0"/>
        </w:rPr>
        <w:t xml:space="preserve"> </w:t>
      </w:r>
      <w:r w:rsidRPr="000A1AC8">
        <w:rPr>
          <w:color w:val="000000"/>
        </w:rPr>
        <w:t xml:space="preserve">=   </w:t>
      </w:r>
      <w:r w:rsidR="00761714">
        <w:rPr>
          <w:color w:val="000000"/>
        </w:rPr>
        <w:t>76,492.40</w:t>
      </w:r>
      <w:r>
        <w:rPr>
          <w:color w:val="000000"/>
        </w:rPr>
        <w:t xml:space="preserve"> @ $20 </w:t>
      </w:r>
      <w:r w:rsidR="00333A85">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0"/>
      <w:r w:rsidR="00761714">
        <w:rPr>
          <w:color w:val="000000"/>
        </w:rPr>
        <w:t>1,529,848</w:t>
      </w:r>
      <w:r w:rsidR="00313481">
        <w:rPr>
          <w:color w:val="000000"/>
        </w:rPr>
        <w:t>.00</w:t>
      </w:r>
    </w:p>
    <w:p w:rsidR="00CA6AE6" w:rsidRPr="000A1AC8" w:rsidRDefault="00CA6AE6" w:rsidP="00F40221">
      <w:pPr>
        <w:ind w:right="-480"/>
        <w:rPr>
          <w:color w:val="000000"/>
        </w:rPr>
      </w:pPr>
      <w:r w:rsidRPr="000A1AC8">
        <w:rPr>
          <w:color w:val="000000"/>
        </w:rPr>
        <w:t>Managerial/technical:</w:t>
      </w:r>
      <w:r w:rsidRPr="000A1AC8">
        <w:rPr>
          <w:color w:val="000000"/>
        </w:rPr>
        <w:tab/>
      </w:r>
      <w:r w:rsidRPr="000A1AC8">
        <w:rPr>
          <w:color w:val="000000"/>
        </w:rPr>
        <w:tab/>
      </w:r>
      <w:bookmarkStart w:id="1" w:name="OLE_LINK2"/>
      <w:r w:rsidRPr="000A1AC8">
        <w:rPr>
          <w:color w:val="000000"/>
        </w:rPr>
        <w:t xml:space="preserve">65% x </w:t>
      </w:r>
      <w:r w:rsidR="00761714">
        <w:rPr>
          <w:snapToGrid w:val="0"/>
        </w:rPr>
        <w:t xml:space="preserve">382,462 </w:t>
      </w:r>
      <w:r w:rsidRPr="000A1AC8">
        <w:rPr>
          <w:color w:val="000000"/>
        </w:rPr>
        <w:t xml:space="preserve">= </w:t>
      </w:r>
      <w:r>
        <w:rPr>
          <w:color w:val="000000"/>
        </w:rPr>
        <w:t xml:space="preserve">  </w:t>
      </w:r>
      <w:r w:rsidR="00313481">
        <w:rPr>
          <w:color w:val="000000"/>
        </w:rPr>
        <w:t>2</w:t>
      </w:r>
      <w:r w:rsidR="00761714">
        <w:rPr>
          <w:color w:val="000000"/>
        </w:rPr>
        <w:t>48,600.3</w:t>
      </w:r>
      <w:r w:rsidR="00F66B04">
        <w:rPr>
          <w:color w:val="000000"/>
        </w:rPr>
        <w:t>0</w:t>
      </w:r>
      <w:r w:rsidRPr="000A1AC8">
        <w:rPr>
          <w:color w:val="000000"/>
        </w:rPr>
        <w:t xml:space="preserve"> @ $40</w:t>
      </w:r>
      <w:r w:rsidR="002370D8">
        <w:rPr>
          <w:color w:val="000000"/>
        </w:rPr>
        <w:t xml:space="preserve"> = $ </w:t>
      </w:r>
      <w:r w:rsidR="00F66B04">
        <w:rPr>
          <w:color w:val="000000"/>
        </w:rPr>
        <w:t xml:space="preserve">  </w:t>
      </w:r>
      <w:r w:rsidR="00761714">
        <w:rPr>
          <w:color w:val="000000"/>
        </w:rPr>
        <w:t xml:space="preserve">   9</w:t>
      </w:r>
      <w:r w:rsidR="002370D8">
        <w:rPr>
          <w:color w:val="000000"/>
        </w:rPr>
        <w:t>,</w:t>
      </w:r>
      <w:r w:rsidR="00761714">
        <w:rPr>
          <w:color w:val="000000"/>
        </w:rPr>
        <w:t>944,012</w:t>
      </w:r>
      <w:r w:rsidRPr="000A1AC8">
        <w:rPr>
          <w:color w:val="000000"/>
        </w:rPr>
        <w:t>.00</w:t>
      </w:r>
      <w:bookmarkEnd w:id="1"/>
    </w:p>
    <w:p w:rsidR="00CA6AE6" w:rsidRPr="000A1AC8" w:rsidRDefault="00CA6AE6" w:rsidP="00F40221">
      <w:pPr>
        <w:ind w:right="-480"/>
        <w:rPr>
          <w:color w:val="000000"/>
        </w:rPr>
      </w:pPr>
      <w:r w:rsidRPr="000A1AC8">
        <w:rPr>
          <w:color w:val="000000"/>
        </w:rPr>
        <w:t xml:space="preserve">Senior </w:t>
      </w:r>
      <w:proofErr w:type="spellStart"/>
      <w:r w:rsidRPr="000A1AC8">
        <w:rPr>
          <w:color w:val="000000"/>
        </w:rPr>
        <w:t>mgmt</w:t>
      </w:r>
      <w:proofErr w:type="spellEnd"/>
      <w:r w:rsidRPr="000A1AC8">
        <w:rPr>
          <w:color w:val="000000"/>
        </w:rPr>
        <w:t>/professional:</w:t>
      </w:r>
      <w:r w:rsidRPr="000A1AC8">
        <w:rPr>
          <w:color w:val="000000"/>
        </w:rPr>
        <w:tab/>
      </w:r>
      <w:bookmarkStart w:id="2" w:name="OLE_LINK3"/>
      <w:bookmarkStart w:id="3" w:name="OLE_LINK4"/>
      <w:bookmarkStart w:id="4" w:name="OLE_LINK5"/>
      <w:bookmarkStart w:id="5" w:name="OLE_LINK6"/>
      <w:bookmarkStart w:id="6" w:name="OLE_LINK8"/>
      <w:r w:rsidRPr="000A1AC8">
        <w:rPr>
          <w:color w:val="000000"/>
        </w:rPr>
        <w:t xml:space="preserve">14% x </w:t>
      </w:r>
      <w:r w:rsidR="00761714">
        <w:rPr>
          <w:snapToGrid w:val="0"/>
        </w:rPr>
        <w:t xml:space="preserve">382,462 </w:t>
      </w:r>
      <w:r>
        <w:rPr>
          <w:color w:val="000000"/>
        </w:rPr>
        <w:t xml:space="preserve">=   </w:t>
      </w:r>
      <w:r w:rsidR="00761714">
        <w:rPr>
          <w:color w:val="000000"/>
        </w:rPr>
        <w:t>53,544.68</w:t>
      </w:r>
      <w:r w:rsidRPr="000A1AC8">
        <w:rPr>
          <w:color w:val="000000"/>
        </w:rPr>
        <w:t xml:space="preserve"> @ $80</w:t>
      </w:r>
      <w:r w:rsidRPr="000A1AC8">
        <w:rPr>
          <w:color w:val="000000"/>
        </w:rPr>
        <w:tab/>
        <w:t xml:space="preserve"> = $   </w:t>
      </w:r>
      <w:r w:rsidR="00761714">
        <w:rPr>
          <w:color w:val="000000"/>
        </w:rPr>
        <w:t xml:space="preserve">   4,283,574.44</w:t>
      </w:r>
    </w:p>
    <w:bookmarkEnd w:id="2"/>
    <w:bookmarkEnd w:id="3"/>
    <w:bookmarkEnd w:id="4"/>
    <w:bookmarkEnd w:id="5"/>
    <w:bookmarkEnd w:id="6"/>
    <w:p w:rsidR="00CA6AE6" w:rsidRPr="000A1AC8" w:rsidRDefault="00CA6AE6" w:rsidP="00F40221">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7" w:name="OLE_LINK7"/>
      <w:r w:rsidRPr="000A1AC8">
        <w:rPr>
          <w:color w:val="000000"/>
        </w:rPr>
        <w:t xml:space="preserve">01% x </w:t>
      </w:r>
      <w:r w:rsidR="00761714">
        <w:rPr>
          <w:snapToGrid w:val="0"/>
        </w:rPr>
        <w:t xml:space="preserve">382,462 </w:t>
      </w:r>
      <w:r w:rsidRPr="000A1AC8">
        <w:rPr>
          <w:color w:val="000000"/>
        </w:rPr>
        <w:t xml:space="preserve">=     </w:t>
      </w:r>
      <w:r w:rsidR="00761714">
        <w:rPr>
          <w:color w:val="000000"/>
        </w:rPr>
        <w:t>3824.62</w:t>
      </w:r>
      <w:r w:rsidRPr="000A1AC8">
        <w:rPr>
          <w:color w:val="000000"/>
        </w:rPr>
        <w:t xml:space="preserve"> @ $100 = </w:t>
      </w:r>
      <w:r w:rsidR="00333A85">
        <w:rPr>
          <w:color w:val="000000"/>
        </w:rPr>
        <w:t xml:space="preserve">  </w:t>
      </w:r>
      <w:r w:rsidRPr="000A1AC8">
        <w:rPr>
          <w:color w:val="000000"/>
          <w:u w:val="single"/>
        </w:rPr>
        <w:t xml:space="preserve">$  </w:t>
      </w:r>
      <w:r w:rsidR="00761714">
        <w:rPr>
          <w:color w:val="000000"/>
          <w:u w:val="single"/>
        </w:rPr>
        <w:t xml:space="preserve">     382,462</w:t>
      </w:r>
      <w:r w:rsidRPr="000A1AC8">
        <w:rPr>
          <w:color w:val="000000"/>
          <w:u w:val="single"/>
        </w:rPr>
        <w:t>.0</w:t>
      </w:r>
      <w:bookmarkEnd w:id="7"/>
      <w:r w:rsidRPr="000A1AC8">
        <w:rPr>
          <w:color w:val="000000"/>
          <w:u w:val="single"/>
        </w:rPr>
        <w:t xml:space="preserve">0   </w:t>
      </w:r>
    </w:p>
    <w:p w:rsidR="00CA6AE6" w:rsidRPr="000A1AC8" w:rsidRDefault="00CA6AE6" w:rsidP="00F40221">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 </w:t>
      </w:r>
      <w:r w:rsidR="00761714">
        <w:rPr>
          <w:color w:val="000000"/>
        </w:rPr>
        <w:t xml:space="preserve">  16,139,896.44</w:t>
      </w:r>
    </w:p>
    <w:p w:rsidR="00CA6AE6" w:rsidRPr="0057093A" w:rsidRDefault="00CA6AE6" w:rsidP="00F40221">
      <w:pPr>
        <w:keepLines/>
        <w:tabs>
          <w:tab w:val="left" w:pos="432"/>
          <w:tab w:val="left" w:pos="1296"/>
          <w:tab w:val="left" w:pos="1728"/>
          <w:tab w:val="left" w:pos="4176"/>
        </w:tabs>
        <w:rPr>
          <w:szCs w:val="20"/>
        </w:rPr>
      </w:pP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F40221">
      <w:pPr>
        <w:pStyle w:val="BodyText"/>
        <w:ind w:right="-480"/>
      </w:pPr>
      <w:r>
        <w:t xml:space="preserve">          </w:t>
      </w:r>
    </w:p>
    <w:p w:rsidR="00CA6AE6" w:rsidRDefault="00A759DF" w:rsidP="00F40221">
      <w:pPr>
        <w:pStyle w:val="BodyText"/>
        <w:tabs>
          <w:tab w:val="left" w:pos="720"/>
        </w:tabs>
        <w:ind w:firstLine="720"/>
      </w:pPr>
      <w:r>
        <w:t>Not applicable.</w:t>
      </w:r>
    </w:p>
    <w:p w:rsidR="00CA6AE6" w:rsidRDefault="00CA6AE6" w:rsidP="00F40221">
      <w:pPr>
        <w:pStyle w:val="BodyText"/>
        <w:spacing w:after="0"/>
      </w:pPr>
    </w:p>
    <w:p w:rsidR="00CA6AE6" w:rsidRPr="0057093A" w:rsidRDefault="00CA6AE6" w:rsidP="00F40221">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F40221">
      <w:pPr>
        <w:tabs>
          <w:tab w:val="left" w:pos="432"/>
          <w:tab w:val="left" w:pos="1296"/>
          <w:tab w:val="left" w:pos="1728"/>
          <w:tab w:val="left" w:pos="4176"/>
        </w:tabs>
        <w:rPr>
          <w:color w:val="000000"/>
          <w:szCs w:val="20"/>
        </w:rPr>
      </w:pPr>
    </w:p>
    <w:p w:rsidR="00CA6AE6" w:rsidRPr="0057093A" w:rsidRDefault="00676FA2" w:rsidP="00F40221">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F40221">
      <w:pPr>
        <w:rPr>
          <w:color w:val="000000"/>
          <w:szCs w:val="20"/>
        </w:rPr>
      </w:pPr>
    </w:p>
    <w:p w:rsidR="00CA6AE6" w:rsidRPr="00C73C7B" w:rsidRDefault="00CA6AE6" w:rsidP="00F40221">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F40221">
      <w:pPr>
        <w:autoSpaceDE w:val="0"/>
        <w:autoSpaceDN w:val="0"/>
        <w:adjustRightInd w:val="0"/>
        <w:rPr>
          <w:snapToGrid w:val="0"/>
        </w:rPr>
      </w:pPr>
    </w:p>
    <w:p w:rsidR="00C847CC" w:rsidRPr="00C847CC" w:rsidRDefault="00C847CC" w:rsidP="00C847CC">
      <w:pPr>
        <w:suppressAutoHyphens/>
        <w:rPr>
          <w:szCs w:val="20"/>
        </w:rPr>
      </w:pPr>
      <w:r w:rsidRPr="00C847CC">
        <w:rPr>
          <w:szCs w:val="20"/>
        </w:rPr>
        <w:t xml:space="preserve">The 60-day </w:t>
      </w:r>
      <w:r w:rsidRPr="00C847CC">
        <w:rPr>
          <w:i/>
          <w:iCs/>
          <w:szCs w:val="20"/>
        </w:rPr>
        <w:t>Federal Register</w:t>
      </w:r>
      <w:r w:rsidRPr="00C847CC">
        <w:rPr>
          <w:szCs w:val="20"/>
        </w:rPr>
        <w:t xml:space="preserve"> notice contained an estimated number of respondents of 1,902, which included national trust bank</w:t>
      </w:r>
      <w:r>
        <w:rPr>
          <w:szCs w:val="20"/>
        </w:rPr>
        <w:t>s (NTBs).  These banks hav</w:t>
      </w:r>
      <w:bookmarkStart w:id="8" w:name="_GoBack"/>
      <w:bookmarkEnd w:id="8"/>
      <w:r>
        <w:rPr>
          <w:szCs w:val="20"/>
        </w:rPr>
        <w:t>e been</w:t>
      </w:r>
      <w:r w:rsidRPr="00C847CC">
        <w:rPr>
          <w:szCs w:val="20"/>
        </w:rPr>
        <w:t xml:space="preserve"> excluded from the new estimate (</w:t>
      </w:r>
      <w:r w:rsidR="00B754A0">
        <w:rPr>
          <w:szCs w:val="20"/>
        </w:rPr>
        <w:t>1,</w:t>
      </w:r>
      <w:r w:rsidR="00B754A0" w:rsidRPr="00C847CC">
        <w:rPr>
          <w:szCs w:val="20"/>
        </w:rPr>
        <w:t>74</w:t>
      </w:r>
      <w:r w:rsidR="00B754A0">
        <w:rPr>
          <w:szCs w:val="20"/>
        </w:rPr>
        <w:t>1</w:t>
      </w:r>
      <w:r w:rsidRPr="00C847CC">
        <w:rPr>
          <w:szCs w:val="20"/>
        </w:rPr>
        <w:t>) because while they file call reports, they do not pay into the FDIC insurance fund. The reporting changes affect large and highly complex institutions for deposit assessment purposes. In addition, a more up to date o</w:t>
      </w:r>
      <w:r>
        <w:rPr>
          <w:szCs w:val="20"/>
        </w:rPr>
        <w:t xml:space="preserve">verall institution count is now </w:t>
      </w:r>
      <w:r w:rsidRPr="00C847CC">
        <w:rPr>
          <w:szCs w:val="20"/>
        </w:rPr>
        <w:t xml:space="preserve">available.                                                                </w:t>
      </w:r>
    </w:p>
    <w:p w:rsidR="00CA6AE6" w:rsidRDefault="00CA6AE6" w:rsidP="00F40221">
      <w:pPr>
        <w:suppressAutoHyphens/>
        <w:rPr>
          <w:szCs w:val="20"/>
        </w:rPr>
      </w:pPr>
    </w:p>
    <w:p w:rsidR="00CA6AE6" w:rsidRPr="000A1AC8" w:rsidRDefault="00CA6AE6" w:rsidP="00F40221">
      <w:pPr>
        <w:pStyle w:val="BodyText"/>
        <w:ind w:right="-480"/>
      </w:pPr>
      <w:r w:rsidRPr="000A1AC8">
        <w:rPr>
          <w:u w:val="single"/>
        </w:rPr>
        <w:t>Former burden:</w:t>
      </w:r>
      <w:r>
        <w:tab/>
      </w:r>
      <w:r w:rsidR="00FF2455">
        <w:t>410,511</w:t>
      </w:r>
      <w:r>
        <w:t xml:space="preserve"> burden hours </w:t>
      </w:r>
    </w:p>
    <w:p w:rsidR="00CA6AE6" w:rsidRPr="000A1AC8" w:rsidRDefault="00CA6AE6" w:rsidP="00F40221">
      <w:pPr>
        <w:pStyle w:val="BodyText"/>
        <w:ind w:right="-480"/>
      </w:pPr>
      <w:r w:rsidRPr="000A1AC8">
        <w:rPr>
          <w:u w:val="single"/>
        </w:rPr>
        <w:t>New burden:</w:t>
      </w:r>
      <w:r w:rsidRPr="000A1AC8">
        <w:tab/>
      </w:r>
      <w:r w:rsidRPr="000A1AC8">
        <w:tab/>
      </w:r>
      <w:r w:rsidR="003A0159">
        <w:t>382,462</w:t>
      </w:r>
      <w:r w:rsidR="00FF2455">
        <w:t xml:space="preserve"> </w:t>
      </w:r>
      <w:r>
        <w:t>burden hours</w:t>
      </w:r>
    </w:p>
    <w:p w:rsidR="00E6276E" w:rsidRPr="008508DF" w:rsidRDefault="00CA6AE6" w:rsidP="00F40221">
      <w:pPr>
        <w:pStyle w:val="BodyText"/>
        <w:ind w:right="-480"/>
      </w:pPr>
      <w:r w:rsidRPr="000A1AC8">
        <w:rPr>
          <w:u w:val="single"/>
        </w:rPr>
        <w:t>Change:</w:t>
      </w:r>
      <w:r w:rsidRPr="000A1AC8">
        <w:tab/>
        <w:t xml:space="preserve">           </w:t>
      </w:r>
      <w:r w:rsidR="006E5E3B">
        <w:t xml:space="preserve"> - </w:t>
      </w:r>
      <w:r w:rsidR="003A0159">
        <w:t>28,049</w:t>
      </w:r>
      <w:r w:rsidR="00FF2455">
        <w:t xml:space="preserve"> </w:t>
      </w:r>
      <w:r w:rsidRPr="000A1AC8">
        <w:t>burden hours</w:t>
      </w:r>
    </w:p>
    <w:p w:rsidR="00E6276E" w:rsidRPr="0057093A" w:rsidRDefault="00E6276E" w:rsidP="00F40221">
      <w:pPr>
        <w:tabs>
          <w:tab w:val="left" w:pos="432"/>
          <w:tab w:val="left" w:pos="1296"/>
          <w:tab w:val="left" w:pos="1728"/>
          <w:tab w:val="left" w:pos="4176"/>
        </w:tabs>
        <w:rPr>
          <w:color w:val="000000"/>
          <w:szCs w:val="20"/>
        </w:rPr>
      </w:pPr>
    </w:p>
    <w:p w:rsidR="00C847CC" w:rsidRDefault="00C847CC" w:rsidP="00F40221">
      <w:pPr>
        <w:tabs>
          <w:tab w:val="left" w:pos="432"/>
          <w:tab w:val="left" w:pos="1296"/>
          <w:tab w:val="left" w:pos="1728"/>
          <w:tab w:val="left" w:pos="4176"/>
        </w:tabs>
        <w:ind w:left="432" w:hanging="432"/>
        <w:rPr>
          <w:color w:val="000000"/>
          <w:szCs w:val="20"/>
        </w:rPr>
      </w:pPr>
    </w:p>
    <w:p w:rsidR="00C847CC" w:rsidRDefault="00C847CC" w:rsidP="00F40221">
      <w:pPr>
        <w:tabs>
          <w:tab w:val="left" w:pos="432"/>
          <w:tab w:val="left" w:pos="1296"/>
          <w:tab w:val="left" w:pos="1728"/>
          <w:tab w:val="left" w:pos="4176"/>
        </w:tabs>
        <w:ind w:left="432" w:hanging="432"/>
        <w:rPr>
          <w:color w:val="000000"/>
          <w:szCs w:val="20"/>
        </w:rPr>
      </w:pPr>
    </w:p>
    <w:p w:rsidR="00CA6AE6" w:rsidRPr="0057093A" w:rsidRDefault="002276C4" w:rsidP="00F40221">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F40221">
      <w:pPr>
        <w:rPr>
          <w:color w:val="000000"/>
          <w:szCs w:val="20"/>
        </w:rPr>
      </w:pPr>
    </w:p>
    <w:p w:rsidR="00CA6AE6" w:rsidRPr="0057093A" w:rsidRDefault="00CA6AE6" w:rsidP="00F40221">
      <w:pPr>
        <w:rPr>
          <w:color w:val="000000"/>
          <w:szCs w:val="20"/>
        </w:rPr>
      </w:pPr>
      <w:r>
        <w:rPr>
          <w:color w:val="000000"/>
          <w:szCs w:val="20"/>
        </w:rPr>
        <w:t xml:space="preserve">          </w:t>
      </w:r>
      <w:r w:rsidR="002276C4">
        <w:rPr>
          <w:color w:val="000000"/>
          <w:szCs w:val="20"/>
        </w:rPr>
        <w:t>Not applicable.</w:t>
      </w:r>
    </w:p>
    <w:p w:rsidR="00CA6AE6" w:rsidRPr="0057093A" w:rsidRDefault="00CA6AE6" w:rsidP="00F40221">
      <w:pPr>
        <w:rPr>
          <w:color w:val="000000"/>
          <w:szCs w:val="20"/>
        </w:rPr>
      </w:pPr>
    </w:p>
    <w:p w:rsidR="00CA6AE6" w:rsidRDefault="00CA6AE6" w:rsidP="00F40221">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F40221">
      <w:pPr>
        <w:tabs>
          <w:tab w:val="left" w:pos="432"/>
          <w:tab w:val="left" w:pos="1296"/>
          <w:tab w:val="left" w:pos="1728"/>
          <w:tab w:val="left" w:pos="4176"/>
        </w:tabs>
        <w:rPr>
          <w:color w:val="000000"/>
          <w:szCs w:val="20"/>
        </w:rPr>
      </w:pPr>
    </w:p>
    <w:p w:rsidR="00CA6AE6" w:rsidRPr="0057093A" w:rsidRDefault="00CA6AE6" w:rsidP="00F40221">
      <w:pPr>
        <w:keepNext/>
        <w:rPr>
          <w:color w:val="000000"/>
          <w:szCs w:val="20"/>
        </w:rPr>
      </w:pPr>
      <w:r>
        <w:rPr>
          <w:color w:val="000000"/>
          <w:szCs w:val="20"/>
        </w:rPr>
        <w:t xml:space="preserve">      </w:t>
      </w:r>
      <w:r w:rsidRPr="0057093A">
        <w:rPr>
          <w:color w:val="000000"/>
          <w:szCs w:val="20"/>
        </w:rPr>
        <w:t>None.</w:t>
      </w:r>
    </w:p>
    <w:p w:rsidR="00CA6AE6" w:rsidRPr="0057093A" w:rsidRDefault="00CA6AE6" w:rsidP="00F40221">
      <w:pPr>
        <w:keepNext/>
        <w:rPr>
          <w:color w:val="000000"/>
          <w:szCs w:val="20"/>
        </w:rPr>
      </w:pPr>
    </w:p>
    <w:p w:rsidR="00CA6AE6" w:rsidRPr="0057093A" w:rsidRDefault="00CA6AE6" w:rsidP="00F40221">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F40221">
      <w:pPr>
        <w:keepNext/>
        <w:rPr>
          <w:color w:val="000000"/>
          <w:szCs w:val="20"/>
        </w:rPr>
      </w:pPr>
    </w:p>
    <w:p w:rsidR="00CA6AE6" w:rsidRPr="0057093A" w:rsidRDefault="00CA6AE6" w:rsidP="00F40221">
      <w:pPr>
        <w:keepNext/>
        <w:rPr>
          <w:color w:val="000000"/>
          <w:szCs w:val="20"/>
        </w:rPr>
      </w:pPr>
      <w:r>
        <w:rPr>
          <w:color w:val="000000"/>
          <w:szCs w:val="20"/>
        </w:rPr>
        <w:t xml:space="preserve">          </w:t>
      </w:r>
      <w:r w:rsidRPr="0057093A">
        <w:rPr>
          <w:color w:val="000000"/>
          <w:szCs w:val="20"/>
        </w:rPr>
        <w:t>None.</w:t>
      </w:r>
    </w:p>
    <w:p w:rsidR="00CA6AE6" w:rsidRPr="0057093A" w:rsidRDefault="00CA6AE6" w:rsidP="00F40221">
      <w:pPr>
        <w:keepNext/>
        <w:rPr>
          <w:color w:val="000000"/>
          <w:szCs w:val="20"/>
        </w:rPr>
      </w:pPr>
    </w:p>
    <w:p w:rsidR="00CA6AE6" w:rsidRDefault="00CA6AE6" w:rsidP="00F40221">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F40221">
      <w:pPr>
        <w:suppressAutoHyphens/>
        <w:rPr>
          <w:szCs w:val="20"/>
        </w:rPr>
      </w:pPr>
    </w:p>
    <w:p w:rsidR="00CA6AE6" w:rsidRDefault="00CA6AE6" w:rsidP="00F40221">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34" w:rsidRDefault="00716434">
      <w:r>
        <w:separator/>
      </w:r>
    </w:p>
  </w:endnote>
  <w:endnote w:type="continuationSeparator" w:id="0">
    <w:p w:rsidR="00716434" w:rsidRDefault="0071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620482">
      <w:rPr>
        <w:rStyle w:val="PageNumber"/>
        <w:rFonts w:ascii="Times New Roman" w:hAnsi="Times New Roman"/>
        <w:noProof/>
      </w:rPr>
      <w:t>8</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34" w:rsidRDefault="00716434">
      <w:r>
        <w:separator/>
      </w:r>
    </w:p>
  </w:footnote>
  <w:footnote w:type="continuationSeparator" w:id="0">
    <w:p w:rsidR="00716434" w:rsidRDefault="00716434">
      <w:r>
        <w:continuationSeparator/>
      </w:r>
    </w:p>
  </w:footnote>
  <w:footnote w:id="1">
    <w:p w:rsidR="00033A04" w:rsidRDefault="00033A04">
      <w:pPr>
        <w:pStyle w:val="FootnoteText"/>
      </w:pPr>
      <w:r>
        <w:rPr>
          <w:rStyle w:val="FootnoteReference"/>
        </w:rPr>
        <w:footnoteRef/>
      </w:r>
      <w:r>
        <w:t xml:space="preserve"> 78 FR 12141.</w:t>
      </w:r>
    </w:p>
  </w:footnote>
  <w:footnote w:id="2">
    <w:p w:rsidR="00F40221" w:rsidRDefault="00F40221" w:rsidP="00F40221">
      <w:pPr>
        <w:pStyle w:val="FootnoteText"/>
      </w:pPr>
      <w:r>
        <w:rPr>
          <w:rStyle w:val="FootnoteReference"/>
        </w:rPr>
        <w:footnoteRef/>
      </w:r>
      <w:r>
        <w:t xml:space="preserve">  </w:t>
      </w:r>
      <w:r w:rsidRPr="00276A3F">
        <w:rPr>
          <w:i/>
        </w:rPr>
        <w:t>See</w:t>
      </w:r>
      <w:r>
        <w:t xml:space="preserve"> 77 FR 66000, October 31, 2012.  </w:t>
      </w:r>
    </w:p>
  </w:footnote>
  <w:footnote w:id="3">
    <w:p w:rsidR="00F40221" w:rsidRDefault="00F40221" w:rsidP="00F40221">
      <w:pPr>
        <w:pStyle w:val="FootnoteText"/>
      </w:pPr>
      <w:r>
        <w:rPr>
          <w:rStyle w:val="FootnoteReference"/>
        </w:rPr>
        <w:footnoteRef/>
      </w:r>
      <w:r>
        <w:t xml:space="preserve">  </w:t>
      </w:r>
      <w:r w:rsidRPr="00276A3F">
        <w:rPr>
          <w:i/>
        </w:rPr>
        <w:t>See</w:t>
      </w:r>
      <w:r>
        <w:t xml:space="preserve"> 76 FR 10672, February 25, 2011.</w:t>
      </w:r>
    </w:p>
  </w:footnote>
  <w:footnote w:id="4">
    <w:p w:rsidR="00F40221" w:rsidRDefault="00F40221" w:rsidP="00F40221">
      <w:pPr>
        <w:pStyle w:val="FootnoteText"/>
      </w:pPr>
      <w:r>
        <w:rPr>
          <w:rStyle w:val="FootnoteReference"/>
        </w:rPr>
        <w:footnoteRef/>
      </w:r>
      <w:r>
        <w:t xml:space="preserve">  The FDIC’s October 2012 assessments final rule defines “higher-risk consumer loans,” “higher-risk commercial and industrial loans,” and “higher-risk securitizations” in Sections I.A.3, I.A.2, and I.A.5, respectively, of Appendix C to Subpart A to Part 327 of the FDIC’s regulations.</w:t>
      </w:r>
    </w:p>
  </w:footnote>
  <w:footnote w:id="5">
    <w:p w:rsidR="00F40221" w:rsidRPr="00315DE6" w:rsidRDefault="00F40221" w:rsidP="00F40221">
      <w:pPr>
        <w:rPr>
          <w:sz w:val="20"/>
          <w:szCs w:val="20"/>
        </w:rPr>
      </w:pPr>
      <w:r w:rsidRPr="00315DE6">
        <w:rPr>
          <w:rStyle w:val="FootnoteReference"/>
          <w:sz w:val="20"/>
          <w:szCs w:val="20"/>
        </w:rPr>
        <w:footnoteRef/>
      </w:r>
      <w:r w:rsidRPr="00315DE6">
        <w:rPr>
          <w:sz w:val="20"/>
          <w:szCs w:val="20"/>
        </w:rPr>
        <w:t xml:space="preserve">  </w:t>
      </w:r>
      <w:proofErr w:type="gramStart"/>
      <w:r w:rsidRPr="00315DE6">
        <w:rPr>
          <w:sz w:val="20"/>
          <w:szCs w:val="20"/>
        </w:rPr>
        <w:t xml:space="preserve">As stated in the agencies’ final Paperwork Reduction Act </w:t>
      </w:r>
      <w:r w:rsidRPr="00315DE6">
        <w:rPr>
          <w:i/>
          <w:sz w:val="20"/>
          <w:szCs w:val="20"/>
        </w:rPr>
        <w:t>Federal Register</w:t>
      </w:r>
      <w:r w:rsidRPr="00315DE6">
        <w:rPr>
          <w:sz w:val="20"/>
          <w:szCs w:val="20"/>
        </w:rPr>
        <w:t xml:space="preserve"> notice pertaining to the introduction of the Schedule RC-O reporting requirements for large and highly complex institutions (76 FR 77321, December 12, 2011), when “the definitions of these high-risk asset categories . . . are revised through FDIC rulemaking, the definitions of these asset categories in the agencies’ regulatory reporting instructions will be revised in the same manner to maintain conformity with the assessment regulations.”</w:t>
      </w:r>
      <w:proofErr w:type="gramEnd"/>
    </w:p>
  </w:footnote>
  <w:footnote w:id="6">
    <w:p w:rsidR="00F40221" w:rsidRDefault="00F40221" w:rsidP="00F40221">
      <w:pPr>
        <w:pStyle w:val="FootnoteText"/>
      </w:pPr>
      <w:r>
        <w:rPr>
          <w:rStyle w:val="FootnoteReference"/>
        </w:rPr>
        <w:footnoteRef/>
      </w:r>
      <w:r>
        <w:t xml:space="preserve">  </w:t>
      </w:r>
      <w:proofErr w:type="gramStart"/>
      <w:r>
        <w:t>The American Bankers Association, the Financial Services Roundtable, and the Consumer Bankers Association.</w:t>
      </w:r>
      <w:proofErr w:type="gramEnd"/>
    </w:p>
  </w:footnote>
  <w:footnote w:id="7">
    <w:p w:rsidR="00F40221" w:rsidRDefault="00F40221" w:rsidP="00F40221">
      <w:pPr>
        <w:pStyle w:val="FootnoteText"/>
      </w:pPr>
      <w:r>
        <w:rPr>
          <w:rStyle w:val="FootnoteReference"/>
        </w:rPr>
        <w:footnoteRef/>
      </w:r>
      <w:r>
        <w:t xml:space="preserve">  The combined items will be designated Memorandum item 19.d.  </w:t>
      </w:r>
      <w:proofErr w:type="gramStart"/>
      <w:r>
        <w:t>As a result</w:t>
      </w:r>
      <w:proofErr w:type="gramEnd"/>
      <w:r>
        <w:t xml:space="preserve"> of this change, Memorandum items 19.f through 19.k of Schedule RC-O will be renumbered as Memorandum items 19.e through 19.j.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E06C07"/>
    <w:multiLevelType w:val="hybridMultilevel"/>
    <w:tmpl w:val="48820E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6">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7">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8">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9">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2">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3">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9"/>
  </w:num>
  <w:num w:numId="2">
    <w:abstractNumId w:val="5"/>
  </w:num>
  <w:num w:numId="3">
    <w:abstractNumId w:val="8"/>
  </w:num>
  <w:num w:numId="4">
    <w:abstractNumId w:val="6"/>
  </w:num>
  <w:num w:numId="5">
    <w:abstractNumId w:val="16"/>
  </w:num>
  <w:num w:numId="6">
    <w:abstractNumId w:val="11"/>
  </w:num>
  <w:num w:numId="7">
    <w:abstractNumId w:val="7"/>
  </w:num>
  <w:num w:numId="8">
    <w:abstractNumId w:val="3"/>
  </w:num>
  <w:num w:numId="9">
    <w:abstractNumId w:val="14"/>
  </w:num>
  <w:num w:numId="10">
    <w:abstractNumId w:val="15"/>
  </w:num>
  <w:num w:numId="11">
    <w:abstractNumId w:val="1"/>
  </w:num>
  <w:num w:numId="12">
    <w:abstractNumId w:val="13"/>
  </w:num>
  <w:num w:numId="13">
    <w:abstractNumId w:val="2"/>
  </w:num>
  <w:num w:numId="14">
    <w:abstractNumId w:val="12"/>
  </w:num>
  <w:num w:numId="15">
    <w:abstractNumId w:val="0"/>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33A04"/>
    <w:rsid w:val="000763C7"/>
    <w:rsid w:val="0007696C"/>
    <w:rsid w:val="00084B79"/>
    <w:rsid w:val="00091FA1"/>
    <w:rsid w:val="000955DF"/>
    <w:rsid w:val="00097C68"/>
    <w:rsid w:val="000A1AC8"/>
    <w:rsid w:val="000A499B"/>
    <w:rsid w:val="000B4C56"/>
    <w:rsid w:val="000C6752"/>
    <w:rsid w:val="000D5B2A"/>
    <w:rsid w:val="000E2B81"/>
    <w:rsid w:val="000E306E"/>
    <w:rsid w:val="000E37A6"/>
    <w:rsid w:val="001123DE"/>
    <w:rsid w:val="001212C3"/>
    <w:rsid w:val="00122748"/>
    <w:rsid w:val="00134EF6"/>
    <w:rsid w:val="001501BE"/>
    <w:rsid w:val="00156CDE"/>
    <w:rsid w:val="001653AA"/>
    <w:rsid w:val="00166EE7"/>
    <w:rsid w:val="001671BC"/>
    <w:rsid w:val="00180FD6"/>
    <w:rsid w:val="00195BF7"/>
    <w:rsid w:val="001A1F72"/>
    <w:rsid w:val="001A22FF"/>
    <w:rsid w:val="001A28F7"/>
    <w:rsid w:val="001A2F44"/>
    <w:rsid w:val="001A4D5C"/>
    <w:rsid w:val="001B0EF5"/>
    <w:rsid w:val="001C15A4"/>
    <w:rsid w:val="001E01CC"/>
    <w:rsid w:val="001E7D11"/>
    <w:rsid w:val="001F1307"/>
    <w:rsid w:val="001F26AB"/>
    <w:rsid w:val="001F3330"/>
    <w:rsid w:val="001F442E"/>
    <w:rsid w:val="00207BFF"/>
    <w:rsid w:val="002276C4"/>
    <w:rsid w:val="002370D8"/>
    <w:rsid w:val="0024348A"/>
    <w:rsid w:val="00244FE8"/>
    <w:rsid w:val="00245BCB"/>
    <w:rsid w:val="002549A7"/>
    <w:rsid w:val="0026359E"/>
    <w:rsid w:val="002704C5"/>
    <w:rsid w:val="002822B8"/>
    <w:rsid w:val="002866D4"/>
    <w:rsid w:val="00292AF4"/>
    <w:rsid w:val="00294B40"/>
    <w:rsid w:val="002A5DD8"/>
    <w:rsid w:val="002B0C9F"/>
    <w:rsid w:val="002B62CE"/>
    <w:rsid w:val="002B6882"/>
    <w:rsid w:val="002C22E8"/>
    <w:rsid w:val="002D4F92"/>
    <w:rsid w:val="002D5409"/>
    <w:rsid w:val="002E5DD1"/>
    <w:rsid w:val="002F3BC8"/>
    <w:rsid w:val="00300FF7"/>
    <w:rsid w:val="00306CF3"/>
    <w:rsid w:val="00312F97"/>
    <w:rsid w:val="00313481"/>
    <w:rsid w:val="00315DE6"/>
    <w:rsid w:val="00333A85"/>
    <w:rsid w:val="003420C6"/>
    <w:rsid w:val="003460C7"/>
    <w:rsid w:val="003467C7"/>
    <w:rsid w:val="00364C55"/>
    <w:rsid w:val="00366717"/>
    <w:rsid w:val="0037145D"/>
    <w:rsid w:val="00371B47"/>
    <w:rsid w:val="00372CA3"/>
    <w:rsid w:val="00381C36"/>
    <w:rsid w:val="00383D87"/>
    <w:rsid w:val="00387409"/>
    <w:rsid w:val="003879BC"/>
    <w:rsid w:val="003A0159"/>
    <w:rsid w:val="003B1304"/>
    <w:rsid w:val="003C7D9C"/>
    <w:rsid w:val="003D7B2E"/>
    <w:rsid w:val="003E7270"/>
    <w:rsid w:val="00405787"/>
    <w:rsid w:val="0040759C"/>
    <w:rsid w:val="0043127D"/>
    <w:rsid w:val="00443BF9"/>
    <w:rsid w:val="00481352"/>
    <w:rsid w:val="00487CD9"/>
    <w:rsid w:val="00493EDC"/>
    <w:rsid w:val="0049470D"/>
    <w:rsid w:val="004A5DE7"/>
    <w:rsid w:val="004D05FB"/>
    <w:rsid w:val="004D3B50"/>
    <w:rsid w:val="004F1A3A"/>
    <w:rsid w:val="004F2D31"/>
    <w:rsid w:val="004F7520"/>
    <w:rsid w:val="005350C8"/>
    <w:rsid w:val="0054027F"/>
    <w:rsid w:val="00543BC4"/>
    <w:rsid w:val="00550020"/>
    <w:rsid w:val="00565713"/>
    <w:rsid w:val="0057093A"/>
    <w:rsid w:val="005709F9"/>
    <w:rsid w:val="005832F4"/>
    <w:rsid w:val="005849BB"/>
    <w:rsid w:val="005A68E5"/>
    <w:rsid w:val="005B4B4B"/>
    <w:rsid w:val="005C6FB0"/>
    <w:rsid w:val="005D31A9"/>
    <w:rsid w:val="005E1469"/>
    <w:rsid w:val="005E7804"/>
    <w:rsid w:val="005F179D"/>
    <w:rsid w:val="005F2F23"/>
    <w:rsid w:val="005F40AF"/>
    <w:rsid w:val="00610CCD"/>
    <w:rsid w:val="00620482"/>
    <w:rsid w:val="006238B0"/>
    <w:rsid w:val="00633AAE"/>
    <w:rsid w:val="00657DEF"/>
    <w:rsid w:val="00676FA2"/>
    <w:rsid w:val="00686506"/>
    <w:rsid w:val="00690152"/>
    <w:rsid w:val="00692323"/>
    <w:rsid w:val="00695524"/>
    <w:rsid w:val="006A68A3"/>
    <w:rsid w:val="006B43CC"/>
    <w:rsid w:val="006B61AE"/>
    <w:rsid w:val="006B747C"/>
    <w:rsid w:val="006C25D8"/>
    <w:rsid w:val="006C3142"/>
    <w:rsid w:val="006C3A41"/>
    <w:rsid w:val="006E5E3B"/>
    <w:rsid w:val="006F76FA"/>
    <w:rsid w:val="00702CFD"/>
    <w:rsid w:val="00716434"/>
    <w:rsid w:val="00716DE0"/>
    <w:rsid w:val="007175DC"/>
    <w:rsid w:val="00726A1B"/>
    <w:rsid w:val="007330D2"/>
    <w:rsid w:val="00736599"/>
    <w:rsid w:val="007445F3"/>
    <w:rsid w:val="00761714"/>
    <w:rsid w:val="00764530"/>
    <w:rsid w:val="00770607"/>
    <w:rsid w:val="00770C43"/>
    <w:rsid w:val="00784C0B"/>
    <w:rsid w:val="007A4723"/>
    <w:rsid w:val="007A4D6B"/>
    <w:rsid w:val="007A7EBE"/>
    <w:rsid w:val="007C28BF"/>
    <w:rsid w:val="007D5609"/>
    <w:rsid w:val="007F0FF0"/>
    <w:rsid w:val="007F5145"/>
    <w:rsid w:val="00815C5A"/>
    <w:rsid w:val="00817CD2"/>
    <w:rsid w:val="008214CF"/>
    <w:rsid w:val="00824F9F"/>
    <w:rsid w:val="008508DF"/>
    <w:rsid w:val="00851688"/>
    <w:rsid w:val="00853596"/>
    <w:rsid w:val="00855652"/>
    <w:rsid w:val="00863A73"/>
    <w:rsid w:val="00864D19"/>
    <w:rsid w:val="00864EC9"/>
    <w:rsid w:val="008861AE"/>
    <w:rsid w:val="008A5FFD"/>
    <w:rsid w:val="008D4A04"/>
    <w:rsid w:val="00905279"/>
    <w:rsid w:val="009131CF"/>
    <w:rsid w:val="00925DD0"/>
    <w:rsid w:val="00947F65"/>
    <w:rsid w:val="00972A49"/>
    <w:rsid w:val="0097330C"/>
    <w:rsid w:val="00986BCD"/>
    <w:rsid w:val="009872D2"/>
    <w:rsid w:val="009A54A9"/>
    <w:rsid w:val="009B4C7A"/>
    <w:rsid w:val="009D1FD1"/>
    <w:rsid w:val="009E5070"/>
    <w:rsid w:val="009E7C53"/>
    <w:rsid w:val="009E7F93"/>
    <w:rsid w:val="009F5A69"/>
    <w:rsid w:val="00A03240"/>
    <w:rsid w:val="00A06F30"/>
    <w:rsid w:val="00A16794"/>
    <w:rsid w:val="00A248E8"/>
    <w:rsid w:val="00A26094"/>
    <w:rsid w:val="00A33182"/>
    <w:rsid w:val="00A3523F"/>
    <w:rsid w:val="00A63BEA"/>
    <w:rsid w:val="00A759DF"/>
    <w:rsid w:val="00A85FAA"/>
    <w:rsid w:val="00A874E5"/>
    <w:rsid w:val="00A97A9C"/>
    <w:rsid w:val="00AA00E1"/>
    <w:rsid w:val="00AA1A95"/>
    <w:rsid w:val="00AA4A49"/>
    <w:rsid w:val="00AB2620"/>
    <w:rsid w:val="00AB2C89"/>
    <w:rsid w:val="00AB569E"/>
    <w:rsid w:val="00AD547D"/>
    <w:rsid w:val="00AD6972"/>
    <w:rsid w:val="00AE564D"/>
    <w:rsid w:val="00AF3510"/>
    <w:rsid w:val="00AF5344"/>
    <w:rsid w:val="00AF66F9"/>
    <w:rsid w:val="00B12254"/>
    <w:rsid w:val="00B17E02"/>
    <w:rsid w:val="00B25D6A"/>
    <w:rsid w:val="00B26CB2"/>
    <w:rsid w:val="00B32403"/>
    <w:rsid w:val="00B34BE2"/>
    <w:rsid w:val="00B35440"/>
    <w:rsid w:val="00B403CA"/>
    <w:rsid w:val="00B537FB"/>
    <w:rsid w:val="00B538A4"/>
    <w:rsid w:val="00B754A0"/>
    <w:rsid w:val="00B778E2"/>
    <w:rsid w:val="00B83621"/>
    <w:rsid w:val="00BA13FC"/>
    <w:rsid w:val="00BA7588"/>
    <w:rsid w:val="00BB39A4"/>
    <w:rsid w:val="00BC2CD0"/>
    <w:rsid w:val="00BD630F"/>
    <w:rsid w:val="00BD6484"/>
    <w:rsid w:val="00BE1183"/>
    <w:rsid w:val="00BE2FFC"/>
    <w:rsid w:val="00C0119C"/>
    <w:rsid w:val="00C01591"/>
    <w:rsid w:val="00C44C8A"/>
    <w:rsid w:val="00C56D25"/>
    <w:rsid w:val="00C5719D"/>
    <w:rsid w:val="00C6736B"/>
    <w:rsid w:val="00C73C7B"/>
    <w:rsid w:val="00C8008F"/>
    <w:rsid w:val="00C808A5"/>
    <w:rsid w:val="00C847CC"/>
    <w:rsid w:val="00CA6AE6"/>
    <w:rsid w:val="00CA6B7B"/>
    <w:rsid w:val="00CB02BA"/>
    <w:rsid w:val="00CB4597"/>
    <w:rsid w:val="00CB7144"/>
    <w:rsid w:val="00CD58C0"/>
    <w:rsid w:val="00CE1D93"/>
    <w:rsid w:val="00CE6FC5"/>
    <w:rsid w:val="00CF2DB5"/>
    <w:rsid w:val="00CF4177"/>
    <w:rsid w:val="00CF6677"/>
    <w:rsid w:val="00D03AAD"/>
    <w:rsid w:val="00D16310"/>
    <w:rsid w:val="00D24E5A"/>
    <w:rsid w:val="00D33C3E"/>
    <w:rsid w:val="00D35EEE"/>
    <w:rsid w:val="00D4647C"/>
    <w:rsid w:val="00D57E0B"/>
    <w:rsid w:val="00D60287"/>
    <w:rsid w:val="00D61364"/>
    <w:rsid w:val="00D66E11"/>
    <w:rsid w:val="00D67CD8"/>
    <w:rsid w:val="00D8196E"/>
    <w:rsid w:val="00D8409D"/>
    <w:rsid w:val="00D84657"/>
    <w:rsid w:val="00D87654"/>
    <w:rsid w:val="00D95C8C"/>
    <w:rsid w:val="00DA2264"/>
    <w:rsid w:val="00DA7BD7"/>
    <w:rsid w:val="00DB0B3E"/>
    <w:rsid w:val="00DC10AE"/>
    <w:rsid w:val="00DC39A6"/>
    <w:rsid w:val="00DD2499"/>
    <w:rsid w:val="00DE5E35"/>
    <w:rsid w:val="00DF32EB"/>
    <w:rsid w:val="00DF4BE6"/>
    <w:rsid w:val="00DF50D1"/>
    <w:rsid w:val="00DF6477"/>
    <w:rsid w:val="00E04FB7"/>
    <w:rsid w:val="00E32CDD"/>
    <w:rsid w:val="00E360F4"/>
    <w:rsid w:val="00E431CD"/>
    <w:rsid w:val="00E43304"/>
    <w:rsid w:val="00E506E9"/>
    <w:rsid w:val="00E51177"/>
    <w:rsid w:val="00E56573"/>
    <w:rsid w:val="00E6276E"/>
    <w:rsid w:val="00E721CE"/>
    <w:rsid w:val="00E73E62"/>
    <w:rsid w:val="00E87164"/>
    <w:rsid w:val="00EB140A"/>
    <w:rsid w:val="00EB73A2"/>
    <w:rsid w:val="00EC3358"/>
    <w:rsid w:val="00EE147F"/>
    <w:rsid w:val="00EE347E"/>
    <w:rsid w:val="00F31B26"/>
    <w:rsid w:val="00F34BA6"/>
    <w:rsid w:val="00F401C7"/>
    <w:rsid w:val="00F40221"/>
    <w:rsid w:val="00F519AA"/>
    <w:rsid w:val="00F533B8"/>
    <w:rsid w:val="00F62D8D"/>
    <w:rsid w:val="00F66B04"/>
    <w:rsid w:val="00F80618"/>
    <w:rsid w:val="00F90FD4"/>
    <w:rsid w:val="00FA6F27"/>
    <w:rsid w:val="00FF15EC"/>
    <w:rsid w:val="00FF2455"/>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
    <w:basedOn w:val="Normal"/>
    <w:link w:val="FootnoteTextChar"/>
    <w:uiPriority w:val="99"/>
    <w:rsid w:val="0057093A"/>
    <w:rPr>
      <w:sz w:val="20"/>
      <w:szCs w:val="20"/>
    </w:rPr>
  </w:style>
  <w:style w:type="character" w:customStyle="1" w:styleId="FootnoteTextChar">
    <w:name w:val="Footnote Text Char"/>
    <w:aliases w:val="Footnote Text Char Char Char"/>
    <w:basedOn w:val="DefaultParagraphFont"/>
    <w:link w:val="FootnoteText"/>
    <w:uiPriority w:val="99"/>
    <w:locked/>
    <w:rsid w:val="00180FD6"/>
    <w:rPr>
      <w:rFonts w:cs="Times New Roman"/>
      <w:lang w:val="en-US" w:eastAsia="en-US" w:bidi="ar-SA"/>
    </w:rPr>
  </w:style>
  <w:style w:type="character" w:styleId="FootnoteReference">
    <w:name w:val="footnote reference"/>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99"/>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
    <w:basedOn w:val="Normal"/>
    <w:link w:val="FootnoteTextChar"/>
    <w:uiPriority w:val="99"/>
    <w:rsid w:val="0057093A"/>
    <w:rPr>
      <w:sz w:val="20"/>
      <w:szCs w:val="20"/>
    </w:rPr>
  </w:style>
  <w:style w:type="character" w:customStyle="1" w:styleId="FootnoteTextChar">
    <w:name w:val="Footnote Text Char"/>
    <w:aliases w:val="Footnote Text Char Char Char"/>
    <w:basedOn w:val="DefaultParagraphFont"/>
    <w:link w:val="FootnoteText"/>
    <w:uiPriority w:val="99"/>
    <w:locked/>
    <w:rsid w:val="00180FD6"/>
    <w:rPr>
      <w:rFonts w:cs="Times New Roman"/>
      <w:lang w:val="en-US" w:eastAsia="en-US" w:bidi="ar-SA"/>
    </w:rPr>
  </w:style>
  <w:style w:type="character" w:styleId="FootnoteReference">
    <w:name w:val="footnote reference"/>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99"/>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EFEC-D6EB-4E4C-BECA-48CA3EC9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3524</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juanmanuel.vilela</cp:lastModifiedBy>
  <cp:revision>3</cp:revision>
  <cp:lastPrinted>2012-02-09T14:25:00Z</cp:lastPrinted>
  <dcterms:created xsi:type="dcterms:W3CDTF">2013-05-08T20:29:00Z</dcterms:created>
  <dcterms:modified xsi:type="dcterms:W3CDTF">2013-05-09T13:01:00Z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