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75" w:rsidRPr="002C4F75" w:rsidRDefault="002B096F" w:rsidP="002C4F75">
      <w:pPr>
        <w:pStyle w:val="ReportCover-Title"/>
        <w:rPr>
          <w:rFonts w:ascii="Arial" w:hAnsi="Arial" w:cs="Arial"/>
          <w:color w:val="auto"/>
        </w:rPr>
      </w:pPr>
      <w:r>
        <w:rPr>
          <w:rFonts w:ascii="Arial" w:hAnsi="Arial" w:cs="Arial"/>
          <w:noProof/>
          <w:color w:val="auto"/>
        </w:rPr>
        <w:pict>
          <v:shapetype id="_x0000_t32" coordsize="21600,21600" o:spt="32" o:oned="t" path="m,l21600,21600e" filled="f">
            <v:path arrowok="t" fillok="f" o:connecttype="none"/>
            <o:lock v:ext="edit" shapetype="t"/>
          </v:shapetype>
          <v:shape id="AutoShape 2" o:spid="_x0000_s1026" type="#_x0000_t32" style="position:absolute;margin-left:-7.5pt;margin-top:-1.9pt;width:484.45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" strokeweight="3pt"/>
        </w:pict>
      </w:r>
    </w:p>
    <w:p w:rsidR="002C4F75" w:rsidRPr="00310FF5" w:rsidRDefault="00286F49" w:rsidP="002C4F75">
      <w:pPr>
        <w:pStyle w:val="ReportCover-Title"/>
        <w:jc w:val="center"/>
        <w:rPr>
          <w:rFonts w:ascii="Times New Roman" w:hAnsi="Times New Roman"/>
          <w:caps/>
          <w:color w:val="auto"/>
        </w:rPr>
      </w:pPr>
      <w:r w:rsidRPr="00310FF5">
        <w:rPr>
          <w:rFonts w:ascii="Times New Roman" w:eastAsia="Arial Unicode MS" w:hAnsi="Times New Roman"/>
          <w:caps/>
          <w:noProof/>
          <w:color w:val="auto"/>
        </w:rPr>
        <w:t xml:space="preserve">School Readiness Goals and Head Start Program Functioning </w:t>
      </w:r>
    </w:p>
    <w:p w:rsidR="002C4F75" w:rsidRPr="00310FF5" w:rsidRDefault="002C4F75" w:rsidP="002C4F75">
      <w:pPr>
        <w:pStyle w:val="ReportCover-Title"/>
        <w:rPr>
          <w:rFonts w:ascii="Times New Roman" w:hAnsi="Times New Roman"/>
          <w:color w:val="auto"/>
        </w:rPr>
      </w:pPr>
    </w:p>
    <w:p w:rsidR="002C4F75" w:rsidRPr="00310FF5" w:rsidRDefault="002C4F75" w:rsidP="002C4F75">
      <w:pPr>
        <w:pStyle w:val="ReportCover-Title"/>
        <w:rPr>
          <w:rFonts w:ascii="Times New Roman" w:hAnsi="Times New Roman"/>
          <w:color w:val="auto"/>
        </w:rPr>
      </w:pPr>
    </w:p>
    <w:p w:rsidR="002C4F75" w:rsidRPr="00310FF5" w:rsidRDefault="002C4F75" w:rsidP="002C4F75">
      <w:pPr>
        <w:pStyle w:val="ReportCover-Title"/>
        <w:jc w:val="center"/>
        <w:rPr>
          <w:rFonts w:ascii="Times New Roman" w:hAnsi="Times New Roman"/>
          <w:color w:val="auto"/>
          <w:sz w:val="32"/>
          <w:szCs w:val="32"/>
        </w:rPr>
      </w:pPr>
      <w:r w:rsidRPr="00310FF5">
        <w:rPr>
          <w:rFonts w:ascii="Times New Roman" w:hAnsi="Times New Roman"/>
          <w:color w:val="auto"/>
          <w:sz w:val="32"/>
          <w:szCs w:val="32"/>
        </w:rPr>
        <w:t>OMB Information Collection Request</w:t>
      </w:r>
    </w:p>
    <w:p w:rsidR="002C4F75" w:rsidRPr="00310FF5" w:rsidRDefault="00310FF5" w:rsidP="002C4F75">
      <w:pPr>
        <w:pStyle w:val="ReportCover-Title"/>
        <w:jc w:val="center"/>
        <w:rPr>
          <w:rFonts w:ascii="Times New Roman" w:hAnsi="Times New Roman"/>
          <w:color w:val="auto"/>
          <w:sz w:val="32"/>
          <w:szCs w:val="32"/>
        </w:rPr>
      </w:pPr>
      <w:r w:rsidRPr="00310FF5">
        <w:rPr>
          <w:rFonts w:ascii="Times New Roman" w:hAnsi="Times New Roman"/>
          <w:color w:val="auto"/>
          <w:sz w:val="32"/>
          <w:szCs w:val="32"/>
        </w:rPr>
        <w:t xml:space="preserve">New Collection </w:t>
      </w:r>
    </w:p>
    <w:p w:rsidR="002C4F75" w:rsidRPr="00310FF5" w:rsidRDefault="002C4F75" w:rsidP="002C4F75">
      <w:pPr>
        <w:rPr>
          <w:szCs w:val="22"/>
        </w:rPr>
      </w:pPr>
    </w:p>
    <w:p w:rsidR="002C4F75" w:rsidRPr="00310FF5" w:rsidRDefault="002C4F75" w:rsidP="002C4F75">
      <w:pPr>
        <w:pStyle w:val="ReportCover-Date"/>
        <w:jc w:val="center"/>
        <w:rPr>
          <w:rFonts w:ascii="Times New Roman" w:hAnsi="Times New Roman"/>
          <w:color w:val="auto"/>
        </w:rPr>
      </w:pPr>
    </w:p>
    <w:p w:rsidR="002C4F75" w:rsidRPr="00310FF5" w:rsidRDefault="002C4F75" w:rsidP="002C4F75">
      <w:pPr>
        <w:pStyle w:val="ReportCover-Date"/>
        <w:spacing w:after="360" w:line="240" w:lineRule="auto"/>
        <w:jc w:val="center"/>
        <w:rPr>
          <w:rFonts w:ascii="Times New Roman" w:hAnsi="Times New Roman"/>
          <w:color w:val="auto"/>
          <w:sz w:val="48"/>
          <w:szCs w:val="48"/>
        </w:rPr>
      </w:pPr>
      <w:r w:rsidRPr="00310FF5">
        <w:rPr>
          <w:rFonts w:ascii="Times New Roman" w:hAnsi="Times New Roman"/>
          <w:color w:val="auto"/>
          <w:sz w:val="48"/>
          <w:szCs w:val="48"/>
        </w:rPr>
        <w:t>Supporting Statement</w:t>
      </w:r>
    </w:p>
    <w:p w:rsidR="002C4F75" w:rsidRPr="00310FF5" w:rsidRDefault="002C4F75" w:rsidP="002C4F75">
      <w:pPr>
        <w:pStyle w:val="ReportCover-Date"/>
        <w:spacing w:after="360" w:line="240" w:lineRule="auto"/>
        <w:jc w:val="center"/>
        <w:rPr>
          <w:rFonts w:ascii="Times New Roman" w:hAnsi="Times New Roman"/>
          <w:color w:val="auto"/>
          <w:sz w:val="48"/>
          <w:szCs w:val="48"/>
        </w:rPr>
      </w:pPr>
      <w:r w:rsidRPr="00310FF5">
        <w:rPr>
          <w:rFonts w:ascii="Times New Roman" w:hAnsi="Times New Roman"/>
          <w:color w:val="auto"/>
          <w:sz w:val="48"/>
          <w:szCs w:val="48"/>
        </w:rPr>
        <w:t>Part A</w:t>
      </w:r>
    </w:p>
    <w:p w:rsidR="002C4F75" w:rsidRPr="00310FF5" w:rsidRDefault="00B87710" w:rsidP="002C4F75">
      <w:pPr>
        <w:pStyle w:val="ReportCover-Date"/>
        <w:jc w:val="center"/>
        <w:rPr>
          <w:rFonts w:ascii="Times New Roman" w:hAnsi="Times New Roman"/>
          <w:color w:val="auto"/>
        </w:rPr>
      </w:pPr>
      <w:r>
        <w:rPr>
          <w:rFonts w:ascii="Times New Roman" w:hAnsi="Times New Roman"/>
          <w:color w:val="auto"/>
        </w:rPr>
        <w:t xml:space="preserve">April </w:t>
      </w:r>
      <w:r w:rsidR="002536EF" w:rsidRPr="00310FF5">
        <w:rPr>
          <w:rFonts w:ascii="Times New Roman" w:hAnsi="Times New Roman"/>
          <w:color w:val="auto"/>
        </w:rPr>
        <w:t>2013</w:t>
      </w:r>
      <w:r w:rsidR="00013F5E">
        <w:rPr>
          <w:rFonts w:ascii="Times New Roman" w:hAnsi="Times New Roman"/>
          <w:color w:val="auto"/>
        </w:rPr>
        <w:t xml:space="preserve">, Revised </w:t>
      </w:r>
      <w:r w:rsidR="008C4E31">
        <w:rPr>
          <w:rFonts w:ascii="Times New Roman" w:hAnsi="Times New Roman"/>
          <w:color w:val="auto"/>
        </w:rPr>
        <w:t>August</w:t>
      </w:r>
      <w:r w:rsidR="00013F5E">
        <w:rPr>
          <w:rFonts w:ascii="Times New Roman" w:hAnsi="Times New Roman"/>
          <w:color w:val="auto"/>
        </w:rPr>
        <w:t>2013</w:t>
      </w:r>
    </w:p>
    <w:p w:rsidR="002C4F75" w:rsidRPr="00310FF5" w:rsidRDefault="002C4F75" w:rsidP="002C4F75">
      <w:pPr>
        <w:jc w:val="center"/>
      </w:pPr>
      <w:bookmarkStart w:id="0" w:name="_GoBack"/>
      <w:bookmarkEnd w:id="0"/>
    </w:p>
    <w:p w:rsidR="002C4F75" w:rsidRPr="00310FF5" w:rsidRDefault="002C4F75" w:rsidP="002C4F75">
      <w:pPr>
        <w:jc w:val="center"/>
      </w:pPr>
      <w:r w:rsidRPr="00310FF5">
        <w:t>Submitted By:</w:t>
      </w:r>
    </w:p>
    <w:p w:rsidR="002C4F75" w:rsidRPr="00310FF5" w:rsidRDefault="002C4F75" w:rsidP="002C4F75">
      <w:pPr>
        <w:jc w:val="center"/>
      </w:pPr>
      <w:r w:rsidRPr="00310FF5">
        <w:t>Office of Planning, Research and Evaluation</w:t>
      </w:r>
    </w:p>
    <w:p w:rsidR="002C4F75" w:rsidRPr="00310FF5" w:rsidRDefault="002C4F75" w:rsidP="002C4F75">
      <w:pPr>
        <w:jc w:val="center"/>
      </w:pPr>
      <w:r w:rsidRPr="00310FF5">
        <w:t xml:space="preserve">Administration for Children and Families </w:t>
      </w:r>
    </w:p>
    <w:p w:rsidR="002C4F75" w:rsidRPr="00310FF5" w:rsidRDefault="002C4F75" w:rsidP="002C4F75">
      <w:pPr>
        <w:jc w:val="center"/>
      </w:pPr>
      <w:r w:rsidRPr="00310FF5">
        <w:t>U.S. Department of Health and Human Services</w:t>
      </w:r>
    </w:p>
    <w:p w:rsidR="002C4F75" w:rsidRPr="00310FF5" w:rsidRDefault="002C4F75" w:rsidP="002C4F75">
      <w:pPr>
        <w:jc w:val="center"/>
      </w:pPr>
    </w:p>
    <w:p w:rsidR="002C4F75" w:rsidRPr="00310FF5" w:rsidRDefault="002C4F75" w:rsidP="002C4F75">
      <w:pPr>
        <w:jc w:val="center"/>
      </w:pPr>
      <w:r w:rsidRPr="00310FF5">
        <w:t>7</w:t>
      </w:r>
      <w:r w:rsidRPr="00310FF5">
        <w:rPr>
          <w:vertAlign w:val="superscript"/>
        </w:rPr>
        <w:t>th</w:t>
      </w:r>
      <w:r w:rsidRPr="00310FF5">
        <w:t xml:space="preserve"> Floor, West Aerospace Building</w:t>
      </w:r>
    </w:p>
    <w:p w:rsidR="002C4F75" w:rsidRPr="00310FF5" w:rsidRDefault="002C4F75" w:rsidP="002C4F75">
      <w:pPr>
        <w:jc w:val="center"/>
      </w:pPr>
      <w:r w:rsidRPr="00310FF5">
        <w:t>370 L’Enfant Promenade, SW</w:t>
      </w:r>
    </w:p>
    <w:p w:rsidR="002C4F75" w:rsidRPr="00310FF5" w:rsidRDefault="002C4F75" w:rsidP="002C4F75">
      <w:pPr>
        <w:jc w:val="center"/>
      </w:pPr>
      <w:r w:rsidRPr="00310FF5">
        <w:t>Washington, D.C. 20447</w:t>
      </w:r>
    </w:p>
    <w:p w:rsidR="002C4F75" w:rsidRPr="00310FF5" w:rsidRDefault="002C4F75" w:rsidP="002C4F75">
      <w:pPr>
        <w:jc w:val="center"/>
      </w:pPr>
    </w:p>
    <w:p w:rsidR="002C4F75" w:rsidRPr="00310FF5" w:rsidRDefault="002C4F75" w:rsidP="002C4F75">
      <w:pPr>
        <w:jc w:val="center"/>
      </w:pPr>
      <w:r w:rsidRPr="00310FF5">
        <w:t>Project Officers:</w:t>
      </w:r>
    </w:p>
    <w:p w:rsidR="00286F49" w:rsidRPr="00310FF5" w:rsidRDefault="00286F49" w:rsidP="00286F49">
      <w:pPr>
        <w:widowControl w:val="0"/>
        <w:autoSpaceDE w:val="0"/>
        <w:autoSpaceDN w:val="0"/>
        <w:adjustRightInd w:val="0"/>
        <w:jc w:val="center"/>
        <w:rPr>
          <w:bCs/>
          <w:szCs w:val="28"/>
        </w:rPr>
      </w:pPr>
    </w:p>
    <w:p w:rsidR="00364EFF" w:rsidRDefault="00286F49" w:rsidP="00364EFF">
      <w:pPr>
        <w:jc w:val="center"/>
        <w:rPr>
          <w:bCs/>
          <w:szCs w:val="28"/>
        </w:rPr>
      </w:pPr>
      <w:r w:rsidRPr="00310FF5">
        <w:rPr>
          <w:bCs/>
          <w:szCs w:val="28"/>
        </w:rPr>
        <w:t xml:space="preserve"> </w:t>
      </w:r>
      <w:r w:rsidR="00C109E4" w:rsidRPr="00310FF5">
        <w:rPr>
          <w:bCs/>
          <w:szCs w:val="28"/>
        </w:rPr>
        <w:t xml:space="preserve">Jennifer Brooks and Mary Mueggenborg </w:t>
      </w:r>
    </w:p>
    <w:p w:rsidR="00364EFF" w:rsidRDefault="00364EFF" w:rsidP="00364EFF">
      <w:pPr>
        <w:jc w:val="center"/>
        <w:rPr>
          <w:bCs/>
          <w:szCs w:val="28"/>
        </w:rPr>
      </w:pPr>
    </w:p>
    <w:p w:rsidR="00364EFF" w:rsidRPr="00364EFF" w:rsidRDefault="00364EFF" w:rsidP="00364EFF">
      <w:pPr>
        <w:jc w:val="center"/>
        <w:rPr>
          <w:b/>
        </w:rPr>
      </w:pPr>
    </w:p>
    <w:p w:rsidR="00237EFC" w:rsidRDefault="00237EFC" w:rsidP="00237EFC">
      <w:bookmarkStart w:id="1" w:name="_Toc347387706"/>
    </w:p>
    <w:p w:rsidR="00237EFC" w:rsidRDefault="00237EFC" w:rsidP="00237EFC"/>
    <w:p w:rsidR="00237EFC" w:rsidRDefault="00237EFC" w:rsidP="00237EFC"/>
    <w:p w:rsidR="00D52103" w:rsidRDefault="00D52103" w:rsidP="00237EFC">
      <w:pPr>
        <w:rPr>
          <w:b/>
        </w:rPr>
      </w:pPr>
    </w:p>
    <w:p w:rsidR="00D52103" w:rsidRDefault="00D52103" w:rsidP="00237EFC">
      <w:pPr>
        <w:rPr>
          <w:b/>
        </w:rPr>
      </w:pPr>
    </w:p>
    <w:p w:rsidR="00364EFF" w:rsidRDefault="00364EFF" w:rsidP="00237EFC">
      <w:pPr>
        <w:rPr>
          <w:b/>
        </w:rPr>
      </w:pPr>
      <w:r w:rsidRPr="00237EFC">
        <w:rPr>
          <w:b/>
        </w:rPr>
        <w:lastRenderedPageBreak/>
        <w:t>Contents</w:t>
      </w:r>
      <w:bookmarkEnd w:id="1"/>
    </w:p>
    <w:p w:rsidR="00237EFC" w:rsidRDefault="00237EFC" w:rsidP="00237EFC">
      <w:pPr>
        <w:rPr>
          <w:b/>
        </w:rPr>
      </w:pPr>
    </w:p>
    <w:p w:rsidR="00237EFC" w:rsidRPr="00237EFC" w:rsidRDefault="00237EFC" w:rsidP="00237EFC">
      <w:pPr>
        <w:rPr>
          <w:b/>
        </w:rPr>
      </w:pPr>
      <w:r>
        <w:rPr>
          <w:b/>
        </w:rPr>
        <w:t xml:space="preserve">JUSTIFICATION </w:t>
      </w:r>
    </w:p>
    <w:p w:rsidR="00C043F4" w:rsidRDefault="002B096F">
      <w:pPr>
        <w:pStyle w:val="TOC1"/>
        <w:tabs>
          <w:tab w:val="right" w:leader="dot" w:pos="9350"/>
        </w:tabs>
        <w:rPr>
          <w:rFonts w:asciiTheme="minorHAnsi" w:eastAsiaTheme="minorEastAsia" w:hAnsiTheme="minorHAnsi" w:cstheme="minorBidi"/>
          <w:noProof/>
          <w:sz w:val="22"/>
          <w:szCs w:val="22"/>
        </w:rPr>
      </w:pPr>
      <w:r w:rsidRPr="002B096F">
        <w:fldChar w:fldCharType="begin"/>
      </w:r>
      <w:r w:rsidR="00364EFF">
        <w:instrText xml:space="preserve"> TOC \o "1-3" \h \z \u </w:instrText>
      </w:r>
      <w:r w:rsidRPr="002B096F">
        <w:fldChar w:fldCharType="separate"/>
      </w:r>
      <w:hyperlink w:anchor="_Toc352834378" w:history="1">
        <w:r w:rsidR="00C043F4" w:rsidRPr="00B20075">
          <w:rPr>
            <w:rStyle w:val="Hyperlink"/>
            <w:noProof/>
          </w:rPr>
          <w:t>A1. Necessity for the Data Collection</w:t>
        </w:r>
        <w:r w:rsidR="00C043F4">
          <w:rPr>
            <w:noProof/>
            <w:webHidden/>
          </w:rPr>
          <w:tab/>
        </w:r>
        <w:r>
          <w:rPr>
            <w:noProof/>
            <w:webHidden/>
          </w:rPr>
          <w:fldChar w:fldCharType="begin"/>
        </w:r>
        <w:r w:rsidR="00C043F4">
          <w:rPr>
            <w:noProof/>
            <w:webHidden/>
          </w:rPr>
          <w:instrText xml:space="preserve"> PAGEREF _Toc352834378 \h </w:instrText>
        </w:r>
        <w:r>
          <w:rPr>
            <w:noProof/>
            <w:webHidden/>
          </w:rPr>
        </w:r>
        <w:r>
          <w:rPr>
            <w:noProof/>
            <w:webHidden/>
          </w:rPr>
          <w:fldChar w:fldCharType="separate"/>
        </w:r>
        <w:r w:rsidR="00EC5E22">
          <w:rPr>
            <w:noProof/>
            <w:webHidden/>
          </w:rPr>
          <w:t>1</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79" w:history="1">
        <w:r w:rsidR="00C043F4" w:rsidRPr="00B20075">
          <w:rPr>
            <w:rStyle w:val="Hyperlink"/>
            <w:noProof/>
          </w:rPr>
          <w:t>A2. Purpose of Survey and Data Collection Procedures</w:t>
        </w:r>
        <w:r w:rsidR="00C043F4">
          <w:rPr>
            <w:noProof/>
            <w:webHidden/>
          </w:rPr>
          <w:tab/>
        </w:r>
        <w:r>
          <w:rPr>
            <w:noProof/>
            <w:webHidden/>
          </w:rPr>
          <w:fldChar w:fldCharType="begin"/>
        </w:r>
        <w:r w:rsidR="00C043F4">
          <w:rPr>
            <w:noProof/>
            <w:webHidden/>
          </w:rPr>
          <w:instrText xml:space="preserve"> PAGEREF _Toc352834379 \h </w:instrText>
        </w:r>
        <w:r>
          <w:rPr>
            <w:noProof/>
            <w:webHidden/>
          </w:rPr>
        </w:r>
        <w:r>
          <w:rPr>
            <w:noProof/>
            <w:webHidden/>
          </w:rPr>
          <w:fldChar w:fldCharType="separate"/>
        </w:r>
        <w:r w:rsidR="00EC5E22">
          <w:rPr>
            <w:noProof/>
            <w:webHidden/>
          </w:rPr>
          <w:t>2</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80" w:history="1">
        <w:r w:rsidR="00C043F4" w:rsidRPr="00B20075">
          <w:rPr>
            <w:rStyle w:val="Hyperlink"/>
            <w:noProof/>
          </w:rPr>
          <w:t>A3. Improved Information Technology to Reduce Burden</w:t>
        </w:r>
        <w:r w:rsidR="00C043F4">
          <w:rPr>
            <w:noProof/>
            <w:webHidden/>
          </w:rPr>
          <w:tab/>
        </w:r>
        <w:r>
          <w:rPr>
            <w:noProof/>
            <w:webHidden/>
          </w:rPr>
          <w:fldChar w:fldCharType="begin"/>
        </w:r>
        <w:r w:rsidR="00C043F4">
          <w:rPr>
            <w:noProof/>
            <w:webHidden/>
          </w:rPr>
          <w:instrText xml:space="preserve"> PAGEREF _Toc352834380 \h </w:instrText>
        </w:r>
        <w:r>
          <w:rPr>
            <w:noProof/>
            <w:webHidden/>
          </w:rPr>
        </w:r>
        <w:r>
          <w:rPr>
            <w:noProof/>
            <w:webHidden/>
          </w:rPr>
          <w:fldChar w:fldCharType="separate"/>
        </w:r>
        <w:r w:rsidR="00EC5E22">
          <w:rPr>
            <w:noProof/>
            <w:webHidden/>
          </w:rPr>
          <w:t>9</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81" w:history="1">
        <w:r w:rsidR="00C043F4" w:rsidRPr="00B20075">
          <w:rPr>
            <w:rStyle w:val="Hyperlink"/>
            <w:noProof/>
          </w:rPr>
          <w:t>A4. Efforts to Identify Duplication</w:t>
        </w:r>
        <w:r w:rsidR="00C043F4">
          <w:rPr>
            <w:noProof/>
            <w:webHidden/>
          </w:rPr>
          <w:tab/>
        </w:r>
        <w:r>
          <w:rPr>
            <w:noProof/>
            <w:webHidden/>
          </w:rPr>
          <w:fldChar w:fldCharType="begin"/>
        </w:r>
        <w:r w:rsidR="00C043F4">
          <w:rPr>
            <w:noProof/>
            <w:webHidden/>
          </w:rPr>
          <w:instrText xml:space="preserve"> PAGEREF _Toc352834381 \h </w:instrText>
        </w:r>
        <w:r>
          <w:rPr>
            <w:noProof/>
            <w:webHidden/>
          </w:rPr>
        </w:r>
        <w:r>
          <w:rPr>
            <w:noProof/>
            <w:webHidden/>
          </w:rPr>
          <w:fldChar w:fldCharType="separate"/>
        </w:r>
        <w:r w:rsidR="00EC5E22">
          <w:rPr>
            <w:noProof/>
            <w:webHidden/>
          </w:rPr>
          <w:t>9</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82" w:history="1">
        <w:r w:rsidR="00C043F4" w:rsidRPr="00B20075">
          <w:rPr>
            <w:rStyle w:val="Hyperlink"/>
            <w:noProof/>
          </w:rPr>
          <w:t>A5. Involvement of Small Organizations</w:t>
        </w:r>
        <w:r w:rsidR="00C043F4">
          <w:rPr>
            <w:noProof/>
            <w:webHidden/>
          </w:rPr>
          <w:tab/>
        </w:r>
        <w:r>
          <w:rPr>
            <w:noProof/>
            <w:webHidden/>
          </w:rPr>
          <w:fldChar w:fldCharType="begin"/>
        </w:r>
        <w:r w:rsidR="00C043F4">
          <w:rPr>
            <w:noProof/>
            <w:webHidden/>
          </w:rPr>
          <w:instrText xml:space="preserve"> PAGEREF _Toc352834382 \h </w:instrText>
        </w:r>
        <w:r>
          <w:rPr>
            <w:noProof/>
            <w:webHidden/>
          </w:rPr>
        </w:r>
        <w:r>
          <w:rPr>
            <w:noProof/>
            <w:webHidden/>
          </w:rPr>
          <w:fldChar w:fldCharType="separate"/>
        </w:r>
        <w:r w:rsidR="00EC5E22">
          <w:rPr>
            <w:noProof/>
            <w:webHidden/>
          </w:rPr>
          <w:t>10</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83" w:history="1">
        <w:r w:rsidR="00C043F4" w:rsidRPr="00B20075">
          <w:rPr>
            <w:rStyle w:val="Hyperlink"/>
            <w:noProof/>
          </w:rPr>
          <w:t>A6. Consequences of Less Frequent Data Collection</w:t>
        </w:r>
        <w:r w:rsidR="00C043F4">
          <w:rPr>
            <w:noProof/>
            <w:webHidden/>
          </w:rPr>
          <w:tab/>
        </w:r>
        <w:r>
          <w:rPr>
            <w:noProof/>
            <w:webHidden/>
          </w:rPr>
          <w:fldChar w:fldCharType="begin"/>
        </w:r>
        <w:r w:rsidR="00C043F4">
          <w:rPr>
            <w:noProof/>
            <w:webHidden/>
          </w:rPr>
          <w:instrText xml:space="preserve"> PAGEREF _Toc352834383 \h </w:instrText>
        </w:r>
        <w:r>
          <w:rPr>
            <w:noProof/>
            <w:webHidden/>
          </w:rPr>
        </w:r>
        <w:r>
          <w:rPr>
            <w:noProof/>
            <w:webHidden/>
          </w:rPr>
          <w:fldChar w:fldCharType="separate"/>
        </w:r>
        <w:r w:rsidR="00EC5E22">
          <w:rPr>
            <w:noProof/>
            <w:webHidden/>
          </w:rPr>
          <w:t>10</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84" w:history="1">
        <w:r w:rsidR="00C043F4" w:rsidRPr="00B20075">
          <w:rPr>
            <w:rStyle w:val="Hyperlink"/>
            <w:noProof/>
          </w:rPr>
          <w:t>A7. Special Circumstances</w:t>
        </w:r>
        <w:r w:rsidR="00C043F4">
          <w:rPr>
            <w:noProof/>
            <w:webHidden/>
          </w:rPr>
          <w:tab/>
        </w:r>
        <w:r>
          <w:rPr>
            <w:noProof/>
            <w:webHidden/>
          </w:rPr>
          <w:fldChar w:fldCharType="begin"/>
        </w:r>
        <w:r w:rsidR="00C043F4">
          <w:rPr>
            <w:noProof/>
            <w:webHidden/>
          </w:rPr>
          <w:instrText xml:space="preserve"> PAGEREF _Toc352834384 \h </w:instrText>
        </w:r>
        <w:r>
          <w:rPr>
            <w:noProof/>
            <w:webHidden/>
          </w:rPr>
        </w:r>
        <w:r>
          <w:rPr>
            <w:noProof/>
            <w:webHidden/>
          </w:rPr>
          <w:fldChar w:fldCharType="separate"/>
        </w:r>
        <w:r w:rsidR="00EC5E22">
          <w:rPr>
            <w:noProof/>
            <w:webHidden/>
          </w:rPr>
          <w:t>10</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85" w:history="1">
        <w:r w:rsidR="00C043F4" w:rsidRPr="00B20075">
          <w:rPr>
            <w:rStyle w:val="Hyperlink"/>
            <w:noProof/>
          </w:rPr>
          <w:t>A8. Federal Register Notice and Consultation</w:t>
        </w:r>
        <w:r w:rsidR="00C043F4">
          <w:rPr>
            <w:noProof/>
            <w:webHidden/>
          </w:rPr>
          <w:tab/>
        </w:r>
        <w:r>
          <w:rPr>
            <w:noProof/>
            <w:webHidden/>
          </w:rPr>
          <w:fldChar w:fldCharType="begin"/>
        </w:r>
        <w:r w:rsidR="00C043F4">
          <w:rPr>
            <w:noProof/>
            <w:webHidden/>
          </w:rPr>
          <w:instrText xml:space="preserve"> PAGEREF _Toc352834385 \h </w:instrText>
        </w:r>
        <w:r>
          <w:rPr>
            <w:noProof/>
            <w:webHidden/>
          </w:rPr>
        </w:r>
        <w:r>
          <w:rPr>
            <w:noProof/>
            <w:webHidden/>
          </w:rPr>
          <w:fldChar w:fldCharType="separate"/>
        </w:r>
        <w:r w:rsidR="00EC5E22">
          <w:rPr>
            <w:noProof/>
            <w:webHidden/>
          </w:rPr>
          <w:t>10</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86" w:history="1">
        <w:r w:rsidR="00C043F4" w:rsidRPr="00B20075">
          <w:rPr>
            <w:rStyle w:val="Hyperlink"/>
            <w:noProof/>
          </w:rPr>
          <w:t>A9. Incentives for Respondents</w:t>
        </w:r>
        <w:r w:rsidR="00C043F4">
          <w:rPr>
            <w:noProof/>
            <w:webHidden/>
          </w:rPr>
          <w:tab/>
        </w:r>
        <w:r>
          <w:rPr>
            <w:noProof/>
            <w:webHidden/>
          </w:rPr>
          <w:fldChar w:fldCharType="begin"/>
        </w:r>
        <w:r w:rsidR="00C043F4">
          <w:rPr>
            <w:noProof/>
            <w:webHidden/>
          </w:rPr>
          <w:instrText xml:space="preserve"> PAGEREF _Toc352834386 \h </w:instrText>
        </w:r>
        <w:r>
          <w:rPr>
            <w:noProof/>
            <w:webHidden/>
          </w:rPr>
        </w:r>
        <w:r>
          <w:rPr>
            <w:noProof/>
            <w:webHidden/>
          </w:rPr>
          <w:fldChar w:fldCharType="separate"/>
        </w:r>
        <w:r w:rsidR="00EC5E22">
          <w:rPr>
            <w:noProof/>
            <w:webHidden/>
          </w:rPr>
          <w:t>11</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87" w:history="1">
        <w:r w:rsidR="00C043F4" w:rsidRPr="00B20075">
          <w:rPr>
            <w:rStyle w:val="Hyperlink"/>
            <w:noProof/>
          </w:rPr>
          <w:t>A10. Privacy of Respondents</w:t>
        </w:r>
        <w:r w:rsidR="00C043F4">
          <w:rPr>
            <w:noProof/>
            <w:webHidden/>
          </w:rPr>
          <w:tab/>
        </w:r>
        <w:r>
          <w:rPr>
            <w:noProof/>
            <w:webHidden/>
          </w:rPr>
          <w:fldChar w:fldCharType="begin"/>
        </w:r>
        <w:r w:rsidR="00C043F4">
          <w:rPr>
            <w:noProof/>
            <w:webHidden/>
          </w:rPr>
          <w:instrText xml:space="preserve"> PAGEREF _Toc352834387 \h </w:instrText>
        </w:r>
        <w:r>
          <w:rPr>
            <w:noProof/>
            <w:webHidden/>
          </w:rPr>
        </w:r>
        <w:r>
          <w:rPr>
            <w:noProof/>
            <w:webHidden/>
          </w:rPr>
          <w:fldChar w:fldCharType="separate"/>
        </w:r>
        <w:r w:rsidR="00EC5E22">
          <w:rPr>
            <w:noProof/>
            <w:webHidden/>
          </w:rPr>
          <w:t>12</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88" w:history="1">
        <w:r w:rsidR="00C043F4" w:rsidRPr="00B20075">
          <w:rPr>
            <w:rStyle w:val="Hyperlink"/>
            <w:noProof/>
          </w:rPr>
          <w:t>A11. Sensitive Questions</w:t>
        </w:r>
        <w:r w:rsidR="00C043F4">
          <w:rPr>
            <w:noProof/>
            <w:webHidden/>
          </w:rPr>
          <w:tab/>
        </w:r>
        <w:r>
          <w:rPr>
            <w:noProof/>
            <w:webHidden/>
          </w:rPr>
          <w:fldChar w:fldCharType="begin"/>
        </w:r>
        <w:r w:rsidR="00C043F4">
          <w:rPr>
            <w:noProof/>
            <w:webHidden/>
          </w:rPr>
          <w:instrText xml:space="preserve"> PAGEREF _Toc352834388 \h </w:instrText>
        </w:r>
        <w:r>
          <w:rPr>
            <w:noProof/>
            <w:webHidden/>
          </w:rPr>
        </w:r>
        <w:r>
          <w:rPr>
            <w:noProof/>
            <w:webHidden/>
          </w:rPr>
          <w:fldChar w:fldCharType="separate"/>
        </w:r>
        <w:r w:rsidR="00EC5E22">
          <w:rPr>
            <w:noProof/>
            <w:webHidden/>
          </w:rPr>
          <w:t>12</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89" w:history="1">
        <w:r w:rsidR="00C043F4" w:rsidRPr="00B20075">
          <w:rPr>
            <w:rStyle w:val="Hyperlink"/>
            <w:noProof/>
          </w:rPr>
          <w:t>A12. Estimation of Information Collection Burden</w:t>
        </w:r>
        <w:r w:rsidR="00C043F4">
          <w:rPr>
            <w:noProof/>
            <w:webHidden/>
          </w:rPr>
          <w:tab/>
        </w:r>
        <w:r>
          <w:rPr>
            <w:noProof/>
            <w:webHidden/>
          </w:rPr>
          <w:fldChar w:fldCharType="begin"/>
        </w:r>
        <w:r w:rsidR="00C043F4">
          <w:rPr>
            <w:noProof/>
            <w:webHidden/>
          </w:rPr>
          <w:instrText xml:space="preserve"> PAGEREF _Toc352834389 \h </w:instrText>
        </w:r>
        <w:r>
          <w:rPr>
            <w:noProof/>
            <w:webHidden/>
          </w:rPr>
        </w:r>
        <w:r>
          <w:rPr>
            <w:noProof/>
            <w:webHidden/>
          </w:rPr>
          <w:fldChar w:fldCharType="separate"/>
        </w:r>
        <w:r w:rsidR="00EC5E22">
          <w:rPr>
            <w:noProof/>
            <w:webHidden/>
          </w:rPr>
          <w:t>12</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90" w:history="1">
        <w:r w:rsidR="00C043F4" w:rsidRPr="00B20075">
          <w:rPr>
            <w:rStyle w:val="Hyperlink"/>
            <w:noProof/>
          </w:rPr>
          <w:t>A13. Cost Burden to Respondents or Record Keepers</w:t>
        </w:r>
        <w:r w:rsidR="00C043F4">
          <w:rPr>
            <w:noProof/>
            <w:webHidden/>
          </w:rPr>
          <w:tab/>
        </w:r>
        <w:r>
          <w:rPr>
            <w:noProof/>
            <w:webHidden/>
          </w:rPr>
          <w:fldChar w:fldCharType="begin"/>
        </w:r>
        <w:r w:rsidR="00C043F4">
          <w:rPr>
            <w:noProof/>
            <w:webHidden/>
          </w:rPr>
          <w:instrText xml:space="preserve"> PAGEREF _Toc352834390 \h </w:instrText>
        </w:r>
        <w:r>
          <w:rPr>
            <w:noProof/>
            <w:webHidden/>
          </w:rPr>
        </w:r>
        <w:r>
          <w:rPr>
            <w:noProof/>
            <w:webHidden/>
          </w:rPr>
          <w:fldChar w:fldCharType="separate"/>
        </w:r>
        <w:r w:rsidR="00EC5E22">
          <w:rPr>
            <w:noProof/>
            <w:webHidden/>
          </w:rPr>
          <w:t>15</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91" w:history="1">
        <w:r w:rsidR="00C043F4" w:rsidRPr="00B20075">
          <w:rPr>
            <w:rStyle w:val="Hyperlink"/>
            <w:noProof/>
          </w:rPr>
          <w:t>A14. Estimate of Cost to the Federal Government</w:t>
        </w:r>
        <w:r w:rsidR="00C043F4">
          <w:rPr>
            <w:noProof/>
            <w:webHidden/>
          </w:rPr>
          <w:tab/>
        </w:r>
        <w:r>
          <w:rPr>
            <w:noProof/>
            <w:webHidden/>
          </w:rPr>
          <w:fldChar w:fldCharType="begin"/>
        </w:r>
        <w:r w:rsidR="00C043F4">
          <w:rPr>
            <w:noProof/>
            <w:webHidden/>
          </w:rPr>
          <w:instrText xml:space="preserve"> PAGEREF _Toc352834391 \h </w:instrText>
        </w:r>
        <w:r>
          <w:rPr>
            <w:noProof/>
            <w:webHidden/>
          </w:rPr>
        </w:r>
        <w:r>
          <w:rPr>
            <w:noProof/>
            <w:webHidden/>
          </w:rPr>
          <w:fldChar w:fldCharType="separate"/>
        </w:r>
        <w:r w:rsidR="00EC5E22">
          <w:rPr>
            <w:noProof/>
            <w:webHidden/>
          </w:rPr>
          <w:t>15</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92" w:history="1">
        <w:r w:rsidR="00C043F4" w:rsidRPr="00B20075">
          <w:rPr>
            <w:rStyle w:val="Hyperlink"/>
            <w:noProof/>
          </w:rPr>
          <w:t>A15. Change in Burden</w:t>
        </w:r>
        <w:r w:rsidR="00C043F4">
          <w:rPr>
            <w:noProof/>
            <w:webHidden/>
          </w:rPr>
          <w:tab/>
        </w:r>
        <w:r>
          <w:rPr>
            <w:noProof/>
            <w:webHidden/>
          </w:rPr>
          <w:fldChar w:fldCharType="begin"/>
        </w:r>
        <w:r w:rsidR="00C043F4">
          <w:rPr>
            <w:noProof/>
            <w:webHidden/>
          </w:rPr>
          <w:instrText xml:space="preserve"> PAGEREF _Toc352834392 \h </w:instrText>
        </w:r>
        <w:r>
          <w:rPr>
            <w:noProof/>
            <w:webHidden/>
          </w:rPr>
        </w:r>
        <w:r>
          <w:rPr>
            <w:noProof/>
            <w:webHidden/>
          </w:rPr>
          <w:fldChar w:fldCharType="separate"/>
        </w:r>
        <w:r w:rsidR="00EC5E22">
          <w:rPr>
            <w:noProof/>
            <w:webHidden/>
          </w:rPr>
          <w:t>15</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93" w:history="1">
        <w:r w:rsidR="00C043F4" w:rsidRPr="00B20075">
          <w:rPr>
            <w:rStyle w:val="Hyperlink"/>
            <w:noProof/>
          </w:rPr>
          <w:t>A16. Plan and Time Schedule for Information Collection, Tabulation and Publication</w:t>
        </w:r>
        <w:r w:rsidR="00C043F4">
          <w:rPr>
            <w:noProof/>
            <w:webHidden/>
          </w:rPr>
          <w:tab/>
        </w:r>
        <w:r>
          <w:rPr>
            <w:noProof/>
            <w:webHidden/>
          </w:rPr>
          <w:fldChar w:fldCharType="begin"/>
        </w:r>
        <w:r w:rsidR="00C043F4">
          <w:rPr>
            <w:noProof/>
            <w:webHidden/>
          </w:rPr>
          <w:instrText xml:space="preserve"> PAGEREF _Toc352834393 \h </w:instrText>
        </w:r>
        <w:r>
          <w:rPr>
            <w:noProof/>
            <w:webHidden/>
          </w:rPr>
        </w:r>
        <w:r>
          <w:rPr>
            <w:noProof/>
            <w:webHidden/>
          </w:rPr>
          <w:fldChar w:fldCharType="separate"/>
        </w:r>
        <w:r w:rsidR="00EC5E22">
          <w:rPr>
            <w:noProof/>
            <w:webHidden/>
          </w:rPr>
          <w:t>15</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94" w:history="1">
        <w:r w:rsidR="00C043F4" w:rsidRPr="00B20075">
          <w:rPr>
            <w:rStyle w:val="Hyperlink"/>
            <w:noProof/>
          </w:rPr>
          <w:t>A17. Reasons Not to Display OMB Expiration Date</w:t>
        </w:r>
        <w:r w:rsidR="00C043F4">
          <w:rPr>
            <w:noProof/>
            <w:webHidden/>
          </w:rPr>
          <w:tab/>
        </w:r>
        <w:r>
          <w:rPr>
            <w:noProof/>
            <w:webHidden/>
          </w:rPr>
          <w:fldChar w:fldCharType="begin"/>
        </w:r>
        <w:r w:rsidR="00C043F4">
          <w:rPr>
            <w:noProof/>
            <w:webHidden/>
          </w:rPr>
          <w:instrText xml:space="preserve"> PAGEREF _Toc352834394 \h </w:instrText>
        </w:r>
        <w:r>
          <w:rPr>
            <w:noProof/>
            <w:webHidden/>
          </w:rPr>
        </w:r>
        <w:r>
          <w:rPr>
            <w:noProof/>
            <w:webHidden/>
          </w:rPr>
          <w:fldChar w:fldCharType="separate"/>
        </w:r>
        <w:r w:rsidR="00EC5E22">
          <w:rPr>
            <w:noProof/>
            <w:webHidden/>
          </w:rPr>
          <w:t>17</w:t>
        </w:r>
        <w:r>
          <w:rPr>
            <w:noProof/>
            <w:webHidden/>
          </w:rPr>
          <w:fldChar w:fldCharType="end"/>
        </w:r>
      </w:hyperlink>
    </w:p>
    <w:p w:rsidR="00C043F4" w:rsidRDefault="002B096F">
      <w:pPr>
        <w:pStyle w:val="TOC1"/>
        <w:tabs>
          <w:tab w:val="right" w:leader="dot" w:pos="9350"/>
        </w:tabs>
        <w:rPr>
          <w:rFonts w:asciiTheme="minorHAnsi" w:eastAsiaTheme="minorEastAsia" w:hAnsiTheme="minorHAnsi" w:cstheme="minorBidi"/>
          <w:noProof/>
          <w:sz w:val="22"/>
          <w:szCs w:val="22"/>
        </w:rPr>
      </w:pPr>
      <w:hyperlink w:anchor="_Toc352834395" w:history="1">
        <w:r w:rsidR="00C043F4" w:rsidRPr="00B20075">
          <w:rPr>
            <w:rStyle w:val="Hyperlink"/>
            <w:noProof/>
          </w:rPr>
          <w:t>A18. Exceptions to Certification for Paperwork Reduction Act Submissions</w:t>
        </w:r>
        <w:r w:rsidR="00C043F4">
          <w:rPr>
            <w:noProof/>
            <w:webHidden/>
          </w:rPr>
          <w:tab/>
        </w:r>
        <w:r>
          <w:rPr>
            <w:noProof/>
            <w:webHidden/>
          </w:rPr>
          <w:fldChar w:fldCharType="begin"/>
        </w:r>
        <w:r w:rsidR="00C043F4">
          <w:rPr>
            <w:noProof/>
            <w:webHidden/>
          </w:rPr>
          <w:instrText xml:space="preserve"> PAGEREF _Toc352834395 \h </w:instrText>
        </w:r>
        <w:r>
          <w:rPr>
            <w:noProof/>
            <w:webHidden/>
          </w:rPr>
        </w:r>
        <w:r>
          <w:rPr>
            <w:noProof/>
            <w:webHidden/>
          </w:rPr>
          <w:fldChar w:fldCharType="separate"/>
        </w:r>
        <w:r w:rsidR="00EC5E22">
          <w:rPr>
            <w:noProof/>
            <w:webHidden/>
          </w:rPr>
          <w:t>17</w:t>
        </w:r>
        <w:r>
          <w:rPr>
            <w:noProof/>
            <w:webHidden/>
          </w:rPr>
          <w:fldChar w:fldCharType="end"/>
        </w:r>
      </w:hyperlink>
    </w:p>
    <w:p w:rsidR="00364EFF" w:rsidRDefault="002B096F" w:rsidP="00237EFC">
      <w:pPr>
        <w:ind w:left="810"/>
        <w:rPr>
          <w:b/>
          <w:bCs/>
          <w:noProof/>
        </w:rPr>
      </w:pPr>
      <w:r>
        <w:rPr>
          <w:b/>
          <w:bCs/>
          <w:noProof/>
        </w:rPr>
        <w:fldChar w:fldCharType="end"/>
      </w:r>
    </w:p>
    <w:p w:rsidR="00237EFC" w:rsidRDefault="00237EFC" w:rsidP="00237EFC">
      <w:pPr>
        <w:rPr>
          <w:b/>
          <w:bCs/>
          <w:noProof/>
        </w:rPr>
      </w:pPr>
      <w:r>
        <w:rPr>
          <w:b/>
          <w:bCs/>
          <w:noProof/>
        </w:rPr>
        <w:t>APPENDICES</w:t>
      </w:r>
    </w:p>
    <w:p w:rsidR="00237EFC" w:rsidRDefault="00237EFC" w:rsidP="00237EFC">
      <w:pPr>
        <w:rPr>
          <w:b/>
          <w:bCs/>
          <w:noProof/>
        </w:rPr>
      </w:pPr>
    </w:p>
    <w:p w:rsidR="00237EFC" w:rsidRPr="005319F7" w:rsidRDefault="00237EFC" w:rsidP="00237EFC">
      <w:pPr>
        <w:contextualSpacing/>
        <w:rPr>
          <w:b/>
        </w:rPr>
      </w:pPr>
      <w:r w:rsidRPr="005319F7">
        <w:rPr>
          <w:b/>
        </w:rPr>
        <w:t>Appendix A:</w:t>
      </w:r>
      <w:r>
        <w:rPr>
          <w:b/>
        </w:rPr>
        <w:t xml:space="preserve"> </w:t>
      </w:r>
      <w:r w:rsidR="00622568">
        <w:rPr>
          <w:b/>
        </w:rPr>
        <w:t xml:space="preserve">Telephone Survey </w:t>
      </w:r>
    </w:p>
    <w:p w:rsidR="00237EFC" w:rsidRPr="00237EFC" w:rsidRDefault="00237EFC" w:rsidP="00237EFC">
      <w:pPr>
        <w:ind w:left="720"/>
        <w:contextualSpacing/>
        <w:rPr>
          <w:color w:val="FF0000"/>
        </w:rPr>
      </w:pPr>
      <w:r w:rsidRPr="00237EFC">
        <w:t xml:space="preserve">Appendix A-1:  Program Recruitment Letter </w:t>
      </w:r>
      <w:r w:rsidR="00B21E20">
        <w:t>with Project Overview &amp; FAQs</w:t>
      </w:r>
    </w:p>
    <w:p w:rsidR="00237EFC" w:rsidRPr="00237EFC" w:rsidRDefault="00237EFC" w:rsidP="00237EFC">
      <w:pPr>
        <w:ind w:left="720"/>
        <w:contextualSpacing/>
        <w:rPr>
          <w:color w:val="FF0000"/>
        </w:rPr>
      </w:pPr>
      <w:r w:rsidRPr="00237EFC">
        <w:t>Appendix A-</w:t>
      </w:r>
      <w:r w:rsidR="00B21E20">
        <w:t>2</w:t>
      </w:r>
      <w:r w:rsidRPr="00237EFC">
        <w:t xml:space="preserve">:  Telephone </w:t>
      </w:r>
      <w:r w:rsidR="00EE2105">
        <w:t>Survey</w:t>
      </w:r>
      <w:r w:rsidR="00EE2105" w:rsidRPr="00237EFC">
        <w:t xml:space="preserve"> </w:t>
      </w:r>
      <w:r w:rsidRPr="00237EFC">
        <w:t>Recruitment Script</w:t>
      </w:r>
    </w:p>
    <w:p w:rsidR="00237EFC" w:rsidRDefault="00237EFC" w:rsidP="00E242AA">
      <w:pPr>
        <w:tabs>
          <w:tab w:val="left" w:pos="2250"/>
        </w:tabs>
        <w:ind w:left="2250" w:hanging="1530"/>
        <w:contextualSpacing/>
      </w:pPr>
      <w:r w:rsidRPr="00237EFC">
        <w:t>Appendix A-</w:t>
      </w:r>
      <w:r w:rsidR="00B21E20">
        <w:t>3</w:t>
      </w:r>
      <w:r w:rsidR="00E242AA">
        <w:t xml:space="preserve">:  Telephone </w:t>
      </w:r>
      <w:r w:rsidR="00EE2105">
        <w:t xml:space="preserve">Survey </w:t>
      </w:r>
      <w:r w:rsidR="00E242AA">
        <w:t xml:space="preserve">Protocol </w:t>
      </w:r>
      <w:r w:rsidRPr="00237EFC">
        <w:t xml:space="preserve"> </w:t>
      </w:r>
    </w:p>
    <w:p w:rsidR="00B21E20" w:rsidRPr="00237EFC" w:rsidRDefault="00B21E20" w:rsidP="00E242AA">
      <w:pPr>
        <w:tabs>
          <w:tab w:val="left" w:pos="2250"/>
        </w:tabs>
        <w:ind w:left="2250" w:hanging="1530"/>
        <w:contextualSpacing/>
      </w:pPr>
      <w:r>
        <w:t xml:space="preserve">Appendix A-4:  Telephone </w:t>
      </w:r>
      <w:r w:rsidR="00EE2105">
        <w:t>Survey</w:t>
      </w:r>
      <w:r>
        <w:t xml:space="preserve"> Receipt of Payment Form</w:t>
      </w:r>
    </w:p>
    <w:p w:rsidR="009A5DCA" w:rsidRDefault="009A5DCA" w:rsidP="00237EFC">
      <w:pPr>
        <w:contextualSpacing/>
      </w:pPr>
    </w:p>
    <w:p w:rsidR="00237EFC" w:rsidRPr="00237EFC" w:rsidRDefault="00237EFC" w:rsidP="00237EFC">
      <w:pPr>
        <w:contextualSpacing/>
        <w:rPr>
          <w:b/>
        </w:rPr>
      </w:pPr>
      <w:r w:rsidRPr="00237EFC">
        <w:rPr>
          <w:b/>
        </w:rPr>
        <w:t>Appendix B: Site Visit</w:t>
      </w:r>
      <w:r w:rsidR="00622568">
        <w:rPr>
          <w:b/>
        </w:rPr>
        <w:t>s</w:t>
      </w:r>
      <w:r w:rsidRPr="00237EFC">
        <w:rPr>
          <w:b/>
        </w:rPr>
        <w:t xml:space="preserve"> </w:t>
      </w:r>
    </w:p>
    <w:p w:rsidR="00237EFC" w:rsidRPr="001B3354" w:rsidRDefault="00237EFC" w:rsidP="00237EFC">
      <w:pPr>
        <w:ind w:left="720"/>
        <w:contextualSpacing/>
        <w:rPr>
          <w:b/>
          <w:i/>
          <w:color w:val="FF0000"/>
        </w:rPr>
      </w:pPr>
      <w:r w:rsidRPr="00237EFC">
        <w:t xml:space="preserve">Appendix B-1:   Site Visit Recruitment Letter </w:t>
      </w:r>
    </w:p>
    <w:p w:rsidR="00237EFC" w:rsidRPr="00237EFC" w:rsidRDefault="00237EFC" w:rsidP="00237EFC">
      <w:pPr>
        <w:ind w:left="720"/>
        <w:contextualSpacing/>
      </w:pPr>
      <w:r w:rsidRPr="00237EFC">
        <w:t xml:space="preserve">Appendix B-2:   </w:t>
      </w:r>
      <w:r w:rsidR="00D33E9A">
        <w:t xml:space="preserve">Interview Guide for </w:t>
      </w:r>
      <w:r w:rsidRPr="00237EFC">
        <w:t xml:space="preserve">Program Directors and Managers  </w:t>
      </w:r>
    </w:p>
    <w:p w:rsidR="00237EFC" w:rsidRPr="00237EFC" w:rsidRDefault="00237EFC" w:rsidP="00237EFC">
      <w:pPr>
        <w:ind w:left="720"/>
        <w:contextualSpacing/>
      </w:pPr>
      <w:r w:rsidRPr="00237EFC">
        <w:t xml:space="preserve">Appendix B-3:   Interview </w:t>
      </w:r>
      <w:r w:rsidR="00D33E9A">
        <w:t>Guide for Other Managers, Coordinators and Specialists</w:t>
      </w:r>
      <w:r w:rsidRPr="00237EFC">
        <w:t xml:space="preserve">  </w:t>
      </w:r>
    </w:p>
    <w:p w:rsidR="00237EFC" w:rsidRPr="00237EFC" w:rsidRDefault="00237EFC" w:rsidP="00237EFC">
      <w:pPr>
        <w:ind w:left="720"/>
        <w:contextualSpacing/>
      </w:pPr>
      <w:r w:rsidRPr="00237EFC">
        <w:t xml:space="preserve">Appendix B-4:   </w:t>
      </w:r>
      <w:r w:rsidR="00D33E9A">
        <w:t>Interview Guide for</w:t>
      </w:r>
      <w:r w:rsidRPr="00237EFC">
        <w:t xml:space="preserve"> Staff </w:t>
      </w:r>
    </w:p>
    <w:p w:rsidR="00237EFC" w:rsidRPr="00237EFC" w:rsidRDefault="00237EFC" w:rsidP="00237EFC">
      <w:pPr>
        <w:ind w:left="2340" w:hanging="1620"/>
        <w:contextualSpacing/>
      </w:pPr>
      <w:r w:rsidRPr="00237EFC">
        <w:t xml:space="preserve">Appendix B-5:   </w:t>
      </w:r>
      <w:r w:rsidR="00D33E9A">
        <w:t>Interview Guide for</w:t>
      </w:r>
      <w:r w:rsidRPr="00237EFC">
        <w:t xml:space="preserve"> Governing Body or Policy Council Representative  </w:t>
      </w:r>
    </w:p>
    <w:p w:rsidR="00237EFC" w:rsidRPr="00237EFC" w:rsidRDefault="00237EFC" w:rsidP="00237EFC">
      <w:pPr>
        <w:ind w:left="720"/>
        <w:contextualSpacing/>
      </w:pPr>
      <w:r w:rsidRPr="00237EFC">
        <w:t xml:space="preserve">Appendix B-6:   Interview </w:t>
      </w:r>
      <w:r w:rsidR="00D33E9A">
        <w:t xml:space="preserve">Guide for </w:t>
      </w:r>
      <w:r w:rsidRPr="00237EFC">
        <w:t>Local Education Agency Representative</w:t>
      </w:r>
    </w:p>
    <w:p w:rsidR="00237EFC" w:rsidRPr="00237EFC" w:rsidRDefault="00237EFC" w:rsidP="00237EFC">
      <w:pPr>
        <w:ind w:left="720"/>
        <w:contextualSpacing/>
      </w:pPr>
      <w:r w:rsidRPr="00237EFC">
        <w:t>Appendix B-</w:t>
      </w:r>
      <w:r w:rsidR="003D0545">
        <w:t>7</w:t>
      </w:r>
      <w:r w:rsidRPr="00237EFC">
        <w:t xml:space="preserve">:   </w:t>
      </w:r>
      <w:r w:rsidR="003D0545">
        <w:t xml:space="preserve">Interview </w:t>
      </w:r>
      <w:r w:rsidR="00D33E9A">
        <w:t xml:space="preserve">Guide for </w:t>
      </w:r>
      <w:r w:rsidRPr="00237EFC">
        <w:t>Parent</w:t>
      </w:r>
      <w:r w:rsidR="003D0545">
        <w:t>s</w:t>
      </w:r>
      <w:r w:rsidRPr="00237EFC">
        <w:t xml:space="preserve"> </w:t>
      </w:r>
    </w:p>
    <w:p w:rsidR="0032395E" w:rsidRDefault="00B21E20" w:rsidP="003C3FD7">
      <w:pPr>
        <w:ind w:left="720"/>
        <w:contextualSpacing/>
      </w:pPr>
      <w:r>
        <w:t>Appendix B-</w:t>
      </w:r>
      <w:r w:rsidR="00622568">
        <w:t>8</w:t>
      </w:r>
      <w:r w:rsidR="00D33E9A">
        <w:t>:</w:t>
      </w:r>
      <w:r>
        <w:t xml:space="preserve"> </w:t>
      </w:r>
      <w:r w:rsidR="00EC5E22">
        <w:t xml:space="preserve">  </w:t>
      </w:r>
      <w:r w:rsidR="00D33E9A">
        <w:t xml:space="preserve">Site Visit </w:t>
      </w:r>
      <w:r w:rsidR="003C3FD7">
        <w:t>Consent Form</w:t>
      </w:r>
    </w:p>
    <w:p w:rsidR="00B21E20" w:rsidRPr="00237EFC" w:rsidRDefault="0032395E" w:rsidP="003C3FD7">
      <w:pPr>
        <w:ind w:left="720"/>
        <w:contextualSpacing/>
      </w:pPr>
      <w:r>
        <w:t>Appendix B-</w:t>
      </w:r>
      <w:r w:rsidR="00622568">
        <w:t>9</w:t>
      </w:r>
      <w:r w:rsidR="00D33E9A">
        <w:t>:</w:t>
      </w:r>
      <w:r>
        <w:t xml:space="preserve"> </w:t>
      </w:r>
      <w:r w:rsidR="00EC5E22">
        <w:t xml:space="preserve">  </w:t>
      </w:r>
      <w:r>
        <w:t>Parent Consent Form</w:t>
      </w:r>
      <w:r w:rsidR="003C3FD7">
        <w:t xml:space="preserve"> </w:t>
      </w:r>
    </w:p>
    <w:p w:rsidR="00237EFC" w:rsidRDefault="00237EFC" w:rsidP="00237EFC">
      <w:pPr>
        <w:contextualSpacing/>
      </w:pPr>
    </w:p>
    <w:p w:rsidR="00622568" w:rsidRPr="00622568" w:rsidRDefault="00622568" w:rsidP="00622568">
      <w:pPr>
        <w:contextualSpacing/>
        <w:rPr>
          <w:b/>
        </w:rPr>
      </w:pPr>
      <w:r w:rsidRPr="00237EFC">
        <w:rPr>
          <w:b/>
        </w:rPr>
        <w:t xml:space="preserve">Appendix </w:t>
      </w:r>
      <w:r>
        <w:rPr>
          <w:b/>
        </w:rPr>
        <w:t>C</w:t>
      </w:r>
      <w:r w:rsidRPr="00237EFC">
        <w:rPr>
          <w:b/>
        </w:rPr>
        <w:t xml:space="preserve">:  </w:t>
      </w:r>
      <w:r w:rsidRPr="002B6F74">
        <w:rPr>
          <w:b/>
        </w:rPr>
        <w:t xml:space="preserve">Interview Protocol for AIAN Head Start Program Directors </w:t>
      </w:r>
    </w:p>
    <w:p w:rsidR="00622568" w:rsidRPr="002B6F74" w:rsidRDefault="00622568" w:rsidP="00237EFC">
      <w:pPr>
        <w:contextualSpacing/>
        <w:rPr>
          <w:b/>
        </w:rPr>
      </w:pPr>
    </w:p>
    <w:p w:rsidR="00237EFC" w:rsidRPr="00237EFC" w:rsidRDefault="00237EFC" w:rsidP="00237EFC">
      <w:pPr>
        <w:contextualSpacing/>
        <w:rPr>
          <w:b/>
        </w:rPr>
      </w:pPr>
      <w:r w:rsidRPr="00237EFC">
        <w:rPr>
          <w:b/>
        </w:rPr>
        <w:t xml:space="preserve">Appendix </w:t>
      </w:r>
      <w:r w:rsidR="00622568">
        <w:rPr>
          <w:b/>
        </w:rPr>
        <w:t>D</w:t>
      </w:r>
      <w:r w:rsidRPr="00237EFC">
        <w:rPr>
          <w:b/>
        </w:rPr>
        <w:t xml:space="preserve">:  Program Observation Sheet </w:t>
      </w:r>
    </w:p>
    <w:p w:rsidR="00237EFC" w:rsidRPr="00237EFC" w:rsidRDefault="00237EFC" w:rsidP="00237EFC">
      <w:pPr>
        <w:contextualSpacing/>
      </w:pPr>
    </w:p>
    <w:p w:rsidR="00237EFC" w:rsidRPr="00237EFC" w:rsidRDefault="00237EFC" w:rsidP="00237EFC">
      <w:pPr>
        <w:contextualSpacing/>
      </w:pPr>
      <w:r w:rsidRPr="00237EFC">
        <w:rPr>
          <w:b/>
        </w:rPr>
        <w:t xml:space="preserve">Appendix </w:t>
      </w:r>
      <w:r w:rsidR="00622568">
        <w:rPr>
          <w:b/>
        </w:rPr>
        <w:t>E</w:t>
      </w:r>
      <w:r w:rsidRPr="00237EFC">
        <w:rPr>
          <w:b/>
        </w:rPr>
        <w:t>:</w:t>
      </w:r>
      <w:r w:rsidRPr="00237EFC">
        <w:t xml:space="preserve">  </w:t>
      </w:r>
      <w:r w:rsidRPr="00237EFC">
        <w:rPr>
          <w:b/>
        </w:rPr>
        <w:t>Federal Register 60-Day Notice</w:t>
      </w:r>
    </w:p>
    <w:p w:rsidR="00237EFC" w:rsidRPr="00237EFC" w:rsidRDefault="00237EFC" w:rsidP="00237EFC">
      <w:pPr>
        <w:contextualSpacing/>
      </w:pPr>
    </w:p>
    <w:p w:rsidR="00237EFC" w:rsidRPr="00237EFC" w:rsidRDefault="00237EFC" w:rsidP="00237EFC">
      <w:pPr>
        <w:ind w:left="1440" w:hanging="1440"/>
        <w:contextualSpacing/>
        <w:rPr>
          <w:b/>
        </w:rPr>
      </w:pPr>
      <w:r w:rsidRPr="00237EFC">
        <w:rPr>
          <w:b/>
        </w:rPr>
        <w:t xml:space="preserve">Appendix </w:t>
      </w:r>
      <w:r w:rsidR="00622568">
        <w:rPr>
          <w:b/>
        </w:rPr>
        <w:t>F</w:t>
      </w:r>
      <w:r w:rsidRPr="00237EFC">
        <w:rPr>
          <w:b/>
        </w:rPr>
        <w:t>:</w:t>
      </w:r>
      <w:r w:rsidRPr="00237EFC">
        <w:t xml:space="preserve"> </w:t>
      </w:r>
      <w:r w:rsidRPr="00237EFC">
        <w:rPr>
          <w:b/>
        </w:rPr>
        <w:t xml:space="preserve"> Certificate of Review from the Institutional Review Board (IRB) of the Urban Institute </w:t>
      </w:r>
    </w:p>
    <w:p w:rsidR="00237EFC" w:rsidRPr="00237EFC" w:rsidRDefault="00237EFC" w:rsidP="00237EFC">
      <w:pPr>
        <w:contextualSpacing/>
      </w:pPr>
    </w:p>
    <w:p w:rsidR="00237EFC" w:rsidRPr="00DC1AFD" w:rsidRDefault="00237EFC" w:rsidP="00237EFC">
      <w:pPr>
        <w:contextualSpacing/>
        <w:rPr>
          <w:b/>
        </w:rPr>
      </w:pPr>
      <w:r w:rsidRPr="00DC1AFD">
        <w:rPr>
          <w:b/>
        </w:rPr>
        <w:t xml:space="preserve">Appendix </w:t>
      </w:r>
      <w:r w:rsidR="009D7709">
        <w:rPr>
          <w:b/>
        </w:rPr>
        <w:t>G</w:t>
      </w:r>
      <w:r w:rsidRPr="00DC1AFD">
        <w:rPr>
          <w:b/>
        </w:rPr>
        <w:t xml:space="preserve">:  </w:t>
      </w:r>
      <w:r w:rsidR="00DC1AFD" w:rsidRPr="00DC1AFD">
        <w:rPr>
          <w:b/>
        </w:rPr>
        <w:t xml:space="preserve">Urban Institute </w:t>
      </w:r>
      <w:r w:rsidRPr="00DC1AFD">
        <w:rPr>
          <w:b/>
        </w:rPr>
        <w:t>Staff Confidentiality Pledge</w:t>
      </w:r>
    </w:p>
    <w:p w:rsidR="00237EFC" w:rsidRDefault="00237EFC" w:rsidP="00237EFC"/>
    <w:p w:rsidR="00364EFF" w:rsidRDefault="00364EFF" w:rsidP="009332A3">
      <w:pPr>
        <w:pStyle w:val="Heading1"/>
        <w:rPr>
          <w:rFonts w:ascii="Times New Roman" w:hAnsi="Times New Roman"/>
          <w:sz w:val="24"/>
        </w:rPr>
      </w:pPr>
    </w:p>
    <w:p w:rsidR="00364EFF" w:rsidRDefault="00364EFF" w:rsidP="009332A3">
      <w:pPr>
        <w:pStyle w:val="Heading1"/>
        <w:rPr>
          <w:rFonts w:ascii="Times New Roman" w:hAnsi="Times New Roman"/>
          <w:sz w:val="24"/>
        </w:rPr>
      </w:pPr>
    </w:p>
    <w:p w:rsidR="00364EFF" w:rsidRDefault="00364EFF" w:rsidP="009332A3">
      <w:pPr>
        <w:pStyle w:val="Heading1"/>
        <w:rPr>
          <w:rFonts w:ascii="Times New Roman" w:hAnsi="Times New Roman"/>
          <w:sz w:val="24"/>
        </w:rPr>
      </w:pPr>
    </w:p>
    <w:p w:rsidR="00364EFF" w:rsidRDefault="00364EFF" w:rsidP="009332A3">
      <w:pPr>
        <w:pStyle w:val="Heading1"/>
        <w:rPr>
          <w:rFonts w:ascii="Times New Roman" w:hAnsi="Times New Roman"/>
          <w:sz w:val="24"/>
        </w:rPr>
      </w:pPr>
    </w:p>
    <w:p w:rsidR="00364EFF" w:rsidRDefault="00364EFF" w:rsidP="009332A3">
      <w:pPr>
        <w:pStyle w:val="Heading1"/>
        <w:rPr>
          <w:rFonts w:ascii="Times New Roman" w:hAnsi="Times New Roman"/>
          <w:sz w:val="24"/>
        </w:rPr>
      </w:pPr>
    </w:p>
    <w:p w:rsidR="00364EFF" w:rsidRDefault="00364EFF" w:rsidP="009332A3">
      <w:pPr>
        <w:pStyle w:val="Heading1"/>
        <w:rPr>
          <w:rFonts w:ascii="Times New Roman" w:hAnsi="Times New Roman"/>
          <w:sz w:val="24"/>
        </w:rPr>
      </w:pPr>
    </w:p>
    <w:p w:rsidR="00364EFF" w:rsidRDefault="00364EFF" w:rsidP="009332A3">
      <w:pPr>
        <w:pStyle w:val="Heading1"/>
        <w:rPr>
          <w:rFonts w:ascii="Times New Roman" w:hAnsi="Times New Roman"/>
          <w:sz w:val="24"/>
        </w:rPr>
        <w:sectPr w:rsidR="00364EFF" w:rsidSect="00D52103">
          <w:headerReference w:type="default" r:id="rId9"/>
          <w:footerReference w:type="default" r:id="rId10"/>
          <w:footerReference w:type="first" r:id="rId11"/>
          <w:pgSz w:w="12240" w:h="15840"/>
          <w:pgMar w:top="1440" w:right="1440" w:bottom="1440" w:left="1440" w:header="720" w:footer="720" w:gutter="0"/>
          <w:pgNumType w:start="1"/>
          <w:cols w:space="720"/>
          <w:titlePg/>
          <w:docGrid w:linePitch="360"/>
        </w:sectPr>
      </w:pPr>
    </w:p>
    <w:p w:rsidR="00364EFF" w:rsidRPr="00237EFC" w:rsidRDefault="00364EFF" w:rsidP="00237EFC">
      <w:pPr>
        <w:pStyle w:val="Heading1"/>
        <w:rPr>
          <w:rFonts w:ascii="Times New Roman" w:hAnsi="Times New Roman"/>
          <w:sz w:val="24"/>
        </w:rPr>
      </w:pPr>
      <w:bookmarkStart w:id="2" w:name="_Toc352834378"/>
      <w:r w:rsidRPr="00237EFC">
        <w:rPr>
          <w:rFonts w:ascii="Times New Roman" w:hAnsi="Times New Roman"/>
          <w:sz w:val="24"/>
        </w:rPr>
        <w:lastRenderedPageBreak/>
        <w:t>A1. Necessity for the Data Collection</w:t>
      </w:r>
      <w:bookmarkEnd w:id="2"/>
    </w:p>
    <w:p w:rsidR="00364EFF" w:rsidRDefault="00364EFF" w:rsidP="00310FF5"/>
    <w:p w:rsidR="00984CA2" w:rsidRDefault="00981972" w:rsidP="008F4498">
      <w:pPr>
        <w:rPr>
          <w:sz w:val="22"/>
          <w:szCs w:val="22"/>
        </w:rPr>
      </w:pPr>
      <w:r w:rsidRPr="00690880">
        <w:t xml:space="preserve">The Administration for Children and Families (ACF) at the U.S. Department of Health and Human Services (HHS) seeks approval </w:t>
      </w:r>
      <w:r w:rsidR="008F4498">
        <w:t xml:space="preserve">to conduct a research study with Head Start grantees </w:t>
      </w:r>
      <w:r w:rsidR="008F4498">
        <w:rPr>
          <w:color w:val="000000"/>
        </w:rPr>
        <w:t xml:space="preserve">in order </w:t>
      </w:r>
      <w:r w:rsidR="008F4498" w:rsidRPr="00877DB6">
        <w:t xml:space="preserve">to improve understanding of how </w:t>
      </w:r>
      <w:r w:rsidR="008F4498">
        <w:t xml:space="preserve">local programs </w:t>
      </w:r>
      <w:r w:rsidR="008F4498" w:rsidRPr="00877DB6">
        <w:t>define, measure, and communicate school readiness goals, and how they use these goals in program planning to improve program functioning.</w:t>
      </w:r>
      <w:r w:rsidR="008F4498">
        <w:rPr>
          <w:sz w:val="22"/>
          <w:szCs w:val="22"/>
        </w:rPr>
        <w:t xml:space="preserve"> </w:t>
      </w:r>
      <w:r w:rsidR="008F4498" w:rsidRPr="00120DCF">
        <w:rPr>
          <w:szCs w:val="22"/>
        </w:rPr>
        <w:t xml:space="preserve">The study design will include </w:t>
      </w:r>
      <w:r w:rsidR="00120DCF">
        <w:rPr>
          <w:szCs w:val="22"/>
        </w:rPr>
        <w:t xml:space="preserve">a </w:t>
      </w:r>
      <w:r w:rsidRPr="00690880">
        <w:t xml:space="preserve">telephone </w:t>
      </w:r>
      <w:r w:rsidR="00120DCF">
        <w:t>survey of</w:t>
      </w:r>
      <w:r w:rsidR="00120DCF">
        <w:rPr>
          <w:sz w:val="22"/>
          <w:szCs w:val="22"/>
        </w:rPr>
        <w:t xml:space="preserve"> </w:t>
      </w:r>
      <w:r>
        <w:rPr>
          <w:color w:val="000000"/>
        </w:rPr>
        <w:t xml:space="preserve">key personnel at </w:t>
      </w:r>
      <w:r w:rsidR="00BA7C70">
        <w:rPr>
          <w:color w:val="000000"/>
        </w:rPr>
        <w:t xml:space="preserve">approximately </w:t>
      </w:r>
      <w:r w:rsidR="00511C1D">
        <w:rPr>
          <w:color w:val="000000"/>
        </w:rPr>
        <w:t>90</w:t>
      </w:r>
      <w:r w:rsidR="00BA7C70">
        <w:rPr>
          <w:color w:val="000000"/>
        </w:rPr>
        <w:t xml:space="preserve"> </w:t>
      </w:r>
      <w:r>
        <w:rPr>
          <w:color w:val="000000"/>
        </w:rPr>
        <w:t>local Head Start and Early He</w:t>
      </w:r>
      <w:r w:rsidRPr="00877DB6">
        <w:rPr>
          <w:color w:val="000000"/>
        </w:rPr>
        <w:t>ad Start programs</w:t>
      </w:r>
      <w:r w:rsidR="00BA7C70">
        <w:rPr>
          <w:color w:val="000000"/>
        </w:rPr>
        <w:t>, followed by site visits to a subset of 12 of these grantees</w:t>
      </w:r>
      <w:r w:rsidR="008F4498">
        <w:rPr>
          <w:color w:val="000000"/>
        </w:rPr>
        <w:t>.</w:t>
      </w:r>
      <w:r>
        <w:rPr>
          <w:sz w:val="22"/>
          <w:szCs w:val="22"/>
        </w:rPr>
        <w:t xml:space="preserve"> </w:t>
      </w:r>
    </w:p>
    <w:p w:rsidR="00BA7C70" w:rsidRDefault="00BA7C70" w:rsidP="00310FF5">
      <w:pPr>
        <w:ind w:left="180"/>
      </w:pPr>
    </w:p>
    <w:p w:rsidR="00246BF6" w:rsidRPr="00750772" w:rsidRDefault="00984CA2" w:rsidP="00750772">
      <w:pPr>
        <w:pStyle w:val="Heading4"/>
        <w:numPr>
          <w:ilvl w:val="3"/>
          <w:numId w:val="0"/>
        </w:numPr>
        <w:tabs>
          <w:tab w:val="num" w:pos="180"/>
        </w:tabs>
        <w:spacing w:before="0" w:after="120"/>
        <w:ind w:left="180" w:hanging="180"/>
        <w:rPr>
          <w:rFonts w:ascii="Times New Roman" w:hAnsi="Times New Roman"/>
          <w:i/>
          <w:sz w:val="24"/>
          <w:szCs w:val="24"/>
        </w:rPr>
      </w:pPr>
      <w:r w:rsidRPr="00177982">
        <w:rPr>
          <w:rFonts w:ascii="Times New Roman" w:hAnsi="Times New Roman"/>
          <w:i/>
          <w:sz w:val="24"/>
          <w:szCs w:val="24"/>
        </w:rPr>
        <w:t xml:space="preserve">Study Background </w:t>
      </w:r>
    </w:p>
    <w:p w:rsidR="00E937E4" w:rsidRDefault="008A76C6" w:rsidP="00310FF5">
      <w:r>
        <w:rPr>
          <w:color w:val="000000"/>
        </w:rPr>
        <w:t>The Head Start Act of 2007 mandates that Head Start grantees develop locally defined school readiness goals as part of their annual self-assessment</w:t>
      </w:r>
      <w:r w:rsidR="002D527D">
        <w:rPr>
          <w:color w:val="000000"/>
        </w:rPr>
        <w:t xml:space="preserve">.  In addition, </w:t>
      </w:r>
      <w:r w:rsidR="00E937E4">
        <w:rPr>
          <w:color w:val="000000"/>
        </w:rPr>
        <w:t>g</w:t>
      </w:r>
      <w:r>
        <w:rPr>
          <w:color w:val="000000"/>
        </w:rPr>
        <w:t>rantees</w:t>
      </w:r>
      <w:r w:rsidR="002D527D">
        <w:rPr>
          <w:color w:val="000000"/>
        </w:rPr>
        <w:t>’</w:t>
      </w:r>
      <w:r>
        <w:rPr>
          <w:color w:val="000000"/>
        </w:rPr>
        <w:t xml:space="preserve"> </w:t>
      </w:r>
      <w:r w:rsidR="002536EF">
        <w:rPr>
          <w:color w:val="000000"/>
        </w:rPr>
        <w:t xml:space="preserve">establishment and use of school readiness goals is one of the seven components on which grantees are evaluated in the </w:t>
      </w:r>
      <w:r>
        <w:rPr>
          <w:color w:val="000000"/>
        </w:rPr>
        <w:t xml:space="preserve">new Head Start Designation Renewal System. </w:t>
      </w:r>
      <w:r w:rsidR="00690880">
        <w:rPr>
          <w:color w:val="000000"/>
        </w:rPr>
        <w:t xml:space="preserve"> </w:t>
      </w:r>
      <w:r>
        <w:rPr>
          <w:color w:val="000000"/>
        </w:rPr>
        <w:t>As a result, the question of how Head Start programs interpret and implement these new requirements is of great interest to ACF.</w:t>
      </w:r>
      <w:r w:rsidRPr="008A76C6">
        <w:t xml:space="preserve"> </w:t>
      </w:r>
    </w:p>
    <w:p w:rsidR="00E937E4" w:rsidRDefault="00E937E4" w:rsidP="00310FF5"/>
    <w:p w:rsidR="00382B1D" w:rsidRDefault="00E937E4" w:rsidP="00237EFC">
      <w:r>
        <w:t xml:space="preserve">Little is known about </w:t>
      </w:r>
      <w:r w:rsidRPr="00AA286A">
        <w:t xml:space="preserve">the process through which local programs define, measure, and communicate school readiness goals, nor how programs use these goals in program planning or evaluate progress towards their established goals. </w:t>
      </w:r>
      <w:r w:rsidR="008F4498">
        <w:t>A</w:t>
      </w:r>
      <w:r w:rsidR="002D527D">
        <w:t>necdotal information gathered from technical assistance providers</w:t>
      </w:r>
      <w:r w:rsidR="008F4498">
        <w:t xml:space="preserve"> and communication with grantees</w:t>
      </w:r>
      <w:r w:rsidR="002D527D">
        <w:t xml:space="preserve"> </w:t>
      </w:r>
      <w:r w:rsidR="00E05B13">
        <w:t xml:space="preserve">indicates </w:t>
      </w:r>
      <w:r w:rsidR="002D527D">
        <w:t xml:space="preserve">Head Start grantees are proceeding with implementation of the new requirement, but there has not been a systematic </w:t>
      </w:r>
      <w:r w:rsidR="008F4498">
        <w:t xml:space="preserve">study </w:t>
      </w:r>
      <w:r w:rsidR="002D527D">
        <w:t xml:space="preserve">to learn how they are doing so.  </w:t>
      </w:r>
      <w:r w:rsidR="00F2614D">
        <w:rPr>
          <w:color w:val="000000"/>
        </w:rPr>
        <w:t xml:space="preserve">Defining school readiness goals is no easy task, and using goals and related data in ways that effectively improve program performance is even more challenging. </w:t>
      </w:r>
      <w:r w:rsidRPr="00AA286A">
        <w:t>Given the diversity of local Head Start programs and communities, and the complexities related to assessing school readiness and using goals to improve program quality, there is likely to be considerable diversity in how local programs are interpreting and implementing the new requirements.</w:t>
      </w:r>
      <w:r w:rsidRPr="00E937E4">
        <w:t xml:space="preserve"> </w:t>
      </w:r>
    </w:p>
    <w:p w:rsidR="00382B1D" w:rsidRDefault="00382B1D" w:rsidP="00237EFC">
      <w:pPr>
        <w:rPr>
          <w:color w:val="000000"/>
        </w:rPr>
      </w:pPr>
    </w:p>
    <w:p w:rsidR="00310FF5" w:rsidRDefault="00DF2B1D" w:rsidP="00237EFC">
      <w:r w:rsidRPr="00B853CF">
        <w:rPr>
          <w:color w:val="000000"/>
        </w:rPr>
        <w:t>In 201</w:t>
      </w:r>
      <w:r>
        <w:rPr>
          <w:color w:val="000000"/>
        </w:rPr>
        <w:t>2</w:t>
      </w:r>
      <w:r w:rsidRPr="00B853CF">
        <w:rPr>
          <w:color w:val="000000"/>
        </w:rPr>
        <w:t xml:space="preserve">, </w:t>
      </w:r>
      <w:r>
        <w:rPr>
          <w:color w:val="000000"/>
        </w:rPr>
        <w:t xml:space="preserve">the </w:t>
      </w:r>
      <w:r w:rsidRPr="00CD4C95">
        <w:t>Office of Planning,</w:t>
      </w:r>
      <w:r>
        <w:t xml:space="preserve"> </w:t>
      </w:r>
      <w:r w:rsidRPr="00CD4C95">
        <w:t xml:space="preserve">Research and Evaluation (OPRE) </w:t>
      </w:r>
      <w:r w:rsidRPr="00B853CF">
        <w:rPr>
          <w:color w:val="000000"/>
        </w:rPr>
        <w:t xml:space="preserve">contracted </w:t>
      </w:r>
      <w:r>
        <w:rPr>
          <w:color w:val="000000"/>
        </w:rPr>
        <w:t xml:space="preserve">with </w:t>
      </w:r>
      <w:r w:rsidRPr="00B853CF">
        <w:rPr>
          <w:color w:val="000000"/>
        </w:rPr>
        <w:t xml:space="preserve">the Urban Institute to </w:t>
      </w:r>
      <w:r>
        <w:t xml:space="preserve">conduct a study to </w:t>
      </w:r>
      <w:r w:rsidRPr="00744AB0">
        <w:t xml:space="preserve">learn how local Head Start programs are interpreting and implementing </w:t>
      </w:r>
      <w:r w:rsidR="00852291">
        <w:t xml:space="preserve">the </w:t>
      </w:r>
      <w:r w:rsidRPr="00744AB0">
        <w:t>new requirements to develop and use school readiness goals.</w:t>
      </w:r>
      <w:r>
        <w:t xml:space="preserve"> </w:t>
      </w:r>
      <w:r w:rsidR="00E937E4" w:rsidRPr="00744AB0">
        <w:t xml:space="preserve">A better understanding of what is happening </w:t>
      </w:r>
      <w:r w:rsidR="00E937E4">
        <w:t xml:space="preserve">across local grantees operating in a variety of policy and community contexts </w:t>
      </w:r>
      <w:r w:rsidR="00E937E4" w:rsidRPr="00744AB0">
        <w:t xml:space="preserve">will </w:t>
      </w:r>
      <w:r w:rsidR="00E937E4">
        <w:t xml:space="preserve">help to inform </w:t>
      </w:r>
      <w:r w:rsidR="00E937E4" w:rsidRPr="00744AB0">
        <w:t>ACF</w:t>
      </w:r>
      <w:r w:rsidR="00E937E4">
        <w:t xml:space="preserve"> of </w:t>
      </w:r>
      <w:r w:rsidR="00E937E4" w:rsidRPr="00744AB0">
        <w:t xml:space="preserve">how </w:t>
      </w:r>
      <w:r w:rsidR="00E937E4">
        <w:t xml:space="preserve">the new requirements are working, and will provide preliminary information about how the requirement to set school readiness goals may be affecting Head Start program functioning and program quality.  It also will help inform technical assistance efforts designed to assist local grantees with </w:t>
      </w:r>
      <w:r w:rsidR="00E937E4" w:rsidRPr="00744AB0">
        <w:t>improv</w:t>
      </w:r>
      <w:r w:rsidR="00E937E4">
        <w:t>ing</w:t>
      </w:r>
      <w:r w:rsidR="00E937E4" w:rsidRPr="00744AB0">
        <w:t xml:space="preserve"> processes for setting and using school readiness goals, and </w:t>
      </w:r>
      <w:r w:rsidR="00852291">
        <w:t>help these efforts</w:t>
      </w:r>
      <w:r w:rsidR="00852291" w:rsidRPr="00744AB0">
        <w:t xml:space="preserve"> </w:t>
      </w:r>
      <w:r w:rsidR="00852291">
        <w:t xml:space="preserve">assist grantees </w:t>
      </w:r>
      <w:r w:rsidR="00E937E4" w:rsidRPr="00744AB0">
        <w:t xml:space="preserve">in </w:t>
      </w:r>
      <w:r w:rsidR="00F91E92">
        <w:t xml:space="preserve">a </w:t>
      </w:r>
      <w:r w:rsidR="00E937E4" w:rsidRPr="00744AB0">
        <w:t xml:space="preserve">way that recognizes and respects the diversity of Head Start </w:t>
      </w:r>
      <w:r w:rsidR="00E937E4">
        <w:t xml:space="preserve">and Early Head Start </w:t>
      </w:r>
      <w:r w:rsidR="00E937E4" w:rsidRPr="00744AB0">
        <w:t>programs.</w:t>
      </w:r>
      <w:r w:rsidR="00F2614D">
        <w:t xml:space="preserve">  </w:t>
      </w:r>
      <w:r w:rsidR="008F4498">
        <w:t xml:space="preserve">Finally, </w:t>
      </w:r>
      <w:r w:rsidR="00852291">
        <w:t xml:space="preserve">the </w:t>
      </w:r>
      <w:r w:rsidR="008F4498">
        <w:t xml:space="preserve">information will be used to design measures about the school readiness goal-setting process that can be incorporated into other Head Start research studies where appropriate to study how this process relates to other characteristics of programs, the quality of programs, and to the progress that children make in these programs. </w:t>
      </w:r>
    </w:p>
    <w:p w:rsidR="00237EFC" w:rsidRPr="00237EFC" w:rsidRDefault="00237EFC" w:rsidP="00237EFC"/>
    <w:p w:rsidR="00984CA2" w:rsidRPr="00246BF6" w:rsidRDefault="00984CA2" w:rsidP="00750772">
      <w:pPr>
        <w:pStyle w:val="Heading4"/>
        <w:numPr>
          <w:ilvl w:val="3"/>
          <w:numId w:val="0"/>
        </w:numPr>
        <w:tabs>
          <w:tab w:val="num" w:pos="180"/>
        </w:tabs>
        <w:spacing w:before="0" w:after="120"/>
        <w:ind w:left="187" w:hanging="187"/>
        <w:rPr>
          <w:rFonts w:ascii="Times New Roman" w:hAnsi="Times New Roman"/>
          <w:i/>
          <w:sz w:val="24"/>
          <w:szCs w:val="24"/>
        </w:rPr>
      </w:pPr>
      <w:r w:rsidRPr="00177982">
        <w:rPr>
          <w:rFonts w:ascii="Times New Roman" w:hAnsi="Times New Roman"/>
          <w:i/>
          <w:sz w:val="24"/>
          <w:szCs w:val="24"/>
        </w:rPr>
        <w:lastRenderedPageBreak/>
        <w:t xml:space="preserve">Legal or Administrative Requirements that Necessitate the Collection </w:t>
      </w:r>
    </w:p>
    <w:p w:rsidR="00D90EF6" w:rsidRDefault="00286F49" w:rsidP="00310FF5">
      <w:r w:rsidRPr="00CF6C81">
        <w:t>There are no legal or administrative requirements that necessitate the collection. ACF is undertaking the collection at the discretion of the agency.</w:t>
      </w:r>
    </w:p>
    <w:p w:rsidR="00BE7952" w:rsidRDefault="00BE7952" w:rsidP="00292B70">
      <w:pPr>
        <w:rPr>
          <w:b/>
        </w:rPr>
      </w:pPr>
    </w:p>
    <w:p w:rsidR="00945CD6" w:rsidRPr="009332A3" w:rsidRDefault="00292B70" w:rsidP="009332A3">
      <w:pPr>
        <w:pStyle w:val="Heading1"/>
        <w:rPr>
          <w:rFonts w:ascii="Times New Roman" w:hAnsi="Times New Roman"/>
        </w:rPr>
      </w:pPr>
      <w:bookmarkStart w:id="3" w:name="_Toc352834379"/>
      <w:r w:rsidRPr="009332A3">
        <w:rPr>
          <w:rFonts w:ascii="Times New Roman" w:hAnsi="Times New Roman"/>
          <w:sz w:val="24"/>
        </w:rPr>
        <w:t xml:space="preserve">A2. </w:t>
      </w:r>
      <w:r w:rsidR="00945CD6" w:rsidRPr="009332A3">
        <w:rPr>
          <w:rFonts w:ascii="Times New Roman" w:hAnsi="Times New Roman"/>
          <w:sz w:val="24"/>
        </w:rPr>
        <w:t>Purpose of Survey and Data Collection Procedures</w:t>
      </w:r>
      <w:bookmarkEnd w:id="3"/>
    </w:p>
    <w:p w:rsidR="00310FF5" w:rsidRDefault="00310FF5" w:rsidP="00310FF5">
      <w:pPr>
        <w:rPr>
          <w:b/>
          <w:i/>
        </w:rPr>
      </w:pPr>
    </w:p>
    <w:p w:rsidR="00246BF6" w:rsidRPr="00177982" w:rsidRDefault="00984CA2" w:rsidP="00750772">
      <w:pPr>
        <w:spacing w:after="120"/>
        <w:rPr>
          <w:b/>
          <w:i/>
        </w:rPr>
      </w:pPr>
      <w:r w:rsidRPr="00177982">
        <w:rPr>
          <w:b/>
          <w:i/>
        </w:rPr>
        <w:t>Overview of Purpose and Approach</w:t>
      </w:r>
    </w:p>
    <w:p w:rsidR="008731D4" w:rsidRDefault="007833D8" w:rsidP="00310FF5">
      <w:r>
        <w:rPr>
          <w:iCs/>
        </w:rPr>
        <w:t>The goal</w:t>
      </w:r>
      <w:r w:rsidRPr="00CD4C95">
        <w:rPr>
          <w:iCs/>
        </w:rPr>
        <w:t xml:space="preserve"> of this information collection is to </w:t>
      </w:r>
      <w:r w:rsidRPr="00877DB6">
        <w:t xml:space="preserve">improve understanding of how </w:t>
      </w:r>
      <w:r>
        <w:t xml:space="preserve">local Head Start and Early Head Start grantees </w:t>
      </w:r>
      <w:r w:rsidRPr="00877DB6">
        <w:t>define, measure, and communicate school readiness goals, and how they use these goals in program planning to improve program functioning.</w:t>
      </w:r>
      <w:r w:rsidRPr="00CD4C95">
        <w:t xml:space="preserve"> </w:t>
      </w:r>
      <w:r w:rsidR="008731D4" w:rsidRPr="0097198D">
        <w:t xml:space="preserve">The information from this study will provide ACF with a better understanding of how grantees </w:t>
      </w:r>
      <w:r w:rsidR="008731D4">
        <w:t xml:space="preserve">in diverse local contexts </w:t>
      </w:r>
      <w:r w:rsidR="008731D4" w:rsidRPr="0097198D">
        <w:t xml:space="preserve">are implementing the new national requirements to set and use school readiness goals.  ACF hopes to gain some sense of how the process of setting and using school readiness goals </w:t>
      </w:r>
      <w:r w:rsidR="008731D4">
        <w:t xml:space="preserve">is </w:t>
      </w:r>
      <w:r w:rsidR="008731D4" w:rsidRPr="0097198D">
        <w:t>affecting program</w:t>
      </w:r>
      <w:r w:rsidR="008731D4">
        <w:t xml:space="preserve"> operations</w:t>
      </w:r>
      <w:r w:rsidR="008731D4" w:rsidRPr="0097198D">
        <w:t xml:space="preserve"> on the ground level. In addition to providing general information to ACF and the public as a whole, the study outcomes are expected to be of particular value for informing technical assistance around the goals requirements.  In fact, several Head Start technical assistance centers have already shown great interest in the study and its outcomes as they continue to develop technical assistance related to school readiness goals and the use of data to drive decision-making in local grantees.  Finally, as </w:t>
      </w:r>
      <w:r w:rsidR="008731D4">
        <w:t xml:space="preserve">described below, </w:t>
      </w:r>
      <w:r w:rsidR="008731D4" w:rsidRPr="0097198D">
        <w:t>a further purpose is to develop constructs that may be used in future research.</w:t>
      </w:r>
    </w:p>
    <w:p w:rsidR="00895274" w:rsidRDefault="00895274" w:rsidP="00310FF5"/>
    <w:p w:rsidR="007833D8" w:rsidRDefault="00357EED" w:rsidP="00310FF5">
      <w:r>
        <w:t xml:space="preserve">The study will combine </w:t>
      </w:r>
      <w:r w:rsidR="00120DCF">
        <w:t xml:space="preserve">a </w:t>
      </w:r>
      <w:r>
        <w:t xml:space="preserve">telephone </w:t>
      </w:r>
      <w:r w:rsidR="00120DCF">
        <w:t>survey of</w:t>
      </w:r>
      <w:r w:rsidR="007833D8">
        <w:t xml:space="preserve"> </w:t>
      </w:r>
      <w:r w:rsidR="00546ACA">
        <w:t xml:space="preserve">Head Start and Early Head Start </w:t>
      </w:r>
      <w:r w:rsidR="007833D8">
        <w:t>program</w:t>
      </w:r>
      <w:r w:rsidR="00622568">
        <w:t xml:space="preserve"> directors and other relevant staff</w:t>
      </w:r>
      <w:r w:rsidR="007833D8">
        <w:t xml:space="preserve"> </w:t>
      </w:r>
      <w:r w:rsidR="00502991">
        <w:t xml:space="preserve">from </w:t>
      </w:r>
      <w:r w:rsidR="00511C1D">
        <w:t>90</w:t>
      </w:r>
      <w:r>
        <w:t xml:space="preserve"> grantees with follow-up site visits to a subset of 12 of these grantees. </w:t>
      </w:r>
      <w:r w:rsidR="00511C1D">
        <w:t xml:space="preserve">In addition, </w:t>
      </w:r>
      <w:r w:rsidR="00852291">
        <w:t>in-depth</w:t>
      </w:r>
      <w:r w:rsidR="00511C1D">
        <w:t xml:space="preserve"> telephone interviews will be conducted with 4 Head Start directors of American Indian/Alaskan Native </w:t>
      </w:r>
      <w:r w:rsidR="008308F8">
        <w:t xml:space="preserve">(AIAN) </w:t>
      </w:r>
      <w:r w:rsidR="00511C1D">
        <w:t xml:space="preserve">grantees. </w:t>
      </w:r>
      <w:r w:rsidR="00852291">
        <w:t xml:space="preserve">All </w:t>
      </w:r>
      <w:r>
        <w:t xml:space="preserve">data collection will </w:t>
      </w:r>
      <w:r w:rsidR="007833D8">
        <w:t xml:space="preserve">focus on </w:t>
      </w:r>
      <w:r w:rsidR="007833D8" w:rsidRPr="007833D8">
        <w:t xml:space="preserve">a description of school readiness goals set by local </w:t>
      </w:r>
      <w:r w:rsidR="002D527D">
        <w:t>programs</w:t>
      </w:r>
      <w:r w:rsidR="007833D8" w:rsidRPr="007833D8">
        <w:t xml:space="preserve">; the process used </w:t>
      </w:r>
      <w:r w:rsidR="002D527D">
        <w:t xml:space="preserve">to set </w:t>
      </w:r>
      <w:r w:rsidR="007833D8" w:rsidRPr="007833D8">
        <w:t>school readiness goals; contextual factors informing choices made about school readiness goals (e.g., needs of local children and families, program and staff characteristics, and community characteristics); how programs use and analyze data about school readiness goals; how programs report progress on goals; and how school readiness goals and data inform program planning and improvement efforts.</w:t>
      </w:r>
      <w:r w:rsidR="00445DD7">
        <w:t xml:space="preserve"> </w:t>
      </w:r>
      <w:r w:rsidR="00120DCF">
        <w:t>Site visit r</w:t>
      </w:r>
      <w:r>
        <w:t xml:space="preserve">espondents will include program directors and other key staff involved in developing and using school readiness goals, program front-line staff, </w:t>
      </w:r>
      <w:r w:rsidR="002D527D">
        <w:t xml:space="preserve">members of Head Start governing bodies and policy councils, </w:t>
      </w:r>
      <w:r w:rsidR="00445DD7">
        <w:t xml:space="preserve">parents of Head Start and Early Head Start children, and </w:t>
      </w:r>
      <w:r w:rsidR="00120DCF">
        <w:t xml:space="preserve">representatives from </w:t>
      </w:r>
      <w:r w:rsidR="00445DD7">
        <w:t xml:space="preserve">local </w:t>
      </w:r>
      <w:r w:rsidR="00120DCF">
        <w:t>education agencies</w:t>
      </w:r>
      <w:r>
        <w:t>.</w:t>
      </w:r>
    </w:p>
    <w:p w:rsidR="00895274" w:rsidRDefault="00895274" w:rsidP="00310FF5"/>
    <w:p w:rsidR="00DE118C" w:rsidRDefault="00DE118C" w:rsidP="00310FF5">
      <w:r>
        <w:t xml:space="preserve">This study will be exploratory in nature, designed to learn more about how programs set and use school readiness goals, through </w:t>
      </w:r>
      <w:r w:rsidR="00120DCF">
        <w:t>a survey of</w:t>
      </w:r>
      <w:r>
        <w:t xml:space="preserve"> program directors and related staff </w:t>
      </w:r>
      <w:r w:rsidR="00382B1D">
        <w:t xml:space="preserve">from </w:t>
      </w:r>
      <w:r w:rsidR="00912996">
        <w:t xml:space="preserve">a sample of </w:t>
      </w:r>
      <w:r w:rsidR="00382B1D">
        <w:t xml:space="preserve">programs that </w:t>
      </w:r>
      <w:r w:rsidR="00912996">
        <w:t xml:space="preserve">is </w:t>
      </w:r>
      <w:r w:rsidR="00382B1D">
        <w:t xml:space="preserve">sufficiently varied in nature to </w:t>
      </w:r>
      <w:r>
        <w:t xml:space="preserve">capture </w:t>
      </w:r>
      <w:r w:rsidR="00382B1D">
        <w:t>differences</w:t>
      </w:r>
      <w:r>
        <w:t xml:space="preserve"> in the ways in which programs may respond to the new requirements.  The goal is to talk with a diverse set of grantees in order to get a sense of the range of </w:t>
      </w:r>
      <w:r w:rsidR="00D27E83">
        <w:t xml:space="preserve">opportunities and </w:t>
      </w:r>
      <w:r>
        <w:t xml:space="preserve">challenges facing grantees and the </w:t>
      </w:r>
      <w:r w:rsidR="00382B1D">
        <w:t>different n</w:t>
      </w:r>
      <w:r>
        <w:t xml:space="preserve">eeds for technical assistance.  Near the completion of this study, the contractor will </w:t>
      </w:r>
      <w:r w:rsidR="006B0B90">
        <w:t xml:space="preserve">provide a </w:t>
      </w:r>
      <w:r>
        <w:t>recommend</w:t>
      </w:r>
      <w:r w:rsidR="006B0B90">
        <w:t>ed set</w:t>
      </w:r>
      <w:r>
        <w:t xml:space="preserve"> of constructs and survey items that could be included in a national survey or data collection instrument, with options for a five-, ten- or twenty-minute survey, </w:t>
      </w:r>
      <w:r w:rsidR="007877E9">
        <w:t xml:space="preserve">for potential future use in </w:t>
      </w:r>
      <w:r w:rsidR="00912996">
        <w:t xml:space="preserve">other Head Start research studies. </w:t>
      </w:r>
    </w:p>
    <w:p w:rsidR="00DE118C" w:rsidRDefault="00DE118C" w:rsidP="00310FF5"/>
    <w:p w:rsidR="00DE118C" w:rsidRDefault="008E4FC1" w:rsidP="00310FF5">
      <w:r>
        <w:lastRenderedPageBreak/>
        <w:t>Upon OMB approval, t</w:t>
      </w:r>
      <w:r w:rsidR="00895274">
        <w:t xml:space="preserve">he telephone </w:t>
      </w:r>
      <w:r w:rsidR="00AF47B6">
        <w:t xml:space="preserve">survey </w:t>
      </w:r>
      <w:r w:rsidR="002E43B5">
        <w:t>will be</w:t>
      </w:r>
      <w:r>
        <w:t xml:space="preserve"> </w:t>
      </w:r>
      <w:r w:rsidR="00895274">
        <w:t xml:space="preserve">conducted in the fall of 2013 (October-November) and the site visits </w:t>
      </w:r>
      <w:r w:rsidR="00511C1D">
        <w:t xml:space="preserve">and open-ended </w:t>
      </w:r>
      <w:r w:rsidR="003D0545">
        <w:t xml:space="preserve">telephone </w:t>
      </w:r>
      <w:r w:rsidR="00511C1D">
        <w:t xml:space="preserve">interviews with the AIAN grantees will be </w:t>
      </w:r>
      <w:r w:rsidR="00293E76">
        <w:t xml:space="preserve">scheduled to </w:t>
      </w:r>
      <w:r w:rsidR="00895274">
        <w:t xml:space="preserve">be conducted in the winter of 2013-2014 (December 2013-February 2014).  </w:t>
      </w:r>
      <w:r w:rsidR="005C7F52">
        <w:t>In the fall of 2014, a</w:t>
      </w:r>
      <w:r w:rsidR="00895274">
        <w:t xml:space="preserve"> final report</w:t>
      </w:r>
      <w:r w:rsidR="005C7F52">
        <w:t xml:space="preserve"> will be released, drawing upon and synthesizing these data</w:t>
      </w:r>
      <w:r w:rsidR="00895274">
        <w:t xml:space="preserve"> </w:t>
      </w:r>
      <w:r w:rsidR="005C7F52">
        <w:t xml:space="preserve">to present key research findings about school readiness goals and Head Start program functioning.  Two short </w:t>
      </w:r>
      <w:r w:rsidR="00301E71">
        <w:t xml:space="preserve">research </w:t>
      </w:r>
      <w:r w:rsidR="005C7F52">
        <w:t>brief</w:t>
      </w:r>
      <w:r w:rsidR="00301E71">
        <w:t>s</w:t>
      </w:r>
      <w:r w:rsidR="005C7F52">
        <w:t xml:space="preserve"> drawing on key themes in the final report will also be prepared.  </w:t>
      </w:r>
    </w:p>
    <w:p w:rsidR="00DE118C" w:rsidRDefault="00DE118C" w:rsidP="00310FF5"/>
    <w:p w:rsidR="00750772" w:rsidRDefault="0062263E" w:rsidP="00750772">
      <w:pPr>
        <w:spacing w:after="120"/>
        <w:rPr>
          <w:b/>
          <w:i/>
        </w:rPr>
      </w:pPr>
      <w:r>
        <w:rPr>
          <w:b/>
          <w:i/>
        </w:rPr>
        <w:t>Research Questions</w:t>
      </w:r>
    </w:p>
    <w:p w:rsidR="0062263E" w:rsidRPr="00750772" w:rsidRDefault="0062263E" w:rsidP="00750772">
      <w:pPr>
        <w:rPr>
          <w:b/>
          <w:i/>
        </w:rPr>
      </w:pPr>
      <w:r>
        <w:t xml:space="preserve">The first objective, addressed through both the telephone </w:t>
      </w:r>
      <w:r w:rsidR="00AF47B6">
        <w:t xml:space="preserve">survey </w:t>
      </w:r>
      <w:r>
        <w:t xml:space="preserve">and site visits, is to </w:t>
      </w:r>
      <w:r w:rsidRPr="00744AB0">
        <w:t>study the process by which local Head Start programs develop their school readiness goals</w:t>
      </w:r>
      <w:r>
        <w:t xml:space="preserve">.  This research objective will be guided by </w:t>
      </w:r>
      <w:r w:rsidR="00B87710">
        <w:t>two</w:t>
      </w:r>
      <w:r>
        <w:t xml:space="preserve"> research questions: </w:t>
      </w:r>
    </w:p>
    <w:p w:rsidR="00C53F5E" w:rsidRDefault="00C53F5E" w:rsidP="00C53F5E">
      <w:pPr>
        <w:pStyle w:val="ColorfulList-Accent11"/>
        <w:numPr>
          <w:ilvl w:val="0"/>
          <w:numId w:val="34"/>
        </w:numPr>
        <w:spacing w:before="100" w:beforeAutospacing="1" w:after="100" w:afterAutospacing="1"/>
        <w:rPr>
          <w:rFonts w:ascii="Times New Roman" w:hAnsi="Times New Roman"/>
          <w:sz w:val="24"/>
          <w:szCs w:val="24"/>
        </w:rPr>
      </w:pPr>
      <w:r w:rsidRPr="00556678">
        <w:rPr>
          <w:rFonts w:ascii="Times New Roman" w:hAnsi="Times New Roman"/>
          <w:sz w:val="24"/>
          <w:szCs w:val="24"/>
        </w:rPr>
        <w:t xml:space="preserve">What school readiness goals do Head Start and Early Head Start programs set? </w:t>
      </w:r>
    </w:p>
    <w:p w:rsidR="00C53F5E" w:rsidRPr="00C53F5E" w:rsidRDefault="00C53F5E" w:rsidP="00C53F5E">
      <w:pPr>
        <w:pStyle w:val="ColorfulList-Accent11"/>
        <w:numPr>
          <w:ilvl w:val="0"/>
          <w:numId w:val="34"/>
        </w:numPr>
        <w:spacing w:before="100" w:beforeAutospacing="1" w:after="100" w:afterAutospacing="1"/>
        <w:rPr>
          <w:rFonts w:ascii="Times New Roman" w:hAnsi="Times New Roman"/>
          <w:sz w:val="24"/>
          <w:szCs w:val="24"/>
        </w:rPr>
      </w:pPr>
      <w:r w:rsidRPr="00556678">
        <w:rPr>
          <w:rFonts w:ascii="Times New Roman" w:hAnsi="Times New Roman"/>
          <w:sz w:val="24"/>
          <w:szCs w:val="24"/>
        </w:rPr>
        <w:t>What does the process of setting school readiness goals look like?</w:t>
      </w:r>
    </w:p>
    <w:p w:rsidR="0062263E" w:rsidRPr="00401F12" w:rsidRDefault="0062263E" w:rsidP="0062263E">
      <w:pPr>
        <w:spacing w:before="100" w:beforeAutospacing="1" w:after="100" w:afterAutospacing="1"/>
      </w:pPr>
      <w:r>
        <w:t xml:space="preserve">The second research objective is to </w:t>
      </w:r>
      <w:r w:rsidRPr="00744AB0">
        <w:t>study how school readiness goals are used to drive program improvements, including gathering information about the data systems used to examine progress toward goals</w:t>
      </w:r>
      <w:r>
        <w:t xml:space="preserve">. This research objective, also addressed through the combination of </w:t>
      </w:r>
      <w:r w:rsidR="000A0552">
        <w:t xml:space="preserve">the </w:t>
      </w:r>
      <w:r>
        <w:t xml:space="preserve">telephone </w:t>
      </w:r>
      <w:r w:rsidR="000A0552">
        <w:t xml:space="preserve">survey </w:t>
      </w:r>
      <w:r>
        <w:t xml:space="preserve">and site visits, will be guided by three questions that build in their complexity. </w:t>
      </w:r>
    </w:p>
    <w:p w:rsidR="00C53F5E" w:rsidRPr="00445DD7" w:rsidRDefault="00C53F5E" w:rsidP="00C53F5E">
      <w:pPr>
        <w:pStyle w:val="ColorfulList-Accent11"/>
        <w:numPr>
          <w:ilvl w:val="0"/>
          <w:numId w:val="34"/>
        </w:numPr>
        <w:spacing w:before="100" w:beforeAutospacing="1" w:after="100" w:afterAutospacing="1"/>
        <w:rPr>
          <w:rFonts w:ascii="Times New Roman" w:hAnsi="Times New Roman"/>
          <w:sz w:val="24"/>
          <w:szCs w:val="24"/>
        </w:rPr>
      </w:pPr>
      <w:r w:rsidRPr="00445DD7">
        <w:rPr>
          <w:rFonts w:ascii="Times New Roman" w:hAnsi="Times New Roman"/>
          <w:sz w:val="24"/>
          <w:szCs w:val="24"/>
        </w:rPr>
        <w:t xml:space="preserve">How do programs use and analyze data to monitor progress towards goals? </w:t>
      </w:r>
    </w:p>
    <w:p w:rsidR="00C53F5E" w:rsidRPr="00445DD7" w:rsidRDefault="00C53F5E" w:rsidP="00C53F5E">
      <w:pPr>
        <w:pStyle w:val="ColorfulList-Accent11"/>
        <w:numPr>
          <w:ilvl w:val="0"/>
          <w:numId w:val="34"/>
        </w:numPr>
        <w:spacing w:before="100" w:beforeAutospacing="1" w:after="100" w:afterAutospacing="1"/>
        <w:rPr>
          <w:rFonts w:ascii="Times New Roman" w:hAnsi="Times New Roman"/>
          <w:sz w:val="24"/>
          <w:szCs w:val="24"/>
        </w:rPr>
      </w:pPr>
      <w:r w:rsidRPr="00445DD7">
        <w:rPr>
          <w:rFonts w:ascii="Times New Roman" w:hAnsi="Times New Roman"/>
          <w:sz w:val="24"/>
          <w:szCs w:val="24"/>
        </w:rPr>
        <w:t xml:space="preserve">How do programs report progress on goals? </w:t>
      </w:r>
    </w:p>
    <w:p w:rsidR="00C53F5E" w:rsidRPr="00C53F5E" w:rsidRDefault="00C53F5E" w:rsidP="00C53F5E">
      <w:pPr>
        <w:pStyle w:val="ColorfulList-Accent11"/>
        <w:numPr>
          <w:ilvl w:val="0"/>
          <w:numId w:val="34"/>
        </w:numPr>
        <w:spacing w:before="100" w:beforeAutospacing="1" w:after="100" w:afterAutospacing="1"/>
        <w:rPr>
          <w:rFonts w:ascii="Times New Roman" w:hAnsi="Times New Roman"/>
          <w:sz w:val="24"/>
          <w:szCs w:val="24"/>
        </w:rPr>
      </w:pPr>
      <w:r w:rsidRPr="00445DD7">
        <w:rPr>
          <w:rFonts w:ascii="Times New Roman" w:hAnsi="Times New Roman"/>
          <w:sz w:val="24"/>
          <w:szCs w:val="24"/>
        </w:rPr>
        <w:t>How do grantees use school readiness goals and data to inform program planning and improvement efforts?</w:t>
      </w:r>
      <w:r w:rsidRPr="00556678">
        <w:rPr>
          <w:rFonts w:ascii="Times New Roman" w:hAnsi="Times New Roman"/>
          <w:b/>
          <w:sz w:val="24"/>
          <w:szCs w:val="24"/>
        </w:rPr>
        <w:t xml:space="preserve"> </w:t>
      </w:r>
    </w:p>
    <w:p w:rsidR="00B303E3" w:rsidRPr="00B303E3" w:rsidRDefault="002536EF" w:rsidP="001C1A57">
      <w:r>
        <w:t xml:space="preserve">These </w:t>
      </w:r>
      <w:r w:rsidR="00B87710">
        <w:t>five</w:t>
      </w:r>
      <w:r>
        <w:t xml:space="preserve"> research questions are embedded in a conceptual model</w:t>
      </w:r>
      <w:r w:rsidR="00B303E3">
        <w:t xml:space="preserve"> that depicts </w:t>
      </w:r>
      <w:r w:rsidR="001C1A57">
        <w:t xml:space="preserve">the research team’s understanding of </w:t>
      </w:r>
      <w:r w:rsidR="00B303E3">
        <w:t xml:space="preserve">how the new requirements for establishing school readiness goals can </w:t>
      </w:r>
      <w:r w:rsidR="001C1A57">
        <w:t xml:space="preserve">lead to improvements in program quality and child outcomes, following principles of performance management. As shown in the circular process sketched </w:t>
      </w:r>
      <w:r w:rsidR="00B303E3">
        <w:t>out in the bottom half of the conceptual model</w:t>
      </w:r>
      <w:r w:rsidR="00895274">
        <w:t xml:space="preserve"> (shown below)</w:t>
      </w:r>
      <w:r w:rsidR="00B303E3">
        <w:t xml:space="preserve">, </w:t>
      </w:r>
      <w:r w:rsidR="001C1A57">
        <w:t xml:space="preserve">grantees are expected to 1) establish school readiness goals; 2) develop and implement plans to achieve goals; 3) evaluate progress towards goals; and 4) refine or adopt plans for program improvement, </w:t>
      </w:r>
      <w:r w:rsidR="00884BD0">
        <w:t xml:space="preserve">and then, back at the beginning, consider whether to make refinements in school readiness goals and/or action plans for achieving goals.   </w:t>
      </w:r>
      <w:r w:rsidR="00B303E3">
        <w:t xml:space="preserve">The four </w:t>
      </w:r>
      <w:r w:rsidR="001C1A57">
        <w:t xml:space="preserve">steps align with </w:t>
      </w:r>
      <w:r w:rsidR="00B303E3" w:rsidRPr="00077F25">
        <w:t>the four strategic steps outlined in</w:t>
      </w:r>
      <w:r w:rsidR="00B303E3">
        <w:t xml:space="preserve"> the November 8, 2011 Program Instruction on School Readiness </w:t>
      </w:r>
      <w:r w:rsidR="00B303E3" w:rsidRPr="00301E71">
        <w:t>Goals (</w:t>
      </w:r>
      <w:r w:rsidR="00B303E3" w:rsidRPr="00917C3D">
        <w:rPr>
          <w:rStyle w:val="A5"/>
          <w:sz w:val="24"/>
          <w:szCs w:val="24"/>
        </w:rPr>
        <w:t>ACF-PI-HS-11-04)</w:t>
      </w:r>
      <w:r w:rsidR="00B303E3" w:rsidRPr="00D86AEE">
        <w:t xml:space="preserve">. </w:t>
      </w:r>
      <w:r w:rsidR="001C1A57">
        <w:t xml:space="preserve">The entire </w:t>
      </w:r>
      <w:r w:rsidR="00B303E3" w:rsidRPr="00B303E3">
        <w:t>process is complex and iterative: the evaluation of progress can motivate plans for improvement and further plans for action, but it also can feed back into refining goals for school readiness.   Finally, the process revolves around p</w:t>
      </w:r>
      <w:r w:rsidR="00B303E3">
        <w:t>rogram quality and child outcomes, because the process of setting goals and using data to evaluate goals is not being done for its own sake, but in order to influence program quality and improve child outcomes.</w:t>
      </w:r>
    </w:p>
    <w:p w:rsidR="00B303E3" w:rsidRDefault="00B303E3" w:rsidP="00B303E3"/>
    <w:p w:rsidR="0062263E" w:rsidRDefault="001C1A57" w:rsidP="001C1A57">
      <w:r>
        <w:t xml:space="preserve">As shown in the top half of the conceptual model, the dual and inter-related processes of establishing and using school readiness goals are influenced by the context in which the Head Start or Early Head Start agency operates.  Specifically, four key contextual factors influence the process: </w:t>
      </w:r>
    </w:p>
    <w:p w:rsidR="0062263E" w:rsidRPr="00744AB0" w:rsidRDefault="0062263E" w:rsidP="0062263E">
      <w:pPr>
        <w:ind w:firstLine="540"/>
      </w:pPr>
    </w:p>
    <w:p w:rsidR="0062263E" w:rsidRPr="00C64D3A" w:rsidRDefault="0062263E" w:rsidP="0062263E">
      <w:pPr>
        <w:pStyle w:val="ColorfulList-Accent11"/>
        <w:numPr>
          <w:ilvl w:val="0"/>
          <w:numId w:val="23"/>
        </w:numPr>
        <w:ind w:left="547"/>
        <w:rPr>
          <w:rFonts w:ascii="Times New Roman" w:eastAsia="Times New Roman" w:hAnsi="Times New Roman"/>
          <w:sz w:val="24"/>
          <w:szCs w:val="24"/>
        </w:rPr>
      </w:pPr>
      <w:r w:rsidRPr="007146D9">
        <w:rPr>
          <w:rFonts w:ascii="Times New Roman" w:eastAsia="Times New Roman" w:hAnsi="Times New Roman"/>
          <w:b/>
          <w:sz w:val="24"/>
          <w:szCs w:val="24"/>
        </w:rPr>
        <w:lastRenderedPageBreak/>
        <w:t xml:space="preserve">The </w:t>
      </w:r>
      <w:r w:rsidRPr="007146D9">
        <w:rPr>
          <w:rFonts w:ascii="Times New Roman" w:eastAsia="Times New Roman" w:hAnsi="Times New Roman"/>
          <w:b/>
          <w:i/>
          <w:sz w:val="24"/>
          <w:szCs w:val="24"/>
        </w:rPr>
        <w:t xml:space="preserve">Head Start Child Development and Early Learning Framework </w:t>
      </w:r>
      <w:r w:rsidR="00063C11">
        <w:rPr>
          <w:rFonts w:ascii="Times New Roman" w:eastAsia="Times New Roman" w:hAnsi="Times New Roman"/>
          <w:b/>
          <w:i/>
          <w:sz w:val="24"/>
          <w:szCs w:val="24"/>
        </w:rPr>
        <w:t xml:space="preserve">(HSCDELF) </w:t>
      </w:r>
      <w:r w:rsidRPr="007146D9">
        <w:rPr>
          <w:rFonts w:ascii="Times New Roman" w:eastAsia="Times New Roman" w:hAnsi="Times New Roman"/>
          <w:b/>
          <w:i/>
          <w:sz w:val="24"/>
          <w:szCs w:val="24"/>
        </w:rPr>
        <w:t xml:space="preserve">and other Head Start and Early Head Start standards, guidance and technical assistance. </w:t>
      </w:r>
      <w:r w:rsidRPr="007146D9">
        <w:rPr>
          <w:rFonts w:ascii="Times New Roman" w:eastAsia="Times New Roman" w:hAnsi="Times New Roman"/>
          <w:sz w:val="24"/>
          <w:szCs w:val="24"/>
        </w:rPr>
        <w:t xml:space="preserve"> Head Start regulations and guidance, including the Head Start </w:t>
      </w:r>
      <w:r w:rsidRPr="007146D9">
        <w:rPr>
          <w:rFonts w:ascii="Times New Roman" w:eastAsia="Times New Roman" w:hAnsi="Times New Roman"/>
          <w:i/>
          <w:sz w:val="24"/>
          <w:szCs w:val="24"/>
        </w:rPr>
        <w:t>Child Development and Early Learning Framework</w:t>
      </w:r>
      <w:r w:rsidRPr="007146D9">
        <w:rPr>
          <w:rFonts w:ascii="Times New Roman" w:eastAsia="Times New Roman" w:hAnsi="Times New Roman"/>
          <w:sz w:val="24"/>
          <w:szCs w:val="24"/>
        </w:rPr>
        <w:t xml:space="preserve">, as well as related TA materials, provide a common starting point and guidelines for establishing </w:t>
      </w:r>
      <w:r w:rsidR="001C1A57">
        <w:rPr>
          <w:rFonts w:ascii="Times New Roman" w:eastAsia="Times New Roman" w:hAnsi="Times New Roman"/>
          <w:sz w:val="24"/>
          <w:szCs w:val="24"/>
        </w:rPr>
        <w:t xml:space="preserve">and using </w:t>
      </w:r>
      <w:r w:rsidRPr="007146D9">
        <w:rPr>
          <w:rFonts w:ascii="Times New Roman" w:eastAsia="Times New Roman" w:hAnsi="Times New Roman"/>
          <w:sz w:val="24"/>
          <w:szCs w:val="24"/>
        </w:rPr>
        <w:t xml:space="preserve">school readiness goals.  </w:t>
      </w:r>
    </w:p>
    <w:p w:rsidR="0062263E" w:rsidRPr="00C64D3A" w:rsidRDefault="0062263E" w:rsidP="0062263E">
      <w:pPr>
        <w:pStyle w:val="ColorfulList-Accent11"/>
        <w:numPr>
          <w:ilvl w:val="0"/>
          <w:numId w:val="23"/>
        </w:numPr>
        <w:ind w:left="547"/>
        <w:rPr>
          <w:rFonts w:ascii="Times New Roman" w:eastAsia="Times New Roman" w:hAnsi="Times New Roman"/>
          <w:sz w:val="24"/>
          <w:szCs w:val="24"/>
        </w:rPr>
      </w:pPr>
      <w:r w:rsidRPr="007146D9">
        <w:rPr>
          <w:rFonts w:ascii="Times New Roman" w:eastAsia="Times New Roman" w:hAnsi="Times New Roman"/>
          <w:b/>
          <w:i/>
          <w:sz w:val="24"/>
          <w:szCs w:val="24"/>
        </w:rPr>
        <w:t>Child and family characteristics.</w:t>
      </w:r>
      <w:r w:rsidRPr="007146D9">
        <w:rPr>
          <w:rFonts w:ascii="Times New Roman" w:eastAsia="Times New Roman" w:hAnsi="Times New Roman"/>
          <w:b/>
          <w:sz w:val="24"/>
          <w:szCs w:val="24"/>
        </w:rPr>
        <w:t xml:space="preserve">  </w:t>
      </w:r>
      <w:r w:rsidRPr="007146D9">
        <w:rPr>
          <w:rFonts w:ascii="Times New Roman" w:eastAsia="Times New Roman" w:hAnsi="Times New Roman"/>
          <w:sz w:val="24"/>
          <w:szCs w:val="24"/>
        </w:rPr>
        <w:t xml:space="preserve">The age of children served by the program (3-5, 0-3, or 0-5) is expected to influence the setting of school readiness goals, as is consideration of child and family needs, the presence of dual-language learners, and family culture, beliefs and expectations. </w:t>
      </w:r>
    </w:p>
    <w:p w:rsidR="0062263E" w:rsidRPr="00744AB0" w:rsidRDefault="0062263E" w:rsidP="0062263E">
      <w:pPr>
        <w:pStyle w:val="ColorfulList-Accent11"/>
        <w:numPr>
          <w:ilvl w:val="0"/>
          <w:numId w:val="23"/>
        </w:numPr>
        <w:ind w:left="547"/>
        <w:rPr>
          <w:rFonts w:ascii="Times New Roman" w:eastAsia="Times New Roman" w:hAnsi="Times New Roman"/>
          <w:sz w:val="24"/>
          <w:szCs w:val="24"/>
        </w:rPr>
      </w:pPr>
      <w:r w:rsidRPr="007146D9">
        <w:rPr>
          <w:rFonts w:ascii="Times New Roman" w:eastAsia="Times New Roman" w:hAnsi="Times New Roman"/>
          <w:b/>
          <w:i/>
          <w:sz w:val="24"/>
          <w:szCs w:val="24"/>
        </w:rPr>
        <w:t xml:space="preserve">Program characteristics. </w:t>
      </w:r>
      <w:r w:rsidRPr="007146D9">
        <w:rPr>
          <w:rFonts w:ascii="Times New Roman" w:eastAsia="Times New Roman" w:hAnsi="Times New Roman"/>
          <w:b/>
          <w:sz w:val="24"/>
          <w:szCs w:val="24"/>
        </w:rPr>
        <w:t xml:space="preserve"> </w:t>
      </w:r>
      <w:r w:rsidRPr="007146D9">
        <w:rPr>
          <w:rFonts w:ascii="Times New Roman" w:eastAsia="Times New Roman" w:hAnsi="Times New Roman"/>
          <w:sz w:val="24"/>
          <w:szCs w:val="24"/>
        </w:rPr>
        <w:t>Program structure varies widely across grantees, including service delivery model,</w:t>
      </w:r>
      <w:r>
        <w:rPr>
          <w:rFonts w:ascii="Times New Roman" w:eastAsia="Times New Roman" w:hAnsi="Times New Roman"/>
          <w:sz w:val="24"/>
          <w:szCs w:val="24"/>
        </w:rPr>
        <w:t xml:space="preserve"> </w:t>
      </w:r>
      <w:r w:rsidRPr="007146D9">
        <w:rPr>
          <w:rFonts w:ascii="Times New Roman" w:eastAsia="Times New Roman" w:hAnsi="Times New Roman"/>
          <w:sz w:val="24"/>
          <w:szCs w:val="24"/>
        </w:rPr>
        <w:t xml:space="preserve">program size, auspices, length of service day, funding streams and levels, and governing structure. </w:t>
      </w:r>
      <w:r>
        <w:rPr>
          <w:rFonts w:ascii="Times New Roman" w:eastAsia="Times New Roman" w:hAnsi="Times New Roman"/>
          <w:sz w:val="24"/>
          <w:szCs w:val="24"/>
        </w:rPr>
        <w:t xml:space="preserve">The research team expects </w:t>
      </w:r>
      <w:r w:rsidRPr="007146D9">
        <w:rPr>
          <w:rFonts w:ascii="Times New Roman" w:eastAsia="Times New Roman" w:hAnsi="Times New Roman"/>
          <w:sz w:val="24"/>
          <w:szCs w:val="24"/>
        </w:rPr>
        <w:t>these characteristics to influence the process</w:t>
      </w:r>
      <w:r w:rsidR="002536EF">
        <w:rPr>
          <w:rFonts w:ascii="Times New Roman" w:eastAsia="Times New Roman" w:hAnsi="Times New Roman"/>
          <w:sz w:val="24"/>
          <w:szCs w:val="24"/>
        </w:rPr>
        <w:t>es</w:t>
      </w:r>
      <w:r w:rsidRPr="007146D9">
        <w:rPr>
          <w:rFonts w:ascii="Times New Roman" w:eastAsia="Times New Roman" w:hAnsi="Times New Roman"/>
          <w:sz w:val="24"/>
          <w:szCs w:val="24"/>
        </w:rPr>
        <w:t xml:space="preserve"> of setting goals</w:t>
      </w:r>
      <w:r w:rsidR="002536EF">
        <w:rPr>
          <w:rFonts w:ascii="Times New Roman" w:eastAsia="Times New Roman" w:hAnsi="Times New Roman"/>
          <w:sz w:val="24"/>
          <w:szCs w:val="24"/>
        </w:rPr>
        <w:t xml:space="preserve"> and using goals</w:t>
      </w:r>
      <w:r w:rsidRPr="007146D9">
        <w:rPr>
          <w:rFonts w:ascii="Times New Roman" w:eastAsia="Times New Roman" w:hAnsi="Times New Roman"/>
          <w:sz w:val="24"/>
          <w:szCs w:val="24"/>
        </w:rPr>
        <w:t xml:space="preserve">. Program leadership and staff also will be influential, including directors’ and staff members’ experience, education, capacity and comfort with data use, and participation in professional development; organizational structure and culture, values, and theory of change; and past choices, such as choice of curriculum and data systems or pre-existing systems of goals and measures.  </w:t>
      </w:r>
    </w:p>
    <w:p w:rsidR="0062263E" w:rsidRPr="00744AB0" w:rsidRDefault="0062263E" w:rsidP="0062263E">
      <w:pPr>
        <w:pStyle w:val="ColorfulList-Accent11"/>
        <w:numPr>
          <w:ilvl w:val="0"/>
          <w:numId w:val="23"/>
        </w:numPr>
        <w:ind w:left="547"/>
        <w:rPr>
          <w:rFonts w:ascii="Times New Roman" w:eastAsia="Times New Roman" w:hAnsi="Times New Roman"/>
          <w:sz w:val="24"/>
          <w:szCs w:val="24"/>
        </w:rPr>
      </w:pPr>
      <w:r w:rsidRPr="007146D9">
        <w:rPr>
          <w:rFonts w:ascii="Times New Roman" w:eastAsia="Times New Roman" w:hAnsi="Times New Roman"/>
          <w:b/>
          <w:i/>
          <w:sz w:val="24"/>
          <w:szCs w:val="24"/>
        </w:rPr>
        <w:t xml:space="preserve">Community context.  </w:t>
      </w:r>
      <w:r w:rsidRPr="007146D9">
        <w:rPr>
          <w:rFonts w:ascii="Times New Roman" w:eastAsia="Times New Roman" w:hAnsi="Times New Roman"/>
          <w:sz w:val="24"/>
          <w:szCs w:val="24"/>
        </w:rPr>
        <w:t xml:space="preserve">Grantees will be making their goals in a specific state context (e.g., State early learning guidelines, quality rating and improvement systems) and local community context (e.g., kindergarten requirements and transition policies of local education agencies and feeder schools; community stakeholders, partners, and resources; community norms and values). </w:t>
      </w:r>
    </w:p>
    <w:p w:rsidR="005A2103" w:rsidRDefault="005A2103" w:rsidP="007146D9">
      <w:pPr>
        <w:rPr>
          <w:b/>
          <w:sz w:val="22"/>
          <w:szCs w:val="22"/>
        </w:rPr>
      </w:pPr>
    </w:p>
    <w:p w:rsidR="002E076F" w:rsidRDefault="002E076F">
      <w:pPr>
        <w:rPr>
          <w:b/>
          <w:sz w:val="22"/>
        </w:rPr>
      </w:pPr>
      <w:r>
        <w:rPr>
          <w:b/>
          <w:sz w:val="22"/>
        </w:rPr>
        <w:br w:type="page"/>
      </w:r>
    </w:p>
    <w:p w:rsidR="007146D9" w:rsidRPr="005A2103" w:rsidRDefault="007146D9" w:rsidP="007146D9">
      <w:pPr>
        <w:rPr>
          <w:noProof/>
          <w:sz w:val="22"/>
          <w:szCs w:val="22"/>
        </w:rPr>
      </w:pPr>
      <w:proofErr w:type="gramStart"/>
      <w:r w:rsidRPr="00622568">
        <w:rPr>
          <w:b/>
          <w:sz w:val="22"/>
        </w:rPr>
        <w:lastRenderedPageBreak/>
        <w:t>Exhibit 1.</w:t>
      </w:r>
      <w:proofErr w:type="gramEnd"/>
      <w:r w:rsidRPr="00622568">
        <w:rPr>
          <w:b/>
          <w:sz w:val="22"/>
        </w:rPr>
        <w:t xml:space="preserve"> Conceptual Model for School Readiness Goals and Head Start Program Functioning</w:t>
      </w:r>
      <w:r w:rsidRPr="00622568">
        <w:rPr>
          <w:sz w:val="22"/>
        </w:rPr>
        <w:t xml:space="preserve"> </w:t>
      </w:r>
    </w:p>
    <w:p w:rsidR="005A2103" w:rsidRDefault="005A2103" w:rsidP="007146D9"/>
    <w:p w:rsidR="007146D9" w:rsidRDefault="00721F85" w:rsidP="005A2103">
      <w:pPr>
        <w:jc w:val="center"/>
        <w:rPr>
          <w:b/>
        </w:rPr>
      </w:pPr>
      <w:r>
        <w:rPr>
          <w:b/>
          <w:noProof/>
        </w:rPr>
        <w:drawing>
          <wp:inline distT="0" distB="0" distL="0" distR="0">
            <wp:extent cx="3057363" cy="4074566"/>
            <wp:effectExtent l="0" t="0" r="0" b="2540"/>
            <wp:docPr id="1" name="Picture 1" descr="SR Goal-Setting Process_Nov28_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 Goal-Setting Process_Nov28_ji"/>
                    <pic:cNvPicPr>
                      <a:picLocks noChangeAspect="1" noChangeArrowheads="1"/>
                    </pic:cNvPicPr>
                  </pic:nvPicPr>
                  <pic:blipFill>
                    <a:blip r:embed="rId12" cstate="print"/>
                    <a:srcRect/>
                    <a:stretch>
                      <a:fillRect/>
                    </a:stretch>
                  </pic:blipFill>
                  <pic:spPr bwMode="auto">
                    <a:xfrm>
                      <a:off x="0" y="0"/>
                      <a:ext cx="3058802" cy="4076484"/>
                    </a:xfrm>
                    <a:prstGeom prst="rect">
                      <a:avLst/>
                    </a:prstGeom>
                    <a:noFill/>
                    <a:ln w="9525">
                      <a:noFill/>
                      <a:miter lim="800000"/>
                      <a:headEnd/>
                      <a:tailEnd/>
                    </a:ln>
                  </pic:spPr>
                </pic:pic>
              </a:graphicData>
            </a:graphic>
          </wp:inline>
        </w:drawing>
      </w:r>
    </w:p>
    <w:p w:rsidR="00A97BB4" w:rsidRDefault="00A97BB4">
      <w:r>
        <w:br w:type="page"/>
      </w:r>
    </w:p>
    <w:p w:rsidR="005A2103" w:rsidRPr="00622568" w:rsidRDefault="005A2103" w:rsidP="005A2103">
      <w:pPr>
        <w:rPr>
          <w:b/>
        </w:rPr>
      </w:pPr>
      <w:r>
        <w:lastRenderedPageBreak/>
        <w:t>The telephone survey and follow-up visits to selected sites are designed to gather more information about the process of using and setting school readiness goals, and how this is influenced by contextual factors.  Exhibit 2 identifies the primary and secondary sources of information we will use to address each research question, and also provides more detail on the secondary questions and probes under each research question.</w:t>
      </w:r>
    </w:p>
    <w:p w:rsidR="0062263E" w:rsidRDefault="0062263E" w:rsidP="007146D9">
      <w:pPr>
        <w:spacing w:before="100" w:beforeAutospacing="1" w:after="100" w:afterAutospacing="1"/>
      </w:pPr>
      <w:proofErr w:type="gramStart"/>
      <w:r w:rsidRPr="003E2A6D">
        <w:rPr>
          <w:b/>
        </w:rPr>
        <w:t xml:space="preserve">Exhibit </w:t>
      </w:r>
      <w:r w:rsidR="00691B0A" w:rsidRPr="003E2A6D">
        <w:rPr>
          <w:b/>
        </w:rPr>
        <w:t>2</w:t>
      </w:r>
      <w:r w:rsidRPr="003E2A6D">
        <w:rPr>
          <w:b/>
        </w:rPr>
        <w:t>.</w:t>
      </w:r>
      <w:proofErr w:type="gramEnd"/>
      <w:r w:rsidRPr="003E2A6D">
        <w:rPr>
          <w:b/>
        </w:rPr>
        <w:t xml:space="preserve">  </w:t>
      </w:r>
      <w:r w:rsidR="003E2A6D" w:rsidRPr="003E2A6D">
        <w:rPr>
          <w:b/>
        </w:rPr>
        <w:t>Research Questions</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8"/>
        <w:gridCol w:w="326"/>
        <w:gridCol w:w="326"/>
        <w:gridCol w:w="326"/>
      </w:tblGrid>
      <w:tr w:rsidR="00D1495C" w:rsidRPr="001F4F87" w:rsidTr="00A97BB4">
        <w:trPr>
          <w:cantSplit/>
          <w:trHeight w:val="2033"/>
        </w:trPr>
        <w:tc>
          <w:tcPr>
            <w:tcW w:w="0" w:type="auto"/>
            <w:shd w:val="clear" w:color="auto" w:fill="auto"/>
            <w:noWrap/>
            <w:hideMark/>
          </w:tcPr>
          <w:p w:rsidR="00D1495C" w:rsidRPr="00E90075" w:rsidRDefault="007146D9" w:rsidP="00E90075">
            <w:pPr>
              <w:rPr>
                <w:rFonts w:eastAsia="Calibri"/>
                <w:b/>
                <w:sz w:val="22"/>
                <w:szCs w:val="22"/>
              </w:rPr>
            </w:pPr>
            <w:r w:rsidRPr="00E90075">
              <w:rPr>
                <w:rFonts w:eastAsia="Calibri"/>
                <w:b/>
                <w:sz w:val="22"/>
                <w:szCs w:val="22"/>
              </w:rPr>
              <w:t>Key Research Questions</w:t>
            </w:r>
          </w:p>
          <w:p w:rsidR="00691B0A" w:rsidRPr="00E90075" w:rsidRDefault="00691B0A" w:rsidP="00E90075">
            <w:pPr>
              <w:rPr>
                <w:rFonts w:eastAsia="Calibri"/>
                <w:b/>
                <w:sz w:val="22"/>
                <w:szCs w:val="22"/>
              </w:rPr>
            </w:pPr>
          </w:p>
          <w:p w:rsidR="00691B0A" w:rsidRPr="00E90075" w:rsidRDefault="00691B0A" w:rsidP="00E90075">
            <w:pPr>
              <w:rPr>
                <w:rFonts w:eastAsia="Calibri"/>
                <w:b/>
                <w:sz w:val="22"/>
                <w:szCs w:val="22"/>
              </w:rPr>
            </w:pPr>
          </w:p>
          <w:p w:rsidR="00691B0A" w:rsidRPr="00E90075" w:rsidRDefault="00691B0A" w:rsidP="00E90075">
            <w:pPr>
              <w:rPr>
                <w:rFonts w:eastAsia="Calibri"/>
                <w:b/>
                <w:sz w:val="22"/>
                <w:szCs w:val="22"/>
              </w:rPr>
            </w:pPr>
          </w:p>
          <w:p w:rsidR="00691B0A" w:rsidRPr="00E90075" w:rsidRDefault="00691B0A" w:rsidP="00691B0A">
            <w:pPr>
              <w:rPr>
                <w:rFonts w:ascii="Calibri" w:eastAsia="Calibri" w:hAnsi="Calibri"/>
                <w:b/>
                <w:sz w:val="22"/>
                <w:szCs w:val="22"/>
              </w:rPr>
            </w:pPr>
            <w:r w:rsidRPr="00E90075">
              <w:rPr>
                <w:rFonts w:ascii="Calibri" w:eastAsia="Calibri" w:hAnsi="Calibri"/>
                <w:b/>
                <w:sz w:val="22"/>
                <w:szCs w:val="22"/>
              </w:rPr>
              <w:t>X = Main data source</w:t>
            </w:r>
          </w:p>
          <w:p w:rsidR="00691B0A" w:rsidRPr="00E90075" w:rsidRDefault="00691B0A" w:rsidP="00691B0A">
            <w:pPr>
              <w:rPr>
                <w:rFonts w:eastAsia="Calibri"/>
                <w:b/>
                <w:sz w:val="22"/>
                <w:szCs w:val="22"/>
              </w:rPr>
            </w:pPr>
            <w:r w:rsidRPr="00E90075">
              <w:rPr>
                <w:rFonts w:ascii="Calibri" w:eastAsia="Calibri" w:hAnsi="Calibri"/>
                <w:b/>
                <w:sz w:val="22"/>
                <w:szCs w:val="22"/>
              </w:rPr>
              <w:t>O = Supplemental data source</w:t>
            </w:r>
          </w:p>
        </w:tc>
        <w:tc>
          <w:tcPr>
            <w:tcW w:w="0" w:type="auto"/>
            <w:shd w:val="clear" w:color="auto" w:fill="auto"/>
            <w:noWrap/>
            <w:textDirection w:val="btLr"/>
            <w:vAlign w:val="center"/>
            <w:hideMark/>
          </w:tcPr>
          <w:p w:rsidR="00D1495C" w:rsidRPr="00A97BB4" w:rsidRDefault="00D1495C" w:rsidP="00AF47B6">
            <w:pPr>
              <w:ind w:left="113" w:right="113"/>
              <w:jc w:val="center"/>
              <w:rPr>
                <w:rFonts w:eastAsia="Calibri"/>
                <w:b/>
                <w:sz w:val="22"/>
                <w:szCs w:val="22"/>
              </w:rPr>
            </w:pPr>
            <w:r w:rsidRPr="00A97BB4">
              <w:rPr>
                <w:rFonts w:eastAsia="Calibri"/>
                <w:b/>
                <w:sz w:val="22"/>
                <w:szCs w:val="22"/>
              </w:rPr>
              <w:t xml:space="preserve">Phone </w:t>
            </w:r>
            <w:r w:rsidR="00AF47B6" w:rsidRPr="00A97BB4">
              <w:rPr>
                <w:rFonts w:eastAsia="Calibri"/>
                <w:b/>
                <w:sz w:val="22"/>
                <w:szCs w:val="22"/>
              </w:rPr>
              <w:t xml:space="preserve"> Survey</w:t>
            </w:r>
          </w:p>
        </w:tc>
        <w:tc>
          <w:tcPr>
            <w:tcW w:w="0" w:type="auto"/>
            <w:shd w:val="clear" w:color="auto" w:fill="auto"/>
            <w:noWrap/>
            <w:textDirection w:val="btLr"/>
            <w:vAlign w:val="center"/>
            <w:hideMark/>
          </w:tcPr>
          <w:p w:rsidR="00D1495C" w:rsidRPr="00A97BB4" w:rsidRDefault="00D1495C" w:rsidP="00E90075">
            <w:pPr>
              <w:ind w:left="113" w:right="113"/>
              <w:jc w:val="center"/>
              <w:rPr>
                <w:rFonts w:eastAsia="Calibri"/>
                <w:b/>
                <w:sz w:val="22"/>
                <w:szCs w:val="22"/>
              </w:rPr>
            </w:pPr>
            <w:r w:rsidRPr="00A97BB4">
              <w:rPr>
                <w:rFonts w:eastAsia="Calibri"/>
                <w:b/>
                <w:sz w:val="22"/>
                <w:szCs w:val="22"/>
              </w:rPr>
              <w:t>Field Work</w:t>
            </w:r>
          </w:p>
        </w:tc>
        <w:tc>
          <w:tcPr>
            <w:tcW w:w="0" w:type="auto"/>
            <w:shd w:val="clear" w:color="auto" w:fill="auto"/>
            <w:noWrap/>
            <w:textDirection w:val="btLr"/>
            <w:vAlign w:val="center"/>
            <w:hideMark/>
          </w:tcPr>
          <w:p w:rsidR="00D1495C" w:rsidRPr="00A97BB4" w:rsidRDefault="00D1495C" w:rsidP="00E90075">
            <w:pPr>
              <w:ind w:left="113" w:right="113"/>
              <w:jc w:val="center"/>
              <w:rPr>
                <w:rFonts w:eastAsia="Calibri"/>
                <w:b/>
                <w:sz w:val="22"/>
                <w:szCs w:val="22"/>
              </w:rPr>
            </w:pPr>
            <w:r w:rsidRPr="00A97BB4">
              <w:rPr>
                <w:rFonts w:eastAsia="Calibri"/>
                <w:b/>
                <w:sz w:val="22"/>
                <w:szCs w:val="22"/>
              </w:rPr>
              <w:t>Document Review</w:t>
            </w:r>
          </w:p>
        </w:tc>
      </w:tr>
      <w:tr w:rsidR="00D1495C" w:rsidRPr="001F4F87" w:rsidTr="00E90075">
        <w:trPr>
          <w:trHeight w:val="330"/>
        </w:trPr>
        <w:tc>
          <w:tcPr>
            <w:tcW w:w="0" w:type="auto"/>
            <w:shd w:val="clear" w:color="auto" w:fill="auto"/>
            <w:noWrap/>
            <w:hideMark/>
          </w:tcPr>
          <w:p w:rsidR="00D1495C" w:rsidRPr="00E90075" w:rsidRDefault="00553B19" w:rsidP="00553B19">
            <w:pPr>
              <w:rPr>
                <w:rFonts w:ascii="Arial Narrow" w:eastAsia="Calibri" w:hAnsi="Arial Narrow" w:cs="Calibri"/>
                <w:b/>
                <w:sz w:val="22"/>
                <w:szCs w:val="22"/>
              </w:rPr>
            </w:pPr>
            <w:r>
              <w:rPr>
                <w:rFonts w:eastAsia="Calibri"/>
                <w:b/>
                <w:sz w:val="22"/>
                <w:szCs w:val="22"/>
              </w:rPr>
              <w:t xml:space="preserve">1.  </w:t>
            </w:r>
            <w:r w:rsidR="00D1495C" w:rsidRPr="00E90075">
              <w:rPr>
                <w:rFonts w:eastAsia="Calibri"/>
                <w:b/>
                <w:sz w:val="22"/>
                <w:szCs w:val="22"/>
              </w:rPr>
              <w:t xml:space="preserve">What school readiness goals do Head Start and Early Head Start programs set?  </w:t>
            </w:r>
          </w:p>
        </w:tc>
        <w:tc>
          <w:tcPr>
            <w:tcW w:w="0" w:type="auto"/>
            <w:shd w:val="clear" w:color="auto" w:fill="auto"/>
            <w:noWrap/>
            <w:vAlign w:val="center"/>
          </w:tcPr>
          <w:p w:rsidR="00D1495C" w:rsidRPr="00E90075" w:rsidRDefault="00D1495C" w:rsidP="00E90075">
            <w:pPr>
              <w:jc w:val="center"/>
              <w:rPr>
                <w:rFonts w:ascii="Arial Narrow" w:eastAsia="Calibri" w:hAnsi="Arial Narrow" w:cs="Calibri"/>
                <w:b/>
                <w:sz w:val="22"/>
                <w:szCs w:val="22"/>
              </w:rPr>
            </w:pPr>
          </w:p>
        </w:tc>
        <w:tc>
          <w:tcPr>
            <w:tcW w:w="0" w:type="auto"/>
            <w:shd w:val="clear" w:color="auto" w:fill="auto"/>
            <w:noWrap/>
            <w:vAlign w:val="center"/>
          </w:tcPr>
          <w:p w:rsidR="00D1495C" w:rsidRPr="00E90075" w:rsidRDefault="00D1495C" w:rsidP="00E90075">
            <w:pPr>
              <w:jc w:val="center"/>
              <w:rPr>
                <w:rFonts w:ascii="Arial Narrow" w:eastAsia="Calibri" w:hAnsi="Arial Narrow" w:cs="Calibri"/>
                <w:b/>
                <w:sz w:val="22"/>
                <w:szCs w:val="22"/>
              </w:rPr>
            </w:pPr>
          </w:p>
        </w:tc>
        <w:tc>
          <w:tcPr>
            <w:tcW w:w="0" w:type="auto"/>
            <w:shd w:val="clear" w:color="auto" w:fill="auto"/>
            <w:noWrap/>
            <w:vAlign w:val="center"/>
          </w:tcPr>
          <w:p w:rsidR="00D1495C" w:rsidRPr="00E90075" w:rsidRDefault="00D1495C" w:rsidP="00E90075">
            <w:pPr>
              <w:jc w:val="center"/>
              <w:rPr>
                <w:rFonts w:ascii="Arial Narrow" w:eastAsia="Calibri" w:hAnsi="Arial Narrow" w:cs="Calibri"/>
                <w:b/>
                <w:sz w:val="22"/>
                <w:szCs w:val="22"/>
              </w:rPr>
            </w:pPr>
          </w:p>
        </w:tc>
      </w:tr>
      <w:tr w:rsidR="00B21C6E" w:rsidRPr="001F4F87" w:rsidTr="00E90075">
        <w:trPr>
          <w:trHeight w:val="330"/>
        </w:trPr>
        <w:tc>
          <w:tcPr>
            <w:tcW w:w="0" w:type="auto"/>
            <w:shd w:val="clear" w:color="auto" w:fill="auto"/>
            <w:noWrap/>
            <w:hideMark/>
          </w:tcPr>
          <w:p w:rsidR="00B21C6E" w:rsidRPr="00753825" w:rsidRDefault="00B21C6E" w:rsidP="00E90075">
            <w:pPr>
              <w:pStyle w:val="ColorfulList-Accent11"/>
              <w:tabs>
                <w:tab w:val="left" w:pos="2520"/>
                <w:tab w:val="left" w:pos="4680"/>
              </w:tabs>
              <w:ind w:left="180"/>
              <w:rPr>
                <w:rFonts w:ascii="Times New Roman" w:hAnsi="Times New Roman"/>
                <w:b/>
              </w:rPr>
            </w:pPr>
            <w:r w:rsidRPr="00753825">
              <w:rPr>
                <w:rFonts w:ascii="Times New Roman" w:hAnsi="Times New Roman"/>
              </w:rPr>
              <w:t xml:space="preserve">How many goals do they set and in what domains? How do they align to the OHS goals from the HSCDELF? </w:t>
            </w:r>
          </w:p>
        </w:tc>
        <w:tc>
          <w:tcPr>
            <w:tcW w:w="0" w:type="auto"/>
            <w:shd w:val="clear" w:color="auto" w:fill="auto"/>
            <w:noWrap/>
            <w:vAlign w:val="center"/>
          </w:tcPr>
          <w:p w:rsidR="00B21C6E" w:rsidRPr="00E90075" w:rsidRDefault="00B21C6E" w:rsidP="00E90075">
            <w:pPr>
              <w:tabs>
                <w:tab w:val="left" w:pos="2520"/>
                <w:tab w:val="left" w:pos="4680"/>
              </w:tabs>
              <w:jc w:val="center"/>
              <w:rPr>
                <w:rFonts w:ascii="Arial Narrow" w:eastAsia="Calibri" w:hAnsi="Arial Narrow"/>
                <w:b/>
                <w:sz w:val="22"/>
                <w:szCs w:val="22"/>
              </w:rPr>
            </w:pPr>
            <w:r w:rsidRPr="00E90075">
              <w:rPr>
                <w:rFonts w:ascii="Arial Narrow" w:eastAsia="Calibri" w:hAnsi="Arial Narrow"/>
                <w:sz w:val="22"/>
                <w:szCs w:val="22"/>
              </w:rPr>
              <w:t>O</w:t>
            </w:r>
          </w:p>
        </w:tc>
        <w:tc>
          <w:tcPr>
            <w:tcW w:w="0" w:type="auto"/>
            <w:shd w:val="clear" w:color="auto" w:fill="auto"/>
            <w:noWrap/>
            <w:vAlign w:val="center"/>
          </w:tcPr>
          <w:p w:rsidR="00B21C6E" w:rsidRPr="00E90075" w:rsidRDefault="00B21C6E" w:rsidP="00E90075">
            <w:pPr>
              <w:tabs>
                <w:tab w:val="left" w:pos="2520"/>
                <w:tab w:val="left" w:pos="4680"/>
              </w:tabs>
              <w:jc w:val="center"/>
              <w:rPr>
                <w:rFonts w:ascii="Arial Narrow" w:eastAsia="Calibri" w:hAnsi="Arial Narrow"/>
                <w:b/>
                <w:sz w:val="22"/>
                <w:szCs w:val="22"/>
              </w:rPr>
            </w:pPr>
            <w:r w:rsidRPr="00E90075">
              <w:rPr>
                <w:rFonts w:ascii="Arial Narrow" w:eastAsia="Calibri" w:hAnsi="Arial Narrow"/>
                <w:sz w:val="22"/>
                <w:szCs w:val="22"/>
              </w:rPr>
              <w:t>O</w:t>
            </w:r>
          </w:p>
        </w:tc>
        <w:tc>
          <w:tcPr>
            <w:tcW w:w="0" w:type="auto"/>
            <w:shd w:val="clear" w:color="auto" w:fill="auto"/>
            <w:noWrap/>
            <w:vAlign w:val="center"/>
          </w:tcPr>
          <w:p w:rsidR="00B21C6E" w:rsidRPr="00E90075" w:rsidRDefault="00B21C6E" w:rsidP="00E90075">
            <w:pPr>
              <w:jc w:val="center"/>
              <w:rPr>
                <w:rFonts w:ascii="Arial Narrow" w:eastAsia="Calibri" w:hAnsi="Arial Narrow" w:cs="Calibri"/>
                <w:b/>
                <w:sz w:val="22"/>
                <w:szCs w:val="22"/>
              </w:rPr>
            </w:pPr>
            <w:r w:rsidRPr="00E90075">
              <w:rPr>
                <w:rFonts w:ascii="Arial Narrow" w:eastAsia="Calibri" w:hAnsi="Arial Narrow" w:cs="Calibri"/>
                <w:sz w:val="22"/>
                <w:szCs w:val="22"/>
              </w:rPr>
              <w:t>X</w:t>
            </w:r>
          </w:p>
        </w:tc>
      </w:tr>
      <w:tr w:rsidR="00B21C6E" w:rsidRPr="001F4F87" w:rsidTr="00E90075">
        <w:trPr>
          <w:trHeight w:val="330"/>
        </w:trPr>
        <w:tc>
          <w:tcPr>
            <w:tcW w:w="0" w:type="auto"/>
            <w:shd w:val="clear" w:color="auto" w:fill="auto"/>
            <w:noWrap/>
          </w:tcPr>
          <w:p w:rsidR="00B21C6E" w:rsidRPr="00753825" w:rsidRDefault="00B21C6E" w:rsidP="00E90075">
            <w:pPr>
              <w:pStyle w:val="ColorfulList-Accent11"/>
              <w:tabs>
                <w:tab w:val="left" w:pos="2520"/>
                <w:tab w:val="left" w:pos="4680"/>
              </w:tabs>
              <w:ind w:left="180"/>
              <w:rPr>
                <w:rFonts w:ascii="Times New Roman" w:hAnsi="Times New Roman"/>
                <w:b/>
              </w:rPr>
            </w:pPr>
            <w:r w:rsidRPr="00753825">
              <w:rPr>
                <w:rFonts w:ascii="Times New Roman" w:hAnsi="Times New Roman"/>
              </w:rPr>
              <w:t>What school readiness measures do they use and why?  How do measures align with goals?</w:t>
            </w:r>
          </w:p>
        </w:tc>
        <w:tc>
          <w:tcPr>
            <w:tcW w:w="0" w:type="auto"/>
            <w:shd w:val="clear" w:color="auto" w:fill="auto"/>
            <w:noWrap/>
            <w:vAlign w:val="center"/>
          </w:tcPr>
          <w:p w:rsidR="00B21C6E" w:rsidRPr="00E90075" w:rsidRDefault="00B21C6E" w:rsidP="00E90075">
            <w:pPr>
              <w:tabs>
                <w:tab w:val="left" w:pos="2520"/>
                <w:tab w:val="left" w:pos="4680"/>
              </w:tabs>
              <w:jc w:val="center"/>
              <w:rPr>
                <w:rFonts w:ascii="Arial Narrow" w:eastAsia="Calibri" w:hAnsi="Arial Narrow"/>
                <w:sz w:val="22"/>
                <w:szCs w:val="22"/>
              </w:rPr>
            </w:pPr>
            <w:r w:rsidRPr="00E90075">
              <w:rPr>
                <w:rFonts w:ascii="Arial Narrow" w:eastAsia="Calibri" w:hAnsi="Arial Narrow"/>
                <w:sz w:val="22"/>
                <w:szCs w:val="22"/>
              </w:rPr>
              <w:t>O</w:t>
            </w:r>
          </w:p>
        </w:tc>
        <w:tc>
          <w:tcPr>
            <w:tcW w:w="0" w:type="auto"/>
            <w:shd w:val="clear" w:color="auto" w:fill="auto"/>
            <w:noWrap/>
            <w:vAlign w:val="center"/>
          </w:tcPr>
          <w:p w:rsidR="00B21C6E" w:rsidRPr="00E90075" w:rsidRDefault="00B21C6E" w:rsidP="00E90075">
            <w:pPr>
              <w:tabs>
                <w:tab w:val="left" w:pos="2520"/>
                <w:tab w:val="left" w:pos="4680"/>
              </w:tabs>
              <w:jc w:val="center"/>
              <w:rPr>
                <w:rFonts w:ascii="Arial Narrow" w:eastAsia="Calibri" w:hAnsi="Arial Narrow"/>
                <w:sz w:val="22"/>
                <w:szCs w:val="22"/>
              </w:rPr>
            </w:pPr>
            <w:r w:rsidRPr="00E90075">
              <w:rPr>
                <w:rFonts w:ascii="Arial Narrow" w:eastAsia="Calibri" w:hAnsi="Arial Narrow"/>
                <w:sz w:val="22"/>
                <w:szCs w:val="22"/>
              </w:rPr>
              <w:t>O</w:t>
            </w:r>
          </w:p>
        </w:tc>
        <w:tc>
          <w:tcPr>
            <w:tcW w:w="0" w:type="auto"/>
            <w:shd w:val="clear" w:color="auto" w:fill="auto"/>
            <w:noWrap/>
            <w:vAlign w:val="center"/>
          </w:tcPr>
          <w:p w:rsidR="00B21C6E" w:rsidRPr="00E90075" w:rsidRDefault="00B21C6E" w:rsidP="00E90075">
            <w:pPr>
              <w:jc w:val="center"/>
              <w:rPr>
                <w:rFonts w:ascii="Arial Narrow" w:eastAsia="Calibri" w:hAnsi="Arial Narrow" w:cs="Calibri"/>
                <w:sz w:val="22"/>
                <w:szCs w:val="22"/>
              </w:rPr>
            </w:pPr>
            <w:r w:rsidRPr="00E90075">
              <w:rPr>
                <w:rFonts w:ascii="Arial Narrow" w:eastAsia="Calibri" w:hAnsi="Arial Narrow" w:cs="Calibri"/>
                <w:sz w:val="22"/>
                <w:szCs w:val="22"/>
              </w:rPr>
              <w:t>X</w:t>
            </w:r>
          </w:p>
        </w:tc>
      </w:tr>
      <w:tr w:rsidR="00B21C6E" w:rsidRPr="001F4F87" w:rsidTr="00E90075">
        <w:trPr>
          <w:trHeight w:val="330"/>
        </w:trPr>
        <w:tc>
          <w:tcPr>
            <w:tcW w:w="0" w:type="auto"/>
            <w:shd w:val="clear" w:color="auto" w:fill="auto"/>
            <w:noWrap/>
          </w:tcPr>
          <w:p w:rsidR="00B21C6E" w:rsidRPr="00E90075" w:rsidRDefault="00553B19" w:rsidP="00553B19">
            <w:pPr>
              <w:rPr>
                <w:rFonts w:ascii="Arial Narrow" w:eastAsia="Calibri" w:hAnsi="Arial Narrow" w:cs="Calibri"/>
                <w:b/>
                <w:sz w:val="22"/>
                <w:szCs w:val="22"/>
              </w:rPr>
            </w:pPr>
            <w:r>
              <w:rPr>
                <w:rFonts w:eastAsia="Calibri"/>
                <w:b/>
                <w:sz w:val="22"/>
                <w:szCs w:val="22"/>
              </w:rPr>
              <w:t xml:space="preserve">2.  </w:t>
            </w:r>
            <w:r w:rsidR="00B21C6E" w:rsidRPr="00E90075">
              <w:rPr>
                <w:rFonts w:eastAsia="Calibri"/>
                <w:b/>
                <w:sz w:val="22"/>
                <w:szCs w:val="22"/>
              </w:rPr>
              <w:t>What does the process of setting school readiness goals look like?</w:t>
            </w:r>
            <w:r w:rsidR="00B21C6E" w:rsidRPr="00E90075">
              <w:rPr>
                <w:rFonts w:eastAsia="Calibri"/>
                <w:sz w:val="22"/>
                <w:szCs w:val="22"/>
              </w:rPr>
              <w:t xml:space="preserve">    </w:t>
            </w:r>
          </w:p>
        </w:tc>
        <w:tc>
          <w:tcPr>
            <w:tcW w:w="0" w:type="auto"/>
            <w:shd w:val="clear" w:color="auto" w:fill="auto"/>
            <w:noWrap/>
            <w:vAlign w:val="center"/>
          </w:tcPr>
          <w:p w:rsidR="00B21C6E" w:rsidRPr="00E90075" w:rsidRDefault="00B21C6E" w:rsidP="00E90075">
            <w:pPr>
              <w:jc w:val="center"/>
              <w:rPr>
                <w:rFonts w:ascii="Arial Narrow" w:eastAsia="Calibri" w:hAnsi="Arial Narrow" w:cs="Calibri"/>
                <w:b/>
                <w:sz w:val="22"/>
                <w:szCs w:val="22"/>
              </w:rPr>
            </w:pPr>
          </w:p>
        </w:tc>
        <w:tc>
          <w:tcPr>
            <w:tcW w:w="0" w:type="auto"/>
            <w:shd w:val="clear" w:color="auto" w:fill="auto"/>
            <w:noWrap/>
            <w:vAlign w:val="center"/>
          </w:tcPr>
          <w:p w:rsidR="00B21C6E" w:rsidRPr="00E90075" w:rsidRDefault="00B21C6E" w:rsidP="00E90075">
            <w:pPr>
              <w:jc w:val="center"/>
              <w:rPr>
                <w:rFonts w:ascii="Arial Narrow" w:eastAsia="Calibri" w:hAnsi="Arial Narrow" w:cs="Calibri"/>
                <w:b/>
                <w:sz w:val="22"/>
                <w:szCs w:val="22"/>
              </w:rPr>
            </w:pPr>
          </w:p>
        </w:tc>
        <w:tc>
          <w:tcPr>
            <w:tcW w:w="0" w:type="auto"/>
            <w:shd w:val="clear" w:color="auto" w:fill="auto"/>
            <w:noWrap/>
            <w:vAlign w:val="center"/>
          </w:tcPr>
          <w:p w:rsidR="00B21C6E" w:rsidRPr="00E90075" w:rsidRDefault="00B21C6E" w:rsidP="00E90075">
            <w:pPr>
              <w:jc w:val="center"/>
              <w:rPr>
                <w:rFonts w:ascii="Arial Narrow" w:eastAsia="Calibri" w:hAnsi="Arial Narrow" w:cs="Calibri"/>
                <w:b/>
                <w:sz w:val="22"/>
                <w:szCs w:val="22"/>
              </w:rPr>
            </w:pPr>
          </w:p>
        </w:tc>
      </w:tr>
      <w:tr w:rsidR="00B21C6E" w:rsidRPr="001F4F87" w:rsidTr="00E90075">
        <w:trPr>
          <w:trHeight w:val="330"/>
        </w:trPr>
        <w:tc>
          <w:tcPr>
            <w:tcW w:w="0" w:type="auto"/>
            <w:shd w:val="clear" w:color="auto" w:fill="auto"/>
            <w:noWrap/>
          </w:tcPr>
          <w:p w:rsidR="00B21C6E" w:rsidRPr="00753825" w:rsidRDefault="00B21C6E" w:rsidP="00E90075">
            <w:pPr>
              <w:pStyle w:val="ColorfulList-Accent11"/>
              <w:tabs>
                <w:tab w:val="left" w:pos="2520"/>
                <w:tab w:val="left" w:pos="4680"/>
              </w:tabs>
              <w:ind w:left="180"/>
              <w:rPr>
                <w:rFonts w:ascii="Times New Roman" w:hAnsi="Times New Roman"/>
              </w:rPr>
            </w:pPr>
            <w:r w:rsidRPr="00753825">
              <w:rPr>
                <w:rFonts w:ascii="Times New Roman" w:hAnsi="Times New Roman"/>
              </w:rPr>
              <w:t xml:space="preserve">What are the steps? When did grantees begin the process and first finalize a set of goals? </w:t>
            </w:r>
          </w:p>
        </w:tc>
        <w:tc>
          <w:tcPr>
            <w:tcW w:w="0" w:type="auto"/>
            <w:shd w:val="clear" w:color="auto" w:fill="auto"/>
            <w:noWrap/>
            <w:vAlign w:val="center"/>
          </w:tcPr>
          <w:p w:rsidR="00B21C6E" w:rsidRPr="00E90075" w:rsidRDefault="00D27E83" w:rsidP="00E90075">
            <w:pPr>
              <w:tabs>
                <w:tab w:val="left" w:pos="2520"/>
                <w:tab w:val="left" w:pos="4680"/>
              </w:tabs>
              <w:jc w:val="center"/>
              <w:rPr>
                <w:rFonts w:ascii="Arial Narrow" w:eastAsia="Calibri" w:hAnsi="Arial Narrow"/>
                <w:b/>
                <w:sz w:val="22"/>
                <w:szCs w:val="22"/>
              </w:rPr>
            </w:pPr>
            <w:r>
              <w:rPr>
                <w:rFonts w:ascii="Arial Narrow" w:eastAsia="Calibri" w:hAnsi="Arial Narrow"/>
                <w:sz w:val="22"/>
                <w:szCs w:val="22"/>
              </w:rPr>
              <w:t>O</w:t>
            </w:r>
          </w:p>
        </w:tc>
        <w:tc>
          <w:tcPr>
            <w:tcW w:w="0" w:type="auto"/>
            <w:shd w:val="clear" w:color="auto" w:fill="auto"/>
            <w:noWrap/>
            <w:vAlign w:val="center"/>
          </w:tcPr>
          <w:p w:rsidR="00B21C6E" w:rsidRPr="00E90075" w:rsidRDefault="00D27E83" w:rsidP="00E90075">
            <w:pPr>
              <w:tabs>
                <w:tab w:val="left" w:pos="2520"/>
                <w:tab w:val="left" w:pos="4680"/>
              </w:tabs>
              <w:jc w:val="center"/>
              <w:rPr>
                <w:rFonts w:ascii="Arial Narrow" w:eastAsia="Calibri" w:hAnsi="Arial Narrow"/>
                <w:b/>
                <w:sz w:val="22"/>
                <w:szCs w:val="22"/>
              </w:rPr>
            </w:pPr>
            <w:r>
              <w:rPr>
                <w:rFonts w:ascii="Arial Narrow" w:eastAsia="Calibri" w:hAnsi="Arial Narrow"/>
                <w:sz w:val="22"/>
                <w:szCs w:val="22"/>
              </w:rPr>
              <w:t>X</w:t>
            </w:r>
          </w:p>
        </w:tc>
        <w:tc>
          <w:tcPr>
            <w:tcW w:w="0" w:type="auto"/>
            <w:shd w:val="clear" w:color="auto" w:fill="auto"/>
            <w:noWrap/>
            <w:vAlign w:val="center"/>
          </w:tcPr>
          <w:p w:rsidR="00B21C6E" w:rsidRPr="00E90075" w:rsidRDefault="00B21C6E" w:rsidP="00E90075">
            <w:pPr>
              <w:jc w:val="center"/>
              <w:rPr>
                <w:rFonts w:ascii="Arial Narrow" w:eastAsia="Calibri" w:hAnsi="Arial Narrow" w:cs="Calibri"/>
                <w:b/>
                <w:sz w:val="22"/>
                <w:szCs w:val="22"/>
              </w:rPr>
            </w:pPr>
          </w:p>
        </w:tc>
      </w:tr>
      <w:tr w:rsidR="00B21C6E" w:rsidRPr="001F4F87" w:rsidTr="00E90075">
        <w:trPr>
          <w:trHeight w:val="330"/>
        </w:trPr>
        <w:tc>
          <w:tcPr>
            <w:tcW w:w="0" w:type="auto"/>
            <w:shd w:val="clear" w:color="auto" w:fill="auto"/>
            <w:noWrap/>
          </w:tcPr>
          <w:p w:rsidR="00B21C6E" w:rsidRPr="00E90075" w:rsidRDefault="00B21C6E" w:rsidP="00E90075">
            <w:pPr>
              <w:ind w:left="180"/>
              <w:rPr>
                <w:rFonts w:eastAsia="Calibri"/>
                <w:sz w:val="22"/>
                <w:szCs w:val="22"/>
              </w:rPr>
            </w:pPr>
            <w:r w:rsidRPr="00E90075">
              <w:rPr>
                <w:rFonts w:eastAsia="Calibri"/>
                <w:sz w:val="22"/>
                <w:szCs w:val="22"/>
              </w:rPr>
              <w:t xml:space="preserve">Who is involved in the process? </w:t>
            </w:r>
          </w:p>
        </w:tc>
        <w:tc>
          <w:tcPr>
            <w:tcW w:w="0" w:type="auto"/>
            <w:shd w:val="clear" w:color="auto" w:fill="auto"/>
            <w:noWrap/>
            <w:vAlign w:val="center"/>
          </w:tcPr>
          <w:p w:rsidR="00B21C6E" w:rsidRPr="00E90075" w:rsidRDefault="00B21C6E" w:rsidP="00E90075">
            <w:pPr>
              <w:jc w:val="center"/>
              <w:rPr>
                <w:rFonts w:ascii="Arial Narrow" w:eastAsia="Calibri" w:hAnsi="Arial Narrow"/>
                <w:sz w:val="22"/>
                <w:szCs w:val="22"/>
              </w:rPr>
            </w:pPr>
            <w:r w:rsidRPr="00E90075">
              <w:rPr>
                <w:rFonts w:ascii="Arial Narrow" w:eastAsia="Calibri" w:hAnsi="Arial Narrow"/>
                <w:sz w:val="22"/>
                <w:szCs w:val="22"/>
              </w:rPr>
              <w:t>X</w:t>
            </w:r>
          </w:p>
        </w:tc>
        <w:tc>
          <w:tcPr>
            <w:tcW w:w="0" w:type="auto"/>
            <w:shd w:val="clear" w:color="auto" w:fill="auto"/>
            <w:noWrap/>
            <w:vAlign w:val="center"/>
          </w:tcPr>
          <w:p w:rsidR="00B21C6E" w:rsidRPr="00E90075" w:rsidRDefault="00D27E83" w:rsidP="00E90075">
            <w:pPr>
              <w:jc w:val="center"/>
              <w:rPr>
                <w:rFonts w:ascii="Calibri" w:eastAsia="Calibri" w:hAnsi="Calibri"/>
                <w:sz w:val="22"/>
                <w:szCs w:val="22"/>
              </w:rPr>
            </w:pPr>
            <w:r>
              <w:rPr>
                <w:rFonts w:ascii="Arial Narrow" w:eastAsia="Calibri" w:hAnsi="Arial Narrow"/>
                <w:sz w:val="22"/>
                <w:szCs w:val="22"/>
              </w:rPr>
              <w:t>X</w:t>
            </w:r>
          </w:p>
        </w:tc>
        <w:tc>
          <w:tcPr>
            <w:tcW w:w="0" w:type="auto"/>
            <w:shd w:val="clear" w:color="auto" w:fill="auto"/>
            <w:noWrap/>
            <w:vAlign w:val="center"/>
          </w:tcPr>
          <w:p w:rsidR="00B21C6E" w:rsidRPr="00E90075" w:rsidRDefault="00B21C6E" w:rsidP="00E90075">
            <w:pPr>
              <w:jc w:val="center"/>
              <w:rPr>
                <w:rFonts w:ascii="Arial Narrow" w:eastAsia="Calibri" w:hAnsi="Arial Narrow" w:cs="Calibri"/>
                <w:b/>
                <w:sz w:val="22"/>
                <w:szCs w:val="22"/>
              </w:rPr>
            </w:pPr>
          </w:p>
        </w:tc>
      </w:tr>
      <w:tr w:rsidR="00B21C6E" w:rsidRPr="001F4F87" w:rsidTr="00E90075">
        <w:trPr>
          <w:trHeight w:val="330"/>
        </w:trPr>
        <w:tc>
          <w:tcPr>
            <w:tcW w:w="0" w:type="auto"/>
            <w:shd w:val="clear" w:color="auto" w:fill="auto"/>
            <w:noWrap/>
          </w:tcPr>
          <w:p w:rsidR="00B21C6E" w:rsidRPr="00E90075" w:rsidRDefault="00B21C6E" w:rsidP="00E90075">
            <w:pPr>
              <w:ind w:left="180"/>
              <w:rPr>
                <w:rFonts w:ascii="Calibri" w:eastAsia="Calibri" w:hAnsi="Calibri"/>
                <w:sz w:val="22"/>
                <w:szCs w:val="22"/>
              </w:rPr>
            </w:pPr>
            <w:r w:rsidRPr="00E90075">
              <w:rPr>
                <w:rFonts w:eastAsia="Calibri"/>
                <w:sz w:val="22"/>
                <w:szCs w:val="22"/>
              </w:rPr>
              <w:t xml:space="preserve">What role do various contextual factors play in influencing the process (e.g., HSCDELF, program characteristics, child and family characteristics, community context)?  What are the challenges? What are the facilitating factors? </w:t>
            </w:r>
          </w:p>
        </w:tc>
        <w:tc>
          <w:tcPr>
            <w:tcW w:w="0" w:type="auto"/>
            <w:shd w:val="clear" w:color="auto" w:fill="auto"/>
            <w:noWrap/>
            <w:vAlign w:val="center"/>
          </w:tcPr>
          <w:p w:rsidR="00B21C6E" w:rsidRPr="00E90075" w:rsidRDefault="00B21C6E" w:rsidP="00E90075">
            <w:pPr>
              <w:jc w:val="center"/>
              <w:rPr>
                <w:rFonts w:ascii="Arial Narrow" w:eastAsia="Calibri" w:hAnsi="Arial Narrow"/>
                <w:sz w:val="22"/>
                <w:szCs w:val="22"/>
              </w:rPr>
            </w:pPr>
            <w:r w:rsidRPr="00E90075">
              <w:rPr>
                <w:rFonts w:ascii="Arial Narrow" w:eastAsia="Calibri" w:hAnsi="Arial Narrow"/>
                <w:sz w:val="22"/>
                <w:szCs w:val="22"/>
              </w:rPr>
              <w:t>X</w:t>
            </w:r>
          </w:p>
        </w:tc>
        <w:tc>
          <w:tcPr>
            <w:tcW w:w="0" w:type="auto"/>
            <w:shd w:val="clear" w:color="auto" w:fill="auto"/>
            <w:noWrap/>
            <w:vAlign w:val="center"/>
          </w:tcPr>
          <w:p w:rsidR="00B21C6E" w:rsidRPr="00E90075" w:rsidRDefault="00B21C6E" w:rsidP="00E90075">
            <w:pPr>
              <w:jc w:val="center"/>
              <w:rPr>
                <w:rFonts w:ascii="Arial Narrow" w:eastAsia="Calibri" w:hAnsi="Arial Narrow"/>
                <w:sz w:val="22"/>
                <w:szCs w:val="22"/>
              </w:rPr>
            </w:pPr>
            <w:r w:rsidRPr="00E90075">
              <w:rPr>
                <w:rFonts w:ascii="Arial Narrow" w:eastAsia="Calibri" w:hAnsi="Arial Narrow"/>
                <w:sz w:val="22"/>
                <w:szCs w:val="22"/>
              </w:rPr>
              <w:t>X</w:t>
            </w:r>
          </w:p>
        </w:tc>
        <w:tc>
          <w:tcPr>
            <w:tcW w:w="0" w:type="auto"/>
            <w:shd w:val="clear" w:color="auto" w:fill="auto"/>
            <w:noWrap/>
            <w:vAlign w:val="center"/>
          </w:tcPr>
          <w:p w:rsidR="00B21C6E" w:rsidRPr="00E90075" w:rsidRDefault="00B21C6E" w:rsidP="00E90075">
            <w:pPr>
              <w:jc w:val="center"/>
              <w:rPr>
                <w:rFonts w:ascii="Arial Narrow" w:eastAsia="Calibri" w:hAnsi="Arial Narrow" w:cs="Calibri"/>
                <w:b/>
                <w:sz w:val="22"/>
                <w:szCs w:val="22"/>
              </w:rPr>
            </w:pPr>
          </w:p>
        </w:tc>
      </w:tr>
      <w:tr w:rsidR="00B21C6E" w:rsidRPr="001F4F87" w:rsidTr="00E90075">
        <w:trPr>
          <w:trHeight w:val="330"/>
        </w:trPr>
        <w:tc>
          <w:tcPr>
            <w:tcW w:w="0" w:type="auto"/>
            <w:shd w:val="clear" w:color="auto" w:fill="auto"/>
            <w:noWrap/>
          </w:tcPr>
          <w:p w:rsidR="00B21C6E" w:rsidRPr="00753825" w:rsidRDefault="00B21C6E" w:rsidP="00E90075">
            <w:pPr>
              <w:pStyle w:val="ColorfulList-Accent11"/>
              <w:tabs>
                <w:tab w:val="left" w:pos="2520"/>
                <w:tab w:val="left" w:pos="4680"/>
              </w:tabs>
              <w:ind w:left="180"/>
              <w:rPr>
                <w:rFonts w:ascii="Times New Roman" w:hAnsi="Times New Roman"/>
                <w:b/>
              </w:rPr>
            </w:pPr>
            <w:r w:rsidRPr="00753825">
              <w:rPr>
                <w:rFonts w:ascii="Times New Roman" w:hAnsi="Times New Roman"/>
              </w:rPr>
              <w:t>How do programs understand and approach the new requirements?</w:t>
            </w:r>
          </w:p>
        </w:tc>
        <w:tc>
          <w:tcPr>
            <w:tcW w:w="0" w:type="auto"/>
            <w:shd w:val="clear" w:color="auto" w:fill="auto"/>
            <w:noWrap/>
            <w:vAlign w:val="center"/>
          </w:tcPr>
          <w:p w:rsidR="00B21C6E" w:rsidRPr="00E90075" w:rsidRDefault="00B21C6E" w:rsidP="00E90075">
            <w:pPr>
              <w:tabs>
                <w:tab w:val="left" w:pos="2520"/>
                <w:tab w:val="left" w:pos="4680"/>
              </w:tabs>
              <w:jc w:val="center"/>
              <w:rPr>
                <w:rFonts w:ascii="Arial Narrow" w:eastAsia="Calibri" w:hAnsi="Arial Narrow"/>
                <w:sz w:val="22"/>
                <w:szCs w:val="22"/>
              </w:rPr>
            </w:pPr>
            <w:r w:rsidRPr="00E90075">
              <w:rPr>
                <w:rFonts w:ascii="Arial Narrow" w:eastAsia="Calibri" w:hAnsi="Arial Narrow"/>
                <w:sz w:val="22"/>
                <w:szCs w:val="22"/>
              </w:rPr>
              <w:t>X</w:t>
            </w:r>
          </w:p>
        </w:tc>
        <w:tc>
          <w:tcPr>
            <w:tcW w:w="0" w:type="auto"/>
            <w:shd w:val="clear" w:color="auto" w:fill="auto"/>
            <w:noWrap/>
            <w:vAlign w:val="center"/>
          </w:tcPr>
          <w:p w:rsidR="00B21C6E" w:rsidRPr="00E90075" w:rsidRDefault="00B21C6E" w:rsidP="00E90075">
            <w:pPr>
              <w:tabs>
                <w:tab w:val="left" w:pos="2520"/>
                <w:tab w:val="left" w:pos="4680"/>
              </w:tabs>
              <w:jc w:val="center"/>
              <w:rPr>
                <w:rFonts w:ascii="Arial Narrow" w:eastAsia="Calibri" w:hAnsi="Arial Narrow"/>
                <w:sz w:val="22"/>
                <w:szCs w:val="22"/>
              </w:rPr>
            </w:pPr>
            <w:r w:rsidRPr="00E90075">
              <w:rPr>
                <w:rFonts w:ascii="Arial Narrow" w:eastAsia="Calibri" w:hAnsi="Arial Narrow"/>
                <w:sz w:val="22"/>
                <w:szCs w:val="22"/>
              </w:rPr>
              <w:t>X</w:t>
            </w:r>
          </w:p>
        </w:tc>
        <w:tc>
          <w:tcPr>
            <w:tcW w:w="0" w:type="auto"/>
            <w:shd w:val="clear" w:color="auto" w:fill="auto"/>
            <w:noWrap/>
            <w:vAlign w:val="center"/>
          </w:tcPr>
          <w:p w:rsidR="00B21C6E" w:rsidRPr="00E90075" w:rsidRDefault="00B21C6E" w:rsidP="00E90075">
            <w:pPr>
              <w:jc w:val="center"/>
              <w:rPr>
                <w:rFonts w:ascii="Arial Narrow" w:eastAsia="Calibri" w:hAnsi="Arial Narrow" w:cs="Calibri"/>
                <w:b/>
                <w:sz w:val="22"/>
                <w:szCs w:val="22"/>
              </w:rPr>
            </w:pPr>
          </w:p>
        </w:tc>
      </w:tr>
      <w:tr w:rsidR="002E40C4" w:rsidRPr="001F4F87" w:rsidTr="00E90075">
        <w:trPr>
          <w:trHeight w:val="330"/>
        </w:trPr>
        <w:tc>
          <w:tcPr>
            <w:tcW w:w="0" w:type="auto"/>
            <w:shd w:val="clear" w:color="auto" w:fill="auto"/>
            <w:noWrap/>
          </w:tcPr>
          <w:p w:rsidR="002E40C4" w:rsidRPr="00753825" w:rsidRDefault="002E40C4" w:rsidP="00E90075">
            <w:pPr>
              <w:pStyle w:val="ColorfulList-Accent11"/>
              <w:tabs>
                <w:tab w:val="left" w:pos="2520"/>
                <w:tab w:val="left" w:pos="4680"/>
              </w:tabs>
              <w:ind w:left="180"/>
              <w:rPr>
                <w:rFonts w:ascii="Times New Roman" w:hAnsi="Times New Roman"/>
                <w:b/>
              </w:rPr>
            </w:pPr>
            <w:r w:rsidRPr="00753825">
              <w:rPr>
                <w:rFonts w:ascii="Times New Roman" w:hAnsi="Times New Roman"/>
              </w:rPr>
              <w:t>Do programs set priorities either in the goal-setting process, or in their efforts to monitor and make progress towards goals?</w:t>
            </w:r>
            <w:r w:rsidR="00E371BC">
              <w:rPr>
                <w:rFonts w:ascii="Times New Roman" w:hAnsi="Times New Roman"/>
              </w:rPr>
              <w:t xml:space="preserve"> Which goals do they prioritize and why? </w:t>
            </w:r>
          </w:p>
        </w:tc>
        <w:tc>
          <w:tcPr>
            <w:tcW w:w="0" w:type="auto"/>
            <w:shd w:val="clear" w:color="auto" w:fill="auto"/>
            <w:vAlign w:val="center"/>
          </w:tcPr>
          <w:p w:rsidR="002E40C4" w:rsidRPr="00E90075" w:rsidRDefault="002E40C4" w:rsidP="001830AD">
            <w:pPr>
              <w:tabs>
                <w:tab w:val="left" w:pos="2520"/>
                <w:tab w:val="left" w:pos="4680"/>
              </w:tabs>
              <w:jc w:val="center"/>
              <w:rPr>
                <w:rFonts w:ascii="Arial Narrow" w:eastAsia="Calibri" w:hAnsi="Arial Narrow"/>
                <w:b/>
                <w:sz w:val="22"/>
                <w:szCs w:val="22"/>
              </w:rPr>
            </w:pPr>
            <w:r w:rsidRPr="00E90075">
              <w:rPr>
                <w:rFonts w:ascii="Arial Narrow" w:eastAsia="Calibri" w:hAnsi="Arial Narrow"/>
                <w:sz w:val="22"/>
                <w:szCs w:val="22"/>
              </w:rPr>
              <w:t>O</w:t>
            </w:r>
          </w:p>
        </w:tc>
        <w:tc>
          <w:tcPr>
            <w:tcW w:w="0" w:type="auto"/>
            <w:shd w:val="clear" w:color="auto" w:fill="auto"/>
            <w:vAlign w:val="center"/>
          </w:tcPr>
          <w:p w:rsidR="002E40C4" w:rsidRPr="00E90075" w:rsidRDefault="002E40C4" w:rsidP="00E90075">
            <w:pPr>
              <w:tabs>
                <w:tab w:val="left" w:pos="2520"/>
                <w:tab w:val="left" w:pos="4680"/>
              </w:tabs>
              <w:jc w:val="center"/>
              <w:rPr>
                <w:rFonts w:ascii="Arial Narrow" w:eastAsia="Calibri" w:hAnsi="Arial Narrow"/>
                <w:b/>
                <w:sz w:val="22"/>
                <w:szCs w:val="22"/>
              </w:rPr>
            </w:pPr>
            <w:r w:rsidRPr="00E90075">
              <w:rPr>
                <w:rFonts w:ascii="Arial Narrow" w:eastAsia="Calibri" w:hAnsi="Arial Narrow"/>
                <w:sz w:val="22"/>
                <w:szCs w:val="22"/>
              </w:rPr>
              <w:t>X</w:t>
            </w:r>
          </w:p>
        </w:tc>
        <w:tc>
          <w:tcPr>
            <w:tcW w:w="0" w:type="auto"/>
            <w:shd w:val="clear" w:color="auto" w:fill="auto"/>
            <w:vAlign w:val="center"/>
          </w:tcPr>
          <w:p w:rsidR="002E40C4" w:rsidRPr="00E90075" w:rsidRDefault="002E40C4" w:rsidP="00E90075">
            <w:pPr>
              <w:tabs>
                <w:tab w:val="left" w:pos="2520"/>
                <w:tab w:val="left" w:pos="4680"/>
              </w:tabs>
              <w:jc w:val="center"/>
              <w:rPr>
                <w:rFonts w:ascii="Arial Narrow" w:eastAsia="Calibri" w:hAnsi="Arial Narrow"/>
                <w:b/>
                <w:sz w:val="22"/>
                <w:szCs w:val="22"/>
              </w:rPr>
            </w:pPr>
            <w:r w:rsidRPr="00E90075">
              <w:rPr>
                <w:rFonts w:ascii="Arial Narrow" w:eastAsia="Calibri" w:hAnsi="Arial Narrow"/>
                <w:sz w:val="22"/>
                <w:szCs w:val="22"/>
              </w:rPr>
              <w:t>O</w:t>
            </w:r>
          </w:p>
        </w:tc>
      </w:tr>
      <w:tr w:rsidR="002E40C4" w:rsidRPr="001F4F87" w:rsidTr="00E90075">
        <w:trPr>
          <w:trHeight w:val="330"/>
        </w:trPr>
        <w:tc>
          <w:tcPr>
            <w:tcW w:w="0" w:type="auto"/>
            <w:shd w:val="clear" w:color="auto" w:fill="auto"/>
            <w:noWrap/>
          </w:tcPr>
          <w:p w:rsidR="002E40C4" w:rsidRPr="00E90075" w:rsidRDefault="00B87710" w:rsidP="00B87710">
            <w:pPr>
              <w:rPr>
                <w:rFonts w:ascii="Arial Narrow" w:eastAsia="Calibri" w:hAnsi="Arial Narrow" w:cs="Calibri"/>
                <w:b/>
                <w:sz w:val="22"/>
                <w:szCs w:val="22"/>
              </w:rPr>
            </w:pPr>
            <w:r>
              <w:rPr>
                <w:rFonts w:eastAsia="Calibri"/>
                <w:b/>
                <w:sz w:val="22"/>
                <w:szCs w:val="22"/>
              </w:rPr>
              <w:t>3</w:t>
            </w:r>
            <w:r w:rsidR="00553B19">
              <w:rPr>
                <w:rFonts w:eastAsia="Calibri"/>
                <w:b/>
                <w:sz w:val="22"/>
                <w:szCs w:val="22"/>
              </w:rPr>
              <w:t xml:space="preserve">.  </w:t>
            </w:r>
            <w:r w:rsidR="002E40C4" w:rsidRPr="00E90075">
              <w:rPr>
                <w:rFonts w:eastAsia="Calibri"/>
                <w:b/>
                <w:sz w:val="22"/>
                <w:szCs w:val="22"/>
              </w:rPr>
              <w:t>How do programs use and analyze data to monitor progress towards goals?</w:t>
            </w:r>
          </w:p>
        </w:tc>
        <w:tc>
          <w:tcPr>
            <w:tcW w:w="0" w:type="auto"/>
            <w:shd w:val="clear" w:color="auto" w:fill="auto"/>
            <w:vAlign w:val="center"/>
          </w:tcPr>
          <w:p w:rsidR="002E40C4" w:rsidRPr="00E90075" w:rsidRDefault="002E40C4" w:rsidP="00E90075">
            <w:pPr>
              <w:jc w:val="center"/>
              <w:rPr>
                <w:rFonts w:ascii="Arial Narrow" w:eastAsia="Calibri" w:hAnsi="Arial Narrow" w:cs="Calibri"/>
                <w:b/>
              </w:rPr>
            </w:pPr>
          </w:p>
        </w:tc>
        <w:tc>
          <w:tcPr>
            <w:tcW w:w="0" w:type="auto"/>
            <w:shd w:val="clear" w:color="auto" w:fill="auto"/>
            <w:vAlign w:val="center"/>
          </w:tcPr>
          <w:p w:rsidR="002E40C4" w:rsidRPr="00E90075" w:rsidRDefault="002E40C4" w:rsidP="00E90075">
            <w:pPr>
              <w:jc w:val="center"/>
              <w:rPr>
                <w:rFonts w:ascii="Arial Narrow" w:eastAsia="Calibri" w:hAnsi="Arial Narrow" w:cs="Calibri"/>
                <w:b/>
              </w:rPr>
            </w:pPr>
          </w:p>
        </w:tc>
        <w:tc>
          <w:tcPr>
            <w:tcW w:w="0" w:type="auto"/>
            <w:shd w:val="clear" w:color="auto" w:fill="auto"/>
            <w:vAlign w:val="center"/>
          </w:tcPr>
          <w:p w:rsidR="002E40C4" w:rsidRPr="00E90075" w:rsidRDefault="002E40C4" w:rsidP="00E90075">
            <w:pPr>
              <w:jc w:val="center"/>
              <w:rPr>
                <w:rFonts w:ascii="Arial Narrow" w:eastAsia="Calibri" w:hAnsi="Arial Narrow" w:cs="Calibri"/>
                <w:b/>
              </w:rPr>
            </w:pPr>
          </w:p>
        </w:tc>
      </w:tr>
      <w:tr w:rsidR="002E40C4" w:rsidRPr="001F4F87" w:rsidTr="00E90075">
        <w:trPr>
          <w:trHeight w:val="330"/>
        </w:trPr>
        <w:tc>
          <w:tcPr>
            <w:tcW w:w="0" w:type="auto"/>
            <w:shd w:val="clear" w:color="auto" w:fill="auto"/>
            <w:noWrap/>
          </w:tcPr>
          <w:p w:rsidR="002E40C4" w:rsidRPr="00753825" w:rsidRDefault="002E40C4" w:rsidP="00E90075">
            <w:pPr>
              <w:pStyle w:val="ColorfulList-Accent11"/>
              <w:tabs>
                <w:tab w:val="left" w:pos="2520"/>
                <w:tab w:val="left" w:pos="4680"/>
              </w:tabs>
              <w:ind w:left="180"/>
              <w:rPr>
                <w:rFonts w:ascii="Arial Narrow" w:hAnsi="Arial Narrow"/>
                <w:b/>
              </w:rPr>
            </w:pPr>
            <w:r w:rsidRPr="00753825">
              <w:rPr>
                <w:rFonts w:ascii="Times New Roman" w:hAnsi="Times New Roman"/>
              </w:rPr>
              <w:t xml:space="preserve">How often, and what times of the year, do programs analyze child-level and aggregated data, who leads the analysis, and what types of analyses do they conduct?  What are the challenges? What are the facilitating factors? </w:t>
            </w:r>
          </w:p>
        </w:tc>
        <w:tc>
          <w:tcPr>
            <w:tcW w:w="0" w:type="auto"/>
            <w:shd w:val="clear" w:color="auto" w:fill="auto"/>
            <w:vAlign w:val="center"/>
          </w:tcPr>
          <w:p w:rsidR="002E40C4" w:rsidRPr="00E90075" w:rsidRDefault="00D27E83" w:rsidP="00E90075">
            <w:pPr>
              <w:tabs>
                <w:tab w:val="left" w:pos="2520"/>
                <w:tab w:val="left" w:pos="4680"/>
              </w:tabs>
              <w:jc w:val="center"/>
              <w:rPr>
                <w:rFonts w:ascii="Arial Narrow" w:eastAsia="Calibri" w:hAnsi="Arial Narrow"/>
                <w:b/>
                <w:sz w:val="22"/>
                <w:szCs w:val="22"/>
              </w:rPr>
            </w:pPr>
            <w:r>
              <w:rPr>
                <w:rFonts w:ascii="Arial Narrow" w:eastAsia="Calibri" w:hAnsi="Arial Narrow"/>
                <w:sz w:val="22"/>
                <w:szCs w:val="22"/>
              </w:rPr>
              <w:t>O</w:t>
            </w:r>
          </w:p>
        </w:tc>
        <w:tc>
          <w:tcPr>
            <w:tcW w:w="0" w:type="auto"/>
            <w:shd w:val="clear" w:color="auto" w:fill="auto"/>
            <w:vAlign w:val="center"/>
          </w:tcPr>
          <w:p w:rsidR="002E40C4" w:rsidRPr="00E90075" w:rsidRDefault="002E40C4" w:rsidP="00E90075">
            <w:pPr>
              <w:tabs>
                <w:tab w:val="left" w:pos="2520"/>
                <w:tab w:val="left" w:pos="4680"/>
              </w:tabs>
              <w:jc w:val="center"/>
              <w:rPr>
                <w:rFonts w:ascii="Arial Narrow" w:eastAsia="Calibri" w:hAnsi="Arial Narrow"/>
                <w:b/>
                <w:sz w:val="22"/>
                <w:szCs w:val="22"/>
              </w:rPr>
            </w:pPr>
            <w:r w:rsidRPr="00E90075">
              <w:rPr>
                <w:rFonts w:ascii="Arial Narrow" w:eastAsia="Calibri" w:hAnsi="Arial Narrow"/>
                <w:sz w:val="22"/>
                <w:szCs w:val="22"/>
              </w:rPr>
              <w:t>X</w:t>
            </w:r>
          </w:p>
        </w:tc>
        <w:tc>
          <w:tcPr>
            <w:tcW w:w="0" w:type="auto"/>
            <w:shd w:val="clear" w:color="auto" w:fill="auto"/>
            <w:vAlign w:val="center"/>
          </w:tcPr>
          <w:p w:rsidR="002E40C4" w:rsidRPr="00E90075" w:rsidRDefault="002E40C4" w:rsidP="00E90075">
            <w:pPr>
              <w:jc w:val="center"/>
              <w:rPr>
                <w:rFonts w:ascii="Arial Narrow" w:eastAsia="Calibri" w:hAnsi="Arial Narrow" w:cs="Calibri"/>
                <w:sz w:val="22"/>
                <w:szCs w:val="22"/>
              </w:rPr>
            </w:pPr>
            <w:r w:rsidRPr="00E90075">
              <w:rPr>
                <w:rFonts w:ascii="Arial Narrow" w:eastAsia="Calibri" w:hAnsi="Arial Narrow" w:cs="Calibri"/>
                <w:sz w:val="22"/>
                <w:szCs w:val="22"/>
              </w:rPr>
              <w:t>O</w:t>
            </w:r>
          </w:p>
        </w:tc>
      </w:tr>
      <w:tr w:rsidR="002E40C4" w:rsidRPr="001F4F87" w:rsidTr="00E90075">
        <w:trPr>
          <w:trHeight w:val="330"/>
        </w:trPr>
        <w:tc>
          <w:tcPr>
            <w:tcW w:w="0" w:type="auto"/>
            <w:shd w:val="clear" w:color="auto" w:fill="auto"/>
            <w:noWrap/>
          </w:tcPr>
          <w:p w:rsidR="002E40C4" w:rsidRPr="00753825" w:rsidRDefault="002E40C4" w:rsidP="00E90075">
            <w:pPr>
              <w:pStyle w:val="ColorfulList-Accent11"/>
              <w:tabs>
                <w:tab w:val="left" w:pos="2520"/>
                <w:tab w:val="left" w:pos="4680"/>
              </w:tabs>
              <w:ind w:left="180"/>
              <w:rPr>
                <w:rFonts w:ascii="Times New Roman" w:hAnsi="Times New Roman"/>
                <w:b/>
              </w:rPr>
            </w:pPr>
            <w:r w:rsidRPr="00753825">
              <w:rPr>
                <w:rFonts w:ascii="Times New Roman" w:hAnsi="Times New Roman"/>
              </w:rPr>
              <w:t>What criteria do they use to determine whether children are progressing towards goals?</w:t>
            </w:r>
          </w:p>
        </w:tc>
        <w:tc>
          <w:tcPr>
            <w:tcW w:w="0" w:type="auto"/>
            <w:shd w:val="clear" w:color="auto" w:fill="auto"/>
            <w:vAlign w:val="center"/>
          </w:tcPr>
          <w:p w:rsidR="002E40C4" w:rsidRPr="00E90075" w:rsidRDefault="00D27E83" w:rsidP="00E90075">
            <w:pPr>
              <w:tabs>
                <w:tab w:val="left" w:pos="2520"/>
                <w:tab w:val="left" w:pos="4680"/>
              </w:tabs>
              <w:jc w:val="center"/>
              <w:rPr>
                <w:rFonts w:ascii="Arial Narrow" w:eastAsia="Calibri" w:hAnsi="Arial Narrow"/>
                <w:sz w:val="22"/>
                <w:szCs w:val="22"/>
              </w:rPr>
            </w:pPr>
            <w:r>
              <w:rPr>
                <w:rFonts w:ascii="Arial Narrow" w:eastAsia="Calibri" w:hAnsi="Arial Narrow"/>
                <w:sz w:val="22"/>
                <w:szCs w:val="22"/>
              </w:rPr>
              <w:t>O</w:t>
            </w:r>
          </w:p>
        </w:tc>
        <w:tc>
          <w:tcPr>
            <w:tcW w:w="0" w:type="auto"/>
            <w:shd w:val="clear" w:color="auto" w:fill="auto"/>
            <w:vAlign w:val="center"/>
          </w:tcPr>
          <w:p w:rsidR="002E40C4" w:rsidRPr="00E90075" w:rsidRDefault="002E40C4" w:rsidP="00E90075">
            <w:pPr>
              <w:tabs>
                <w:tab w:val="left" w:pos="2520"/>
                <w:tab w:val="left" w:pos="4680"/>
              </w:tabs>
              <w:jc w:val="center"/>
              <w:rPr>
                <w:rFonts w:ascii="Arial Narrow" w:eastAsia="Calibri" w:hAnsi="Arial Narrow"/>
                <w:sz w:val="22"/>
                <w:szCs w:val="22"/>
              </w:rPr>
            </w:pPr>
            <w:r w:rsidRPr="00E90075">
              <w:rPr>
                <w:rFonts w:ascii="Arial Narrow" w:eastAsia="Calibri" w:hAnsi="Arial Narrow"/>
                <w:sz w:val="22"/>
                <w:szCs w:val="22"/>
              </w:rPr>
              <w:t>X</w:t>
            </w:r>
          </w:p>
        </w:tc>
        <w:tc>
          <w:tcPr>
            <w:tcW w:w="0" w:type="auto"/>
            <w:shd w:val="clear" w:color="auto" w:fill="auto"/>
            <w:vAlign w:val="center"/>
          </w:tcPr>
          <w:p w:rsidR="002E40C4" w:rsidRPr="00E90075" w:rsidRDefault="002E40C4" w:rsidP="00E90075">
            <w:pPr>
              <w:jc w:val="center"/>
              <w:rPr>
                <w:rFonts w:ascii="Arial Narrow" w:eastAsia="Calibri" w:hAnsi="Arial Narrow" w:cs="Calibri"/>
                <w:sz w:val="22"/>
                <w:szCs w:val="22"/>
              </w:rPr>
            </w:pPr>
            <w:r w:rsidRPr="00E90075">
              <w:rPr>
                <w:rFonts w:ascii="Arial Narrow" w:eastAsia="Calibri" w:hAnsi="Arial Narrow" w:cs="Calibri"/>
                <w:sz w:val="22"/>
                <w:szCs w:val="22"/>
              </w:rPr>
              <w:t>O</w:t>
            </w:r>
          </w:p>
        </w:tc>
      </w:tr>
      <w:tr w:rsidR="002E40C4" w:rsidRPr="001F4F87" w:rsidTr="00E90075">
        <w:trPr>
          <w:trHeight w:val="330"/>
        </w:trPr>
        <w:tc>
          <w:tcPr>
            <w:tcW w:w="0" w:type="auto"/>
            <w:shd w:val="clear" w:color="auto" w:fill="auto"/>
            <w:noWrap/>
          </w:tcPr>
          <w:p w:rsidR="002E40C4" w:rsidRPr="00E90075" w:rsidRDefault="00B87710" w:rsidP="00553B19">
            <w:pPr>
              <w:rPr>
                <w:rFonts w:ascii="Arial Narrow" w:eastAsia="Calibri" w:hAnsi="Arial Narrow" w:cs="Calibri"/>
                <w:sz w:val="22"/>
                <w:szCs w:val="22"/>
              </w:rPr>
            </w:pPr>
            <w:r>
              <w:rPr>
                <w:rFonts w:eastAsia="Calibri"/>
                <w:b/>
                <w:sz w:val="22"/>
                <w:szCs w:val="22"/>
              </w:rPr>
              <w:t>4</w:t>
            </w:r>
            <w:r w:rsidR="00553B19">
              <w:rPr>
                <w:rFonts w:eastAsia="Calibri"/>
                <w:b/>
                <w:sz w:val="22"/>
                <w:szCs w:val="22"/>
              </w:rPr>
              <w:t xml:space="preserve"> </w:t>
            </w:r>
            <w:r w:rsidR="002E40C4" w:rsidRPr="00E90075">
              <w:rPr>
                <w:rFonts w:eastAsia="Calibri"/>
                <w:b/>
                <w:sz w:val="22"/>
                <w:szCs w:val="22"/>
              </w:rPr>
              <w:t>How do programs report progress on goals?</w:t>
            </w:r>
          </w:p>
        </w:tc>
        <w:tc>
          <w:tcPr>
            <w:tcW w:w="0" w:type="auto"/>
            <w:shd w:val="clear" w:color="auto" w:fill="auto"/>
            <w:vAlign w:val="center"/>
          </w:tcPr>
          <w:p w:rsidR="002E40C4" w:rsidRPr="00E90075" w:rsidRDefault="002E40C4" w:rsidP="00E90075">
            <w:pPr>
              <w:jc w:val="center"/>
              <w:rPr>
                <w:rFonts w:ascii="Arial Narrow" w:eastAsia="Calibri" w:hAnsi="Arial Narrow" w:cs="Calibri"/>
                <w:sz w:val="22"/>
                <w:szCs w:val="22"/>
              </w:rPr>
            </w:pPr>
          </w:p>
        </w:tc>
        <w:tc>
          <w:tcPr>
            <w:tcW w:w="0" w:type="auto"/>
            <w:shd w:val="clear" w:color="auto" w:fill="auto"/>
            <w:vAlign w:val="center"/>
          </w:tcPr>
          <w:p w:rsidR="002E40C4" w:rsidRPr="00E90075" w:rsidRDefault="002E40C4" w:rsidP="00E90075">
            <w:pPr>
              <w:jc w:val="center"/>
              <w:rPr>
                <w:rFonts w:ascii="Arial Narrow" w:eastAsia="Calibri" w:hAnsi="Arial Narrow" w:cs="Calibri"/>
                <w:sz w:val="22"/>
                <w:szCs w:val="22"/>
              </w:rPr>
            </w:pPr>
          </w:p>
        </w:tc>
        <w:tc>
          <w:tcPr>
            <w:tcW w:w="0" w:type="auto"/>
            <w:shd w:val="clear" w:color="auto" w:fill="auto"/>
            <w:vAlign w:val="center"/>
          </w:tcPr>
          <w:p w:rsidR="002E40C4" w:rsidRPr="00E90075" w:rsidRDefault="002E40C4" w:rsidP="00E90075">
            <w:pPr>
              <w:jc w:val="center"/>
              <w:rPr>
                <w:rFonts w:ascii="Arial Narrow" w:eastAsia="Calibri" w:hAnsi="Arial Narrow" w:cs="Calibri"/>
                <w:sz w:val="22"/>
                <w:szCs w:val="22"/>
              </w:rPr>
            </w:pPr>
          </w:p>
        </w:tc>
      </w:tr>
      <w:tr w:rsidR="002E40C4" w:rsidRPr="001F4F87" w:rsidTr="00E90075">
        <w:trPr>
          <w:trHeight w:val="330"/>
        </w:trPr>
        <w:tc>
          <w:tcPr>
            <w:tcW w:w="0" w:type="auto"/>
            <w:shd w:val="clear" w:color="auto" w:fill="auto"/>
            <w:noWrap/>
          </w:tcPr>
          <w:p w:rsidR="002E40C4" w:rsidRPr="00753825" w:rsidRDefault="002E40C4" w:rsidP="00884BD0">
            <w:pPr>
              <w:pStyle w:val="ColorfulList-Accent11"/>
              <w:tabs>
                <w:tab w:val="left" w:pos="2520"/>
                <w:tab w:val="left" w:pos="4680"/>
              </w:tabs>
              <w:ind w:left="180"/>
              <w:rPr>
                <w:rFonts w:ascii="Arial Narrow" w:hAnsi="Arial Narrow"/>
                <w:b/>
              </w:rPr>
            </w:pPr>
            <w:r w:rsidRPr="00753825">
              <w:rPr>
                <w:rFonts w:ascii="Times New Roman" w:hAnsi="Times New Roman"/>
              </w:rPr>
              <w:t xml:space="preserve">How and when are the data shared?  </w:t>
            </w:r>
          </w:p>
        </w:tc>
        <w:tc>
          <w:tcPr>
            <w:tcW w:w="0" w:type="auto"/>
            <w:shd w:val="clear" w:color="auto" w:fill="auto"/>
            <w:vAlign w:val="center"/>
          </w:tcPr>
          <w:p w:rsidR="002E40C4" w:rsidRPr="00E90075" w:rsidRDefault="002E40C4" w:rsidP="00E90075">
            <w:pPr>
              <w:tabs>
                <w:tab w:val="left" w:pos="2520"/>
                <w:tab w:val="left" w:pos="4680"/>
              </w:tabs>
              <w:jc w:val="center"/>
              <w:rPr>
                <w:rFonts w:ascii="Arial Narrow" w:eastAsia="Calibri" w:hAnsi="Arial Narrow"/>
                <w:b/>
                <w:sz w:val="22"/>
                <w:szCs w:val="22"/>
              </w:rPr>
            </w:pPr>
            <w:r w:rsidRPr="00E90075">
              <w:rPr>
                <w:rFonts w:ascii="Arial Narrow" w:eastAsia="Calibri" w:hAnsi="Arial Narrow"/>
                <w:sz w:val="22"/>
                <w:szCs w:val="22"/>
              </w:rPr>
              <w:t>X</w:t>
            </w:r>
          </w:p>
        </w:tc>
        <w:tc>
          <w:tcPr>
            <w:tcW w:w="0" w:type="auto"/>
            <w:shd w:val="clear" w:color="auto" w:fill="auto"/>
            <w:vAlign w:val="center"/>
          </w:tcPr>
          <w:p w:rsidR="002E40C4" w:rsidRPr="00E90075" w:rsidRDefault="002E40C4" w:rsidP="00E90075">
            <w:pPr>
              <w:tabs>
                <w:tab w:val="left" w:pos="2520"/>
                <w:tab w:val="left" w:pos="4680"/>
              </w:tabs>
              <w:jc w:val="center"/>
              <w:rPr>
                <w:rFonts w:ascii="Arial Narrow" w:eastAsia="Calibri" w:hAnsi="Arial Narrow"/>
                <w:b/>
                <w:sz w:val="22"/>
                <w:szCs w:val="22"/>
              </w:rPr>
            </w:pPr>
            <w:r w:rsidRPr="00E90075">
              <w:rPr>
                <w:rFonts w:ascii="Arial Narrow" w:eastAsia="Calibri" w:hAnsi="Arial Narrow"/>
                <w:sz w:val="22"/>
                <w:szCs w:val="22"/>
              </w:rPr>
              <w:t>X</w:t>
            </w:r>
          </w:p>
        </w:tc>
        <w:tc>
          <w:tcPr>
            <w:tcW w:w="0" w:type="auto"/>
            <w:shd w:val="clear" w:color="auto" w:fill="auto"/>
            <w:vAlign w:val="center"/>
          </w:tcPr>
          <w:p w:rsidR="002E40C4" w:rsidRPr="00E90075" w:rsidRDefault="002E40C4" w:rsidP="00E90075">
            <w:pPr>
              <w:jc w:val="center"/>
              <w:rPr>
                <w:rFonts w:ascii="Arial Narrow" w:eastAsia="Calibri" w:hAnsi="Arial Narrow" w:cs="Calibri"/>
                <w:sz w:val="22"/>
                <w:szCs w:val="22"/>
              </w:rPr>
            </w:pPr>
          </w:p>
        </w:tc>
      </w:tr>
      <w:tr w:rsidR="002E40C4" w:rsidRPr="001F4F87" w:rsidTr="00E90075">
        <w:trPr>
          <w:trHeight w:val="330"/>
        </w:trPr>
        <w:tc>
          <w:tcPr>
            <w:tcW w:w="0" w:type="auto"/>
            <w:shd w:val="clear" w:color="auto" w:fill="auto"/>
            <w:noWrap/>
          </w:tcPr>
          <w:p w:rsidR="002E40C4" w:rsidRPr="00753825" w:rsidRDefault="002E40C4" w:rsidP="00E90075">
            <w:pPr>
              <w:pStyle w:val="ColorfulList-Accent11"/>
              <w:tabs>
                <w:tab w:val="left" w:pos="2520"/>
                <w:tab w:val="left" w:pos="4680"/>
              </w:tabs>
              <w:ind w:left="180"/>
              <w:rPr>
                <w:rFonts w:ascii="Times New Roman" w:hAnsi="Times New Roman"/>
              </w:rPr>
            </w:pPr>
            <w:r w:rsidRPr="00753825">
              <w:rPr>
                <w:rFonts w:ascii="Times New Roman" w:hAnsi="Times New Roman"/>
              </w:rPr>
              <w:t>What do they report to: staff, parents, the governing body, the policy council, and community stakeholders?</w:t>
            </w:r>
          </w:p>
        </w:tc>
        <w:tc>
          <w:tcPr>
            <w:tcW w:w="0" w:type="auto"/>
            <w:shd w:val="clear" w:color="auto" w:fill="auto"/>
            <w:vAlign w:val="center"/>
          </w:tcPr>
          <w:p w:rsidR="002E40C4" w:rsidRPr="00E90075" w:rsidRDefault="002E40C4" w:rsidP="00E90075">
            <w:pPr>
              <w:tabs>
                <w:tab w:val="left" w:pos="2520"/>
                <w:tab w:val="left" w:pos="4680"/>
              </w:tabs>
              <w:jc w:val="center"/>
              <w:rPr>
                <w:rFonts w:ascii="Arial Narrow" w:eastAsia="Calibri" w:hAnsi="Arial Narrow"/>
                <w:sz w:val="22"/>
                <w:szCs w:val="22"/>
              </w:rPr>
            </w:pPr>
            <w:r w:rsidRPr="00E90075">
              <w:rPr>
                <w:rFonts w:ascii="Arial Narrow" w:eastAsia="Calibri" w:hAnsi="Arial Narrow"/>
                <w:sz w:val="22"/>
                <w:szCs w:val="22"/>
              </w:rPr>
              <w:t>X</w:t>
            </w:r>
          </w:p>
        </w:tc>
        <w:tc>
          <w:tcPr>
            <w:tcW w:w="0" w:type="auto"/>
            <w:shd w:val="clear" w:color="auto" w:fill="auto"/>
            <w:vAlign w:val="center"/>
          </w:tcPr>
          <w:p w:rsidR="002E40C4" w:rsidRPr="00E90075" w:rsidRDefault="002E40C4" w:rsidP="00E90075">
            <w:pPr>
              <w:tabs>
                <w:tab w:val="left" w:pos="2520"/>
                <w:tab w:val="left" w:pos="4680"/>
              </w:tabs>
              <w:jc w:val="center"/>
              <w:rPr>
                <w:rFonts w:ascii="Arial Narrow" w:eastAsia="Calibri" w:hAnsi="Arial Narrow"/>
                <w:sz w:val="22"/>
                <w:szCs w:val="22"/>
              </w:rPr>
            </w:pPr>
            <w:r w:rsidRPr="00E90075">
              <w:rPr>
                <w:rFonts w:ascii="Arial Narrow" w:eastAsia="Calibri" w:hAnsi="Arial Narrow"/>
                <w:sz w:val="22"/>
                <w:szCs w:val="22"/>
              </w:rPr>
              <w:t>X</w:t>
            </w:r>
          </w:p>
        </w:tc>
        <w:tc>
          <w:tcPr>
            <w:tcW w:w="0" w:type="auto"/>
            <w:shd w:val="clear" w:color="auto" w:fill="auto"/>
            <w:vAlign w:val="center"/>
          </w:tcPr>
          <w:p w:rsidR="002E40C4" w:rsidRPr="00E90075" w:rsidRDefault="0038666D" w:rsidP="0038666D">
            <w:pPr>
              <w:jc w:val="center"/>
              <w:rPr>
                <w:rFonts w:ascii="Arial Narrow" w:eastAsia="Calibri" w:hAnsi="Arial Narrow" w:cs="Calibri"/>
                <w:sz w:val="22"/>
                <w:szCs w:val="22"/>
              </w:rPr>
            </w:pPr>
            <w:r w:rsidRPr="00E90075">
              <w:rPr>
                <w:rFonts w:ascii="Arial Narrow" w:eastAsia="Calibri" w:hAnsi="Arial Narrow" w:cs="Calibri"/>
                <w:sz w:val="22"/>
                <w:szCs w:val="22"/>
              </w:rPr>
              <w:t>O</w:t>
            </w:r>
          </w:p>
        </w:tc>
      </w:tr>
      <w:tr w:rsidR="002E40C4" w:rsidRPr="001F4F87" w:rsidTr="00E90075">
        <w:trPr>
          <w:trHeight w:val="330"/>
        </w:trPr>
        <w:tc>
          <w:tcPr>
            <w:tcW w:w="0" w:type="auto"/>
            <w:shd w:val="clear" w:color="auto" w:fill="auto"/>
            <w:noWrap/>
          </w:tcPr>
          <w:p w:rsidR="002E40C4" w:rsidRPr="00753825" w:rsidRDefault="002E40C4" w:rsidP="00E90075">
            <w:pPr>
              <w:pStyle w:val="ColorfulList-Accent11"/>
              <w:tabs>
                <w:tab w:val="left" w:pos="2520"/>
                <w:tab w:val="left" w:pos="4680"/>
              </w:tabs>
              <w:ind w:left="180"/>
              <w:rPr>
                <w:rFonts w:ascii="Times New Roman" w:hAnsi="Times New Roman"/>
              </w:rPr>
            </w:pPr>
            <w:r w:rsidRPr="00753825">
              <w:rPr>
                <w:rFonts w:ascii="Times New Roman" w:hAnsi="Times New Roman"/>
              </w:rPr>
              <w:t>What input do these groups have on how the data are interpreted and used, both for individual and groups of children?</w:t>
            </w:r>
          </w:p>
        </w:tc>
        <w:tc>
          <w:tcPr>
            <w:tcW w:w="0" w:type="auto"/>
            <w:shd w:val="clear" w:color="auto" w:fill="auto"/>
            <w:vAlign w:val="center"/>
          </w:tcPr>
          <w:p w:rsidR="002E40C4" w:rsidRPr="00E90075" w:rsidRDefault="002E40C4" w:rsidP="00E90075">
            <w:pPr>
              <w:tabs>
                <w:tab w:val="left" w:pos="2520"/>
                <w:tab w:val="left" w:pos="4680"/>
              </w:tabs>
              <w:jc w:val="center"/>
              <w:rPr>
                <w:rFonts w:ascii="Arial Narrow" w:eastAsia="Calibri" w:hAnsi="Arial Narrow"/>
                <w:sz w:val="22"/>
                <w:szCs w:val="22"/>
              </w:rPr>
            </w:pPr>
          </w:p>
        </w:tc>
        <w:tc>
          <w:tcPr>
            <w:tcW w:w="0" w:type="auto"/>
            <w:shd w:val="clear" w:color="auto" w:fill="auto"/>
            <w:vAlign w:val="center"/>
          </w:tcPr>
          <w:p w:rsidR="002E40C4" w:rsidRPr="00E90075" w:rsidRDefault="002E40C4" w:rsidP="00E90075">
            <w:pPr>
              <w:tabs>
                <w:tab w:val="left" w:pos="2520"/>
                <w:tab w:val="left" w:pos="4680"/>
              </w:tabs>
              <w:jc w:val="center"/>
              <w:rPr>
                <w:rFonts w:ascii="Arial Narrow" w:hAnsi="Arial Narrow"/>
                <w:szCs w:val="20"/>
              </w:rPr>
            </w:pPr>
            <w:r w:rsidRPr="00E90075">
              <w:rPr>
                <w:rFonts w:ascii="Arial Narrow" w:eastAsia="Calibri" w:hAnsi="Arial Narrow"/>
                <w:sz w:val="22"/>
                <w:szCs w:val="22"/>
              </w:rPr>
              <w:t>X</w:t>
            </w:r>
          </w:p>
        </w:tc>
        <w:tc>
          <w:tcPr>
            <w:tcW w:w="0" w:type="auto"/>
            <w:shd w:val="clear" w:color="auto" w:fill="auto"/>
            <w:vAlign w:val="center"/>
          </w:tcPr>
          <w:p w:rsidR="002E40C4" w:rsidRPr="00E90075" w:rsidRDefault="002E40C4" w:rsidP="00E90075">
            <w:pPr>
              <w:jc w:val="center"/>
              <w:rPr>
                <w:rFonts w:ascii="Arial Narrow" w:eastAsia="Calibri" w:hAnsi="Arial Narrow" w:cs="Calibri"/>
                <w:sz w:val="22"/>
                <w:szCs w:val="22"/>
              </w:rPr>
            </w:pPr>
          </w:p>
        </w:tc>
      </w:tr>
      <w:tr w:rsidR="002E40C4" w:rsidRPr="001F4F87" w:rsidTr="00E90075">
        <w:trPr>
          <w:trHeight w:val="330"/>
        </w:trPr>
        <w:tc>
          <w:tcPr>
            <w:tcW w:w="0" w:type="auto"/>
            <w:shd w:val="clear" w:color="auto" w:fill="auto"/>
            <w:noWrap/>
          </w:tcPr>
          <w:p w:rsidR="002E40C4" w:rsidRPr="00E90075" w:rsidRDefault="00B87710" w:rsidP="00B87710">
            <w:pPr>
              <w:ind w:left="270" w:hanging="270"/>
              <w:rPr>
                <w:rFonts w:ascii="Arial Narrow" w:eastAsia="Calibri" w:hAnsi="Arial Narrow" w:cs="Calibri"/>
                <w:sz w:val="22"/>
                <w:szCs w:val="22"/>
              </w:rPr>
            </w:pPr>
            <w:r>
              <w:rPr>
                <w:rFonts w:eastAsia="Calibri"/>
                <w:b/>
                <w:sz w:val="22"/>
                <w:szCs w:val="22"/>
              </w:rPr>
              <w:t>5</w:t>
            </w:r>
            <w:r w:rsidR="00553B19">
              <w:rPr>
                <w:rFonts w:eastAsia="Calibri"/>
                <w:b/>
                <w:sz w:val="22"/>
                <w:szCs w:val="22"/>
              </w:rPr>
              <w:t xml:space="preserve">.  </w:t>
            </w:r>
            <w:r w:rsidR="002E40C4" w:rsidRPr="00E90075">
              <w:rPr>
                <w:rFonts w:eastAsia="Calibri"/>
                <w:b/>
                <w:sz w:val="22"/>
                <w:szCs w:val="22"/>
              </w:rPr>
              <w:t>How do grantees use school readiness goals and data to inform program planning and improvement efforts?</w:t>
            </w:r>
          </w:p>
        </w:tc>
        <w:tc>
          <w:tcPr>
            <w:tcW w:w="0" w:type="auto"/>
            <w:shd w:val="clear" w:color="auto" w:fill="auto"/>
            <w:vAlign w:val="center"/>
          </w:tcPr>
          <w:p w:rsidR="002E40C4" w:rsidRPr="00E90075" w:rsidRDefault="002E40C4" w:rsidP="00E90075">
            <w:pPr>
              <w:jc w:val="center"/>
              <w:rPr>
                <w:rFonts w:ascii="Arial Narrow" w:eastAsia="Calibri" w:hAnsi="Arial Narrow" w:cs="Calibri"/>
                <w:sz w:val="22"/>
                <w:szCs w:val="22"/>
              </w:rPr>
            </w:pPr>
          </w:p>
        </w:tc>
        <w:tc>
          <w:tcPr>
            <w:tcW w:w="0" w:type="auto"/>
            <w:shd w:val="clear" w:color="auto" w:fill="auto"/>
            <w:vAlign w:val="center"/>
          </w:tcPr>
          <w:p w:rsidR="002E40C4" w:rsidRPr="00E90075" w:rsidRDefault="002E40C4" w:rsidP="00E90075">
            <w:pPr>
              <w:jc w:val="center"/>
              <w:rPr>
                <w:rFonts w:ascii="Arial Narrow" w:eastAsia="Calibri" w:hAnsi="Arial Narrow" w:cs="Calibri"/>
                <w:sz w:val="22"/>
                <w:szCs w:val="22"/>
              </w:rPr>
            </w:pPr>
          </w:p>
        </w:tc>
        <w:tc>
          <w:tcPr>
            <w:tcW w:w="0" w:type="auto"/>
            <w:shd w:val="clear" w:color="auto" w:fill="auto"/>
            <w:vAlign w:val="center"/>
          </w:tcPr>
          <w:p w:rsidR="002E40C4" w:rsidRPr="00E90075" w:rsidRDefault="002E40C4" w:rsidP="00E90075">
            <w:pPr>
              <w:jc w:val="center"/>
              <w:rPr>
                <w:rFonts w:ascii="Arial Narrow" w:eastAsia="Calibri" w:hAnsi="Arial Narrow" w:cs="Calibri"/>
                <w:sz w:val="22"/>
                <w:szCs w:val="22"/>
              </w:rPr>
            </w:pPr>
          </w:p>
        </w:tc>
      </w:tr>
      <w:tr w:rsidR="002E40C4" w:rsidRPr="001F4F87" w:rsidTr="00E90075">
        <w:trPr>
          <w:trHeight w:val="330"/>
        </w:trPr>
        <w:tc>
          <w:tcPr>
            <w:tcW w:w="0" w:type="auto"/>
            <w:shd w:val="clear" w:color="auto" w:fill="auto"/>
            <w:noWrap/>
          </w:tcPr>
          <w:p w:rsidR="002E40C4" w:rsidRPr="00E90075" w:rsidRDefault="002E40C4" w:rsidP="00553B19">
            <w:pPr>
              <w:tabs>
                <w:tab w:val="left" w:pos="2520"/>
                <w:tab w:val="left" w:pos="4680"/>
              </w:tabs>
              <w:ind w:left="180"/>
              <w:rPr>
                <w:rFonts w:eastAsia="Calibri"/>
                <w:b/>
                <w:sz w:val="22"/>
                <w:szCs w:val="22"/>
              </w:rPr>
            </w:pPr>
            <w:r w:rsidRPr="00E90075">
              <w:rPr>
                <w:rFonts w:eastAsia="Calibri"/>
                <w:sz w:val="22"/>
                <w:szCs w:val="22"/>
              </w:rPr>
              <w:t>To what extent do program directors make decisions about allocating resources and targeting strategies based on progress towards school readiness goals?</w:t>
            </w:r>
          </w:p>
        </w:tc>
        <w:tc>
          <w:tcPr>
            <w:tcW w:w="0" w:type="auto"/>
            <w:shd w:val="clear" w:color="auto" w:fill="auto"/>
            <w:vAlign w:val="center"/>
          </w:tcPr>
          <w:p w:rsidR="002E40C4" w:rsidRPr="00E90075" w:rsidRDefault="00685454" w:rsidP="00E90075">
            <w:pPr>
              <w:tabs>
                <w:tab w:val="left" w:pos="2520"/>
                <w:tab w:val="left" w:pos="4680"/>
              </w:tabs>
              <w:jc w:val="center"/>
              <w:rPr>
                <w:rFonts w:ascii="Arial Narrow" w:eastAsia="Calibri" w:hAnsi="Arial Narrow"/>
                <w:sz w:val="22"/>
                <w:szCs w:val="22"/>
              </w:rPr>
            </w:pPr>
            <w:r>
              <w:rPr>
                <w:rFonts w:ascii="Arial Narrow" w:eastAsia="Calibri" w:hAnsi="Arial Narrow"/>
                <w:sz w:val="22"/>
                <w:szCs w:val="22"/>
              </w:rPr>
              <w:t>O</w:t>
            </w:r>
          </w:p>
        </w:tc>
        <w:tc>
          <w:tcPr>
            <w:tcW w:w="0" w:type="auto"/>
            <w:shd w:val="clear" w:color="auto" w:fill="auto"/>
            <w:vAlign w:val="center"/>
          </w:tcPr>
          <w:p w:rsidR="002E40C4" w:rsidRPr="00E90075" w:rsidRDefault="002E40C4" w:rsidP="00E90075">
            <w:pPr>
              <w:tabs>
                <w:tab w:val="left" w:pos="2520"/>
                <w:tab w:val="left" w:pos="4680"/>
              </w:tabs>
              <w:jc w:val="center"/>
              <w:rPr>
                <w:rFonts w:ascii="Arial Narrow" w:eastAsia="Calibri" w:hAnsi="Arial Narrow"/>
                <w:sz w:val="22"/>
                <w:szCs w:val="22"/>
              </w:rPr>
            </w:pPr>
            <w:r w:rsidRPr="00E90075">
              <w:rPr>
                <w:rFonts w:ascii="Arial Narrow" w:eastAsia="Calibri" w:hAnsi="Arial Narrow"/>
                <w:sz w:val="22"/>
                <w:szCs w:val="22"/>
              </w:rPr>
              <w:t>X</w:t>
            </w:r>
          </w:p>
        </w:tc>
        <w:tc>
          <w:tcPr>
            <w:tcW w:w="0" w:type="auto"/>
            <w:shd w:val="clear" w:color="auto" w:fill="auto"/>
            <w:vAlign w:val="center"/>
          </w:tcPr>
          <w:p w:rsidR="002E40C4" w:rsidRPr="00E90075" w:rsidRDefault="002E40C4" w:rsidP="00E90075">
            <w:pPr>
              <w:jc w:val="center"/>
              <w:rPr>
                <w:rFonts w:ascii="Arial Narrow" w:eastAsia="Calibri" w:hAnsi="Arial Narrow" w:cs="Calibri"/>
                <w:sz w:val="22"/>
                <w:szCs w:val="22"/>
              </w:rPr>
            </w:pPr>
          </w:p>
        </w:tc>
      </w:tr>
      <w:tr w:rsidR="002E40C4" w:rsidRPr="001F4F87" w:rsidTr="00E90075">
        <w:trPr>
          <w:trHeight w:val="330"/>
        </w:trPr>
        <w:tc>
          <w:tcPr>
            <w:tcW w:w="0" w:type="auto"/>
            <w:shd w:val="clear" w:color="auto" w:fill="auto"/>
            <w:noWrap/>
          </w:tcPr>
          <w:p w:rsidR="002E40C4" w:rsidRPr="00E90075" w:rsidRDefault="002E40C4" w:rsidP="00553B19">
            <w:pPr>
              <w:ind w:left="180"/>
              <w:rPr>
                <w:rFonts w:eastAsia="Calibri"/>
                <w:b/>
                <w:sz w:val="22"/>
                <w:szCs w:val="22"/>
              </w:rPr>
            </w:pPr>
            <w:r w:rsidRPr="00E90075">
              <w:rPr>
                <w:rFonts w:eastAsia="Calibri"/>
                <w:sz w:val="22"/>
                <w:szCs w:val="22"/>
              </w:rPr>
              <w:t>What facilitates and what acts as an obstacle to using school-readiness related goals for ongoing program planning and improvement?</w:t>
            </w:r>
          </w:p>
        </w:tc>
        <w:tc>
          <w:tcPr>
            <w:tcW w:w="0" w:type="auto"/>
            <w:shd w:val="clear" w:color="auto" w:fill="auto"/>
            <w:vAlign w:val="center"/>
          </w:tcPr>
          <w:p w:rsidR="002E40C4" w:rsidRPr="0038666D" w:rsidRDefault="002E40C4" w:rsidP="0038666D">
            <w:pPr>
              <w:tabs>
                <w:tab w:val="left" w:pos="2520"/>
                <w:tab w:val="left" w:pos="4680"/>
              </w:tabs>
              <w:jc w:val="center"/>
              <w:rPr>
                <w:rFonts w:ascii="Arial Narrow" w:eastAsia="Calibri" w:hAnsi="Arial Narrow"/>
                <w:sz w:val="22"/>
                <w:szCs w:val="22"/>
              </w:rPr>
            </w:pPr>
            <w:r w:rsidRPr="0038666D">
              <w:rPr>
                <w:rFonts w:ascii="Arial Narrow" w:eastAsia="Calibri" w:hAnsi="Arial Narrow"/>
                <w:sz w:val="22"/>
                <w:szCs w:val="22"/>
              </w:rPr>
              <w:t>O</w:t>
            </w:r>
          </w:p>
        </w:tc>
        <w:tc>
          <w:tcPr>
            <w:tcW w:w="0" w:type="auto"/>
            <w:shd w:val="clear" w:color="auto" w:fill="auto"/>
            <w:vAlign w:val="center"/>
          </w:tcPr>
          <w:p w:rsidR="002E40C4" w:rsidRPr="0038666D" w:rsidRDefault="002E40C4" w:rsidP="0038666D">
            <w:pPr>
              <w:tabs>
                <w:tab w:val="left" w:pos="2520"/>
                <w:tab w:val="left" w:pos="4680"/>
              </w:tabs>
              <w:jc w:val="center"/>
              <w:rPr>
                <w:rFonts w:ascii="Arial Narrow" w:eastAsia="Calibri" w:hAnsi="Arial Narrow"/>
                <w:sz w:val="22"/>
                <w:szCs w:val="22"/>
              </w:rPr>
            </w:pPr>
            <w:r w:rsidRPr="0038666D">
              <w:rPr>
                <w:rFonts w:ascii="Arial Narrow" w:eastAsia="Calibri" w:hAnsi="Arial Narrow"/>
                <w:sz w:val="22"/>
                <w:szCs w:val="22"/>
              </w:rPr>
              <w:t>X</w:t>
            </w:r>
          </w:p>
        </w:tc>
        <w:tc>
          <w:tcPr>
            <w:tcW w:w="0" w:type="auto"/>
            <w:shd w:val="clear" w:color="auto" w:fill="auto"/>
            <w:vAlign w:val="center"/>
          </w:tcPr>
          <w:p w:rsidR="002E40C4" w:rsidRPr="0038666D" w:rsidRDefault="002E40C4" w:rsidP="0038666D">
            <w:pPr>
              <w:tabs>
                <w:tab w:val="left" w:pos="2520"/>
                <w:tab w:val="left" w:pos="4680"/>
              </w:tabs>
              <w:jc w:val="center"/>
              <w:rPr>
                <w:rFonts w:ascii="Arial Narrow" w:eastAsia="Calibri" w:hAnsi="Arial Narrow"/>
                <w:sz w:val="22"/>
                <w:szCs w:val="22"/>
              </w:rPr>
            </w:pPr>
          </w:p>
        </w:tc>
      </w:tr>
    </w:tbl>
    <w:p w:rsidR="00246BF6" w:rsidRPr="00246BF6" w:rsidRDefault="00246BF6" w:rsidP="00750772">
      <w:pPr>
        <w:spacing w:after="120"/>
        <w:rPr>
          <w:b/>
          <w:i/>
        </w:rPr>
      </w:pPr>
      <w:r w:rsidRPr="00246BF6">
        <w:rPr>
          <w:b/>
          <w:i/>
        </w:rPr>
        <w:lastRenderedPageBreak/>
        <w:t xml:space="preserve">Study Design </w:t>
      </w:r>
    </w:p>
    <w:p w:rsidR="00D40809" w:rsidRDefault="00D40809" w:rsidP="00246BF6">
      <w:r>
        <w:t>The study design</w:t>
      </w:r>
      <w:r w:rsidR="001B278E">
        <w:t xml:space="preserve"> is </w:t>
      </w:r>
      <w:r w:rsidR="006268CD">
        <w:t>based on</w:t>
      </w:r>
      <w:r w:rsidR="00B23572">
        <w:t xml:space="preserve"> methods suitable for exploratory research, in which </w:t>
      </w:r>
      <w:r w:rsidR="006268CD">
        <w:t xml:space="preserve">the primary purpose is to gather information about the lay of the land, rather than to test hypotheses or evaluate outcomes.  Plans for data collection include: </w:t>
      </w:r>
      <w:r w:rsidR="003D0545">
        <w:t xml:space="preserve">a </w:t>
      </w:r>
      <w:r>
        <w:t xml:space="preserve">telephone </w:t>
      </w:r>
      <w:r w:rsidR="003D0545">
        <w:t xml:space="preserve">survey of </w:t>
      </w:r>
      <w:r>
        <w:t>Head Start and Early Head Start (EHS) grantees</w:t>
      </w:r>
      <w:r w:rsidR="006268CD">
        <w:t>;</w:t>
      </w:r>
      <w:r>
        <w:t xml:space="preserve"> site visits to a subset of the same grantees to learn more about how they set and use school readiness goals</w:t>
      </w:r>
      <w:r w:rsidR="006268CD">
        <w:t xml:space="preserve">; </w:t>
      </w:r>
      <w:r w:rsidR="003D0545">
        <w:t xml:space="preserve">telephone interviews with a small group of AIAN Head Start grantees; </w:t>
      </w:r>
      <w:r w:rsidR="006268CD">
        <w:t>and document review</w:t>
      </w:r>
      <w:r>
        <w:t>.</w:t>
      </w:r>
      <w:r w:rsidR="00B23572">
        <w:t xml:space="preserve">  </w:t>
      </w:r>
    </w:p>
    <w:p w:rsidR="00D40809" w:rsidRDefault="00D40809" w:rsidP="00246BF6">
      <w:pPr>
        <w:ind w:left="360"/>
      </w:pPr>
    </w:p>
    <w:p w:rsidR="00D40809" w:rsidRPr="001B278E" w:rsidRDefault="006268CD" w:rsidP="001B278E">
      <w:pPr>
        <w:rPr>
          <w:sz w:val="22"/>
          <w:szCs w:val="22"/>
        </w:rPr>
      </w:pPr>
      <w:r>
        <w:t xml:space="preserve">The sample </w:t>
      </w:r>
      <w:r w:rsidR="00130689">
        <w:t xml:space="preserve">for the telephone </w:t>
      </w:r>
      <w:r w:rsidR="00AF47B6">
        <w:t xml:space="preserve">survey </w:t>
      </w:r>
      <w:r>
        <w:t xml:space="preserve">will include </w:t>
      </w:r>
      <w:r w:rsidR="00511C1D">
        <w:t>90</w:t>
      </w:r>
      <w:r>
        <w:t xml:space="preserve"> grantees, purposively selected to obtain </w:t>
      </w:r>
      <w:r w:rsidR="00D40809">
        <w:t xml:space="preserve">information about how the school readiness requirements are implemented across </w:t>
      </w:r>
      <w:r w:rsidR="00130689">
        <w:t>the fullest possible range</w:t>
      </w:r>
      <w:r w:rsidR="00D40809">
        <w:t xml:space="preserve"> of </w:t>
      </w:r>
      <w:r w:rsidR="00685454">
        <w:t xml:space="preserve">service delivery models and </w:t>
      </w:r>
      <w:r w:rsidR="00D40809">
        <w:t xml:space="preserve">policy and community contexts.  </w:t>
      </w:r>
      <w:r w:rsidR="002174B6">
        <w:t xml:space="preserve">To capture how the process operates in both Head Start and Early Head Start programs, the </w:t>
      </w:r>
      <w:r w:rsidR="00511C1D">
        <w:t>90</w:t>
      </w:r>
      <w:r w:rsidR="002174B6">
        <w:t xml:space="preserve"> grantees will include 25 </w:t>
      </w:r>
      <w:r w:rsidR="00E05254">
        <w:t>grantee</w:t>
      </w:r>
      <w:r w:rsidR="00063C11">
        <w:t>s</w:t>
      </w:r>
      <w:r w:rsidR="00E05254">
        <w:t xml:space="preserve"> that operate </w:t>
      </w:r>
      <w:r w:rsidR="002174B6">
        <w:t>Head Start programs</w:t>
      </w:r>
      <w:r w:rsidR="00D64882">
        <w:t xml:space="preserve"> only</w:t>
      </w:r>
      <w:r w:rsidR="002174B6">
        <w:t>, 1</w:t>
      </w:r>
      <w:r w:rsidR="00AF47B6">
        <w:t>5</w:t>
      </w:r>
      <w:r w:rsidR="002174B6">
        <w:t xml:space="preserve"> </w:t>
      </w:r>
      <w:r w:rsidR="00E05254">
        <w:t xml:space="preserve">that operate </w:t>
      </w:r>
      <w:r w:rsidR="002174B6">
        <w:t>Early Head Start programs</w:t>
      </w:r>
      <w:r w:rsidR="00D64882">
        <w:t xml:space="preserve"> only</w:t>
      </w:r>
      <w:r w:rsidR="002174B6">
        <w:t xml:space="preserve">, and </w:t>
      </w:r>
      <w:r w:rsidR="00AF47B6">
        <w:t>50</w:t>
      </w:r>
      <w:r w:rsidR="002174B6">
        <w:t xml:space="preserve"> that operate both Head Start and Early Head Start</w:t>
      </w:r>
      <w:r w:rsidR="00403963">
        <w:t xml:space="preserve">; in this latter group, 25 grantees will be </w:t>
      </w:r>
      <w:r w:rsidR="00E371BC">
        <w:t>asked about their Head Start programs and 25 about their Early Head Start programs</w:t>
      </w:r>
      <w:r w:rsidR="002174B6">
        <w:t xml:space="preserve">.  </w:t>
      </w:r>
      <w:r w:rsidR="00D40809">
        <w:t xml:space="preserve">Data from </w:t>
      </w:r>
      <w:r w:rsidR="002F57B5">
        <w:t xml:space="preserve">the </w:t>
      </w:r>
      <w:r w:rsidR="00BD1F4A">
        <w:t xml:space="preserve">Head Start </w:t>
      </w:r>
      <w:r w:rsidR="00D40809">
        <w:t xml:space="preserve">Program Information Reports (PIR data) will be used to array grantees </w:t>
      </w:r>
      <w:r>
        <w:t xml:space="preserve">by </w:t>
      </w:r>
      <w:r w:rsidR="00D40809" w:rsidRPr="007833D8">
        <w:t>type of grant (Head Start, Early Head Start</w:t>
      </w:r>
      <w:r w:rsidR="003E2A6D">
        <w:t xml:space="preserve">, or </w:t>
      </w:r>
      <w:r w:rsidR="001B278E">
        <w:t>programs that operate both Head Start and Early Head Start</w:t>
      </w:r>
      <w:r w:rsidR="003E2A6D">
        <w:t xml:space="preserve">), and then by </w:t>
      </w:r>
      <w:r>
        <w:t xml:space="preserve">other characteristics that program experts, past research, and the study’s conceptual framework suggest may be associated with variations in </w:t>
      </w:r>
      <w:r w:rsidRPr="00877DB6">
        <w:t xml:space="preserve">how </w:t>
      </w:r>
      <w:r>
        <w:t xml:space="preserve">local programs </w:t>
      </w:r>
      <w:r w:rsidRPr="00877DB6">
        <w:t>define, measure, and communicate school readiness goals, and how they use these goals in program planning to improve program functioning</w:t>
      </w:r>
      <w:r>
        <w:t>.  These other characteristics include</w:t>
      </w:r>
      <w:r w:rsidR="00D40809" w:rsidRPr="007833D8">
        <w:t xml:space="preserve"> program options offered, program size,</w:t>
      </w:r>
      <w:r w:rsidR="00884BD0">
        <w:t xml:space="preserve"> presence of delegates, agency auspices, </w:t>
      </w:r>
      <w:r w:rsidR="00353374">
        <w:t xml:space="preserve">ACF </w:t>
      </w:r>
      <w:r w:rsidR="00685454">
        <w:t xml:space="preserve">geographic </w:t>
      </w:r>
      <w:r w:rsidR="00353374">
        <w:t xml:space="preserve">regions, </w:t>
      </w:r>
      <w:r w:rsidR="00D40809" w:rsidRPr="007833D8">
        <w:t>language, race and ethnicity of families served</w:t>
      </w:r>
      <w:r w:rsidR="0072117D">
        <w:t xml:space="preserve">, choice of assessment tools, and state </w:t>
      </w:r>
      <w:r w:rsidR="00685454">
        <w:t>school readiness</w:t>
      </w:r>
      <w:r w:rsidR="00912996">
        <w:t xml:space="preserve"> policy </w:t>
      </w:r>
      <w:r w:rsidR="0072117D">
        <w:t>context</w:t>
      </w:r>
      <w:r w:rsidR="008915F7">
        <w:t>.</w:t>
      </w:r>
      <w:r w:rsidR="00D40809">
        <w:t xml:space="preserve"> </w:t>
      </w:r>
    </w:p>
    <w:p w:rsidR="00D40809" w:rsidRDefault="00D40809" w:rsidP="00246BF6"/>
    <w:p w:rsidR="004846BE" w:rsidRDefault="00F81611" w:rsidP="004846BE">
      <w:pPr>
        <w:tabs>
          <w:tab w:val="left" w:pos="720"/>
          <w:tab w:val="left" w:pos="2520"/>
          <w:tab w:val="left" w:pos="4680"/>
        </w:tabs>
      </w:pPr>
      <w:r>
        <w:t>The study team</w:t>
      </w:r>
      <w:r w:rsidR="00D40809">
        <w:t xml:space="preserve"> will </w:t>
      </w:r>
      <w:r w:rsidR="00D1248F">
        <w:t xml:space="preserve">survey one respondent from each of the </w:t>
      </w:r>
      <w:r w:rsidR="00511C1D">
        <w:t>90</w:t>
      </w:r>
      <w:r w:rsidR="00130689">
        <w:t xml:space="preserve"> </w:t>
      </w:r>
      <w:r w:rsidR="00D1248F">
        <w:t xml:space="preserve">selected grantees.  </w:t>
      </w:r>
      <w:r w:rsidR="00AF47B6">
        <w:t xml:space="preserve">The </w:t>
      </w:r>
      <w:r w:rsidR="00D40809">
        <w:t xml:space="preserve">respondent </w:t>
      </w:r>
      <w:r w:rsidR="00AF47B6">
        <w:t xml:space="preserve">may be the </w:t>
      </w:r>
      <w:r w:rsidR="00D40809">
        <w:t>Head Start or Early Head Start program director</w:t>
      </w:r>
      <w:r w:rsidR="00AF47B6">
        <w:t>, the education services manager or coordinator, an assistant director, or whoever handles the responsibility of setting and using school readiness goals in the local grantee.</w:t>
      </w:r>
      <w:r w:rsidR="00E371BC">
        <w:t xml:space="preserve"> </w:t>
      </w:r>
      <w:r w:rsidR="00130689">
        <w:t>After sending a letter to introduce the study</w:t>
      </w:r>
      <w:r w:rsidR="005F1C12">
        <w:t xml:space="preserve"> and </w:t>
      </w:r>
      <w:r w:rsidR="00D1248F">
        <w:t>invite programs to participate</w:t>
      </w:r>
      <w:r w:rsidR="005F1C12">
        <w:t xml:space="preserve">, </w:t>
      </w:r>
      <w:r w:rsidR="00130689">
        <w:t xml:space="preserve">members </w:t>
      </w:r>
      <w:r w:rsidR="00D40809">
        <w:t>of the research team</w:t>
      </w:r>
      <w:r w:rsidR="00D40809">
        <w:rPr>
          <w:bCs/>
        </w:rPr>
        <w:t xml:space="preserve"> </w:t>
      </w:r>
      <w:r>
        <w:rPr>
          <w:bCs/>
        </w:rPr>
        <w:t xml:space="preserve">will </w:t>
      </w:r>
      <w:r w:rsidR="00130689">
        <w:rPr>
          <w:bCs/>
        </w:rPr>
        <w:t>call</w:t>
      </w:r>
      <w:r w:rsidR="00D40809">
        <w:rPr>
          <w:bCs/>
        </w:rPr>
        <w:t xml:space="preserve"> </w:t>
      </w:r>
      <w:r w:rsidR="00D1248F">
        <w:rPr>
          <w:bCs/>
        </w:rPr>
        <w:t>the directors of the selected grantees</w:t>
      </w:r>
      <w:r w:rsidR="00D40809">
        <w:rPr>
          <w:bCs/>
        </w:rPr>
        <w:t xml:space="preserve"> </w:t>
      </w:r>
      <w:r w:rsidR="00130689">
        <w:rPr>
          <w:bCs/>
        </w:rPr>
        <w:t xml:space="preserve">to answer questions about the study, determine which individual should be </w:t>
      </w:r>
      <w:r w:rsidR="00A31366">
        <w:rPr>
          <w:bCs/>
        </w:rPr>
        <w:t>surveyed</w:t>
      </w:r>
      <w:r w:rsidR="00130689">
        <w:rPr>
          <w:bCs/>
        </w:rPr>
        <w:t xml:space="preserve">, and schedule the </w:t>
      </w:r>
      <w:r w:rsidR="00A31366">
        <w:rPr>
          <w:bCs/>
        </w:rPr>
        <w:t xml:space="preserve">survey date and time </w:t>
      </w:r>
      <w:r w:rsidR="00D40809">
        <w:rPr>
          <w:bCs/>
        </w:rPr>
        <w:t>(see Appendi</w:t>
      </w:r>
      <w:r w:rsidR="005F1C12">
        <w:rPr>
          <w:bCs/>
        </w:rPr>
        <w:t>ces</w:t>
      </w:r>
      <w:r w:rsidR="00D40809">
        <w:rPr>
          <w:bCs/>
        </w:rPr>
        <w:t xml:space="preserve"> A-</w:t>
      </w:r>
      <w:r w:rsidR="005F1C12">
        <w:rPr>
          <w:bCs/>
        </w:rPr>
        <w:t>1</w:t>
      </w:r>
      <w:r w:rsidR="0080293B">
        <w:rPr>
          <w:bCs/>
        </w:rPr>
        <w:t xml:space="preserve"> and</w:t>
      </w:r>
      <w:r w:rsidR="005F1C12">
        <w:rPr>
          <w:bCs/>
        </w:rPr>
        <w:t xml:space="preserve"> A-2 for the program recruitment letter</w:t>
      </w:r>
      <w:r w:rsidR="0080293B">
        <w:rPr>
          <w:bCs/>
        </w:rPr>
        <w:t xml:space="preserve"> </w:t>
      </w:r>
      <w:r w:rsidR="005F1C12">
        <w:rPr>
          <w:bCs/>
        </w:rPr>
        <w:t xml:space="preserve">and </w:t>
      </w:r>
      <w:r w:rsidR="00130689">
        <w:rPr>
          <w:bCs/>
        </w:rPr>
        <w:t xml:space="preserve">telephone </w:t>
      </w:r>
      <w:r w:rsidR="00A31366">
        <w:rPr>
          <w:bCs/>
        </w:rPr>
        <w:t xml:space="preserve">survey </w:t>
      </w:r>
      <w:r w:rsidR="00130689">
        <w:rPr>
          <w:bCs/>
        </w:rPr>
        <w:t>recruitment script</w:t>
      </w:r>
      <w:r w:rsidR="00D40809">
        <w:rPr>
          <w:bCs/>
        </w:rPr>
        <w:t>)</w:t>
      </w:r>
      <w:r w:rsidR="00D40809">
        <w:t>.</w:t>
      </w:r>
      <w:r w:rsidR="00E371BC">
        <w:t xml:space="preserve"> </w:t>
      </w:r>
    </w:p>
    <w:p w:rsidR="004846BE" w:rsidRDefault="004846BE" w:rsidP="004846BE">
      <w:pPr>
        <w:tabs>
          <w:tab w:val="left" w:pos="720"/>
          <w:tab w:val="left" w:pos="2520"/>
          <w:tab w:val="left" w:pos="4680"/>
        </w:tabs>
      </w:pPr>
    </w:p>
    <w:p w:rsidR="001C4CE5" w:rsidRDefault="00F81611" w:rsidP="004846BE">
      <w:pPr>
        <w:tabs>
          <w:tab w:val="left" w:pos="720"/>
          <w:tab w:val="left" w:pos="2520"/>
          <w:tab w:val="left" w:pos="4680"/>
        </w:tabs>
      </w:pPr>
      <w:r>
        <w:rPr>
          <w:iCs/>
        </w:rPr>
        <w:t xml:space="preserve">The </w:t>
      </w:r>
      <w:r w:rsidR="004846BE">
        <w:rPr>
          <w:iCs/>
        </w:rPr>
        <w:t xml:space="preserve">telephone </w:t>
      </w:r>
      <w:r w:rsidR="00A31366">
        <w:rPr>
          <w:iCs/>
        </w:rPr>
        <w:t xml:space="preserve">survey </w:t>
      </w:r>
      <w:r>
        <w:rPr>
          <w:iCs/>
        </w:rPr>
        <w:t>will be guided by a protocol designed for the purpose of this study</w:t>
      </w:r>
      <w:r w:rsidR="00403963">
        <w:rPr>
          <w:iCs/>
        </w:rPr>
        <w:t xml:space="preserve">. The same protocol will be used for all grantees; a skip pattern will be used </w:t>
      </w:r>
      <w:r w:rsidR="007B3125">
        <w:rPr>
          <w:iCs/>
        </w:rPr>
        <w:t xml:space="preserve">to customize the protocol </w:t>
      </w:r>
      <w:r w:rsidR="00403963">
        <w:rPr>
          <w:iCs/>
        </w:rPr>
        <w:t xml:space="preserve">so that grantees that operate only one program (Head Start only or Early Head Start only) will not be asked questions </w:t>
      </w:r>
      <w:r w:rsidR="007B3125">
        <w:rPr>
          <w:iCs/>
        </w:rPr>
        <w:t>that are only pertinent to grantees operating two programs</w:t>
      </w:r>
      <w:proofErr w:type="gramStart"/>
      <w:r w:rsidR="007B3125">
        <w:rPr>
          <w:iCs/>
        </w:rPr>
        <w:t>.</w:t>
      </w:r>
      <w:r w:rsidR="004846BE">
        <w:rPr>
          <w:iCs/>
        </w:rPr>
        <w:t>(</w:t>
      </w:r>
      <w:proofErr w:type="gramEnd"/>
      <w:r w:rsidR="005F1C12">
        <w:rPr>
          <w:iCs/>
        </w:rPr>
        <w:t>s</w:t>
      </w:r>
      <w:r w:rsidR="004846BE">
        <w:rPr>
          <w:iCs/>
        </w:rPr>
        <w:t>ee Appendi</w:t>
      </w:r>
      <w:r w:rsidR="00403963">
        <w:rPr>
          <w:iCs/>
        </w:rPr>
        <w:t>x</w:t>
      </w:r>
      <w:r w:rsidR="004846BE">
        <w:rPr>
          <w:iCs/>
        </w:rPr>
        <w:t xml:space="preserve"> </w:t>
      </w:r>
      <w:r w:rsidR="004846BE" w:rsidRPr="0065369D">
        <w:rPr>
          <w:iCs/>
        </w:rPr>
        <w:t>A-</w:t>
      </w:r>
      <w:r w:rsidR="00622568">
        <w:rPr>
          <w:iCs/>
        </w:rPr>
        <w:t>3</w:t>
      </w:r>
      <w:r w:rsidR="005F1C12">
        <w:rPr>
          <w:iCs/>
        </w:rPr>
        <w:t>)</w:t>
      </w:r>
      <w:r w:rsidR="004846BE">
        <w:rPr>
          <w:iCs/>
        </w:rPr>
        <w:t>.</w:t>
      </w:r>
      <w:r w:rsidR="004846BE" w:rsidRPr="004846BE">
        <w:t xml:space="preserve"> </w:t>
      </w:r>
      <w:r w:rsidR="00403963">
        <w:t>G</w:t>
      </w:r>
      <w:r w:rsidR="00403963">
        <w:rPr>
          <w:iCs/>
        </w:rPr>
        <w:t xml:space="preserve">rantees that operate both Head Start and Early Head Start will be instructed to answer their questions for only one program (with random assignment so that approximately 25 respond to questions about school readiness goals in their Head Start program and 25 respond to questions about school readiness goals in their </w:t>
      </w:r>
      <w:r w:rsidR="00B21E20">
        <w:rPr>
          <w:iCs/>
        </w:rPr>
        <w:t xml:space="preserve">Early </w:t>
      </w:r>
      <w:r w:rsidR="00403963">
        <w:rPr>
          <w:iCs/>
        </w:rPr>
        <w:t xml:space="preserve">Head Start program).  </w:t>
      </w:r>
      <w:r w:rsidR="001C4CE5">
        <w:t xml:space="preserve">Each telephone </w:t>
      </w:r>
      <w:r w:rsidR="00635542">
        <w:t xml:space="preserve">survey </w:t>
      </w:r>
      <w:r w:rsidR="001C4CE5">
        <w:t xml:space="preserve">is expected to last approximately 45 minutes.  In this time period, there will not be sufficient time to fully explore the process of setting goals and using goals; more in-depth information will be collected in the follow-up site visits to 12 grantees. </w:t>
      </w:r>
      <w:r>
        <w:t xml:space="preserve"> </w:t>
      </w:r>
    </w:p>
    <w:p w:rsidR="00D40809" w:rsidRDefault="00D40809" w:rsidP="00246BF6"/>
    <w:p w:rsidR="007D47EF" w:rsidRDefault="00B23572" w:rsidP="00D40809">
      <w:pPr>
        <w:pStyle w:val="CommentText"/>
        <w:rPr>
          <w:sz w:val="24"/>
          <w:szCs w:val="24"/>
        </w:rPr>
      </w:pPr>
      <w:r>
        <w:rPr>
          <w:sz w:val="24"/>
          <w:szCs w:val="24"/>
        </w:rPr>
        <w:lastRenderedPageBreak/>
        <w:t>The study contractor</w:t>
      </w:r>
      <w:r w:rsidRPr="007833D8">
        <w:rPr>
          <w:sz w:val="24"/>
          <w:szCs w:val="24"/>
        </w:rPr>
        <w:t xml:space="preserve"> </w:t>
      </w:r>
      <w:r w:rsidR="00D40809" w:rsidRPr="007833D8">
        <w:rPr>
          <w:sz w:val="24"/>
          <w:szCs w:val="24"/>
        </w:rPr>
        <w:t xml:space="preserve">will purposively select a subset of </w:t>
      </w:r>
      <w:r w:rsidR="00D40809">
        <w:rPr>
          <w:sz w:val="24"/>
          <w:szCs w:val="24"/>
        </w:rPr>
        <w:t xml:space="preserve">12 of </w:t>
      </w:r>
      <w:r w:rsidR="00685454">
        <w:rPr>
          <w:sz w:val="24"/>
          <w:szCs w:val="24"/>
        </w:rPr>
        <w:t xml:space="preserve">surveyed </w:t>
      </w:r>
      <w:r w:rsidR="00D40809">
        <w:rPr>
          <w:sz w:val="24"/>
          <w:szCs w:val="24"/>
        </w:rPr>
        <w:t xml:space="preserve">grantees for follow-up site visits, including </w:t>
      </w:r>
      <w:r w:rsidR="00D40809" w:rsidRPr="007833D8">
        <w:rPr>
          <w:sz w:val="24"/>
          <w:szCs w:val="24"/>
        </w:rPr>
        <w:t>six Head Start-only grantees and six combined Head Start-EHS grantees</w:t>
      </w:r>
      <w:r w:rsidR="00D40809">
        <w:rPr>
          <w:sz w:val="24"/>
          <w:szCs w:val="24"/>
        </w:rPr>
        <w:t xml:space="preserve">. </w:t>
      </w:r>
      <w:r w:rsidR="001C4CE5">
        <w:rPr>
          <w:sz w:val="24"/>
          <w:szCs w:val="24"/>
        </w:rPr>
        <w:t xml:space="preserve">Data from the telephone </w:t>
      </w:r>
      <w:r w:rsidR="002E6F9A">
        <w:rPr>
          <w:sz w:val="24"/>
          <w:szCs w:val="24"/>
        </w:rPr>
        <w:t xml:space="preserve">survey </w:t>
      </w:r>
      <w:r w:rsidR="001C4CE5">
        <w:rPr>
          <w:sz w:val="24"/>
          <w:szCs w:val="24"/>
        </w:rPr>
        <w:t xml:space="preserve">will be used to identify and select programs that have differing processes for setting and using school readiness goals.  </w:t>
      </w:r>
      <w:r w:rsidR="00D462DA">
        <w:rPr>
          <w:sz w:val="24"/>
          <w:szCs w:val="24"/>
        </w:rPr>
        <w:t xml:space="preserve">The goal will be to select programs that offer a range of experience with the process of setting and using school readiness goals, and not limit the study to only high-performing/model programs or low-performing programs. </w:t>
      </w:r>
      <w:r w:rsidR="007D47EF">
        <w:rPr>
          <w:sz w:val="24"/>
          <w:szCs w:val="24"/>
        </w:rPr>
        <w:t xml:space="preserve">Selected programs will be sent a letter informing them </w:t>
      </w:r>
      <w:r w:rsidR="007D47EF" w:rsidRPr="00246BF6">
        <w:rPr>
          <w:sz w:val="24"/>
          <w:szCs w:val="24"/>
        </w:rPr>
        <w:t xml:space="preserve">that they have been selected for </w:t>
      </w:r>
      <w:r w:rsidR="002E6F9A">
        <w:rPr>
          <w:sz w:val="24"/>
          <w:szCs w:val="24"/>
        </w:rPr>
        <w:t xml:space="preserve">a </w:t>
      </w:r>
      <w:r w:rsidR="007D47EF" w:rsidRPr="00246BF6">
        <w:rPr>
          <w:sz w:val="24"/>
          <w:szCs w:val="24"/>
        </w:rPr>
        <w:t>follow-up site visit and to ask for their participation in th</w:t>
      </w:r>
      <w:r w:rsidR="007D47EF">
        <w:rPr>
          <w:sz w:val="24"/>
          <w:szCs w:val="24"/>
        </w:rPr>
        <w:t>e site visit phrase of the study (see Appendix B-1 for the site visit recruitment letter).</w:t>
      </w:r>
    </w:p>
    <w:p w:rsidR="007D47EF" w:rsidRDefault="007D47EF" w:rsidP="00D40809">
      <w:pPr>
        <w:pStyle w:val="CommentText"/>
        <w:rPr>
          <w:sz w:val="24"/>
          <w:szCs w:val="24"/>
        </w:rPr>
      </w:pPr>
    </w:p>
    <w:p w:rsidR="00D462DA" w:rsidRDefault="00D462DA" w:rsidP="00D40809">
      <w:pPr>
        <w:pStyle w:val="CommentText"/>
        <w:rPr>
          <w:sz w:val="24"/>
        </w:rPr>
      </w:pPr>
      <w:r>
        <w:rPr>
          <w:sz w:val="24"/>
          <w:szCs w:val="24"/>
        </w:rPr>
        <w:t>Because the process of setting school readiness goals may differ for programs that serve children 0-</w:t>
      </w:r>
      <w:r w:rsidR="00912996">
        <w:rPr>
          <w:sz w:val="24"/>
          <w:szCs w:val="24"/>
        </w:rPr>
        <w:t>3</w:t>
      </w:r>
      <w:r>
        <w:rPr>
          <w:sz w:val="24"/>
          <w:szCs w:val="24"/>
        </w:rPr>
        <w:t xml:space="preserve"> or children 0-5, as opposed to program</w:t>
      </w:r>
      <w:r w:rsidR="00BF5E96">
        <w:rPr>
          <w:sz w:val="24"/>
          <w:szCs w:val="24"/>
        </w:rPr>
        <w:t>s</w:t>
      </w:r>
      <w:r>
        <w:rPr>
          <w:sz w:val="24"/>
          <w:szCs w:val="24"/>
        </w:rPr>
        <w:t xml:space="preserve"> that serve preschool</w:t>
      </w:r>
      <w:r w:rsidR="00685454">
        <w:rPr>
          <w:sz w:val="24"/>
          <w:szCs w:val="24"/>
        </w:rPr>
        <w:t>-age</w:t>
      </w:r>
      <w:r>
        <w:rPr>
          <w:sz w:val="24"/>
          <w:szCs w:val="24"/>
        </w:rPr>
        <w:t xml:space="preserve"> children only, the site visit sample will be divided between program</w:t>
      </w:r>
      <w:r w:rsidR="00BF5E96">
        <w:rPr>
          <w:sz w:val="24"/>
          <w:szCs w:val="24"/>
        </w:rPr>
        <w:t>s</w:t>
      </w:r>
      <w:r>
        <w:rPr>
          <w:sz w:val="24"/>
          <w:szCs w:val="24"/>
        </w:rPr>
        <w:t xml:space="preserve"> that serve Head Start only and programs that include both Head Start and Early Head Start components</w:t>
      </w:r>
      <w:r w:rsidRPr="00301E71">
        <w:rPr>
          <w:sz w:val="24"/>
          <w:szCs w:val="24"/>
        </w:rPr>
        <w:t xml:space="preserve">.  </w:t>
      </w:r>
      <w:r w:rsidRPr="00917C3D">
        <w:rPr>
          <w:sz w:val="24"/>
          <w:szCs w:val="24"/>
        </w:rPr>
        <w:t>Site visits at Head Start-only grantees are expected to last 1 ½ days, while site visits at combined Head Start-EHS grantees will be ½ a day longer (2 days), to</w:t>
      </w:r>
      <w:r>
        <w:rPr>
          <w:sz w:val="22"/>
          <w:szCs w:val="22"/>
        </w:rPr>
        <w:t xml:space="preserve"> </w:t>
      </w:r>
      <w:r w:rsidRPr="004006C6">
        <w:rPr>
          <w:sz w:val="24"/>
        </w:rPr>
        <w:t>allow extra time on site to capture perspectives f</w:t>
      </w:r>
      <w:r w:rsidR="00623154">
        <w:rPr>
          <w:sz w:val="24"/>
        </w:rPr>
        <w:t xml:space="preserve">rom both Early Head Start and Head Start staff and parents.  </w:t>
      </w:r>
    </w:p>
    <w:p w:rsidR="00623154" w:rsidRDefault="00623154" w:rsidP="00D40809">
      <w:pPr>
        <w:pStyle w:val="CommentText"/>
        <w:rPr>
          <w:sz w:val="24"/>
        </w:rPr>
      </w:pPr>
    </w:p>
    <w:p w:rsidR="00D40809" w:rsidRDefault="00D40809" w:rsidP="00D40809">
      <w:pPr>
        <w:pStyle w:val="CommentText"/>
        <w:rPr>
          <w:sz w:val="24"/>
          <w:szCs w:val="24"/>
        </w:rPr>
      </w:pPr>
      <w:r w:rsidRPr="00D462DA">
        <w:rPr>
          <w:sz w:val="24"/>
          <w:szCs w:val="24"/>
        </w:rPr>
        <w:t xml:space="preserve">During the site visits, interviews with program directors </w:t>
      </w:r>
      <w:r w:rsidR="00D462DA" w:rsidRPr="00D462DA">
        <w:rPr>
          <w:sz w:val="24"/>
          <w:szCs w:val="24"/>
        </w:rPr>
        <w:t>and senior managers</w:t>
      </w:r>
      <w:r w:rsidR="002C7D36">
        <w:rPr>
          <w:sz w:val="24"/>
          <w:szCs w:val="24"/>
        </w:rPr>
        <w:t>, one of</w:t>
      </w:r>
      <w:r w:rsidR="00D462DA" w:rsidRPr="00D462DA">
        <w:rPr>
          <w:sz w:val="24"/>
          <w:szCs w:val="24"/>
        </w:rPr>
        <w:t xml:space="preserve"> who</w:t>
      </w:r>
      <w:r w:rsidR="002C7D36">
        <w:rPr>
          <w:sz w:val="24"/>
          <w:szCs w:val="24"/>
        </w:rPr>
        <w:t>m</w:t>
      </w:r>
      <w:r w:rsidR="00D462DA" w:rsidRPr="00D462DA">
        <w:rPr>
          <w:sz w:val="24"/>
          <w:szCs w:val="24"/>
        </w:rPr>
        <w:t xml:space="preserve"> responded to the telephone </w:t>
      </w:r>
      <w:r w:rsidR="002C7D36">
        <w:rPr>
          <w:sz w:val="24"/>
          <w:szCs w:val="24"/>
        </w:rPr>
        <w:t xml:space="preserve">survey, </w:t>
      </w:r>
      <w:r w:rsidRPr="00D462DA">
        <w:rPr>
          <w:sz w:val="24"/>
          <w:szCs w:val="24"/>
        </w:rPr>
        <w:t xml:space="preserve">will be supplemented by discussions with </w:t>
      </w:r>
      <w:r w:rsidR="00D462DA" w:rsidRPr="00D462DA">
        <w:rPr>
          <w:sz w:val="24"/>
          <w:szCs w:val="24"/>
        </w:rPr>
        <w:t xml:space="preserve">other </w:t>
      </w:r>
      <w:r w:rsidR="00E8584F">
        <w:rPr>
          <w:sz w:val="24"/>
          <w:szCs w:val="24"/>
        </w:rPr>
        <w:t xml:space="preserve">services </w:t>
      </w:r>
      <w:r w:rsidR="00D462DA" w:rsidRPr="00D462DA">
        <w:rPr>
          <w:sz w:val="24"/>
          <w:szCs w:val="24"/>
        </w:rPr>
        <w:t xml:space="preserve">managers, </w:t>
      </w:r>
      <w:r w:rsidRPr="00D462DA">
        <w:rPr>
          <w:sz w:val="24"/>
          <w:szCs w:val="24"/>
        </w:rPr>
        <w:t>program staff</w:t>
      </w:r>
      <w:r w:rsidR="00D462DA" w:rsidRPr="00D462DA">
        <w:rPr>
          <w:sz w:val="24"/>
          <w:szCs w:val="24"/>
        </w:rPr>
        <w:t xml:space="preserve"> who directly serve children</w:t>
      </w:r>
      <w:r w:rsidR="002C7D36">
        <w:rPr>
          <w:sz w:val="24"/>
          <w:szCs w:val="24"/>
        </w:rPr>
        <w:t xml:space="preserve"> (i.e., classroom teachers and home visitors)</w:t>
      </w:r>
      <w:r w:rsidRPr="00D462DA">
        <w:rPr>
          <w:sz w:val="24"/>
          <w:szCs w:val="24"/>
        </w:rPr>
        <w:t xml:space="preserve">, parents of children attending Head Start and Early Head Start, and local community stakeholders in order to learn more about how local grantees are implementing the requirements to set and use school readiness goals to improve program functioning.  </w:t>
      </w:r>
      <w:r w:rsidR="00BF5E96">
        <w:rPr>
          <w:sz w:val="24"/>
          <w:szCs w:val="24"/>
        </w:rPr>
        <w:t xml:space="preserve">These </w:t>
      </w:r>
      <w:r w:rsidR="0038666D">
        <w:rPr>
          <w:sz w:val="24"/>
          <w:szCs w:val="24"/>
        </w:rPr>
        <w:t>discussions will be conducted through</w:t>
      </w:r>
      <w:r w:rsidR="00384A6A">
        <w:rPr>
          <w:sz w:val="24"/>
          <w:szCs w:val="24"/>
        </w:rPr>
        <w:t xml:space="preserve"> one-on-one </w:t>
      </w:r>
      <w:r w:rsidR="00E8584F">
        <w:rPr>
          <w:sz w:val="24"/>
          <w:szCs w:val="24"/>
        </w:rPr>
        <w:t xml:space="preserve">and </w:t>
      </w:r>
      <w:r w:rsidR="0038666D">
        <w:rPr>
          <w:sz w:val="24"/>
          <w:szCs w:val="24"/>
        </w:rPr>
        <w:t xml:space="preserve">small group interviews that are </w:t>
      </w:r>
      <w:r w:rsidR="00D462DA" w:rsidRPr="00D462DA">
        <w:rPr>
          <w:sz w:val="24"/>
          <w:szCs w:val="24"/>
        </w:rPr>
        <w:t xml:space="preserve">designed to last </w:t>
      </w:r>
      <w:r w:rsidR="00511C1D">
        <w:rPr>
          <w:sz w:val="24"/>
          <w:szCs w:val="24"/>
        </w:rPr>
        <w:t>45</w:t>
      </w:r>
      <w:r w:rsidR="00D462DA" w:rsidRPr="00D462DA">
        <w:rPr>
          <w:sz w:val="24"/>
          <w:szCs w:val="24"/>
        </w:rPr>
        <w:t xml:space="preserve"> to 90 minutes, depending on the respondent</w:t>
      </w:r>
      <w:r w:rsidR="0038666D">
        <w:rPr>
          <w:sz w:val="24"/>
          <w:szCs w:val="24"/>
        </w:rPr>
        <w:t xml:space="preserve"> (see Appendices B-2, B-3, B-4, B-5, B-6 and B-</w:t>
      </w:r>
      <w:r w:rsidR="00623154">
        <w:rPr>
          <w:sz w:val="24"/>
          <w:szCs w:val="24"/>
        </w:rPr>
        <w:t>7</w:t>
      </w:r>
      <w:r w:rsidR="0038666D">
        <w:rPr>
          <w:sz w:val="24"/>
          <w:szCs w:val="24"/>
        </w:rPr>
        <w:t>)</w:t>
      </w:r>
      <w:r w:rsidR="00D462DA" w:rsidRPr="00D462DA">
        <w:rPr>
          <w:sz w:val="24"/>
          <w:szCs w:val="24"/>
        </w:rPr>
        <w:t xml:space="preserve">. </w:t>
      </w:r>
    </w:p>
    <w:p w:rsidR="009758A2" w:rsidRDefault="009758A2" w:rsidP="00E8584F">
      <w:pPr>
        <w:autoSpaceDE w:val="0"/>
        <w:autoSpaceDN w:val="0"/>
        <w:adjustRightInd w:val="0"/>
        <w:contextualSpacing/>
      </w:pPr>
    </w:p>
    <w:p w:rsidR="00410D92" w:rsidRDefault="00410D92" w:rsidP="00410D92">
      <w:pPr>
        <w:autoSpaceDE w:val="0"/>
        <w:autoSpaceDN w:val="0"/>
        <w:adjustRightInd w:val="0"/>
        <w:contextualSpacing/>
      </w:pPr>
      <w:r>
        <w:t xml:space="preserve">The site visits to Head Start/Early Head Start program locations will be conducted by two-person teams of Urban Institute researchers with extensive experience carrying out qualitative research of similar size and scope. The two site visitors will conduct the interviews as a team, with the senior researcher responsible for managing the overall relationship with the study site and leading the interviews, and junior researchers responsible for arranging logistics and taking notes during the interviews. </w:t>
      </w:r>
    </w:p>
    <w:p w:rsidR="00410D92" w:rsidRDefault="00410D92" w:rsidP="00410D92">
      <w:pPr>
        <w:autoSpaceDE w:val="0"/>
        <w:autoSpaceDN w:val="0"/>
        <w:adjustRightInd w:val="0"/>
        <w:contextualSpacing/>
      </w:pPr>
    </w:p>
    <w:p w:rsidR="00410D92" w:rsidRDefault="00410D92" w:rsidP="00410D92">
      <w:pPr>
        <w:autoSpaceDE w:val="0"/>
        <w:autoSpaceDN w:val="0"/>
        <w:adjustRightInd w:val="0"/>
        <w:contextualSpacing/>
      </w:pPr>
      <w:r>
        <w:t>In advance of the visits, the project director and senior researchers will train together by reviewing the protocols for each interview, discussing the intent of each item and probe, and confirming the key pieces of information that will be consistently obtained across respondents and across sites. The protocols are designed to be flexible to fit the circumstances of the selected program, so the probes used for one respondent may vary from another, and certain points may be emphasized more in one location than another, in order to collect data that best reflects each program. Upon return from each site visit, the site visit teams will meet to debrief as a group to share important information or lessons learned, and they will use that time to discuss and resolve any issues with the protocols or approaches to data collection.</w:t>
      </w:r>
    </w:p>
    <w:p w:rsidR="00410D92" w:rsidRDefault="00410D92" w:rsidP="00410D92">
      <w:pPr>
        <w:autoSpaceDE w:val="0"/>
        <w:autoSpaceDN w:val="0"/>
        <w:adjustRightInd w:val="0"/>
        <w:contextualSpacing/>
      </w:pPr>
    </w:p>
    <w:p w:rsidR="00511C1D" w:rsidRPr="00D462DA" w:rsidRDefault="009758A2" w:rsidP="00410D92">
      <w:pPr>
        <w:autoSpaceDE w:val="0"/>
        <w:autoSpaceDN w:val="0"/>
        <w:adjustRightInd w:val="0"/>
        <w:contextualSpacing/>
      </w:pPr>
      <w:r>
        <w:t xml:space="preserve">The research team also will conduct </w:t>
      </w:r>
      <w:r w:rsidRPr="00D125A8">
        <w:t xml:space="preserve">qualitative, open-ended </w:t>
      </w:r>
      <w:r>
        <w:t xml:space="preserve">telephone phone interviews with 4 directors of AIAN Head Start programs, in order to gather exploratory information about the </w:t>
      </w:r>
      <w:r>
        <w:lastRenderedPageBreak/>
        <w:t xml:space="preserve">how American Indian and Alaskan Native grantees set and use school readiness goals. (As described in Part B, AIAN grantees will not be in the universe for the telephone survey).  </w:t>
      </w:r>
      <w:r w:rsidRPr="00E8584F">
        <w:t xml:space="preserve">Given the diversity of experiences across </w:t>
      </w:r>
      <w:r>
        <w:t xml:space="preserve">AIAN </w:t>
      </w:r>
      <w:r w:rsidRPr="00E8584F">
        <w:t xml:space="preserve">programs, </w:t>
      </w:r>
      <w:r w:rsidR="00E8584F" w:rsidRPr="00E8584F">
        <w:t xml:space="preserve">case studies of four programs </w:t>
      </w:r>
      <w:r w:rsidRPr="00E8584F">
        <w:t xml:space="preserve">will not capture the full </w:t>
      </w:r>
      <w:r w:rsidR="00FD7A55">
        <w:t>range</w:t>
      </w:r>
      <w:r w:rsidRPr="00E8584F">
        <w:t xml:space="preserve"> </w:t>
      </w:r>
      <w:r w:rsidR="00FD7A55">
        <w:t>of</w:t>
      </w:r>
      <w:r w:rsidRPr="00E8584F">
        <w:t xml:space="preserve"> experiences </w:t>
      </w:r>
      <w:r w:rsidR="00E8584F">
        <w:t>of this type of grantee</w:t>
      </w:r>
      <w:r w:rsidRPr="00E8584F">
        <w:t>.  Nevertheless, a short description of the process of setting and using school readiness goals in four AIAN programs will</w:t>
      </w:r>
      <w:r w:rsidRPr="009758A2">
        <w:t xml:space="preserve"> </w:t>
      </w:r>
      <w:r>
        <w:t xml:space="preserve">help </w:t>
      </w:r>
      <w:r w:rsidR="00685454">
        <w:t>begin building a knowledge base about the experiences of these grantees</w:t>
      </w:r>
      <w:r>
        <w:t xml:space="preserve">.  </w:t>
      </w:r>
      <w:r w:rsidR="00BA307E">
        <w:t xml:space="preserve"> </w:t>
      </w:r>
      <w:r w:rsidR="00623154">
        <w:t xml:space="preserve">The qualitative telephone interviews with the AIAN program directors are designed to last approximately one hour </w:t>
      </w:r>
      <w:r w:rsidR="00BA307E">
        <w:t xml:space="preserve">(see Appendix </w:t>
      </w:r>
      <w:r w:rsidR="009D7709">
        <w:t>C</w:t>
      </w:r>
      <w:r w:rsidR="00BA307E">
        <w:t xml:space="preserve">).   </w:t>
      </w:r>
    </w:p>
    <w:p w:rsidR="00E07588" w:rsidRDefault="00E07588" w:rsidP="00E07588">
      <w:pPr>
        <w:rPr>
          <w:iCs/>
        </w:rPr>
      </w:pPr>
    </w:p>
    <w:p w:rsidR="00F81611" w:rsidRDefault="00F81611" w:rsidP="00984CA2">
      <w:r>
        <w:t>The final component of data collection involve</w:t>
      </w:r>
      <w:r w:rsidR="008E0B00">
        <w:t>s</w:t>
      </w:r>
      <w:r>
        <w:t xml:space="preserve"> document review.  When grantees are contacted to complete the phone survey, they will be asked for one copy of the school readiness goals adopted by their program and one copy of their organizational chart.  The document specifying school readiness goals will be coded by the research team for the purpose of addressing research questions related to the scope and nature of the school readiness goals actually established by Head Start and Early Head Start programs.  The organizational chart will be used to customize the telephone </w:t>
      </w:r>
      <w:r w:rsidR="00DC5DFB">
        <w:t xml:space="preserve">survey </w:t>
      </w:r>
      <w:r>
        <w:t xml:space="preserve">with staff titles that correspond to titles being used in the program, as well as to facilitate decision-making about the structure of the site visits.  </w:t>
      </w:r>
    </w:p>
    <w:p w:rsidR="00057166" w:rsidRDefault="00057166" w:rsidP="00984CA2">
      <w:pPr>
        <w:rPr>
          <w:b/>
          <w:i/>
        </w:rPr>
      </w:pPr>
    </w:p>
    <w:p w:rsidR="00057166" w:rsidRDefault="00057166" w:rsidP="00984CA2">
      <w:pPr>
        <w:rPr>
          <w:b/>
          <w:i/>
        </w:rPr>
      </w:pPr>
    </w:p>
    <w:p w:rsidR="00246BF6" w:rsidRPr="00177982" w:rsidRDefault="00984CA2" w:rsidP="00750772">
      <w:pPr>
        <w:spacing w:after="120"/>
        <w:rPr>
          <w:b/>
          <w:i/>
        </w:rPr>
      </w:pPr>
      <w:r>
        <w:rPr>
          <w:b/>
          <w:i/>
        </w:rPr>
        <w:t>Universe of Data Collection Efforts</w:t>
      </w:r>
      <w:r w:rsidR="00F0559F">
        <w:rPr>
          <w:b/>
          <w:i/>
        </w:rPr>
        <w:t xml:space="preserve"> </w:t>
      </w:r>
    </w:p>
    <w:p w:rsidR="006B0B0A" w:rsidRDefault="007B66AF" w:rsidP="007B66AF">
      <w:r>
        <w:t xml:space="preserve">The instruments to be used </w:t>
      </w:r>
      <w:r w:rsidR="00F81611">
        <w:t>for collect</w:t>
      </w:r>
      <w:r w:rsidR="005F1C12">
        <w:t>ing</w:t>
      </w:r>
      <w:r w:rsidR="00F81611">
        <w:t xml:space="preserve"> data </w:t>
      </w:r>
      <w:r>
        <w:t xml:space="preserve">are as follows: </w:t>
      </w:r>
    </w:p>
    <w:p w:rsidR="006B0B0A" w:rsidRDefault="006B0B0A" w:rsidP="007B66AF"/>
    <w:p w:rsidR="006B0B0A" w:rsidRPr="00246BF6" w:rsidRDefault="006B0B0A" w:rsidP="006B0B0A">
      <w:pPr>
        <w:pStyle w:val="ColorfulList-Accent11"/>
        <w:numPr>
          <w:ilvl w:val="0"/>
          <w:numId w:val="32"/>
        </w:numPr>
        <w:rPr>
          <w:rFonts w:ascii="Times New Roman" w:hAnsi="Times New Roman"/>
          <w:sz w:val="24"/>
          <w:szCs w:val="24"/>
        </w:rPr>
      </w:pPr>
      <w:r w:rsidRPr="00246BF6">
        <w:rPr>
          <w:rFonts w:ascii="Times New Roman" w:hAnsi="Times New Roman"/>
          <w:sz w:val="24"/>
          <w:szCs w:val="24"/>
        </w:rPr>
        <w:t xml:space="preserve">Telephone </w:t>
      </w:r>
      <w:r w:rsidR="006E65E7">
        <w:rPr>
          <w:rFonts w:ascii="Times New Roman" w:hAnsi="Times New Roman"/>
          <w:sz w:val="24"/>
          <w:szCs w:val="24"/>
        </w:rPr>
        <w:t>Survey</w:t>
      </w:r>
      <w:r w:rsidR="006E65E7" w:rsidRPr="00246BF6">
        <w:rPr>
          <w:rFonts w:ascii="Times New Roman" w:hAnsi="Times New Roman"/>
          <w:sz w:val="24"/>
          <w:szCs w:val="24"/>
        </w:rPr>
        <w:t xml:space="preserve"> </w:t>
      </w:r>
      <w:r w:rsidRPr="00246BF6">
        <w:rPr>
          <w:rFonts w:ascii="Times New Roman" w:hAnsi="Times New Roman"/>
          <w:sz w:val="24"/>
          <w:szCs w:val="24"/>
        </w:rPr>
        <w:t>Recruitment Script (A-</w:t>
      </w:r>
      <w:r w:rsidR="007B3125">
        <w:rPr>
          <w:rFonts w:ascii="Times New Roman" w:hAnsi="Times New Roman"/>
          <w:sz w:val="24"/>
          <w:szCs w:val="24"/>
        </w:rPr>
        <w:t>2</w:t>
      </w:r>
      <w:r w:rsidRPr="00246BF6">
        <w:rPr>
          <w:rFonts w:ascii="Times New Roman" w:hAnsi="Times New Roman"/>
          <w:sz w:val="24"/>
          <w:szCs w:val="24"/>
        </w:rPr>
        <w:t xml:space="preserve">): To </w:t>
      </w:r>
      <w:r w:rsidR="00403963">
        <w:rPr>
          <w:rFonts w:ascii="Times New Roman" w:hAnsi="Times New Roman"/>
          <w:sz w:val="24"/>
          <w:szCs w:val="24"/>
        </w:rPr>
        <w:t xml:space="preserve">speak </w:t>
      </w:r>
      <w:r w:rsidRPr="00246BF6">
        <w:rPr>
          <w:rFonts w:ascii="Times New Roman" w:hAnsi="Times New Roman"/>
          <w:sz w:val="24"/>
          <w:szCs w:val="24"/>
        </w:rPr>
        <w:t xml:space="preserve">with program directors </w:t>
      </w:r>
      <w:proofErr w:type="gramStart"/>
      <w:r w:rsidR="00403963">
        <w:rPr>
          <w:rFonts w:ascii="Times New Roman" w:hAnsi="Times New Roman"/>
          <w:sz w:val="24"/>
          <w:szCs w:val="24"/>
        </w:rPr>
        <w:t>who</w:t>
      </w:r>
      <w:proofErr w:type="gramEnd"/>
      <w:r w:rsidR="00403963">
        <w:rPr>
          <w:rFonts w:ascii="Times New Roman" w:hAnsi="Times New Roman"/>
          <w:sz w:val="24"/>
          <w:szCs w:val="24"/>
        </w:rPr>
        <w:t xml:space="preserve"> were sent a </w:t>
      </w:r>
      <w:r w:rsidR="0080293B">
        <w:rPr>
          <w:rFonts w:ascii="Times New Roman" w:hAnsi="Times New Roman"/>
          <w:sz w:val="24"/>
          <w:szCs w:val="24"/>
        </w:rPr>
        <w:t>p</w:t>
      </w:r>
      <w:r w:rsidRPr="00246BF6">
        <w:rPr>
          <w:rFonts w:ascii="Times New Roman" w:hAnsi="Times New Roman"/>
          <w:sz w:val="24"/>
          <w:szCs w:val="24"/>
        </w:rPr>
        <w:t xml:space="preserve">rogram </w:t>
      </w:r>
      <w:r w:rsidR="0080293B">
        <w:rPr>
          <w:rFonts w:ascii="Times New Roman" w:hAnsi="Times New Roman"/>
          <w:sz w:val="24"/>
          <w:szCs w:val="24"/>
        </w:rPr>
        <w:t>r</w:t>
      </w:r>
      <w:r w:rsidRPr="00246BF6">
        <w:rPr>
          <w:rFonts w:ascii="Times New Roman" w:hAnsi="Times New Roman"/>
          <w:sz w:val="24"/>
          <w:szCs w:val="24"/>
        </w:rPr>
        <w:t xml:space="preserve">ecruitment </w:t>
      </w:r>
      <w:r w:rsidR="0080293B">
        <w:rPr>
          <w:rFonts w:ascii="Times New Roman" w:hAnsi="Times New Roman"/>
          <w:sz w:val="24"/>
          <w:szCs w:val="24"/>
        </w:rPr>
        <w:t>l</w:t>
      </w:r>
      <w:r w:rsidRPr="00246BF6">
        <w:rPr>
          <w:rFonts w:ascii="Times New Roman" w:hAnsi="Times New Roman"/>
          <w:sz w:val="24"/>
          <w:szCs w:val="24"/>
        </w:rPr>
        <w:t>etter</w:t>
      </w:r>
      <w:r w:rsidR="006E65E7">
        <w:rPr>
          <w:rFonts w:ascii="Times New Roman" w:hAnsi="Times New Roman"/>
          <w:sz w:val="24"/>
          <w:szCs w:val="24"/>
        </w:rPr>
        <w:t>, determine the appropriate survey respondent,</w:t>
      </w:r>
      <w:r w:rsidRPr="00246BF6">
        <w:rPr>
          <w:rFonts w:ascii="Times New Roman" w:hAnsi="Times New Roman"/>
          <w:sz w:val="24"/>
          <w:szCs w:val="24"/>
        </w:rPr>
        <w:t xml:space="preserve"> and schedule a time for the telephone </w:t>
      </w:r>
      <w:r w:rsidR="006E65E7">
        <w:rPr>
          <w:rFonts w:ascii="Times New Roman" w:hAnsi="Times New Roman"/>
          <w:sz w:val="24"/>
          <w:szCs w:val="24"/>
        </w:rPr>
        <w:t>survey</w:t>
      </w:r>
      <w:r w:rsidRPr="00246BF6">
        <w:rPr>
          <w:rFonts w:ascii="Times New Roman" w:hAnsi="Times New Roman"/>
          <w:sz w:val="24"/>
          <w:szCs w:val="24"/>
        </w:rPr>
        <w:t>.</w:t>
      </w:r>
    </w:p>
    <w:p w:rsidR="006B0B0A" w:rsidRPr="00246BF6" w:rsidRDefault="006B0B0A" w:rsidP="006B0B0A">
      <w:pPr>
        <w:pStyle w:val="ColorfulList-Accent11"/>
        <w:rPr>
          <w:rFonts w:ascii="Times New Roman" w:hAnsi="Times New Roman"/>
          <w:sz w:val="24"/>
          <w:szCs w:val="24"/>
        </w:rPr>
      </w:pPr>
    </w:p>
    <w:p w:rsidR="006B0B0A" w:rsidRPr="00246BF6" w:rsidRDefault="00E242AA" w:rsidP="006B0B0A">
      <w:pPr>
        <w:pStyle w:val="ColorfulList-Accent11"/>
        <w:numPr>
          <w:ilvl w:val="0"/>
          <w:numId w:val="32"/>
        </w:numPr>
        <w:rPr>
          <w:rFonts w:ascii="Times New Roman" w:hAnsi="Times New Roman"/>
          <w:sz w:val="24"/>
          <w:szCs w:val="24"/>
        </w:rPr>
      </w:pPr>
      <w:r>
        <w:rPr>
          <w:rFonts w:ascii="Times New Roman" w:hAnsi="Times New Roman"/>
          <w:sz w:val="24"/>
          <w:szCs w:val="24"/>
        </w:rPr>
        <w:t xml:space="preserve">Telephone </w:t>
      </w:r>
      <w:r w:rsidR="006E65E7">
        <w:rPr>
          <w:rFonts w:ascii="Times New Roman" w:hAnsi="Times New Roman"/>
          <w:sz w:val="24"/>
          <w:szCs w:val="24"/>
        </w:rPr>
        <w:t xml:space="preserve">Survey </w:t>
      </w:r>
      <w:r>
        <w:rPr>
          <w:rFonts w:ascii="Times New Roman" w:hAnsi="Times New Roman"/>
          <w:sz w:val="24"/>
          <w:szCs w:val="24"/>
        </w:rPr>
        <w:t>Protocol</w:t>
      </w:r>
      <w:r w:rsidR="00F0304F">
        <w:rPr>
          <w:rFonts w:ascii="Times New Roman" w:hAnsi="Times New Roman"/>
          <w:sz w:val="24"/>
          <w:szCs w:val="24"/>
        </w:rPr>
        <w:t xml:space="preserve"> (</w:t>
      </w:r>
      <w:r w:rsidR="006B0B0A" w:rsidRPr="00246BF6">
        <w:rPr>
          <w:rFonts w:ascii="Times New Roman" w:hAnsi="Times New Roman"/>
          <w:sz w:val="24"/>
          <w:szCs w:val="24"/>
        </w:rPr>
        <w:t>A-</w:t>
      </w:r>
      <w:r w:rsidR="007B3125">
        <w:rPr>
          <w:rFonts w:ascii="Times New Roman" w:hAnsi="Times New Roman"/>
          <w:sz w:val="24"/>
          <w:szCs w:val="24"/>
        </w:rPr>
        <w:t>3</w:t>
      </w:r>
      <w:r w:rsidR="006B0B0A" w:rsidRPr="00246BF6">
        <w:rPr>
          <w:rFonts w:ascii="Times New Roman" w:hAnsi="Times New Roman"/>
          <w:sz w:val="24"/>
          <w:szCs w:val="24"/>
        </w:rPr>
        <w:t>): To collect from program directors or other relevant respondents information on their experience setting and imple</w:t>
      </w:r>
      <w:r>
        <w:rPr>
          <w:rFonts w:ascii="Times New Roman" w:hAnsi="Times New Roman"/>
          <w:sz w:val="24"/>
          <w:szCs w:val="24"/>
        </w:rPr>
        <w:t xml:space="preserve">menting school readiness goals </w:t>
      </w:r>
    </w:p>
    <w:p w:rsidR="006B0B0A" w:rsidRPr="00246BF6" w:rsidRDefault="006B0B0A" w:rsidP="006B0B0A">
      <w:r w:rsidRPr="00246BF6">
        <w:t xml:space="preserve"> </w:t>
      </w:r>
    </w:p>
    <w:p w:rsidR="006B0B0A" w:rsidRPr="00246BF6" w:rsidRDefault="00246BF6" w:rsidP="006B0B0A">
      <w:pPr>
        <w:pStyle w:val="ColorfulList-Accent11"/>
        <w:numPr>
          <w:ilvl w:val="0"/>
          <w:numId w:val="32"/>
        </w:numPr>
        <w:rPr>
          <w:rFonts w:ascii="Times New Roman" w:hAnsi="Times New Roman"/>
          <w:sz w:val="24"/>
          <w:szCs w:val="24"/>
        </w:rPr>
      </w:pPr>
      <w:r>
        <w:rPr>
          <w:rFonts w:ascii="Times New Roman" w:hAnsi="Times New Roman"/>
          <w:sz w:val="24"/>
          <w:szCs w:val="24"/>
        </w:rPr>
        <w:t xml:space="preserve">Interview </w:t>
      </w:r>
      <w:r w:rsidR="00E35D38">
        <w:rPr>
          <w:rFonts w:ascii="Times New Roman" w:hAnsi="Times New Roman"/>
          <w:sz w:val="24"/>
          <w:szCs w:val="24"/>
        </w:rPr>
        <w:t>Guide</w:t>
      </w:r>
      <w:r w:rsidR="00E637F8">
        <w:rPr>
          <w:rFonts w:ascii="Times New Roman" w:hAnsi="Times New Roman"/>
          <w:sz w:val="24"/>
          <w:szCs w:val="24"/>
        </w:rPr>
        <w:t xml:space="preserve"> for </w:t>
      </w:r>
      <w:r>
        <w:rPr>
          <w:rFonts w:ascii="Times New Roman" w:hAnsi="Times New Roman"/>
          <w:sz w:val="24"/>
          <w:szCs w:val="24"/>
        </w:rPr>
        <w:t xml:space="preserve">Program Directors and Managers </w:t>
      </w:r>
      <w:r w:rsidR="006B0B0A" w:rsidRPr="00246BF6">
        <w:rPr>
          <w:rFonts w:ascii="Times New Roman" w:hAnsi="Times New Roman"/>
          <w:sz w:val="24"/>
          <w:szCs w:val="24"/>
        </w:rPr>
        <w:t xml:space="preserve">(B-2): To follow-up with respondents from the telephone </w:t>
      </w:r>
      <w:r w:rsidR="006E65E7">
        <w:rPr>
          <w:rFonts w:ascii="Times New Roman" w:hAnsi="Times New Roman"/>
          <w:sz w:val="24"/>
          <w:szCs w:val="24"/>
        </w:rPr>
        <w:t>survey</w:t>
      </w:r>
      <w:r w:rsidR="006E65E7" w:rsidRPr="00246BF6">
        <w:rPr>
          <w:rFonts w:ascii="Times New Roman" w:hAnsi="Times New Roman"/>
          <w:sz w:val="24"/>
          <w:szCs w:val="24"/>
        </w:rPr>
        <w:t xml:space="preserve"> </w:t>
      </w:r>
      <w:r w:rsidR="006B0B0A" w:rsidRPr="00246BF6">
        <w:rPr>
          <w:rFonts w:ascii="Times New Roman" w:hAnsi="Times New Roman"/>
          <w:sz w:val="24"/>
          <w:szCs w:val="24"/>
        </w:rPr>
        <w:t xml:space="preserve">and </w:t>
      </w:r>
      <w:r w:rsidR="00623154">
        <w:rPr>
          <w:rFonts w:ascii="Times New Roman" w:hAnsi="Times New Roman"/>
          <w:sz w:val="24"/>
          <w:szCs w:val="24"/>
        </w:rPr>
        <w:t xml:space="preserve">other senior managers and </w:t>
      </w:r>
      <w:r w:rsidR="006B0B0A" w:rsidRPr="00246BF6">
        <w:rPr>
          <w:rFonts w:ascii="Times New Roman" w:hAnsi="Times New Roman"/>
          <w:sz w:val="24"/>
          <w:szCs w:val="24"/>
        </w:rPr>
        <w:t xml:space="preserve">collect more detailed information on their role and perceptions of </w:t>
      </w:r>
      <w:r w:rsidR="00272CE2">
        <w:rPr>
          <w:rFonts w:ascii="Times New Roman" w:hAnsi="Times New Roman"/>
          <w:sz w:val="24"/>
          <w:szCs w:val="24"/>
        </w:rPr>
        <w:t xml:space="preserve">setting and implementing </w:t>
      </w:r>
      <w:r w:rsidR="006B0B0A" w:rsidRPr="00246BF6">
        <w:rPr>
          <w:rFonts w:ascii="Times New Roman" w:hAnsi="Times New Roman"/>
          <w:sz w:val="24"/>
          <w:szCs w:val="24"/>
        </w:rPr>
        <w:t xml:space="preserve">school readiness goals process. </w:t>
      </w:r>
    </w:p>
    <w:p w:rsidR="006B0B0A" w:rsidRPr="00246BF6" w:rsidRDefault="006B0B0A" w:rsidP="006B0B0A"/>
    <w:p w:rsidR="006B0B0A" w:rsidRPr="00246BF6" w:rsidRDefault="00246BF6" w:rsidP="006B0B0A">
      <w:pPr>
        <w:pStyle w:val="ColorfulList-Accent11"/>
        <w:numPr>
          <w:ilvl w:val="0"/>
          <w:numId w:val="32"/>
        </w:numPr>
        <w:rPr>
          <w:rFonts w:ascii="Times New Roman" w:hAnsi="Times New Roman"/>
          <w:sz w:val="24"/>
          <w:szCs w:val="24"/>
        </w:rPr>
      </w:pPr>
      <w:r>
        <w:rPr>
          <w:rFonts w:ascii="Times New Roman" w:hAnsi="Times New Roman"/>
          <w:sz w:val="24"/>
          <w:szCs w:val="24"/>
        </w:rPr>
        <w:t xml:space="preserve">Interview </w:t>
      </w:r>
      <w:r w:rsidR="00E35D38">
        <w:rPr>
          <w:rFonts w:ascii="Times New Roman" w:hAnsi="Times New Roman"/>
          <w:sz w:val="24"/>
          <w:szCs w:val="24"/>
        </w:rPr>
        <w:t>Guide</w:t>
      </w:r>
      <w:r w:rsidR="00E637F8">
        <w:rPr>
          <w:rFonts w:ascii="Times New Roman" w:hAnsi="Times New Roman"/>
          <w:sz w:val="24"/>
          <w:szCs w:val="24"/>
        </w:rPr>
        <w:t xml:space="preserve"> for </w:t>
      </w:r>
      <w:r w:rsidR="00272CE2">
        <w:rPr>
          <w:rFonts w:ascii="Times New Roman" w:hAnsi="Times New Roman"/>
          <w:sz w:val="24"/>
          <w:szCs w:val="24"/>
        </w:rPr>
        <w:t>Other Managers, Coordinators and Specialists</w:t>
      </w:r>
      <w:r>
        <w:rPr>
          <w:rFonts w:ascii="Times New Roman" w:hAnsi="Times New Roman"/>
          <w:sz w:val="24"/>
          <w:szCs w:val="24"/>
        </w:rPr>
        <w:t xml:space="preserve"> </w:t>
      </w:r>
      <w:r w:rsidR="006B0B0A" w:rsidRPr="00246BF6">
        <w:rPr>
          <w:rFonts w:ascii="Times New Roman" w:hAnsi="Times New Roman"/>
          <w:sz w:val="24"/>
          <w:szCs w:val="24"/>
        </w:rPr>
        <w:t xml:space="preserve">(B-3): To collect information on their role and perceptions of setting and implementing school readiness goals. </w:t>
      </w:r>
    </w:p>
    <w:p w:rsidR="006B0B0A" w:rsidRPr="00246BF6" w:rsidRDefault="006B0B0A" w:rsidP="006B0B0A">
      <w:r w:rsidRPr="00246BF6">
        <w:t xml:space="preserve"> </w:t>
      </w:r>
    </w:p>
    <w:p w:rsidR="006B0B0A" w:rsidRPr="00246BF6" w:rsidRDefault="0009521D" w:rsidP="006B0B0A">
      <w:pPr>
        <w:pStyle w:val="ColorfulList-Accent11"/>
        <w:numPr>
          <w:ilvl w:val="0"/>
          <w:numId w:val="32"/>
        </w:numPr>
        <w:rPr>
          <w:rFonts w:ascii="Times New Roman" w:hAnsi="Times New Roman"/>
          <w:sz w:val="24"/>
          <w:szCs w:val="24"/>
        </w:rPr>
      </w:pPr>
      <w:r>
        <w:rPr>
          <w:rFonts w:ascii="Times New Roman" w:hAnsi="Times New Roman"/>
          <w:sz w:val="24"/>
          <w:szCs w:val="24"/>
        </w:rPr>
        <w:t xml:space="preserve">Interview </w:t>
      </w:r>
      <w:r w:rsidR="00E35D38">
        <w:rPr>
          <w:rFonts w:ascii="Times New Roman" w:hAnsi="Times New Roman"/>
          <w:sz w:val="24"/>
          <w:szCs w:val="24"/>
        </w:rPr>
        <w:t>Guide</w:t>
      </w:r>
      <w:r w:rsidR="00E637F8">
        <w:rPr>
          <w:rFonts w:ascii="Times New Roman" w:hAnsi="Times New Roman"/>
          <w:sz w:val="24"/>
          <w:szCs w:val="24"/>
        </w:rPr>
        <w:t xml:space="preserve"> for </w:t>
      </w:r>
      <w:r w:rsidR="006B0B0A" w:rsidRPr="00246BF6">
        <w:rPr>
          <w:rFonts w:ascii="Times New Roman" w:hAnsi="Times New Roman"/>
          <w:sz w:val="24"/>
          <w:szCs w:val="24"/>
        </w:rPr>
        <w:t>Staff (B-4): To collect information on their role and perceptions of setting and implementing school readiness goals.</w:t>
      </w:r>
    </w:p>
    <w:p w:rsidR="006B0B0A" w:rsidRPr="00246BF6" w:rsidRDefault="006B0B0A" w:rsidP="006B0B0A"/>
    <w:p w:rsidR="006B0B0A" w:rsidRPr="00246BF6" w:rsidRDefault="0009521D" w:rsidP="006B0B0A">
      <w:pPr>
        <w:pStyle w:val="ColorfulList-Accent11"/>
        <w:numPr>
          <w:ilvl w:val="0"/>
          <w:numId w:val="32"/>
        </w:numPr>
        <w:rPr>
          <w:rFonts w:ascii="Times New Roman" w:hAnsi="Times New Roman"/>
          <w:sz w:val="24"/>
          <w:szCs w:val="24"/>
        </w:rPr>
      </w:pPr>
      <w:r>
        <w:rPr>
          <w:rFonts w:ascii="Times New Roman" w:hAnsi="Times New Roman"/>
          <w:sz w:val="24"/>
          <w:szCs w:val="24"/>
        </w:rPr>
        <w:t xml:space="preserve">Interview </w:t>
      </w:r>
      <w:r w:rsidR="00E35D38">
        <w:rPr>
          <w:rFonts w:ascii="Times New Roman" w:hAnsi="Times New Roman"/>
          <w:sz w:val="24"/>
          <w:szCs w:val="24"/>
        </w:rPr>
        <w:t>Guide</w:t>
      </w:r>
      <w:r w:rsidR="00E637F8">
        <w:rPr>
          <w:rFonts w:ascii="Times New Roman" w:hAnsi="Times New Roman"/>
          <w:sz w:val="24"/>
          <w:szCs w:val="24"/>
        </w:rPr>
        <w:t xml:space="preserve"> for </w:t>
      </w:r>
      <w:r>
        <w:rPr>
          <w:rFonts w:ascii="Times New Roman" w:hAnsi="Times New Roman"/>
          <w:sz w:val="24"/>
          <w:szCs w:val="24"/>
        </w:rPr>
        <w:t xml:space="preserve">Governing Body or Policy Council Representatives </w:t>
      </w:r>
      <w:r w:rsidR="006B0B0A" w:rsidRPr="00246BF6">
        <w:rPr>
          <w:rFonts w:ascii="Times New Roman" w:hAnsi="Times New Roman"/>
          <w:sz w:val="24"/>
          <w:szCs w:val="24"/>
        </w:rPr>
        <w:t>(B-5): To collect information on their role and perceptions of setting and implementing school readiness goals.</w:t>
      </w:r>
    </w:p>
    <w:p w:rsidR="006B0B0A" w:rsidRPr="00246BF6" w:rsidRDefault="006B0B0A" w:rsidP="006B0B0A"/>
    <w:p w:rsidR="006B0B0A" w:rsidRPr="00246BF6" w:rsidRDefault="0009521D" w:rsidP="006B0B0A">
      <w:pPr>
        <w:pStyle w:val="ColorfulList-Accent11"/>
        <w:numPr>
          <w:ilvl w:val="0"/>
          <w:numId w:val="32"/>
        </w:numPr>
        <w:rPr>
          <w:rFonts w:ascii="Times New Roman" w:hAnsi="Times New Roman"/>
          <w:sz w:val="24"/>
          <w:szCs w:val="24"/>
        </w:rPr>
      </w:pPr>
      <w:r>
        <w:rPr>
          <w:rFonts w:ascii="Times New Roman" w:hAnsi="Times New Roman"/>
          <w:sz w:val="24"/>
          <w:szCs w:val="24"/>
        </w:rPr>
        <w:lastRenderedPageBreak/>
        <w:t xml:space="preserve">Interview </w:t>
      </w:r>
      <w:r w:rsidR="00E35D38">
        <w:rPr>
          <w:rFonts w:ascii="Times New Roman" w:hAnsi="Times New Roman"/>
          <w:sz w:val="24"/>
          <w:szCs w:val="24"/>
        </w:rPr>
        <w:t>Guide</w:t>
      </w:r>
      <w:r w:rsidR="00E637F8">
        <w:rPr>
          <w:rFonts w:ascii="Times New Roman" w:hAnsi="Times New Roman"/>
          <w:sz w:val="24"/>
          <w:szCs w:val="24"/>
        </w:rPr>
        <w:t xml:space="preserve"> for</w:t>
      </w:r>
      <w:r>
        <w:rPr>
          <w:rFonts w:ascii="Times New Roman" w:hAnsi="Times New Roman"/>
          <w:sz w:val="24"/>
          <w:szCs w:val="24"/>
        </w:rPr>
        <w:t xml:space="preserve"> </w:t>
      </w:r>
      <w:r w:rsidR="006B0B0A" w:rsidRPr="00246BF6">
        <w:rPr>
          <w:rFonts w:ascii="Times New Roman" w:hAnsi="Times New Roman"/>
          <w:sz w:val="24"/>
          <w:szCs w:val="24"/>
        </w:rPr>
        <w:t xml:space="preserve">Local Education Agency </w:t>
      </w:r>
      <w:r>
        <w:rPr>
          <w:rFonts w:ascii="Times New Roman" w:hAnsi="Times New Roman"/>
          <w:sz w:val="24"/>
          <w:szCs w:val="24"/>
        </w:rPr>
        <w:t>Representative</w:t>
      </w:r>
      <w:r w:rsidR="006B0B0A" w:rsidRPr="00246BF6">
        <w:rPr>
          <w:rFonts w:ascii="Times New Roman" w:hAnsi="Times New Roman"/>
          <w:sz w:val="24"/>
          <w:szCs w:val="24"/>
        </w:rPr>
        <w:t xml:space="preserve"> (B-6): To collect information on their role and perceptions of setting and implementing school readiness goals.</w:t>
      </w:r>
    </w:p>
    <w:p w:rsidR="00623154" w:rsidRPr="00246BF6" w:rsidRDefault="00623154" w:rsidP="00685454">
      <w:pPr>
        <w:pStyle w:val="ColorfulList-Accent11"/>
        <w:rPr>
          <w:rFonts w:ascii="Times New Roman" w:hAnsi="Times New Roman"/>
          <w:sz w:val="24"/>
          <w:szCs w:val="24"/>
        </w:rPr>
      </w:pPr>
    </w:p>
    <w:p w:rsidR="00623154" w:rsidRPr="00030366" w:rsidRDefault="00623154" w:rsidP="006B0B0A">
      <w:pPr>
        <w:pStyle w:val="ColorfulList-Accent11"/>
        <w:numPr>
          <w:ilvl w:val="0"/>
          <w:numId w:val="32"/>
        </w:numPr>
        <w:rPr>
          <w:rFonts w:ascii="Times New Roman" w:hAnsi="Times New Roman"/>
          <w:sz w:val="24"/>
          <w:szCs w:val="24"/>
        </w:rPr>
      </w:pPr>
      <w:r w:rsidRPr="009523A0">
        <w:rPr>
          <w:rFonts w:ascii="Times New Roman" w:hAnsi="Times New Roman"/>
          <w:sz w:val="24"/>
          <w:szCs w:val="24"/>
        </w:rPr>
        <w:t>Interview Guide for Parents (B-7): To collect information on their role and perceptions of setting and implementing school readiness goals.</w:t>
      </w:r>
      <w:r w:rsidR="009D7709">
        <w:rPr>
          <w:rFonts w:ascii="Times New Roman" w:hAnsi="Times New Roman"/>
          <w:sz w:val="24"/>
          <w:szCs w:val="24"/>
        </w:rPr>
        <w:t xml:space="preserve">  Attached to the Interview Guide is a Receipt of Payment documenting that </w:t>
      </w:r>
      <w:r w:rsidR="00C043F4">
        <w:rPr>
          <w:rFonts w:ascii="Times New Roman" w:hAnsi="Times New Roman"/>
          <w:sz w:val="24"/>
          <w:szCs w:val="24"/>
        </w:rPr>
        <w:t>respondents</w:t>
      </w:r>
      <w:r w:rsidR="009D7709">
        <w:rPr>
          <w:rFonts w:ascii="Times New Roman" w:hAnsi="Times New Roman"/>
          <w:sz w:val="24"/>
          <w:szCs w:val="24"/>
        </w:rPr>
        <w:t xml:space="preserve"> to parent interviews have been offered a token of appreciation for their participation. </w:t>
      </w:r>
    </w:p>
    <w:p w:rsidR="00623154" w:rsidRPr="00246BF6" w:rsidRDefault="00623154" w:rsidP="006B0B0A"/>
    <w:p w:rsidR="00272CE2" w:rsidRDefault="00272CE2" w:rsidP="006B0B0A">
      <w:pPr>
        <w:pStyle w:val="ColorfulList-Accent11"/>
        <w:numPr>
          <w:ilvl w:val="0"/>
          <w:numId w:val="32"/>
        </w:numPr>
        <w:rPr>
          <w:rFonts w:ascii="Times New Roman" w:hAnsi="Times New Roman"/>
          <w:sz w:val="24"/>
          <w:szCs w:val="24"/>
        </w:rPr>
      </w:pPr>
      <w:r>
        <w:rPr>
          <w:rFonts w:ascii="Times New Roman" w:hAnsi="Times New Roman"/>
          <w:sz w:val="24"/>
          <w:szCs w:val="24"/>
        </w:rPr>
        <w:t>Interview Protocol for AIAN Head Start Program Directors (</w:t>
      </w:r>
      <w:r w:rsidR="009D7709">
        <w:rPr>
          <w:rFonts w:ascii="Times New Roman" w:hAnsi="Times New Roman"/>
          <w:sz w:val="24"/>
          <w:szCs w:val="24"/>
        </w:rPr>
        <w:t>C</w:t>
      </w:r>
      <w:r>
        <w:rPr>
          <w:rFonts w:ascii="Times New Roman" w:hAnsi="Times New Roman"/>
          <w:sz w:val="24"/>
          <w:szCs w:val="24"/>
        </w:rPr>
        <w:t xml:space="preserve">).  To collect information on their role and perceptions of setting and implementing school readiness goals. </w:t>
      </w:r>
    </w:p>
    <w:p w:rsidR="003519DD" w:rsidRDefault="003519DD" w:rsidP="00CA2209">
      <w:pPr>
        <w:pStyle w:val="ListParagraph"/>
      </w:pPr>
    </w:p>
    <w:p w:rsidR="009A137A" w:rsidRDefault="00A851F2" w:rsidP="00A851F2">
      <w:pPr>
        <w:rPr>
          <w:b/>
          <w:i/>
        </w:rPr>
      </w:pPr>
      <w:r>
        <w:t>Instruments A-</w:t>
      </w:r>
      <w:r w:rsidR="009A137A">
        <w:t>2</w:t>
      </w:r>
      <w:r>
        <w:t xml:space="preserve"> </w:t>
      </w:r>
      <w:r w:rsidR="009A137A">
        <w:t xml:space="preserve">and </w:t>
      </w:r>
      <w:r>
        <w:t>A-</w:t>
      </w:r>
      <w:r w:rsidR="009A137A">
        <w:t>3</w:t>
      </w:r>
      <w:r>
        <w:t xml:space="preserve"> are provided </w:t>
      </w:r>
      <w:r w:rsidR="00C043F4">
        <w:t>as separate files, along with files containing other Telephone Survey materials (</w:t>
      </w:r>
      <w:r w:rsidR="00DE76C1">
        <w:t>a</w:t>
      </w:r>
      <w:r w:rsidR="009A137A">
        <w:t xml:space="preserve"> program recruitment letter (A-1)</w:t>
      </w:r>
      <w:r w:rsidR="00DE76C1">
        <w:t xml:space="preserve"> and telephone interview receipt of payment form (A-4)</w:t>
      </w:r>
      <w:r w:rsidR="00C043F4">
        <w:t>)</w:t>
      </w:r>
      <w:r>
        <w:t>.  Instruments B-</w:t>
      </w:r>
      <w:r w:rsidR="009A137A">
        <w:t>2</w:t>
      </w:r>
      <w:r>
        <w:t xml:space="preserve"> through B-</w:t>
      </w:r>
      <w:r w:rsidR="00C043F4">
        <w:t>7</w:t>
      </w:r>
      <w:r>
        <w:t xml:space="preserve"> </w:t>
      </w:r>
      <w:r w:rsidR="00C043F4">
        <w:t xml:space="preserve">also </w:t>
      </w:r>
      <w:r>
        <w:t xml:space="preserve">are provided </w:t>
      </w:r>
      <w:r w:rsidR="00C043F4">
        <w:t>as separate files</w:t>
      </w:r>
      <w:r w:rsidR="009A137A">
        <w:t xml:space="preserve">, along with </w:t>
      </w:r>
      <w:r w:rsidR="00C043F4">
        <w:t>other Site Visit materials (</w:t>
      </w:r>
      <w:r w:rsidR="009A137A">
        <w:t xml:space="preserve">the site visit recruitment letter (B-1) and </w:t>
      </w:r>
      <w:r w:rsidR="007B3125">
        <w:t>consent forms for site visit interviews (B-</w:t>
      </w:r>
      <w:r w:rsidR="009D7709">
        <w:t>8</w:t>
      </w:r>
      <w:r w:rsidR="0032395E">
        <w:t xml:space="preserve"> and B-</w:t>
      </w:r>
      <w:r w:rsidR="009D7709">
        <w:t>9</w:t>
      </w:r>
      <w:r w:rsidR="007B3125">
        <w:t>)</w:t>
      </w:r>
      <w:r w:rsidR="00C043F4">
        <w:t>)</w:t>
      </w:r>
      <w:r w:rsidR="007B3125">
        <w:t xml:space="preserve">. </w:t>
      </w:r>
      <w:r w:rsidR="009A137A">
        <w:t xml:space="preserve">Spanish translations of the parent </w:t>
      </w:r>
      <w:r w:rsidR="007B3125">
        <w:t xml:space="preserve">interview, receipt of payment form and </w:t>
      </w:r>
      <w:r w:rsidR="0032395E">
        <w:t xml:space="preserve">parent </w:t>
      </w:r>
      <w:r w:rsidR="007B3125">
        <w:t xml:space="preserve">consent form </w:t>
      </w:r>
      <w:r w:rsidR="009A137A">
        <w:t>will be prepared</w:t>
      </w:r>
      <w:r w:rsidR="005E699C">
        <w:t xml:space="preserve"> and used with Spanish speaking parents who lack English language proficiency</w:t>
      </w:r>
      <w:r w:rsidR="009A137A">
        <w:t xml:space="preserve">. </w:t>
      </w:r>
      <w:r w:rsidR="00C043F4">
        <w:t xml:space="preserve">The Interview Protocol for AIAN Head Start Program Directors (C) is also a separate file. </w:t>
      </w:r>
    </w:p>
    <w:p w:rsidR="009A137A" w:rsidRDefault="009A137A" w:rsidP="00A851F2">
      <w:pPr>
        <w:rPr>
          <w:b/>
          <w:i/>
        </w:rPr>
      </w:pPr>
    </w:p>
    <w:p w:rsidR="00984CA2" w:rsidRPr="005F1C12" w:rsidRDefault="009A137A" w:rsidP="00D7006D">
      <w:pPr>
        <w:pStyle w:val="CommentText"/>
        <w:rPr>
          <w:b/>
          <w:i/>
        </w:rPr>
      </w:pPr>
      <w:r w:rsidRPr="009A137A">
        <w:rPr>
          <w:sz w:val="24"/>
          <w:szCs w:val="24"/>
        </w:rPr>
        <w:t>A</w:t>
      </w:r>
      <w:r w:rsidR="005F1C12" w:rsidRPr="009A137A">
        <w:rPr>
          <w:sz w:val="24"/>
          <w:szCs w:val="24"/>
        </w:rPr>
        <w:t xml:space="preserve"> Program Observational Sheet</w:t>
      </w:r>
      <w:r w:rsidRPr="009A137A">
        <w:rPr>
          <w:sz w:val="24"/>
          <w:szCs w:val="24"/>
        </w:rPr>
        <w:t>,</w:t>
      </w:r>
      <w:r w:rsidR="005F1C12" w:rsidRPr="009A137A">
        <w:rPr>
          <w:sz w:val="24"/>
          <w:szCs w:val="24"/>
        </w:rPr>
        <w:t xml:space="preserve"> </w:t>
      </w:r>
      <w:r w:rsidRPr="009A137A">
        <w:rPr>
          <w:sz w:val="24"/>
          <w:szCs w:val="24"/>
        </w:rPr>
        <w:t xml:space="preserve">which will be used by the research team for collecting descriptive information of the program organization and operational context while on site, </w:t>
      </w:r>
      <w:r w:rsidR="005F1C12" w:rsidRPr="009A137A">
        <w:rPr>
          <w:sz w:val="24"/>
          <w:szCs w:val="24"/>
        </w:rPr>
        <w:t>is provided in a separate appendix (</w:t>
      </w:r>
      <w:r w:rsidR="00A97BB4">
        <w:rPr>
          <w:sz w:val="24"/>
          <w:szCs w:val="24"/>
        </w:rPr>
        <w:t>D</w:t>
      </w:r>
      <w:r w:rsidR="005F1C12" w:rsidRPr="009A137A">
        <w:rPr>
          <w:sz w:val="24"/>
          <w:szCs w:val="24"/>
        </w:rPr>
        <w:t>)</w:t>
      </w:r>
      <w:r w:rsidR="002C4329" w:rsidRPr="009A137A">
        <w:rPr>
          <w:sz w:val="24"/>
          <w:szCs w:val="24"/>
        </w:rPr>
        <w:t>.</w:t>
      </w:r>
      <w:r w:rsidRPr="009A137A">
        <w:rPr>
          <w:sz w:val="24"/>
          <w:szCs w:val="24"/>
        </w:rPr>
        <w:t xml:space="preserve"> The Program Observation Sheet, completed through direct observation, </w:t>
      </w:r>
      <w:r w:rsidRPr="00B21E20">
        <w:rPr>
          <w:sz w:val="24"/>
          <w:szCs w:val="24"/>
        </w:rPr>
        <w:t xml:space="preserve">does not represent a burden to </w:t>
      </w:r>
      <w:r w:rsidRPr="002A17DB">
        <w:rPr>
          <w:sz w:val="24"/>
          <w:szCs w:val="24"/>
        </w:rPr>
        <w:t xml:space="preserve">staff and is therefore not included as an information collection instrument in the burden table in section A.12. </w:t>
      </w:r>
      <w:r w:rsidRPr="009A137A">
        <w:rPr>
          <w:sz w:val="24"/>
          <w:szCs w:val="24"/>
        </w:rPr>
        <w:t xml:space="preserve"> This is consistent with 44 USC, 5 CFR Ch. 11 (1-1-99 Edition), 1320.3, which indicates that “information” does not generally include </w:t>
      </w:r>
      <w:r w:rsidRPr="009A137A">
        <w:rPr>
          <w:iCs/>
          <w:sz w:val="24"/>
          <w:szCs w:val="24"/>
        </w:rPr>
        <w:t xml:space="preserve">facts or opinions obtained through direct observation by an employee or agent of the sponsoring agency or through </w:t>
      </w:r>
      <w:proofErr w:type="spellStart"/>
      <w:r w:rsidRPr="009A137A">
        <w:rPr>
          <w:iCs/>
          <w:sz w:val="24"/>
          <w:szCs w:val="24"/>
        </w:rPr>
        <w:t>nonstandardized</w:t>
      </w:r>
      <w:proofErr w:type="spellEnd"/>
      <w:r w:rsidRPr="009A137A">
        <w:rPr>
          <w:iCs/>
          <w:sz w:val="24"/>
          <w:szCs w:val="24"/>
        </w:rPr>
        <w:t xml:space="preserve"> oral communication in connection with such direct observations.</w:t>
      </w:r>
      <w:r w:rsidRPr="009A137A">
        <w:rPr>
          <w:sz w:val="24"/>
          <w:szCs w:val="24"/>
        </w:rPr>
        <w:t xml:space="preserve"> </w:t>
      </w:r>
      <w:r w:rsidR="002C4329">
        <w:t xml:space="preserve"> </w:t>
      </w:r>
    </w:p>
    <w:p w:rsidR="00945CD6" w:rsidRPr="009332A3" w:rsidRDefault="00292B70" w:rsidP="009332A3">
      <w:pPr>
        <w:pStyle w:val="Heading1"/>
        <w:rPr>
          <w:rFonts w:ascii="Times New Roman" w:hAnsi="Times New Roman"/>
          <w:sz w:val="24"/>
        </w:rPr>
      </w:pPr>
      <w:bookmarkStart w:id="4" w:name="_Toc352834380"/>
      <w:r w:rsidRPr="009332A3">
        <w:rPr>
          <w:rFonts w:ascii="Times New Roman" w:hAnsi="Times New Roman"/>
          <w:sz w:val="24"/>
        </w:rPr>
        <w:t xml:space="preserve">A3. </w:t>
      </w:r>
      <w:r w:rsidR="00945CD6" w:rsidRPr="009332A3">
        <w:rPr>
          <w:rFonts w:ascii="Times New Roman" w:hAnsi="Times New Roman"/>
          <w:sz w:val="24"/>
        </w:rPr>
        <w:t>Improved Information Technology to Reduce Burden</w:t>
      </w:r>
      <w:bookmarkEnd w:id="4"/>
    </w:p>
    <w:p w:rsidR="0009521D" w:rsidRPr="0072204D" w:rsidRDefault="0009521D" w:rsidP="00292B70">
      <w:pPr>
        <w:rPr>
          <w:b/>
        </w:rPr>
      </w:pPr>
    </w:p>
    <w:p w:rsidR="00B94A60" w:rsidRDefault="00B94A60" w:rsidP="00626604">
      <w:r>
        <w:t xml:space="preserve">Whenever possible, information technology will be used in data collection efforts to reduce burden on </w:t>
      </w:r>
      <w:r w:rsidR="00F81611">
        <w:t xml:space="preserve">study </w:t>
      </w:r>
      <w:r>
        <w:t xml:space="preserve">participants. </w:t>
      </w:r>
      <w:r w:rsidR="00626604" w:rsidRPr="000459CF">
        <w:t xml:space="preserve">To facilitate data collection, entry, and management, </w:t>
      </w:r>
      <w:r w:rsidR="00626604">
        <w:t xml:space="preserve">the </w:t>
      </w:r>
      <w:r w:rsidR="00626604" w:rsidRPr="000459CF">
        <w:t xml:space="preserve">final </w:t>
      </w:r>
      <w:r w:rsidR="00626604">
        <w:t xml:space="preserve">telephone </w:t>
      </w:r>
      <w:r w:rsidR="00375063">
        <w:t>survey</w:t>
      </w:r>
      <w:r w:rsidR="00375063" w:rsidRPr="000459CF">
        <w:t xml:space="preserve"> </w:t>
      </w:r>
      <w:r w:rsidR="00626604" w:rsidRPr="000459CF">
        <w:t xml:space="preserve">protocol will be programmed into </w:t>
      </w:r>
      <w:r w:rsidR="00626604">
        <w:t>a web application</w:t>
      </w:r>
      <w:r w:rsidR="000E3564">
        <w:t xml:space="preserve">, such as </w:t>
      </w:r>
      <w:r w:rsidR="00375063">
        <w:t>Check Box</w:t>
      </w:r>
      <w:r w:rsidR="000E3564">
        <w:t xml:space="preserve">, </w:t>
      </w:r>
      <w:r w:rsidR="00626604" w:rsidRPr="000459CF">
        <w:t xml:space="preserve">that interviewers </w:t>
      </w:r>
      <w:r w:rsidR="00626604">
        <w:t>will</w:t>
      </w:r>
      <w:r w:rsidR="00626604" w:rsidRPr="000459CF">
        <w:t xml:space="preserve"> access on a secure server</w:t>
      </w:r>
      <w:r w:rsidR="00240E3E">
        <w:t xml:space="preserve"> maintained by the study contractor</w:t>
      </w:r>
      <w:r w:rsidR="00626604" w:rsidRPr="000459CF">
        <w:t xml:space="preserve">. This application will prompt interviewers through the protocol and also serve as the mechanism by which telephone interviewers record responses to both closed-ended and open-ended </w:t>
      </w:r>
      <w:r w:rsidR="00375063">
        <w:t>survey items</w:t>
      </w:r>
      <w:r w:rsidR="00626604" w:rsidRPr="000459CF">
        <w:t xml:space="preserve">. </w:t>
      </w:r>
      <w:r w:rsidR="00DD0CF4">
        <w:t xml:space="preserve">Because the </w:t>
      </w:r>
      <w:r w:rsidR="00626604">
        <w:t xml:space="preserve">site </w:t>
      </w:r>
      <w:r w:rsidR="00DD0CF4">
        <w:t xml:space="preserve">visit data collection involves </w:t>
      </w:r>
      <w:r w:rsidR="00030366">
        <w:t xml:space="preserve">in-person interviews and </w:t>
      </w:r>
      <w:r w:rsidR="00DD0CF4">
        <w:t xml:space="preserve">more open-ended questions than the phone </w:t>
      </w:r>
      <w:r w:rsidR="00375063">
        <w:t>survey</w:t>
      </w:r>
      <w:r w:rsidR="00DD0CF4">
        <w:t xml:space="preserve">, data will be captured differently than in the telephone </w:t>
      </w:r>
      <w:r w:rsidR="00375063">
        <w:t>survey</w:t>
      </w:r>
      <w:r w:rsidR="00DD0CF4">
        <w:t xml:space="preserve">. Each site visit interview </w:t>
      </w:r>
      <w:r w:rsidR="00375063">
        <w:t xml:space="preserve">session </w:t>
      </w:r>
      <w:r w:rsidR="00DD0CF4">
        <w:t>will involve two members of the study team, with one asking questions and a second typing</w:t>
      </w:r>
      <w:r w:rsidR="009812B1">
        <w:t xml:space="preserve"> close to verbatim notes capturing key quotes and responses on a laptop. An audio recorder will be used with permission to later confirm direct quotes or other details </w:t>
      </w:r>
      <w:r w:rsidR="00CF262E">
        <w:t>from</w:t>
      </w:r>
      <w:r w:rsidR="009812B1">
        <w:t xml:space="preserve"> the </w:t>
      </w:r>
      <w:r w:rsidR="00CF262E">
        <w:t>sessions</w:t>
      </w:r>
      <w:r w:rsidR="009812B1">
        <w:t xml:space="preserve">. </w:t>
      </w:r>
    </w:p>
    <w:p w:rsidR="00626604" w:rsidRPr="008A699F" w:rsidRDefault="00626604" w:rsidP="00B94A60"/>
    <w:p w:rsidR="00B94A60" w:rsidRDefault="00B94A60" w:rsidP="00B94A60">
      <w:r>
        <w:lastRenderedPageBreak/>
        <w:t xml:space="preserve">Notes taken during the interviews will be analyzed later with the assistance of </w:t>
      </w:r>
      <w:proofErr w:type="spellStart"/>
      <w:r>
        <w:t>NVivo</w:t>
      </w:r>
      <w:proofErr w:type="spellEnd"/>
      <w:r>
        <w:t xml:space="preserve"> </w:t>
      </w:r>
      <w:r w:rsidR="00626604">
        <w:t xml:space="preserve">(QSR International, Inc), a software package that is </w:t>
      </w:r>
      <w:r w:rsidRPr="008A699F">
        <w:t xml:space="preserve">designed to assist in managing, structuring, and analyzing qualitative data such as interview text through functions that support the classification, sorting, and comparing of text units. Because sections of text can be coded with multiple codes and cross-referenced, and intersections and unions of codes can be easily classified for analysis, the analyst can conduct queries that analyze patterns and associations within individual interviews and across interviews. Functions that allow for research notes to be attached to sections of text in an ongoing fashion aid with the identification of and analysis of emergent themes and analytic ideas.  </w:t>
      </w:r>
    </w:p>
    <w:p w:rsidR="00945CD6" w:rsidRDefault="00292B70" w:rsidP="009332A3">
      <w:pPr>
        <w:pStyle w:val="Heading1"/>
        <w:rPr>
          <w:rFonts w:ascii="Times New Roman" w:hAnsi="Times New Roman"/>
          <w:sz w:val="24"/>
        </w:rPr>
      </w:pPr>
      <w:bookmarkStart w:id="5" w:name="_Toc352834381"/>
      <w:r w:rsidRPr="009332A3">
        <w:rPr>
          <w:rFonts w:ascii="Times New Roman" w:hAnsi="Times New Roman"/>
          <w:sz w:val="24"/>
        </w:rPr>
        <w:t xml:space="preserve">A4. </w:t>
      </w:r>
      <w:r w:rsidR="00945CD6" w:rsidRPr="009332A3">
        <w:rPr>
          <w:rFonts w:ascii="Times New Roman" w:hAnsi="Times New Roman"/>
          <w:sz w:val="24"/>
        </w:rPr>
        <w:t>Efforts to Identify Duplication</w:t>
      </w:r>
      <w:bookmarkEnd w:id="5"/>
    </w:p>
    <w:p w:rsidR="009332A3" w:rsidRPr="009332A3" w:rsidRDefault="009332A3" w:rsidP="009332A3"/>
    <w:p w:rsidR="00E6632D" w:rsidRDefault="00B94A60" w:rsidP="00E663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8227C">
        <w:rPr>
          <w:szCs w:val="22"/>
        </w:rPr>
        <w:t>The data requirements for th</w:t>
      </w:r>
      <w:r>
        <w:rPr>
          <w:szCs w:val="22"/>
        </w:rPr>
        <w:t xml:space="preserve">is study </w:t>
      </w:r>
      <w:r w:rsidRPr="0068227C">
        <w:rPr>
          <w:szCs w:val="22"/>
        </w:rPr>
        <w:t xml:space="preserve">have been carefully reviewed to determine whether the needed information is already available. </w:t>
      </w:r>
      <w:r w:rsidR="00E6632D" w:rsidRPr="0068227C">
        <w:rPr>
          <w:szCs w:val="22"/>
        </w:rPr>
        <w:t xml:space="preserve">Efforts to identify duplication included a review of </w:t>
      </w:r>
      <w:r w:rsidR="00E6632D">
        <w:rPr>
          <w:szCs w:val="22"/>
        </w:rPr>
        <w:t xml:space="preserve">OHS </w:t>
      </w:r>
      <w:r w:rsidR="00E6632D" w:rsidRPr="0068227C">
        <w:rPr>
          <w:szCs w:val="22"/>
        </w:rPr>
        <w:t xml:space="preserve">reporting requirements, </w:t>
      </w:r>
      <w:r w:rsidR="00E6632D">
        <w:rPr>
          <w:szCs w:val="22"/>
        </w:rPr>
        <w:t xml:space="preserve">protocols used in monitoring visits, and information collected by regional OHS staff.  </w:t>
      </w:r>
      <w:r w:rsidR="00E6632D" w:rsidRPr="0068227C">
        <w:rPr>
          <w:szCs w:val="22"/>
        </w:rPr>
        <w:t xml:space="preserve">Although </w:t>
      </w:r>
      <w:r w:rsidR="00E6632D">
        <w:rPr>
          <w:szCs w:val="22"/>
        </w:rPr>
        <w:t xml:space="preserve">monitoring review teams and OHS regional staff have asked some questions about school readiness goals, </w:t>
      </w:r>
      <w:r w:rsidR="00912996">
        <w:rPr>
          <w:szCs w:val="22"/>
        </w:rPr>
        <w:t>these questions do not address the scope of issues addressed in this study and are not asked of as many different populations of stakeholders (e.g., teaching staff, community partners, parents)</w:t>
      </w:r>
      <w:r w:rsidR="00A405A0">
        <w:rPr>
          <w:szCs w:val="22"/>
        </w:rPr>
        <w:t>.</w:t>
      </w:r>
      <w:r w:rsidR="00912996">
        <w:rPr>
          <w:szCs w:val="22"/>
        </w:rPr>
        <w:t xml:space="preserve"> </w:t>
      </w:r>
      <w:r w:rsidR="00E6632D" w:rsidRPr="0068227C">
        <w:rPr>
          <w:szCs w:val="22"/>
        </w:rPr>
        <w:t>It was concluded that no existing data sources can provide data needed to answer the study’s research questions</w:t>
      </w:r>
      <w:r w:rsidR="00E6632D">
        <w:rPr>
          <w:szCs w:val="22"/>
        </w:rPr>
        <w:t>.</w:t>
      </w:r>
    </w:p>
    <w:p w:rsidR="00945CD6" w:rsidRPr="009332A3" w:rsidRDefault="00292B70" w:rsidP="009332A3">
      <w:pPr>
        <w:pStyle w:val="Heading1"/>
        <w:rPr>
          <w:rFonts w:ascii="Times New Roman" w:hAnsi="Times New Roman"/>
          <w:sz w:val="24"/>
        </w:rPr>
      </w:pPr>
      <w:bookmarkStart w:id="6" w:name="_Toc352834382"/>
      <w:r w:rsidRPr="009332A3">
        <w:rPr>
          <w:rFonts w:ascii="Times New Roman" w:hAnsi="Times New Roman"/>
          <w:sz w:val="24"/>
        </w:rPr>
        <w:t xml:space="preserve">A5. </w:t>
      </w:r>
      <w:r w:rsidR="00945CD6" w:rsidRPr="009332A3">
        <w:rPr>
          <w:rFonts w:ascii="Times New Roman" w:hAnsi="Times New Roman"/>
          <w:sz w:val="24"/>
        </w:rPr>
        <w:t>Involvement of Small Organizations</w:t>
      </w:r>
      <w:bookmarkEnd w:id="6"/>
    </w:p>
    <w:p w:rsidR="00DE6D31" w:rsidRDefault="00DE6D31" w:rsidP="00DE6D31">
      <w:pPr>
        <w:tabs>
          <w:tab w:val="left" w:pos="-720"/>
        </w:tabs>
        <w:suppressAutoHyphens/>
        <w:rPr>
          <w:spacing w:val="-3"/>
        </w:rPr>
      </w:pPr>
    </w:p>
    <w:p w:rsidR="00DE6D31" w:rsidRDefault="00DE6D31" w:rsidP="00DE6D31">
      <w:pPr>
        <w:tabs>
          <w:tab w:val="left" w:pos="-720"/>
        </w:tabs>
        <w:suppressAutoHyphens/>
        <w:rPr>
          <w:spacing w:val="-3"/>
        </w:rPr>
      </w:pPr>
      <w:r w:rsidRPr="0068227C">
        <w:rPr>
          <w:spacing w:val="-3"/>
        </w:rPr>
        <w:t xml:space="preserve">Information being requested or required has been held to the minimum required for the intended use.  </w:t>
      </w:r>
      <w:r w:rsidR="004158D2">
        <w:rPr>
          <w:spacing w:val="-3"/>
        </w:rPr>
        <w:t xml:space="preserve">Most of the </w:t>
      </w:r>
      <w:r w:rsidR="00511C1D">
        <w:rPr>
          <w:spacing w:val="-3"/>
        </w:rPr>
        <w:t>90</w:t>
      </w:r>
      <w:r w:rsidR="004158D2">
        <w:rPr>
          <w:spacing w:val="-3"/>
        </w:rPr>
        <w:t xml:space="preserve"> organizations </w:t>
      </w:r>
      <w:r w:rsidR="00DE7B50">
        <w:rPr>
          <w:spacing w:val="-3"/>
        </w:rPr>
        <w:t xml:space="preserve">surveyed </w:t>
      </w:r>
      <w:r w:rsidR="004158D2">
        <w:rPr>
          <w:spacing w:val="-3"/>
        </w:rPr>
        <w:t>will be small organizations</w:t>
      </w:r>
      <w:r w:rsidR="00C625AD">
        <w:rPr>
          <w:spacing w:val="-3"/>
        </w:rPr>
        <w:t xml:space="preserve">, including community-based organizations (Community Action Agencies), other non-profit organizations, school districts, government agencies, and for-profit organizations.  </w:t>
      </w:r>
    </w:p>
    <w:p w:rsidR="00DE6D31" w:rsidRDefault="00DE6D31" w:rsidP="00DE6D31">
      <w:pPr>
        <w:tabs>
          <w:tab w:val="left" w:pos="-720"/>
        </w:tabs>
        <w:suppressAutoHyphens/>
        <w:rPr>
          <w:spacing w:val="-3"/>
        </w:rPr>
      </w:pPr>
    </w:p>
    <w:p w:rsidR="00DE6D31" w:rsidRDefault="00DE6D31" w:rsidP="00DE6D31">
      <w:pPr>
        <w:tabs>
          <w:tab w:val="left" w:pos="-720"/>
        </w:tabs>
        <w:suppressAutoHyphens/>
        <w:rPr>
          <w:spacing w:val="-3"/>
        </w:rPr>
      </w:pPr>
      <w:r>
        <w:rPr>
          <w:spacing w:val="-3"/>
        </w:rPr>
        <w:t xml:space="preserve">Burden will be minimized for respondents by restricting the interview length to the minimum required, by conducting </w:t>
      </w:r>
      <w:r w:rsidR="00240E3E">
        <w:rPr>
          <w:spacing w:val="-3"/>
        </w:rPr>
        <w:t xml:space="preserve">surveys and on-site </w:t>
      </w:r>
      <w:r>
        <w:rPr>
          <w:spacing w:val="-3"/>
        </w:rPr>
        <w:t>interviews,</w:t>
      </w:r>
      <w:r w:rsidR="000E2F8E">
        <w:rPr>
          <w:spacing w:val="-3"/>
        </w:rPr>
        <w:t xml:space="preserve"> </w:t>
      </w:r>
      <w:r w:rsidR="00DE76C1">
        <w:rPr>
          <w:spacing w:val="-3"/>
        </w:rPr>
        <w:t>at times convenient for the respondent,</w:t>
      </w:r>
      <w:r>
        <w:rPr>
          <w:spacing w:val="-3"/>
        </w:rPr>
        <w:t xml:space="preserve"> and by requiring no record-keeping or written responses.  </w:t>
      </w:r>
    </w:p>
    <w:p w:rsidR="00D90EF6" w:rsidRDefault="00D90EF6" w:rsidP="00CB2581">
      <w:pPr>
        <w:ind w:left="360"/>
      </w:pPr>
    </w:p>
    <w:p w:rsidR="00945CD6" w:rsidRPr="009332A3" w:rsidRDefault="00292B70" w:rsidP="009332A3">
      <w:pPr>
        <w:pStyle w:val="Heading1"/>
        <w:rPr>
          <w:rFonts w:ascii="Times New Roman" w:hAnsi="Times New Roman"/>
          <w:sz w:val="24"/>
        </w:rPr>
      </w:pPr>
      <w:bookmarkStart w:id="7" w:name="_Toc352834383"/>
      <w:r w:rsidRPr="009332A3">
        <w:rPr>
          <w:rFonts w:ascii="Times New Roman" w:hAnsi="Times New Roman"/>
          <w:sz w:val="24"/>
        </w:rPr>
        <w:t xml:space="preserve">A6. </w:t>
      </w:r>
      <w:r w:rsidR="00945CD6" w:rsidRPr="009332A3">
        <w:rPr>
          <w:rFonts w:ascii="Times New Roman" w:hAnsi="Times New Roman"/>
          <w:sz w:val="24"/>
        </w:rPr>
        <w:t>Consequences of Less Frequent Data Collection</w:t>
      </w:r>
      <w:bookmarkEnd w:id="7"/>
    </w:p>
    <w:p w:rsidR="002338AC" w:rsidRDefault="00C109E4" w:rsidP="009332A3">
      <w:r>
        <w:t xml:space="preserve">This is a one-time data collection. </w:t>
      </w:r>
    </w:p>
    <w:p w:rsidR="00945CD6" w:rsidRPr="009332A3" w:rsidRDefault="00292B70" w:rsidP="009332A3">
      <w:pPr>
        <w:pStyle w:val="Heading1"/>
        <w:rPr>
          <w:rFonts w:ascii="Times New Roman" w:hAnsi="Times New Roman"/>
          <w:sz w:val="24"/>
        </w:rPr>
      </w:pPr>
      <w:bookmarkStart w:id="8" w:name="_Toc352834384"/>
      <w:r w:rsidRPr="009332A3">
        <w:rPr>
          <w:rFonts w:ascii="Times New Roman" w:hAnsi="Times New Roman"/>
          <w:sz w:val="24"/>
        </w:rPr>
        <w:t xml:space="preserve">A7. </w:t>
      </w:r>
      <w:r w:rsidR="00945CD6" w:rsidRPr="009332A3">
        <w:rPr>
          <w:rFonts w:ascii="Times New Roman" w:hAnsi="Times New Roman"/>
          <w:sz w:val="24"/>
        </w:rPr>
        <w:t>Special Circumstances</w:t>
      </w:r>
      <w:bookmarkEnd w:id="8"/>
    </w:p>
    <w:p w:rsidR="002338AC" w:rsidRPr="00D52103" w:rsidRDefault="00D90EF6" w:rsidP="00D90EF6">
      <w:r w:rsidRPr="002C4329">
        <w:t>There are no special circumstances for the proposed data collection efforts.</w:t>
      </w:r>
    </w:p>
    <w:p w:rsidR="00D90EF6" w:rsidRPr="009332A3" w:rsidRDefault="00292B70" w:rsidP="009332A3">
      <w:pPr>
        <w:pStyle w:val="Heading1"/>
        <w:rPr>
          <w:rFonts w:ascii="Times New Roman" w:hAnsi="Times New Roman"/>
          <w:sz w:val="24"/>
        </w:rPr>
      </w:pPr>
      <w:bookmarkStart w:id="9" w:name="_Toc352834385"/>
      <w:r w:rsidRPr="009332A3">
        <w:rPr>
          <w:rFonts w:ascii="Times New Roman" w:hAnsi="Times New Roman"/>
          <w:sz w:val="24"/>
        </w:rPr>
        <w:t xml:space="preserve">A8. </w:t>
      </w:r>
      <w:r w:rsidR="00945CD6" w:rsidRPr="009332A3">
        <w:rPr>
          <w:rFonts w:ascii="Times New Roman" w:hAnsi="Times New Roman"/>
          <w:sz w:val="24"/>
        </w:rPr>
        <w:t>Federal Register Notice and Consultation</w:t>
      </w:r>
      <w:bookmarkEnd w:id="9"/>
    </w:p>
    <w:p w:rsidR="00CB2581" w:rsidRDefault="00CB2581" w:rsidP="00CB2581">
      <w:pPr>
        <w:rPr>
          <w:b/>
          <w:i/>
        </w:rPr>
      </w:pPr>
    </w:p>
    <w:p w:rsidR="00CB2581" w:rsidRPr="00B91D97" w:rsidRDefault="00B91D97" w:rsidP="00750772">
      <w:pPr>
        <w:spacing w:after="120"/>
        <w:rPr>
          <w:b/>
          <w:i/>
        </w:rPr>
      </w:pPr>
      <w:r w:rsidRPr="004B63ED">
        <w:rPr>
          <w:b/>
          <w:i/>
        </w:rPr>
        <w:t>Federal Register Notice and Comments</w:t>
      </w:r>
    </w:p>
    <w:p w:rsidR="00CB2581" w:rsidRDefault="008F10A2" w:rsidP="00BE4742">
      <w:pPr>
        <w:rPr>
          <w:i/>
        </w:rPr>
      </w:pPr>
      <w:proofErr w:type="gramStart"/>
      <w:r w:rsidRPr="00F4788E">
        <w:t>In accordance with the Paperwork Reduction Act of 1995 (Pub.</w:t>
      </w:r>
      <w:proofErr w:type="gramEnd"/>
      <w:r w:rsidRPr="00F4788E">
        <w:t xml:space="preserve">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published on </w:t>
      </w:r>
      <w:r w:rsidR="00C625AD">
        <w:lastRenderedPageBreak/>
        <w:t xml:space="preserve">January 16, 2013, </w:t>
      </w:r>
      <w:r w:rsidRPr="00553B19">
        <w:t xml:space="preserve">Volume </w:t>
      </w:r>
      <w:r w:rsidR="00C625AD" w:rsidRPr="00553B19">
        <w:t>78</w:t>
      </w:r>
      <w:r w:rsidRPr="00553B19">
        <w:t xml:space="preserve">, Number </w:t>
      </w:r>
      <w:r w:rsidR="00C625AD" w:rsidRPr="00553B19">
        <w:t>11</w:t>
      </w:r>
      <w:r w:rsidRPr="00553B19">
        <w:t xml:space="preserve">, page </w:t>
      </w:r>
      <w:r w:rsidR="00C625AD" w:rsidRPr="00553B19">
        <w:t>3,431</w:t>
      </w:r>
      <w:r w:rsidRPr="00553B19">
        <w:t xml:space="preserve"> and provided a sixty-day period for public comment.  A copy of this notice is attached as </w:t>
      </w:r>
      <w:r w:rsidR="002C4329" w:rsidRPr="00553B19">
        <w:t xml:space="preserve">Appendix </w:t>
      </w:r>
      <w:r w:rsidR="00066E7C">
        <w:t>E</w:t>
      </w:r>
      <w:r w:rsidR="002C4329" w:rsidRPr="00553B19">
        <w:t xml:space="preserve">. </w:t>
      </w:r>
      <w:r w:rsidRPr="00553B19">
        <w:t xml:space="preserve">During the notice and comment period, </w:t>
      </w:r>
      <w:r w:rsidR="00134718">
        <w:t xml:space="preserve">no </w:t>
      </w:r>
      <w:r w:rsidRPr="00553B19">
        <w:t>comment</w:t>
      </w:r>
      <w:r w:rsidR="00134718">
        <w:t>s</w:t>
      </w:r>
      <w:r w:rsidRPr="00553B19">
        <w:t xml:space="preserve"> </w:t>
      </w:r>
      <w:r w:rsidR="00134718">
        <w:t>were</w:t>
      </w:r>
      <w:r w:rsidRPr="00553B19">
        <w:t xml:space="preserve"> received</w:t>
      </w:r>
      <w:r w:rsidR="002C4329" w:rsidRPr="00553B19">
        <w:t xml:space="preserve">.  </w:t>
      </w:r>
    </w:p>
    <w:p w:rsidR="00553B19" w:rsidRDefault="00553B19" w:rsidP="00750772">
      <w:pPr>
        <w:pStyle w:val="Heading4"/>
        <w:spacing w:before="0" w:after="120"/>
        <w:rPr>
          <w:rFonts w:ascii="Times New Roman" w:hAnsi="Times New Roman"/>
          <w:i/>
          <w:sz w:val="24"/>
          <w:szCs w:val="24"/>
        </w:rPr>
      </w:pPr>
    </w:p>
    <w:p w:rsidR="00CB2581" w:rsidRPr="00750772" w:rsidRDefault="00B91D97" w:rsidP="00750772">
      <w:pPr>
        <w:pStyle w:val="Heading4"/>
        <w:spacing w:before="0" w:after="120"/>
        <w:rPr>
          <w:rFonts w:ascii="Times New Roman" w:hAnsi="Times New Roman"/>
          <w:i/>
          <w:sz w:val="24"/>
          <w:szCs w:val="24"/>
        </w:rPr>
      </w:pPr>
      <w:r w:rsidRPr="004B63ED">
        <w:rPr>
          <w:rFonts w:ascii="Times New Roman" w:hAnsi="Times New Roman"/>
          <w:i/>
          <w:sz w:val="24"/>
          <w:szCs w:val="24"/>
        </w:rPr>
        <w:t>Consultation with Experts Outside of the Study</w:t>
      </w:r>
    </w:p>
    <w:p w:rsidR="009F5785" w:rsidRDefault="0046030B" w:rsidP="00CB2581">
      <w:r>
        <w:t>The conceptual model</w:t>
      </w:r>
      <w:r w:rsidR="00CA7EEF">
        <w:t>, study design</w:t>
      </w:r>
      <w:r w:rsidR="000F5914">
        <w:t>,</w:t>
      </w:r>
      <w:r w:rsidR="00CA7EEF">
        <w:t xml:space="preserve"> and </w:t>
      </w:r>
      <w:r w:rsidR="00DE7B50">
        <w:t xml:space="preserve">data collection </w:t>
      </w:r>
      <w:r w:rsidR="00CA7EEF">
        <w:t xml:space="preserve">protocols </w:t>
      </w:r>
      <w:r>
        <w:t xml:space="preserve">were reviewed by two academic researchers with expertise in Head Start and Early Head Start: </w:t>
      </w:r>
    </w:p>
    <w:p w:rsidR="0046030B" w:rsidRDefault="0046030B" w:rsidP="009F5785"/>
    <w:p w:rsidR="0046030B" w:rsidRDefault="0046030B" w:rsidP="0046030B">
      <w:r w:rsidRPr="00841FC1">
        <w:rPr>
          <w:b/>
        </w:rPr>
        <w:t xml:space="preserve">Rachel </w:t>
      </w:r>
      <w:proofErr w:type="spellStart"/>
      <w:r>
        <w:rPr>
          <w:b/>
        </w:rPr>
        <w:t>Chazan</w:t>
      </w:r>
      <w:proofErr w:type="spellEnd"/>
      <w:r>
        <w:rPr>
          <w:b/>
        </w:rPr>
        <w:t>-</w:t>
      </w:r>
      <w:r w:rsidRPr="00841FC1">
        <w:rPr>
          <w:b/>
        </w:rPr>
        <w:t>Cohen</w:t>
      </w:r>
      <w:r>
        <w:t xml:space="preserve">, Associate Professor, George Mason University, and  </w:t>
      </w:r>
    </w:p>
    <w:p w:rsidR="0046030B" w:rsidRDefault="0046030B" w:rsidP="0046030B">
      <w:proofErr w:type="gramStart"/>
      <w:r w:rsidRPr="00841FC1">
        <w:rPr>
          <w:b/>
        </w:rPr>
        <w:t>Katherine Magnuson</w:t>
      </w:r>
      <w:r>
        <w:t>, Associate Professor, University of Wisconsin-Madison.</w:t>
      </w:r>
      <w:proofErr w:type="gramEnd"/>
      <w:r>
        <w:t xml:space="preserve"> </w:t>
      </w:r>
    </w:p>
    <w:p w:rsidR="0046030B" w:rsidRDefault="0046030B" w:rsidP="0046030B"/>
    <w:p w:rsidR="0046030B" w:rsidRDefault="0046030B" w:rsidP="009F5785">
      <w:r>
        <w:t xml:space="preserve">In addition, the team consulted with </w:t>
      </w:r>
      <w:r w:rsidR="00CA7EEF">
        <w:t xml:space="preserve">several </w:t>
      </w:r>
      <w:r>
        <w:t>Head Start and Early Head Start experts</w:t>
      </w:r>
      <w:r w:rsidR="00CA7EEF">
        <w:t>, including program directors and technical assistance providers:</w:t>
      </w:r>
      <w:r>
        <w:t xml:space="preserve"> </w:t>
      </w:r>
    </w:p>
    <w:p w:rsidR="0046030B" w:rsidRDefault="0046030B" w:rsidP="009F5785"/>
    <w:p w:rsidR="009F5785" w:rsidRDefault="009F5785" w:rsidP="009F5785">
      <w:pPr>
        <w:rPr>
          <w:b/>
        </w:rPr>
      </w:pPr>
      <w:r w:rsidRPr="00841FC1">
        <w:rPr>
          <w:b/>
        </w:rPr>
        <w:t>Jennifer Boss</w:t>
      </w:r>
      <w:r>
        <w:t>, Director of Early Head Start National Research Center at Zero to Three</w:t>
      </w:r>
      <w:r w:rsidRPr="00841FC1">
        <w:rPr>
          <w:b/>
        </w:rPr>
        <w:t xml:space="preserve"> </w:t>
      </w:r>
    </w:p>
    <w:p w:rsidR="009F5785" w:rsidRPr="00EA2B6C" w:rsidRDefault="009F5785" w:rsidP="009F5785">
      <w:pPr>
        <w:rPr>
          <w:b/>
          <w:color w:val="000000"/>
        </w:rPr>
      </w:pPr>
      <w:r w:rsidRPr="00EA2B6C">
        <w:rPr>
          <w:b/>
          <w:color w:val="000000"/>
        </w:rPr>
        <w:t>Michele Conklin</w:t>
      </w:r>
      <w:r>
        <w:rPr>
          <w:color w:val="000000"/>
        </w:rPr>
        <w:t xml:space="preserve">, Assistant Program Director, UCCAC, Inc., Children’s Learning Center </w:t>
      </w:r>
      <w:r w:rsidRPr="00EA2B6C">
        <w:rPr>
          <w:b/>
          <w:color w:val="000000"/>
        </w:rPr>
        <w:t xml:space="preserve"> </w:t>
      </w:r>
    </w:p>
    <w:p w:rsidR="00B21E20" w:rsidRPr="00B21E20" w:rsidRDefault="00B21E20" w:rsidP="00B21E20">
      <w:r w:rsidRPr="00B21E20">
        <w:rPr>
          <w:b/>
        </w:rPr>
        <w:t>Stacy Dimino</w:t>
      </w:r>
      <w:r w:rsidRPr="00B21E20">
        <w:t xml:space="preserve">, Head Start National Center on Program Management and Fiscal Operations </w:t>
      </w:r>
    </w:p>
    <w:p w:rsidR="00B21E20" w:rsidRPr="00B21E20" w:rsidRDefault="00B21E20" w:rsidP="00B21E20">
      <w:r w:rsidRPr="00B21E20">
        <w:rPr>
          <w:b/>
        </w:rPr>
        <w:t>Pat Fahey,</w:t>
      </w:r>
      <w:r>
        <w:t xml:space="preserve"> </w:t>
      </w:r>
      <w:r w:rsidRPr="00B21E20">
        <w:t>Head Start National Center on Program Management and Fiscal Operations</w:t>
      </w:r>
    </w:p>
    <w:p w:rsidR="009F5785" w:rsidRPr="00741482" w:rsidRDefault="009F5785" w:rsidP="009F5785">
      <w:r>
        <w:rPr>
          <w:b/>
        </w:rPr>
        <w:t>Teresa Keller-Amaya</w:t>
      </w:r>
      <w:r>
        <w:t>, Senior Research Analyst, Early Head Start National Research Center</w:t>
      </w:r>
    </w:p>
    <w:p w:rsidR="009F5785" w:rsidRDefault="009F5785" w:rsidP="009F5785">
      <w:pPr>
        <w:rPr>
          <w:color w:val="000000"/>
        </w:rPr>
      </w:pPr>
      <w:r w:rsidRPr="00EA2B6C">
        <w:rPr>
          <w:b/>
        </w:rPr>
        <w:t>Maureen McDonald</w:t>
      </w:r>
      <w:r w:rsidRPr="00EA2B6C">
        <w:t xml:space="preserve">, </w:t>
      </w:r>
      <w:r w:rsidRPr="00EA2B6C">
        <w:rPr>
          <w:color w:val="000000"/>
        </w:rPr>
        <w:t>Early Childhood Education Specialist, Massachusetts Head Start Training and Technical Assistance Office</w:t>
      </w:r>
    </w:p>
    <w:p w:rsidR="009F5785" w:rsidRPr="00D62DA1" w:rsidRDefault="009F5785" w:rsidP="009F5785">
      <w:r>
        <w:rPr>
          <w:b/>
        </w:rPr>
        <w:t>S</w:t>
      </w:r>
      <w:r w:rsidRPr="00841FC1">
        <w:rPr>
          <w:b/>
        </w:rPr>
        <w:t>arah Merrill</w:t>
      </w:r>
      <w:r>
        <w:t>, Training Specialist, Early Head Start National Research Center</w:t>
      </w:r>
    </w:p>
    <w:p w:rsidR="009F5785" w:rsidRDefault="009F5785" w:rsidP="009F5785">
      <w:pPr>
        <w:rPr>
          <w:b/>
        </w:rPr>
      </w:pPr>
      <w:r w:rsidRPr="00EA2B6C">
        <w:rPr>
          <w:b/>
          <w:color w:val="000000"/>
        </w:rPr>
        <w:t>Aimee Mitchell</w:t>
      </w:r>
      <w:r>
        <w:rPr>
          <w:color w:val="000000"/>
        </w:rPr>
        <w:t>, Director of Head Start, Children’s Friend</w:t>
      </w:r>
    </w:p>
    <w:p w:rsidR="009F5785" w:rsidRDefault="00B21E20" w:rsidP="009F5785">
      <w:r w:rsidRPr="00B21E20">
        <w:rPr>
          <w:b/>
        </w:rPr>
        <w:t>Karen Pucciarelli,</w:t>
      </w:r>
      <w:r w:rsidRPr="00B21E20">
        <w:t xml:space="preserve"> Head Start National Center on Program Management and Fiscal Operations </w:t>
      </w:r>
      <w:r w:rsidR="009F5785">
        <w:rPr>
          <w:b/>
        </w:rPr>
        <w:t xml:space="preserve">Susan </w:t>
      </w:r>
      <w:proofErr w:type="spellStart"/>
      <w:r w:rsidR="009F5785">
        <w:rPr>
          <w:b/>
        </w:rPr>
        <w:t>Sandall</w:t>
      </w:r>
      <w:proofErr w:type="spellEnd"/>
      <w:r w:rsidR="009F5785">
        <w:t>, Director, National Center on Quality Teaching &amp; Learning, University of Washington</w:t>
      </w:r>
    </w:p>
    <w:p w:rsidR="00F43087" w:rsidRPr="00B21E20" w:rsidRDefault="00F43087" w:rsidP="009F5785"/>
    <w:p w:rsidR="00CA7EEF" w:rsidRPr="00CA7EEF" w:rsidRDefault="00CA7EEF" w:rsidP="009F5785">
      <w:r>
        <w:t>The team also consulted with several officials in the O</w:t>
      </w:r>
      <w:r w:rsidR="00AE3DBD">
        <w:t>ffice of Head Start, including:</w:t>
      </w:r>
    </w:p>
    <w:p w:rsidR="00131CB6" w:rsidRDefault="00131CB6" w:rsidP="00131CB6">
      <w:pPr>
        <w:rPr>
          <w:b/>
        </w:rPr>
      </w:pPr>
    </w:p>
    <w:p w:rsidR="00131CB6" w:rsidRDefault="00131CB6" w:rsidP="00131CB6">
      <w:pPr>
        <w:rPr>
          <w:b/>
        </w:rPr>
      </w:pPr>
      <w:r>
        <w:rPr>
          <w:b/>
        </w:rPr>
        <w:t xml:space="preserve">Amanda Bryans, </w:t>
      </w:r>
      <w:r w:rsidRPr="00CA7EEF">
        <w:t xml:space="preserve">Office of Head Start, Director of Education and </w:t>
      </w:r>
      <w:r>
        <w:t xml:space="preserve">Comprehensive Services, </w:t>
      </w:r>
    </w:p>
    <w:p w:rsidR="00131CB6" w:rsidRDefault="00131CB6" w:rsidP="00131CB6">
      <w:pPr>
        <w:rPr>
          <w:b/>
        </w:rPr>
      </w:pPr>
      <w:r w:rsidRPr="00841FC1">
        <w:rPr>
          <w:b/>
        </w:rPr>
        <w:t>Angie Godfrey</w:t>
      </w:r>
      <w:r>
        <w:t xml:space="preserve">, </w:t>
      </w:r>
      <w:r w:rsidRPr="00741482">
        <w:t>Office of Head Start</w:t>
      </w:r>
      <w:r>
        <w:t>, Infant/Toddler Program Specialist,</w:t>
      </w:r>
    </w:p>
    <w:p w:rsidR="00131CB6" w:rsidRDefault="00131CB6" w:rsidP="00131CB6">
      <w:pPr>
        <w:rPr>
          <w:b/>
        </w:rPr>
      </w:pPr>
      <w:r>
        <w:rPr>
          <w:b/>
        </w:rPr>
        <w:t xml:space="preserve">Sarah Merrill, </w:t>
      </w:r>
      <w:r w:rsidRPr="00CA7EEF">
        <w:t>Office of Head Start</w:t>
      </w:r>
      <w:r>
        <w:rPr>
          <w:b/>
        </w:rPr>
        <w:t xml:space="preserve"> </w:t>
      </w:r>
    </w:p>
    <w:p w:rsidR="00131CB6" w:rsidRDefault="00131CB6" w:rsidP="00131CB6">
      <w:r w:rsidRPr="00841FC1">
        <w:rPr>
          <w:b/>
        </w:rPr>
        <w:t>Larissa Zoot</w:t>
      </w:r>
      <w:r>
        <w:rPr>
          <w:b/>
        </w:rPr>
        <w:t xml:space="preserve">, </w:t>
      </w:r>
      <w:r>
        <w:t>Office of Head Start, P</w:t>
      </w:r>
      <w:r w:rsidRPr="00741482">
        <w:t>roject Officer</w:t>
      </w:r>
      <w:r>
        <w:rPr>
          <w:b/>
        </w:rPr>
        <w:t xml:space="preserve">, </w:t>
      </w:r>
      <w:r>
        <w:t>Center for Program Management and Fiscal Operations</w:t>
      </w:r>
    </w:p>
    <w:p w:rsidR="00CA7EEF" w:rsidRDefault="00131CB6" w:rsidP="009F5785">
      <w:pPr>
        <w:rPr>
          <w:b/>
        </w:rPr>
      </w:pPr>
      <w:r>
        <w:rPr>
          <w:b/>
        </w:rPr>
        <w:t>Jim O’Brien</w:t>
      </w:r>
      <w:r>
        <w:t xml:space="preserve">, Office of Head Start, Project Officer, National Center on Quality Teaching &amp; Learning </w:t>
      </w:r>
    </w:p>
    <w:p w:rsidR="00131CB6" w:rsidRDefault="00131CB6" w:rsidP="009F5785">
      <w:pPr>
        <w:rPr>
          <w:b/>
        </w:rPr>
      </w:pPr>
    </w:p>
    <w:p w:rsidR="0046030B" w:rsidRDefault="0046030B" w:rsidP="0046030B">
      <w:r>
        <w:t xml:space="preserve">Finally, the study design was reviewed by two Urban Institute senior researchers outside the immediate project team: </w:t>
      </w:r>
      <w:r w:rsidRPr="0046030B">
        <w:rPr>
          <w:b/>
        </w:rPr>
        <w:t>Gina Adams</w:t>
      </w:r>
      <w:r>
        <w:t xml:space="preserve">, who has expertise in early childhood programs and qualitative research, and </w:t>
      </w:r>
      <w:r w:rsidRPr="0046030B">
        <w:rPr>
          <w:b/>
        </w:rPr>
        <w:t>Timothy Triplett</w:t>
      </w:r>
      <w:r>
        <w:t xml:space="preserve">, a senior methodologist with over 25 years in survey research experience. </w:t>
      </w:r>
    </w:p>
    <w:p w:rsidR="00D90EF6" w:rsidRDefault="00D90EF6" w:rsidP="00292B70">
      <w:pPr>
        <w:rPr>
          <w:b/>
        </w:rPr>
      </w:pPr>
    </w:p>
    <w:p w:rsidR="00945CD6" w:rsidRPr="009332A3" w:rsidRDefault="00292B70" w:rsidP="009332A3">
      <w:pPr>
        <w:pStyle w:val="Heading1"/>
        <w:rPr>
          <w:rFonts w:ascii="Times New Roman" w:hAnsi="Times New Roman"/>
          <w:sz w:val="24"/>
        </w:rPr>
      </w:pPr>
      <w:bookmarkStart w:id="10" w:name="_Toc352834386"/>
      <w:r w:rsidRPr="009332A3">
        <w:rPr>
          <w:rFonts w:ascii="Times New Roman" w:hAnsi="Times New Roman"/>
          <w:sz w:val="24"/>
        </w:rPr>
        <w:t xml:space="preserve">A9. </w:t>
      </w:r>
      <w:r w:rsidR="00B66874" w:rsidRPr="009332A3">
        <w:rPr>
          <w:rFonts w:ascii="Times New Roman" w:hAnsi="Times New Roman"/>
          <w:sz w:val="24"/>
        </w:rPr>
        <w:t>Incentives for</w:t>
      </w:r>
      <w:r w:rsidR="00945CD6" w:rsidRPr="009332A3">
        <w:rPr>
          <w:rFonts w:ascii="Times New Roman" w:hAnsi="Times New Roman"/>
          <w:sz w:val="24"/>
        </w:rPr>
        <w:t xml:space="preserve"> Respondents</w:t>
      </w:r>
      <w:bookmarkEnd w:id="10"/>
    </w:p>
    <w:p w:rsidR="00CB2581" w:rsidRPr="0072204D" w:rsidRDefault="00CB2581" w:rsidP="00292B70">
      <w:pPr>
        <w:rPr>
          <w:b/>
        </w:rPr>
      </w:pPr>
    </w:p>
    <w:p w:rsidR="001A7648" w:rsidRDefault="001A7648" w:rsidP="00CB2581">
      <w:r>
        <w:lastRenderedPageBreak/>
        <w:t xml:space="preserve">As a token of appreciation, </w:t>
      </w:r>
      <w:r w:rsidRPr="00D929AA">
        <w:t>$</w:t>
      </w:r>
      <w:r>
        <w:t xml:space="preserve">25 will be </w:t>
      </w:r>
      <w:r w:rsidR="007769D8">
        <w:t xml:space="preserve">offered </w:t>
      </w:r>
      <w:r w:rsidRPr="00D929AA">
        <w:t xml:space="preserve">to each </w:t>
      </w:r>
      <w:r w:rsidR="009B116B">
        <w:t>survey</w:t>
      </w:r>
      <w:r w:rsidR="009B116B" w:rsidRPr="00D929AA">
        <w:t xml:space="preserve"> </w:t>
      </w:r>
      <w:r w:rsidRPr="00D929AA">
        <w:t>participant.</w:t>
      </w:r>
      <w:r>
        <w:t xml:space="preserve"> </w:t>
      </w:r>
      <w:r w:rsidRPr="00E16357">
        <w:t>This approach expresses gratitude</w:t>
      </w:r>
      <w:r>
        <w:t xml:space="preserve"> for the respondents’ participation but will not be an excessive amount that could be coercive to </w:t>
      </w:r>
      <w:r w:rsidR="00B60529">
        <w:t xml:space="preserve">program directors </w:t>
      </w:r>
      <w:r>
        <w:t xml:space="preserve">targeted in this study. Respondents who withdraw from the study during the </w:t>
      </w:r>
      <w:r w:rsidR="009B116B">
        <w:t xml:space="preserve">survey </w:t>
      </w:r>
      <w:r>
        <w:t xml:space="preserve">will still </w:t>
      </w:r>
      <w:r w:rsidR="009B116B">
        <w:t xml:space="preserve">be offered </w:t>
      </w:r>
      <w:r>
        <w:t>the $</w:t>
      </w:r>
      <w:r w:rsidR="00B60529">
        <w:t>25</w:t>
      </w:r>
      <w:r w:rsidR="00BE4742">
        <w:t xml:space="preserve">. </w:t>
      </w:r>
      <w:r w:rsidR="009B116B">
        <w:t xml:space="preserve">Respondents may decide whether to have the $25 check written to them personally or to their organization. </w:t>
      </w:r>
    </w:p>
    <w:p w:rsidR="00131CB6" w:rsidRDefault="00131CB6" w:rsidP="00CB2581"/>
    <w:p w:rsidR="002B6F74" w:rsidRDefault="00131CB6" w:rsidP="00CB2581">
      <w:r>
        <w:t xml:space="preserve">In addition, as a token of appreciation, </w:t>
      </w:r>
      <w:r w:rsidR="00BE4742">
        <w:t xml:space="preserve">$25 </w:t>
      </w:r>
      <w:r w:rsidR="00CF262E">
        <w:t>will be offered to each parent participating in a</w:t>
      </w:r>
      <w:r w:rsidR="00EB7017">
        <w:t>n interview</w:t>
      </w:r>
      <w:r>
        <w:t xml:space="preserve">.  Again this gift is intended to </w:t>
      </w:r>
      <w:r w:rsidRPr="00E16357">
        <w:t>express gratitude</w:t>
      </w:r>
      <w:r>
        <w:t xml:space="preserve"> for the respondents’ participation but will not be an excessive amount that could be coercive to </w:t>
      </w:r>
      <w:r w:rsidR="00C92A97">
        <w:t xml:space="preserve">the </w:t>
      </w:r>
      <w:r w:rsidR="00EB7017">
        <w:t xml:space="preserve">targeted </w:t>
      </w:r>
      <w:r w:rsidR="00C92A97">
        <w:t xml:space="preserve">population of low-income parents. </w:t>
      </w:r>
    </w:p>
    <w:p w:rsidR="002B6F74" w:rsidRDefault="002B6F74" w:rsidP="00CB2581"/>
    <w:p w:rsidR="00B60529" w:rsidRPr="00BE7952" w:rsidRDefault="002B6F74" w:rsidP="00CB2581">
      <w:pPr>
        <w:rPr>
          <w:b/>
        </w:rPr>
      </w:pPr>
      <w:r>
        <w:t xml:space="preserve">These amounts were determined based on the estimated burden to participants and are </w:t>
      </w:r>
      <w:r w:rsidRPr="002B6F74">
        <w:t>in line with</w:t>
      </w:r>
      <w:r>
        <w:t xml:space="preserve"> those offered in prior studies using similar methodologies and data collection instruments</w:t>
      </w:r>
      <w:r w:rsidR="009C02FC">
        <w:t xml:space="preserve"> (“Determinants of Subsidy Stability and Continuity of Child Care in Illinois and New York” and “</w:t>
      </w:r>
      <w:r w:rsidR="009C02FC" w:rsidRPr="009C02FC">
        <w:t>Child Care Providers and the Child Care Subsidy System</w:t>
      </w:r>
      <w:r w:rsidR="009C02FC">
        <w:t>”</w:t>
      </w:r>
      <w:r w:rsidR="009C02FC" w:rsidRPr="009C02FC">
        <w:t>).</w:t>
      </w:r>
    </w:p>
    <w:p w:rsidR="00945CD6" w:rsidRPr="009332A3" w:rsidRDefault="00292B70" w:rsidP="009332A3">
      <w:pPr>
        <w:pStyle w:val="Heading1"/>
        <w:rPr>
          <w:rFonts w:ascii="Times New Roman" w:hAnsi="Times New Roman"/>
          <w:sz w:val="24"/>
        </w:rPr>
      </w:pPr>
      <w:bookmarkStart w:id="11" w:name="_Toc352834387"/>
      <w:r w:rsidRPr="009332A3">
        <w:rPr>
          <w:rFonts w:ascii="Times New Roman" w:hAnsi="Times New Roman"/>
          <w:sz w:val="24"/>
        </w:rPr>
        <w:t xml:space="preserve">A10. </w:t>
      </w:r>
      <w:r w:rsidR="00124EBF" w:rsidRPr="009332A3">
        <w:rPr>
          <w:rFonts w:ascii="Times New Roman" w:hAnsi="Times New Roman"/>
          <w:sz w:val="24"/>
        </w:rPr>
        <w:t>Privacy</w:t>
      </w:r>
      <w:r w:rsidR="00945CD6" w:rsidRPr="009332A3">
        <w:rPr>
          <w:rFonts w:ascii="Times New Roman" w:hAnsi="Times New Roman"/>
          <w:sz w:val="24"/>
        </w:rPr>
        <w:t xml:space="preserve"> of Respondents</w:t>
      </w:r>
      <w:bookmarkEnd w:id="11"/>
    </w:p>
    <w:p w:rsidR="00131CB6" w:rsidRDefault="00131CB6" w:rsidP="00131CB6">
      <w:pPr>
        <w:pStyle w:val="ListBullet4"/>
        <w:numPr>
          <w:ilvl w:val="0"/>
          <w:numId w:val="0"/>
        </w:numPr>
        <w:contextualSpacing w:val="0"/>
      </w:pPr>
    </w:p>
    <w:p w:rsidR="00131CB6" w:rsidRDefault="00131CB6" w:rsidP="00131CB6">
      <w:pPr>
        <w:pStyle w:val="ListBullet4"/>
        <w:numPr>
          <w:ilvl w:val="0"/>
          <w:numId w:val="0"/>
        </w:numPr>
        <w:contextualSpacing w:val="0"/>
      </w:pPr>
      <w:r w:rsidRPr="00760AA3">
        <w:t xml:space="preserve">Prior to the start of each interview, the researchers will assure the respondents that the information provided will be kept </w:t>
      </w:r>
      <w:r>
        <w:t xml:space="preserve">private to the extent permitted by law.  </w:t>
      </w:r>
      <w:r w:rsidRPr="00760AA3">
        <w:t xml:space="preserve"> </w:t>
      </w:r>
      <w:r w:rsidRPr="00103625">
        <w:t xml:space="preserve">Specifically, </w:t>
      </w:r>
      <w:r>
        <w:t>n</w:t>
      </w:r>
      <w:r w:rsidRPr="00103625">
        <w:t>one of the information obtained during the course of the study will be disclosed in such a way that individuals or organizations can be identified by an</w:t>
      </w:r>
      <w:r>
        <w:t>yone outside the research team, and t</w:t>
      </w:r>
      <w:r w:rsidRPr="00103625">
        <w:t>he respondents will not be quoted by name</w:t>
      </w:r>
      <w:r>
        <w:t xml:space="preserve">. </w:t>
      </w:r>
      <w:r w:rsidR="007D27B3">
        <w:t xml:space="preserve">If </w:t>
      </w:r>
      <w:r w:rsidR="00D7006D">
        <w:t xml:space="preserve">ACF were to request a copy of </w:t>
      </w:r>
      <w:r w:rsidR="007D27B3">
        <w:t>the telephone survey information, personal identifying information w</w:t>
      </w:r>
      <w:r w:rsidR="00D7006D">
        <w:t>ould be</w:t>
      </w:r>
      <w:r w:rsidR="007D27B3">
        <w:t xml:space="preserve"> stripped before sharing.  Other </w:t>
      </w:r>
      <w:r>
        <w:t xml:space="preserve">information will </w:t>
      </w:r>
      <w:r w:rsidRPr="00760AA3">
        <w:t>not be shared with anyone other than the research staff assigned to the study</w:t>
      </w:r>
      <w:r>
        <w:t xml:space="preserve">, all of whom </w:t>
      </w:r>
      <w:r w:rsidRPr="00760AA3">
        <w:t xml:space="preserve">will be required to sign </w:t>
      </w:r>
      <w:r w:rsidR="009D4196">
        <w:t xml:space="preserve">the Urban Institute’s </w:t>
      </w:r>
      <w:r w:rsidR="009D4196" w:rsidRPr="009D4196">
        <w:rPr>
          <w:i/>
        </w:rPr>
        <w:t>Staff Confidentiality Pledge</w:t>
      </w:r>
      <w:r>
        <w:t xml:space="preserve">.  See Appendix </w:t>
      </w:r>
      <w:r w:rsidR="00066E7C">
        <w:t>G</w:t>
      </w:r>
      <w:r w:rsidR="00BE4742">
        <w:t xml:space="preserve">. </w:t>
      </w:r>
    </w:p>
    <w:p w:rsidR="007D27B3" w:rsidRPr="006E19E4" w:rsidRDefault="007D27B3" w:rsidP="007D27B3">
      <w:pPr>
        <w:tabs>
          <w:tab w:val="left" w:pos="0"/>
          <w:tab w:val="left" w:pos="288"/>
          <w:tab w:val="left" w:pos="662"/>
        </w:tabs>
        <w:spacing w:before="240" w:after="80"/>
      </w:pPr>
      <w:r w:rsidRPr="006E19E4">
        <w:t>Verbal consent will be requested from participants</w:t>
      </w:r>
      <w:r>
        <w:t xml:space="preserve"> </w:t>
      </w:r>
      <w:r w:rsidR="0050356F">
        <w:t>in</w:t>
      </w:r>
      <w:r>
        <w:t xml:space="preserve"> the telephone </w:t>
      </w:r>
      <w:r w:rsidR="0050356F">
        <w:t>survey</w:t>
      </w:r>
      <w:r>
        <w:t xml:space="preserve"> (see </w:t>
      </w:r>
      <w:r w:rsidRPr="006E19E4">
        <w:t>instrument</w:t>
      </w:r>
      <w:r w:rsidR="002B6F74">
        <w:t xml:space="preserve"> (A-3)</w:t>
      </w:r>
      <w:r w:rsidRPr="006E19E4">
        <w:t xml:space="preserve"> for the verbal informed consent language that will be used in the interviews</w:t>
      </w:r>
      <w:r>
        <w:t>).  Participants in site visit</w:t>
      </w:r>
      <w:r w:rsidR="0050356F">
        <w:t xml:space="preserve"> interviews</w:t>
      </w:r>
      <w:r>
        <w:t xml:space="preserve"> will be provided with and asked to sign informed consent forms</w:t>
      </w:r>
      <w:r w:rsidR="00A97BB4">
        <w:t xml:space="preserve"> (B-8 and B9)</w:t>
      </w:r>
      <w:r>
        <w:t xml:space="preserve"> </w:t>
      </w:r>
    </w:p>
    <w:p w:rsidR="007D27B3" w:rsidRDefault="007D27B3" w:rsidP="00131CB6">
      <w:pPr>
        <w:pStyle w:val="ListBullet4"/>
        <w:numPr>
          <w:ilvl w:val="0"/>
          <w:numId w:val="0"/>
        </w:numPr>
        <w:contextualSpacing w:val="0"/>
      </w:pPr>
    </w:p>
    <w:p w:rsidR="009D4196" w:rsidRDefault="009D4196" w:rsidP="007D27B3">
      <w:r>
        <w:t>This study is also under the purview of the Urban Institute’s Institutional Review Board (IRB)</w:t>
      </w:r>
      <w:r w:rsidR="0050356F">
        <w:t xml:space="preserve">, which is registered under </w:t>
      </w:r>
      <w:proofErr w:type="spellStart"/>
      <w:r w:rsidR="0050356F">
        <w:t>Federalwide</w:t>
      </w:r>
      <w:proofErr w:type="spellEnd"/>
      <w:r w:rsidR="0050356F">
        <w:t xml:space="preserve"> Assurance number </w:t>
      </w:r>
      <w:r w:rsidR="0050356F" w:rsidRPr="0050356F">
        <w:t>00000189</w:t>
      </w:r>
      <w:r w:rsidR="0050356F">
        <w:t>, indicating it adheres to the</w:t>
      </w:r>
      <w:r w:rsidR="0050356F" w:rsidRPr="0050356F">
        <w:t xml:space="preserve"> requirements in the HHS Protection of Human Subjects regulations at 45 CFR </w:t>
      </w:r>
      <w:proofErr w:type="gramStart"/>
      <w:r w:rsidR="0050356F" w:rsidRPr="0050356F">
        <w:t>part</w:t>
      </w:r>
      <w:proofErr w:type="gramEnd"/>
      <w:r w:rsidR="0050356F" w:rsidRPr="0050356F">
        <w:t xml:space="preserve"> 46.</w:t>
      </w:r>
      <w:r w:rsidR="00032996">
        <w:t xml:space="preserve"> All data collection and security procedures described in this package have been approved by the IRB.</w:t>
      </w:r>
      <w:r>
        <w:t xml:space="preserve">  See Appendix </w:t>
      </w:r>
      <w:r w:rsidR="00066E7C">
        <w:t>F</w:t>
      </w:r>
      <w:r w:rsidR="00032996">
        <w:t xml:space="preserve"> for a copy of the IRB Notice of Approval</w:t>
      </w:r>
      <w:r w:rsidR="007B3125">
        <w:t xml:space="preserve">.  </w:t>
      </w:r>
      <w:r>
        <w:t>To receive IRB approval for this study, the data collection effort must adhere to the following principles:</w:t>
      </w:r>
    </w:p>
    <w:p w:rsidR="009D4196" w:rsidRDefault="009D4196" w:rsidP="007D27B3"/>
    <w:p w:rsidR="009D4196" w:rsidRDefault="009D4196" w:rsidP="007D27B3">
      <w:pPr>
        <w:numPr>
          <w:ilvl w:val="0"/>
          <w:numId w:val="29"/>
        </w:numPr>
      </w:pPr>
      <w:r>
        <w:t>Subjects are informed of the nature of the research and how it will be used, and their consent either obtained or explicitly waived, where risks to them are determined to be minimal.</w:t>
      </w:r>
    </w:p>
    <w:p w:rsidR="009D4196" w:rsidRDefault="009D4196" w:rsidP="007D27B3">
      <w:pPr>
        <w:numPr>
          <w:ilvl w:val="0"/>
          <w:numId w:val="29"/>
        </w:numPr>
      </w:pPr>
      <w:r>
        <w:t>Adequate provision is made to protect the privacy of subjects and to maintain privacy of data, where promised and as appropriate.</w:t>
      </w:r>
    </w:p>
    <w:p w:rsidR="009D4196" w:rsidRDefault="009D4196" w:rsidP="007D27B3">
      <w:pPr>
        <w:numPr>
          <w:ilvl w:val="0"/>
          <w:numId w:val="29"/>
        </w:numPr>
      </w:pPr>
      <w:r>
        <w:t>Risks to subjects are minimized to the extent possible within research designs.</w:t>
      </w:r>
    </w:p>
    <w:p w:rsidR="009D4196" w:rsidRDefault="009D4196" w:rsidP="007D27B3">
      <w:pPr>
        <w:numPr>
          <w:ilvl w:val="0"/>
          <w:numId w:val="29"/>
        </w:numPr>
      </w:pPr>
      <w:r>
        <w:lastRenderedPageBreak/>
        <w:t>Risks to subjects (from the research) are reasonable in relation to anticipated benefits (from the research).</w:t>
      </w:r>
    </w:p>
    <w:p w:rsidR="009D4196" w:rsidRDefault="009D4196" w:rsidP="007D27B3">
      <w:pPr>
        <w:numPr>
          <w:ilvl w:val="0"/>
          <w:numId w:val="29"/>
        </w:numPr>
      </w:pPr>
      <w:r>
        <w:t>The selection of subjects is as equitable as possible (the burdens and benefits of the research are fairly distributed) and particular attention is paid to research involving vulnerable populations and protected health information.</w:t>
      </w:r>
    </w:p>
    <w:p w:rsidR="002A17DB" w:rsidRDefault="002A17DB" w:rsidP="009332A3"/>
    <w:p w:rsidR="00945CD6" w:rsidRPr="009332A3" w:rsidRDefault="00292B70" w:rsidP="009332A3">
      <w:pPr>
        <w:pStyle w:val="Heading1"/>
        <w:rPr>
          <w:rFonts w:ascii="Times New Roman" w:hAnsi="Times New Roman"/>
          <w:sz w:val="24"/>
        </w:rPr>
      </w:pPr>
      <w:bookmarkStart w:id="12" w:name="_Toc352834388"/>
      <w:r w:rsidRPr="009332A3">
        <w:rPr>
          <w:rFonts w:ascii="Times New Roman" w:hAnsi="Times New Roman"/>
          <w:sz w:val="24"/>
        </w:rPr>
        <w:t xml:space="preserve">A11. </w:t>
      </w:r>
      <w:r w:rsidR="00945CD6" w:rsidRPr="009332A3">
        <w:rPr>
          <w:rFonts w:ascii="Times New Roman" w:hAnsi="Times New Roman"/>
          <w:sz w:val="24"/>
        </w:rPr>
        <w:t>Sensitive Questions</w:t>
      </w:r>
      <w:bookmarkEnd w:id="12"/>
    </w:p>
    <w:p w:rsidR="00D90EF6" w:rsidRDefault="00D90EF6" w:rsidP="00CB2581">
      <w:r w:rsidRPr="00F06559">
        <w:t>There are no sensitive questions in this data collection.</w:t>
      </w:r>
    </w:p>
    <w:p w:rsidR="005046F0" w:rsidRDefault="005046F0" w:rsidP="009332A3"/>
    <w:p w:rsidR="00945CD6" w:rsidRPr="009332A3" w:rsidRDefault="00292B70" w:rsidP="009332A3">
      <w:pPr>
        <w:pStyle w:val="Heading1"/>
        <w:rPr>
          <w:rFonts w:ascii="Times New Roman" w:hAnsi="Times New Roman"/>
          <w:sz w:val="24"/>
        </w:rPr>
      </w:pPr>
      <w:bookmarkStart w:id="13" w:name="_Toc352834389"/>
      <w:r w:rsidRPr="009332A3">
        <w:rPr>
          <w:rFonts w:ascii="Times New Roman" w:hAnsi="Times New Roman"/>
          <w:sz w:val="24"/>
        </w:rPr>
        <w:t xml:space="preserve">A12. </w:t>
      </w:r>
      <w:r w:rsidR="00945CD6" w:rsidRPr="009332A3">
        <w:rPr>
          <w:rFonts w:ascii="Times New Roman" w:hAnsi="Times New Roman"/>
          <w:sz w:val="24"/>
        </w:rPr>
        <w:t>Estimation of Information Collection Burden</w:t>
      </w:r>
      <w:bookmarkEnd w:id="13"/>
    </w:p>
    <w:p w:rsidR="009332A3" w:rsidRDefault="009332A3" w:rsidP="00CB2581">
      <w:pPr>
        <w:pStyle w:val="MediumGrid21"/>
        <w:rPr>
          <w:rFonts w:ascii="Times New Roman" w:hAnsi="Times New Roman"/>
          <w:b/>
          <w:szCs w:val="24"/>
          <w:highlight w:val="yellow"/>
        </w:rPr>
      </w:pPr>
    </w:p>
    <w:p w:rsidR="000E2F8E" w:rsidRDefault="00051F55" w:rsidP="00051F5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0839">
        <w:t xml:space="preserve">Exhibit </w:t>
      </w:r>
      <w:r w:rsidR="00F06559">
        <w:t>3</w:t>
      </w:r>
      <w:r w:rsidRPr="00260839">
        <w:t xml:space="preserve"> shows estimated burden of the information collection</w:t>
      </w:r>
      <w:r>
        <w:t>, which will take place within a one year period</w:t>
      </w:r>
      <w:r w:rsidRPr="00260839">
        <w:t xml:space="preserve">. </w:t>
      </w:r>
      <w:r>
        <w:t>T</w:t>
      </w:r>
      <w:r w:rsidRPr="00260839">
        <w:t>he estimates</w:t>
      </w:r>
      <w:r w:rsidR="00B54D4E">
        <w:t xml:space="preserve"> </w:t>
      </w:r>
      <w:r w:rsidRPr="00260839">
        <w:t>of annualized</w:t>
      </w:r>
      <w:r>
        <w:t xml:space="preserve"> hour burden </w:t>
      </w:r>
      <w:r w:rsidR="0091228D">
        <w:t xml:space="preserve">include telephone </w:t>
      </w:r>
      <w:r w:rsidR="00032996">
        <w:t>surveys</w:t>
      </w:r>
      <w:r w:rsidR="000E2F8E">
        <w:t xml:space="preserve">, </w:t>
      </w:r>
      <w:r w:rsidR="0091228D">
        <w:t>site visits</w:t>
      </w:r>
      <w:r w:rsidR="000E2F8E">
        <w:t xml:space="preserve"> and the qualitative telephone interviews with AIAN directors</w:t>
      </w:r>
      <w:r w:rsidR="0091228D">
        <w:t xml:space="preserve">.  </w:t>
      </w:r>
    </w:p>
    <w:p w:rsidR="000E2F8E" w:rsidRDefault="000E2F8E" w:rsidP="00051F5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51F55" w:rsidRDefault="0091228D" w:rsidP="00051F5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Pr="00D7006D">
        <w:rPr>
          <w:b/>
        </w:rPr>
        <w:t xml:space="preserve">telephone </w:t>
      </w:r>
      <w:r w:rsidR="00032996" w:rsidRPr="00D7006D">
        <w:rPr>
          <w:b/>
        </w:rPr>
        <w:t>survey</w:t>
      </w:r>
      <w:r w:rsidR="00032996">
        <w:t xml:space="preserve"> </w:t>
      </w:r>
      <w:r>
        <w:t xml:space="preserve">burden estimates </w:t>
      </w:r>
      <w:r w:rsidR="00051F55">
        <w:t xml:space="preserve">are </w:t>
      </w:r>
      <w:r w:rsidR="00B54D4E">
        <w:t xml:space="preserve">based on the following assumptions: </w:t>
      </w:r>
    </w:p>
    <w:p w:rsidR="002174B6" w:rsidRDefault="002174B6" w:rsidP="00051F5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474F9" w:rsidRDefault="005436EA" w:rsidP="008C4E31">
      <w:pPr>
        <w:pStyle w:val="ListParagraph"/>
        <w:numPr>
          <w:ilvl w:val="0"/>
          <w:numId w:val="46"/>
        </w:numPr>
      </w:pPr>
      <w:r w:rsidRPr="008C4E31">
        <w:rPr>
          <w:b/>
        </w:rPr>
        <w:t xml:space="preserve">Telephone </w:t>
      </w:r>
      <w:r w:rsidR="00032996" w:rsidRPr="008C4E31">
        <w:rPr>
          <w:b/>
        </w:rPr>
        <w:t>Survey</w:t>
      </w:r>
      <w:r w:rsidRPr="008C4E31">
        <w:rPr>
          <w:b/>
        </w:rPr>
        <w:t xml:space="preserve"> Recruitment Script:</w:t>
      </w:r>
      <w:r w:rsidRPr="008C4E31">
        <w:rPr>
          <w:sz w:val="20"/>
          <w:szCs w:val="20"/>
        </w:rPr>
        <w:t xml:space="preserve"> </w:t>
      </w:r>
      <w:r w:rsidR="003F3134">
        <w:t>R</w:t>
      </w:r>
      <w:r w:rsidR="00051F55">
        <w:t>ecruitment</w:t>
      </w:r>
      <w:r w:rsidR="003F3134">
        <w:t xml:space="preserve"> and scheduling</w:t>
      </w:r>
      <w:r w:rsidR="00051F55">
        <w:t xml:space="preserve"> calls will be made to </w:t>
      </w:r>
      <w:r w:rsidR="00AB53E4">
        <w:t xml:space="preserve">approximately </w:t>
      </w:r>
      <w:r w:rsidR="009B0ECE">
        <w:t>112</w:t>
      </w:r>
      <w:r w:rsidR="00051F55">
        <w:t xml:space="preserve"> program directors </w:t>
      </w:r>
      <w:r>
        <w:t xml:space="preserve">(in order to recruit </w:t>
      </w:r>
      <w:r w:rsidR="00511C1D">
        <w:t>90</w:t>
      </w:r>
      <w:r>
        <w:t xml:space="preserve"> programs)</w:t>
      </w:r>
      <w:r w:rsidR="009B0ECE">
        <w:t xml:space="preserve"> and 45 program managers (in programs where the program director delegates survey response to another manger) </w:t>
      </w:r>
      <w:r w:rsidR="00051F55">
        <w:t>at an estimated</w:t>
      </w:r>
      <w:r w:rsidR="00F06559">
        <w:t xml:space="preserve"> </w:t>
      </w:r>
      <w:r w:rsidR="00CA5078">
        <w:t xml:space="preserve">average of </w:t>
      </w:r>
      <w:r w:rsidR="002174B6">
        <w:t>10</w:t>
      </w:r>
      <w:r w:rsidR="00051F55">
        <w:t xml:space="preserve"> minutes per call</w:t>
      </w:r>
      <w:r w:rsidR="00F06559">
        <w:t xml:space="preserve">. </w:t>
      </w:r>
      <w:r w:rsidR="002474F9">
        <w:t xml:space="preserve">That is, the 157 expected respondents include: </w:t>
      </w:r>
    </w:p>
    <w:p w:rsidR="002474F9" w:rsidRPr="00A354EF" w:rsidRDefault="002474F9" w:rsidP="002474F9">
      <w:pPr>
        <w:pStyle w:val="ListParagraph"/>
        <w:numPr>
          <w:ilvl w:val="0"/>
          <w:numId w:val="45"/>
        </w:numPr>
        <w:spacing w:after="200" w:line="276" w:lineRule="auto"/>
        <w:contextualSpacing/>
      </w:pPr>
      <w:r w:rsidRPr="00F05BFD">
        <w:t>22 program directors who</w:t>
      </w:r>
      <w:r w:rsidRPr="00A354EF">
        <w:t xml:space="preserve"> refuse to participate</w:t>
      </w:r>
      <w:r>
        <w:t xml:space="preserve"> (assuming participation rate of approximately 80 percent); </w:t>
      </w:r>
    </w:p>
    <w:p w:rsidR="002474F9" w:rsidRPr="00A354EF" w:rsidRDefault="002474F9" w:rsidP="002474F9">
      <w:pPr>
        <w:pStyle w:val="ListParagraph"/>
        <w:numPr>
          <w:ilvl w:val="0"/>
          <w:numId w:val="45"/>
        </w:numPr>
        <w:spacing w:after="200" w:line="276" w:lineRule="auto"/>
        <w:contextualSpacing/>
      </w:pPr>
      <w:r>
        <w:t xml:space="preserve">90 program directors who </w:t>
      </w:r>
      <w:r w:rsidRPr="00F05BFD">
        <w:t>agree to participate</w:t>
      </w:r>
      <w:r>
        <w:t xml:space="preserve">, including 45 who </w:t>
      </w:r>
      <w:r w:rsidRPr="00F05BFD">
        <w:t>schedule a time to complete the telep</w:t>
      </w:r>
      <w:r w:rsidRPr="00A354EF">
        <w:t>hone survey themselves</w:t>
      </w:r>
      <w:r>
        <w:t xml:space="preserve"> and 45 who delegate the telephone interview to a program manager; and </w:t>
      </w:r>
    </w:p>
    <w:p w:rsidR="00150AC0" w:rsidRDefault="002474F9" w:rsidP="008C4E31">
      <w:pPr>
        <w:pStyle w:val="ListParagraph"/>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contextualSpacing/>
      </w:pPr>
      <w:r w:rsidRPr="00F05BFD">
        <w:t>45 program managers to whom the telephone survey has been delegated</w:t>
      </w:r>
      <w:r>
        <w:t xml:space="preserve">. </w:t>
      </w:r>
    </w:p>
    <w:p w:rsidR="00150AC0" w:rsidRDefault="002A17DB" w:rsidP="00D7006D">
      <w:pPr>
        <w:numPr>
          <w:ilvl w:val="0"/>
          <w:numId w:val="3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006D">
        <w:rPr>
          <w:b/>
        </w:rPr>
        <w:t xml:space="preserve">Telephone </w:t>
      </w:r>
      <w:r w:rsidR="00150AC0" w:rsidRPr="00D7006D">
        <w:rPr>
          <w:b/>
        </w:rPr>
        <w:t>Survey</w:t>
      </w:r>
      <w:r w:rsidRPr="00D7006D">
        <w:rPr>
          <w:b/>
        </w:rPr>
        <w:t xml:space="preserve"> Protocol</w:t>
      </w:r>
      <w:r w:rsidR="009A5DCA">
        <w:rPr>
          <w:b/>
        </w:rPr>
        <w:t>:</w:t>
      </w:r>
      <w:r>
        <w:t xml:space="preserve">  </w:t>
      </w:r>
      <w:r w:rsidR="00150AC0">
        <w:t>The survey</w:t>
      </w:r>
      <w:r w:rsidR="005B62FE">
        <w:t xml:space="preserve"> will </w:t>
      </w:r>
      <w:r w:rsidR="00150AC0">
        <w:t>include</w:t>
      </w:r>
      <w:r w:rsidR="005B62FE">
        <w:t xml:space="preserve"> </w:t>
      </w:r>
      <w:r w:rsidR="00511C1D">
        <w:t>90</w:t>
      </w:r>
      <w:r>
        <w:t xml:space="preserve"> </w:t>
      </w:r>
      <w:r w:rsidR="005B62FE">
        <w:t>respondents</w:t>
      </w:r>
      <w:r w:rsidR="00150AC0">
        <w:t xml:space="preserve"> and </w:t>
      </w:r>
      <w:r w:rsidR="00AB53E4">
        <w:t xml:space="preserve">is estimated to last </w:t>
      </w:r>
      <w:r w:rsidR="00CA5078">
        <w:t xml:space="preserve">an average of </w:t>
      </w:r>
      <w:r w:rsidR="00AB53E4">
        <w:t xml:space="preserve">approximately 45 minutes.  </w:t>
      </w:r>
    </w:p>
    <w:p w:rsidR="0091228D" w:rsidRDefault="0091228D" w:rsidP="00D7006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1228D" w:rsidRDefault="0091228D" w:rsidP="0091228D">
      <w:r>
        <w:t xml:space="preserve">For the </w:t>
      </w:r>
      <w:r w:rsidRPr="00D7006D">
        <w:rPr>
          <w:b/>
        </w:rPr>
        <w:t>site visits</w:t>
      </w:r>
      <w:r>
        <w:t>, the specific respondents will vary by site since each program is unique in structure and staffing, but our estimate of burden includes the following respondents</w:t>
      </w:r>
      <w:r w:rsidR="00682E27">
        <w:t xml:space="preserve">, spread across the 12 sites.  Note that </w:t>
      </w:r>
      <w:r w:rsidR="00D37C3D">
        <w:t xml:space="preserve">some categories of respondents are found in all 12 sites, but the Early Head Start respondents are limited to the 6 sites that </w:t>
      </w:r>
      <w:r w:rsidR="00682E27">
        <w:t>operate both Head Start and Early Head Start programs</w:t>
      </w:r>
      <w:r w:rsidR="00D37C3D">
        <w:t>, resulting in estimates as follows</w:t>
      </w:r>
      <w:r>
        <w:t>:</w:t>
      </w:r>
    </w:p>
    <w:p w:rsidR="0091228D" w:rsidRDefault="0091228D" w:rsidP="0091228D"/>
    <w:p w:rsidR="0091228D" w:rsidRDefault="009A5DCA" w:rsidP="0091228D">
      <w:pPr>
        <w:pStyle w:val="ColorfulList-Accent11"/>
        <w:numPr>
          <w:ilvl w:val="0"/>
          <w:numId w:val="31"/>
        </w:numPr>
        <w:rPr>
          <w:rFonts w:ascii="Times New Roman" w:hAnsi="Times New Roman"/>
          <w:sz w:val="24"/>
          <w:szCs w:val="24"/>
        </w:rPr>
      </w:pPr>
      <w:r w:rsidRPr="00D7006D">
        <w:rPr>
          <w:rFonts w:ascii="Times New Roman" w:hAnsi="Times New Roman"/>
          <w:b/>
          <w:sz w:val="24"/>
          <w:szCs w:val="24"/>
        </w:rPr>
        <w:t xml:space="preserve">Interview </w:t>
      </w:r>
      <w:r w:rsidR="000E2F8E" w:rsidRPr="00D7006D">
        <w:rPr>
          <w:rFonts w:ascii="Times New Roman" w:hAnsi="Times New Roman"/>
          <w:b/>
          <w:sz w:val="24"/>
          <w:szCs w:val="24"/>
        </w:rPr>
        <w:t xml:space="preserve">Guide for </w:t>
      </w:r>
      <w:r w:rsidRPr="00D7006D">
        <w:rPr>
          <w:rFonts w:ascii="Times New Roman" w:hAnsi="Times New Roman"/>
          <w:b/>
          <w:sz w:val="24"/>
          <w:szCs w:val="24"/>
        </w:rPr>
        <w:t>Program Directors and Managers</w:t>
      </w:r>
      <w:r w:rsidR="000E2F8E">
        <w:rPr>
          <w:rFonts w:ascii="Times New Roman" w:hAnsi="Times New Roman"/>
          <w:b/>
          <w:sz w:val="24"/>
          <w:szCs w:val="24"/>
        </w:rPr>
        <w:t>:</w:t>
      </w:r>
      <w:r>
        <w:rPr>
          <w:rFonts w:ascii="Times New Roman" w:hAnsi="Times New Roman"/>
          <w:sz w:val="24"/>
          <w:szCs w:val="24"/>
        </w:rPr>
        <w:t xml:space="preserve"> Interviews with </w:t>
      </w:r>
      <w:r w:rsidR="0091228D">
        <w:rPr>
          <w:rFonts w:ascii="Times New Roman" w:hAnsi="Times New Roman"/>
          <w:sz w:val="24"/>
          <w:szCs w:val="24"/>
        </w:rPr>
        <w:t xml:space="preserve">24 </w:t>
      </w:r>
      <w:r w:rsidR="00D8319C">
        <w:rPr>
          <w:rFonts w:ascii="Times New Roman" w:hAnsi="Times New Roman"/>
          <w:sz w:val="24"/>
          <w:szCs w:val="24"/>
        </w:rPr>
        <w:t xml:space="preserve">program directors and other key staff involved in the goal-setting </w:t>
      </w:r>
      <w:r w:rsidR="00791156">
        <w:rPr>
          <w:rFonts w:ascii="Times New Roman" w:hAnsi="Times New Roman"/>
          <w:sz w:val="24"/>
          <w:szCs w:val="24"/>
        </w:rPr>
        <w:t>process (2 per each of 12 sites visi</w:t>
      </w:r>
      <w:r w:rsidR="002174B6">
        <w:rPr>
          <w:rFonts w:ascii="Times New Roman" w:hAnsi="Times New Roman"/>
          <w:sz w:val="24"/>
          <w:szCs w:val="24"/>
        </w:rPr>
        <w:t xml:space="preserve">ted). These 24 respondents will </w:t>
      </w:r>
      <w:r w:rsidR="002A17DB">
        <w:rPr>
          <w:rFonts w:ascii="Times New Roman" w:hAnsi="Times New Roman"/>
          <w:sz w:val="24"/>
          <w:szCs w:val="24"/>
        </w:rPr>
        <w:t xml:space="preserve">include 12 respondents </w:t>
      </w:r>
      <w:r w:rsidR="00AB53E4">
        <w:rPr>
          <w:rFonts w:ascii="Times New Roman" w:hAnsi="Times New Roman"/>
          <w:sz w:val="24"/>
          <w:szCs w:val="24"/>
        </w:rPr>
        <w:t xml:space="preserve">who have already participated in </w:t>
      </w:r>
      <w:r w:rsidR="002A17DB">
        <w:rPr>
          <w:rFonts w:ascii="Times New Roman" w:hAnsi="Times New Roman"/>
          <w:sz w:val="24"/>
          <w:szCs w:val="24"/>
        </w:rPr>
        <w:t>the telephone interviews</w:t>
      </w:r>
      <w:r w:rsidR="003C3191">
        <w:rPr>
          <w:rFonts w:ascii="Times New Roman" w:hAnsi="Times New Roman"/>
          <w:sz w:val="24"/>
          <w:szCs w:val="24"/>
        </w:rPr>
        <w:t>;</w:t>
      </w:r>
      <w:r w:rsidR="002A17DB">
        <w:rPr>
          <w:rFonts w:ascii="Times New Roman" w:hAnsi="Times New Roman"/>
          <w:sz w:val="24"/>
          <w:szCs w:val="24"/>
        </w:rPr>
        <w:t xml:space="preserve"> </w:t>
      </w:r>
    </w:p>
    <w:p w:rsidR="0091228D" w:rsidRPr="00682E27" w:rsidRDefault="009A5DCA" w:rsidP="0057079B">
      <w:pPr>
        <w:pStyle w:val="ColorfulList-Accent11"/>
        <w:numPr>
          <w:ilvl w:val="0"/>
          <w:numId w:val="31"/>
        </w:numPr>
        <w:rPr>
          <w:rFonts w:ascii="Times New Roman" w:hAnsi="Times New Roman"/>
          <w:sz w:val="24"/>
          <w:szCs w:val="24"/>
        </w:rPr>
      </w:pPr>
      <w:r w:rsidRPr="00D7006D">
        <w:rPr>
          <w:rFonts w:ascii="Times New Roman" w:hAnsi="Times New Roman"/>
          <w:b/>
          <w:sz w:val="24"/>
          <w:szCs w:val="24"/>
        </w:rPr>
        <w:lastRenderedPageBreak/>
        <w:t xml:space="preserve">Interview </w:t>
      </w:r>
      <w:r w:rsidR="000E2F8E" w:rsidRPr="00D7006D">
        <w:rPr>
          <w:rFonts w:ascii="Times New Roman" w:hAnsi="Times New Roman"/>
          <w:b/>
          <w:sz w:val="24"/>
          <w:szCs w:val="24"/>
        </w:rPr>
        <w:t xml:space="preserve">Guide for </w:t>
      </w:r>
      <w:r w:rsidRPr="00D7006D">
        <w:rPr>
          <w:rFonts w:ascii="Times New Roman" w:hAnsi="Times New Roman"/>
          <w:b/>
          <w:sz w:val="24"/>
          <w:szCs w:val="24"/>
        </w:rPr>
        <w:t>Other Mangers, Coordinators and Specialists</w:t>
      </w:r>
      <w:r w:rsidR="000E2F8E" w:rsidRPr="00D7006D">
        <w:rPr>
          <w:rFonts w:ascii="Times New Roman" w:hAnsi="Times New Roman"/>
          <w:b/>
          <w:sz w:val="24"/>
          <w:szCs w:val="24"/>
        </w:rPr>
        <w:t>:</w:t>
      </w:r>
      <w:r>
        <w:rPr>
          <w:rFonts w:ascii="Times New Roman" w:hAnsi="Times New Roman"/>
          <w:sz w:val="24"/>
          <w:szCs w:val="24"/>
        </w:rPr>
        <w:t xml:space="preserve">  </w:t>
      </w:r>
      <w:r w:rsidR="00D7006D">
        <w:rPr>
          <w:rFonts w:ascii="Times New Roman" w:hAnsi="Times New Roman"/>
          <w:sz w:val="24"/>
          <w:szCs w:val="24"/>
        </w:rPr>
        <w:t>I</w:t>
      </w:r>
      <w:r>
        <w:rPr>
          <w:rFonts w:ascii="Times New Roman" w:hAnsi="Times New Roman"/>
          <w:sz w:val="24"/>
          <w:szCs w:val="24"/>
        </w:rPr>
        <w:t xml:space="preserve">nterviews with </w:t>
      </w:r>
      <w:r w:rsidR="009D4065">
        <w:rPr>
          <w:rFonts w:ascii="Times New Roman" w:hAnsi="Times New Roman"/>
          <w:sz w:val="24"/>
          <w:szCs w:val="24"/>
        </w:rPr>
        <w:t xml:space="preserve">60 </w:t>
      </w:r>
      <w:r w:rsidR="0091228D">
        <w:rPr>
          <w:rFonts w:ascii="Times New Roman" w:hAnsi="Times New Roman"/>
          <w:sz w:val="24"/>
          <w:szCs w:val="24"/>
        </w:rPr>
        <w:t xml:space="preserve">other </w:t>
      </w:r>
      <w:r w:rsidR="009D4065">
        <w:rPr>
          <w:rFonts w:ascii="Times New Roman" w:hAnsi="Times New Roman"/>
          <w:sz w:val="24"/>
          <w:szCs w:val="24"/>
        </w:rPr>
        <w:t xml:space="preserve">services </w:t>
      </w:r>
      <w:r w:rsidR="0091228D">
        <w:rPr>
          <w:rFonts w:ascii="Times New Roman" w:hAnsi="Times New Roman"/>
          <w:sz w:val="24"/>
          <w:szCs w:val="24"/>
        </w:rPr>
        <w:t>managers</w:t>
      </w:r>
      <w:r w:rsidR="009D4065">
        <w:rPr>
          <w:rFonts w:ascii="Times New Roman" w:hAnsi="Times New Roman"/>
          <w:sz w:val="24"/>
          <w:szCs w:val="24"/>
        </w:rPr>
        <w:t>,</w:t>
      </w:r>
      <w:r w:rsidR="00D8319C">
        <w:rPr>
          <w:rFonts w:ascii="Times New Roman" w:hAnsi="Times New Roman"/>
          <w:sz w:val="24"/>
          <w:szCs w:val="24"/>
        </w:rPr>
        <w:t xml:space="preserve"> </w:t>
      </w:r>
      <w:r w:rsidR="004C7FD3">
        <w:rPr>
          <w:rFonts w:ascii="Times New Roman" w:hAnsi="Times New Roman"/>
          <w:sz w:val="24"/>
          <w:szCs w:val="24"/>
        </w:rPr>
        <w:t>coordinators</w:t>
      </w:r>
      <w:r w:rsidR="009D4065">
        <w:rPr>
          <w:rFonts w:ascii="Times New Roman" w:hAnsi="Times New Roman"/>
          <w:sz w:val="24"/>
          <w:szCs w:val="24"/>
        </w:rPr>
        <w:t xml:space="preserve">, or </w:t>
      </w:r>
      <w:r w:rsidR="0091228D">
        <w:rPr>
          <w:rFonts w:ascii="Times New Roman" w:hAnsi="Times New Roman"/>
          <w:sz w:val="24"/>
          <w:szCs w:val="24"/>
        </w:rPr>
        <w:t>specialists</w:t>
      </w:r>
      <w:r w:rsidR="00D8319C">
        <w:rPr>
          <w:rFonts w:ascii="Times New Roman" w:hAnsi="Times New Roman"/>
          <w:sz w:val="24"/>
          <w:szCs w:val="24"/>
        </w:rPr>
        <w:t xml:space="preserve"> </w:t>
      </w:r>
      <w:r w:rsidR="00AB53E4">
        <w:rPr>
          <w:rFonts w:ascii="Times New Roman" w:hAnsi="Times New Roman"/>
          <w:sz w:val="24"/>
          <w:szCs w:val="24"/>
        </w:rPr>
        <w:t>(</w:t>
      </w:r>
      <w:r w:rsidR="005E5545">
        <w:rPr>
          <w:rFonts w:ascii="Times New Roman" w:hAnsi="Times New Roman"/>
          <w:sz w:val="24"/>
          <w:szCs w:val="24"/>
        </w:rPr>
        <w:t xml:space="preserve">approximately </w:t>
      </w:r>
      <w:r w:rsidR="00AB53E4">
        <w:rPr>
          <w:rFonts w:ascii="Times New Roman" w:hAnsi="Times New Roman"/>
          <w:sz w:val="24"/>
          <w:szCs w:val="24"/>
        </w:rPr>
        <w:t xml:space="preserve">4 from the 6 single-program sites and </w:t>
      </w:r>
      <w:r w:rsidR="003C3191">
        <w:rPr>
          <w:rFonts w:ascii="Times New Roman" w:hAnsi="Times New Roman"/>
          <w:sz w:val="24"/>
          <w:szCs w:val="24"/>
        </w:rPr>
        <w:t>6</w:t>
      </w:r>
      <w:r w:rsidR="00AB53E4">
        <w:rPr>
          <w:rFonts w:ascii="Times New Roman" w:hAnsi="Times New Roman"/>
          <w:sz w:val="24"/>
          <w:szCs w:val="24"/>
        </w:rPr>
        <w:t xml:space="preserve"> from the 6 combined program sites)</w:t>
      </w:r>
      <w:r w:rsidR="003C3191">
        <w:rPr>
          <w:rFonts w:ascii="Times New Roman" w:hAnsi="Times New Roman"/>
          <w:sz w:val="24"/>
          <w:szCs w:val="24"/>
        </w:rPr>
        <w:t>;</w:t>
      </w:r>
      <w:r w:rsidR="00D8319C">
        <w:rPr>
          <w:rFonts w:ascii="Times New Roman" w:hAnsi="Times New Roman"/>
          <w:sz w:val="24"/>
          <w:szCs w:val="24"/>
        </w:rPr>
        <w:t xml:space="preserve">  </w:t>
      </w:r>
    </w:p>
    <w:p w:rsidR="0091228D" w:rsidRDefault="000E2F8E" w:rsidP="0091228D">
      <w:pPr>
        <w:pStyle w:val="ColorfulList-Accent11"/>
        <w:numPr>
          <w:ilvl w:val="0"/>
          <w:numId w:val="31"/>
        </w:numPr>
        <w:rPr>
          <w:rFonts w:ascii="Times New Roman" w:hAnsi="Times New Roman"/>
          <w:sz w:val="24"/>
          <w:szCs w:val="24"/>
        </w:rPr>
      </w:pPr>
      <w:r w:rsidRPr="00D7006D">
        <w:rPr>
          <w:rFonts w:ascii="Times New Roman" w:hAnsi="Times New Roman"/>
          <w:b/>
          <w:sz w:val="24"/>
          <w:szCs w:val="24"/>
        </w:rPr>
        <w:t xml:space="preserve">Interview Guide for Staff:  </w:t>
      </w:r>
      <w:r w:rsidR="00D7006D">
        <w:rPr>
          <w:rFonts w:ascii="Times New Roman" w:hAnsi="Times New Roman"/>
          <w:sz w:val="24"/>
          <w:szCs w:val="24"/>
        </w:rPr>
        <w:t>In</w:t>
      </w:r>
      <w:r w:rsidR="00060968" w:rsidRPr="001349E9">
        <w:rPr>
          <w:rFonts w:ascii="Times New Roman" w:hAnsi="Times New Roman"/>
          <w:sz w:val="24"/>
          <w:szCs w:val="24"/>
        </w:rPr>
        <w:t>terview</w:t>
      </w:r>
      <w:r w:rsidR="00242D31">
        <w:rPr>
          <w:rFonts w:ascii="Times New Roman" w:hAnsi="Times New Roman"/>
          <w:sz w:val="24"/>
          <w:szCs w:val="24"/>
        </w:rPr>
        <w:t xml:space="preserve">s </w:t>
      </w:r>
      <w:r w:rsidR="00060968">
        <w:rPr>
          <w:rFonts w:ascii="Times New Roman" w:hAnsi="Times New Roman"/>
          <w:sz w:val="24"/>
          <w:szCs w:val="24"/>
        </w:rPr>
        <w:t>wi</w:t>
      </w:r>
      <w:r w:rsidR="00D64882">
        <w:rPr>
          <w:rFonts w:ascii="Times New Roman" w:hAnsi="Times New Roman"/>
          <w:sz w:val="24"/>
          <w:szCs w:val="24"/>
        </w:rPr>
        <w:t xml:space="preserve">th </w:t>
      </w:r>
      <w:r w:rsidR="009D4065">
        <w:rPr>
          <w:rFonts w:ascii="Times New Roman" w:hAnsi="Times New Roman"/>
          <w:sz w:val="24"/>
          <w:szCs w:val="24"/>
        </w:rPr>
        <w:t>54</w:t>
      </w:r>
      <w:r w:rsidR="0091228D">
        <w:rPr>
          <w:rFonts w:ascii="Times New Roman" w:hAnsi="Times New Roman"/>
          <w:sz w:val="24"/>
          <w:szCs w:val="24"/>
        </w:rPr>
        <w:t xml:space="preserve">  front line staff, including</w:t>
      </w:r>
      <w:r w:rsidR="002A17DB">
        <w:rPr>
          <w:rFonts w:ascii="Times New Roman" w:hAnsi="Times New Roman"/>
          <w:sz w:val="24"/>
          <w:szCs w:val="24"/>
        </w:rPr>
        <w:t xml:space="preserve"> teachers</w:t>
      </w:r>
      <w:r w:rsidR="009D4065">
        <w:rPr>
          <w:rFonts w:ascii="Times New Roman" w:hAnsi="Times New Roman"/>
          <w:sz w:val="24"/>
          <w:szCs w:val="24"/>
        </w:rPr>
        <w:t xml:space="preserve"> and</w:t>
      </w:r>
      <w:r w:rsidR="002A17DB">
        <w:rPr>
          <w:rFonts w:ascii="Times New Roman" w:hAnsi="Times New Roman"/>
          <w:sz w:val="24"/>
          <w:szCs w:val="24"/>
        </w:rPr>
        <w:t xml:space="preserve"> home visitors</w:t>
      </w:r>
      <w:r w:rsidR="00AB53E4">
        <w:rPr>
          <w:rFonts w:ascii="Times New Roman" w:hAnsi="Times New Roman"/>
          <w:sz w:val="24"/>
          <w:szCs w:val="24"/>
        </w:rPr>
        <w:t xml:space="preserve"> (</w:t>
      </w:r>
      <w:r w:rsidR="005E5545">
        <w:rPr>
          <w:rFonts w:ascii="Times New Roman" w:hAnsi="Times New Roman"/>
          <w:sz w:val="24"/>
          <w:szCs w:val="24"/>
        </w:rPr>
        <w:t xml:space="preserve">one small group interview of 3 in the single-program sites and two small-group interviews of 3 each in the </w:t>
      </w:r>
      <w:r w:rsidR="00AB53E4">
        <w:rPr>
          <w:rFonts w:ascii="Times New Roman" w:hAnsi="Times New Roman"/>
          <w:sz w:val="24"/>
          <w:szCs w:val="24"/>
        </w:rPr>
        <w:t>combined program sites)</w:t>
      </w:r>
      <w:r w:rsidR="003C3191">
        <w:rPr>
          <w:rFonts w:ascii="Times New Roman" w:hAnsi="Times New Roman"/>
          <w:sz w:val="24"/>
          <w:szCs w:val="24"/>
        </w:rPr>
        <w:t>;</w:t>
      </w:r>
      <w:r w:rsidR="00AB53E4">
        <w:rPr>
          <w:rFonts w:ascii="Times New Roman" w:hAnsi="Times New Roman"/>
          <w:sz w:val="24"/>
          <w:szCs w:val="24"/>
        </w:rPr>
        <w:t xml:space="preserve"> </w:t>
      </w:r>
    </w:p>
    <w:p w:rsidR="00682E27" w:rsidRPr="00682E27" w:rsidRDefault="00242D31" w:rsidP="0091228D">
      <w:pPr>
        <w:pStyle w:val="ColorfulList-Accent11"/>
        <w:numPr>
          <w:ilvl w:val="0"/>
          <w:numId w:val="31"/>
        </w:numPr>
        <w:rPr>
          <w:rFonts w:ascii="Times New Roman" w:hAnsi="Times New Roman"/>
          <w:sz w:val="24"/>
          <w:szCs w:val="24"/>
        </w:rPr>
      </w:pPr>
      <w:r w:rsidRPr="00D7006D">
        <w:rPr>
          <w:rFonts w:ascii="Times New Roman" w:hAnsi="Times New Roman"/>
          <w:b/>
          <w:sz w:val="24"/>
          <w:szCs w:val="24"/>
        </w:rPr>
        <w:t>Interview Guide for Governing Body or Policy Council Members:</w:t>
      </w:r>
      <w:r>
        <w:rPr>
          <w:rFonts w:ascii="Times New Roman" w:hAnsi="Times New Roman"/>
          <w:sz w:val="24"/>
          <w:szCs w:val="24"/>
        </w:rPr>
        <w:t xml:space="preserve"> Interviews with </w:t>
      </w:r>
      <w:r w:rsidR="00B01013">
        <w:rPr>
          <w:rFonts w:ascii="Times New Roman" w:hAnsi="Times New Roman"/>
          <w:sz w:val="24"/>
          <w:szCs w:val="24"/>
        </w:rPr>
        <w:t>48</w:t>
      </w:r>
      <w:r w:rsidR="0091228D">
        <w:rPr>
          <w:rFonts w:ascii="Times New Roman" w:hAnsi="Times New Roman"/>
          <w:sz w:val="24"/>
          <w:szCs w:val="24"/>
        </w:rPr>
        <w:t xml:space="preserve"> members of governing </w:t>
      </w:r>
      <w:r w:rsidR="004570A6">
        <w:rPr>
          <w:rFonts w:ascii="Times New Roman" w:hAnsi="Times New Roman"/>
          <w:sz w:val="24"/>
          <w:szCs w:val="24"/>
        </w:rPr>
        <w:t xml:space="preserve">bodies </w:t>
      </w:r>
      <w:r w:rsidR="0091228D">
        <w:rPr>
          <w:rFonts w:ascii="Times New Roman" w:hAnsi="Times New Roman"/>
          <w:sz w:val="24"/>
          <w:szCs w:val="24"/>
        </w:rPr>
        <w:t>and policy councils</w:t>
      </w:r>
      <w:r w:rsidR="00AB53E4">
        <w:rPr>
          <w:rFonts w:ascii="Times New Roman" w:hAnsi="Times New Roman"/>
          <w:sz w:val="24"/>
          <w:szCs w:val="24"/>
        </w:rPr>
        <w:t xml:space="preserve"> ( </w:t>
      </w:r>
      <w:r w:rsidR="00B01013">
        <w:rPr>
          <w:rFonts w:ascii="Times New Roman" w:hAnsi="Times New Roman"/>
          <w:sz w:val="24"/>
          <w:szCs w:val="24"/>
        </w:rPr>
        <w:t>1</w:t>
      </w:r>
      <w:r w:rsidR="00AB53E4">
        <w:rPr>
          <w:rFonts w:ascii="Times New Roman" w:hAnsi="Times New Roman"/>
          <w:sz w:val="24"/>
          <w:szCs w:val="24"/>
        </w:rPr>
        <w:t xml:space="preserve"> member of </w:t>
      </w:r>
      <w:r w:rsidR="00B01013">
        <w:rPr>
          <w:rFonts w:ascii="Times New Roman" w:hAnsi="Times New Roman"/>
          <w:sz w:val="24"/>
          <w:szCs w:val="24"/>
        </w:rPr>
        <w:t xml:space="preserve">the </w:t>
      </w:r>
      <w:r w:rsidR="00AB53E4">
        <w:rPr>
          <w:rFonts w:ascii="Times New Roman" w:hAnsi="Times New Roman"/>
          <w:sz w:val="24"/>
          <w:szCs w:val="24"/>
        </w:rPr>
        <w:t>governing bod</w:t>
      </w:r>
      <w:r w:rsidR="00B01013">
        <w:rPr>
          <w:rFonts w:ascii="Times New Roman" w:hAnsi="Times New Roman"/>
          <w:sz w:val="24"/>
          <w:szCs w:val="24"/>
        </w:rPr>
        <w:t>y</w:t>
      </w:r>
      <w:r w:rsidR="00AB53E4">
        <w:rPr>
          <w:rFonts w:ascii="Times New Roman" w:hAnsi="Times New Roman"/>
          <w:sz w:val="24"/>
          <w:szCs w:val="24"/>
        </w:rPr>
        <w:t xml:space="preserve"> and 3 members of policy councils in each of the 12 sites</w:t>
      </w:r>
      <w:r w:rsidR="003C3191">
        <w:rPr>
          <w:rFonts w:ascii="Times New Roman" w:hAnsi="Times New Roman"/>
          <w:sz w:val="24"/>
          <w:szCs w:val="24"/>
        </w:rPr>
        <w:t>);</w:t>
      </w:r>
      <w:r w:rsidR="00AB53E4">
        <w:rPr>
          <w:rFonts w:ascii="Times New Roman" w:hAnsi="Times New Roman"/>
          <w:sz w:val="24"/>
          <w:szCs w:val="24"/>
        </w:rPr>
        <w:t xml:space="preserve"> </w:t>
      </w:r>
    </w:p>
    <w:p w:rsidR="0091228D" w:rsidRPr="00D7006D" w:rsidRDefault="00242D31" w:rsidP="008F4E12">
      <w:pPr>
        <w:pStyle w:val="ColorfulList-Accent11"/>
        <w:numPr>
          <w:ilvl w:val="0"/>
          <w:numId w:val="31"/>
        </w:numPr>
        <w:rPr>
          <w:rFonts w:ascii="Times New Roman" w:hAnsi="Times New Roman"/>
          <w:sz w:val="24"/>
          <w:szCs w:val="24"/>
        </w:rPr>
      </w:pPr>
      <w:r w:rsidRPr="00D7006D">
        <w:rPr>
          <w:rFonts w:ascii="Times New Roman" w:hAnsi="Times New Roman"/>
          <w:b/>
          <w:sz w:val="24"/>
          <w:szCs w:val="24"/>
        </w:rPr>
        <w:t xml:space="preserve">Interview Guide for Local Education Agency Representative: </w:t>
      </w:r>
      <w:r>
        <w:rPr>
          <w:rFonts w:ascii="Times New Roman" w:hAnsi="Times New Roman"/>
          <w:sz w:val="24"/>
          <w:szCs w:val="24"/>
        </w:rPr>
        <w:t xml:space="preserve"> </w:t>
      </w:r>
      <w:r w:rsidR="00D7006D">
        <w:rPr>
          <w:rFonts w:ascii="Times New Roman" w:hAnsi="Times New Roman"/>
          <w:sz w:val="24"/>
          <w:szCs w:val="24"/>
        </w:rPr>
        <w:t>I</w:t>
      </w:r>
      <w:r>
        <w:rPr>
          <w:rFonts w:ascii="Times New Roman" w:hAnsi="Times New Roman"/>
          <w:sz w:val="24"/>
          <w:szCs w:val="24"/>
        </w:rPr>
        <w:t>nterviews with 1</w:t>
      </w:r>
      <w:r w:rsidR="0091228D" w:rsidRPr="001349E9">
        <w:rPr>
          <w:rFonts w:ascii="Times New Roman" w:hAnsi="Times New Roman"/>
          <w:sz w:val="24"/>
          <w:szCs w:val="24"/>
        </w:rPr>
        <w:t>2 liaisons from local education agencies (LEA) with whom grantees have an established MOU or partnership</w:t>
      </w:r>
      <w:r w:rsidR="00682E27" w:rsidRPr="001349E9">
        <w:rPr>
          <w:rFonts w:ascii="Times New Roman" w:hAnsi="Times New Roman"/>
          <w:sz w:val="24"/>
          <w:szCs w:val="24"/>
        </w:rPr>
        <w:t xml:space="preserve"> (</w:t>
      </w:r>
      <w:r w:rsidR="0091228D" w:rsidRPr="007F5520">
        <w:rPr>
          <w:rFonts w:ascii="Times New Roman" w:hAnsi="Times New Roman"/>
          <w:sz w:val="24"/>
          <w:szCs w:val="24"/>
        </w:rPr>
        <w:t>1 in each of 12 sites</w:t>
      </w:r>
      <w:r w:rsidR="00682E27" w:rsidRPr="007F5520">
        <w:rPr>
          <w:rFonts w:ascii="Times New Roman" w:hAnsi="Times New Roman"/>
          <w:sz w:val="24"/>
          <w:szCs w:val="24"/>
        </w:rPr>
        <w:t>)</w:t>
      </w:r>
      <w:r w:rsidR="0091228D" w:rsidRPr="00D7006D">
        <w:rPr>
          <w:rFonts w:ascii="Times New Roman" w:hAnsi="Times New Roman"/>
          <w:sz w:val="24"/>
          <w:szCs w:val="24"/>
        </w:rPr>
        <w:t>; and</w:t>
      </w:r>
    </w:p>
    <w:p w:rsidR="00465BA1" w:rsidRDefault="00242D31" w:rsidP="0057079B">
      <w:pPr>
        <w:pStyle w:val="ColorfulList-Accent11"/>
        <w:numPr>
          <w:ilvl w:val="1"/>
          <w:numId w:val="31"/>
        </w:numPr>
        <w:ind w:left="720"/>
        <w:rPr>
          <w:rFonts w:ascii="Times New Roman" w:hAnsi="Times New Roman"/>
          <w:sz w:val="24"/>
          <w:szCs w:val="24"/>
        </w:rPr>
      </w:pPr>
      <w:r w:rsidRPr="00D7006D">
        <w:rPr>
          <w:rFonts w:ascii="Times New Roman" w:hAnsi="Times New Roman"/>
          <w:b/>
          <w:sz w:val="24"/>
          <w:szCs w:val="24"/>
        </w:rPr>
        <w:t>Interview Guide for Parents:</w:t>
      </w:r>
      <w:r>
        <w:rPr>
          <w:rFonts w:ascii="Times New Roman" w:hAnsi="Times New Roman"/>
          <w:sz w:val="24"/>
          <w:szCs w:val="24"/>
        </w:rPr>
        <w:t xml:space="preserve"> Interviews with </w:t>
      </w:r>
      <w:r w:rsidR="00AB53E4" w:rsidRPr="00D7006D">
        <w:rPr>
          <w:rFonts w:ascii="Times New Roman" w:hAnsi="Times New Roman"/>
          <w:sz w:val="24"/>
          <w:szCs w:val="24"/>
        </w:rPr>
        <w:t>36</w:t>
      </w:r>
      <w:r w:rsidR="0091228D" w:rsidRPr="00D7006D">
        <w:rPr>
          <w:rFonts w:ascii="Times New Roman" w:hAnsi="Times New Roman"/>
          <w:sz w:val="24"/>
          <w:szCs w:val="24"/>
        </w:rPr>
        <w:t xml:space="preserve"> </w:t>
      </w:r>
      <w:r w:rsidR="00856384" w:rsidRPr="00D7006D">
        <w:rPr>
          <w:rFonts w:ascii="Times New Roman" w:hAnsi="Times New Roman"/>
          <w:sz w:val="24"/>
          <w:szCs w:val="24"/>
        </w:rPr>
        <w:t xml:space="preserve">Head Start and Early Head Start </w:t>
      </w:r>
      <w:r w:rsidR="0091228D" w:rsidRPr="00D7006D">
        <w:rPr>
          <w:rFonts w:ascii="Times New Roman" w:hAnsi="Times New Roman"/>
          <w:sz w:val="24"/>
          <w:szCs w:val="24"/>
        </w:rPr>
        <w:t>parents</w:t>
      </w:r>
      <w:r w:rsidR="00AB53E4" w:rsidRPr="00D7006D">
        <w:rPr>
          <w:rFonts w:ascii="Times New Roman" w:hAnsi="Times New Roman"/>
          <w:sz w:val="24"/>
          <w:szCs w:val="24"/>
        </w:rPr>
        <w:t xml:space="preserve"> (</w:t>
      </w:r>
      <w:r w:rsidR="00B01013" w:rsidRPr="00D7006D">
        <w:rPr>
          <w:rFonts w:ascii="Times New Roman" w:hAnsi="Times New Roman"/>
          <w:sz w:val="24"/>
          <w:szCs w:val="24"/>
        </w:rPr>
        <w:t>2 Head Start parents from each of 12 sites, and 2 Early Head Start parents in the 6 sites with EHS programs)</w:t>
      </w:r>
      <w:r w:rsidR="0057079B" w:rsidRPr="00D7006D">
        <w:rPr>
          <w:rFonts w:ascii="Times New Roman" w:hAnsi="Times New Roman"/>
          <w:sz w:val="24"/>
          <w:szCs w:val="24"/>
        </w:rPr>
        <w:t>.</w:t>
      </w:r>
      <w:r w:rsidR="00D37C3D" w:rsidRPr="00D7006D">
        <w:rPr>
          <w:rFonts w:ascii="Times New Roman" w:hAnsi="Times New Roman"/>
          <w:sz w:val="24"/>
          <w:szCs w:val="24"/>
        </w:rPr>
        <w:t xml:space="preserve"> </w:t>
      </w:r>
    </w:p>
    <w:p w:rsidR="00242D31" w:rsidRDefault="00242D31" w:rsidP="00D7006D">
      <w:pPr>
        <w:pStyle w:val="ColorfulList-Accent11"/>
        <w:ind w:left="0"/>
        <w:rPr>
          <w:rFonts w:ascii="Times New Roman" w:hAnsi="Times New Roman"/>
          <w:sz w:val="24"/>
          <w:szCs w:val="24"/>
        </w:rPr>
      </w:pPr>
    </w:p>
    <w:p w:rsidR="00242D31" w:rsidRPr="00D52103" w:rsidRDefault="00242D31" w:rsidP="00D7006D">
      <w:pPr>
        <w:pStyle w:val="ColorfulList-Accent11"/>
        <w:ind w:left="0"/>
        <w:rPr>
          <w:rFonts w:ascii="Times New Roman" w:hAnsi="Times New Roman"/>
          <w:sz w:val="24"/>
          <w:szCs w:val="24"/>
        </w:rPr>
      </w:pPr>
      <w:r>
        <w:rPr>
          <w:rFonts w:ascii="Times New Roman" w:hAnsi="Times New Roman"/>
          <w:sz w:val="24"/>
          <w:szCs w:val="24"/>
        </w:rPr>
        <w:t xml:space="preserve">Finally, the </w:t>
      </w:r>
      <w:r w:rsidR="006B27F0">
        <w:rPr>
          <w:rFonts w:ascii="Times New Roman" w:hAnsi="Times New Roman"/>
          <w:sz w:val="24"/>
          <w:szCs w:val="24"/>
        </w:rPr>
        <w:t xml:space="preserve">burden estimate for the </w:t>
      </w:r>
      <w:r w:rsidR="006B27F0" w:rsidRPr="00D7006D">
        <w:rPr>
          <w:rFonts w:ascii="Times New Roman" w:hAnsi="Times New Roman"/>
          <w:b/>
          <w:sz w:val="24"/>
          <w:szCs w:val="24"/>
        </w:rPr>
        <w:t>telephone interviews with AIAN grantees</w:t>
      </w:r>
      <w:r w:rsidR="006B27F0">
        <w:rPr>
          <w:rFonts w:ascii="Times New Roman" w:hAnsi="Times New Roman"/>
          <w:sz w:val="24"/>
          <w:szCs w:val="24"/>
        </w:rPr>
        <w:t xml:space="preserve"> assumes hour-long qualitative interviews are scheduled with four program directors of tribal Head Start programs. </w:t>
      </w:r>
    </w:p>
    <w:p w:rsidR="00BF232F" w:rsidRDefault="00BF232F" w:rsidP="005707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52103" w:rsidRPr="00057166" w:rsidRDefault="00D52103" w:rsidP="00D5210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06987">
        <w:rPr>
          <w:b/>
        </w:rPr>
        <w:t xml:space="preserve">Exhibit </w:t>
      </w:r>
      <w:r>
        <w:rPr>
          <w:b/>
        </w:rPr>
        <w:t>3</w:t>
      </w:r>
      <w:r w:rsidRPr="00806987">
        <w:rPr>
          <w:b/>
        </w:rPr>
        <w:t>: Estimated Burden in Annualized Hours and Costs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08"/>
        <w:gridCol w:w="900"/>
        <w:gridCol w:w="810"/>
        <w:gridCol w:w="810"/>
        <w:gridCol w:w="810"/>
        <w:gridCol w:w="720"/>
        <w:gridCol w:w="1080"/>
        <w:gridCol w:w="810"/>
      </w:tblGrid>
      <w:tr w:rsidR="00D52103" w:rsidRPr="008D7604" w:rsidTr="007F25A0">
        <w:trPr>
          <w:cantSplit/>
          <w:trHeight w:val="1880"/>
        </w:trPr>
        <w:tc>
          <w:tcPr>
            <w:tcW w:w="3708" w:type="dxa"/>
            <w:shd w:val="clear" w:color="auto" w:fill="BFBFBF"/>
            <w:vAlign w:val="center"/>
          </w:tcPr>
          <w:p w:rsidR="00D52103" w:rsidRPr="005679C8" w:rsidRDefault="00D52103" w:rsidP="00A61E0E">
            <w:pPr>
              <w:ind w:right="-378"/>
              <w:rPr>
                <w:b/>
                <w:sz w:val="20"/>
                <w:szCs w:val="20"/>
              </w:rPr>
            </w:pPr>
            <w:r w:rsidRPr="005679C8">
              <w:rPr>
                <w:b/>
                <w:sz w:val="20"/>
                <w:szCs w:val="20"/>
              </w:rPr>
              <w:t xml:space="preserve">Instrument (and appendix number). </w:t>
            </w:r>
          </w:p>
        </w:tc>
        <w:tc>
          <w:tcPr>
            <w:tcW w:w="900" w:type="dxa"/>
            <w:shd w:val="clear" w:color="auto" w:fill="BFBFBF"/>
            <w:textDirection w:val="btLr"/>
            <w:vAlign w:val="center"/>
          </w:tcPr>
          <w:p w:rsidR="00D52103" w:rsidRPr="005679C8" w:rsidRDefault="00D52103" w:rsidP="00A61E0E">
            <w:pPr>
              <w:ind w:left="113" w:right="113"/>
              <w:jc w:val="center"/>
              <w:rPr>
                <w:b/>
                <w:sz w:val="20"/>
                <w:szCs w:val="20"/>
              </w:rPr>
            </w:pPr>
            <w:r w:rsidRPr="005679C8">
              <w:rPr>
                <w:b/>
                <w:sz w:val="20"/>
                <w:szCs w:val="20"/>
              </w:rPr>
              <w:t>Total Number of Respondents</w:t>
            </w:r>
          </w:p>
        </w:tc>
        <w:tc>
          <w:tcPr>
            <w:tcW w:w="810" w:type="dxa"/>
            <w:shd w:val="clear" w:color="auto" w:fill="BFBFBF"/>
            <w:textDirection w:val="btLr"/>
            <w:vAlign w:val="center"/>
          </w:tcPr>
          <w:p w:rsidR="00D52103" w:rsidRPr="005679C8" w:rsidRDefault="00D52103" w:rsidP="00A61E0E">
            <w:pPr>
              <w:ind w:left="113" w:right="113"/>
              <w:jc w:val="center"/>
              <w:rPr>
                <w:b/>
                <w:sz w:val="20"/>
                <w:szCs w:val="20"/>
              </w:rPr>
            </w:pPr>
            <w:r w:rsidRPr="005679C8">
              <w:rPr>
                <w:b/>
                <w:sz w:val="20"/>
                <w:szCs w:val="20"/>
              </w:rPr>
              <w:t>Number of Responses Per Respondent</w:t>
            </w:r>
          </w:p>
        </w:tc>
        <w:tc>
          <w:tcPr>
            <w:tcW w:w="810" w:type="dxa"/>
            <w:shd w:val="clear" w:color="auto" w:fill="BFBFBF"/>
            <w:textDirection w:val="btLr"/>
            <w:vAlign w:val="center"/>
          </w:tcPr>
          <w:p w:rsidR="00D52103" w:rsidRPr="005679C8" w:rsidRDefault="00D52103" w:rsidP="00A61E0E">
            <w:pPr>
              <w:ind w:left="113" w:right="113"/>
              <w:jc w:val="center"/>
              <w:rPr>
                <w:b/>
                <w:sz w:val="20"/>
                <w:szCs w:val="20"/>
              </w:rPr>
            </w:pPr>
            <w:r w:rsidRPr="005679C8">
              <w:rPr>
                <w:b/>
                <w:sz w:val="20"/>
                <w:szCs w:val="20"/>
              </w:rPr>
              <w:t>Average Burden Hours Per Response</w:t>
            </w:r>
          </w:p>
        </w:tc>
        <w:tc>
          <w:tcPr>
            <w:tcW w:w="810" w:type="dxa"/>
            <w:shd w:val="clear" w:color="auto" w:fill="BFBFBF"/>
            <w:textDirection w:val="btLr"/>
            <w:vAlign w:val="center"/>
          </w:tcPr>
          <w:p w:rsidR="00D52103" w:rsidRPr="005679C8" w:rsidRDefault="00D52103" w:rsidP="00A61E0E">
            <w:pPr>
              <w:ind w:left="113" w:right="113"/>
              <w:jc w:val="center"/>
              <w:rPr>
                <w:b/>
                <w:sz w:val="20"/>
                <w:szCs w:val="20"/>
              </w:rPr>
            </w:pPr>
            <w:r w:rsidRPr="005679C8">
              <w:rPr>
                <w:b/>
                <w:sz w:val="20"/>
                <w:szCs w:val="20"/>
              </w:rPr>
              <w:t>Total Burden Hours</w:t>
            </w:r>
          </w:p>
        </w:tc>
        <w:tc>
          <w:tcPr>
            <w:tcW w:w="720" w:type="dxa"/>
            <w:shd w:val="clear" w:color="auto" w:fill="BFBFBF"/>
            <w:textDirection w:val="btLr"/>
            <w:vAlign w:val="center"/>
          </w:tcPr>
          <w:p w:rsidR="00D52103" w:rsidRPr="005679C8" w:rsidRDefault="00D52103" w:rsidP="00A61E0E">
            <w:pPr>
              <w:ind w:left="113" w:right="113"/>
              <w:jc w:val="center"/>
              <w:rPr>
                <w:b/>
                <w:bCs/>
                <w:sz w:val="20"/>
                <w:szCs w:val="20"/>
              </w:rPr>
            </w:pPr>
            <w:r w:rsidRPr="005679C8">
              <w:rPr>
                <w:b/>
                <w:bCs/>
                <w:sz w:val="20"/>
                <w:szCs w:val="20"/>
              </w:rPr>
              <w:t>Annual Burden Hours</w:t>
            </w:r>
          </w:p>
        </w:tc>
        <w:tc>
          <w:tcPr>
            <w:tcW w:w="1080" w:type="dxa"/>
            <w:shd w:val="clear" w:color="auto" w:fill="BFBFBF"/>
            <w:textDirection w:val="btLr"/>
            <w:vAlign w:val="center"/>
          </w:tcPr>
          <w:p w:rsidR="00D52103" w:rsidRPr="005679C8" w:rsidRDefault="00D52103" w:rsidP="00A61E0E">
            <w:pPr>
              <w:ind w:left="113" w:right="113"/>
              <w:jc w:val="center"/>
              <w:rPr>
                <w:b/>
                <w:sz w:val="20"/>
                <w:szCs w:val="20"/>
              </w:rPr>
            </w:pPr>
            <w:r w:rsidRPr="005679C8">
              <w:rPr>
                <w:b/>
                <w:bCs/>
                <w:sz w:val="20"/>
                <w:szCs w:val="20"/>
              </w:rPr>
              <w:t>Average Hourly Wage ($)</w:t>
            </w:r>
          </w:p>
        </w:tc>
        <w:tc>
          <w:tcPr>
            <w:tcW w:w="810" w:type="dxa"/>
            <w:shd w:val="clear" w:color="auto" w:fill="BFBFBF"/>
            <w:textDirection w:val="btLr"/>
            <w:vAlign w:val="center"/>
          </w:tcPr>
          <w:p w:rsidR="00D52103" w:rsidRPr="005679C8" w:rsidRDefault="00D52103" w:rsidP="00A61E0E">
            <w:pPr>
              <w:ind w:left="113" w:right="113"/>
              <w:jc w:val="center"/>
              <w:rPr>
                <w:b/>
                <w:sz w:val="20"/>
                <w:szCs w:val="20"/>
              </w:rPr>
            </w:pPr>
            <w:r w:rsidRPr="005679C8">
              <w:rPr>
                <w:b/>
                <w:bCs/>
                <w:sz w:val="20"/>
                <w:szCs w:val="20"/>
              </w:rPr>
              <w:t>Total Annual Cost ($)</w:t>
            </w:r>
          </w:p>
        </w:tc>
      </w:tr>
      <w:tr w:rsidR="00B5443C" w:rsidRPr="005679C8" w:rsidTr="007F25A0">
        <w:trPr>
          <w:trHeight w:val="432"/>
        </w:trPr>
        <w:tc>
          <w:tcPr>
            <w:tcW w:w="3708" w:type="dxa"/>
            <w:tcBorders>
              <w:bottom w:val="single" w:sz="4" w:space="0" w:color="000000"/>
            </w:tcBorders>
            <w:vAlign w:val="center"/>
          </w:tcPr>
          <w:p w:rsidR="00B5443C" w:rsidRPr="005679C8" w:rsidRDefault="00B5443C" w:rsidP="00A61E0E">
            <w:pPr>
              <w:rPr>
                <w:sz w:val="20"/>
                <w:szCs w:val="20"/>
              </w:rPr>
            </w:pPr>
            <w:r w:rsidRPr="005679C8">
              <w:rPr>
                <w:sz w:val="20"/>
                <w:szCs w:val="20"/>
              </w:rPr>
              <w:t>Telephone Interview Recruitment Script (A-</w:t>
            </w:r>
            <w:r>
              <w:rPr>
                <w:sz w:val="20"/>
                <w:szCs w:val="20"/>
              </w:rPr>
              <w:t>2</w:t>
            </w:r>
            <w:r w:rsidRPr="005679C8">
              <w:rPr>
                <w:sz w:val="20"/>
                <w:szCs w:val="20"/>
              </w:rPr>
              <w:t>)</w:t>
            </w:r>
          </w:p>
        </w:tc>
        <w:tc>
          <w:tcPr>
            <w:tcW w:w="900" w:type="dxa"/>
            <w:tcBorders>
              <w:bottom w:val="single" w:sz="4" w:space="0" w:color="000000"/>
            </w:tcBorders>
            <w:vAlign w:val="center"/>
          </w:tcPr>
          <w:p w:rsidR="00B5443C" w:rsidRDefault="00B5443C" w:rsidP="00294EC9">
            <w:pPr>
              <w:jc w:val="center"/>
              <w:rPr>
                <w:rFonts w:ascii="Calibri" w:hAnsi="Calibri"/>
                <w:color w:val="000000"/>
                <w:sz w:val="16"/>
                <w:szCs w:val="16"/>
              </w:rPr>
            </w:pPr>
            <w:r>
              <w:rPr>
                <w:rFonts w:ascii="Calibri" w:hAnsi="Calibri"/>
                <w:color w:val="000000"/>
                <w:sz w:val="16"/>
                <w:szCs w:val="16"/>
              </w:rPr>
              <w:t>157</w:t>
            </w:r>
          </w:p>
        </w:tc>
        <w:tc>
          <w:tcPr>
            <w:tcW w:w="810" w:type="dxa"/>
            <w:tcBorders>
              <w:bottom w:val="single" w:sz="4" w:space="0" w:color="000000"/>
            </w:tcBorders>
            <w:vAlign w:val="center"/>
          </w:tcPr>
          <w:p w:rsidR="00B5443C" w:rsidRDefault="00B5443C">
            <w:pPr>
              <w:jc w:val="center"/>
              <w:rPr>
                <w:rFonts w:ascii="Calibri" w:hAnsi="Calibri"/>
                <w:color w:val="000000"/>
                <w:sz w:val="16"/>
                <w:szCs w:val="16"/>
              </w:rPr>
            </w:pPr>
            <w:r>
              <w:rPr>
                <w:rFonts w:ascii="Calibri" w:hAnsi="Calibri"/>
                <w:color w:val="000000"/>
                <w:sz w:val="16"/>
                <w:szCs w:val="16"/>
              </w:rPr>
              <w:t>1</w:t>
            </w:r>
          </w:p>
        </w:tc>
        <w:tc>
          <w:tcPr>
            <w:tcW w:w="810" w:type="dxa"/>
            <w:tcBorders>
              <w:bottom w:val="single" w:sz="4" w:space="0" w:color="000000"/>
            </w:tcBorders>
            <w:vAlign w:val="center"/>
          </w:tcPr>
          <w:p w:rsidR="00B5443C" w:rsidRDefault="00B5443C" w:rsidP="00414483">
            <w:pPr>
              <w:jc w:val="center"/>
              <w:rPr>
                <w:rFonts w:ascii="Calibri" w:hAnsi="Calibri"/>
                <w:color w:val="000000"/>
                <w:sz w:val="16"/>
                <w:szCs w:val="16"/>
              </w:rPr>
            </w:pPr>
            <w:r>
              <w:rPr>
                <w:rFonts w:ascii="Calibri" w:hAnsi="Calibri"/>
                <w:color w:val="000000"/>
                <w:sz w:val="16"/>
                <w:szCs w:val="16"/>
              </w:rPr>
              <w:t>0.17</w:t>
            </w:r>
          </w:p>
        </w:tc>
        <w:tc>
          <w:tcPr>
            <w:tcW w:w="810" w:type="dxa"/>
            <w:tcBorders>
              <w:bottom w:val="single" w:sz="4" w:space="0" w:color="000000"/>
            </w:tcBorders>
            <w:vAlign w:val="center"/>
          </w:tcPr>
          <w:p w:rsidR="00B5443C" w:rsidRPr="00B5443C" w:rsidRDefault="00B5443C" w:rsidP="00414483">
            <w:pPr>
              <w:jc w:val="center"/>
              <w:rPr>
                <w:rFonts w:ascii="Calibri" w:hAnsi="Calibri"/>
                <w:bCs/>
                <w:color w:val="000000"/>
                <w:sz w:val="16"/>
                <w:szCs w:val="16"/>
              </w:rPr>
            </w:pPr>
            <w:r w:rsidRPr="00B5443C">
              <w:rPr>
                <w:rFonts w:ascii="Calibri" w:hAnsi="Calibri"/>
                <w:bCs/>
                <w:color w:val="000000"/>
                <w:sz w:val="16"/>
                <w:szCs w:val="16"/>
              </w:rPr>
              <w:t xml:space="preserve"> 27 </w:t>
            </w:r>
          </w:p>
        </w:tc>
        <w:tc>
          <w:tcPr>
            <w:tcW w:w="720" w:type="dxa"/>
            <w:tcBorders>
              <w:bottom w:val="single" w:sz="4" w:space="0" w:color="000000"/>
            </w:tcBorders>
            <w:vAlign w:val="center"/>
          </w:tcPr>
          <w:p w:rsidR="00B5443C" w:rsidRDefault="00B5443C" w:rsidP="00294EC9">
            <w:pPr>
              <w:jc w:val="center"/>
              <w:rPr>
                <w:rFonts w:ascii="Calibri" w:hAnsi="Calibri"/>
                <w:b/>
                <w:bCs/>
                <w:color w:val="000000"/>
                <w:sz w:val="16"/>
                <w:szCs w:val="16"/>
              </w:rPr>
            </w:pPr>
            <w:r>
              <w:rPr>
                <w:rFonts w:ascii="Calibri" w:hAnsi="Calibri"/>
                <w:b/>
                <w:bCs/>
                <w:color w:val="000000"/>
                <w:sz w:val="16"/>
                <w:szCs w:val="16"/>
              </w:rPr>
              <w:t xml:space="preserve"> 27 </w:t>
            </w:r>
          </w:p>
        </w:tc>
        <w:tc>
          <w:tcPr>
            <w:tcW w:w="1080" w:type="dxa"/>
            <w:tcBorders>
              <w:bottom w:val="single" w:sz="4" w:space="0" w:color="000000"/>
            </w:tcBorders>
            <w:vAlign w:val="center"/>
          </w:tcPr>
          <w:p w:rsidR="00B5443C" w:rsidRDefault="00B5443C" w:rsidP="00040646">
            <w:pPr>
              <w:jc w:val="center"/>
              <w:rPr>
                <w:rFonts w:ascii="Calibri" w:hAnsi="Calibri"/>
                <w:b/>
                <w:bCs/>
                <w:color w:val="000000"/>
                <w:sz w:val="16"/>
                <w:szCs w:val="16"/>
              </w:rPr>
            </w:pPr>
            <w:r>
              <w:rPr>
                <w:rFonts w:ascii="Calibri" w:hAnsi="Calibri"/>
                <w:b/>
                <w:bCs/>
                <w:color w:val="000000"/>
                <w:sz w:val="16"/>
                <w:szCs w:val="16"/>
              </w:rPr>
              <w:t>$24.66</w:t>
            </w:r>
          </w:p>
        </w:tc>
        <w:tc>
          <w:tcPr>
            <w:tcW w:w="810" w:type="dxa"/>
            <w:tcBorders>
              <w:bottom w:val="single" w:sz="4" w:space="0" w:color="000000"/>
            </w:tcBorders>
            <w:vAlign w:val="center"/>
          </w:tcPr>
          <w:p w:rsidR="00B5443C" w:rsidRDefault="00B5443C" w:rsidP="00040646">
            <w:pPr>
              <w:jc w:val="center"/>
              <w:rPr>
                <w:rFonts w:ascii="Calibri" w:hAnsi="Calibri"/>
                <w:b/>
                <w:bCs/>
                <w:color w:val="000000"/>
                <w:sz w:val="16"/>
                <w:szCs w:val="16"/>
              </w:rPr>
            </w:pPr>
            <w:r>
              <w:rPr>
                <w:rFonts w:ascii="Calibri" w:hAnsi="Calibri"/>
                <w:b/>
                <w:bCs/>
                <w:color w:val="000000"/>
                <w:sz w:val="16"/>
                <w:szCs w:val="16"/>
              </w:rPr>
              <w:t>$658</w:t>
            </w:r>
          </w:p>
        </w:tc>
      </w:tr>
      <w:tr w:rsidR="00B5443C" w:rsidRPr="005679C8" w:rsidTr="007F25A0">
        <w:trPr>
          <w:trHeight w:val="432"/>
        </w:trPr>
        <w:tc>
          <w:tcPr>
            <w:tcW w:w="3708" w:type="dxa"/>
            <w:vAlign w:val="center"/>
          </w:tcPr>
          <w:p w:rsidR="00B5443C" w:rsidRPr="005679C8" w:rsidRDefault="00B5443C" w:rsidP="00A61E0E">
            <w:pPr>
              <w:rPr>
                <w:sz w:val="20"/>
                <w:szCs w:val="20"/>
              </w:rPr>
            </w:pPr>
            <w:r w:rsidRPr="005679C8">
              <w:rPr>
                <w:sz w:val="20"/>
                <w:szCs w:val="20"/>
              </w:rPr>
              <w:t>Telephone Interview (A-</w:t>
            </w:r>
            <w:r>
              <w:rPr>
                <w:sz w:val="20"/>
                <w:szCs w:val="20"/>
              </w:rPr>
              <w:t>3</w:t>
            </w:r>
            <w:r w:rsidRPr="005679C8">
              <w:rPr>
                <w:sz w:val="20"/>
                <w:szCs w:val="20"/>
              </w:rPr>
              <w:t>)</w:t>
            </w:r>
          </w:p>
        </w:tc>
        <w:tc>
          <w:tcPr>
            <w:tcW w:w="900" w:type="dxa"/>
            <w:vAlign w:val="center"/>
          </w:tcPr>
          <w:p w:rsidR="00B5443C" w:rsidRDefault="00B5443C">
            <w:pPr>
              <w:jc w:val="center"/>
              <w:rPr>
                <w:rFonts w:ascii="Calibri" w:hAnsi="Calibri"/>
                <w:color w:val="000000"/>
                <w:sz w:val="16"/>
                <w:szCs w:val="16"/>
              </w:rPr>
            </w:pPr>
            <w:r>
              <w:rPr>
                <w:rFonts w:ascii="Calibri" w:hAnsi="Calibri"/>
                <w:color w:val="000000"/>
                <w:sz w:val="16"/>
                <w:szCs w:val="16"/>
              </w:rPr>
              <w:t>90</w:t>
            </w:r>
          </w:p>
        </w:tc>
        <w:tc>
          <w:tcPr>
            <w:tcW w:w="810" w:type="dxa"/>
            <w:vAlign w:val="center"/>
          </w:tcPr>
          <w:p w:rsidR="00B5443C" w:rsidRDefault="00B5443C">
            <w:pPr>
              <w:jc w:val="center"/>
              <w:rPr>
                <w:rFonts w:ascii="Calibri" w:hAnsi="Calibri"/>
                <w:color w:val="000000"/>
                <w:sz w:val="16"/>
                <w:szCs w:val="16"/>
              </w:rPr>
            </w:pPr>
            <w:r>
              <w:rPr>
                <w:rFonts w:ascii="Calibri" w:hAnsi="Calibri"/>
                <w:color w:val="000000"/>
                <w:sz w:val="16"/>
                <w:szCs w:val="16"/>
              </w:rPr>
              <w:t>1</w:t>
            </w:r>
          </w:p>
        </w:tc>
        <w:tc>
          <w:tcPr>
            <w:tcW w:w="810" w:type="dxa"/>
            <w:vAlign w:val="center"/>
          </w:tcPr>
          <w:p w:rsidR="00B5443C" w:rsidRDefault="00B5443C" w:rsidP="00414483">
            <w:pPr>
              <w:jc w:val="center"/>
              <w:rPr>
                <w:rFonts w:ascii="Calibri" w:hAnsi="Calibri"/>
                <w:color w:val="000000"/>
                <w:sz w:val="16"/>
                <w:szCs w:val="16"/>
              </w:rPr>
            </w:pPr>
            <w:r>
              <w:rPr>
                <w:rFonts w:ascii="Calibri" w:hAnsi="Calibri"/>
                <w:color w:val="000000"/>
                <w:sz w:val="16"/>
                <w:szCs w:val="16"/>
              </w:rPr>
              <w:t>0.75</w:t>
            </w:r>
          </w:p>
        </w:tc>
        <w:tc>
          <w:tcPr>
            <w:tcW w:w="810" w:type="dxa"/>
            <w:vAlign w:val="center"/>
          </w:tcPr>
          <w:p w:rsidR="00B5443C" w:rsidRPr="00B5443C" w:rsidRDefault="00B5443C" w:rsidP="00414483">
            <w:pPr>
              <w:jc w:val="center"/>
              <w:rPr>
                <w:rFonts w:ascii="Calibri" w:hAnsi="Calibri"/>
                <w:bCs/>
                <w:color w:val="000000"/>
                <w:sz w:val="16"/>
                <w:szCs w:val="16"/>
              </w:rPr>
            </w:pPr>
            <w:r w:rsidRPr="00B5443C">
              <w:rPr>
                <w:rFonts w:ascii="Calibri" w:hAnsi="Calibri"/>
                <w:bCs/>
                <w:color w:val="000000"/>
                <w:sz w:val="16"/>
                <w:szCs w:val="16"/>
              </w:rPr>
              <w:t>68</w:t>
            </w:r>
          </w:p>
        </w:tc>
        <w:tc>
          <w:tcPr>
            <w:tcW w:w="720" w:type="dxa"/>
            <w:vAlign w:val="center"/>
          </w:tcPr>
          <w:p w:rsidR="00B5443C" w:rsidRDefault="00B5443C" w:rsidP="00F5180F">
            <w:pPr>
              <w:jc w:val="center"/>
              <w:rPr>
                <w:rFonts w:ascii="Calibri" w:hAnsi="Calibri"/>
                <w:b/>
                <w:bCs/>
                <w:color w:val="000000"/>
                <w:sz w:val="16"/>
                <w:szCs w:val="16"/>
              </w:rPr>
            </w:pPr>
            <w:r>
              <w:rPr>
                <w:rFonts w:ascii="Calibri" w:hAnsi="Calibri"/>
                <w:b/>
                <w:bCs/>
                <w:color w:val="000000"/>
                <w:sz w:val="16"/>
                <w:szCs w:val="16"/>
              </w:rPr>
              <w:t>68</w:t>
            </w:r>
          </w:p>
        </w:tc>
        <w:tc>
          <w:tcPr>
            <w:tcW w:w="1080" w:type="dxa"/>
            <w:vAlign w:val="center"/>
          </w:tcPr>
          <w:p w:rsidR="00B5443C" w:rsidRDefault="00B5443C" w:rsidP="00040646">
            <w:pPr>
              <w:jc w:val="center"/>
              <w:rPr>
                <w:rFonts w:ascii="Calibri" w:hAnsi="Calibri"/>
                <w:b/>
                <w:bCs/>
                <w:color w:val="000000"/>
                <w:sz w:val="16"/>
                <w:szCs w:val="16"/>
              </w:rPr>
            </w:pPr>
            <w:r>
              <w:rPr>
                <w:rFonts w:ascii="Calibri" w:hAnsi="Calibri"/>
                <w:b/>
                <w:bCs/>
                <w:color w:val="000000"/>
                <w:sz w:val="16"/>
                <w:szCs w:val="16"/>
              </w:rPr>
              <w:t>$24.66</w:t>
            </w:r>
          </w:p>
        </w:tc>
        <w:tc>
          <w:tcPr>
            <w:tcW w:w="810" w:type="dxa"/>
            <w:vAlign w:val="center"/>
          </w:tcPr>
          <w:p w:rsidR="00B5443C" w:rsidRDefault="00B5443C" w:rsidP="00040646">
            <w:pPr>
              <w:jc w:val="center"/>
              <w:rPr>
                <w:rFonts w:ascii="Calibri" w:hAnsi="Calibri"/>
                <w:b/>
                <w:bCs/>
                <w:color w:val="000000"/>
                <w:sz w:val="16"/>
                <w:szCs w:val="16"/>
              </w:rPr>
            </w:pPr>
            <w:r>
              <w:rPr>
                <w:rFonts w:ascii="Calibri" w:hAnsi="Calibri"/>
                <w:b/>
                <w:bCs/>
                <w:color w:val="000000"/>
                <w:sz w:val="16"/>
                <w:szCs w:val="16"/>
              </w:rPr>
              <w:t>$1,665</w:t>
            </w:r>
          </w:p>
        </w:tc>
      </w:tr>
      <w:tr w:rsidR="00B5443C" w:rsidRPr="005679C8" w:rsidTr="007F25A0">
        <w:trPr>
          <w:trHeight w:val="432"/>
        </w:trPr>
        <w:tc>
          <w:tcPr>
            <w:tcW w:w="3708" w:type="dxa"/>
            <w:vAlign w:val="center"/>
          </w:tcPr>
          <w:p w:rsidR="00B5443C" w:rsidRPr="005679C8" w:rsidRDefault="00B5443C" w:rsidP="001349E9">
            <w:pPr>
              <w:rPr>
                <w:color w:val="000000"/>
                <w:sz w:val="20"/>
                <w:szCs w:val="20"/>
              </w:rPr>
            </w:pPr>
            <w:r w:rsidRPr="005679C8">
              <w:rPr>
                <w:sz w:val="20"/>
                <w:szCs w:val="20"/>
              </w:rPr>
              <w:t xml:space="preserve">Interview </w:t>
            </w:r>
            <w:r>
              <w:rPr>
                <w:sz w:val="20"/>
                <w:szCs w:val="20"/>
              </w:rPr>
              <w:t xml:space="preserve">Guide for </w:t>
            </w:r>
            <w:r w:rsidRPr="005679C8">
              <w:rPr>
                <w:sz w:val="20"/>
                <w:szCs w:val="20"/>
              </w:rPr>
              <w:t>Program Directors and Managers  (B-2)</w:t>
            </w:r>
          </w:p>
        </w:tc>
        <w:tc>
          <w:tcPr>
            <w:tcW w:w="900" w:type="dxa"/>
            <w:vAlign w:val="center"/>
          </w:tcPr>
          <w:p w:rsidR="00B5443C" w:rsidRDefault="00B5443C">
            <w:pPr>
              <w:jc w:val="center"/>
              <w:rPr>
                <w:rFonts w:ascii="Calibri" w:hAnsi="Calibri"/>
                <w:color w:val="000000"/>
                <w:sz w:val="16"/>
                <w:szCs w:val="16"/>
              </w:rPr>
            </w:pPr>
            <w:r>
              <w:rPr>
                <w:rFonts w:ascii="Calibri" w:hAnsi="Calibri"/>
                <w:color w:val="000000"/>
                <w:sz w:val="16"/>
                <w:szCs w:val="16"/>
              </w:rPr>
              <w:t>24</w:t>
            </w:r>
          </w:p>
        </w:tc>
        <w:tc>
          <w:tcPr>
            <w:tcW w:w="810" w:type="dxa"/>
            <w:vAlign w:val="center"/>
          </w:tcPr>
          <w:p w:rsidR="00B5443C" w:rsidRDefault="00B5443C">
            <w:pPr>
              <w:jc w:val="center"/>
              <w:rPr>
                <w:rFonts w:ascii="Calibri" w:hAnsi="Calibri"/>
                <w:color w:val="000000"/>
                <w:sz w:val="16"/>
                <w:szCs w:val="16"/>
              </w:rPr>
            </w:pPr>
            <w:r>
              <w:rPr>
                <w:rFonts w:ascii="Calibri" w:hAnsi="Calibri"/>
                <w:color w:val="000000"/>
                <w:sz w:val="16"/>
                <w:szCs w:val="16"/>
              </w:rPr>
              <w:t>1</w:t>
            </w:r>
          </w:p>
        </w:tc>
        <w:tc>
          <w:tcPr>
            <w:tcW w:w="810" w:type="dxa"/>
            <w:vAlign w:val="center"/>
          </w:tcPr>
          <w:p w:rsidR="00B5443C" w:rsidRDefault="00B5443C" w:rsidP="00414483">
            <w:pPr>
              <w:jc w:val="center"/>
              <w:rPr>
                <w:rFonts w:ascii="Calibri" w:hAnsi="Calibri"/>
                <w:color w:val="000000"/>
                <w:sz w:val="16"/>
                <w:szCs w:val="16"/>
              </w:rPr>
            </w:pPr>
            <w:r>
              <w:rPr>
                <w:rFonts w:ascii="Calibri" w:hAnsi="Calibri"/>
                <w:color w:val="000000"/>
                <w:sz w:val="16"/>
                <w:szCs w:val="16"/>
              </w:rPr>
              <w:t>1.5</w:t>
            </w:r>
          </w:p>
        </w:tc>
        <w:tc>
          <w:tcPr>
            <w:tcW w:w="810" w:type="dxa"/>
            <w:vAlign w:val="center"/>
          </w:tcPr>
          <w:p w:rsidR="00B5443C" w:rsidRPr="00B5443C" w:rsidRDefault="00B5443C" w:rsidP="00414483">
            <w:pPr>
              <w:jc w:val="center"/>
              <w:rPr>
                <w:rFonts w:ascii="Calibri" w:hAnsi="Calibri"/>
                <w:bCs/>
                <w:color w:val="000000"/>
                <w:sz w:val="16"/>
                <w:szCs w:val="16"/>
              </w:rPr>
            </w:pPr>
            <w:r w:rsidRPr="00B5443C">
              <w:rPr>
                <w:rFonts w:ascii="Calibri" w:hAnsi="Calibri"/>
                <w:bCs/>
                <w:color w:val="000000"/>
                <w:sz w:val="16"/>
                <w:szCs w:val="16"/>
              </w:rPr>
              <w:t>36</w:t>
            </w:r>
          </w:p>
        </w:tc>
        <w:tc>
          <w:tcPr>
            <w:tcW w:w="720" w:type="dxa"/>
            <w:vAlign w:val="center"/>
          </w:tcPr>
          <w:p w:rsidR="00B5443C" w:rsidRDefault="00B5443C">
            <w:pPr>
              <w:jc w:val="center"/>
              <w:rPr>
                <w:rFonts w:ascii="Calibri" w:hAnsi="Calibri"/>
                <w:b/>
                <w:bCs/>
                <w:color w:val="000000"/>
                <w:sz w:val="16"/>
                <w:szCs w:val="16"/>
              </w:rPr>
            </w:pPr>
            <w:r>
              <w:rPr>
                <w:rFonts w:ascii="Calibri" w:hAnsi="Calibri"/>
                <w:b/>
                <w:bCs/>
                <w:color w:val="000000"/>
                <w:sz w:val="16"/>
                <w:szCs w:val="16"/>
              </w:rPr>
              <w:t>36</w:t>
            </w:r>
          </w:p>
        </w:tc>
        <w:tc>
          <w:tcPr>
            <w:tcW w:w="1080" w:type="dxa"/>
            <w:vAlign w:val="center"/>
          </w:tcPr>
          <w:p w:rsidR="00B5443C" w:rsidRDefault="00B5443C" w:rsidP="00040646">
            <w:pPr>
              <w:jc w:val="center"/>
              <w:rPr>
                <w:rFonts w:ascii="Calibri" w:hAnsi="Calibri"/>
                <w:b/>
                <w:bCs/>
                <w:color w:val="000000"/>
                <w:sz w:val="16"/>
                <w:szCs w:val="16"/>
              </w:rPr>
            </w:pPr>
            <w:r>
              <w:rPr>
                <w:rFonts w:ascii="Calibri" w:hAnsi="Calibri"/>
                <w:b/>
                <w:bCs/>
                <w:color w:val="000000"/>
                <w:sz w:val="16"/>
                <w:szCs w:val="16"/>
              </w:rPr>
              <w:t>$24.66</w:t>
            </w:r>
          </w:p>
        </w:tc>
        <w:tc>
          <w:tcPr>
            <w:tcW w:w="810" w:type="dxa"/>
            <w:vAlign w:val="center"/>
          </w:tcPr>
          <w:p w:rsidR="00B5443C" w:rsidRDefault="00B5443C" w:rsidP="00040646">
            <w:pPr>
              <w:jc w:val="center"/>
              <w:rPr>
                <w:rFonts w:ascii="Calibri" w:hAnsi="Calibri"/>
                <w:b/>
                <w:bCs/>
                <w:color w:val="000000"/>
                <w:sz w:val="16"/>
                <w:szCs w:val="16"/>
              </w:rPr>
            </w:pPr>
            <w:r>
              <w:rPr>
                <w:rFonts w:ascii="Calibri" w:hAnsi="Calibri"/>
                <w:b/>
                <w:bCs/>
                <w:color w:val="000000"/>
                <w:sz w:val="16"/>
                <w:szCs w:val="16"/>
              </w:rPr>
              <w:t>$888</w:t>
            </w:r>
          </w:p>
        </w:tc>
      </w:tr>
      <w:tr w:rsidR="00B5443C" w:rsidRPr="005679C8" w:rsidTr="007F25A0">
        <w:trPr>
          <w:trHeight w:val="432"/>
        </w:trPr>
        <w:tc>
          <w:tcPr>
            <w:tcW w:w="3708" w:type="dxa"/>
            <w:vAlign w:val="center"/>
          </w:tcPr>
          <w:p w:rsidR="00B5443C" w:rsidRPr="005679C8" w:rsidRDefault="00B5443C" w:rsidP="001349E9">
            <w:pPr>
              <w:rPr>
                <w:color w:val="000000"/>
                <w:sz w:val="20"/>
                <w:szCs w:val="20"/>
              </w:rPr>
            </w:pPr>
            <w:r w:rsidRPr="005679C8">
              <w:rPr>
                <w:sz w:val="20"/>
                <w:szCs w:val="20"/>
              </w:rPr>
              <w:t xml:space="preserve">Interview </w:t>
            </w:r>
            <w:r>
              <w:rPr>
                <w:sz w:val="20"/>
                <w:szCs w:val="20"/>
              </w:rPr>
              <w:t xml:space="preserve">Guide for Other </w:t>
            </w:r>
            <w:r w:rsidRPr="005679C8">
              <w:rPr>
                <w:sz w:val="20"/>
                <w:szCs w:val="20"/>
              </w:rPr>
              <w:t>Managers</w:t>
            </w:r>
            <w:r>
              <w:rPr>
                <w:sz w:val="20"/>
                <w:szCs w:val="20"/>
              </w:rPr>
              <w:t>, Coordinators and Specialists</w:t>
            </w:r>
            <w:r w:rsidRPr="005679C8">
              <w:rPr>
                <w:sz w:val="20"/>
                <w:szCs w:val="20"/>
              </w:rPr>
              <w:t xml:space="preserve"> (B-3)</w:t>
            </w:r>
          </w:p>
        </w:tc>
        <w:tc>
          <w:tcPr>
            <w:tcW w:w="900" w:type="dxa"/>
            <w:vAlign w:val="center"/>
          </w:tcPr>
          <w:p w:rsidR="00B5443C" w:rsidRDefault="00B5443C">
            <w:pPr>
              <w:jc w:val="center"/>
              <w:rPr>
                <w:rFonts w:ascii="Calibri" w:hAnsi="Calibri"/>
                <w:color w:val="000000"/>
                <w:sz w:val="16"/>
                <w:szCs w:val="16"/>
              </w:rPr>
            </w:pPr>
            <w:r>
              <w:rPr>
                <w:rFonts w:ascii="Calibri" w:hAnsi="Calibri" w:cs="Calibri"/>
                <w:color w:val="000000"/>
                <w:sz w:val="16"/>
                <w:szCs w:val="16"/>
              </w:rPr>
              <w:t>60</w:t>
            </w:r>
          </w:p>
        </w:tc>
        <w:tc>
          <w:tcPr>
            <w:tcW w:w="810" w:type="dxa"/>
            <w:vAlign w:val="center"/>
          </w:tcPr>
          <w:p w:rsidR="00B5443C" w:rsidRDefault="00B5443C">
            <w:pPr>
              <w:jc w:val="center"/>
              <w:rPr>
                <w:rFonts w:ascii="Calibri" w:hAnsi="Calibri"/>
                <w:color w:val="000000"/>
                <w:sz w:val="16"/>
                <w:szCs w:val="16"/>
              </w:rPr>
            </w:pPr>
            <w:r>
              <w:rPr>
                <w:rFonts w:ascii="Calibri" w:hAnsi="Calibri" w:cs="Calibri"/>
                <w:color w:val="000000"/>
                <w:sz w:val="16"/>
                <w:szCs w:val="16"/>
              </w:rPr>
              <w:t>1</w:t>
            </w:r>
          </w:p>
        </w:tc>
        <w:tc>
          <w:tcPr>
            <w:tcW w:w="810" w:type="dxa"/>
            <w:vAlign w:val="center"/>
          </w:tcPr>
          <w:p w:rsidR="00B5443C" w:rsidRDefault="00B5443C" w:rsidP="00414483">
            <w:pPr>
              <w:jc w:val="center"/>
              <w:rPr>
                <w:rFonts w:ascii="Calibri" w:hAnsi="Calibri"/>
                <w:color w:val="000000"/>
                <w:sz w:val="16"/>
                <w:szCs w:val="16"/>
              </w:rPr>
            </w:pPr>
            <w:r>
              <w:rPr>
                <w:rFonts w:ascii="Calibri" w:hAnsi="Calibri" w:cs="Calibri"/>
                <w:color w:val="000000"/>
                <w:sz w:val="16"/>
                <w:szCs w:val="16"/>
              </w:rPr>
              <w:t>1</w:t>
            </w:r>
          </w:p>
        </w:tc>
        <w:tc>
          <w:tcPr>
            <w:tcW w:w="810" w:type="dxa"/>
            <w:vAlign w:val="center"/>
          </w:tcPr>
          <w:p w:rsidR="00B5443C" w:rsidRPr="00B5443C" w:rsidRDefault="00B5443C" w:rsidP="00414483">
            <w:pPr>
              <w:jc w:val="center"/>
              <w:rPr>
                <w:rFonts w:ascii="Calibri" w:hAnsi="Calibri"/>
                <w:bCs/>
                <w:color w:val="000000"/>
                <w:sz w:val="16"/>
                <w:szCs w:val="16"/>
              </w:rPr>
            </w:pPr>
            <w:r w:rsidRPr="00B5443C">
              <w:rPr>
                <w:rFonts w:ascii="Calibri" w:hAnsi="Calibri" w:cs="Calibri"/>
                <w:bCs/>
                <w:color w:val="000000"/>
                <w:sz w:val="16"/>
                <w:szCs w:val="16"/>
              </w:rPr>
              <w:t>60</w:t>
            </w:r>
          </w:p>
        </w:tc>
        <w:tc>
          <w:tcPr>
            <w:tcW w:w="720" w:type="dxa"/>
            <w:vAlign w:val="center"/>
          </w:tcPr>
          <w:p w:rsidR="00B5443C" w:rsidRDefault="00B5443C">
            <w:pPr>
              <w:jc w:val="center"/>
              <w:rPr>
                <w:rFonts w:ascii="Calibri" w:hAnsi="Calibri"/>
                <w:b/>
                <w:bCs/>
                <w:color w:val="000000"/>
                <w:sz w:val="16"/>
                <w:szCs w:val="16"/>
              </w:rPr>
            </w:pPr>
            <w:r>
              <w:rPr>
                <w:rFonts w:ascii="Calibri" w:hAnsi="Calibri" w:cs="Calibri"/>
                <w:b/>
                <w:bCs/>
                <w:color w:val="000000"/>
                <w:sz w:val="16"/>
                <w:szCs w:val="16"/>
              </w:rPr>
              <w:t>60</w:t>
            </w:r>
          </w:p>
        </w:tc>
        <w:tc>
          <w:tcPr>
            <w:tcW w:w="1080" w:type="dxa"/>
            <w:vAlign w:val="center"/>
          </w:tcPr>
          <w:p w:rsidR="00B5443C" w:rsidRDefault="00B5443C" w:rsidP="00040646">
            <w:pPr>
              <w:jc w:val="center"/>
              <w:rPr>
                <w:rFonts w:ascii="Calibri" w:hAnsi="Calibri"/>
                <w:b/>
                <w:bCs/>
                <w:color w:val="000000"/>
                <w:sz w:val="16"/>
                <w:szCs w:val="16"/>
              </w:rPr>
            </w:pPr>
            <w:r>
              <w:rPr>
                <w:rFonts w:ascii="Calibri" w:hAnsi="Calibri" w:cs="Calibri"/>
                <w:b/>
                <w:bCs/>
                <w:color w:val="000000"/>
                <w:sz w:val="16"/>
                <w:szCs w:val="16"/>
              </w:rPr>
              <w:t>$24.66</w:t>
            </w:r>
          </w:p>
        </w:tc>
        <w:tc>
          <w:tcPr>
            <w:tcW w:w="810" w:type="dxa"/>
            <w:vAlign w:val="center"/>
          </w:tcPr>
          <w:p w:rsidR="00B5443C" w:rsidRDefault="00B5443C" w:rsidP="00040646">
            <w:pPr>
              <w:jc w:val="center"/>
              <w:rPr>
                <w:rFonts w:ascii="Calibri" w:hAnsi="Calibri"/>
                <w:b/>
                <w:bCs/>
                <w:color w:val="000000"/>
                <w:sz w:val="16"/>
                <w:szCs w:val="16"/>
              </w:rPr>
            </w:pPr>
            <w:r>
              <w:rPr>
                <w:rFonts w:ascii="Calibri" w:hAnsi="Calibri" w:cs="Calibri"/>
                <w:b/>
                <w:bCs/>
                <w:color w:val="000000"/>
                <w:sz w:val="16"/>
                <w:szCs w:val="16"/>
              </w:rPr>
              <w:t>$1,480</w:t>
            </w:r>
          </w:p>
        </w:tc>
      </w:tr>
      <w:tr w:rsidR="00B5443C" w:rsidRPr="005679C8" w:rsidTr="007F25A0">
        <w:trPr>
          <w:trHeight w:val="432"/>
        </w:trPr>
        <w:tc>
          <w:tcPr>
            <w:tcW w:w="3708" w:type="dxa"/>
            <w:vAlign w:val="center"/>
          </w:tcPr>
          <w:p w:rsidR="00B5443C" w:rsidRPr="005679C8" w:rsidRDefault="00B5443C" w:rsidP="00A61E0E">
            <w:pPr>
              <w:rPr>
                <w:color w:val="000000"/>
                <w:sz w:val="20"/>
                <w:szCs w:val="20"/>
              </w:rPr>
            </w:pPr>
            <w:r w:rsidRPr="005679C8">
              <w:rPr>
                <w:sz w:val="20"/>
                <w:szCs w:val="20"/>
              </w:rPr>
              <w:t xml:space="preserve">Interview </w:t>
            </w:r>
            <w:r>
              <w:rPr>
                <w:sz w:val="20"/>
                <w:szCs w:val="20"/>
              </w:rPr>
              <w:t xml:space="preserve">Guide </w:t>
            </w:r>
            <w:r w:rsidRPr="005679C8">
              <w:rPr>
                <w:sz w:val="20"/>
                <w:szCs w:val="20"/>
              </w:rPr>
              <w:t xml:space="preserve">with Staff </w:t>
            </w:r>
            <w:r>
              <w:rPr>
                <w:sz w:val="20"/>
                <w:szCs w:val="20"/>
              </w:rPr>
              <w:t xml:space="preserve"> </w:t>
            </w:r>
            <w:r w:rsidRPr="005679C8">
              <w:rPr>
                <w:sz w:val="20"/>
                <w:szCs w:val="20"/>
              </w:rPr>
              <w:t>(B-4)</w:t>
            </w:r>
          </w:p>
        </w:tc>
        <w:tc>
          <w:tcPr>
            <w:tcW w:w="900" w:type="dxa"/>
            <w:vAlign w:val="center"/>
          </w:tcPr>
          <w:p w:rsidR="00B5443C" w:rsidRDefault="00B5443C">
            <w:pPr>
              <w:jc w:val="center"/>
              <w:rPr>
                <w:rFonts w:ascii="Calibri" w:hAnsi="Calibri"/>
                <w:color w:val="000000"/>
                <w:sz w:val="16"/>
                <w:szCs w:val="16"/>
              </w:rPr>
            </w:pPr>
            <w:r>
              <w:rPr>
                <w:rFonts w:ascii="Calibri" w:hAnsi="Calibri" w:cs="Calibri"/>
                <w:color w:val="000000"/>
                <w:sz w:val="16"/>
                <w:szCs w:val="16"/>
              </w:rPr>
              <w:t>54</w:t>
            </w:r>
          </w:p>
        </w:tc>
        <w:tc>
          <w:tcPr>
            <w:tcW w:w="810" w:type="dxa"/>
            <w:vAlign w:val="center"/>
          </w:tcPr>
          <w:p w:rsidR="00B5443C" w:rsidRDefault="00B5443C">
            <w:pPr>
              <w:jc w:val="center"/>
              <w:rPr>
                <w:rFonts w:ascii="Calibri" w:hAnsi="Calibri"/>
                <w:color w:val="000000"/>
                <w:sz w:val="16"/>
                <w:szCs w:val="16"/>
              </w:rPr>
            </w:pPr>
            <w:r>
              <w:rPr>
                <w:rFonts w:ascii="Calibri" w:hAnsi="Calibri" w:cs="Calibri"/>
                <w:color w:val="000000"/>
                <w:sz w:val="16"/>
                <w:szCs w:val="16"/>
              </w:rPr>
              <w:t>1</w:t>
            </w:r>
          </w:p>
        </w:tc>
        <w:tc>
          <w:tcPr>
            <w:tcW w:w="810" w:type="dxa"/>
            <w:vAlign w:val="center"/>
          </w:tcPr>
          <w:p w:rsidR="00B5443C" w:rsidRDefault="00B5443C" w:rsidP="00414483">
            <w:pPr>
              <w:jc w:val="center"/>
              <w:rPr>
                <w:rFonts w:ascii="Calibri" w:hAnsi="Calibri"/>
                <w:color w:val="000000"/>
                <w:sz w:val="16"/>
                <w:szCs w:val="16"/>
              </w:rPr>
            </w:pPr>
            <w:r>
              <w:rPr>
                <w:rFonts w:ascii="Calibri" w:hAnsi="Calibri" w:cs="Calibri"/>
                <w:color w:val="000000"/>
                <w:sz w:val="16"/>
                <w:szCs w:val="16"/>
              </w:rPr>
              <w:t>1</w:t>
            </w:r>
          </w:p>
        </w:tc>
        <w:tc>
          <w:tcPr>
            <w:tcW w:w="810" w:type="dxa"/>
            <w:vAlign w:val="center"/>
          </w:tcPr>
          <w:p w:rsidR="00B5443C" w:rsidRPr="00B5443C" w:rsidRDefault="00B5443C" w:rsidP="00414483">
            <w:pPr>
              <w:jc w:val="center"/>
              <w:rPr>
                <w:rFonts w:ascii="Calibri" w:hAnsi="Calibri"/>
                <w:bCs/>
                <w:color w:val="000000"/>
                <w:sz w:val="16"/>
                <w:szCs w:val="16"/>
              </w:rPr>
            </w:pPr>
            <w:r w:rsidRPr="00B5443C">
              <w:rPr>
                <w:rFonts w:ascii="Calibri" w:hAnsi="Calibri" w:cs="Calibri"/>
                <w:bCs/>
                <w:color w:val="000000"/>
                <w:sz w:val="16"/>
                <w:szCs w:val="16"/>
              </w:rPr>
              <w:t>54</w:t>
            </w:r>
          </w:p>
        </w:tc>
        <w:tc>
          <w:tcPr>
            <w:tcW w:w="720" w:type="dxa"/>
            <w:vAlign w:val="center"/>
          </w:tcPr>
          <w:p w:rsidR="00B5443C" w:rsidRDefault="00B5443C">
            <w:pPr>
              <w:jc w:val="center"/>
              <w:rPr>
                <w:rFonts w:ascii="Calibri" w:hAnsi="Calibri"/>
                <w:b/>
                <w:bCs/>
                <w:color w:val="000000"/>
                <w:sz w:val="16"/>
                <w:szCs w:val="16"/>
              </w:rPr>
            </w:pPr>
            <w:r>
              <w:rPr>
                <w:rFonts w:ascii="Calibri" w:hAnsi="Calibri" w:cs="Calibri"/>
                <w:b/>
                <w:bCs/>
                <w:color w:val="000000"/>
                <w:sz w:val="16"/>
                <w:szCs w:val="16"/>
              </w:rPr>
              <w:t>54</w:t>
            </w:r>
          </w:p>
        </w:tc>
        <w:tc>
          <w:tcPr>
            <w:tcW w:w="1080" w:type="dxa"/>
            <w:vAlign w:val="center"/>
          </w:tcPr>
          <w:p w:rsidR="00B5443C" w:rsidRDefault="00B5443C" w:rsidP="00040646">
            <w:pPr>
              <w:jc w:val="center"/>
              <w:rPr>
                <w:rFonts w:ascii="Calibri" w:hAnsi="Calibri"/>
                <w:b/>
                <w:bCs/>
                <w:color w:val="000000"/>
                <w:sz w:val="16"/>
                <w:szCs w:val="16"/>
              </w:rPr>
            </w:pPr>
            <w:r>
              <w:rPr>
                <w:rFonts w:ascii="Calibri" w:hAnsi="Calibri" w:cs="Calibri"/>
                <w:b/>
                <w:bCs/>
                <w:color w:val="000000"/>
                <w:sz w:val="16"/>
                <w:szCs w:val="16"/>
              </w:rPr>
              <w:t>$14.50</w:t>
            </w:r>
          </w:p>
        </w:tc>
        <w:tc>
          <w:tcPr>
            <w:tcW w:w="810" w:type="dxa"/>
            <w:vAlign w:val="center"/>
          </w:tcPr>
          <w:p w:rsidR="00B5443C" w:rsidRDefault="00B5443C" w:rsidP="00040646">
            <w:pPr>
              <w:jc w:val="center"/>
              <w:rPr>
                <w:rFonts w:ascii="Calibri" w:hAnsi="Calibri"/>
                <w:b/>
                <w:bCs/>
                <w:color w:val="000000"/>
                <w:sz w:val="16"/>
                <w:szCs w:val="16"/>
              </w:rPr>
            </w:pPr>
            <w:r>
              <w:rPr>
                <w:rFonts w:ascii="Calibri" w:hAnsi="Calibri" w:cs="Calibri"/>
                <w:b/>
                <w:bCs/>
                <w:color w:val="000000"/>
                <w:sz w:val="16"/>
                <w:szCs w:val="16"/>
              </w:rPr>
              <w:t>$783</w:t>
            </w:r>
          </w:p>
        </w:tc>
      </w:tr>
      <w:tr w:rsidR="00B5443C" w:rsidRPr="005679C8" w:rsidTr="007F25A0">
        <w:trPr>
          <w:trHeight w:val="432"/>
        </w:trPr>
        <w:tc>
          <w:tcPr>
            <w:tcW w:w="3708" w:type="dxa"/>
            <w:vAlign w:val="center"/>
          </w:tcPr>
          <w:p w:rsidR="00B5443C" w:rsidRPr="005679C8" w:rsidRDefault="00B5443C" w:rsidP="001349E9">
            <w:pPr>
              <w:rPr>
                <w:color w:val="000000"/>
                <w:sz w:val="20"/>
                <w:szCs w:val="20"/>
              </w:rPr>
            </w:pPr>
            <w:r w:rsidRPr="005679C8">
              <w:rPr>
                <w:sz w:val="20"/>
                <w:szCs w:val="20"/>
              </w:rPr>
              <w:t xml:space="preserve">Interview </w:t>
            </w:r>
            <w:r>
              <w:rPr>
                <w:sz w:val="20"/>
                <w:szCs w:val="20"/>
              </w:rPr>
              <w:t xml:space="preserve">Guide for </w:t>
            </w:r>
            <w:r w:rsidRPr="005679C8">
              <w:rPr>
                <w:sz w:val="20"/>
                <w:szCs w:val="20"/>
              </w:rPr>
              <w:t>Governing Body or Policy Council Representatives (B-5)</w:t>
            </w:r>
          </w:p>
        </w:tc>
        <w:tc>
          <w:tcPr>
            <w:tcW w:w="900" w:type="dxa"/>
            <w:vAlign w:val="center"/>
          </w:tcPr>
          <w:p w:rsidR="00B5443C" w:rsidRDefault="00B5443C">
            <w:pPr>
              <w:jc w:val="center"/>
              <w:rPr>
                <w:rFonts w:ascii="Calibri" w:hAnsi="Calibri"/>
                <w:color w:val="000000"/>
                <w:sz w:val="16"/>
                <w:szCs w:val="16"/>
              </w:rPr>
            </w:pPr>
            <w:r>
              <w:rPr>
                <w:rFonts w:ascii="Calibri" w:hAnsi="Calibri" w:cs="Calibri"/>
                <w:color w:val="000000"/>
                <w:sz w:val="16"/>
                <w:szCs w:val="16"/>
              </w:rPr>
              <w:t>48</w:t>
            </w:r>
          </w:p>
        </w:tc>
        <w:tc>
          <w:tcPr>
            <w:tcW w:w="810" w:type="dxa"/>
            <w:vAlign w:val="center"/>
          </w:tcPr>
          <w:p w:rsidR="00B5443C" w:rsidRDefault="00B5443C">
            <w:pPr>
              <w:jc w:val="center"/>
              <w:rPr>
                <w:rFonts w:ascii="Calibri" w:hAnsi="Calibri"/>
                <w:color w:val="000000"/>
                <w:sz w:val="16"/>
                <w:szCs w:val="16"/>
              </w:rPr>
            </w:pPr>
            <w:r>
              <w:rPr>
                <w:rFonts w:ascii="Calibri" w:hAnsi="Calibri" w:cs="Calibri"/>
                <w:color w:val="000000"/>
                <w:sz w:val="16"/>
                <w:szCs w:val="16"/>
              </w:rPr>
              <w:t>1</w:t>
            </w:r>
          </w:p>
        </w:tc>
        <w:tc>
          <w:tcPr>
            <w:tcW w:w="810" w:type="dxa"/>
            <w:vAlign w:val="center"/>
          </w:tcPr>
          <w:p w:rsidR="00B5443C" w:rsidRDefault="00B5443C" w:rsidP="00414483">
            <w:pPr>
              <w:jc w:val="center"/>
              <w:rPr>
                <w:rFonts w:ascii="Calibri" w:hAnsi="Calibri"/>
                <w:color w:val="000000"/>
                <w:sz w:val="16"/>
                <w:szCs w:val="16"/>
              </w:rPr>
            </w:pPr>
            <w:r>
              <w:rPr>
                <w:rFonts w:ascii="Calibri" w:hAnsi="Calibri" w:cs="Calibri"/>
                <w:color w:val="000000"/>
                <w:sz w:val="16"/>
                <w:szCs w:val="16"/>
              </w:rPr>
              <w:t>0.75</w:t>
            </w:r>
          </w:p>
        </w:tc>
        <w:tc>
          <w:tcPr>
            <w:tcW w:w="810" w:type="dxa"/>
            <w:vAlign w:val="center"/>
          </w:tcPr>
          <w:p w:rsidR="00B5443C" w:rsidRPr="00B5443C" w:rsidRDefault="00B5443C" w:rsidP="00414483">
            <w:pPr>
              <w:jc w:val="center"/>
              <w:rPr>
                <w:rFonts w:ascii="Calibri" w:hAnsi="Calibri"/>
                <w:bCs/>
                <w:color w:val="000000"/>
                <w:sz w:val="16"/>
                <w:szCs w:val="16"/>
              </w:rPr>
            </w:pPr>
            <w:r w:rsidRPr="00B5443C">
              <w:rPr>
                <w:rFonts w:ascii="Calibri" w:hAnsi="Calibri" w:cs="Calibri"/>
                <w:bCs/>
                <w:color w:val="000000"/>
                <w:sz w:val="16"/>
                <w:szCs w:val="16"/>
              </w:rPr>
              <w:t>36</w:t>
            </w:r>
          </w:p>
        </w:tc>
        <w:tc>
          <w:tcPr>
            <w:tcW w:w="720" w:type="dxa"/>
            <w:vAlign w:val="center"/>
          </w:tcPr>
          <w:p w:rsidR="00B5443C" w:rsidRDefault="00B5443C">
            <w:pPr>
              <w:jc w:val="center"/>
              <w:rPr>
                <w:rFonts w:ascii="Calibri" w:hAnsi="Calibri"/>
                <w:b/>
                <w:bCs/>
                <w:color w:val="000000"/>
                <w:sz w:val="16"/>
                <w:szCs w:val="16"/>
              </w:rPr>
            </w:pPr>
            <w:r>
              <w:rPr>
                <w:rFonts w:ascii="Calibri" w:hAnsi="Calibri" w:cs="Calibri"/>
                <w:b/>
                <w:bCs/>
                <w:color w:val="000000"/>
                <w:sz w:val="16"/>
                <w:szCs w:val="16"/>
              </w:rPr>
              <w:t>36</w:t>
            </w:r>
          </w:p>
        </w:tc>
        <w:tc>
          <w:tcPr>
            <w:tcW w:w="1080" w:type="dxa"/>
            <w:vAlign w:val="center"/>
          </w:tcPr>
          <w:p w:rsidR="00B5443C" w:rsidRDefault="00B5443C" w:rsidP="00040646">
            <w:pPr>
              <w:jc w:val="center"/>
              <w:rPr>
                <w:rFonts w:ascii="Calibri" w:hAnsi="Calibri"/>
                <w:b/>
                <w:bCs/>
                <w:color w:val="000000"/>
                <w:sz w:val="16"/>
                <w:szCs w:val="16"/>
              </w:rPr>
            </w:pPr>
            <w:r>
              <w:rPr>
                <w:rFonts w:ascii="Calibri" w:hAnsi="Calibri" w:cs="Calibri"/>
                <w:b/>
                <w:bCs/>
                <w:color w:val="000000"/>
                <w:sz w:val="16"/>
                <w:szCs w:val="16"/>
              </w:rPr>
              <w:t>$24.66</w:t>
            </w:r>
          </w:p>
        </w:tc>
        <w:tc>
          <w:tcPr>
            <w:tcW w:w="810" w:type="dxa"/>
            <w:vAlign w:val="center"/>
          </w:tcPr>
          <w:p w:rsidR="00B5443C" w:rsidRDefault="00B5443C" w:rsidP="00040646">
            <w:pPr>
              <w:jc w:val="center"/>
              <w:rPr>
                <w:rFonts w:ascii="Calibri" w:hAnsi="Calibri"/>
                <w:b/>
                <w:bCs/>
                <w:color w:val="000000"/>
                <w:sz w:val="16"/>
                <w:szCs w:val="16"/>
              </w:rPr>
            </w:pPr>
            <w:r>
              <w:rPr>
                <w:rFonts w:ascii="Calibri" w:hAnsi="Calibri" w:cs="Calibri"/>
                <w:b/>
                <w:bCs/>
                <w:color w:val="000000"/>
                <w:sz w:val="16"/>
                <w:szCs w:val="16"/>
              </w:rPr>
              <w:t>$888</w:t>
            </w:r>
          </w:p>
        </w:tc>
      </w:tr>
      <w:tr w:rsidR="00B5443C" w:rsidRPr="005679C8" w:rsidTr="007F25A0">
        <w:trPr>
          <w:trHeight w:val="432"/>
        </w:trPr>
        <w:tc>
          <w:tcPr>
            <w:tcW w:w="3708" w:type="dxa"/>
            <w:vAlign w:val="center"/>
          </w:tcPr>
          <w:p w:rsidR="00B5443C" w:rsidRPr="005679C8" w:rsidRDefault="00B5443C" w:rsidP="00A61E0E">
            <w:pPr>
              <w:rPr>
                <w:color w:val="000000"/>
                <w:sz w:val="20"/>
                <w:szCs w:val="20"/>
              </w:rPr>
            </w:pPr>
            <w:r w:rsidRPr="005679C8">
              <w:rPr>
                <w:sz w:val="20"/>
                <w:szCs w:val="20"/>
              </w:rPr>
              <w:t xml:space="preserve">Interview </w:t>
            </w:r>
            <w:r>
              <w:rPr>
                <w:sz w:val="20"/>
                <w:szCs w:val="20"/>
              </w:rPr>
              <w:t xml:space="preserve">Guide </w:t>
            </w:r>
            <w:r w:rsidRPr="005679C8">
              <w:rPr>
                <w:sz w:val="20"/>
                <w:szCs w:val="20"/>
              </w:rPr>
              <w:t>with Local Education Agency Representative (B-6)</w:t>
            </w:r>
          </w:p>
        </w:tc>
        <w:tc>
          <w:tcPr>
            <w:tcW w:w="900" w:type="dxa"/>
            <w:vAlign w:val="center"/>
          </w:tcPr>
          <w:p w:rsidR="00B5443C" w:rsidRDefault="00B5443C">
            <w:pPr>
              <w:jc w:val="center"/>
              <w:rPr>
                <w:rFonts w:ascii="Calibri" w:hAnsi="Calibri"/>
                <w:color w:val="000000"/>
                <w:sz w:val="16"/>
                <w:szCs w:val="16"/>
              </w:rPr>
            </w:pPr>
            <w:r>
              <w:rPr>
                <w:rFonts w:ascii="Calibri" w:hAnsi="Calibri" w:cs="Calibri"/>
                <w:color w:val="000000"/>
                <w:sz w:val="16"/>
                <w:szCs w:val="16"/>
              </w:rPr>
              <w:t>12</w:t>
            </w:r>
          </w:p>
        </w:tc>
        <w:tc>
          <w:tcPr>
            <w:tcW w:w="810" w:type="dxa"/>
            <w:vAlign w:val="center"/>
          </w:tcPr>
          <w:p w:rsidR="00B5443C" w:rsidRDefault="00B5443C">
            <w:pPr>
              <w:jc w:val="center"/>
              <w:rPr>
                <w:rFonts w:ascii="Calibri" w:hAnsi="Calibri"/>
                <w:color w:val="000000"/>
                <w:sz w:val="16"/>
                <w:szCs w:val="16"/>
              </w:rPr>
            </w:pPr>
            <w:r>
              <w:rPr>
                <w:rFonts w:ascii="Calibri" w:hAnsi="Calibri" w:cs="Calibri"/>
                <w:color w:val="000000"/>
                <w:sz w:val="16"/>
                <w:szCs w:val="16"/>
              </w:rPr>
              <w:t>1</w:t>
            </w:r>
          </w:p>
        </w:tc>
        <w:tc>
          <w:tcPr>
            <w:tcW w:w="810" w:type="dxa"/>
            <w:vAlign w:val="center"/>
          </w:tcPr>
          <w:p w:rsidR="00B5443C" w:rsidRDefault="00B5443C" w:rsidP="00414483">
            <w:pPr>
              <w:jc w:val="center"/>
              <w:rPr>
                <w:rFonts w:ascii="Calibri" w:hAnsi="Calibri"/>
                <w:color w:val="000000"/>
                <w:sz w:val="16"/>
                <w:szCs w:val="16"/>
              </w:rPr>
            </w:pPr>
            <w:r>
              <w:rPr>
                <w:rFonts w:ascii="Calibri" w:hAnsi="Calibri" w:cs="Calibri"/>
                <w:color w:val="000000"/>
                <w:sz w:val="16"/>
                <w:szCs w:val="16"/>
              </w:rPr>
              <w:t>1</w:t>
            </w:r>
          </w:p>
        </w:tc>
        <w:tc>
          <w:tcPr>
            <w:tcW w:w="810" w:type="dxa"/>
            <w:vAlign w:val="center"/>
          </w:tcPr>
          <w:p w:rsidR="00B5443C" w:rsidRPr="00B5443C" w:rsidRDefault="00B5443C" w:rsidP="00414483">
            <w:pPr>
              <w:jc w:val="center"/>
              <w:rPr>
                <w:rFonts w:ascii="Calibri" w:hAnsi="Calibri"/>
                <w:bCs/>
                <w:color w:val="000000"/>
                <w:sz w:val="16"/>
                <w:szCs w:val="16"/>
              </w:rPr>
            </w:pPr>
            <w:r w:rsidRPr="00B5443C">
              <w:rPr>
                <w:rFonts w:ascii="Calibri" w:hAnsi="Calibri" w:cs="Calibri"/>
                <w:bCs/>
                <w:color w:val="000000"/>
                <w:sz w:val="16"/>
                <w:szCs w:val="16"/>
              </w:rPr>
              <w:t>12</w:t>
            </w:r>
          </w:p>
        </w:tc>
        <w:tc>
          <w:tcPr>
            <w:tcW w:w="720" w:type="dxa"/>
            <w:vAlign w:val="center"/>
          </w:tcPr>
          <w:p w:rsidR="00B5443C" w:rsidRDefault="00B5443C">
            <w:pPr>
              <w:jc w:val="center"/>
              <w:rPr>
                <w:rFonts w:ascii="Calibri" w:hAnsi="Calibri"/>
                <w:b/>
                <w:bCs/>
                <w:color w:val="000000"/>
                <w:sz w:val="16"/>
                <w:szCs w:val="16"/>
              </w:rPr>
            </w:pPr>
            <w:r>
              <w:rPr>
                <w:rFonts w:ascii="Calibri" w:hAnsi="Calibri" w:cs="Calibri"/>
                <w:b/>
                <w:bCs/>
                <w:color w:val="000000"/>
                <w:sz w:val="16"/>
                <w:szCs w:val="16"/>
              </w:rPr>
              <w:t>12</w:t>
            </w:r>
          </w:p>
        </w:tc>
        <w:tc>
          <w:tcPr>
            <w:tcW w:w="1080" w:type="dxa"/>
            <w:vAlign w:val="center"/>
          </w:tcPr>
          <w:p w:rsidR="00B5443C" w:rsidRDefault="00B5443C" w:rsidP="00040646">
            <w:pPr>
              <w:jc w:val="center"/>
              <w:rPr>
                <w:rFonts w:ascii="Calibri" w:hAnsi="Calibri"/>
                <w:b/>
                <w:bCs/>
                <w:color w:val="000000"/>
                <w:sz w:val="16"/>
                <w:szCs w:val="16"/>
              </w:rPr>
            </w:pPr>
            <w:r>
              <w:rPr>
                <w:rFonts w:ascii="Calibri" w:hAnsi="Calibri" w:cs="Calibri"/>
                <w:b/>
                <w:bCs/>
                <w:color w:val="000000"/>
                <w:sz w:val="16"/>
                <w:szCs w:val="16"/>
              </w:rPr>
              <w:t>$25.17</w:t>
            </w:r>
          </w:p>
        </w:tc>
        <w:tc>
          <w:tcPr>
            <w:tcW w:w="810" w:type="dxa"/>
            <w:vAlign w:val="center"/>
          </w:tcPr>
          <w:p w:rsidR="00B5443C" w:rsidRDefault="00B5443C" w:rsidP="00040646">
            <w:pPr>
              <w:jc w:val="center"/>
              <w:rPr>
                <w:rFonts w:ascii="Calibri" w:hAnsi="Calibri"/>
                <w:b/>
                <w:bCs/>
                <w:color w:val="000000"/>
                <w:sz w:val="16"/>
                <w:szCs w:val="16"/>
              </w:rPr>
            </w:pPr>
            <w:r>
              <w:rPr>
                <w:rFonts w:ascii="Calibri" w:hAnsi="Calibri" w:cs="Calibri"/>
                <w:b/>
                <w:bCs/>
                <w:color w:val="000000"/>
                <w:sz w:val="16"/>
                <w:szCs w:val="16"/>
              </w:rPr>
              <w:t>$302</w:t>
            </w:r>
          </w:p>
        </w:tc>
      </w:tr>
      <w:tr w:rsidR="00B5443C" w:rsidRPr="005679C8" w:rsidTr="007F25A0">
        <w:trPr>
          <w:trHeight w:val="432"/>
        </w:trPr>
        <w:tc>
          <w:tcPr>
            <w:tcW w:w="3708" w:type="dxa"/>
            <w:vAlign w:val="center"/>
          </w:tcPr>
          <w:p w:rsidR="00B5443C" w:rsidRPr="005679C8" w:rsidRDefault="00B5443C" w:rsidP="001349E9">
            <w:pPr>
              <w:rPr>
                <w:color w:val="000000"/>
                <w:sz w:val="20"/>
                <w:szCs w:val="20"/>
              </w:rPr>
            </w:pPr>
            <w:r>
              <w:rPr>
                <w:sz w:val="20"/>
                <w:szCs w:val="20"/>
              </w:rPr>
              <w:t xml:space="preserve">Interview Guide for Parents </w:t>
            </w:r>
            <w:r w:rsidRPr="005679C8">
              <w:rPr>
                <w:sz w:val="20"/>
                <w:szCs w:val="20"/>
              </w:rPr>
              <w:t>(B-</w:t>
            </w:r>
            <w:r>
              <w:rPr>
                <w:sz w:val="20"/>
                <w:szCs w:val="20"/>
              </w:rPr>
              <w:t>7</w:t>
            </w:r>
            <w:r w:rsidRPr="005679C8">
              <w:rPr>
                <w:sz w:val="20"/>
                <w:szCs w:val="20"/>
              </w:rPr>
              <w:t>)</w:t>
            </w:r>
          </w:p>
        </w:tc>
        <w:tc>
          <w:tcPr>
            <w:tcW w:w="900" w:type="dxa"/>
            <w:vAlign w:val="center"/>
          </w:tcPr>
          <w:p w:rsidR="00B5443C" w:rsidRDefault="00B5443C">
            <w:pPr>
              <w:jc w:val="center"/>
              <w:rPr>
                <w:rFonts w:ascii="Calibri" w:hAnsi="Calibri"/>
                <w:color w:val="000000"/>
                <w:sz w:val="16"/>
                <w:szCs w:val="16"/>
              </w:rPr>
            </w:pPr>
            <w:r>
              <w:rPr>
                <w:rFonts w:ascii="Calibri" w:hAnsi="Calibri" w:cs="Calibri"/>
                <w:color w:val="000000"/>
                <w:sz w:val="16"/>
                <w:szCs w:val="16"/>
              </w:rPr>
              <w:t>36</w:t>
            </w:r>
          </w:p>
        </w:tc>
        <w:tc>
          <w:tcPr>
            <w:tcW w:w="810" w:type="dxa"/>
            <w:vAlign w:val="center"/>
          </w:tcPr>
          <w:p w:rsidR="00B5443C" w:rsidRDefault="00B5443C">
            <w:pPr>
              <w:jc w:val="center"/>
              <w:rPr>
                <w:rFonts w:ascii="Calibri" w:hAnsi="Calibri"/>
                <w:color w:val="000000"/>
                <w:sz w:val="16"/>
                <w:szCs w:val="16"/>
              </w:rPr>
            </w:pPr>
            <w:r>
              <w:rPr>
                <w:rFonts w:ascii="Calibri" w:hAnsi="Calibri" w:cs="Calibri"/>
                <w:color w:val="000000"/>
                <w:sz w:val="16"/>
                <w:szCs w:val="16"/>
              </w:rPr>
              <w:t>1</w:t>
            </w:r>
          </w:p>
        </w:tc>
        <w:tc>
          <w:tcPr>
            <w:tcW w:w="810" w:type="dxa"/>
            <w:vAlign w:val="center"/>
          </w:tcPr>
          <w:p w:rsidR="00B5443C" w:rsidRDefault="00B5443C" w:rsidP="00414483">
            <w:pPr>
              <w:jc w:val="center"/>
              <w:rPr>
                <w:rFonts w:ascii="Calibri" w:hAnsi="Calibri"/>
                <w:color w:val="000000"/>
                <w:sz w:val="16"/>
                <w:szCs w:val="16"/>
              </w:rPr>
            </w:pPr>
            <w:r>
              <w:rPr>
                <w:rFonts w:ascii="Calibri" w:hAnsi="Calibri" w:cs="Calibri"/>
                <w:color w:val="000000"/>
                <w:sz w:val="16"/>
                <w:szCs w:val="16"/>
              </w:rPr>
              <w:t>0.75</w:t>
            </w:r>
          </w:p>
        </w:tc>
        <w:tc>
          <w:tcPr>
            <w:tcW w:w="810" w:type="dxa"/>
            <w:vAlign w:val="center"/>
          </w:tcPr>
          <w:p w:rsidR="00B5443C" w:rsidRPr="00B5443C" w:rsidRDefault="00B5443C" w:rsidP="00414483">
            <w:pPr>
              <w:jc w:val="center"/>
              <w:rPr>
                <w:rFonts w:ascii="Calibri" w:hAnsi="Calibri"/>
                <w:bCs/>
                <w:color w:val="000000"/>
                <w:sz w:val="16"/>
                <w:szCs w:val="16"/>
              </w:rPr>
            </w:pPr>
            <w:r w:rsidRPr="00B5443C">
              <w:rPr>
                <w:rFonts w:ascii="Calibri" w:hAnsi="Calibri" w:cs="Calibri"/>
                <w:bCs/>
                <w:color w:val="000000"/>
                <w:sz w:val="16"/>
                <w:szCs w:val="16"/>
              </w:rPr>
              <w:t>27</w:t>
            </w:r>
          </w:p>
        </w:tc>
        <w:tc>
          <w:tcPr>
            <w:tcW w:w="720" w:type="dxa"/>
            <w:vAlign w:val="center"/>
          </w:tcPr>
          <w:p w:rsidR="00B5443C" w:rsidRDefault="00B5443C">
            <w:pPr>
              <w:jc w:val="center"/>
              <w:rPr>
                <w:rFonts w:ascii="Calibri" w:hAnsi="Calibri"/>
                <w:b/>
                <w:bCs/>
                <w:color w:val="000000"/>
                <w:sz w:val="16"/>
                <w:szCs w:val="16"/>
              </w:rPr>
            </w:pPr>
            <w:r>
              <w:rPr>
                <w:rFonts w:ascii="Calibri" w:hAnsi="Calibri" w:cs="Calibri"/>
                <w:b/>
                <w:bCs/>
                <w:color w:val="000000"/>
                <w:sz w:val="16"/>
                <w:szCs w:val="16"/>
              </w:rPr>
              <w:t>27</w:t>
            </w:r>
          </w:p>
        </w:tc>
        <w:tc>
          <w:tcPr>
            <w:tcW w:w="1080" w:type="dxa"/>
            <w:vAlign w:val="center"/>
          </w:tcPr>
          <w:p w:rsidR="00B5443C" w:rsidRDefault="00B5443C" w:rsidP="00040646">
            <w:pPr>
              <w:jc w:val="center"/>
              <w:rPr>
                <w:rFonts w:ascii="Calibri" w:hAnsi="Calibri"/>
                <w:b/>
                <w:bCs/>
                <w:color w:val="000000"/>
                <w:sz w:val="16"/>
                <w:szCs w:val="16"/>
              </w:rPr>
            </w:pPr>
            <w:r>
              <w:rPr>
                <w:rFonts w:ascii="Calibri" w:hAnsi="Calibri" w:cs="Calibri"/>
                <w:b/>
                <w:bCs/>
                <w:color w:val="000000"/>
                <w:sz w:val="16"/>
                <w:szCs w:val="16"/>
              </w:rPr>
              <w:t>$9.17</w:t>
            </w:r>
          </w:p>
        </w:tc>
        <w:tc>
          <w:tcPr>
            <w:tcW w:w="810" w:type="dxa"/>
            <w:vAlign w:val="center"/>
          </w:tcPr>
          <w:p w:rsidR="00B5443C" w:rsidRDefault="00B5443C" w:rsidP="00040646">
            <w:pPr>
              <w:jc w:val="center"/>
              <w:rPr>
                <w:rFonts w:ascii="Calibri" w:hAnsi="Calibri"/>
                <w:b/>
                <w:bCs/>
                <w:color w:val="000000"/>
                <w:sz w:val="16"/>
                <w:szCs w:val="16"/>
              </w:rPr>
            </w:pPr>
            <w:r>
              <w:rPr>
                <w:rFonts w:ascii="Calibri" w:hAnsi="Calibri" w:cs="Calibri"/>
                <w:b/>
                <w:bCs/>
                <w:color w:val="000000"/>
                <w:sz w:val="16"/>
                <w:szCs w:val="16"/>
              </w:rPr>
              <w:t>$248</w:t>
            </w:r>
          </w:p>
        </w:tc>
      </w:tr>
      <w:tr w:rsidR="00B5443C" w:rsidRPr="005679C8" w:rsidTr="007F25A0">
        <w:trPr>
          <w:trHeight w:val="432"/>
        </w:trPr>
        <w:tc>
          <w:tcPr>
            <w:tcW w:w="3708" w:type="dxa"/>
            <w:vAlign w:val="center"/>
          </w:tcPr>
          <w:p w:rsidR="00B5443C" w:rsidRPr="005679C8" w:rsidRDefault="00B5443C" w:rsidP="00ED6F08">
            <w:pPr>
              <w:rPr>
                <w:sz w:val="20"/>
                <w:szCs w:val="20"/>
              </w:rPr>
            </w:pPr>
            <w:r>
              <w:rPr>
                <w:sz w:val="20"/>
                <w:szCs w:val="20"/>
              </w:rPr>
              <w:t>Interview Guide for AIAN Program Directors (C)</w:t>
            </w:r>
          </w:p>
        </w:tc>
        <w:tc>
          <w:tcPr>
            <w:tcW w:w="900" w:type="dxa"/>
            <w:vAlign w:val="center"/>
          </w:tcPr>
          <w:p w:rsidR="00B5443C" w:rsidRDefault="00B5443C">
            <w:pPr>
              <w:jc w:val="center"/>
              <w:rPr>
                <w:rFonts w:ascii="Calibri" w:hAnsi="Calibri"/>
                <w:color w:val="000000"/>
                <w:sz w:val="16"/>
                <w:szCs w:val="16"/>
              </w:rPr>
            </w:pPr>
            <w:r>
              <w:rPr>
                <w:rFonts w:ascii="Calibri" w:hAnsi="Calibri"/>
                <w:color w:val="000000"/>
                <w:sz w:val="16"/>
                <w:szCs w:val="16"/>
              </w:rPr>
              <w:t>4</w:t>
            </w:r>
          </w:p>
        </w:tc>
        <w:tc>
          <w:tcPr>
            <w:tcW w:w="810" w:type="dxa"/>
            <w:vAlign w:val="center"/>
          </w:tcPr>
          <w:p w:rsidR="00B5443C" w:rsidRDefault="00B5443C">
            <w:pPr>
              <w:jc w:val="center"/>
              <w:rPr>
                <w:rFonts w:ascii="Calibri" w:hAnsi="Calibri"/>
                <w:color w:val="000000"/>
                <w:sz w:val="16"/>
                <w:szCs w:val="16"/>
              </w:rPr>
            </w:pPr>
            <w:r>
              <w:rPr>
                <w:rFonts w:ascii="Calibri" w:hAnsi="Calibri"/>
                <w:color w:val="000000"/>
                <w:sz w:val="16"/>
                <w:szCs w:val="16"/>
              </w:rPr>
              <w:t>1</w:t>
            </w:r>
          </w:p>
        </w:tc>
        <w:tc>
          <w:tcPr>
            <w:tcW w:w="810" w:type="dxa"/>
            <w:vAlign w:val="center"/>
          </w:tcPr>
          <w:p w:rsidR="00B5443C" w:rsidRDefault="00B5443C" w:rsidP="00414483">
            <w:pPr>
              <w:jc w:val="center"/>
              <w:rPr>
                <w:rFonts w:ascii="Calibri" w:hAnsi="Calibri"/>
                <w:color w:val="000000"/>
                <w:sz w:val="16"/>
                <w:szCs w:val="16"/>
              </w:rPr>
            </w:pPr>
            <w:r>
              <w:rPr>
                <w:rFonts w:ascii="Calibri" w:hAnsi="Calibri"/>
                <w:color w:val="000000"/>
                <w:sz w:val="16"/>
                <w:szCs w:val="16"/>
              </w:rPr>
              <w:t>1</w:t>
            </w:r>
          </w:p>
        </w:tc>
        <w:tc>
          <w:tcPr>
            <w:tcW w:w="810" w:type="dxa"/>
            <w:vAlign w:val="center"/>
          </w:tcPr>
          <w:p w:rsidR="00B5443C" w:rsidRPr="00B5443C" w:rsidRDefault="00B5443C" w:rsidP="00414483">
            <w:pPr>
              <w:jc w:val="center"/>
              <w:rPr>
                <w:rFonts w:ascii="Calibri" w:hAnsi="Calibri"/>
                <w:bCs/>
                <w:color w:val="000000"/>
                <w:sz w:val="16"/>
                <w:szCs w:val="16"/>
              </w:rPr>
            </w:pPr>
            <w:r w:rsidRPr="00B5443C">
              <w:rPr>
                <w:rFonts w:ascii="Calibri" w:hAnsi="Calibri"/>
                <w:bCs/>
                <w:color w:val="000000"/>
                <w:sz w:val="16"/>
                <w:szCs w:val="16"/>
              </w:rPr>
              <w:t>4</w:t>
            </w:r>
          </w:p>
        </w:tc>
        <w:tc>
          <w:tcPr>
            <w:tcW w:w="720" w:type="dxa"/>
            <w:vAlign w:val="center"/>
          </w:tcPr>
          <w:p w:rsidR="00B5443C" w:rsidRDefault="00B5443C">
            <w:pPr>
              <w:jc w:val="center"/>
              <w:rPr>
                <w:rFonts w:ascii="Calibri" w:hAnsi="Calibri"/>
                <w:b/>
                <w:bCs/>
                <w:color w:val="000000"/>
                <w:sz w:val="16"/>
                <w:szCs w:val="16"/>
              </w:rPr>
            </w:pPr>
            <w:r>
              <w:rPr>
                <w:rFonts w:ascii="Calibri" w:hAnsi="Calibri"/>
                <w:b/>
                <w:bCs/>
                <w:color w:val="000000"/>
                <w:sz w:val="16"/>
                <w:szCs w:val="16"/>
              </w:rPr>
              <w:t>4</w:t>
            </w:r>
          </w:p>
        </w:tc>
        <w:tc>
          <w:tcPr>
            <w:tcW w:w="1080" w:type="dxa"/>
            <w:vAlign w:val="center"/>
          </w:tcPr>
          <w:p w:rsidR="00B5443C" w:rsidRDefault="00B5443C" w:rsidP="00040646">
            <w:pPr>
              <w:jc w:val="center"/>
              <w:rPr>
                <w:rFonts w:ascii="Calibri" w:hAnsi="Calibri"/>
                <w:b/>
                <w:bCs/>
                <w:color w:val="000000"/>
                <w:sz w:val="16"/>
                <w:szCs w:val="16"/>
              </w:rPr>
            </w:pPr>
            <w:r>
              <w:rPr>
                <w:rFonts w:ascii="Calibri" w:hAnsi="Calibri"/>
                <w:b/>
                <w:bCs/>
                <w:color w:val="000000"/>
                <w:sz w:val="16"/>
                <w:szCs w:val="16"/>
              </w:rPr>
              <w:t>$24.66</w:t>
            </w:r>
          </w:p>
        </w:tc>
        <w:tc>
          <w:tcPr>
            <w:tcW w:w="810" w:type="dxa"/>
            <w:vAlign w:val="center"/>
          </w:tcPr>
          <w:p w:rsidR="00B5443C" w:rsidRDefault="00B5443C" w:rsidP="00040646">
            <w:pPr>
              <w:jc w:val="center"/>
              <w:rPr>
                <w:rFonts w:ascii="Calibri" w:hAnsi="Calibri"/>
                <w:b/>
                <w:bCs/>
                <w:color w:val="000000"/>
                <w:sz w:val="16"/>
                <w:szCs w:val="16"/>
              </w:rPr>
            </w:pPr>
            <w:r>
              <w:rPr>
                <w:rFonts w:ascii="Calibri" w:hAnsi="Calibri"/>
                <w:b/>
                <w:bCs/>
                <w:color w:val="000000"/>
                <w:sz w:val="16"/>
                <w:szCs w:val="16"/>
              </w:rPr>
              <w:t>$99</w:t>
            </w:r>
          </w:p>
        </w:tc>
      </w:tr>
      <w:tr w:rsidR="00B5443C" w:rsidRPr="008D7604" w:rsidTr="007F25A0">
        <w:tc>
          <w:tcPr>
            <w:tcW w:w="6228" w:type="dxa"/>
            <w:gridSpan w:val="4"/>
            <w:tcBorders>
              <w:right w:val="single" w:sz="4" w:space="0" w:color="auto"/>
            </w:tcBorders>
            <w:vAlign w:val="center"/>
          </w:tcPr>
          <w:p w:rsidR="00B5443C" w:rsidRPr="005679C8" w:rsidRDefault="00B5443C" w:rsidP="00A61E0E">
            <w:pPr>
              <w:tabs>
                <w:tab w:val="center" w:pos="4320"/>
                <w:tab w:val="right" w:pos="8640"/>
              </w:tabs>
              <w:jc w:val="center"/>
              <w:rPr>
                <w:b/>
                <w:sz w:val="20"/>
                <w:szCs w:val="20"/>
              </w:rPr>
            </w:pPr>
            <w:r w:rsidRPr="005679C8">
              <w:rPr>
                <w:b/>
                <w:sz w:val="20"/>
                <w:szCs w:val="20"/>
              </w:rPr>
              <w:t>Estimated Annual Burden Sub-total</w:t>
            </w:r>
          </w:p>
        </w:tc>
        <w:tc>
          <w:tcPr>
            <w:tcW w:w="810" w:type="dxa"/>
            <w:tcBorders>
              <w:top w:val="single" w:sz="4" w:space="0" w:color="auto"/>
              <w:left w:val="single" w:sz="4" w:space="0" w:color="auto"/>
              <w:bottom w:val="single" w:sz="4" w:space="0" w:color="auto"/>
              <w:right w:val="single" w:sz="4" w:space="0" w:color="auto"/>
            </w:tcBorders>
            <w:vAlign w:val="center"/>
          </w:tcPr>
          <w:p w:rsidR="00B5443C" w:rsidRPr="005679C8" w:rsidRDefault="00B5443C" w:rsidP="00A61E0E">
            <w:pPr>
              <w:tabs>
                <w:tab w:val="center" w:pos="4320"/>
                <w:tab w:val="right" w:pos="8640"/>
              </w:tabs>
              <w:jc w:val="center"/>
              <w:rPr>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B5443C" w:rsidRPr="005679C8" w:rsidRDefault="00B5443C" w:rsidP="00B5443C">
            <w:pPr>
              <w:tabs>
                <w:tab w:val="center" w:pos="4320"/>
                <w:tab w:val="right" w:pos="8640"/>
              </w:tabs>
              <w:jc w:val="center"/>
              <w:rPr>
                <w:b/>
                <w:sz w:val="20"/>
                <w:szCs w:val="20"/>
              </w:rPr>
            </w:pPr>
            <w:r>
              <w:rPr>
                <w:rFonts w:ascii="Calibri" w:hAnsi="Calibri" w:cs="Calibri"/>
                <w:b/>
                <w:bCs/>
                <w:color w:val="000000"/>
                <w:sz w:val="16"/>
                <w:szCs w:val="16"/>
              </w:rPr>
              <w:t xml:space="preserve"> 323 </w:t>
            </w:r>
          </w:p>
        </w:tc>
        <w:tc>
          <w:tcPr>
            <w:tcW w:w="1080" w:type="dxa"/>
            <w:tcBorders>
              <w:top w:val="single" w:sz="4" w:space="0" w:color="auto"/>
              <w:left w:val="single" w:sz="4" w:space="0" w:color="auto"/>
              <w:bottom w:val="single" w:sz="4" w:space="0" w:color="auto"/>
              <w:right w:val="single" w:sz="4" w:space="0" w:color="auto"/>
            </w:tcBorders>
            <w:vAlign w:val="center"/>
          </w:tcPr>
          <w:p w:rsidR="00B5443C" w:rsidRPr="005679C8" w:rsidRDefault="00B5443C" w:rsidP="00040646">
            <w:pPr>
              <w:tabs>
                <w:tab w:val="center" w:pos="4320"/>
                <w:tab w:val="right" w:pos="8640"/>
              </w:tabs>
              <w:jc w:val="center"/>
              <w:rPr>
                <w:b/>
                <w:sz w:val="20"/>
                <w:szCs w:val="20"/>
              </w:rPr>
            </w:pPr>
          </w:p>
        </w:tc>
        <w:tc>
          <w:tcPr>
            <w:tcW w:w="810" w:type="dxa"/>
            <w:tcBorders>
              <w:left w:val="single" w:sz="4" w:space="0" w:color="auto"/>
            </w:tcBorders>
            <w:vAlign w:val="center"/>
          </w:tcPr>
          <w:p w:rsidR="00B5443C" w:rsidRPr="005679C8" w:rsidRDefault="00B5443C" w:rsidP="00C043F4">
            <w:pPr>
              <w:tabs>
                <w:tab w:val="center" w:pos="4320"/>
                <w:tab w:val="right" w:pos="8640"/>
              </w:tabs>
              <w:jc w:val="center"/>
              <w:rPr>
                <w:b/>
                <w:sz w:val="20"/>
                <w:szCs w:val="20"/>
              </w:rPr>
            </w:pPr>
            <w:r>
              <w:rPr>
                <w:rFonts w:ascii="Calibri" w:hAnsi="Calibri" w:cs="Calibri"/>
                <w:b/>
                <w:bCs/>
                <w:color w:val="000000"/>
                <w:sz w:val="16"/>
                <w:szCs w:val="16"/>
              </w:rPr>
              <w:t>$7,009</w:t>
            </w:r>
          </w:p>
        </w:tc>
      </w:tr>
    </w:tbl>
    <w:p w:rsidR="00A61E0E" w:rsidRDefault="00A61E0E" w:rsidP="00750772">
      <w:pPr>
        <w:spacing w:after="120"/>
        <w:rPr>
          <w:b/>
          <w:i/>
        </w:rPr>
      </w:pPr>
    </w:p>
    <w:p w:rsidR="009332A3" w:rsidRDefault="002338AC" w:rsidP="00750772">
      <w:pPr>
        <w:spacing w:after="120"/>
        <w:rPr>
          <w:b/>
          <w:i/>
        </w:rPr>
      </w:pPr>
      <w:r w:rsidRPr="002F3EDE">
        <w:rPr>
          <w:b/>
          <w:i/>
        </w:rPr>
        <w:t>Total Annual Cost</w:t>
      </w:r>
    </w:p>
    <w:p w:rsidR="002338AC" w:rsidRPr="009332A3" w:rsidRDefault="002338AC" w:rsidP="009332A3">
      <w:pPr>
        <w:rPr>
          <w:b/>
          <w:i/>
        </w:rPr>
      </w:pPr>
    </w:p>
    <w:p w:rsidR="006A463B" w:rsidRDefault="006A463B" w:rsidP="006A463B">
      <w:pPr>
        <w:spacing w:after="240"/>
      </w:pPr>
      <w:r w:rsidRPr="00FB21CC">
        <w:t xml:space="preserve">The estimated total annualized cost burden to respondents is </w:t>
      </w:r>
      <w:r>
        <w:t>based on the burden hours and estimated hourly wage rates for each data collection instrument, as shown in the two right-most columns of Exhibit A-3.  These estimates are based on:</w:t>
      </w:r>
    </w:p>
    <w:p w:rsidR="006A463B" w:rsidRDefault="006A463B" w:rsidP="00553B19">
      <w:pPr>
        <w:pStyle w:val="ListParagraph"/>
        <w:numPr>
          <w:ilvl w:val="0"/>
          <w:numId w:val="37"/>
        </w:numPr>
        <w:spacing w:after="240"/>
        <w:ind w:left="720"/>
        <w:contextualSpacing/>
      </w:pPr>
      <w:r>
        <w:t>an assumed hourly wages of $24.66 for Head Start directors and program managers/coordinators</w:t>
      </w:r>
      <w:r w:rsidR="00A61E0E">
        <w:t>,</w:t>
      </w:r>
      <w:r>
        <w:t xml:space="preserve"> based on mean hourly wage for “Education Administrators, Preschool and Child Care Centers/Programs”, as reported in the May 2011 U.S. Department of Labor, Bureau of Labor Statistics, Occupational Employment and Wage Estimates, </w:t>
      </w:r>
      <w:hyperlink r:id="rId13" w:history="1">
        <w:r w:rsidRPr="002478E6">
          <w:rPr>
            <w:rStyle w:val="Hyperlink"/>
          </w:rPr>
          <w:t>http://www.bls.gov/oes/current/oes119031.htm</w:t>
        </w:r>
      </w:hyperlink>
      <w:r>
        <w:t>).  Similar wages were assumed for members of the governing body and policy council</w:t>
      </w:r>
      <w:r w:rsidR="003B1C27">
        <w:t xml:space="preserve"> and AIAN Head Start directors</w:t>
      </w:r>
      <w:r>
        <w:t xml:space="preserve">. </w:t>
      </w:r>
    </w:p>
    <w:p w:rsidR="006A463B" w:rsidRDefault="006A463B" w:rsidP="00553B19">
      <w:pPr>
        <w:pStyle w:val="ListParagraph"/>
        <w:numPr>
          <w:ilvl w:val="0"/>
          <w:numId w:val="37"/>
        </w:numPr>
        <w:spacing w:after="240"/>
        <w:ind w:left="720"/>
        <w:contextualSpacing/>
      </w:pPr>
      <w:r>
        <w:t xml:space="preserve">an assumed hourly wages of $14.50 for Head Start teachers and other front-line staff, based on mean hourly wage for “Preschool Teachers, Except  Special Education,” as reported in the May 2011 U.S. Department of Labor, Bureau of Labor Statistics, Occupational Employment and Wage Estimates) </w:t>
      </w:r>
      <w:hyperlink r:id="rId14" w:history="1">
        <w:r w:rsidRPr="002478E6">
          <w:rPr>
            <w:rStyle w:val="Hyperlink"/>
          </w:rPr>
          <w:t>http://www.bls.gov/oes/current/oes252011.htm</w:t>
        </w:r>
      </w:hyperlink>
      <w:r>
        <w:t xml:space="preserve">.  Note that an analysis of the 2011 PIR data suggests annual Head Start teacher salaries are similar to those reported by the BLS.  </w:t>
      </w:r>
      <w:r w:rsidRPr="005F1ECE">
        <w:t xml:space="preserve">(Center for Law and Social Policy, November 2011, </w:t>
      </w:r>
      <w:r w:rsidRPr="006A463B">
        <w:rPr>
          <w:i/>
        </w:rPr>
        <w:t>Head Start Participants, Programs, Families and Staff in 2011</w:t>
      </w:r>
      <w:r w:rsidRPr="005F1ECE">
        <w:t xml:space="preserve">). </w:t>
      </w:r>
    </w:p>
    <w:p w:rsidR="006A463B" w:rsidRDefault="006A463B" w:rsidP="00553B19">
      <w:pPr>
        <w:pStyle w:val="ListParagraph"/>
        <w:numPr>
          <w:ilvl w:val="0"/>
          <w:numId w:val="37"/>
        </w:numPr>
        <w:spacing w:after="240"/>
        <w:ind w:left="720"/>
        <w:contextualSpacing/>
      </w:pPr>
      <w:r w:rsidRPr="005F1ECE">
        <w:t xml:space="preserve">an assumed hourly rate of $9.17  for </w:t>
      </w:r>
      <w:r w:rsidR="003B1C27">
        <w:t xml:space="preserve">Head Start and Early Head Start </w:t>
      </w:r>
      <w:r w:rsidRPr="005F1ECE">
        <w:t xml:space="preserve">parents This equates to annual earnings of $19,090 for a worker employed full-time year-round.  This </w:t>
      </w:r>
      <w:r>
        <w:t xml:space="preserve">earnings amount corresponds to 100 percent of the 2012 federal poverty income guidelines for a household three persons, the income limit for Head Start eligibility for a family of this size. </w:t>
      </w:r>
      <w:r w:rsidRPr="00FB21CC">
        <w:t xml:space="preserve">(For reference, this assumed wage rate is </w:t>
      </w:r>
      <w:r>
        <w:t xml:space="preserve">more than the </w:t>
      </w:r>
      <w:r w:rsidRPr="00FB21CC">
        <w:t xml:space="preserve">federal minimum wage of $7.25 per hour.)  </w:t>
      </w:r>
    </w:p>
    <w:p w:rsidR="002338AC" w:rsidRDefault="006A463B" w:rsidP="00553B19">
      <w:pPr>
        <w:pStyle w:val="ListParagraph"/>
        <w:numPr>
          <w:ilvl w:val="0"/>
          <w:numId w:val="37"/>
        </w:numPr>
        <w:spacing w:after="240"/>
        <w:ind w:left="720"/>
        <w:contextualSpacing/>
      </w:pPr>
      <w:r>
        <w:t>an assumed hourly rate of $25.17 for local educational agency lia</w:t>
      </w:r>
      <w:r w:rsidR="008A13CB">
        <w:t>i</w:t>
      </w:r>
      <w:r>
        <w:t xml:space="preserve">sons, based on mean annual salaries for “Kindergarten Teachers, Except Special Education,” as reported in the May 2011 U.S. Department of Labor, Bureau of Labor Statistics, Occupational Employment and Wage Estimates, </w:t>
      </w:r>
      <w:hyperlink r:id="rId15" w:history="1">
        <w:r w:rsidRPr="002478E6">
          <w:rPr>
            <w:rStyle w:val="Hyperlink"/>
          </w:rPr>
          <w:t>http://www.bls.gov/oes/current/oes252012.htm</w:t>
        </w:r>
      </w:hyperlink>
      <w:r>
        <w:t>.</w:t>
      </w:r>
    </w:p>
    <w:p w:rsidR="00945CD6" w:rsidRPr="009332A3" w:rsidRDefault="00292B70" w:rsidP="009332A3">
      <w:pPr>
        <w:pStyle w:val="Heading1"/>
        <w:rPr>
          <w:rFonts w:ascii="Times New Roman" w:hAnsi="Times New Roman"/>
          <w:sz w:val="24"/>
        </w:rPr>
      </w:pPr>
      <w:bookmarkStart w:id="14" w:name="_Toc352834390"/>
      <w:r w:rsidRPr="009332A3">
        <w:rPr>
          <w:rFonts w:ascii="Times New Roman" w:hAnsi="Times New Roman"/>
          <w:sz w:val="24"/>
        </w:rPr>
        <w:t xml:space="preserve">A13. </w:t>
      </w:r>
      <w:r w:rsidR="00945CD6" w:rsidRPr="009332A3">
        <w:rPr>
          <w:rFonts w:ascii="Times New Roman" w:hAnsi="Times New Roman"/>
          <w:sz w:val="24"/>
        </w:rPr>
        <w:t>Cost Burden to Respondents or Record Keepers</w:t>
      </w:r>
      <w:bookmarkEnd w:id="14"/>
    </w:p>
    <w:p w:rsidR="002338AC" w:rsidRDefault="00051F55" w:rsidP="009332A3">
      <w:r w:rsidRPr="009332A3">
        <w:t>There are no additional costs to respondents</w:t>
      </w:r>
      <w:r w:rsidR="00BF2B2D">
        <w:t xml:space="preserve"> or record keepers</w:t>
      </w:r>
      <w:r w:rsidRPr="009332A3">
        <w:t xml:space="preserve">. </w:t>
      </w:r>
    </w:p>
    <w:p w:rsidR="00945CD6" w:rsidRPr="009332A3" w:rsidRDefault="00292B70" w:rsidP="009332A3">
      <w:pPr>
        <w:pStyle w:val="Heading1"/>
        <w:rPr>
          <w:rFonts w:ascii="Times New Roman" w:hAnsi="Times New Roman"/>
          <w:sz w:val="24"/>
        </w:rPr>
      </w:pPr>
      <w:bookmarkStart w:id="15" w:name="_Toc352834391"/>
      <w:r w:rsidRPr="009332A3">
        <w:rPr>
          <w:rFonts w:ascii="Times New Roman" w:hAnsi="Times New Roman"/>
          <w:sz w:val="24"/>
        </w:rPr>
        <w:t xml:space="preserve">A14. </w:t>
      </w:r>
      <w:r w:rsidR="00945CD6" w:rsidRPr="009332A3">
        <w:rPr>
          <w:rFonts w:ascii="Times New Roman" w:hAnsi="Times New Roman"/>
          <w:sz w:val="24"/>
        </w:rPr>
        <w:t>Estimate of Cost to the Federal Government</w:t>
      </w:r>
      <w:bookmarkEnd w:id="15"/>
    </w:p>
    <w:p w:rsidR="006A463B" w:rsidRDefault="006A463B" w:rsidP="009332A3">
      <w:pPr>
        <w:tabs>
          <w:tab w:val="left" w:pos="90"/>
        </w:tabs>
      </w:pPr>
    </w:p>
    <w:p w:rsidR="002338AC" w:rsidRDefault="006A463B" w:rsidP="009332A3">
      <w:pPr>
        <w:tabs>
          <w:tab w:val="left" w:pos="90"/>
        </w:tabs>
      </w:pPr>
      <w:r w:rsidRPr="00DB71B0">
        <w:t xml:space="preserve">The estimated </w:t>
      </w:r>
      <w:r>
        <w:t xml:space="preserve">annual </w:t>
      </w:r>
      <w:r w:rsidRPr="00DB71B0">
        <w:t>cost to the federal government for the proposed data collection and analysis is $</w:t>
      </w:r>
      <w:r w:rsidR="00580812">
        <w:t>254,933</w:t>
      </w:r>
      <w:r w:rsidR="00856384">
        <w:t xml:space="preserve">. </w:t>
      </w:r>
      <w:r w:rsidR="00580812">
        <w:t xml:space="preserve"> </w:t>
      </w:r>
      <w:r w:rsidR="00580812" w:rsidRPr="00DB71B0">
        <w:t xml:space="preserve">This figure includes labor hours, </w:t>
      </w:r>
      <w:r w:rsidR="00BF2B2D">
        <w:t xml:space="preserve">and </w:t>
      </w:r>
      <w:r w:rsidR="00580812" w:rsidRPr="00DB71B0">
        <w:t>other direct costs (</w:t>
      </w:r>
      <w:r w:rsidR="00580812">
        <w:t xml:space="preserve">travel, </w:t>
      </w:r>
      <w:r w:rsidR="00580812" w:rsidRPr="00DB71B0">
        <w:t>photocopying, mailing</w:t>
      </w:r>
      <w:r w:rsidR="00580812">
        <w:t>,</w:t>
      </w:r>
      <w:r w:rsidR="00580812" w:rsidRPr="00DB71B0">
        <w:t xml:space="preserve"> etc.).</w:t>
      </w:r>
      <w:r w:rsidR="00B91D97">
        <w:t xml:space="preserve"> </w:t>
      </w:r>
    </w:p>
    <w:p w:rsidR="00945CD6" w:rsidRPr="009332A3" w:rsidRDefault="00292B70" w:rsidP="009332A3">
      <w:pPr>
        <w:pStyle w:val="Heading1"/>
        <w:rPr>
          <w:rFonts w:ascii="Times New Roman" w:hAnsi="Times New Roman"/>
          <w:sz w:val="24"/>
        </w:rPr>
      </w:pPr>
      <w:bookmarkStart w:id="16" w:name="_Toc352834392"/>
      <w:r w:rsidRPr="009332A3">
        <w:rPr>
          <w:rFonts w:ascii="Times New Roman" w:hAnsi="Times New Roman"/>
          <w:sz w:val="24"/>
        </w:rPr>
        <w:t xml:space="preserve">A15. </w:t>
      </w:r>
      <w:r w:rsidR="00945CD6" w:rsidRPr="009332A3">
        <w:rPr>
          <w:rFonts w:ascii="Times New Roman" w:hAnsi="Times New Roman"/>
          <w:sz w:val="24"/>
        </w:rPr>
        <w:t>Change in Burden</w:t>
      </w:r>
      <w:bookmarkEnd w:id="16"/>
    </w:p>
    <w:p w:rsidR="002338AC" w:rsidRPr="009332A3" w:rsidRDefault="00F53D18" w:rsidP="009332A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t xml:space="preserve">This is a new data collection.  </w:t>
      </w:r>
    </w:p>
    <w:p w:rsidR="00D90EF6" w:rsidRPr="009332A3" w:rsidRDefault="00292B70" w:rsidP="009332A3">
      <w:pPr>
        <w:pStyle w:val="Heading1"/>
        <w:rPr>
          <w:rFonts w:ascii="Times New Roman" w:hAnsi="Times New Roman"/>
          <w:sz w:val="24"/>
        </w:rPr>
      </w:pPr>
      <w:bookmarkStart w:id="17" w:name="_Toc352834393"/>
      <w:r w:rsidRPr="009332A3">
        <w:rPr>
          <w:rFonts w:ascii="Times New Roman" w:hAnsi="Times New Roman"/>
          <w:sz w:val="24"/>
        </w:rPr>
        <w:t xml:space="preserve">A16. </w:t>
      </w:r>
      <w:r w:rsidR="00945CD6" w:rsidRPr="009332A3">
        <w:rPr>
          <w:rFonts w:ascii="Times New Roman" w:hAnsi="Times New Roman"/>
          <w:sz w:val="24"/>
        </w:rPr>
        <w:t>Plan and Time Schedule for Information Collection, Tabulation and Publication</w:t>
      </w:r>
      <w:bookmarkEnd w:id="17"/>
    </w:p>
    <w:p w:rsidR="002B6F74" w:rsidRDefault="002B6F74" w:rsidP="00E41B9E">
      <w:pPr>
        <w:rPr>
          <w:u w:val="single"/>
        </w:rPr>
      </w:pPr>
    </w:p>
    <w:p w:rsidR="00202639" w:rsidRDefault="00211EF6" w:rsidP="00E41B9E">
      <w:r w:rsidRPr="00E53917">
        <w:rPr>
          <w:u w:val="single"/>
        </w:rPr>
        <w:t>Site Recruitment and Data Collection, August 2013-February 2014</w:t>
      </w:r>
      <w:r>
        <w:t xml:space="preserve">: </w:t>
      </w:r>
      <w:r w:rsidR="00580812">
        <w:t xml:space="preserve">Recruitment of grantees for </w:t>
      </w:r>
      <w:r w:rsidR="003B1C27">
        <w:t xml:space="preserve">the </w:t>
      </w:r>
      <w:r w:rsidR="00580812">
        <w:t xml:space="preserve">telephone </w:t>
      </w:r>
      <w:r w:rsidR="003B1C27">
        <w:t>survey</w:t>
      </w:r>
      <w:r w:rsidR="00580812">
        <w:t xml:space="preserve"> and training of telephone interviewers is scheduled to occur in August and </w:t>
      </w:r>
      <w:r w:rsidR="00580812">
        <w:lastRenderedPageBreak/>
        <w:t>September of 2013</w:t>
      </w:r>
      <w:r w:rsidR="007E0484">
        <w:t>, upon OMB approval</w:t>
      </w:r>
      <w:r w:rsidR="00580812">
        <w:t xml:space="preserve">.  The telephone </w:t>
      </w:r>
      <w:r w:rsidR="003B1C27">
        <w:t xml:space="preserve">survey is </w:t>
      </w:r>
      <w:r w:rsidR="00C347AC">
        <w:t xml:space="preserve">scheduled to </w:t>
      </w:r>
      <w:r w:rsidR="00580812">
        <w:t xml:space="preserve">be conducted in the fall of 2013 (October-November).  </w:t>
      </w:r>
    </w:p>
    <w:p w:rsidR="00566668" w:rsidRDefault="00566668" w:rsidP="00E41B9E"/>
    <w:p w:rsidR="00202639" w:rsidRDefault="00202639" w:rsidP="00E41B9E">
      <w:r>
        <w:t>Recruitment of 4 AIAN grantees for the qualitative telephone interviews is scheduled to occur in November 2013, and th</w:t>
      </w:r>
      <w:r w:rsidR="006B27F0">
        <w:t>ose telephone</w:t>
      </w:r>
      <w:r>
        <w:t xml:space="preserve"> interviews are scheduled to be conducted in December 2013. </w:t>
      </w:r>
    </w:p>
    <w:p w:rsidR="00202639" w:rsidRDefault="00202639" w:rsidP="00E41B9E"/>
    <w:p w:rsidR="00E41B9E" w:rsidRDefault="00E41B9E" w:rsidP="00E41B9E">
      <w:r>
        <w:t xml:space="preserve">After </w:t>
      </w:r>
      <w:r w:rsidR="00202639">
        <w:t xml:space="preserve">the </w:t>
      </w:r>
      <w:r>
        <w:t xml:space="preserve">telephone </w:t>
      </w:r>
      <w:r w:rsidR="00202639">
        <w:t xml:space="preserve">survey </w:t>
      </w:r>
      <w:r>
        <w:t xml:space="preserve">data </w:t>
      </w:r>
      <w:r w:rsidR="00F21B5D">
        <w:t xml:space="preserve">are </w:t>
      </w:r>
      <w:r>
        <w:t xml:space="preserve">compiled, interviewers will clean the data file and run preliminary descriptive analyses using an analytic software program such as SAS or STATA.  During the month of December 2013, the contractor will examine these preliminary data and select 12 programs for site </w:t>
      </w:r>
      <w:proofErr w:type="gramStart"/>
      <w:r>
        <w:t xml:space="preserve">visits </w:t>
      </w:r>
      <w:r w:rsidR="009F0E11">
        <w:t>,</w:t>
      </w:r>
      <w:proofErr w:type="gramEnd"/>
      <w:r w:rsidR="009F0E11">
        <w:t xml:space="preserve"> including six Head Start-only grantees and six combined Head Start EHS-grantees.  The goal in selecting programs will be to ensure that they have some range in their level of sophistication in setting school readiness goals and using school readiness data.  To implement this, the research team will analyze response to selected survey items, such as those regarding the </w:t>
      </w:r>
      <w:r w:rsidR="009F0E11" w:rsidRPr="009D019E">
        <w:t>programs</w:t>
      </w:r>
      <w:r w:rsidR="009F0E11" w:rsidRPr="00FF50E2">
        <w:t>’ overall experiences setting school readiness goals</w:t>
      </w:r>
      <w:r w:rsidR="009F0E11">
        <w:t xml:space="preserve">, the level of involvement of various stakeholders, and the technological and analytical capabilities of programs, including the presence of a data analyst or data manager.  In addition, the selection process will consider balance in terms of grantee organization type, program size, and geographic diversity.  </w:t>
      </w:r>
      <w:r>
        <w:t xml:space="preserve">Letters will be sent to those programs to invite them to participate, and follow-up phone calls will be made to further recruit programs and schedule the site visits </w:t>
      </w:r>
      <w:r w:rsidR="00855C48">
        <w:t xml:space="preserve">for </w:t>
      </w:r>
      <w:r>
        <w:t xml:space="preserve">the months of January and February 2014. </w:t>
      </w:r>
    </w:p>
    <w:p w:rsidR="009523A0" w:rsidRDefault="009523A0" w:rsidP="00E41B9E"/>
    <w:p w:rsidR="00013F5E" w:rsidRPr="002E076F" w:rsidRDefault="00013F5E" w:rsidP="002E076F"/>
    <w:p w:rsidR="008F4E12" w:rsidRDefault="00E41B9E" w:rsidP="00E41B9E">
      <w:r>
        <w:t xml:space="preserve">Following site visits, site visitors will clean their notes to create targeted transcripts, meet as a team to debrief on experiences, and decide on a predefined coding scheme that will be used to code the qualitative interview data.  </w:t>
      </w:r>
      <w:r w:rsidR="008F4E12" w:rsidRPr="00BA5680">
        <w:t>Potential categories in the coding scheme include the key factors program</w:t>
      </w:r>
      <w:r w:rsidR="008F4E12">
        <w:t>s</w:t>
      </w:r>
      <w:r w:rsidR="008F4E12" w:rsidRPr="00BA5680">
        <w:t xml:space="preserve"> consider when setting their school readiness goals, challenges in setting goals, and communication between staff and parents regarding progress towards goals.</w:t>
      </w:r>
    </w:p>
    <w:p w:rsidR="008F4E12" w:rsidRDefault="008F4E12" w:rsidP="00E41B9E"/>
    <w:p w:rsidR="00211EF6" w:rsidRDefault="00211EF6" w:rsidP="00211EF6">
      <w:r w:rsidRPr="00E53917">
        <w:rPr>
          <w:u w:val="single"/>
        </w:rPr>
        <w:t xml:space="preserve">Data </w:t>
      </w:r>
      <w:r>
        <w:rPr>
          <w:u w:val="single"/>
        </w:rPr>
        <w:t>Analysis</w:t>
      </w:r>
      <w:r w:rsidRPr="00E53917">
        <w:rPr>
          <w:u w:val="single"/>
        </w:rPr>
        <w:t xml:space="preserve"> and Reporting, March-September, 2014:</w:t>
      </w:r>
      <w:r>
        <w:t xml:space="preserve"> </w:t>
      </w:r>
      <w:r w:rsidR="00E41B9E">
        <w:t>During the months of March and April 2014,</w:t>
      </w:r>
      <w:r>
        <w:t xml:space="preserve"> there will be further analysis of the telephone survey data by a group of quantitative researchers simultaneously with analysis of the site visit data by a separate group of qualitative researchers.  In addition, the qualitative telephone interviews with the AIAN grantees will be reviewed and analyzed</w:t>
      </w:r>
      <w:r w:rsidR="00FF34E6">
        <w:t xml:space="preserve"> by the co-P</w:t>
      </w:r>
      <w:r w:rsidR="00BB1B5F">
        <w:t>rincipal Investigator</w:t>
      </w:r>
      <w:r w:rsidR="00FF34E6">
        <w:t xml:space="preserve"> who conducted those interviews</w:t>
      </w:r>
      <w:r>
        <w:t xml:space="preserve">.  </w:t>
      </w:r>
    </w:p>
    <w:p w:rsidR="00211EF6" w:rsidRDefault="00211EF6" w:rsidP="00BC2B05"/>
    <w:p w:rsidR="00FF34E6" w:rsidRDefault="00FF34E6" w:rsidP="00FF34E6">
      <w:pPr>
        <w:tabs>
          <w:tab w:val="left" w:pos="720"/>
          <w:tab w:val="left" w:pos="2520"/>
          <w:tab w:val="left" w:pos="4680"/>
        </w:tabs>
        <w:rPr>
          <w:iCs/>
        </w:rPr>
      </w:pPr>
      <w:r w:rsidRPr="00BA5680">
        <w:rPr>
          <w:iCs/>
        </w:rPr>
        <w:t>The telephone interview data for this study is primarily quantitative with several open-ended questions that will be captured as close to verbatim as possible. The data file generated from the interviewing tool will be imported into an analytic software program such as SAS or STATA</w:t>
      </w:r>
      <w:r w:rsidR="00A757CE">
        <w:rPr>
          <w:iCs/>
        </w:rPr>
        <w:t xml:space="preserve">. </w:t>
      </w:r>
      <w:r w:rsidRPr="00BA5680">
        <w:rPr>
          <w:iCs/>
        </w:rPr>
        <w:t xml:space="preserve">Analysts will run various </w:t>
      </w:r>
      <w:r>
        <w:rPr>
          <w:iCs/>
        </w:rPr>
        <w:t xml:space="preserve">quantitative </w:t>
      </w:r>
      <w:r w:rsidRPr="00BA5680">
        <w:rPr>
          <w:iCs/>
        </w:rPr>
        <w:t>analyses, including descriptive statistics on each item or computed scale</w:t>
      </w:r>
      <w:r>
        <w:rPr>
          <w:iCs/>
        </w:rPr>
        <w:t>,</w:t>
      </w:r>
      <w:r w:rsidRPr="00BA5680">
        <w:rPr>
          <w:iCs/>
        </w:rPr>
        <w:t xml:space="preserve"> and crosstabs or means comparison tests by program characteristics (e.g., large versus small). The results will display the frequency with which responses were reported and any differences in responses based on characteristics of the program (e.g., grantee type, size, region, service options, etc.). </w:t>
      </w:r>
      <w:r>
        <w:rPr>
          <w:iCs/>
        </w:rPr>
        <w:t xml:space="preserve">  </w:t>
      </w:r>
      <w:r w:rsidR="00566668">
        <w:rPr>
          <w:iCs/>
        </w:rPr>
        <w:t>For example, c</w:t>
      </w:r>
      <w:r>
        <w:rPr>
          <w:iCs/>
        </w:rPr>
        <w:t xml:space="preserve">omparisons by grantee type will look at Early Head Start and Head Start, and grantees with combined programs as compared with Early Head Start only and Head Start only. </w:t>
      </w:r>
    </w:p>
    <w:p w:rsidR="00BB1B5F" w:rsidRPr="00BA5680" w:rsidRDefault="00BB1B5F" w:rsidP="00FF34E6">
      <w:pPr>
        <w:tabs>
          <w:tab w:val="left" w:pos="720"/>
          <w:tab w:val="left" w:pos="2520"/>
          <w:tab w:val="left" w:pos="4680"/>
        </w:tabs>
        <w:rPr>
          <w:iCs/>
        </w:rPr>
      </w:pPr>
    </w:p>
    <w:p w:rsidR="00BB1B5F" w:rsidRDefault="00A757CE" w:rsidP="00BC2B05">
      <w:r>
        <w:rPr>
          <w:iCs/>
        </w:rPr>
        <w:lastRenderedPageBreak/>
        <w:t>Open-ended survey responses will be copied into Microsoft Word and converted into a clean set of notes</w:t>
      </w:r>
      <w:r w:rsidRPr="00BA5680">
        <w:rPr>
          <w:iCs/>
        </w:rPr>
        <w:t xml:space="preserve">. </w:t>
      </w:r>
      <w:r>
        <w:rPr>
          <w:iCs/>
        </w:rPr>
        <w:t>Depending on their nature, these items will either be coded into categorical response categories and analyzed quantitatively or coded according to the procedures described below for the interview data collected through site visits.</w:t>
      </w:r>
    </w:p>
    <w:p w:rsidR="008C5694" w:rsidRDefault="008C5694" w:rsidP="00E41B9E"/>
    <w:p w:rsidR="00211EF6" w:rsidRPr="00BA5680" w:rsidRDefault="00FF34E6" w:rsidP="00211EF6">
      <w:r>
        <w:t xml:space="preserve">For the site visits, </w:t>
      </w:r>
      <w:r w:rsidR="00211EF6">
        <w:t>a small group of qualitative analysts will code each interview transcript and subsequently analyze the coded themes to identify patterns across sites and differences in patterns based on site characteristics (e.g., Head Start only sites versus combined Head Start and Early Head Start sites). Coding and analysis will be done with t</w:t>
      </w:r>
      <w:r w:rsidR="00211EF6" w:rsidRPr="00BA5680">
        <w:t xml:space="preserve">he assistance of </w:t>
      </w:r>
      <w:proofErr w:type="spellStart"/>
      <w:r w:rsidR="00211EF6" w:rsidRPr="00BA5680">
        <w:t>NVivo</w:t>
      </w:r>
      <w:proofErr w:type="spellEnd"/>
      <w:r w:rsidR="00211EF6" w:rsidRPr="00BA5680">
        <w:t xml:space="preserve"> (QSR International, Inc), a software package that is designed to assist in managing, structuring, and analyzing qualitative data such as interview text through functions that support the classification, sorting, and comparing of text units. </w:t>
      </w:r>
    </w:p>
    <w:p w:rsidR="00211EF6" w:rsidRPr="00BA5680" w:rsidRDefault="00211EF6" w:rsidP="00211EF6"/>
    <w:p w:rsidR="00211EF6" w:rsidRDefault="00211EF6" w:rsidP="00211EF6">
      <w:r w:rsidRPr="00BA5680">
        <w:t xml:space="preserve">Analysts will code each interview/focus group transcript independently following </w:t>
      </w:r>
      <w:r>
        <w:t xml:space="preserve">the predefined coding </w:t>
      </w:r>
      <w:r w:rsidRPr="00BA5680">
        <w:t>scheme and revise the scheme adding new categories and subcategories as the data informs the coder. Coding will be aggregated by respondent type to examine common themes across program directors, teachers, parents, etc. Coding will also be compared within each site to look for patterns in responses within a given program and whether there were consistencies or inconsistencies in the information provided or differences in perspectives. Analysts will also compare the six sites offering only Head Start to the six sites offering both Head Start and Early Head Start to examine similarities and differences, as well as examine only those with Early Head Start to learn what unique experiences those programs reported.</w:t>
      </w:r>
    </w:p>
    <w:p w:rsidR="00211EF6" w:rsidRDefault="00211EF6" w:rsidP="00E41B9E"/>
    <w:p w:rsidR="00E41B9E" w:rsidRDefault="00E41B9E" w:rsidP="00E41B9E">
      <w:r>
        <w:t xml:space="preserve">Two draft research briefs will be written and submitted in May 2014, subsequently revised and resubmitted in final form in July 2014. A draft research report will be written during the months of May through July for submission in late July 2014. The final report will be submitted in September 2014, at which point the contractor will present findings to staff from OPRE, Office of Head Start, and other invited guests. </w:t>
      </w:r>
    </w:p>
    <w:p w:rsidR="00E41B9E" w:rsidRDefault="00E41B9E" w:rsidP="009332A3"/>
    <w:p w:rsidR="00945CD6" w:rsidRPr="00E41B9E" w:rsidRDefault="00292B70" w:rsidP="009332A3">
      <w:pPr>
        <w:pStyle w:val="Heading1"/>
        <w:rPr>
          <w:rFonts w:ascii="Times New Roman" w:hAnsi="Times New Roman"/>
          <w:sz w:val="24"/>
        </w:rPr>
      </w:pPr>
      <w:bookmarkStart w:id="18" w:name="_Toc352834394"/>
      <w:r w:rsidRPr="00E41B9E">
        <w:rPr>
          <w:rFonts w:ascii="Times New Roman" w:hAnsi="Times New Roman"/>
          <w:sz w:val="24"/>
        </w:rPr>
        <w:t xml:space="preserve">A17. </w:t>
      </w:r>
      <w:r w:rsidR="00945CD6" w:rsidRPr="00E41B9E">
        <w:rPr>
          <w:rFonts w:ascii="Times New Roman" w:hAnsi="Times New Roman"/>
          <w:sz w:val="24"/>
        </w:rPr>
        <w:t>Reasons Not to Display OMB Expiration Date</w:t>
      </w:r>
      <w:bookmarkEnd w:id="18"/>
    </w:p>
    <w:p w:rsidR="002338AC" w:rsidRPr="00E41B9E" w:rsidRDefault="00D90EF6" w:rsidP="009332A3">
      <w:r w:rsidRPr="00E41B9E">
        <w:t>All instruments will display the expiration date for OMB approval.</w:t>
      </w:r>
    </w:p>
    <w:p w:rsidR="00945CD6" w:rsidRPr="00E41B9E" w:rsidRDefault="00292B70" w:rsidP="009332A3">
      <w:pPr>
        <w:pStyle w:val="Heading1"/>
        <w:rPr>
          <w:rFonts w:ascii="Times New Roman" w:hAnsi="Times New Roman"/>
          <w:sz w:val="24"/>
        </w:rPr>
      </w:pPr>
      <w:bookmarkStart w:id="19" w:name="_Toc352834395"/>
      <w:r w:rsidRPr="00E41B9E">
        <w:rPr>
          <w:rFonts w:ascii="Times New Roman" w:hAnsi="Times New Roman"/>
          <w:sz w:val="24"/>
        </w:rPr>
        <w:t>A18.</w:t>
      </w:r>
      <w:r w:rsidR="000B5EA8" w:rsidRPr="00E41B9E">
        <w:rPr>
          <w:rFonts w:ascii="Times New Roman" w:hAnsi="Times New Roman"/>
          <w:sz w:val="24"/>
        </w:rPr>
        <w:t xml:space="preserve"> Exceptions to Certification for Paperwork Reduction Act Submissions</w:t>
      </w:r>
      <w:bookmarkEnd w:id="19"/>
    </w:p>
    <w:p w:rsidR="00D90EF6" w:rsidRDefault="00D90EF6" w:rsidP="009332A3">
      <w:r w:rsidRPr="00E41B9E">
        <w:rPr>
          <w:szCs w:val="22"/>
        </w:rPr>
        <w:t>No exceptions are necessary for this information collection.</w:t>
      </w:r>
      <w:r w:rsidR="000B5EA8">
        <w:tab/>
      </w:r>
    </w:p>
    <w:p w:rsidR="00AA29C0" w:rsidRDefault="00AA29C0" w:rsidP="009332A3"/>
    <w:sectPr w:rsidR="00AA29C0" w:rsidSect="00D52103">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1D4" w:rsidRDefault="008731D4">
      <w:r>
        <w:separator/>
      </w:r>
    </w:p>
  </w:endnote>
  <w:endnote w:type="continuationSeparator" w:id="0">
    <w:p w:rsidR="008731D4" w:rsidRDefault="008731D4">
      <w:r>
        <w:continuationSeparator/>
      </w:r>
    </w:p>
  </w:endnote>
  <w:endnote w:type="continuationNotice" w:id="1">
    <w:p w:rsidR="008731D4" w:rsidRDefault="008731D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MS PGothic">
    <w:charset w:val="80"/>
    <w:family w:val="swiss"/>
    <w:pitch w:val="variable"/>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D4" w:rsidRDefault="008731D4" w:rsidP="00292B70">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D4" w:rsidRDefault="008731D4">
    <w:pPr>
      <w:pStyle w:val="Footer"/>
      <w:jc w:val="center"/>
    </w:pPr>
  </w:p>
  <w:p w:rsidR="008731D4" w:rsidRDefault="008731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D4" w:rsidRDefault="002B096F">
    <w:pPr>
      <w:pStyle w:val="Footer"/>
      <w:jc w:val="center"/>
    </w:pPr>
    <w:r>
      <w:fldChar w:fldCharType="begin"/>
    </w:r>
    <w:r w:rsidR="008731D4">
      <w:instrText xml:space="preserve"> PAGE   \* MERGEFORMAT </w:instrText>
    </w:r>
    <w:r>
      <w:fldChar w:fldCharType="separate"/>
    </w:r>
    <w:r w:rsidR="001326EA">
      <w:rPr>
        <w:noProof/>
      </w:rPr>
      <w:t>18</w:t>
    </w:r>
    <w:r>
      <w:rPr>
        <w:noProof/>
      </w:rPr>
      <w:fldChar w:fldCharType="end"/>
    </w:r>
  </w:p>
  <w:p w:rsidR="008731D4" w:rsidRDefault="008731D4" w:rsidP="00292B7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1D4" w:rsidRDefault="008731D4">
      <w:r>
        <w:separator/>
      </w:r>
    </w:p>
  </w:footnote>
  <w:footnote w:type="continuationSeparator" w:id="0">
    <w:p w:rsidR="008731D4" w:rsidRDefault="008731D4">
      <w:r>
        <w:continuationSeparator/>
      </w:r>
    </w:p>
  </w:footnote>
  <w:footnote w:type="continuationNotice" w:id="1">
    <w:p w:rsidR="008731D4" w:rsidRDefault="008731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D4" w:rsidRDefault="008731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97EE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2C7845AC"/>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01E730AF"/>
    <w:multiLevelType w:val="hybridMultilevel"/>
    <w:tmpl w:val="071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D0664"/>
    <w:multiLevelType w:val="hybridMultilevel"/>
    <w:tmpl w:val="C266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E565B"/>
    <w:multiLevelType w:val="hybridMultilevel"/>
    <w:tmpl w:val="D10E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BA6529"/>
    <w:multiLevelType w:val="hybridMultilevel"/>
    <w:tmpl w:val="BF1C3F4C"/>
    <w:lvl w:ilvl="0" w:tplc="528AD73A">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ABC07FB"/>
    <w:multiLevelType w:val="hybridMultilevel"/>
    <w:tmpl w:val="96F6D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184F2B"/>
    <w:multiLevelType w:val="hybridMultilevel"/>
    <w:tmpl w:val="F7A29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0447CA"/>
    <w:multiLevelType w:val="hybridMultilevel"/>
    <w:tmpl w:val="A8A8B3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0011F7"/>
    <w:multiLevelType w:val="hybridMultilevel"/>
    <w:tmpl w:val="0ABA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D2631E"/>
    <w:multiLevelType w:val="hybridMultilevel"/>
    <w:tmpl w:val="4CB8A4E0"/>
    <w:lvl w:ilvl="0" w:tplc="B8A40720">
      <w:start w:val="1"/>
      <w:numFmt w:val="bullet"/>
      <w:lvlText w:val=""/>
      <w:lvlJc w:val="left"/>
      <w:pPr>
        <w:ind w:left="2218" w:hanging="360"/>
      </w:pPr>
      <w:rPr>
        <w:rFonts w:ascii="Symbol" w:hAnsi="Symbol" w:hint="default"/>
        <w:color w:val="auto"/>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16">
    <w:nsid w:val="20285442"/>
    <w:multiLevelType w:val="hybridMultilevel"/>
    <w:tmpl w:val="5734EFA2"/>
    <w:lvl w:ilvl="0" w:tplc="8436AC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9C59CA"/>
    <w:multiLevelType w:val="hybridMultilevel"/>
    <w:tmpl w:val="221AC95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D3624"/>
    <w:multiLevelType w:val="hybridMultilevel"/>
    <w:tmpl w:val="560A1C48"/>
    <w:lvl w:ilvl="0" w:tplc="D4149BD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7C11C9"/>
    <w:multiLevelType w:val="hybridMultilevel"/>
    <w:tmpl w:val="A8CAFA44"/>
    <w:lvl w:ilvl="0" w:tplc="0268A7E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99969472">
      <w:start w:val="1"/>
      <w:numFmt w:val="bullet"/>
      <w:lvlText w:val=""/>
      <w:lvlJc w:val="left"/>
      <w:pPr>
        <w:ind w:left="2700" w:hanging="360"/>
      </w:pPr>
      <w:rPr>
        <w:rFonts w:ascii="Symbol" w:eastAsiaTheme="minorHAnsi" w:hAnsi="Symbol"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D6EA4"/>
    <w:multiLevelType w:val="hybridMultilevel"/>
    <w:tmpl w:val="ACB66858"/>
    <w:lvl w:ilvl="0" w:tplc="D4149BD0">
      <w:start w:val="1"/>
      <w:numFmt w:val="decimal"/>
      <w:lvlText w:val="%1."/>
      <w:lvlJc w:val="left"/>
      <w:pPr>
        <w:ind w:left="216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41E65C3"/>
    <w:multiLevelType w:val="hybridMultilevel"/>
    <w:tmpl w:val="781A1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6D80B71"/>
    <w:multiLevelType w:val="hybridMultilevel"/>
    <w:tmpl w:val="6672B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7B62F8"/>
    <w:multiLevelType w:val="hybridMultilevel"/>
    <w:tmpl w:val="40544F2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nsid w:val="49B43EA9"/>
    <w:multiLevelType w:val="hybridMultilevel"/>
    <w:tmpl w:val="0F52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E16538"/>
    <w:multiLevelType w:val="hybridMultilevel"/>
    <w:tmpl w:val="D9E608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9B0162"/>
    <w:multiLevelType w:val="hybridMultilevel"/>
    <w:tmpl w:val="B7A47D9E"/>
    <w:lvl w:ilvl="0" w:tplc="0409000F">
      <w:start w:val="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BB6D01"/>
    <w:multiLevelType w:val="hybridMultilevel"/>
    <w:tmpl w:val="36EA189A"/>
    <w:lvl w:ilvl="0" w:tplc="B7523670">
      <w:start w:val="1"/>
      <w:numFmt w:val="bullet"/>
      <w:lvlText w:val=""/>
      <w:lvlJc w:val="left"/>
      <w:pPr>
        <w:ind w:left="720" w:hanging="360"/>
      </w:pPr>
      <w:rPr>
        <w:rFonts w:ascii="Symbol" w:hAnsi="Symbol" w:hint="default"/>
      </w:rPr>
    </w:lvl>
    <w:lvl w:ilvl="1" w:tplc="D9F8A472" w:tentative="1">
      <w:start w:val="1"/>
      <w:numFmt w:val="bullet"/>
      <w:lvlText w:val="o"/>
      <w:lvlJc w:val="left"/>
      <w:pPr>
        <w:ind w:left="1440" w:hanging="360"/>
      </w:pPr>
      <w:rPr>
        <w:rFonts w:ascii="Courier New" w:hAnsi="Courier New" w:cs="Courier New" w:hint="default"/>
      </w:rPr>
    </w:lvl>
    <w:lvl w:ilvl="2" w:tplc="3CCA880A" w:tentative="1">
      <w:start w:val="1"/>
      <w:numFmt w:val="bullet"/>
      <w:lvlText w:val=""/>
      <w:lvlJc w:val="left"/>
      <w:pPr>
        <w:ind w:left="2160" w:hanging="360"/>
      </w:pPr>
      <w:rPr>
        <w:rFonts w:ascii="Wingdings" w:hAnsi="Wingdings" w:hint="default"/>
      </w:rPr>
    </w:lvl>
    <w:lvl w:ilvl="3" w:tplc="91001C4C" w:tentative="1">
      <w:start w:val="1"/>
      <w:numFmt w:val="bullet"/>
      <w:lvlText w:val=""/>
      <w:lvlJc w:val="left"/>
      <w:pPr>
        <w:ind w:left="2880" w:hanging="360"/>
      </w:pPr>
      <w:rPr>
        <w:rFonts w:ascii="Symbol" w:hAnsi="Symbol" w:hint="default"/>
      </w:rPr>
    </w:lvl>
    <w:lvl w:ilvl="4" w:tplc="FE92DF52" w:tentative="1">
      <w:start w:val="1"/>
      <w:numFmt w:val="bullet"/>
      <w:lvlText w:val="o"/>
      <w:lvlJc w:val="left"/>
      <w:pPr>
        <w:ind w:left="3600" w:hanging="360"/>
      </w:pPr>
      <w:rPr>
        <w:rFonts w:ascii="Courier New" w:hAnsi="Courier New" w:cs="Courier New" w:hint="default"/>
      </w:rPr>
    </w:lvl>
    <w:lvl w:ilvl="5" w:tplc="ED8EE974" w:tentative="1">
      <w:start w:val="1"/>
      <w:numFmt w:val="bullet"/>
      <w:lvlText w:val=""/>
      <w:lvlJc w:val="left"/>
      <w:pPr>
        <w:ind w:left="4320" w:hanging="360"/>
      </w:pPr>
      <w:rPr>
        <w:rFonts w:ascii="Wingdings" w:hAnsi="Wingdings" w:hint="default"/>
      </w:rPr>
    </w:lvl>
    <w:lvl w:ilvl="6" w:tplc="C28271F8" w:tentative="1">
      <w:start w:val="1"/>
      <w:numFmt w:val="bullet"/>
      <w:lvlText w:val=""/>
      <w:lvlJc w:val="left"/>
      <w:pPr>
        <w:ind w:left="5040" w:hanging="360"/>
      </w:pPr>
      <w:rPr>
        <w:rFonts w:ascii="Symbol" w:hAnsi="Symbol" w:hint="default"/>
      </w:rPr>
    </w:lvl>
    <w:lvl w:ilvl="7" w:tplc="B9987AC8" w:tentative="1">
      <w:start w:val="1"/>
      <w:numFmt w:val="bullet"/>
      <w:lvlText w:val="o"/>
      <w:lvlJc w:val="left"/>
      <w:pPr>
        <w:ind w:left="5760" w:hanging="360"/>
      </w:pPr>
      <w:rPr>
        <w:rFonts w:ascii="Courier New" w:hAnsi="Courier New" w:cs="Courier New" w:hint="default"/>
      </w:rPr>
    </w:lvl>
    <w:lvl w:ilvl="8" w:tplc="AEC08F90" w:tentative="1">
      <w:start w:val="1"/>
      <w:numFmt w:val="bullet"/>
      <w:lvlText w:val=""/>
      <w:lvlJc w:val="left"/>
      <w:pPr>
        <w:ind w:left="6480" w:hanging="360"/>
      </w:pPr>
      <w:rPr>
        <w:rFonts w:ascii="Wingdings" w:hAnsi="Wingdings" w:hint="default"/>
      </w:rPr>
    </w:lvl>
  </w:abstractNum>
  <w:abstractNum w:abstractNumId="3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9E5860"/>
    <w:multiLevelType w:val="hybridMultilevel"/>
    <w:tmpl w:val="36502A12"/>
    <w:lvl w:ilvl="0" w:tplc="04090001">
      <w:start w:val="1"/>
      <w:numFmt w:val="bullet"/>
      <w:lvlText w:val=""/>
      <w:lvlJc w:val="left"/>
      <w:pPr>
        <w:ind w:left="720" w:hanging="360"/>
      </w:pPr>
      <w:rPr>
        <w:rFonts w:ascii="Symbol" w:hAnsi="Symbol" w:hint="default"/>
      </w:rPr>
    </w:lvl>
    <w:lvl w:ilvl="1" w:tplc="B8A4072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28099E"/>
    <w:multiLevelType w:val="hybridMultilevel"/>
    <w:tmpl w:val="BF722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0D8196A"/>
    <w:multiLevelType w:val="hybridMultilevel"/>
    <w:tmpl w:val="BDBC7998"/>
    <w:lvl w:ilvl="0" w:tplc="528AD73A">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8F38DC"/>
    <w:multiLevelType w:val="hybridMultilevel"/>
    <w:tmpl w:val="22F0BC88"/>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D30717"/>
    <w:multiLevelType w:val="hybridMultilevel"/>
    <w:tmpl w:val="8BC6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E85410"/>
    <w:multiLevelType w:val="hybridMultilevel"/>
    <w:tmpl w:val="A72E3842"/>
    <w:lvl w:ilvl="0" w:tplc="9904A82C">
      <w:start w:val="1"/>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4441DB9"/>
    <w:multiLevelType w:val="hybridMultilevel"/>
    <w:tmpl w:val="25C8B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185534"/>
    <w:multiLevelType w:val="hybridMultilevel"/>
    <w:tmpl w:val="0650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771A03"/>
    <w:multiLevelType w:val="hybridMultilevel"/>
    <w:tmpl w:val="59E2B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6"/>
  </w:num>
  <w:num w:numId="3">
    <w:abstractNumId w:val="33"/>
  </w:num>
  <w:num w:numId="4">
    <w:abstractNumId w:val="19"/>
  </w:num>
  <w:num w:numId="5">
    <w:abstractNumId w:val="20"/>
  </w:num>
  <w:num w:numId="6">
    <w:abstractNumId w:val="37"/>
  </w:num>
  <w:num w:numId="7">
    <w:abstractNumId w:val="34"/>
  </w:num>
  <w:num w:numId="8">
    <w:abstractNumId w:val="21"/>
  </w:num>
  <w:num w:numId="9">
    <w:abstractNumId w:val="24"/>
  </w:num>
  <w:num w:numId="10">
    <w:abstractNumId w:val="7"/>
  </w:num>
  <w:num w:numId="11">
    <w:abstractNumId w:val="4"/>
  </w:num>
  <w:num w:numId="12">
    <w:abstractNumId w:val="12"/>
  </w:num>
  <w:num w:numId="13">
    <w:abstractNumId w:val="39"/>
  </w:num>
  <w:num w:numId="14">
    <w:abstractNumId w:val="18"/>
  </w:num>
  <w:num w:numId="15">
    <w:abstractNumId w:val="11"/>
  </w:num>
  <w:num w:numId="16">
    <w:abstractNumId w:val="8"/>
  </w:num>
  <w:num w:numId="17">
    <w:abstractNumId w:val="38"/>
  </w:num>
  <w:num w:numId="18">
    <w:abstractNumId w:val="26"/>
  </w:num>
  <w:num w:numId="19">
    <w:abstractNumId w:val="10"/>
  </w:num>
  <w:num w:numId="20">
    <w:abstractNumId w:val="42"/>
  </w:num>
  <w:num w:numId="21">
    <w:abstractNumId w:val="40"/>
  </w:num>
  <w:num w:numId="22">
    <w:abstractNumId w:val="17"/>
  </w:num>
  <w:num w:numId="23">
    <w:abstractNumId w:val="9"/>
  </w:num>
  <w:num w:numId="24">
    <w:abstractNumId w:val="41"/>
  </w:num>
  <w:num w:numId="25">
    <w:abstractNumId w:val="2"/>
  </w:num>
  <w:num w:numId="26">
    <w:abstractNumId w:val="29"/>
  </w:num>
  <w:num w:numId="27">
    <w:abstractNumId w:val="1"/>
  </w:num>
  <w:num w:numId="28">
    <w:abstractNumId w:val="32"/>
  </w:num>
  <w:num w:numId="29">
    <w:abstractNumId w:val="16"/>
  </w:num>
  <w:num w:numId="30">
    <w:abstractNumId w:val="13"/>
  </w:num>
  <w:num w:numId="31">
    <w:abstractNumId w:val="35"/>
  </w:num>
  <w:num w:numId="32">
    <w:abstractNumId w:val="44"/>
  </w:num>
  <w:num w:numId="33">
    <w:abstractNumId w:val="0"/>
  </w:num>
  <w:num w:numId="34">
    <w:abstractNumId w:val="22"/>
  </w:num>
  <w:num w:numId="35">
    <w:abstractNumId w:val="25"/>
  </w:num>
  <w:num w:numId="36">
    <w:abstractNumId w:val="5"/>
  </w:num>
  <w:num w:numId="37">
    <w:abstractNumId w:val="15"/>
  </w:num>
  <w:num w:numId="38">
    <w:abstractNumId w:val="31"/>
  </w:num>
  <w:num w:numId="39">
    <w:abstractNumId w:val="43"/>
  </w:num>
  <w:num w:numId="40">
    <w:abstractNumId w:val="27"/>
  </w:num>
  <w:num w:numId="41">
    <w:abstractNumId w:val="36"/>
  </w:num>
  <w:num w:numId="42">
    <w:abstractNumId w:val="3"/>
  </w:num>
  <w:num w:numId="43">
    <w:abstractNumId w:val="23"/>
  </w:num>
  <w:num w:numId="44">
    <w:abstractNumId w:val="28"/>
  </w:num>
  <w:num w:numId="45">
    <w:abstractNumId w:val="30"/>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rsids>
    <w:rsidRoot w:val="008B7F2C"/>
    <w:rsid w:val="000119EF"/>
    <w:rsid w:val="000136C9"/>
    <w:rsid w:val="00013F5E"/>
    <w:rsid w:val="00030366"/>
    <w:rsid w:val="00032996"/>
    <w:rsid w:val="00040646"/>
    <w:rsid w:val="000431B8"/>
    <w:rsid w:val="00051F55"/>
    <w:rsid w:val="00057166"/>
    <w:rsid w:val="00060968"/>
    <w:rsid w:val="00063C11"/>
    <w:rsid w:val="00066E7C"/>
    <w:rsid w:val="00083DB4"/>
    <w:rsid w:val="00091C59"/>
    <w:rsid w:val="0009521D"/>
    <w:rsid w:val="000A0552"/>
    <w:rsid w:val="000B5EA8"/>
    <w:rsid w:val="000D51BE"/>
    <w:rsid w:val="000D53DF"/>
    <w:rsid w:val="000E2F8E"/>
    <w:rsid w:val="000E3564"/>
    <w:rsid w:val="000F5914"/>
    <w:rsid w:val="00120DCF"/>
    <w:rsid w:val="00124EBF"/>
    <w:rsid w:val="00130689"/>
    <w:rsid w:val="00131CB6"/>
    <w:rsid w:val="001326EA"/>
    <w:rsid w:val="00134718"/>
    <w:rsid w:val="001349E9"/>
    <w:rsid w:val="00150AC0"/>
    <w:rsid w:val="0016012E"/>
    <w:rsid w:val="00163FE3"/>
    <w:rsid w:val="0018295C"/>
    <w:rsid w:val="001830AD"/>
    <w:rsid w:val="00183C0F"/>
    <w:rsid w:val="00195E76"/>
    <w:rsid w:val="001A5AF9"/>
    <w:rsid w:val="001A7648"/>
    <w:rsid w:val="001B278E"/>
    <w:rsid w:val="001B3354"/>
    <w:rsid w:val="001C1A57"/>
    <w:rsid w:val="001C4CE5"/>
    <w:rsid w:val="001C4D60"/>
    <w:rsid w:val="00202639"/>
    <w:rsid w:val="0020382F"/>
    <w:rsid w:val="00211EF6"/>
    <w:rsid w:val="00214B75"/>
    <w:rsid w:val="002174B6"/>
    <w:rsid w:val="002231FA"/>
    <w:rsid w:val="00224E80"/>
    <w:rsid w:val="00225AA0"/>
    <w:rsid w:val="002338AC"/>
    <w:rsid w:val="00234E8D"/>
    <w:rsid w:val="00235A6D"/>
    <w:rsid w:val="00237EFC"/>
    <w:rsid w:val="002408DE"/>
    <w:rsid w:val="00240D95"/>
    <w:rsid w:val="00240E3E"/>
    <w:rsid w:val="00242D31"/>
    <w:rsid w:val="00246BF6"/>
    <w:rsid w:val="002474F9"/>
    <w:rsid w:val="0025173C"/>
    <w:rsid w:val="00253148"/>
    <w:rsid w:val="002536EF"/>
    <w:rsid w:val="00254FEA"/>
    <w:rsid w:val="00272CE2"/>
    <w:rsid w:val="00275C05"/>
    <w:rsid w:val="00286CB9"/>
    <w:rsid w:val="00286F49"/>
    <w:rsid w:val="00292B70"/>
    <w:rsid w:val="00293E76"/>
    <w:rsid w:val="00294DED"/>
    <w:rsid w:val="00294EC9"/>
    <w:rsid w:val="002A17DB"/>
    <w:rsid w:val="002A1F68"/>
    <w:rsid w:val="002B096F"/>
    <w:rsid w:val="002B4511"/>
    <w:rsid w:val="002B4DBE"/>
    <w:rsid w:val="002B6F74"/>
    <w:rsid w:val="002C0610"/>
    <w:rsid w:val="002C2663"/>
    <w:rsid w:val="002C4329"/>
    <w:rsid w:val="002C4F75"/>
    <w:rsid w:val="002C7D36"/>
    <w:rsid w:val="002D527D"/>
    <w:rsid w:val="002E076F"/>
    <w:rsid w:val="002E40C4"/>
    <w:rsid w:val="002E43B5"/>
    <w:rsid w:val="002E6F9A"/>
    <w:rsid w:val="002F57B5"/>
    <w:rsid w:val="00301E71"/>
    <w:rsid w:val="00310FF5"/>
    <w:rsid w:val="0032395E"/>
    <w:rsid w:val="00323A9F"/>
    <w:rsid w:val="00327B2E"/>
    <w:rsid w:val="00334253"/>
    <w:rsid w:val="00337747"/>
    <w:rsid w:val="00342028"/>
    <w:rsid w:val="003519DD"/>
    <w:rsid w:val="00353374"/>
    <w:rsid w:val="00357EED"/>
    <w:rsid w:val="003635BD"/>
    <w:rsid w:val="00364DA9"/>
    <w:rsid w:val="00364EFF"/>
    <w:rsid w:val="00374DAB"/>
    <w:rsid w:val="00375063"/>
    <w:rsid w:val="0038291A"/>
    <w:rsid w:val="00382B1D"/>
    <w:rsid w:val="00384A6A"/>
    <w:rsid w:val="0038666D"/>
    <w:rsid w:val="003953AC"/>
    <w:rsid w:val="003B1048"/>
    <w:rsid w:val="003B1C27"/>
    <w:rsid w:val="003B2C55"/>
    <w:rsid w:val="003C1116"/>
    <w:rsid w:val="003C3191"/>
    <w:rsid w:val="003C3FD7"/>
    <w:rsid w:val="003D0545"/>
    <w:rsid w:val="003D5231"/>
    <w:rsid w:val="003E0292"/>
    <w:rsid w:val="003E2A6D"/>
    <w:rsid w:val="003F3134"/>
    <w:rsid w:val="00401CA2"/>
    <w:rsid w:val="00403963"/>
    <w:rsid w:val="00410D92"/>
    <w:rsid w:val="00414483"/>
    <w:rsid w:val="004158D2"/>
    <w:rsid w:val="00422C1B"/>
    <w:rsid w:val="004236D6"/>
    <w:rsid w:val="00434C29"/>
    <w:rsid w:val="00445DD7"/>
    <w:rsid w:val="004522FF"/>
    <w:rsid w:val="004554B1"/>
    <w:rsid w:val="00456AF7"/>
    <w:rsid w:val="00456E2F"/>
    <w:rsid w:val="004570A6"/>
    <w:rsid w:val="0046030B"/>
    <w:rsid w:val="00465BA1"/>
    <w:rsid w:val="00482DDE"/>
    <w:rsid w:val="004846BE"/>
    <w:rsid w:val="004971B0"/>
    <w:rsid w:val="004A44DD"/>
    <w:rsid w:val="004B1B7B"/>
    <w:rsid w:val="004B3111"/>
    <w:rsid w:val="004B587E"/>
    <w:rsid w:val="004C2ADD"/>
    <w:rsid w:val="004C7FD3"/>
    <w:rsid w:val="004D6CA9"/>
    <w:rsid w:val="004F338A"/>
    <w:rsid w:val="004F4E1D"/>
    <w:rsid w:val="00502991"/>
    <w:rsid w:val="0050356F"/>
    <w:rsid w:val="005046F0"/>
    <w:rsid w:val="00511C1D"/>
    <w:rsid w:val="005124E7"/>
    <w:rsid w:val="00514ADB"/>
    <w:rsid w:val="00520737"/>
    <w:rsid w:val="0052336F"/>
    <w:rsid w:val="005353B7"/>
    <w:rsid w:val="00541024"/>
    <w:rsid w:val="005436EA"/>
    <w:rsid w:val="00544BF2"/>
    <w:rsid w:val="005456DF"/>
    <w:rsid w:val="00546ACA"/>
    <w:rsid w:val="00553B19"/>
    <w:rsid w:val="00556678"/>
    <w:rsid w:val="00566668"/>
    <w:rsid w:val="005679C8"/>
    <w:rsid w:val="0057079B"/>
    <w:rsid w:val="00571318"/>
    <w:rsid w:val="00580812"/>
    <w:rsid w:val="00581A3F"/>
    <w:rsid w:val="005953B7"/>
    <w:rsid w:val="005A2103"/>
    <w:rsid w:val="005A64C5"/>
    <w:rsid w:val="005B62FE"/>
    <w:rsid w:val="005C75D4"/>
    <w:rsid w:val="005C7F52"/>
    <w:rsid w:val="005D55B3"/>
    <w:rsid w:val="005E5545"/>
    <w:rsid w:val="005E699C"/>
    <w:rsid w:val="005F1C12"/>
    <w:rsid w:val="005F2061"/>
    <w:rsid w:val="005F444F"/>
    <w:rsid w:val="00606BFE"/>
    <w:rsid w:val="00607351"/>
    <w:rsid w:val="0061554E"/>
    <w:rsid w:val="00616A68"/>
    <w:rsid w:val="00617D8E"/>
    <w:rsid w:val="00622568"/>
    <w:rsid w:val="0062263E"/>
    <w:rsid w:val="00623154"/>
    <w:rsid w:val="00626604"/>
    <w:rsid w:val="006268CD"/>
    <w:rsid w:val="00634B99"/>
    <w:rsid w:val="00635542"/>
    <w:rsid w:val="00651DBA"/>
    <w:rsid w:val="00657424"/>
    <w:rsid w:val="0066582A"/>
    <w:rsid w:val="00682E27"/>
    <w:rsid w:val="00685454"/>
    <w:rsid w:val="00690880"/>
    <w:rsid w:val="00691B0A"/>
    <w:rsid w:val="006953B2"/>
    <w:rsid w:val="006A463B"/>
    <w:rsid w:val="006A7D0E"/>
    <w:rsid w:val="006B0B0A"/>
    <w:rsid w:val="006B0B90"/>
    <w:rsid w:val="006B27F0"/>
    <w:rsid w:val="006B6845"/>
    <w:rsid w:val="006C2B7C"/>
    <w:rsid w:val="006D43C7"/>
    <w:rsid w:val="006E65E7"/>
    <w:rsid w:val="00701045"/>
    <w:rsid w:val="00711BC5"/>
    <w:rsid w:val="007146D9"/>
    <w:rsid w:val="0072117D"/>
    <w:rsid w:val="00721F85"/>
    <w:rsid w:val="0072204D"/>
    <w:rsid w:val="00736F1D"/>
    <w:rsid w:val="00737D4C"/>
    <w:rsid w:val="00750772"/>
    <w:rsid w:val="00753825"/>
    <w:rsid w:val="00754B5F"/>
    <w:rsid w:val="007679E1"/>
    <w:rsid w:val="00772457"/>
    <w:rsid w:val="0077388C"/>
    <w:rsid w:val="007769D8"/>
    <w:rsid w:val="007833D8"/>
    <w:rsid w:val="00784137"/>
    <w:rsid w:val="007877E9"/>
    <w:rsid w:val="00791156"/>
    <w:rsid w:val="007A5C73"/>
    <w:rsid w:val="007B3125"/>
    <w:rsid w:val="007B66AF"/>
    <w:rsid w:val="007D27B3"/>
    <w:rsid w:val="007D295D"/>
    <w:rsid w:val="007D2C70"/>
    <w:rsid w:val="007D47EF"/>
    <w:rsid w:val="007E0484"/>
    <w:rsid w:val="007F258C"/>
    <w:rsid w:val="007F25A0"/>
    <w:rsid w:val="007F3D59"/>
    <w:rsid w:val="007F5520"/>
    <w:rsid w:val="0080293B"/>
    <w:rsid w:val="008054EC"/>
    <w:rsid w:val="0082604B"/>
    <w:rsid w:val="008308F8"/>
    <w:rsid w:val="00852291"/>
    <w:rsid w:val="00852B32"/>
    <w:rsid w:val="00855C48"/>
    <w:rsid w:val="00856384"/>
    <w:rsid w:val="008611DD"/>
    <w:rsid w:val="00864D73"/>
    <w:rsid w:val="0087234E"/>
    <w:rsid w:val="008726A2"/>
    <w:rsid w:val="008731D4"/>
    <w:rsid w:val="00877DB6"/>
    <w:rsid w:val="00883C14"/>
    <w:rsid w:val="00884BD0"/>
    <w:rsid w:val="00886B06"/>
    <w:rsid w:val="008915F7"/>
    <w:rsid w:val="00895274"/>
    <w:rsid w:val="008959DA"/>
    <w:rsid w:val="008A13CB"/>
    <w:rsid w:val="008A76C6"/>
    <w:rsid w:val="008B43ED"/>
    <w:rsid w:val="008B7F2C"/>
    <w:rsid w:val="008C3A00"/>
    <w:rsid w:val="008C4E31"/>
    <w:rsid w:val="008C5694"/>
    <w:rsid w:val="008D56D7"/>
    <w:rsid w:val="008E0B00"/>
    <w:rsid w:val="008E4FC1"/>
    <w:rsid w:val="008E6785"/>
    <w:rsid w:val="008F10A2"/>
    <w:rsid w:val="008F2651"/>
    <w:rsid w:val="008F3698"/>
    <w:rsid w:val="008F4498"/>
    <w:rsid w:val="008F46FD"/>
    <w:rsid w:val="008F4E12"/>
    <w:rsid w:val="0091228D"/>
    <w:rsid w:val="00912996"/>
    <w:rsid w:val="00917C3D"/>
    <w:rsid w:val="00932D71"/>
    <w:rsid w:val="009332A3"/>
    <w:rsid w:val="00945CD6"/>
    <w:rsid w:val="009523A0"/>
    <w:rsid w:val="00957AE3"/>
    <w:rsid w:val="00961A81"/>
    <w:rsid w:val="009648CE"/>
    <w:rsid w:val="009758A2"/>
    <w:rsid w:val="009812B1"/>
    <w:rsid w:val="00981972"/>
    <w:rsid w:val="00984CA2"/>
    <w:rsid w:val="009A137A"/>
    <w:rsid w:val="009A5DCA"/>
    <w:rsid w:val="009B0ECE"/>
    <w:rsid w:val="009B116B"/>
    <w:rsid w:val="009B1638"/>
    <w:rsid w:val="009C02FC"/>
    <w:rsid w:val="009D4065"/>
    <w:rsid w:val="009D4196"/>
    <w:rsid w:val="009D47D2"/>
    <w:rsid w:val="009D7709"/>
    <w:rsid w:val="009F0E11"/>
    <w:rsid w:val="009F5785"/>
    <w:rsid w:val="00A16F49"/>
    <w:rsid w:val="00A31366"/>
    <w:rsid w:val="00A35B0D"/>
    <w:rsid w:val="00A35E23"/>
    <w:rsid w:val="00A374DD"/>
    <w:rsid w:val="00A405A0"/>
    <w:rsid w:val="00A44209"/>
    <w:rsid w:val="00A4521A"/>
    <w:rsid w:val="00A523CB"/>
    <w:rsid w:val="00A61E0E"/>
    <w:rsid w:val="00A756E2"/>
    <w:rsid w:val="00A757CE"/>
    <w:rsid w:val="00A851F2"/>
    <w:rsid w:val="00A91424"/>
    <w:rsid w:val="00A93B30"/>
    <w:rsid w:val="00A97BB4"/>
    <w:rsid w:val="00AA13A2"/>
    <w:rsid w:val="00AA29C0"/>
    <w:rsid w:val="00AB53E4"/>
    <w:rsid w:val="00AD4A81"/>
    <w:rsid w:val="00AD62B4"/>
    <w:rsid w:val="00AE277F"/>
    <w:rsid w:val="00AE3DBD"/>
    <w:rsid w:val="00AF47B6"/>
    <w:rsid w:val="00B01013"/>
    <w:rsid w:val="00B06264"/>
    <w:rsid w:val="00B14396"/>
    <w:rsid w:val="00B21C6E"/>
    <w:rsid w:val="00B21E20"/>
    <w:rsid w:val="00B23572"/>
    <w:rsid w:val="00B303E3"/>
    <w:rsid w:val="00B36763"/>
    <w:rsid w:val="00B4456B"/>
    <w:rsid w:val="00B52ED9"/>
    <w:rsid w:val="00B5443C"/>
    <w:rsid w:val="00B54D4E"/>
    <w:rsid w:val="00B60529"/>
    <w:rsid w:val="00B61D5A"/>
    <w:rsid w:val="00B66874"/>
    <w:rsid w:val="00B73ACF"/>
    <w:rsid w:val="00B76962"/>
    <w:rsid w:val="00B81D6E"/>
    <w:rsid w:val="00B87710"/>
    <w:rsid w:val="00B91D97"/>
    <w:rsid w:val="00B94A60"/>
    <w:rsid w:val="00BA307E"/>
    <w:rsid w:val="00BA466F"/>
    <w:rsid w:val="00BA7C70"/>
    <w:rsid w:val="00BB1B5F"/>
    <w:rsid w:val="00BB42FC"/>
    <w:rsid w:val="00BC2B05"/>
    <w:rsid w:val="00BD1F4A"/>
    <w:rsid w:val="00BD4CFB"/>
    <w:rsid w:val="00BE4742"/>
    <w:rsid w:val="00BE7952"/>
    <w:rsid w:val="00BF232F"/>
    <w:rsid w:val="00BF2B2D"/>
    <w:rsid w:val="00BF5E96"/>
    <w:rsid w:val="00BF63D4"/>
    <w:rsid w:val="00C043F4"/>
    <w:rsid w:val="00C109E4"/>
    <w:rsid w:val="00C119FA"/>
    <w:rsid w:val="00C12B95"/>
    <w:rsid w:val="00C223A2"/>
    <w:rsid w:val="00C347AC"/>
    <w:rsid w:val="00C50621"/>
    <w:rsid w:val="00C53F5E"/>
    <w:rsid w:val="00C56EA9"/>
    <w:rsid w:val="00C625AD"/>
    <w:rsid w:val="00C7667C"/>
    <w:rsid w:val="00C92A97"/>
    <w:rsid w:val="00CA0A53"/>
    <w:rsid w:val="00CA2209"/>
    <w:rsid w:val="00CA5078"/>
    <w:rsid w:val="00CA7EEF"/>
    <w:rsid w:val="00CB2581"/>
    <w:rsid w:val="00CC42FD"/>
    <w:rsid w:val="00CC733B"/>
    <w:rsid w:val="00CE39EB"/>
    <w:rsid w:val="00CE6EFF"/>
    <w:rsid w:val="00CF262E"/>
    <w:rsid w:val="00CF48A8"/>
    <w:rsid w:val="00D012A6"/>
    <w:rsid w:val="00D06D5F"/>
    <w:rsid w:val="00D1248F"/>
    <w:rsid w:val="00D1495C"/>
    <w:rsid w:val="00D27E83"/>
    <w:rsid w:val="00D300C6"/>
    <w:rsid w:val="00D30783"/>
    <w:rsid w:val="00D33E9A"/>
    <w:rsid w:val="00D37C3D"/>
    <w:rsid w:val="00D40809"/>
    <w:rsid w:val="00D462DA"/>
    <w:rsid w:val="00D519D9"/>
    <w:rsid w:val="00D52103"/>
    <w:rsid w:val="00D5485C"/>
    <w:rsid w:val="00D5497A"/>
    <w:rsid w:val="00D64882"/>
    <w:rsid w:val="00D7006D"/>
    <w:rsid w:val="00D72AD0"/>
    <w:rsid w:val="00D8319C"/>
    <w:rsid w:val="00D90EF6"/>
    <w:rsid w:val="00D97671"/>
    <w:rsid w:val="00DC1AFD"/>
    <w:rsid w:val="00DC5DFB"/>
    <w:rsid w:val="00DC7040"/>
    <w:rsid w:val="00DD0CF4"/>
    <w:rsid w:val="00DD1FA2"/>
    <w:rsid w:val="00DE118C"/>
    <w:rsid w:val="00DE6D31"/>
    <w:rsid w:val="00DE76C1"/>
    <w:rsid w:val="00DE7B50"/>
    <w:rsid w:val="00DF2B1D"/>
    <w:rsid w:val="00E00860"/>
    <w:rsid w:val="00E04309"/>
    <w:rsid w:val="00E05254"/>
    <w:rsid w:val="00E05A0A"/>
    <w:rsid w:val="00E05B13"/>
    <w:rsid w:val="00E06BFE"/>
    <w:rsid w:val="00E07588"/>
    <w:rsid w:val="00E242AA"/>
    <w:rsid w:val="00E31786"/>
    <w:rsid w:val="00E35D38"/>
    <w:rsid w:val="00E371BC"/>
    <w:rsid w:val="00E41B9E"/>
    <w:rsid w:val="00E41D46"/>
    <w:rsid w:val="00E43CBA"/>
    <w:rsid w:val="00E45FBC"/>
    <w:rsid w:val="00E53917"/>
    <w:rsid w:val="00E55AF6"/>
    <w:rsid w:val="00E62415"/>
    <w:rsid w:val="00E637F8"/>
    <w:rsid w:val="00E6632D"/>
    <w:rsid w:val="00E7247A"/>
    <w:rsid w:val="00E72E9A"/>
    <w:rsid w:val="00E76E7F"/>
    <w:rsid w:val="00E8584F"/>
    <w:rsid w:val="00E90075"/>
    <w:rsid w:val="00E937E4"/>
    <w:rsid w:val="00EA16FD"/>
    <w:rsid w:val="00EA2370"/>
    <w:rsid w:val="00EB5B54"/>
    <w:rsid w:val="00EB7017"/>
    <w:rsid w:val="00EC329F"/>
    <w:rsid w:val="00EC5E22"/>
    <w:rsid w:val="00EC7ACB"/>
    <w:rsid w:val="00ED2EB8"/>
    <w:rsid w:val="00ED374A"/>
    <w:rsid w:val="00ED6F08"/>
    <w:rsid w:val="00ED7A14"/>
    <w:rsid w:val="00EE11F5"/>
    <w:rsid w:val="00EE2105"/>
    <w:rsid w:val="00EE6E1E"/>
    <w:rsid w:val="00F0304F"/>
    <w:rsid w:val="00F0559F"/>
    <w:rsid w:val="00F06559"/>
    <w:rsid w:val="00F12B50"/>
    <w:rsid w:val="00F17501"/>
    <w:rsid w:val="00F21B5D"/>
    <w:rsid w:val="00F21F90"/>
    <w:rsid w:val="00F23D7E"/>
    <w:rsid w:val="00F23F13"/>
    <w:rsid w:val="00F2614D"/>
    <w:rsid w:val="00F43087"/>
    <w:rsid w:val="00F5180F"/>
    <w:rsid w:val="00F53D18"/>
    <w:rsid w:val="00F57D90"/>
    <w:rsid w:val="00F677E6"/>
    <w:rsid w:val="00F7170A"/>
    <w:rsid w:val="00F73374"/>
    <w:rsid w:val="00F753D0"/>
    <w:rsid w:val="00F81611"/>
    <w:rsid w:val="00F83DA1"/>
    <w:rsid w:val="00F84A90"/>
    <w:rsid w:val="00F91E92"/>
    <w:rsid w:val="00FA05FE"/>
    <w:rsid w:val="00FA3F27"/>
    <w:rsid w:val="00FC04C5"/>
    <w:rsid w:val="00FC4122"/>
    <w:rsid w:val="00FD1B70"/>
    <w:rsid w:val="00FD7600"/>
    <w:rsid w:val="00FD7A55"/>
    <w:rsid w:val="00FF3048"/>
    <w:rsid w:val="00FF3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AA0"/>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EndnoteText">
    <w:name w:val="endnote text"/>
    <w:basedOn w:val="Normal"/>
    <w:link w:val="EndnoteTextChar"/>
    <w:uiPriority w:val="99"/>
    <w:unhideWhenUsed/>
    <w:rsid w:val="008A76C6"/>
    <w:rPr>
      <w:rFonts w:ascii="Calibri" w:eastAsia="Calibri" w:hAnsi="Calibri"/>
      <w:sz w:val="20"/>
      <w:szCs w:val="20"/>
    </w:rPr>
  </w:style>
  <w:style w:type="character" w:customStyle="1" w:styleId="EndnoteTextChar">
    <w:name w:val="Endnote Text Char"/>
    <w:link w:val="EndnoteText"/>
    <w:uiPriority w:val="99"/>
    <w:rsid w:val="008A76C6"/>
    <w:rPr>
      <w:rFonts w:ascii="Calibri" w:eastAsia="Calibri" w:hAnsi="Calibri"/>
    </w:rPr>
  </w:style>
  <w:style w:type="character" w:styleId="EndnoteReference">
    <w:name w:val="endnote reference"/>
    <w:uiPriority w:val="99"/>
    <w:unhideWhenUsed/>
    <w:rsid w:val="008A76C6"/>
    <w:rPr>
      <w:vertAlign w:val="superscript"/>
    </w:rPr>
  </w:style>
  <w:style w:type="paragraph" w:customStyle="1" w:styleId="ColorfulList-Accent11">
    <w:name w:val="Colorful List - Accent 11"/>
    <w:basedOn w:val="Normal"/>
    <w:link w:val="ColorfulList-Accent1Char"/>
    <w:uiPriority w:val="34"/>
    <w:qFormat/>
    <w:rsid w:val="00556678"/>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556678"/>
    <w:rPr>
      <w:rFonts w:ascii="Calibri" w:eastAsia="Calibri" w:hAnsi="Calibri"/>
      <w:sz w:val="22"/>
      <w:szCs w:val="22"/>
    </w:rPr>
  </w:style>
  <w:style w:type="table" w:styleId="TableGrid">
    <w:name w:val="Table Grid"/>
    <w:basedOn w:val="TableNormal"/>
    <w:uiPriority w:val="59"/>
    <w:rsid w:val="000D51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5"/>
    <w:uiPriority w:val="99"/>
    <w:rsid w:val="007146D9"/>
    <w:rPr>
      <w:rFonts w:cs="Gill Sans MT"/>
      <w:color w:val="4B4C4E"/>
      <w:sz w:val="28"/>
      <w:szCs w:val="28"/>
    </w:rPr>
  </w:style>
  <w:style w:type="paragraph" w:customStyle="1" w:styleId="Normal2">
    <w:name w:val="Normal 2"/>
    <w:basedOn w:val="Normal"/>
    <w:link w:val="Normal2Char"/>
    <w:rsid w:val="007B66AF"/>
    <w:pPr>
      <w:spacing w:line="360" w:lineRule="auto"/>
      <w:ind w:firstLine="720"/>
    </w:pPr>
    <w:rPr>
      <w:rFonts w:ascii="Arial" w:hAnsi="Arial"/>
      <w:bCs/>
      <w:sz w:val="22"/>
    </w:rPr>
  </w:style>
  <w:style w:type="character" w:customStyle="1" w:styleId="Normal2Char">
    <w:name w:val="Normal 2 Char"/>
    <w:link w:val="Normal2"/>
    <w:rsid w:val="007B66AF"/>
    <w:rPr>
      <w:rFonts w:ascii="Arial" w:hAnsi="Arial"/>
      <w:bCs/>
      <w:sz w:val="22"/>
      <w:szCs w:val="24"/>
    </w:rPr>
  </w:style>
  <w:style w:type="paragraph" w:styleId="PlainText">
    <w:name w:val="Plain Text"/>
    <w:basedOn w:val="Normal"/>
    <w:link w:val="PlainTextChar"/>
    <w:uiPriority w:val="99"/>
    <w:unhideWhenUsed/>
    <w:rsid w:val="00895274"/>
    <w:rPr>
      <w:rFonts w:ascii="Consolas" w:eastAsia="MS PGothic" w:hAnsi="Consolas"/>
      <w:sz w:val="21"/>
      <w:szCs w:val="21"/>
      <w:lang w:eastAsia="ja-JP"/>
    </w:rPr>
  </w:style>
  <w:style w:type="character" w:customStyle="1" w:styleId="PlainTextChar">
    <w:name w:val="Plain Text Char"/>
    <w:link w:val="PlainText"/>
    <w:uiPriority w:val="99"/>
    <w:rsid w:val="00895274"/>
    <w:rPr>
      <w:rFonts w:ascii="Consolas" w:eastAsia="MS PGothic" w:hAnsi="Consolas" w:cs="MS PGothic"/>
      <w:sz w:val="21"/>
      <w:szCs w:val="21"/>
      <w:lang w:eastAsia="ja-JP"/>
    </w:rPr>
  </w:style>
  <w:style w:type="paragraph" w:styleId="ListBullet4">
    <w:name w:val="List Bullet 4"/>
    <w:basedOn w:val="Normal"/>
    <w:rsid w:val="00131CB6"/>
    <w:pPr>
      <w:numPr>
        <w:numId w:val="27"/>
      </w:numPr>
      <w:contextualSpacing/>
    </w:pPr>
  </w:style>
  <w:style w:type="paragraph" w:styleId="ListParagraph">
    <w:name w:val="List Paragraph"/>
    <w:basedOn w:val="Normal"/>
    <w:link w:val="ListParagraphChar"/>
    <w:uiPriority w:val="34"/>
    <w:qFormat/>
    <w:rsid w:val="0009521D"/>
    <w:pPr>
      <w:ind w:left="720"/>
    </w:pPr>
  </w:style>
  <w:style w:type="paragraph" w:styleId="TOCHeading">
    <w:name w:val="TOC Heading"/>
    <w:basedOn w:val="Heading1"/>
    <w:next w:val="Normal"/>
    <w:uiPriority w:val="39"/>
    <w:semiHidden/>
    <w:unhideWhenUsed/>
    <w:qFormat/>
    <w:rsid w:val="00364EFF"/>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rsid w:val="00364EFF"/>
  </w:style>
  <w:style w:type="paragraph" w:styleId="Revision">
    <w:name w:val="Revision"/>
    <w:hidden/>
    <w:uiPriority w:val="99"/>
    <w:semiHidden/>
    <w:rsid w:val="00F06559"/>
    <w:rPr>
      <w:sz w:val="24"/>
      <w:szCs w:val="24"/>
    </w:rPr>
  </w:style>
  <w:style w:type="character" w:customStyle="1" w:styleId="ListParagraphChar">
    <w:name w:val="List Paragraph Char"/>
    <w:link w:val="ListParagraph"/>
    <w:uiPriority w:val="34"/>
    <w:locked/>
    <w:rsid w:val="00BA307E"/>
    <w:rPr>
      <w:sz w:val="24"/>
      <w:szCs w:val="24"/>
    </w:rPr>
  </w:style>
  <w:style w:type="table" w:customStyle="1" w:styleId="TableGrid1">
    <w:name w:val="Table Grid1"/>
    <w:basedOn w:val="TableNormal"/>
    <w:next w:val="TableGrid"/>
    <w:uiPriority w:val="59"/>
    <w:rsid w:val="00013F5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AA0"/>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EndnoteText">
    <w:name w:val="endnote text"/>
    <w:basedOn w:val="Normal"/>
    <w:link w:val="EndnoteTextChar"/>
    <w:uiPriority w:val="99"/>
    <w:unhideWhenUsed/>
    <w:rsid w:val="008A76C6"/>
    <w:rPr>
      <w:rFonts w:ascii="Calibri" w:eastAsia="Calibri" w:hAnsi="Calibri"/>
      <w:sz w:val="20"/>
      <w:szCs w:val="20"/>
    </w:rPr>
  </w:style>
  <w:style w:type="character" w:customStyle="1" w:styleId="EndnoteTextChar">
    <w:name w:val="Endnote Text Char"/>
    <w:link w:val="EndnoteText"/>
    <w:uiPriority w:val="99"/>
    <w:rsid w:val="008A76C6"/>
    <w:rPr>
      <w:rFonts w:ascii="Calibri" w:eastAsia="Calibri" w:hAnsi="Calibri"/>
    </w:rPr>
  </w:style>
  <w:style w:type="character" w:styleId="EndnoteReference">
    <w:name w:val="endnote reference"/>
    <w:uiPriority w:val="99"/>
    <w:unhideWhenUsed/>
    <w:rsid w:val="008A76C6"/>
    <w:rPr>
      <w:vertAlign w:val="superscript"/>
    </w:rPr>
  </w:style>
  <w:style w:type="paragraph" w:customStyle="1" w:styleId="ColorfulList-Accent11">
    <w:name w:val="Colorful List - Accent 11"/>
    <w:basedOn w:val="Normal"/>
    <w:link w:val="ColorfulList-Accent1Char"/>
    <w:uiPriority w:val="34"/>
    <w:qFormat/>
    <w:rsid w:val="00556678"/>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556678"/>
    <w:rPr>
      <w:rFonts w:ascii="Calibri" w:eastAsia="Calibri" w:hAnsi="Calibri"/>
      <w:sz w:val="22"/>
      <w:szCs w:val="22"/>
    </w:rPr>
  </w:style>
  <w:style w:type="table" w:styleId="TableGrid">
    <w:name w:val="Table Grid"/>
    <w:basedOn w:val="TableNormal"/>
    <w:uiPriority w:val="59"/>
    <w:rsid w:val="000D51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5"/>
    <w:uiPriority w:val="99"/>
    <w:rsid w:val="007146D9"/>
    <w:rPr>
      <w:rFonts w:cs="Gill Sans MT"/>
      <w:color w:val="4B4C4E"/>
      <w:sz w:val="28"/>
      <w:szCs w:val="28"/>
    </w:rPr>
  </w:style>
  <w:style w:type="paragraph" w:customStyle="1" w:styleId="Normal2">
    <w:name w:val="Normal 2"/>
    <w:basedOn w:val="Normal"/>
    <w:link w:val="Normal2Char"/>
    <w:rsid w:val="007B66AF"/>
    <w:pPr>
      <w:spacing w:line="360" w:lineRule="auto"/>
      <w:ind w:firstLine="720"/>
    </w:pPr>
    <w:rPr>
      <w:rFonts w:ascii="Arial" w:hAnsi="Arial"/>
      <w:bCs/>
      <w:sz w:val="22"/>
    </w:rPr>
  </w:style>
  <w:style w:type="character" w:customStyle="1" w:styleId="Normal2Char">
    <w:name w:val="Normal 2 Char"/>
    <w:link w:val="Normal2"/>
    <w:rsid w:val="007B66AF"/>
    <w:rPr>
      <w:rFonts w:ascii="Arial" w:hAnsi="Arial"/>
      <w:bCs/>
      <w:sz w:val="22"/>
      <w:szCs w:val="24"/>
    </w:rPr>
  </w:style>
  <w:style w:type="paragraph" w:styleId="PlainText">
    <w:name w:val="Plain Text"/>
    <w:basedOn w:val="Normal"/>
    <w:link w:val="PlainTextChar"/>
    <w:uiPriority w:val="99"/>
    <w:unhideWhenUsed/>
    <w:rsid w:val="00895274"/>
    <w:rPr>
      <w:rFonts w:ascii="Consolas" w:eastAsia="MS PGothic" w:hAnsi="Consolas"/>
      <w:sz w:val="21"/>
      <w:szCs w:val="21"/>
      <w:lang w:eastAsia="ja-JP"/>
    </w:rPr>
  </w:style>
  <w:style w:type="character" w:customStyle="1" w:styleId="PlainTextChar">
    <w:name w:val="Plain Text Char"/>
    <w:link w:val="PlainText"/>
    <w:uiPriority w:val="99"/>
    <w:rsid w:val="00895274"/>
    <w:rPr>
      <w:rFonts w:ascii="Consolas" w:eastAsia="MS PGothic" w:hAnsi="Consolas" w:cs="MS PGothic"/>
      <w:sz w:val="21"/>
      <w:szCs w:val="21"/>
      <w:lang w:eastAsia="ja-JP"/>
    </w:rPr>
  </w:style>
  <w:style w:type="paragraph" w:styleId="ListBullet4">
    <w:name w:val="List Bullet 4"/>
    <w:basedOn w:val="Normal"/>
    <w:rsid w:val="00131CB6"/>
    <w:pPr>
      <w:numPr>
        <w:numId w:val="27"/>
      </w:numPr>
      <w:contextualSpacing/>
    </w:pPr>
  </w:style>
  <w:style w:type="paragraph" w:styleId="ListParagraph">
    <w:name w:val="List Paragraph"/>
    <w:basedOn w:val="Normal"/>
    <w:link w:val="ListParagraphChar"/>
    <w:uiPriority w:val="34"/>
    <w:qFormat/>
    <w:rsid w:val="0009521D"/>
    <w:pPr>
      <w:ind w:left="720"/>
    </w:pPr>
  </w:style>
  <w:style w:type="paragraph" w:styleId="TOCHeading">
    <w:name w:val="TOC Heading"/>
    <w:basedOn w:val="Heading1"/>
    <w:next w:val="Normal"/>
    <w:uiPriority w:val="39"/>
    <w:semiHidden/>
    <w:unhideWhenUsed/>
    <w:qFormat/>
    <w:rsid w:val="00364EFF"/>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rsid w:val="00364EFF"/>
  </w:style>
  <w:style w:type="paragraph" w:styleId="Revision">
    <w:name w:val="Revision"/>
    <w:hidden/>
    <w:uiPriority w:val="99"/>
    <w:semiHidden/>
    <w:rsid w:val="00F06559"/>
    <w:rPr>
      <w:sz w:val="24"/>
      <w:szCs w:val="24"/>
    </w:rPr>
  </w:style>
  <w:style w:type="character" w:customStyle="1" w:styleId="ListParagraphChar">
    <w:name w:val="List Paragraph Char"/>
    <w:link w:val="ListParagraph"/>
    <w:uiPriority w:val="34"/>
    <w:locked/>
    <w:rsid w:val="00BA307E"/>
    <w:rPr>
      <w:sz w:val="24"/>
      <w:szCs w:val="24"/>
    </w:rPr>
  </w:style>
  <w:style w:type="table" w:customStyle="1" w:styleId="TableGrid1">
    <w:name w:val="Table Grid1"/>
    <w:basedOn w:val="TableNormal"/>
    <w:next w:val="TableGrid"/>
    <w:uiPriority w:val="59"/>
    <w:rsid w:val="00013F5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530398">
      <w:bodyDiv w:val="1"/>
      <w:marLeft w:val="0"/>
      <w:marRight w:val="0"/>
      <w:marTop w:val="0"/>
      <w:marBottom w:val="0"/>
      <w:divBdr>
        <w:top w:val="none" w:sz="0" w:space="0" w:color="auto"/>
        <w:left w:val="none" w:sz="0" w:space="0" w:color="auto"/>
        <w:bottom w:val="none" w:sz="0" w:space="0" w:color="auto"/>
        <w:right w:val="none" w:sz="0" w:space="0" w:color="auto"/>
      </w:divBdr>
    </w:div>
    <w:div w:id="868951993">
      <w:bodyDiv w:val="1"/>
      <w:marLeft w:val="0"/>
      <w:marRight w:val="0"/>
      <w:marTop w:val="0"/>
      <w:marBottom w:val="0"/>
      <w:divBdr>
        <w:top w:val="none" w:sz="0" w:space="0" w:color="auto"/>
        <w:left w:val="none" w:sz="0" w:space="0" w:color="auto"/>
        <w:bottom w:val="none" w:sz="0" w:space="0" w:color="auto"/>
        <w:right w:val="none" w:sz="0" w:space="0" w:color="auto"/>
      </w:divBdr>
    </w:div>
    <w:div w:id="1375427357">
      <w:bodyDiv w:val="1"/>
      <w:marLeft w:val="0"/>
      <w:marRight w:val="0"/>
      <w:marTop w:val="0"/>
      <w:marBottom w:val="0"/>
      <w:divBdr>
        <w:top w:val="none" w:sz="0" w:space="0" w:color="auto"/>
        <w:left w:val="none" w:sz="0" w:space="0" w:color="auto"/>
        <w:bottom w:val="none" w:sz="0" w:space="0" w:color="auto"/>
        <w:right w:val="none" w:sz="0" w:space="0" w:color="auto"/>
      </w:divBdr>
    </w:div>
    <w:div w:id="1719891208">
      <w:bodyDiv w:val="1"/>
      <w:marLeft w:val="0"/>
      <w:marRight w:val="0"/>
      <w:marTop w:val="0"/>
      <w:marBottom w:val="0"/>
      <w:divBdr>
        <w:top w:val="none" w:sz="0" w:space="0" w:color="auto"/>
        <w:left w:val="none" w:sz="0" w:space="0" w:color="auto"/>
        <w:bottom w:val="none" w:sz="0" w:space="0" w:color="auto"/>
        <w:right w:val="none" w:sz="0" w:space="0" w:color="auto"/>
      </w:divBdr>
    </w:div>
    <w:div w:id="1918779364">
      <w:bodyDiv w:val="1"/>
      <w:marLeft w:val="0"/>
      <w:marRight w:val="0"/>
      <w:marTop w:val="0"/>
      <w:marBottom w:val="0"/>
      <w:divBdr>
        <w:top w:val="none" w:sz="0" w:space="0" w:color="auto"/>
        <w:left w:val="none" w:sz="0" w:space="0" w:color="auto"/>
        <w:bottom w:val="none" w:sz="0" w:space="0" w:color="auto"/>
        <w:right w:val="none" w:sz="0" w:space="0" w:color="auto"/>
      </w:divBdr>
    </w:div>
    <w:div w:id="207214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119031.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s.gov/oes/current/oes252012.htm" TargetMode="Externa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bls.gov/oes/current/oes25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F83C8-5A83-4FBE-9CDE-41087FE73DBE}">
  <ds:schemaRefs>
    <ds:schemaRef ds:uri="http://schemas.openxmlformats.org/officeDocument/2006/bibliography"/>
  </ds:schemaRefs>
</ds:datastoreItem>
</file>

<file path=customXml/itemProps2.xml><?xml version="1.0" encoding="utf-8"?>
<ds:datastoreItem xmlns:ds="http://schemas.openxmlformats.org/officeDocument/2006/customXml" ds:itemID="{335D0752-A5CF-4923-A99D-DD07701D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7952</Words>
  <Characters>45455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53301</CharactersWithSpaces>
  <SharedDoc>false</SharedDoc>
  <HLinks>
    <vt:vector size="126" baseType="variant">
      <vt:variant>
        <vt:i4>1638480</vt:i4>
      </vt:variant>
      <vt:variant>
        <vt:i4>117</vt:i4>
      </vt:variant>
      <vt:variant>
        <vt:i4>0</vt:i4>
      </vt:variant>
      <vt:variant>
        <vt:i4>5</vt:i4>
      </vt:variant>
      <vt:variant>
        <vt:lpwstr>http://www.bls.gov/oes/current/oes252012.htm</vt:lpwstr>
      </vt:variant>
      <vt:variant>
        <vt:lpwstr/>
      </vt:variant>
      <vt:variant>
        <vt:i4>1704016</vt:i4>
      </vt:variant>
      <vt:variant>
        <vt:i4>114</vt:i4>
      </vt:variant>
      <vt:variant>
        <vt:i4>0</vt:i4>
      </vt:variant>
      <vt:variant>
        <vt:i4>5</vt:i4>
      </vt:variant>
      <vt:variant>
        <vt:lpwstr>http://www.bls.gov/oes/current/oes252011.htm</vt:lpwstr>
      </vt:variant>
      <vt:variant>
        <vt:lpwstr/>
      </vt:variant>
      <vt:variant>
        <vt:i4>1966170</vt:i4>
      </vt:variant>
      <vt:variant>
        <vt:i4>111</vt:i4>
      </vt:variant>
      <vt:variant>
        <vt:i4>0</vt:i4>
      </vt:variant>
      <vt:variant>
        <vt:i4>5</vt:i4>
      </vt:variant>
      <vt:variant>
        <vt:lpwstr>http://www.bls.gov/oes/current/oes119031.htm</vt:lpwstr>
      </vt:variant>
      <vt:variant>
        <vt:lpwstr/>
      </vt:variant>
      <vt:variant>
        <vt:i4>1966132</vt:i4>
      </vt:variant>
      <vt:variant>
        <vt:i4>104</vt:i4>
      </vt:variant>
      <vt:variant>
        <vt:i4>0</vt:i4>
      </vt:variant>
      <vt:variant>
        <vt:i4>5</vt:i4>
      </vt:variant>
      <vt:variant>
        <vt:lpwstr/>
      </vt:variant>
      <vt:variant>
        <vt:lpwstr>_Toc347387891</vt:lpwstr>
      </vt:variant>
      <vt:variant>
        <vt:i4>1966132</vt:i4>
      </vt:variant>
      <vt:variant>
        <vt:i4>98</vt:i4>
      </vt:variant>
      <vt:variant>
        <vt:i4>0</vt:i4>
      </vt:variant>
      <vt:variant>
        <vt:i4>5</vt:i4>
      </vt:variant>
      <vt:variant>
        <vt:lpwstr/>
      </vt:variant>
      <vt:variant>
        <vt:lpwstr>_Toc347387890</vt:lpwstr>
      </vt:variant>
      <vt:variant>
        <vt:i4>2031668</vt:i4>
      </vt:variant>
      <vt:variant>
        <vt:i4>92</vt:i4>
      </vt:variant>
      <vt:variant>
        <vt:i4>0</vt:i4>
      </vt:variant>
      <vt:variant>
        <vt:i4>5</vt:i4>
      </vt:variant>
      <vt:variant>
        <vt:lpwstr/>
      </vt:variant>
      <vt:variant>
        <vt:lpwstr>_Toc347387889</vt:lpwstr>
      </vt:variant>
      <vt:variant>
        <vt:i4>2031668</vt:i4>
      </vt:variant>
      <vt:variant>
        <vt:i4>86</vt:i4>
      </vt:variant>
      <vt:variant>
        <vt:i4>0</vt:i4>
      </vt:variant>
      <vt:variant>
        <vt:i4>5</vt:i4>
      </vt:variant>
      <vt:variant>
        <vt:lpwstr/>
      </vt:variant>
      <vt:variant>
        <vt:lpwstr>_Toc347387888</vt:lpwstr>
      </vt:variant>
      <vt:variant>
        <vt:i4>2031668</vt:i4>
      </vt:variant>
      <vt:variant>
        <vt:i4>80</vt:i4>
      </vt:variant>
      <vt:variant>
        <vt:i4>0</vt:i4>
      </vt:variant>
      <vt:variant>
        <vt:i4>5</vt:i4>
      </vt:variant>
      <vt:variant>
        <vt:lpwstr/>
      </vt:variant>
      <vt:variant>
        <vt:lpwstr>_Toc347387887</vt:lpwstr>
      </vt:variant>
      <vt:variant>
        <vt:i4>2031668</vt:i4>
      </vt:variant>
      <vt:variant>
        <vt:i4>74</vt:i4>
      </vt:variant>
      <vt:variant>
        <vt:i4>0</vt:i4>
      </vt:variant>
      <vt:variant>
        <vt:i4>5</vt:i4>
      </vt:variant>
      <vt:variant>
        <vt:lpwstr/>
      </vt:variant>
      <vt:variant>
        <vt:lpwstr>_Toc347387886</vt:lpwstr>
      </vt:variant>
      <vt:variant>
        <vt:i4>2031668</vt:i4>
      </vt:variant>
      <vt:variant>
        <vt:i4>68</vt:i4>
      </vt:variant>
      <vt:variant>
        <vt:i4>0</vt:i4>
      </vt:variant>
      <vt:variant>
        <vt:i4>5</vt:i4>
      </vt:variant>
      <vt:variant>
        <vt:lpwstr/>
      </vt:variant>
      <vt:variant>
        <vt:lpwstr>_Toc347387885</vt:lpwstr>
      </vt:variant>
      <vt:variant>
        <vt:i4>2031668</vt:i4>
      </vt:variant>
      <vt:variant>
        <vt:i4>62</vt:i4>
      </vt:variant>
      <vt:variant>
        <vt:i4>0</vt:i4>
      </vt:variant>
      <vt:variant>
        <vt:i4>5</vt:i4>
      </vt:variant>
      <vt:variant>
        <vt:lpwstr/>
      </vt:variant>
      <vt:variant>
        <vt:lpwstr>_Toc347387884</vt:lpwstr>
      </vt:variant>
      <vt:variant>
        <vt:i4>2031668</vt:i4>
      </vt:variant>
      <vt:variant>
        <vt:i4>56</vt:i4>
      </vt:variant>
      <vt:variant>
        <vt:i4>0</vt:i4>
      </vt:variant>
      <vt:variant>
        <vt:i4>5</vt:i4>
      </vt:variant>
      <vt:variant>
        <vt:lpwstr/>
      </vt:variant>
      <vt:variant>
        <vt:lpwstr>_Toc347387883</vt:lpwstr>
      </vt:variant>
      <vt:variant>
        <vt:i4>2031668</vt:i4>
      </vt:variant>
      <vt:variant>
        <vt:i4>50</vt:i4>
      </vt:variant>
      <vt:variant>
        <vt:i4>0</vt:i4>
      </vt:variant>
      <vt:variant>
        <vt:i4>5</vt:i4>
      </vt:variant>
      <vt:variant>
        <vt:lpwstr/>
      </vt:variant>
      <vt:variant>
        <vt:lpwstr>_Toc347387882</vt:lpwstr>
      </vt:variant>
      <vt:variant>
        <vt:i4>2031668</vt:i4>
      </vt:variant>
      <vt:variant>
        <vt:i4>44</vt:i4>
      </vt:variant>
      <vt:variant>
        <vt:i4>0</vt:i4>
      </vt:variant>
      <vt:variant>
        <vt:i4>5</vt:i4>
      </vt:variant>
      <vt:variant>
        <vt:lpwstr/>
      </vt:variant>
      <vt:variant>
        <vt:lpwstr>_Toc347387881</vt:lpwstr>
      </vt:variant>
      <vt:variant>
        <vt:i4>2031668</vt:i4>
      </vt:variant>
      <vt:variant>
        <vt:i4>38</vt:i4>
      </vt:variant>
      <vt:variant>
        <vt:i4>0</vt:i4>
      </vt:variant>
      <vt:variant>
        <vt:i4>5</vt:i4>
      </vt:variant>
      <vt:variant>
        <vt:lpwstr/>
      </vt:variant>
      <vt:variant>
        <vt:lpwstr>_Toc347387880</vt:lpwstr>
      </vt:variant>
      <vt:variant>
        <vt:i4>1048628</vt:i4>
      </vt:variant>
      <vt:variant>
        <vt:i4>32</vt:i4>
      </vt:variant>
      <vt:variant>
        <vt:i4>0</vt:i4>
      </vt:variant>
      <vt:variant>
        <vt:i4>5</vt:i4>
      </vt:variant>
      <vt:variant>
        <vt:lpwstr/>
      </vt:variant>
      <vt:variant>
        <vt:lpwstr>_Toc347387879</vt:lpwstr>
      </vt:variant>
      <vt:variant>
        <vt:i4>1048628</vt:i4>
      </vt:variant>
      <vt:variant>
        <vt:i4>26</vt:i4>
      </vt:variant>
      <vt:variant>
        <vt:i4>0</vt:i4>
      </vt:variant>
      <vt:variant>
        <vt:i4>5</vt:i4>
      </vt:variant>
      <vt:variant>
        <vt:lpwstr/>
      </vt:variant>
      <vt:variant>
        <vt:lpwstr>_Toc347387878</vt:lpwstr>
      </vt:variant>
      <vt:variant>
        <vt:i4>1048628</vt:i4>
      </vt:variant>
      <vt:variant>
        <vt:i4>20</vt:i4>
      </vt:variant>
      <vt:variant>
        <vt:i4>0</vt:i4>
      </vt:variant>
      <vt:variant>
        <vt:i4>5</vt:i4>
      </vt:variant>
      <vt:variant>
        <vt:lpwstr/>
      </vt:variant>
      <vt:variant>
        <vt:lpwstr>_Toc347387877</vt:lpwstr>
      </vt:variant>
      <vt:variant>
        <vt:i4>1048628</vt:i4>
      </vt:variant>
      <vt:variant>
        <vt:i4>14</vt:i4>
      </vt:variant>
      <vt:variant>
        <vt:i4>0</vt:i4>
      </vt:variant>
      <vt:variant>
        <vt:i4>5</vt:i4>
      </vt:variant>
      <vt:variant>
        <vt:lpwstr/>
      </vt:variant>
      <vt:variant>
        <vt:lpwstr>_Toc347387876</vt:lpwstr>
      </vt:variant>
      <vt:variant>
        <vt:i4>1048628</vt:i4>
      </vt:variant>
      <vt:variant>
        <vt:i4>8</vt:i4>
      </vt:variant>
      <vt:variant>
        <vt:i4>0</vt:i4>
      </vt:variant>
      <vt:variant>
        <vt:i4>5</vt:i4>
      </vt:variant>
      <vt:variant>
        <vt:lpwstr/>
      </vt:variant>
      <vt:variant>
        <vt:lpwstr>_Toc347387875</vt:lpwstr>
      </vt:variant>
      <vt:variant>
        <vt:i4>1048628</vt:i4>
      </vt:variant>
      <vt:variant>
        <vt:i4>2</vt:i4>
      </vt:variant>
      <vt:variant>
        <vt:i4>0</vt:i4>
      </vt:variant>
      <vt:variant>
        <vt:i4>5</vt:i4>
      </vt:variant>
      <vt:variant>
        <vt:lpwstr/>
      </vt:variant>
      <vt:variant>
        <vt:lpwstr>_Toc347387874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DHHS</cp:lastModifiedBy>
  <cp:revision>4</cp:revision>
  <cp:lastPrinted>2013-04-05T17:54:00Z</cp:lastPrinted>
  <dcterms:created xsi:type="dcterms:W3CDTF">2013-08-15T14:27:00Z</dcterms:created>
  <dcterms:modified xsi:type="dcterms:W3CDTF">2013-08-29T14:32:00Z</dcterms:modified>
</cp:coreProperties>
</file>