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7B" w:rsidRDefault="0064737B" w:rsidP="00AA12FC">
      <w:pPr>
        <w:pStyle w:val="Header1"/>
      </w:pPr>
      <w:bookmarkStart w:id="0" w:name="_GoBack"/>
      <w:bookmarkEnd w:id="0"/>
      <w:r w:rsidRPr="00AF39D5">
        <w:t xml:space="preserve">Supporting Statement </w:t>
      </w:r>
      <w:r w:rsidR="001D20C8" w:rsidRPr="00AF39D5">
        <w:t>– Part A</w:t>
      </w:r>
    </w:p>
    <w:p w:rsidR="002E0DD7" w:rsidRPr="00AF39D5" w:rsidRDefault="002E0DD7" w:rsidP="00AA12FC">
      <w:pPr>
        <w:pStyle w:val="Header1"/>
      </w:pPr>
      <w:r>
        <w:t>Notice of Denial of Medical Coverage</w:t>
      </w:r>
      <w:r w:rsidR="004655DC">
        <w:t xml:space="preserve"> (or </w:t>
      </w:r>
      <w:r>
        <w:t>Payment</w:t>
      </w:r>
      <w:r w:rsidR="004655DC">
        <w:t xml:space="preserve">) - </w:t>
      </w:r>
      <w:proofErr w:type="spellStart"/>
      <w:r w:rsidR="00235CE5">
        <w:t>NDMCP</w:t>
      </w:r>
      <w:proofErr w:type="spellEnd"/>
    </w:p>
    <w:p w:rsidR="006378D6" w:rsidRPr="00AF39D5" w:rsidRDefault="006378D6" w:rsidP="00AA12FC">
      <w:pPr>
        <w:pStyle w:val="Header1"/>
      </w:pPr>
      <w:r w:rsidRPr="00AF39D5">
        <w:t>CMS-10003/</w:t>
      </w:r>
      <w:proofErr w:type="spellStart"/>
      <w:r w:rsidRPr="00AF39D5">
        <w:t>O</w:t>
      </w:r>
      <w:r w:rsidR="007D28D9">
        <w:t>CN</w:t>
      </w:r>
      <w:proofErr w:type="spellEnd"/>
      <w:r w:rsidR="007D28D9">
        <w:t xml:space="preserve"> </w:t>
      </w:r>
      <w:r w:rsidRPr="00AF39D5">
        <w:t>0938-0829</w:t>
      </w:r>
    </w:p>
    <w:p w:rsidR="0064737B" w:rsidRPr="00AF39D5" w:rsidRDefault="00647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64737B" w:rsidRPr="00AA12FC" w:rsidRDefault="0064737B" w:rsidP="00AA3DF6">
      <w:pPr>
        <w:pStyle w:val="Body1"/>
        <w:rPr>
          <w:b/>
        </w:rPr>
      </w:pPr>
      <w:r w:rsidRPr="00AA12FC">
        <w:rPr>
          <w:b/>
        </w:rPr>
        <w:t>Background</w:t>
      </w:r>
    </w:p>
    <w:p w:rsidR="0064737B" w:rsidRPr="00AA12FC" w:rsidRDefault="0064737B" w:rsidP="00AA3DF6">
      <w:pPr>
        <w:pStyle w:val="Body1"/>
      </w:pPr>
    </w:p>
    <w:p w:rsidR="00283912" w:rsidRPr="00AF39D5" w:rsidRDefault="0064737B" w:rsidP="00AA3DF6">
      <w:pPr>
        <w:pStyle w:val="Body1"/>
      </w:pPr>
      <w:r w:rsidRPr="00AF39D5">
        <w:t>The Center</w:t>
      </w:r>
      <w:r w:rsidR="00642C19" w:rsidRPr="00AF39D5">
        <w:t>s</w:t>
      </w:r>
      <w:r w:rsidRPr="00AF39D5">
        <w:t xml:space="preserve"> for </w:t>
      </w:r>
      <w:r w:rsidR="00642C19" w:rsidRPr="00AF39D5">
        <w:t>Medicare &amp; Medicaid Services</w:t>
      </w:r>
      <w:r w:rsidR="0056364A" w:rsidRPr="00AF39D5">
        <w:t xml:space="preserve"> </w:t>
      </w:r>
      <w:r w:rsidR="00613AA3">
        <w:t xml:space="preserve">(CMS) </w:t>
      </w:r>
      <w:r w:rsidR="0056364A" w:rsidRPr="00AF39D5">
        <w:t xml:space="preserve">requests </w:t>
      </w:r>
      <w:r w:rsidR="00383FAF">
        <w:t>Office of Management and Budget (</w:t>
      </w:r>
      <w:r w:rsidR="00383FAF" w:rsidRPr="00AF39D5">
        <w:t>OMB</w:t>
      </w:r>
      <w:r w:rsidR="00383FAF">
        <w:t xml:space="preserve">) approval of </w:t>
      </w:r>
      <w:r w:rsidR="0056364A" w:rsidRPr="00AF39D5">
        <w:t>a revision</w:t>
      </w:r>
      <w:r w:rsidRPr="00AF39D5">
        <w:t xml:space="preserve"> </w:t>
      </w:r>
      <w:r w:rsidR="00383FAF">
        <w:t xml:space="preserve">to a previously approved </w:t>
      </w:r>
      <w:proofErr w:type="gramStart"/>
      <w:r w:rsidR="00383FAF">
        <w:t>collection,</w:t>
      </w:r>
      <w:proofErr w:type="gramEnd"/>
      <w:r w:rsidR="00383FAF">
        <w:t xml:space="preserve"> form CMS-10003--t</w:t>
      </w:r>
      <w:r w:rsidRPr="00AF39D5">
        <w:t>he Notice of Denial of Medical Coverage (</w:t>
      </w:r>
      <w:proofErr w:type="spellStart"/>
      <w:r w:rsidRPr="00AF39D5">
        <w:t>NDMC</w:t>
      </w:r>
      <w:proofErr w:type="spellEnd"/>
      <w:r w:rsidRPr="00AF39D5">
        <w:t>) and the Notice of Denial of Payment (</w:t>
      </w:r>
      <w:proofErr w:type="spellStart"/>
      <w:r w:rsidRPr="00AF39D5">
        <w:t>NDP</w:t>
      </w:r>
      <w:proofErr w:type="spellEnd"/>
      <w:r w:rsidRPr="00AF39D5">
        <w:t>)</w:t>
      </w:r>
      <w:r w:rsidR="00B27A6F" w:rsidRPr="00AF39D5">
        <w:t>.  B</w:t>
      </w:r>
      <w:r w:rsidR="0074710F" w:rsidRPr="00AF39D5">
        <w:t xml:space="preserve">oth </w:t>
      </w:r>
      <w:r w:rsidR="00D81A40" w:rsidRPr="00AF39D5">
        <w:t xml:space="preserve">notices are </w:t>
      </w:r>
      <w:r w:rsidR="0074710F" w:rsidRPr="00AF39D5">
        <w:t xml:space="preserve">due to expire on </w:t>
      </w:r>
      <w:r w:rsidR="00613AA3">
        <w:t>October 31, 2013.</w:t>
      </w:r>
      <w:r w:rsidRPr="00AF39D5">
        <w:t xml:space="preserve">  </w:t>
      </w:r>
      <w:r w:rsidR="00246B0D">
        <w:t>As explained in more detail below, th</w:t>
      </w:r>
      <w:r w:rsidR="00383FAF">
        <w:t>e</w:t>
      </w:r>
      <w:r w:rsidR="00246B0D">
        <w:t xml:space="preserve"> revised notice</w:t>
      </w:r>
      <w:r w:rsidR="00383FAF">
        <w:t xml:space="preserve"> that is the subject of this PRA package</w:t>
      </w:r>
      <w:r w:rsidR="00246B0D">
        <w:t xml:space="preserve"> combines the </w:t>
      </w:r>
      <w:proofErr w:type="spellStart"/>
      <w:r w:rsidR="00246B0D">
        <w:t>NDMC</w:t>
      </w:r>
      <w:proofErr w:type="spellEnd"/>
      <w:r w:rsidR="00246B0D">
        <w:t xml:space="preserve"> and </w:t>
      </w:r>
      <w:proofErr w:type="spellStart"/>
      <w:r w:rsidR="00246B0D">
        <w:t>NDP</w:t>
      </w:r>
      <w:proofErr w:type="spellEnd"/>
      <w:r w:rsidR="00246B0D">
        <w:t xml:space="preserve"> and incorporates </w:t>
      </w:r>
      <w:r w:rsidR="007D73BD">
        <w:t xml:space="preserve">text </w:t>
      </w:r>
      <w:r w:rsidR="00246B0D">
        <w:t xml:space="preserve">to be </w:t>
      </w:r>
      <w:r w:rsidR="003D30FF">
        <w:t xml:space="preserve">inserted </w:t>
      </w:r>
      <w:r w:rsidR="00E65859">
        <w:t xml:space="preserve">if the </w:t>
      </w:r>
      <w:r w:rsidR="00510863">
        <w:t xml:space="preserve">Medicare </w:t>
      </w:r>
      <w:r w:rsidR="00911792">
        <w:t xml:space="preserve">health plan </w:t>
      </w:r>
      <w:r w:rsidR="00246B0D">
        <w:t>enrollee</w:t>
      </w:r>
      <w:r w:rsidR="00CE0383">
        <w:t xml:space="preserve"> </w:t>
      </w:r>
      <w:r w:rsidR="00510863">
        <w:t xml:space="preserve">receives </w:t>
      </w:r>
      <w:r w:rsidR="00246B0D">
        <w:t>full benefits under a State Medical Assistance (Medicaid) program</w:t>
      </w:r>
      <w:r w:rsidR="00CE0383">
        <w:t xml:space="preserve"> being managed</w:t>
      </w:r>
      <w:r w:rsidR="00E65859">
        <w:t xml:space="preserve"> </w:t>
      </w:r>
      <w:r w:rsidR="00CE0383">
        <w:t>by the plan</w:t>
      </w:r>
      <w:r w:rsidR="00E65859">
        <w:t xml:space="preserve"> and the plan denies a service or item that is also subject to Medicaid appeal rights</w:t>
      </w:r>
      <w:r w:rsidR="00246B0D">
        <w:t>.</w:t>
      </w:r>
    </w:p>
    <w:p w:rsidR="00283912" w:rsidRPr="00AF39D5" w:rsidRDefault="00283912" w:rsidP="00AA3DF6">
      <w:pPr>
        <w:pStyle w:val="Body1"/>
      </w:pPr>
    </w:p>
    <w:p w:rsidR="00E21D05" w:rsidRDefault="00746C93" w:rsidP="00F84598">
      <w:pPr>
        <w:pStyle w:val="Body1"/>
      </w:pPr>
      <w:r w:rsidRPr="00AF39D5">
        <w:t>Medicare health plans, including Medicare Advantage plans, cost plans, and Health Care Prepayment Plans (</w:t>
      </w:r>
      <w:proofErr w:type="spellStart"/>
      <w:r w:rsidRPr="00AF39D5">
        <w:t>HCPPs</w:t>
      </w:r>
      <w:proofErr w:type="spellEnd"/>
      <w:r w:rsidRPr="00AF39D5">
        <w:t xml:space="preserve">), </w:t>
      </w:r>
      <w:r w:rsidR="00B73244" w:rsidRPr="00AF39D5">
        <w:t xml:space="preserve">are required to issue </w:t>
      </w:r>
      <w:r w:rsidR="00613AA3">
        <w:t xml:space="preserve">form CMS-10003 </w:t>
      </w:r>
      <w:r w:rsidR="0064737B" w:rsidRPr="00AF39D5">
        <w:t>when a request for either a medical service or payment is denied</w:t>
      </w:r>
      <w:r w:rsidR="00B752C7" w:rsidRPr="00AF39D5">
        <w:t xml:space="preserve"> in whole or in part</w:t>
      </w:r>
      <w:r w:rsidR="000D388C" w:rsidRPr="00AF39D5">
        <w:t xml:space="preserve">.  </w:t>
      </w:r>
      <w:r w:rsidR="00F84598">
        <w:t>T</w:t>
      </w:r>
      <w:r w:rsidR="0064737B" w:rsidRPr="00AF39D5">
        <w:t xml:space="preserve">he notice </w:t>
      </w:r>
      <w:r w:rsidR="00E21D05">
        <w:t>explain</w:t>
      </w:r>
      <w:r w:rsidR="00D932CC">
        <w:t>s</w:t>
      </w:r>
      <w:r w:rsidR="00E21D05">
        <w:t xml:space="preserve"> why the plan denied the service or payment and </w:t>
      </w:r>
      <w:r w:rsidR="0064737B" w:rsidRPr="00AF39D5">
        <w:t>inform</w:t>
      </w:r>
      <w:r w:rsidR="00D932CC">
        <w:t>s</w:t>
      </w:r>
      <w:r w:rsidR="0064737B" w:rsidRPr="00AF39D5">
        <w:t xml:space="preserve"> </w:t>
      </w:r>
      <w:r w:rsidRPr="00AF39D5">
        <w:t>Medicare enrollees</w:t>
      </w:r>
      <w:r w:rsidR="0064737B" w:rsidRPr="00AF39D5">
        <w:t xml:space="preserve"> of their </w:t>
      </w:r>
      <w:r w:rsidR="00E21D05">
        <w:t xml:space="preserve">appeal </w:t>
      </w:r>
      <w:r w:rsidR="0064737B" w:rsidRPr="00AF39D5">
        <w:t>right</w:t>
      </w:r>
      <w:r w:rsidR="00E21D05">
        <w:t xml:space="preserve">s. </w:t>
      </w:r>
      <w:r w:rsidR="00F84598">
        <w:t>Form CMS-10003 is currently separated into a denial notice for services (a pre-service request)</w:t>
      </w:r>
      <w:r w:rsidR="00E21D05">
        <w:t xml:space="preserve">, the </w:t>
      </w:r>
      <w:proofErr w:type="spellStart"/>
      <w:r w:rsidR="00E21D05">
        <w:t>NDMC</w:t>
      </w:r>
      <w:proofErr w:type="spellEnd"/>
      <w:r w:rsidR="00E21D05">
        <w:t>,</w:t>
      </w:r>
      <w:r w:rsidR="00F84598">
        <w:t xml:space="preserve"> and a denial notice for payment of a service or item the enrollee</w:t>
      </w:r>
      <w:r w:rsidR="005448D0">
        <w:t xml:space="preserve"> has</w:t>
      </w:r>
      <w:r w:rsidR="00F84598">
        <w:t xml:space="preserve"> received</w:t>
      </w:r>
      <w:r w:rsidR="00E21D05">
        <w:t xml:space="preserve">, the </w:t>
      </w:r>
      <w:proofErr w:type="spellStart"/>
      <w:r w:rsidR="00E21D05">
        <w:t>NDP</w:t>
      </w:r>
      <w:proofErr w:type="spellEnd"/>
      <w:r w:rsidR="00F84598">
        <w:t>.</w:t>
      </w:r>
    </w:p>
    <w:p w:rsidR="00E21D05" w:rsidRDefault="00E21D05" w:rsidP="00F84598">
      <w:pPr>
        <w:pStyle w:val="Body1"/>
      </w:pPr>
    </w:p>
    <w:p w:rsidR="00083A44" w:rsidRPr="001076CB" w:rsidRDefault="00083A44" w:rsidP="001076CB">
      <w:pPr>
        <w:pStyle w:val="Body1"/>
      </w:pPr>
      <w:r w:rsidRPr="001076CB">
        <w:t>Th</w:t>
      </w:r>
      <w:r w:rsidR="00847A8A" w:rsidRPr="001076CB">
        <w:t xml:space="preserve">e </w:t>
      </w:r>
      <w:r w:rsidRPr="001076CB">
        <w:t xml:space="preserve">revised </w:t>
      </w:r>
      <w:r w:rsidR="00E21D05" w:rsidRPr="001076CB">
        <w:t>notice</w:t>
      </w:r>
      <w:r w:rsidR="00847A8A" w:rsidRPr="001076CB">
        <w:t xml:space="preserve"> that is the subj</w:t>
      </w:r>
      <w:r w:rsidR="00E21D05" w:rsidRPr="001076CB">
        <w:t xml:space="preserve">ect of this PRA package seeks to accomplish two </w:t>
      </w:r>
      <w:r w:rsidRPr="001076CB">
        <w:t xml:space="preserve">key </w:t>
      </w:r>
      <w:r w:rsidR="00E21D05" w:rsidRPr="001076CB">
        <w:t>changes to CMS-10003</w:t>
      </w:r>
      <w:r w:rsidRPr="001076CB">
        <w:t>, as explained below</w:t>
      </w:r>
      <w:r w:rsidR="00E21D05" w:rsidRPr="001076CB">
        <w:t xml:space="preserve">.  </w:t>
      </w:r>
    </w:p>
    <w:p w:rsidR="00083A44" w:rsidRPr="001076CB" w:rsidRDefault="00083A44" w:rsidP="001076CB">
      <w:pPr>
        <w:pStyle w:val="Body1"/>
      </w:pPr>
    </w:p>
    <w:p w:rsidR="00083A44" w:rsidRPr="001076CB" w:rsidRDefault="00EE2719" w:rsidP="001076CB">
      <w:pPr>
        <w:pStyle w:val="Body1"/>
        <w:numPr>
          <w:ilvl w:val="0"/>
          <w:numId w:val="11"/>
        </w:numPr>
        <w:tabs>
          <w:tab w:val="clear" w:pos="432"/>
          <w:tab w:val="left" w:pos="360"/>
        </w:tabs>
        <w:ind w:hanging="720"/>
      </w:pPr>
      <w:r w:rsidRPr="001076CB">
        <w:t xml:space="preserve">Merging the </w:t>
      </w:r>
      <w:proofErr w:type="spellStart"/>
      <w:r w:rsidRPr="001076CB">
        <w:t>NDMC</w:t>
      </w:r>
      <w:proofErr w:type="spellEnd"/>
      <w:r w:rsidRPr="001076CB">
        <w:t xml:space="preserve"> and </w:t>
      </w:r>
      <w:proofErr w:type="spellStart"/>
      <w:r w:rsidRPr="001076CB">
        <w:t>NDP</w:t>
      </w:r>
      <w:proofErr w:type="spellEnd"/>
    </w:p>
    <w:p w:rsidR="001938AC" w:rsidRDefault="001938AC" w:rsidP="001938AC">
      <w:pPr>
        <w:pStyle w:val="Body1"/>
      </w:pPr>
      <w:r>
        <w:t>This revised form CMS-10003 combines the content of CMS-10003-</w:t>
      </w:r>
      <w:proofErr w:type="spellStart"/>
      <w:r>
        <w:t>NDMC</w:t>
      </w:r>
      <w:proofErr w:type="spellEnd"/>
      <w:r>
        <w:t xml:space="preserve"> and CMS-10003-</w:t>
      </w:r>
      <w:proofErr w:type="spellStart"/>
      <w:r>
        <w:t>NDP</w:t>
      </w:r>
      <w:proofErr w:type="spellEnd"/>
      <w:r>
        <w:t>.  Given the similarity between the two notices, we believe it is feasible and desirable to combine the content of the medical coverage denial notice with the payment denial notice.  While accomplishing this requires the addition of bracketed text which a plan must insert, as appropriate, we believe the overwhelming preponderance of the language contained in the notice is applicable to both service and payment denials and can be streamlined.  We believe this streamlined approach will be less confusing for beneficiaries and may be less burdensome for plans because there will be a single notice to administer.</w:t>
      </w:r>
    </w:p>
    <w:p w:rsidR="00083A44" w:rsidRPr="001076CB" w:rsidRDefault="00083A44" w:rsidP="001076CB">
      <w:pPr>
        <w:pStyle w:val="Body1"/>
      </w:pPr>
    </w:p>
    <w:p w:rsidR="008B1175" w:rsidRPr="001076CB" w:rsidRDefault="008B1175" w:rsidP="001076CB">
      <w:pPr>
        <w:pStyle w:val="Body1"/>
      </w:pPr>
      <w:r w:rsidRPr="001076CB">
        <w:t xml:space="preserve">2. </w:t>
      </w:r>
      <w:r w:rsidR="00A80A66" w:rsidRPr="001076CB">
        <w:t xml:space="preserve"> </w:t>
      </w:r>
      <w:r w:rsidR="00EE2719" w:rsidRPr="001076CB">
        <w:t xml:space="preserve">Integrating Medicaid Appeal Rights for Individuals Eligible for Medicare and </w:t>
      </w:r>
      <w:r w:rsidRPr="001076CB">
        <w:t xml:space="preserve"> </w:t>
      </w:r>
    </w:p>
    <w:p w:rsidR="00083A44" w:rsidRPr="001076CB" w:rsidRDefault="008B1175" w:rsidP="001076CB">
      <w:pPr>
        <w:pStyle w:val="Body1"/>
      </w:pPr>
      <w:r w:rsidRPr="001076CB">
        <w:t xml:space="preserve">     </w:t>
      </w:r>
      <w:r w:rsidR="00EE2719" w:rsidRPr="001076CB">
        <w:t>Medicaid</w:t>
      </w:r>
    </w:p>
    <w:p w:rsidR="00E03C99" w:rsidRPr="001076CB" w:rsidRDefault="00083A44" w:rsidP="001076CB">
      <w:pPr>
        <w:pStyle w:val="Body1"/>
      </w:pPr>
      <w:r w:rsidRPr="001076CB">
        <w:t>This revised notice seeks to integrate Medicaid appeal rights into form CMS-10003</w:t>
      </w:r>
      <w:r w:rsidR="00AE7FED" w:rsidRPr="001076CB">
        <w:t>, where integration of that information is appropriate</w:t>
      </w:r>
      <w:r w:rsidR="000D5A12" w:rsidRPr="001076CB">
        <w:t xml:space="preserve"> for an enrollee</w:t>
      </w:r>
      <w:r w:rsidRPr="001076CB">
        <w:t xml:space="preserve">.  It has been a long-standing goal of CMS to develop an integrated denial notice to be used in the managed care setting for beneficiaries who are eligible for Medicare and full Medicaid benefits </w:t>
      </w:r>
    </w:p>
    <w:p w:rsidR="00083A44" w:rsidRPr="001076CB" w:rsidRDefault="00083A44" w:rsidP="001076CB">
      <w:pPr>
        <w:pStyle w:val="Body1"/>
      </w:pPr>
      <w:proofErr w:type="gramStart"/>
      <w:r w:rsidRPr="001076CB">
        <w:t>under</w:t>
      </w:r>
      <w:proofErr w:type="gramEnd"/>
      <w:r w:rsidRPr="001076CB">
        <w:t xml:space="preserve"> </w:t>
      </w:r>
      <w:r w:rsidR="00E03C99" w:rsidRPr="001076CB">
        <w:t xml:space="preserve">a </w:t>
      </w:r>
      <w:r w:rsidRPr="001076CB">
        <w:t xml:space="preserve">State Medicaid plan.  These individuals are often referred to as “full dual </w:t>
      </w:r>
      <w:proofErr w:type="spellStart"/>
      <w:r w:rsidRPr="001076CB">
        <w:t>eligibles</w:t>
      </w:r>
      <w:proofErr w:type="spellEnd"/>
      <w:r w:rsidRPr="001076CB">
        <w:t>.”</w:t>
      </w:r>
      <w:r w:rsidR="00E03C99" w:rsidRPr="001076CB">
        <w:t xml:space="preserve">  Revised form CMS-10003 contains </w:t>
      </w:r>
      <w:r w:rsidR="007D73BD" w:rsidRPr="001076CB">
        <w:t xml:space="preserve">text in square </w:t>
      </w:r>
      <w:r w:rsidR="00E03C99" w:rsidRPr="001076CB">
        <w:t xml:space="preserve">brackets “[     ]” that will be </w:t>
      </w:r>
      <w:proofErr w:type="gramStart"/>
      <w:r w:rsidR="00E03C99" w:rsidRPr="001076CB">
        <w:lastRenderedPageBreak/>
        <w:t>integrated</w:t>
      </w:r>
      <w:proofErr w:type="gramEnd"/>
      <w:r w:rsidR="00E03C99" w:rsidRPr="001076CB">
        <w:t xml:space="preserve"> into the notice for the full dual eligible population</w:t>
      </w:r>
      <w:r w:rsidR="00823E4E">
        <w:t xml:space="preserve"> if the plan denies a service that is subject to Medicaid appeal rights</w:t>
      </w:r>
      <w:r w:rsidR="00E03C99" w:rsidRPr="001076CB">
        <w:t>.</w:t>
      </w:r>
    </w:p>
    <w:p w:rsidR="00BF3255" w:rsidRPr="001076CB" w:rsidRDefault="00BF3255" w:rsidP="001076CB">
      <w:pPr>
        <w:pStyle w:val="Body1"/>
      </w:pPr>
    </w:p>
    <w:p w:rsidR="000C4669" w:rsidRPr="001076CB" w:rsidRDefault="000C4669" w:rsidP="001076CB">
      <w:pPr>
        <w:pStyle w:val="Body1"/>
      </w:pPr>
      <w:r w:rsidRPr="001076CB">
        <w:t xml:space="preserve">Advantages of an Integrated </w:t>
      </w:r>
      <w:r w:rsidR="00CA67BF" w:rsidRPr="001076CB">
        <w:t xml:space="preserve">Denial </w:t>
      </w:r>
      <w:r w:rsidRPr="001076CB">
        <w:t xml:space="preserve">Notice for Full Dual </w:t>
      </w:r>
      <w:proofErr w:type="spellStart"/>
      <w:r w:rsidRPr="001076CB">
        <w:t>Eligibles</w:t>
      </w:r>
      <w:proofErr w:type="spellEnd"/>
    </w:p>
    <w:p w:rsidR="00BF3255" w:rsidRPr="001076CB" w:rsidRDefault="00BF3255" w:rsidP="001076CB">
      <w:pPr>
        <w:pStyle w:val="Body1"/>
      </w:pPr>
      <w:r w:rsidRPr="001076CB">
        <w:t>In addition to</w:t>
      </w:r>
      <w:r w:rsidR="00051EDE" w:rsidRPr="001076CB">
        <w:t xml:space="preserve"> continuing to use form CMS-10003 to explain appeal rights to Medicare </w:t>
      </w:r>
      <w:r w:rsidR="00320CEF" w:rsidRPr="001076CB">
        <w:t>h</w:t>
      </w:r>
      <w:r w:rsidR="003B090F" w:rsidRPr="001076CB">
        <w:t xml:space="preserve">ealth plan </w:t>
      </w:r>
      <w:r w:rsidR="00051EDE" w:rsidRPr="001076CB">
        <w:t>enrollees</w:t>
      </w:r>
      <w:r w:rsidRPr="001076CB">
        <w:t xml:space="preserve">, this revised notice </w:t>
      </w:r>
      <w:r w:rsidR="00051EDE" w:rsidRPr="001076CB">
        <w:t>will be used</w:t>
      </w:r>
      <w:r w:rsidR="00CE21A8" w:rsidRPr="001076CB">
        <w:t>, as appropriate,</w:t>
      </w:r>
      <w:r w:rsidR="00051EDE" w:rsidRPr="001076CB">
        <w:t xml:space="preserve"> to explain Medicaid appeal rights to </w:t>
      </w:r>
      <w:r w:rsidR="00876511" w:rsidRPr="001076CB">
        <w:t xml:space="preserve">full </w:t>
      </w:r>
      <w:r w:rsidR="00051EDE" w:rsidRPr="001076CB">
        <w:t xml:space="preserve">dual eligible individuals enrolled in </w:t>
      </w:r>
      <w:r w:rsidR="003B090F" w:rsidRPr="001076CB">
        <w:t xml:space="preserve">a Medicare health plan that is </w:t>
      </w:r>
      <w:r w:rsidR="00876511" w:rsidRPr="001076CB">
        <w:t xml:space="preserve">also </w:t>
      </w:r>
      <w:r w:rsidR="003B090F" w:rsidRPr="001076CB">
        <w:t>managing the</w:t>
      </w:r>
      <w:r w:rsidR="00876511" w:rsidRPr="001076CB">
        <w:t xml:space="preserve"> individual’s</w:t>
      </w:r>
      <w:r w:rsidR="003B090F" w:rsidRPr="001076CB">
        <w:t xml:space="preserve"> Medicaid benefits. </w:t>
      </w:r>
      <w:r w:rsidR="00051EDE" w:rsidRPr="001076CB">
        <w:t xml:space="preserve">To that end, the revised notice </w:t>
      </w:r>
      <w:r w:rsidRPr="001076CB">
        <w:t>contains bracketed</w:t>
      </w:r>
      <w:r w:rsidR="007D73BD" w:rsidRPr="001076CB">
        <w:t xml:space="preserve"> text </w:t>
      </w:r>
      <w:r w:rsidRPr="001076CB">
        <w:t>the plan will insert if the denial notice is being delivered to an enrollee who is a full dual eligible.  The</w:t>
      </w:r>
      <w:r w:rsidR="007D73BD" w:rsidRPr="001076CB">
        <w:t xml:space="preserve"> text in square </w:t>
      </w:r>
      <w:r w:rsidRPr="001076CB">
        <w:t>bracket</w:t>
      </w:r>
      <w:r w:rsidR="007D73BD" w:rsidRPr="001076CB">
        <w:t xml:space="preserve">s “[     ]” </w:t>
      </w:r>
      <w:r w:rsidRPr="001076CB">
        <w:t xml:space="preserve">reflects the Federal protections for Medicaid managed care enrollees.  Since a State may offer additional protections, there is also free-text space for inclusion of any State-specific protections that exceed the Federal protections.  While use of this form may require some initial customization </w:t>
      </w:r>
      <w:r w:rsidR="00CE21A8" w:rsidRPr="001076CB">
        <w:t xml:space="preserve">by plans </w:t>
      </w:r>
      <w:r w:rsidRPr="001076CB">
        <w:t xml:space="preserve">to reflect additional State protections, if applicable, CMS believes that having a single denial notice </w:t>
      </w:r>
      <w:r w:rsidR="006E3455" w:rsidRPr="001076CB">
        <w:t xml:space="preserve">for </w:t>
      </w:r>
      <w:r w:rsidRPr="001076CB">
        <w:t xml:space="preserve">use in the managed care setting will be less confusing for dual eligible enrollees and will be more efficient for managed care plans.  </w:t>
      </w:r>
    </w:p>
    <w:p w:rsidR="00BF3255" w:rsidRPr="001076CB" w:rsidRDefault="00BF3255" w:rsidP="001076CB">
      <w:pPr>
        <w:pStyle w:val="Body1"/>
      </w:pPr>
    </w:p>
    <w:p w:rsidR="00BF3255" w:rsidRPr="001076CB" w:rsidRDefault="00BF3255" w:rsidP="001076CB">
      <w:pPr>
        <w:pStyle w:val="Body1"/>
      </w:pPr>
      <w:r w:rsidRPr="001076CB">
        <w:t>Currently, a full dual eligible enrolled in</w:t>
      </w:r>
      <w:r w:rsidR="000C4669" w:rsidRPr="001076CB">
        <w:t xml:space="preserve"> a</w:t>
      </w:r>
      <w:r w:rsidRPr="001076CB">
        <w:t xml:space="preserve"> </w:t>
      </w:r>
      <w:r w:rsidR="000C4669" w:rsidRPr="001076CB">
        <w:t xml:space="preserve">plan that is managing the enrollee’s benefits under </w:t>
      </w:r>
      <w:r w:rsidRPr="001076CB">
        <w:t>both Medicare and Medicaid would receive two separate denial notices</w:t>
      </w:r>
      <w:r w:rsidR="00097372" w:rsidRPr="001076CB">
        <w:t xml:space="preserve"> that explain the individual’s appeal rights--</w:t>
      </w:r>
      <w:r w:rsidRPr="001076CB">
        <w:t>the form CMS-10003</w:t>
      </w:r>
      <w:r w:rsidR="000C4669" w:rsidRPr="001076CB">
        <w:t xml:space="preserve"> and a Medicaid notice.  Once the use of this revised form CMS-10003 is implemented, full dual </w:t>
      </w:r>
      <w:proofErr w:type="spellStart"/>
      <w:r w:rsidR="000C4669" w:rsidRPr="001076CB">
        <w:t>eligibles</w:t>
      </w:r>
      <w:proofErr w:type="spellEnd"/>
      <w:r w:rsidR="000C4669" w:rsidRPr="001076CB">
        <w:t xml:space="preserve"> will receive a single notice that integrates information on the individual’s Medicare and Medicaid appeal rights.</w:t>
      </w:r>
    </w:p>
    <w:p w:rsidR="00AA3DF6" w:rsidRPr="001076CB" w:rsidRDefault="00AA3DF6" w:rsidP="001076CB">
      <w:pPr>
        <w:pStyle w:val="Body1"/>
      </w:pPr>
    </w:p>
    <w:p w:rsidR="0064737B" w:rsidRPr="00AC292B" w:rsidRDefault="00B6339E" w:rsidP="001076CB">
      <w:pPr>
        <w:pStyle w:val="Body1"/>
        <w:rPr>
          <w:b/>
          <w:u w:val="single"/>
        </w:rPr>
      </w:pPr>
      <w:r w:rsidRPr="00AC292B">
        <w:rPr>
          <w:b/>
          <w:u w:val="single"/>
        </w:rPr>
        <w:t>A</w:t>
      </w:r>
      <w:r w:rsidR="0064737B" w:rsidRPr="00AC292B">
        <w:rPr>
          <w:b/>
          <w:u w:val="single"/>
        </w:rPr>
        <w:t>.</w:t>
      </w:r>
      <w:r w:rsidR="0064737B" w:rsidRPr="00AC292B">
        <w:rPr>
          <w:b/>
          <w:u w:val="single"/>
        </w:rPr>
        <w:tab/>
        <w:t>Justification</w:t>
      </w:r>
    </w:p>
    <w:p w:rsidR="0064737B" w:rsidRPr="00AA3DF6" w:rsidRDefault="0064737B" w:rsidP="001076CB">
      <w:pPr>
        <w:pStyle w:val="Body1"/>
      </w:pPr>
    </w:p>
    <w:p w:rsidR="0064737B" w:rsidRPr="00AA3DF6" w:rsidRDefault="0064737B" w:rsidP="001076CB">
      <w:pPr>
        <w:pStyle w:val="Body1"/>
        <w:rPr>
          <w:b/>
        </w:rPr>
      </w:pPr>
      <w:r w:rsidRPr="00AA3DF6">
        <w:rPr>
          <w:b/>
        </w:rPr>
        <w:t xml:space="preserve">1. </w:t>
      </w:r>
      <w:r w:rsidRPr="00AA3DF6">
        <w:rPr>
          <w:b/>
        </w:rPr>
        <w:tab/>
        <w:t>Need and Legal Basis</w:t>
      </w:r>
    </w:p>
    <w:p w:rsidR="00692B94" w:rsidRPr="00AA3DF6" w:rsidRDefault="00692B94" w:rsidP="001076CB">
      <w:pPr>
        <w:pStyle w:val="Body1"/>
      </w:pPr>
    </w:p>
    <w:p w:rsidR="00323840" w:rsidRDefault="0064737B" w:rsidP="001076CB">
      <w:pPr>
        <w:pStyle w:val="Body1"/>
      </w:pPr>
      <w:r w:rsidRPr="00AA3DF6">
        <w:t>Section 1852(g</w:t>
      </w:r>
      <w:proofErr w:type="gramStart"/>
      <w:r w:rsidR="00EB4F55" w:rsidRPr="00AA3DF6">
        <w:t>)(</w:t>
      </w:r>
      <w:proofErr w:type="gramEnd"/>
      <w:r w:rsidRPr="00AA3DF6">
        <w:t>1</w:t>
      </w:r>
      <w:r w:rsidR="00EB4F55" w:rsidRPr="00AA3DF6">
        <w:t>)(</w:t>
      </w:r>
      <w:r w:rsidRPr="00AA3DF6">
        <w:t>B</w:t>
      </w:r>
      <w:r w:rsidR="00401FFE" w:rsidRPr="00AA3DF6">
        <w:t>) of t</w:t>
      </w:r>
      <w:r w:rsidRPr="00AA3DF6">
        <w:t xml:space="preserve">he </w:t>
      </w:r>
      <w:r w:rsidR="00401FFE" w:rsidRPr="00AA3DF6">
        <w:t>Social Security Act</w:t>
      </w:r>
      <w:r w:rsidR="007241E6">
        <w:t xml:space="preserve"> (</w:t>
      </w:r>
      <w:proofErr w:type="spellStart"/>
      <w:r w:rsidR="007241E6">
        <w:t>SSA</w:t>
      </w:r>
      <w:proofErr w:type="spellEnd"/>
      <w:r w:rsidR="007241E6">
        <w:t xml:space="preserve">) </w:t>
      </w:r>
      <w:r w:rsidRPr="00AA3DF6">
        <w:t xml:space="preserve">requires </w:t>
      </w:r>
      <w:r w:rsidR="009954ED" w:rsidRPr="00AA3DF6">
        <w:t xml:space="preserve">Medicare health </w:t>
      </w:r>
      <w:r w:rsidR="003D2FC4" w:rsidRPr="00AA3DF6">
        <w:t>plan</w:t>
      </w:r>
      <w:r w:rsidRPr="00AA3DF6">
        <w:t xml:space="preserve">s to provide </w:t>
      </w:r>
      <w:r w:rsidR="00097372">
        <w:t xml:space="preserve">enrollees with a written notice </w:t>
      </w:r>
      <w:r w:rsidRPr="00AA3DF6">
        <w:t xml:space="preserve">in understandable language of the reasons for the denial and a description of the </w:t>
      </w:r>
      <w:r w:rsidR="003C4301" w:rsidRPr="00AA3DF6">
        <w:t xml:space="preserve">applicable </w:t>
      </w:r>
      <w:r w:rsidRPr="00AA3DF6">
        <w:t xml:space="preserve">appeals </w:t>
      </w:r>
      <w:r w:rsidR="00A47CFE" w:rsidRPr="00AA3DF6">
        <w:t>processes</w:t>
      </w:r>
      <w:r w:rsidR="000D388C" w:rsidRPr="00AA3DF6">
        <w:t xml:space="preserve">.  </w:t>
      </w:r>
      <w:r w:rsidR="00401FFE" w:rsidRPr="00AA3DF6">
        <w:t>R</w:t>
      </w:r>
      <w:r w:rsidRPr="00AA3DF6">
        <w:t>egulatory authority for th</w:t>
      </w:r>
      <w:r w:rsidR="00CC6004">
        <w:t xml:space="preserve">is notice is set forth in Subpart M of Part 422 at </w:t>
      </w:r>
      <w:r w:rsidRPr="00AF39D5">
        <w:t xml:space="preserve">42 </w:t>
      </w:r>
      <w:proofErr w:type="spellStart"/>
      <w:r w:rsidRPr="00AF39D5">
        <w:t>CFR</w:t>
      </w:r>
      <w:proofErr w:type="spellEnd"/>
      <w:r w:rsidRPr="00AF39D5">
        <w:t xml:space="preserve"> </w:t>
      </w:r>
      <w:r w:rsidR="00CC6004">
        <w:t>§</w:t>
      </w:r>
      <w:r w:rsidRPr="00AF39D5">
        <w:t>422.568</w:t>
      </w:r>
      <w:r w:rsidR="00CC6004">
        <w:t>, §422.572</w:t>
      </w:r>
      <w:r w:rsidR="00692B94" w:rsidRPr="00AF39D5">
        <w:t xml:space="preserve">, </w:t>
      </w:r>
    </w:p>
    <w:p w:rsidR="00CC6004" w:rsidRDefault="00CC6004" w:rsidP="001076CB">
      <w:pPr>
        <w:pStyle w:val="Body1"/>
      </w:pPr>
      <w:r>
        <w:t>§</w:t>
      </w:r>
      <w:r w:rsidR="00401FFE" w:rsidRPr="00AF39D5">
        <w:t>417.600(b)</w:t>
      </w:r>
      <w:r>
        <w:t>, and §</w:t>
      </w:r>
      <w:r w:rsidR="00A47CFE" w:rsidRPr="00AF39D5">
        <w:t>417.840</w:t>
      </w:r>
      <w:r>
        <w:t xml:space="preserve">. </w:t>
      </w:r>
    </w:p>
    <w:p w:rsidR="00CC6004" w:rsidRDefault="00CC6004" w:rsidP="001076CB">
      <w:pPr>
        <w:pStyle w:val="Body1"/>
      </w:pPr>
    </w:p>
    <w:p w:rsidR="00D135C1" w:rsidRPr="00AF39D5" w:rsidRDefault="002042FD" w:rsidP="001076CB">
      <w:pPr>
        <w:pStyle w:val="Body1"/>
      </w:pPr>
      <w:r>
        <w:t xml:space="preserve">Section 1932 of the Social Security Act </w:t>
      </w:r>
      <w:r w:rsidR="00B6639C">
        <w:t>(</w:t>
      </w:r>
      <w:proofErr w:type="spellStart"/>
      <w:r w:rsidR="00B6639C">
        <w:t>SSA</w:t>
      </w:r>
      <w:proofErr w:type="spellEnd"/>
      <w:r w:rsidR="00B6639C">
        <w:t xml:space="preserve">) </w:t>
      </w:r>
      <w:r>
        <w:t xml:space="preserve">sets forth requirements for </w:t>
      </w:r>
      <w:r w:rsidR="00CC6004">
        <w:t>Medicaid managed care plans</w:t>
      </w:r>
      <w:r>
        <w:t xml:space="preserve">, including </w:t>
      </w:r>
      <w:r w:rsidR="007241E6">
        <w:t xml:space="preserve">beneficiary </w:t>
      </w:r>
      <w:r>
        <w:t xml:space="preserve">protections related to appealing a denial of coverage or payment.  Section 1902(a)(3) of the </w:t>
      </w:r>
      <w:proofErr w:type="spellStart"/>
      <w:r>
        <w:t>SSA</w:t>
      </w:r>
      <w:proofErr w:type="spellEnd"/>
      <w:r>
        <w:t xml:space="preserve"> requires State plans to provide for a fair hearing before the State agency to any individual whose claim for medical assistance under the plan is denied or not acted upon promptly.  The Medicaid managed care </w:t>
      </w:r>
      <w:r w:rsidR="00B6639C">
        <w:t xml:space="preserve">appeals regulations are </w:t>
      </w:r>
      <w:r w:rsidR="00546642">
        <w:t>set forth in Subpart F of Part 438</w:t>
      </w:r>
      <w:r w:rsidR="004176D8">
        <w:t>, Title 42</w:t>
      </w:r>
      <w:r w:rsidR="00341556">
        <w:t xml:space="preserve"> of the Code of Federal Regulations (</w:t>
      </w:r>
      <w:proofErr w:type="spellStart"/>
      <w:r w:rsidR="00341556">
        <w:t>CFR</w:t>
      </w:r>
      <w:proofErr w:type="spellEnd"/>
      <w:r w:rsidR="00341556">
        <w:t>).</w:t>
      </w:r>
      <w:r w:rsidR="00546642">
        <w:t xml:space="preserve">  </w:t>
      </w:r>
      <w:r w:rsidR="00FD0FF7">
        <w:t xml:space="preserve">Rules on the content of the written denial notice can be found at 42 </w:t>
      </w:r>
      <w:proofErr w:type="spellStart"/>
      <w:r w:rsidR="00FD0FF7">
        <w:t>CFR</w:t>
      </w:r>
      <w:proofErr w:type="spellEnd"/>
      <w:r w:rsidR="00FD0FF7">
        <w:t xml:space="preserve"> §438.404.  Related r</w:t>
      </w:r>
      <w:r w:rsidR="002259FA">
        <w:t xml:space="preserve">equirements on the information a Medicaid managed care plan must provide to enrollees related to grievances, appeals and fair hearing procedures can be found at 42 </w:t>
      </w:r>
      <w:proofErr w:type="spellStart"/>
      <w:r w:rsidR="002259FA">
        <w:t>CFR</w:t>
      </w:r>
      <w:proofErr w:type="spellEnd"/>
      <w:r w:rsidR="002259FA">
        <w:t xml:space="preserve"> </w:t>
      </w:r>
      <w:r w:rsidR="004176D8">
        <w:t>§</w:t>
      </w:r>
      <w:r w:rsidR="002259FA">
        <w:t xml:space="preserve">438.10(g)(1).  </w:t>
      </w:r>
      <w:r w:rsidR="009332E8">
        <w:t xml:space="preserve">A State may provide for greater </w:t>
      </w:r>
      <w:r w:rsidR="00B6639C">
        <w:t xml:space="preserve">appeal </w:t>
      </w:r>
      <w:r w:rsidR="009332E8">
        <w:t xml:space="preserve">protections under its Medicaid </w:t>
      </w:r>
      <w:r w:rsidR="00B6639C">
        <w:t xml:space="preserve">State </w:t>
      </w:r>
      <w:r w:rsidR="009332E8">
        <w:t xml:space="preserve">plan.  </w:t>
      </w:r>
    </w:p>
    <w:p w:rsidR="0064737B" w:rsidRPr="00AF39D5" w:rsidRDefault="0064737B" w:rsidP="001076CB">
      <w:pPr>
        <w:pStyle w:val="Body1"/>
      </w:pPr>
    </w:p>
    <w:p w:rsidR="0064737B" w:rsidRPr="00AA3DF6" w:rsidRDefault="0064737B" w:rsidP="001076CB">
      <w:pPr>
        <w:pStyle w:val="Body1"/>
        <w:rPr>
          <w:b/>
        </w:rPr>
      </w:pPr>
      <w:r w:rsidRPr="00AA3DF6">
        <w:rPr>
          <w:b/>
        </w:rPr>
        <w:t>2.</w:t>
      </w:r>
      <w:r w:rsidRPr="00AA3DF6">
        <w:rPr>
          <w:b/>
        </w:rPr>
        <w:tab/>
        <w:t>Information Users</w:t>
      </w:r>
    </w:p>
    <w:p w:rsidR="0064737B" w:rsidRPr="00AA12FC" w:rsidRDefault="0064737B" w:rsidP="001076CB">
      <w:pPr>
        <w:pStyle w:val="Body1"/>
      </w:pPr>
    </w:p>
    <w:p w:rsidR="0064737B" w:rsidRPr="00AF39D5" w:rsidRDefault="0064737B" w:rsidP="001076CB">
      <w:pPr>
        <w:pStyle w:val="Body1"/>
      </w:pPr>
      <w:r w:rsidRPr="00AF39D5">
        <w:t xml:space="preserve">CMS will </w:t>
      </w:r>
      <w:r w:rsidR="00417D91" w:rsidRPr="00AF39D5">
        <w:t xml:space="preserve">not </w:t>
      </w:r>
      <w:r w:rsidRPr="00AF39D5">
        <w:t xml:space="preserve">use these notices to collect and analyze data on </w:t>
      </w:r>
      <w:r w:rsidR="00B752C7" w:rsidRPr="00AF39D5">
        <w:t>Medicare health plan</w:t>
      </w:r>
      <w:r w:rsidR="004424EF" w:rsidRPr="00AF39D5">
        <w:t xml:space="preserve"> appeals</w:t>
      </w:r>
      <w:r w:rsidRPr="00AF39D5">
        <w:t>.</w:t>
      </w:r>
      <w:r w:rsidR="003C4301" w:rsidRPr="00AF39D5">
        <w:t xml:space="preserve">  </w:t>
      </w:r>
    </w:p>
    <w:p w:rsidR="0064737B" w:rsidRPr="00AF39D5" w:rsidRDefault="0064737B" w:rsidP="001076CB">
      <w:pPr>
        <w:pStyle w:val="Body1"/>
      </w:pPr>
    </w:p>
    <w:p w:rsidR="0064737B" w:rsidRPr="00AA3DF6" w:rsidRDefault="0064737B" w:rsidP="001076CB">
      <w:pPr>
        <w:pStyle w:val="Body1"/>
        <w:rPr>
          <w:b/>
        </w:rPr>
      </w:pPr>
      <w:r w:rsidRPr="00AA3DF6">
        <w:rPr>
          <w:b/>
        </w:rPr>
        <w:t>3.</w:t>
      </w:r>
      <w:r w:rsidRPr="00AA3DF6">
        <w:rPr>
          <w:b/>
        </w:rPr>
        <w:tab/>
      </w:r>
      <w:r w:rsidR="00635ADD" w:rsidRPr="00AA3DF6">
        <w:rPr>
          <w:b/>
        </w:rPr>
        <w:t>Use of</w:t>
      </w:r>
      <w:r w:rsidRPr="00AA3DF6">
        <w:rPr>
          <w:b/>
        </w:rPr>
        <w:t xml:space="preserve"> Information Technology</w:t>
      </w:r>
    </w:p>
    <w:p w:rsidR="0064737B" w:rsidRPr="00AF39D5" w:rsidRDefault="0064737B" w:rsidP="001076CB">
      <w:pPr>
        <w:pStyle w:val="Body1"/>
        <w:rPr>
          <w:u w:val="single"/>
        </w:rPr>
      </w:pPr>
    </w:p>
    <w:p w:rsidR="001D20C8" w:rsidRDefault="0064737B" w:rsidP="001076CB">
      <w:pPr>
        <w:pStyle w:val="Body1"/>
      </w:pPr>
      <w:r w:rsidRPr="00AF39D5">
        <w:t>No data are being collected throu</w:t>
      </w:r>
      <w:r w:rsidR="00635ADD" w:rsidRPr="00AF39D5">
        <w:t>gh these notices for analysis; t</w:t>
      </w:r>
      <w:r w:rsidRPr="00AF39D5">
        <w:t xml:space="preserve">herefore, CMS does not use </w:t>
      </w:r>
      <w:r w:rsidR="001D20C8" w:rsidRPr="00AF39D5">
        <w:t xml:space="preserve">automated, electronic, mechanical, or other technological collection techniques or other forms of information technology to collect data related to these notices. </w:t>
      </w:r>
    </w:p>
    <w:p w:rsidR="001D239B" w:rsidRPr="00AF39D5" w:rsidRDefault="001D239B" w:rsidP="001076CB">
      <w:pPr>
        <w:pStyle w:val="Body1"/>
      </w:pPr>
    </w:p>
    <w:p w:rsidR="001D20C8" w:rsidRDefault="00635ADD" w:rsidP="001076CB">
      <w:pPr>
        <w:pStyle w:val="Body1"/>
      </w:pPr>
      <w:r w:rsidRPr="00AF39D5">
        <w:t>The notice</w:t>
      </w:r>
      <w:r w:rsidR="00070361">
        <w:t xml:space="preserve"> is </w:t>
      </w:r>
      <w:r w:rsidR="001D20C8" w:rsidRPr="00AF39D5">
        <w:t>not avail</w:t>
      </w:r>
      <w:r w:rsidR="004E77A7" w:rsidRPr="00AF39D5">
        <w:t xml:space="preserve">able for completion </w:t>
      </w:r>
      <w:r w:rsidR="001D20C8" w:rsidRPr="00AF39D5">
        <w:t>electronically</w:t>
      </w:r>
      <w:r w:rsidR="00070361">
        <w:t xml:space="preserve">. </w:t>
      </w:r>
      <w:r w:rsidR="004E77A7" w:rsidRPr="00AF39D5">
        <w:t>Medicare health plans are required to provide th</w:t>
      </w:r>
      <w:r w:rsidR="00070361">
        <w:t>is</w:t>
      </w:r>
      <w:r w:rsidR="004E77A7" w:rsidRPr="00AF39D5">
        <w:t xml:space="preserve"> notice to Medicare enrollees </w:t>
      </w:r>
      <w:r w:rsidR="00341E43">
        <w:t xml:space="preserve">if </w:t>
      </w:r>
      <w:r w:rsidR="004E77A7" w:rsidRPr="00AF39D5">
        <w:t>a service or payment request</w:t>
      </w:r>
      <w:r w:rsidR="00341E43">
        <w:t xml:space="preserve"> is denied</w:t>
      </w:r>
      <w:r w:rsidR="00070361">
        <w:t xml:space="preserve"> </w:t>
      </w:r>
      <w:r w:rsidR="00D0781F">
        <w:t xml:space="preserve">to ensure that </w:t>
      </w:r>
      <w:r w:rsidR="00070361">
        <w:t>enrollees are informed of their Medicare appeal rights</w:t>
      </w:r>
      <w:r w:rsidR="004E77A7" w:rsidRPr="00AF39D5">
        <w:t xml:space="preserve">.  </w:t>
      </w:r>
      <w:r w:rsidR="00070361">
        <w:t xml:space="preserve">In addition, </w:t>
      </w:r>
      <w:r w:rsidR="00BB017A">
        <w:t>h</w:t>
      </w:r>
      <w:r w:rsidR="00070361">
        <w:t xml:space="preserve">ealth plans that have enrollees who are full dual </w:t>
      </w:r>
      <w:proofErr w:type="spellStart"/>
      <w:r w:rsidR="00070361">
        <w:t>eligibles</w:t>
      </w:r>
      <w:proofErr w:type="spellEnd"/>
      <w:r w:rsidR="00070361">
        <w:t xml:space="preserve"> </w:t>
      </w:r>
      <w:r w:rsidR="00BB017A">
        <w:t xml:space="preserve">will </w:t>
      </w:r>
      <w:r w:rsidR="00070361">
        <w:t>provide th</w:t>
      </w:r>
      <w:r w:rsidR="00BB017A">
        <w:t xml:space="preserve">e integrated version of the </w:t>
      </w:r>
      <w:r w:rsidR="00070361">
        <w:t xml:space="preserve">notice to </w:t>
      </w:r>
      <w:r w:rsidR="00BB017A">
        <w:t xml:space="preserve">inform these </w:t>
      </w:r>
      <w:r w:rsidR="00070361">
        <w:t xml:space="preserve">individuals of their appeal rights under both Medicare and Medicaid. </w:t>
      </w:r>
      <w:r w:rsidR="00270775">
        <w:t>Medicare health p</w:t>
      </w:r>
      <w:r w:rsidR="001D239B">
        <w:t>lans are required by law to deliver written denial notices to plan enrollees</w:t>
      </w:r>
      <w:r w:rsidR="00341E43">
        <w:t xml:space="preserve">. </w:t>
      </w:r>
      <w:r w:rsidR="001D239B">
        <w:t>CMS has no current plans to rely on electronic delivery of this notice.</w:t>
      </w:r>
      <w:r w:rsidR="00070361">
        <w:t xml:space="preserve"> </w:t>
      </w:r>
      <w:r w:rsidR="001D20C8" w:rsidRPr="00AF39D5">
        <w:t xml:space="preserve">The </w:t>
      </w:r>
      <w:r w:rsidRPr="00AF39D5">
        <w:t>notice do</w:t>
      </w:r>
      <w:r w:rsidR="00070361">
        <w:t>es</w:t>
      </w:r>
      <w:r w:rsidR="001D20C8" w:rsidRPr="00AF39D5">
        <w:t xml:space="preserve"> not require a signature from </w:t>
      </w:r>
      <w:r w:rsidR="004E77A7" w:rsidRPr="00AF39D5">
        <w:t>respondents</w:t>
      </w:r>
      <w:r w:rsidR="00070361">
        <w:t xml:space="preserve">, so </w:t>
      </w:r>
      <w:r w:rsidR="004E77A7" w:rsidRPr="00AF39D5">
        <w:t>the question of</w:t>
      </w:r>
      <w:r w:rsidR="001D20C8" w:rsidRPr="00AF39D5">
        <w:t xml:space="preserve"> CMS accepting electronic signatures</w:t>
      </w:r>
      <w:r w:rsidR="004E77A7" w:rsidRPr="00AF39D5">
        <w:t xml:space="preserve"> is </w:t>
      </w:r>
      <w:r w:rsidRPr="00AF39D5">
        <w:t>not applicable</w:t>
      </w:r>
      <w:r w:rsidR="004E77A7" w:rsidRPr="00AF39D5">
        <w:t xml:space="preserve">.  </w:t>
      </w:r>
    </w:p>
    <w:p w:rsidR="009A68AB" w:rsidRPr="00AF39D5" w:rsidRDefault="009A68AB" w:rsidP="001076CB">
      <w:pPr>
        <w:pStyle w:val="Body1"/>
      </w:pPr>
    </w:p>
    <w:p w:rsidR="0064737B" w:rsidRPr="00AA3DF6" w:rsidRDefault="0064737B" w:rsidP="001076CB">
      <w:pPr>
        <w:pStyle w:val="Body1"/>
        <w:rPr>
          <w:b/>
        </w:rPr>
      </w:pPr>
      <w:r w:rsidRPr="00AA3DF6">
        <w:rPr>
          <w:b/>
        </w:rPr>
        <w:t>4.</w:t>
      </w:r>
      <w:r w:rsidRPr="00AA3DF6">
        <w:rPr>
          <w:b/>
        </w:rPr>
        <w:tab/>
        <w:t xml:space="preserve">Duplication of </w:t>
      </w:r>
      <w:r w:rsidR="00635ADD" w:rsidRPr="00AA3DF6">
        <w:rPr>
          <w:b/>
        </w:rPr>
        <w:t>Efforts</w:t>
      </w:r>
    </w:p>
    <w:p w:rsidR="0064737B" w:rsidRPr="00AF39D5" w:rsidRDefault="0064737B" w:rsidP="001076CB">
      <w:pPr>
        <w:pStyle w:val="Body1"/>
      </w:pPr>
    </w:p>
    <w:p w:rsidR="00C76454" w:rsidRPr="00AF39D5" w:rsidRDefault="00C76454" w:rsidP="001076CB">
      <w:pPr>
        <w:pStyle w:val="Body1"/>
      </w:pPr>
      <w:r w:rsidRPr="00AF39D5">
        <w:t>This information collection does not duplicate any other effort and the information cannot be obtained from any other source.</w:t>
      </w:r>
    </w:p>
    <w:p w:rsidR="0064737B" w:rsidRPr="00AF39D5" w:rsidRDefault="0064737B" w:rsidP="001076CB">
      <w:pPr>
        <w:pStyle w:val="Body1"/>
      </w:pPr>
    </w:p>
    <w:p w:rsidR="0064737B" w:rsidRPr="00AA3DF6" w:rsidRDefault="0064737B" w:rsidP="001076CB">
      <w:pPr>
        <w:pStyle w:val="Body1"/>
        <w:rPr>
          <w:b/>
          <w:u w:val="single"/>
        </w:rPr>
      </w:pPr>
      <w:r w:rsidRPr="00AA3DF6">
        <w:rPr>
          <w:b/>
        </w:rPr>
        <w:t>5.</w:t>
      </w:r>
      <w:r w:rsidRPr="00AA3DF6">
        <w:rPr>
          <w:b/>
        </w:rPr>
        <w:tab/>
        <w:t>Small Businesses</w:t>
      </w:r>
    </w:p>
    <w:p w:rsidR="0064737B" w:rsidRPr="00AF39D5" w:rsidRDefault="0064737B" w:rsidP="001076CB">
      <w:pPr>
        <w:pStyle w:val="Body1"/>
        <w:rPr>
          <w:u w:val="single"/>
        </w:rPr>
      </w:pPr>
    </w:p>
    <w:p w:rsidR="0064737B" w:rsidRPr="00AF39D5" w:rsidRDefault="0064737B" w:rsidP="001076CB">
      <w:pPr>
        <w:pStyle w:val="Body1"/>
      </w:pPr>
      <w:r w:rsidRPr="00AF39D5">
        <w:t xml:space="preserve">There is no significant impact on small businesses.  The notices </w:t>
      </w:r>
      <w:r w:rsidR="00FE4B50" w:rsidRPr="00AF39D5">
        <w:t>inform enrollees</w:t>
      </w:r>
      <w:r w:rsidRPr="00AF39D5">
        <w:t xml:space="preserve"> of the right to file an appeal if a request for service or payment is denied</w:t>
      </w:r>
      <w:r w:rsidR="008B37AF" w:rsidRPr="00AF39D5">
        <w:t xml:space="preserve"> in whole or in part</w:t>
      </w:r>
      <w:r w:rsidRPr="00AF39D5">
        <w:t xml:space="preserve">. </w:t>
      </w:r>
    </w:p>
    <w:p w:rsidR="0064737B" w:rsidRPr="00AF39D5" w:rsidRDefault="0064737B" w:rsidP="001076CB">
      <w:pPr>
        <w:pStyle w:val="Body1"/>
      </w:pPr>
    </w:p>
    <w:p w:rsidR="0064737B" w:rsidRPr="00AA3DF6" w:rsidRDefault="0064737B" w:rsidP="001076CB">
      <w:pPr>
        <w:pStyle w:val="Body1"/>
        <w:rPr>
          <w:b/>
          <w:u w:val="single"/>
        </w:rPr>
      </w:pPr>
      <w:r w:rsidRPr="00AA3DF6">
        <w:rPr>
          <w:b/>
        </w:rPr>
        <w:t>6.</w:t>
      </w:r>
      <w:r w:rsidRPr="00AA3DF6">
        <w:rPr>
          <w:b/>
        </w:rPr>
        <w:tab/>
        <w:t>Less Frequent Collection</w:t>
      </w:r>
    </w:p>
    <w:p w:rsidR="0064737B" w:rsidRPr="00AF39D5" w:rsidRDefault="0064737B" w:rsidP="001076CB">
      <w:pPr>
        <w:pStyle w:val="Body1"/>
        <w:rPr>
          <w:u w:val="single"/>
        </w:rPr>
      </w:pPr>
    </w:p>
    <w:p w:rsidR="0064737B" w:rsidRPr="00AF39D5" w:rsidRDefault="0064737B" w:rsidP="001076CB">
      <w:pPr>
        <w:pStyle w:val="Body1"/>
      </w:pPr>
      <w:r w:rsidRPr="00AF39D5">
        <w:t xml:space="preserve">The statute requires </w:t>
      </w:r>
      <w:r w:rsidR="003D2FC4" w:rsidRPr="00AF39D5">
        <w:t>plan</w:t>
      </w:r>
      <w:r w:rsidRPr="00AF39D5">
        <w:t xml:space="preserve">s to issue written notice to enrollees whenever requests for </w:t>
      </w:r>
      <w:r w:rsidR="00284011" w:rsidRPr="00AF39D5">
        <w:t>items/</w:t>
      </w:r>
      <w:r w:rsidRPr="00AF39D5">
        <w:t>services or payment are denied.  Thus, there are no opportunities for less frequent collection.</w:t>
      </w:r>
    </w:p>
    <w:p w:rsidR="0064737B" w:rsidRPr="00AF39D5" w:rsidRDefault="0064737B" w:rsidP="001076CB">
      <w:pPr>
        <w:pStyle w:val="Body1"/>
      </w:pPr>
    </w:p>
    <w:p w:rsidR="0064737B" w:rsidRPr="00AA3DF6" w:rsidRDefault="0064737B" w:rsidP="001076CB">
      <w:pPr>
        <w:pStyle w:val="Body1"/>
        <w:rPr>
          <w:b/>
        </w:rPr>
      </w:pPr>
      <w:r w:rsidRPr="00AA3DF6">
        <w:rPr>
          <w:b/>
        </w:rPr>
        <w:t>7.</w:t>
      </w:r>
      <w:r w:rsidRPr="00AA3DF6">
        <w:rPr>
          <w:b/>
        </w:rPr>
        <w:tab/>
        <w:t>Special Circumstances</w:t>
      </w:r>
    </w:p>
    <w:p w:rsidR="0064737B" w:rsidRPr="00AF39D5" w:rsidRDefault="0064737B" w:rsidP="001076CB">
      <w:pPr>
        <w:pStyle w:val="Body1"/>
      </w:pPr>
    </w:p>
    <w:p w:rsidR="0064737B" w:rsidRPr="00AF39D5" w:rsidRDefault="0064737B" w:rsidP="001076CB">
      <w:pPr>
        <w:pStyle w:val="Body1"/>
      </w:pPr>
      <w:r w:rsidRPr="00AF39D5">
        <w:t xml:space="preserve">The </w:t>
      </w:r>
      <w:r w:rsidR="00504A34">
        <w:t>Notice</w:t>
      </w:r>
      <w:r w:rsidR="00304DFD">
        <w:t xml:space="preserve"> of Denial of Medical Coverage (or Payment) is </w:t>
      </w:r>
      <w:r w:rsidRPr="00AF39D5">
        <w:t xml:space="preserve">issued by </w:t>
      </w:r>
      <w:r w:rsidR="003D2FC4" w:rsidRPr="00AF39D5">
        <w:t>plan</w:t>
      </w:r>
      <w:r w:rsidRPr="00AF39D5">
        <w:t>s when an enrollee’s request for either a</w:t>
      </w:r>
      <w:r w:rsidR="00284011" w:rsidRPr="00AF39D5">
        <w:t>n item/</w:t>
      </w:r>
      <w:r w:rsidRPr="00AF39D5">
        <w:t>service or payment is denied</w:t>
      </w:r>
      <w:r w:rsidR="008B37AF" w:rsidRPr="00AF39D5">
        <w:t xml:space="preserve"> in whole or in part</w:t>
      </w:r>
      <w:r w:rsidR="000A3732">
        <w:t xml:space="preserve">. </w:t>
      </w:r>
      <w:r w:rsidR="00284011" w:rsidRPr="00AF39D5">
        <w:t>T</w:t>
      </w:r>
      <w:r w:rsidR="00EF2311" w:rsidRPr="00AF39D5">
        <w:t>here are no special circumstances to report</w:t>
      </w:r>
      <w:r w:rsidR="00284011" w:rsidRPr="00AF39D5">
        <w:t>, and n</w:t>
      </w:r>
      <w:r w:rsidR="009F727E" w:rsidRPr="00AF39D5">
        <w:t>o statistical methods will be employed.</w:t>
      </w:r>
    </w:p>
    <w:p w:rsidR="00DD0988" w:rsidRPr="00AF39D5" w:rsidRDefault="00DD0988" w:rsidP="001076CB">
      <w:pPr>
        <w:pStyle w:val="Body1"/>
      </w:pPr>
    </w:p>
    <w:p w:rsidR="0064737B" w:rsidRPr="00AA3DF6" w:rsidRDefault="0064737B" w:rsidP="001076CB">
      <w:pPr>
        <w:pStyle w:val="Body1"/>
        <w:rPr>
          <w:b/>
        </w:rPr>
      </w:pPr>
      <w:r w:rsidRPr="00AA3DF6">
        <w:rPr>
          <w:b/>
        </w:rPr>
        <w:t>8.</w:t>
      </w:r>
      <w:r w:rsidRPr="00AA3DF6">
        <w:rPr>
          <w:b/>
        </w:rPr>
        <w:tab/>
      </w:r>
      <w:r w:rsidR="00EE2719" w:rsidRPr="00EE2719">
        <w:rPr>
          <w:b/>
          <w:i/>
        </w:rPr>
        <w:t>Federal Register</w:t>
      </w:r>
      <w:r w:rsidR="001A53B0">
        <w:rPr>
          <w:b/>
          <w:i/>
        </w:rPr>
        <w:t xml:space="preserve"> Notice</w:t>
      </w:r>
      <w:r w:rsidRPr="00AA3DF6">
        <w:rPr>
          <w:b/>
        </w:rPr>
        <w:t>/Outside Consultation</w:t>
      </w:r>
    </w:p>
    <w:p w:rsidR="0064737B" w:rsidRPr="00AF39D5" w:rsidRDefault="0064737B" w:rsidP="001076CB">
      <w:pPr>
        <w:pStyle w:val="Body1"/>
      </w:pPr>
    </w:p>
    <w:p w:rsidR="0064737B" w:rsidRPr="00AF39D5" w:rsidRDefault="007D28D9" w:rsidP="001076CB">
      <w:pPr>
        <w:pStyle w:val="Body1"/>
      </w:pPr>
      <w:r>
        <w:t>The 6</w:t>
      </w:r>
      <w:r w:rsidR="004C41EB">
        <w:t>0</w:t>
      </w:r>
      <w:r w:rsidR="00A10AEC">
        <w:t>-day</w:t>
      </w:r>
      <w:r w:rsidR="00A10AEC" w:rsidRPr="007D28D9">
        <w:t xml:space="preserve"> </w:t>
      </w:r>
      <w:r w:rsidR="00EE2719" w:rsidRPr="007D28D9">
        <w:t>Federal Register</w:t>
      </w:r>
      <w:r w:rsidR="00A10AEC" w:rsidRPr="007D28D9">
        <w:t xml:space="preserve"> </w:t>
      </w:r>
      <w:r w:rsidR="00A10AEC">
        <w:t xml:space="preserve">notice published on </w:t>
      </w:r>
      <w:r>
        <w:t xml:space="preserve">September 7, 2012 (77 </w:t>
      </w:r>
      <w:proofErr w:type="spellStart"/>
      <w:r>
        <w:t>FR</w:t>
      </w:r>
      <w:proofErr w:type="spellEnd"/>
      <w:r>
        <w:t xml:space="preserve"> 55216). Comments were received. A summary of those comments and our response has been added to this</w:t>
      </w:r>
      <w:r w:rsidR="002B3E56">
        <w:t xml:space="preserve"> </w:t>
      </w:r>
      <w:r>
        <w:t>package.</w:t>
      </w:r>
      <w:r w:rsidR="00A10AEC">
        <w:t xml:space="preserve"> </w:t>
      </w:r>
    </w:p>
    <w:p w:rsidR="00511A9C" w:rsidRPr="00AF39D5" w:rsidRDefault="00511A9C" w:rsidP="001076CB">
      <w:pPr>
        <w:pStyle w:val="Body1"/>
      </w:pPr>
    </w:p>
    <w:p w:rsidR="0064737B" w:rsidRPr="00AA3DF6" w:rsidRDefault="0064737B" w:rsidP="001076CB">
      <w:pPr>
        <w:pStyle w:val="Body1"/>
        <w:rPr>
          <w:b/>
          <w:u w:val="single"/>
        </w:rPr>
      </w:pPr>
      <w:r w:rsidRPr="00AA3DF6">
        <w:rPr>
          <w:b/>
        </w:rPr>
        <w:t>9.</w:t>
      </w:r>
      <w:r w:rsidRPr="00AA3DF6">
        <w:rPr>
          <w:b/>
        </w:rPr>
        <w:tab/>
        <w:t xml:space="preserve">Payments/Gifts </w:t>
      </w:r>
      <w:r w:rsidR="00EB4F55" w:rsidRPr="00AA3DF6">
        <w:rPr>
          <w:b/>
        </w:rPr>
        <w:t>to</w:t>
      </w:r>
      <w:r w:rsidRPr="00AA3DF6">
        <w:rPr>
          <w:b/>
        </w:rPr>
        <w:t xml:space="preserve"> Respondents</w:t>
      </w:r>
    </w:p>
    <w:p w:rsidR="0064737B" w:rsidRPr="00AF39D5" w:rsidRDefault="0064737B" w:rsidP="001076CB">
      <w:pPr>
        <w:pStyle w:val="Body1"/>
        <w:rPr>
          <w:u w:val="single"/>
        </w:rPr>
      </w:pPr>
    </w:p>
    <w:p w:rsidR="00EF2311" w:rsidRPr="00AF39D5" w:rsidRDefault="00EF2311" w:rsidP="001076CB">
      <w:pPr>
        <w:pStyle w:val="Body1"/>
      </w:pPr>
      <w:r w:rsidRPr="00AF39D5">
        <w:t>Not applicable.</w:t>
      </w:r>
    </w:p>
    <w:p w:rsidR="00CB2A7B" w:rsidRPr="00AF39D5" w:rsidRDefault="00CB2A7B" w:rsidP="001076CB">
      <w:pPr>
        <w:pStyle w:val="Body1"/>
      </w:pPr>
    </w:p>
    <w:p w:rsidR="0064737B" w:rsidRPr="00AA3DF6" w:rsidRDefault="0064737B" w:rsidP="001076CB">
      <w:pPr>
        <w:pStyle w:val="Body1"/>
        <w:rPr>
          <w:b/>
          <w:u w:val="single"/>
        </w:rPr>
      </w:pPr>
      <w:r w:rsidRPr="00AA3DF6">
        <w:rPr>
          <w:b/>
        </w:rPr>
        <w:t>10.</w:t>
      </w:r>
      <w:r w:rsidRPr="00AA3DF6">
        <w:rPr>
          <w:b/>
        </w:rPr>
        <w:tab/>
      </w:r>
      <w:r w:rsidR="00D270DD">
        <w:rPr>
          <w:b/>
        </w:rPr>
        <w:t xml:space="preserve"> </w:t>
      </w:r>
      <w:r w:rsidRPr="00AA3DF6">
        <w:rPr>
          <w:b/>
        </w:rPr>
        <w:t>Confidentiality</w:t>
      </w:r>
    </w:p>
    <w:p w:rsidR="0064737B" w:rsidRPr="00AF39D5" w:rsidRDefault="0064737B" w:rsidP="001076CB">
      <w:pPr>
        <w:pStyle w:val="Body1"/>
      </w:pPr>
    </w:p>
    <w:p w:rsidR="0064737B" w:rsidRPr="00AF39D5" w:rsidRDefault="00284011" w:rsidP="001076CB">
      <w:pPr>
        <w:pStyle w:val="Body1"/>
      </w:pPr>
      <w:r w:rsidRPr="00AF39D5">
        <w:t>Personally identifiable</w:t>
      </w:r>
      <w:r w:rsidR="0064737B" w:rsidRPr="00AF39D5">
        <w:t xml:space="preserve"> information contained in the notice is protected by the Privacy Act and </w:t>
      </w:r>
      <w:proofErr w:type="spellStart"/>
      <w:r w:rsidR="0064737B" w:rsidRPr="00AF39D5">
        <w:t>HIPAA</w:t>
      </w:r>
      <w:proofErr w:type="spellEnd"/>
      <w:r w:rsidR="0064737B" w:rsidRPr="00AF39D5">
        <w:t xml:space="preserve"> standards for </w:t>
      </w:r>
      <w:r w:rsidR="003D2FC4" w:rsidRPr="00AF39D5">
        <w:t>plan</w:t>
      </w:r>
      <w:r w:rsidR="0064737B" w:rsidRPr="00AF39D5">
        <w:t>s and their providers</w:t>
      </w:r>
      <w:r w:rsidR="00EB4F55" w:rsidRPr="00AF39D5">
        <w:t xml:space="preserve">.  </w:t>
      </w:r>
      <w:r w:rsidR="0064737B" w:rsidRPr="00AF39D5">
        <w:t>CMS will not collect data from the notices</w:t>
      </w:r>
      <w:r w:rsidRPr="00AF39D5">
        <w:t>.  T</w:t>
      </w:r>
      <w:r w:rsidR="0064737B" w:rsidRPr="00AF39D5">
        <w:t xml:space="preserve">hus, </w:t>
      </w:r>
      <w:r w:rsidR="00EF2311" w:rsidRPr="00AF39D5">
        <w:t xml:space="preserve">CMS </w:t>
      </w:r>
      <w:r w:rsidR="0064737B" w:rsidRPr="00AF39D5">
        <w:t>assurance of confidentiality</w:t>
      </w:r>
      <w:r w:rsidR="00EF2311" w:rsidRPr="00AF39D5">
        <w:t xml:space="preserve"> is not applicable to this collection</w:t>
      </w:r>
      <w:r w:rsidR="0064737B" w:rsidRPr="00AF39D5">
        <w:t>.</w:t>
      </w:r>
    </w:p>
    <w:p w:rsidR="0064737B" w:rsidRPr="00AA12FC" w:rsidRDefault="0064737B" w:rsidP="001076CB">
      <w:pPr>
        <w:pStyle w:val="Body1"/>
      </w:pPr>
    </w:p>
    <w:p w:rsidR="0064737B" w:rsidRPr="00AA3DF6" w:rsidRDefault="0064737B" w:rsidP="001076CB">
      <w:pPr>
        <w:pStyle w:val="Body1"/>
        <w:rPr>
          <w:b/>
        </w:rPr>
      </w:pPr>
      <w:r w:rsidRPr="00AA3DF6">
        <w:rPr>
          <w:b/>
        </w:rPr>
        <w:t>11.</w:t>
      </w:r>
      <w:r w:rsidRPr="00AA3DF6">
        <w:rPr>
          <w:b/>
        </w:rPr>
        <w:tab/>
      </w:r>
      <w:r w:rsidR="00D270DD">
        <w:rPr>
          <w:b/>
        </w:rPr>
        <w:t xml:space="preserve"> </w:t>
      </w:r>
      <w:r w:rsidRPr="00AA3DF6">
        <w:rPr>
          <w:b/>
        </w:rPr>
        <w:t>Sensitive Questions</w:t>
      </w:r>
    </w:p>
    <w:p w:rsidR="0064737B" w:rsidRPr="00AF39D5" w:rsidRDefault="0064737B" w:rsidP="001076CB">
      <w:pPr>
        <w:pStyle w:val="Body1"/>
      </w:pPr>
    </w:p>
    <w:p w:rsidR="0064737B" w:rsidRPr="00AF39D5" w:rsidRDefault="0064737B" w:rsidP="001076CB">
      <w:pPr>
        <w:pStyle w:val="Body1"/>
      </w:pPr>
      <w:r w:rsidRPr="00AF39D5">
        <w:t>No questions of a sensitive nature will be asked.</w:t>
      </w:r>
    </w:p>
    <w:p w:rsidR="00A26F1C" w:rsidRPr="00AF39D5" w:rsidRDefault="00A26F1C" w:rsidP="001076CB">
      <w:pPr>
        <w:pStyle w:val="Body1"/>
      </w:pPr>
    </w:p>
    <w:p w:rsidR="00A4117F" w:rsidRPr="00AA3DF6" w:rsidRDefault="00A4117F" w:rsidP="001076CB">
      <w:pPr>
        <w:pStyle w:val="Body1"/>
        <w:rPr>
          <w:b/>
          <w:u w:val="single"/>
        </w:rPr>
      </w:pPr>
      <w:r w:rsidRPr="00AA3DF6">
        <w:rPr>
          <w:b/>
        </w:rPr>
        <w:t>12.</w:t>
      </w:r>
      <w:r w:rsidRPr="00AA3DF6">
        <w:rPr>
          <w:b/>
        </w:rPr>
        <w:tab/>
      </w:r>
      <w:r w:rsidR="00D270DD">
        <w:rPr>
          <w:b/>
        </w:rPr>
        <w:t xml:space="preserve"> </w:t>
      </w:r>
      <w:r w:rsidR="0017564B" w:rsidRPr="00AA3DF6">
        <w:rPr>
          <w:b/>
        </w:rPr>
        <w:t>Burden Estimate (Total Hours and</w:t>
      </w:r>
      <w:r w:rsidRPr="00AA3DF6">
        <w:rPr>
          <w:b/>
        </w:rPr>
        <w:t xml:space="preserve"> Wages)</w:t>
      </w:r>
      <w:r w:rsidRPr="00AA3DF6">
        <w:rPr>
          <w:b/>
          <w:u w:val="single"/>
        </w:rPr>
        <w:t xml:space="preserve"> </w:t>
      </w:r>
    </w:p>
    <w:p w:rsidR="00EB4F55" w:rsidRPr="00AF39D5" w:rsidRDefault="00EB4F55" w:rsidP="001076CB">
      <w:pPr>
        <w:pStyle w:val="Body1"/>
        <w:rPr>
          <w:u w:val="single"/>
        </w:rPr>
      </w:pPr>
    </w:p>
    <w:p w:rsidR="00343C24" w:rsidRPr="00AF39D5" w:rsidRDefault="00343C24" w:rsidP="001076CB">
      <w:pPr>
        <w:pStyle w:val="Body1"/>
      </w:pPr>
      <w:r>
        <w:t xml:space="preserve">The number of respondents for this collection is based on 2011 CMS Statistics which indicate that there are 665 </w:t>
      </w:r>
      <w:r w:rsidRPr="00AF39D5">
        <w:t>Medicare health plans</w:t>
      </w:r>
      <w:r>
        <w:t xml:space="preserve"> (excluding stand-alone </w:t>
      </w:r>
      <w:r w:rsidR="0050119B">
        <w:t xml:space="preserve">prescription </w:t>
      </w:r>
      <w:r>
        <w:t xml:space="preserve">drug plans).  Source: 2011 </w:t>
      </w:r>
      <w:r w:rsidRPr="00E659F8">
        <w:t>CMS Statistics</w:t>
      </w:r>
      <w:r>
        <w:t xml:space="preserve"> (Table </w:t>
      </w:r>
      <w:proofErr w:type="spellStart"/>
      <w:r>
        <w:t>I.7</w:t>
      </w:r>
      <w:proofErr w:type="spellEnd"/>
      <w:r>
        <w:t>)</w:t>
      </w:r>
      <w:r w:rsidRPr="00E659F8">
        <w:t>:</w:t>
      </w:r>
      <w:r>
        <w:t xml:space="preserve"> </w:t>
      </w:r>
      <w:r w:rsidRPr="001D1EFC">
        <w:t>http://www.cms.gov/ResearchGenInfo/02_CMSStatistics.asp</w:t>
      </w:r>
    </w:p>
    <w:p w:rsidR="00C74D3C" w:rsidRDefault="00C74D3C" w:rsidP="001076CB">
      <w:pPr>
        <w:pStyle w:val="Body1"/>
      </w:pPr>
    </w:p>
    <w:p w:rsidR="00C74D3C" w:rsidRPr="00F631F5" w:rsidRDefault="00C74D3C" w:rsidP="001076CB">
      <w:pPr>
        <w:pStyle w:val="Body1"/>
      </w:pPr>
      <w:r>
        <w:t xml:space="preserve">Based on data reported to CMS by Medicare health plans, there were 6,960,410 adverse and partially favorable decisions issued in 2011.  While the </w:t>
      </w:r>
      <w:r w:rsidR="00E9736D">
        <w:t xml:space="preserve">2011 Medicare Part C Reporting Requirements Technical Specifications </w:t>
      </w:r>
      <w:r>
        <w:t xml:space="preserve">instructed plans to </w:t>
      </w:r>
      <w:r w:rsidRPr="00F631F5">
        <w:t xml:space="preserve">omit some types of organization determinations related to </w:t>
      </w:r>
      <w:r w:rsidR="00E9736D" w:rsidRPr="00F631F5">
        <w:t xml:space="preserve">certain </w:t>
      </w:r>
      <w:r w:rsidRPr="00F631F5">
        <w:t>provider payment requests, we believe the</w:t>
      </w:r>
      <w:r w:rsidR="00E9736D" w:rsidRPr="00F631F5">
        <w:t xml:space="preserve"> 2011 </w:t>
      </w:r>
      <w:r w:rsidRPr="00F631F5">
        <w:t>plan reported data are the most current</w:t>
      </w:r>
      <w:r w:rsidR="00E9736D" w:rsidRPr="00F631F5">
        <w:t xml:space="preserve"> and </w:t>
      </w:r>
      <w:r w:rsidRPr="00F631F5">
        <w:t>reliable data available for the purpose of developing the burden estimates for this PRA package.</w:t>
      </w:r>
      <w:r w:rsidR="005832F7" w:rsidRPr="00F631F5">
        <w:t xml:space="preserve">  CMS acknowledges that these burden estimates are significantly higher than the estimates contained in the previous package for CMS-10003.  However, at the time the previous package was submitted for approval, CMS did not have plan reported data on organization determinations. </w:t>
      </w:r>
      <w:r w:rsidR="00AE61A1" w:rsidRPr="00F631F5">
        <w:t>CMS now has the advantage of having plan reported data to inform these burden estimates.</w:t>
      </w:r>
      <w:r w:rsidR="005832F7" w:rsidRPr="00F631F5">
        <w:t xml:space="preserve"> </w:t>
      </w:r>
      <w:r w:rsidRPr="00F631F5">
        <w:t> </w:t>
      </w:r>
    </w:p>
    <w:p w:rsidR="005832F7" w:rsidRPr="00F631F5" w:rsidRDefault="005832F7" w:rsidP="001076CB">
      <w:pPr>
        <w:pStyle w:val="Body1"/>
      </w:pPr>
    </w:p>
    <w:p w:rsidR="00216EEF" w:rsidRDefault="005832F7" w:rsidP="001076CB">
      <w:pPr>
        <w:pStyle w:val="Body1"/>
      </w:pPr>
      <w:r>
        <w:t>In the previous PRA package for CMS-10003, we developed our burden estimates based</w:t>
      </w:r>
      <w:r w:rsidR="00924970">
        <w:t>, in part,</w:t>
      </w:r>
      <w:r>
        <w:t xml:space="preserve"> on findings from an </w:t>
      </w:r>
      <w:r w:rsidRPr="00AF39D5">
        <w:t>October 2009 Memorandum Report</w:t>
      </w:r>
      <w:r>
        <w:t xml:space="preserve"> of </w:t>
      </w:r>
      <w:r w:rsidRPr="00AF39D5">
        <w:t xml:space="preserve">the </w:t>
      </w:r>
      <w:proofErr w:type="spellStart"/>
      <w:r w:rsidRPr="00AF39D5">
        <w:t>HHS</w:t>
      </w:r>
      <w:proofErr w:type="spellEnd"/>
      <w:r w:rsidRPr="00AF39D5">
        <w:t xml:space="preserve"> Office of Inspector General</w:t>
      </w:r>
      <w:r>
        <w:t xml:space="preserve"> which found that</w:t>
      </w:r>
      <w:r w:rsidRPr="00AF39D5">
        <w:t xml:space="preserve"> plans denied, in whole or in part, </w:t>
      </w:r>
      <w:r>
        <w:t xml:space="preserve">about </w:t>
      </w:r>
      <w:r w:rsidR="00A84D3E">
        <w:t xml:space="preserve">2.3% of </w:t>
      </w:r>
      <w:r w:rsidRPr="00AF39D5">
        <w:t>all service-related organization determinations</w:t>
      </w:r>
      <w:r w:rsidR="00A84D3E">
        <w:t xml:space="preserve"> that were part of the </w:t>
      </w:r>
      <w:proofErr w:type="spellStart"/>
      <w:r w:rsidR="00A84D3E">
        <w:t>OIG’s</w:t>
      </w:r>
      <w:proofErr w:type="spellEnd"/>
      <w:r w:rsidR="00A84D3E">
        <w:t xml:space="preserve"> data sample from the </w:t>
      </w:r>
      <w:r>
        <w:t>last quarter of calendar year 2007 (October 1 – December 31, 2007)</w:t>
      </w:r>
      <w:r w:rsidRPr="00AF39D5">
        <w:t>.</w:t>
      </w:r>
      <w:r w:rsidR="00A84D3E">
        <w:t xml:space="preserve">  For more information on that report, see</w:t>
      </w:r>
      <w:r w:rsidR="00216EEF">
        <w:t xml:space="preserve">:  </w:t>
      </w:r>
      <w:proofErr w:type="spellStart"/>
      <w:r w:rsidR="00216EEF" w:rsidRPr="000A3732">
        <w:t>OIG</w:t>
      </w:r>
      <w:proofErr w:type="spellEnd"/>
      <w:r w:rsidR="00216EEF" w:rsidRPr="000A3732">
        <w:t xml:space="preserve"> Memorandum Report: “Beneficiary Appeals in Medicare Advantage,” October 22, 2009, </w:t>
      </w:r>
      <w:proofErr w:type="spellStart"/>
      <w:r w:rsidR="00216EEF" w:rsidRPr="000A3732">
        <w:t>OEI</w:t>
      </w:r>
      <w:proofErr w:type="spellEnd"/>
      <w:r w:rsidR="00216EEF" w:rsidRPr="000A3732">
        <w:t xml:space="preserve">-01-08-00280, pp. 8-9:  </w:t>
      </w:r>
      <w:hyperlink r:id="rId9" w:history="1">
        <w:r w:rsidR="00216EEF" w:rsidRPr="00FB2F27">
          <w:rPr>
            <w:rStyle w:val="Hyperlink"/>
          </w:rPr>
          <w:t>http://oig.hhs.gov/oei/reports/oei-01-08-00280.pdf</w:t>
        </w:r>
      </w:hyperlink>
      <w:r w:rsidR="00216EEF">
        <w:t>.</w:t>
      </w:r>
    </w:p>
    <w:p w:rsidR="00E3365A" w:rsidRDefault="00E3365A" w:rsidP="001076CB">
      <w:pPr>
        <w:pStyle w:val="Body1"/>
      </w:pPr>
      <w:r>
        <w:lastRenderedPageBreak/>
        <w:t xml:space="preserve">The CMS plan reported data indicate a 2.6% denial rate (6,960,410 denials issued out of a total of 269,979,119 organization determinations), which is essentially the same as the 2.3% </w:t>
      </w:r>
      <w:r w:rsidR="00214767">
        <w:t xml:space="preserve">denial </w:t>
      </w:r>
      <w:r>
        <w:t xml:space="preserve">rate contained in the </w:t>
      </w:r>
      <w:proofErr w:type="spellStart"/>
      <w:r>
        <w:t>OIG</w:t>
      </w:r>
      <w:proofErr w:type="spellEnd"/>
      <w:r>
        <w:t xml:space="preserve"> report.  So, while the </w:t>
      </w:r>
      <w:r w:rsidR="00214767">
        <w:t xml:space="preserve">overall </w:t>
      </w:r>
      <w:r>
        <w:t>volumes</w:t>
      </w:r>
      <w:r w:rsidR="00D04F00">
        <w:t xml:space="preserve"> CMS is using for the current estimates are significantly </w:t>
      </w:r>
      <w:r w:rsidR="00D83F40">
        <w:t xml:space="preserve">higher </w:t>
      </w:r>
      <w:r w:rsidR="00D04F00">
        <w:t xml:space="preserve">due to the use of </w:t>
      </w:r>
      <w:r>
        <w:t xml:space="preserve">actual plan reported data, </w:t>
      </w:r>
      <w:r w:rsidR="00D04F00">
        <w:t xml:space="preserve">it’s noteworthy that </w:t>
      </w:r>
      <w:r>
        <w:t xml:space="preserve">there is consistency </w:t>
      </w:r>
      <w:r w:rsidR="002048CE">
        <w:t xml:space="preserve">between the two data sets </w:t>
      </w:r>
      <w:r>
        <w:t>with respect to the rate at which plans are denying</w:t>
      </w:r>
      <w:r w:rsidR="00214767">
        <w:t xml:space="preserve"> organization determination</w:t>
      </w:r>
      <w:r>
        <w:t xml:space="preserve"> requests.</w:t>
      </w:r>
    </w:p>
    <w:p w:rsidR="00E3365A" w:rsidRDefault="00E3365A" w:rsidP="001076CB">
      <w:pPr>
        <w:pStyle w:val="Body1"/>
      </w:pPr>
      <w:r>
        <w:t xml:space="preserve"> </w:t>
      </w:r>
    </w:p>
    <w:p w:rsidR="00871FB9" w:rsidRDefault="00343C24" w:rsidP="001076CB">
      <w:pPr>
        <w:pStyle w:val="Body1"/>
      </w:pPr>
      <w:r>
        <w:t xml:space="preserve">The cost burden </w:t>
      </w:r>
      <w:r w:rsidR="00FE42FC">
        <w:t xml:space="preserve">for this package </w:t>
      </w:r>
      <w:r>
        <w:t xml:space="preserve">was calculated using the hourly rate of $28.88, based on a </w:t>
      </w:r>
      <w:proofErr w:type="spellStart"/>
      <w:r>
        <w:t>GS</w:t>
      </w:r>
      <w:proofErr w:type="spellEnd"/>
      <w:r>
        <w:t xml:space="preserve">-12/Step 1 salary.  </w:t>
      </w:r>
      <w:r w:rsidR="001318D3">
        <w:t>We estimate it will take about 6 minutes to complete the notice for Medicare</w:t>
      </w:r>
      <w:r w:rsidR="009254BD">
        <w:t xml:space="preserve"> services that have been denied.  </w:t>
      </w:r>
      <w:r w:rsidR="001318D3">
        <w:t>Since integrat</w:t>
      </w:r>
      <w:r w:rsidR="008B034A">
        <w:t xml:space="preserve">ion of </w:t>
      </w:r>
      <w:r w:rsidR="001318D3">
        <w:t xml:space="preserve">Medicaid appeals </w:t>
      </w:r>
      <w:r w:rsidR="000B44BA">
        <w:t xml:space="preserve">information </w:t>
      </w:r>
      <w:r w:rsidR="001318D3">
        <w:t xml:space="preserve">is a new option under this revised notice, it may initially take plans </w:t>
      </w:r>
      <w:r w:rsidR="00A603E2">
        <w:t xml:space="preserve">additional time </w:t>
      </w:r>
      <w:r w:rsidR="00871FB9">
        <w:t>(</w:t>
      </w:r>
      <w:r w:rsidR="00D265D0">
        <w:t xml:space="preserve">we estimate </w:t>
      </w:r>
      <w:r w:rsidR="00871FB9">
        <w:t xml:space="preserve">up to 13 minutes) </w:t>
      </w:r>
      <w:r w:rsidR="00A603E2">
        <w:t xml:space="preserve">to </w:t>
      </w:r>
      <w:r w:rsidR="001318D3">
        <w:t>complete the information for the integrated version of the notice.</w:t>
      </w:r>
      <w:r w:rsidR="00A603E2" w:rsidRPr="00A603E2">
        <w:t xml:space="preserve"> </w:t>
      </w:r>
      <w:r w:rsidR="00A603E2">
        <w:t xml:space="preserve"> Therefore, we estimate it will take plans an average of 10 minutes to complete the denial notice. </w:t>
      </w:r>
    </w:p>
    <w:p w:rsidR="00343C24" w:rsidRDefault="00A603E2" w:rsidP="001076CB">
      <w:pPr>
        <w:pStyle w:val="Body1"/>
      </w:pPr>
      <w:r>
        <w:t xml:space="preserve"> </w:t>
      </w:r>
      <w:r w:rsidR="001318D3">
        <w:t xml:space="preserve">    </w:t>
      </w:r>
      <w:r w:rsidR="00027B17">
        <w:t xml:space="preserve"> </w:t>
      </w:r>
    </w:p>
    <w:p w:rsidR="000B3198" w:rsidRPr="00AF39D5" w:rsidRDefault="000B3198" w:rsidP="001076CB">
      <w:pPr>
        <w:pStyle w:val="Body1"/>
      </w:pPr>
      <w:r w:rsidRPr="00AF39D5">
        <w:t xml:space="preserve">The total </w:t>
      </w:r>
      <w:r w:rsidR="00343C24">
        <w:t xml:space="preserve">annual hourly </w:t>
      </w:r>
      <w:r w:rsidRPr="00AF39D5">
        <w:t xml:space="preserve">burden </w:t>
      </w:r>
      <w:r w:rsidR="00343C24">
        <w:t xml:space="preserve">for this collection is 1,159,604 hours </w:t>
      </w:r>
      <w:r w:rsidR="0098431F">
        <w:t xml:space="preserve">(10 minutes/.1666 hour per </w:t>
      </w:r>
      <w:r w:rsidR="00AD44D2">
        <w:t xml:space="preserve">notice </w:t>
      </w:r>
      <w:r w:rsidR="0098431F">
        <w:t xml:space="preserve">x 6,960,410 </w:t>
      </w:r>
      <w:r w:rsidR="00AD44D2">
        <w:t xml:space="preserve">notices </w:t>
      </w:r>
      <w:r w:rsidR="0098431F">
        <w:t xml:space="preserve">= 1,159,604 hours), </w:t>
      </w:r>
      <w:r w:rsidR="00343C24">
        <w:t xml:space="preserve">or 1,744 hours per plan. The total estimated annual cost for </w:t>
      </w:r>
      <w:r w:rsidRPr="00AF39D5">
        <w:t>this collection is</w:t>
      </w:r>
      <w:r w:rsidR="00343C24">
        <w:t xml:space="preserve"> $33,479,572</w:t>
      </w:r>
      <w:r w:rsidR="0098431F">
        <w:t xml:space="preserve"> (.1666 x $28.88 = </w:t>
      </w:r>
      <w:r w:rsidR="00AD44D2">
        <w:t>$</w:t>
      </w:r>
      <w:r w:rsidR="0098431F">
        <w:t>4.81</w:t>
      </w:r>
      <w:r w:rsidR="00AD44D2">
        <w:t xml:space="preserve"> per notice</w:t>
      </w:r>
      <w:r w:rsidR="0098431F">
        <w:t xml:space="preserve"> x 6,960,410 notices = $33,479,572)</w:t>
      </w:r>
      <w:r w:rsidR="00343C24">
        <w:t xml:space="preserve">, or $50,345 per plan.  </w:t>
      </w:r>
    </w:p>
    <w:p w:rsidR="000B3198" w:rsidRPr="00AF39D5" w:rsidRDefault="000B3198" w:rsidP="001076CB">
      <w:pPr>
        <w:pStyle w:val="Body1"/>
        <w:rPr>
          <w:b/>
        </w:rPr>
      </w:pPr>
    </w:p>
    <w:p w:rsidR="00B90DC2" w:rsidRDefault="00214767" w:rsidP="001076CB">
      <w:pPr>
        <w:pStyle w:val="Body1"/>
      </w:pPr>
      <w:r>
        <w:t xml:space="preserve">CMS does not have Medicaid data on the rate at which services are denied in the managed care setting.  However, since the integrated version of this notice will be provided to individuals who are eligible for Medicare and full Medicaid benefits (full duals), we believe these burden estimates </w:t>
      </w:r>
      <w:r w:rsidR="00D732C2">
        <w:t>adequately</w:t>
      </w:r>
      <w:r>
        <w:t xml:space="preserve"> account for this population.  </w:t>
      </w:r>
    </w:p>
    <w:p w:rsidR="00937EBD" w:rsidRDefault="00937EBD" w:rsidP="001076CB">
      <w:pPr>
        <w:pStyle w:val="Body1"/>
      </w:pPr>
      <w:r>
        <w:t xml:space="preserve">According to CMS’ </w:t>
      </w:r>
      <w:r w:rsidR="009F7DEF" w:rsidRPr="009F7DEF">
        <w:rPr>
          <w:color w:val="000000"/>
        </w:rPr>
        <w:t>Provider Enrollment Entitlement Economic Attribute Reporting</w:t>
      </w:r>
      <w:r w:rsidR="009F7DEF">
        <w:rPr>
          <w:rFonts w:ascii="Times New Roman" w:hAnsi="Times New Roman" w:cs="Times New Roman"/>
          <w:color w:val="000000"/>
        </w:rPr>
        <w:t xml:space="preserve"> (</w:t>
      </w:r>
      <w:r>
        <w:t>PEAR</w:t>
      </w:r>
      <w:r w:rsidR="009F7DEF">
        <w:t>)</w:t>
      </w:r>
      <w:r>
        <w:t xml:space="preserve"> database, there are approximately 6,518,237 full dual eligible beneficiaries</w:t>
      </w:r>
      <w:r w:rsidR="001B7371">
        <w:t xml:space="preserve">, of which </w:t>
      </w:r>
      <w:r>
        <w:t>919,180 are enrolled in a Medicare health plan.</w:t>
      </w:r>
      <w:r w:rsidR="001B7371">
        <w:t xml:space="preserve">  According to the 2011 CMS Statistics there are 10,709,000 Medicare health plan enrollees (excluding those in stand-alone </w:t>
      </w:r>
      <w:proofErr w:type="spellStart"/>
      <w:r w:rsidR="001B7371">
        <w:t>PDPs</w:t>
      </w:r>
      <w:proofErr w:type="spellEnd"/>
      <w:r w:rsidR="001B7371">
        <w:t>).  Therefore, full dual eligible beneficiaries constitute about 9% of all Medicare health plan enrollees.</w:t>
      </w:r>
      <w:r w:rsidR="008E53C1">
        <w:t xml:space="preserve">  </w:t>
      </w:r>
      <w:r w:rsidR="00275B17">
        <w:t xml:space="preserve">These individuals are Medicare </w:t>
      </w:r>
      <w:r w:rsidR="00A63B65">
        <w:t>beneficiaries/</w:t>
      </w:r>
      <w:r w:rsidR="00275B17">
        <w:t xml:space="preserve">health plan </w:t>
      </w:r>
      <w:r w:rsidR="004F1531">
        <w:t>enrollees who also receive full Medicaid benefits</w:t>
      </w:r>
      <w:r w:rsidR="00D732C2">
        <w:t>.  T</w:t>
      </w:r>
      <w:r w:rsidR="004F1531">
        <w:t xml:space="preserve">herefore, </w:t>
      </w:r>
      <w:r w:rsidR="008E53C1">
        <w:t>we do not believe</w:t>
      </w:r>
      <w:r w:rsidR="001F636E">
        <w:t xml:space="preserve"> inclusion of </w:t>
      </w:r>
      <w:r w:rsidR="008E53C1">
        <w:t>Medicaid appeals information materially affect</w:t>
      </w:r>
      <w:r w:rsidR="004F1531">
        <w:t>s</w:t>
      </w:r>
      <w:r w:rsidR="008E53C1">
        <w:t xml:space="preserve"> </w:t>
      </w:r>
      <w:r w:rsidR="001B74A8">
        <w:t xml:space="preserve">the </w:t>
      </w:r>
      <w:r w:rsidR="008E53C1">
        <w:t>burden estimate</w:t>
      </w:r>
      <w:r w:rsidR="00D732C2">
        <w:t xml:space="preserve"> with respect to the total number of denial notices that will be issued</w:t>
      </w:r>
      <w:r w:rsidR="00DC7893">
        <w:t xml:space="preserve"> by health plans</w:t>
      </w:r>
      <w:r w:rsidR="008E53C1">
        <w:t xml:space="preserve">.  </w:t>
      </w:r>
    </w:p>
    <w:p w:rsidR="00B90DC2" w:rsidRDefault="00B90DC2" w:rsidP="001076CB">
      <w:pPr>
        <w:pStyle w:val="Body1"/>
      </w:pPr>
    </w:p>
    <w:p w:rsidR="00A4117F" w:rsidRPr="009377B3" w:rsidRDefault="00064087" w:rsidP="001076CB">
      <w:pPr>
        <w:pStyle w:val="Body1"/>
        <w:rPr>
          <w:b/>
        </w:rPr>
      </w:pPr>
      <w:r w:rsidRPr="009377B3">
        <w:rPr>
          <w:b/>
        </w:rPr>
        <w:t>1</w:t>
      </w:r>
      <w:r w:rsidR="00A4117F" w:rsidRPr="009377B3">
        <w:rPr>
          <w:b/>
        </w:rPr>
        <w:t>3.</w:t>
      </w:r>
      <w:r w:rsidR="00B9133D" w:rsidRPr="009377B3">
        <w:rPr>
          <w:b/>
        </w:rPr>
        <w:t xml:space="preserve">  </w:t>
      </w:r>
      <w:r w:rsidR="00D270DD" w:rsidRPr="009377B3">
        <w:rPr>
          <w:b/>
        </w:rPr>
        <w:t xml:space="preserve"> </w:t>
      </w:r>
      <w:r w:rsidR="00A4117F" w:rsidRPr="009377B3">
        <w:rPr>
          <w:b/>
        </w:rPr>
        <w:t>Capital Costs</w:t>
      </w:r>
      <w:r w:rsidR="00A4117F" w:rsidRPr="009377B3">
        <w:rPr>
          <w:b/>
        </w:rPr>
        <w:tab/>
      </w:r>
    </w:p>
    <w:p w:rsidR="0064737B" w:rsidRPr="00AF39D5" w:rsidRDefault="0064737B" w:rsidP="001076CB">
      <w:pPr>
        <w:pStyle w:val="Body1"/>
      </w:pPr>
      <w:r w:rsidRPr="00AA12FC">
        <w:tab/>
      </w:r>
    </w:p>
    <w:p w:rsidR="0064737B" w:rsidRPr="00AF39D5" w:rsidRDefault="0064737B" w:rsidP="001076CB">
      <w:pPr>
        <w:pStyle w:val="Body1"/>
      </w:pPr>
      <w:r w:rsidRPr="00AF39D5">
        <w:t>There are no capital costs</w:t>
      </w:r>
    </w:p>
    <w:p w:rsidR="0064737B" w:rsidRPr="00AF39D5" w:rsidRDefault="0064737B" w:rsidP="001076CB">
      <w:pPr>
        <w:pStyle w:val="Body1"/>
      </w:pPr>
    </w:p>
    <w:p w:rsidR="0064737B" w:rsidRPr="00B9133D" w:rsidRDefault="0064737B" w:rsidP="001076CB">
      <w:pPr>
        <w:pStyle w:val="Body1"/>
        <w:rPr>
          <w:b/>
        </w:rPr>
      </w:pPr>
      <w:r w:rsidRPr="009377B3">
        <w:rPr>
          <w:b/>
        </w:rPr>
        <w:t>14.</w:t>
      </w:r>
      <w:r w:rsidR="00B9133D">
        <w:t xml:space="preserve">  </w:t>
      </w:r>
      <w:r w:rsidR="00D270DD">
        <w:t xml:space="preserve"> </w:t>
      </w:r>
      <w:r w:rsidRPr="00B9133D">
        <w:rPr>
          <w:b/>
        </w:rPr>
        <w:t>Cost to the Federal Government</w:t>
      </w:r>
    </w:p>
    <w:p w:rsidR="0064737B" w:rsidRPr="00AF39D5" w:rsidRDefault="0064737B" w:rsidP="001076CB">
      <w:pPr>
        <w:pStyle w:val="Body1"/>
      </w:pPr>
    </w:p>
    <w:p w:rsidR="0064737B" w:rsidRPr="00AF39D5" w:rsidRDefault="0064737B" w:rsidP="001076CB">
      <w:pPr>
        <w:pStyle w:val="Body1"/>
      </w:pPr>
      <w:r w:rsidRPr="00AF39D5">
        <w:t xml:space="preserve">No costs to the Federal government are anticipated.  The notices will be printed and distributed by </w:t>
      </w:r>
      <w:r w:rsidR="00284011" w:rsidRPr="00AF39D5">
        <w:t xml:space="preserve">individual </w:t>
      </w:r>
      <w:r w:rsidR="00B752C7" w:rsidRPr="00AF39D5">
        <w:t>Medicare health plans</w:t>
      </w:r>
      <w:r w:rsidRPr="00AF39D5">
        <w:t>.</w:t>
      </w:r>
    </w:p>
    <w:p w:rsidR="00DD0988" w:rsidRPr="00AF39D5" w:rsidRDefault="00DD0988" w:rsidP="001076CB">
      <w:pPr>
        <w:pStyle w:val="Body1"/>
      </w:pPr>
    </w:p>
    <w:p w:rsidR="0064737B" w:rsidRPr="00AF39D5" w:rsidRDefault="0064737B" w:rsidP="001076CB">
      <w:pPr>
        <w:pStyle w:val="Body1"/>
      </w:pPr>
      <w:r w:rsidRPr="009377B3">
        <w:rPr>
          <w:b/>
        </w:rPr>
        <w:t>15.</w:t>
      </w:r>
      <w:r w:rsidRPr="00AF39D5">
        <w:t xml:space="preserve"> </w:t>
      </w:r>
      <w:r w:rsidR="00B9133D">
        <w:t xml:space="preserve"> </w:t>
      </w:r>
      <w:r w:rsidR="00D270DD">
        <w:t xml:space="preserve"> </w:t>
      </w:r>
      <w:r w:rsidRPr="00B9133D">
        <w:rPr>
          <w:b/>
        </w:rPr>
        <w:t>Changes</w:t>
      </w:r>
      <w:r w:rsidR="00CB0589" w:rsidRPr="00B9133D">
        <w:rPr>
          <w:b/>
        </w:rPr>
        <w:t xml:space="preserve"> to Burden</w:t>
      </w:r>
    </w:p>
    <w:p w:rsidR="0043460A" w:rsidRDefault="0043460A" w:rsidP="001076CB">
      <w:pPr>
        <w:pStyle w:val="Body1"/>
      </w:pPr>
    </w:p>
    <w:p w:rsidR="00DD2885" w:rsidRPr="00B9133D" w:rsidRDefault="0043460A" w:rsidP="001076CB">
      <w:pPr>
        <w:pStyle w:val="Body1"/>
      </w:pPr>
      <w:r>
        <w:t xml:space="preserve">The annual hour burden associated with this collection is estimated to be 1,159,604 </w:t>
      </w:r>
      <w:r>
        <w:lastRenderedPageBreak/>
        <w:t xml:space="preserve">hours.  The annual hour burden in the 2010 submission for this collection was 194,728 hours.  </w:t>
      </w:r>
      <w:r w:rsidR="00CA3814">
        <w:t>As discussed in section 12</w:t>
      </w:r>
      <w:r w:rsidR="009A68AB">
        <w:t xml:space="preserve">, </w:t>
      </w:r>
      <w:r>
        <w:t>the significant</w:t>
      </w:r>
      <w:r w:rsidR="006E305A" w:rsidRPr="00AF39D5">
        <w:t xml:space="preserve"> i</w:t>
      </w:r>
      <w:r w:rsidR="0064737B" w:rsidRPr="00AF39D5">
        <w:t xml:space="preserve">ncrease </w:t>
      </w:r>
      <w:r w:rsidR="00256E72" w:rsidRPr="00AF39D5">
        <w:t>in</w:t>
      </w:r>
      <w:r w:rsidR="0064737B" w:rsidRPr="00AF39D5">
        <w:t xml:space="preserve"> </w:t>
      </w:r>
      <w:r>
        <w:t xml:space="preserve">the </w:t>
      </w:r>
      <w:r w:rsidR="0064737B" w:rsidRPr="00AF39D5">
        <w:t>burden</w:t>
      </w:r>
      <w:r>
        <w:t xml:space="preserve"> estimates</w:t>
      </w:r>
      <w:r w:rsidR="0064737B" w:rsidRPr="00AF39D5">
        <w:t xml:space="preserve"> is</w:t>
      </w:r>
      <w:r w:rsidR="00CA3814">
        <w:t xml:space="preserve"> due to the use of Medicare health plan reported data on organization determinations</w:t>
      </w:r>
      <w:r>
        <w:t xml:space="preserve"> which was not available when the previous PRA package was submitted for this collection</w:t>
      </w:r>
      <w:r w:rsidR="00CA3814">
        <w:t>.  CMS believes</w:t>
      </w:r>
      <w:r w:rsidR="00CA3814" w:rsidRPr="00CA3814">
        <w:rPr>
          <w:color w:val="1F497D"/>
        </w:rPr>
        <w:t xml:space="preserve"> </w:t>
      </w:r>
      <w:r w:rsidR="00CA3814" w:rsidRPr="00B9133D">
        <w:t>the 2011 plan reported data are the most current and reliable data available for the purpose of developing the burden estimates for</w:t>
      </w:r>
      <w:r w:rsidRPr="00B9133D">
        <w:t xml:space="preserve"> CMS-10003.  </w:t>
      </w:r>
    </w:p>
    <w:p w:rsidR="00706A1A" w:rsidRDefault="00706A1A" w:rsidP="001076CB">
      <w:pPr>
        <w:pStyle w:val="Body1"/>
      </w:pPr>
    </w:p>
    <w:p w:rsidR="00B319D8" w:rsidRDefault="00B319D8" w:rsidP="001076CB">
      <w:pPr>
        <w:pStyle w:val="Body1"/>
      </w:pPr>
      <w:r>
        <w:t xml:space="preserve">Also, changes have been made since the publication of the 60-day </w:t>
      </w:r>
      <w:proofErr w:type="spellStart"/>
      <w:r>
        <w:t>FR</w:t>
      </w:r>
      <w:proofErr w:type="spellEnd"/>
      <w:r>
        <w:t xml:space="preserve"> notice. Those changes can be found </w:t>
      </w:r>
      <w:r w:rsidR="00A81543">
        <w:t xml:space="preserve">in </w:t>
      </w:r>
      <w:r w:rsidR="00F5230A">
        <w:t xml:space="preserve">the </w:t>
      </w:r>
      <w:proofErr w:type="spellStart"/>
      <w:r w:rsidR="00F5230A" w:rsidRPr="00F5230A">
        <w:t>NDMCP</w:t>
      </w:r>
      <w:proofErr w:type="spellEnd"/>
      <w:r w:rsidR="00F5230A">
        <w:t xml:space="preserve"> Crosswalk</w:t>
      </w:r>
      <w:r w:rsidR="00490843">
        <w:t>.</w:t>
      </w:r>
    </w:p>
    <w:p w:rsidR="00B319D8" w:rsidRPr="00B9133D" w:rsidRDefault="00B319D8" w:rsidP="001076CB">
      <w:pPr>
        <w:pStyle w:val="Body1"/>
      </w:pPr>
    </w:p>
    <w:p w:rsidR="0064737B" w:rsidRPr="00AA12FC" w:rsidRDefault="0064737B" w:rsidP="001076CB">
      <w:pPr>
        <w:pStyle w:val="Body1"/>
      </w:pPr>
      <w:r w:rsidRPr="009377B3">
        <w:rPr>
          <w:b/>
        </w:rPr>
        <w:t>16.</w:t>
      </w:r>
      <w:r w:rsidR="00B9133D">
        <w:t xml:space="preserve">  </w:t>
      </w:r>
      <w:r w:rsidR="00D270DD">
        <w:t xml:space="preserve"> </w:t>
      </w:r>
      <w:r w:rsidRPr="00B9133D">
        <w:rPr>
          <w:b/>
        </w:rPr>
        <w:t xml:space="preserve">Publication </w:t>
      </w:r>
      <w:r w:rsidR="00CB0589" w:rsidRPr="00B9133D">
        <w:rPr>
          <w:b/>
        </w:rPr>
        <w:t xml:space="preserve">/ </w:t>
      </w:r>
      <w:r w:rsidRPr="00B9133D">
        <w:rPr>
          <w:b/>
        </w:rPr>
        <w:t>Tabulation Dates</w:t>
      </w:r>
    </w:p>
    <w:p w:rsidR="0064737B" w:rsidRPr="00AA12FC" w:rsidRDefault="0064737B" w:rsidP="001076CB">
      <w:pPr>
        <w:pStyle w:val="Body1"/>
      </w:pPr>
    </w:p>
    <w:p w:rsidR="0064737B" w:rsidRPr="00AF39D5" w:rsidRDefault="0064737B" w:rsidP="001076CB">
      <w:pPr>
        <w:pStyle w:val="Body1"/>
      </w:pPr>
      <w:r w:rsidRPr="00AF39D5">
        <w:t>CMS does not intend to publish data related to the notices.</w:t>
      </w:r>
    </w:p>
    <w:p w:rsidR="0064737B" w:rsidRPr="00AA12FC" w:rsidRDefault="0064737B" w:rsidP="001076CB">
      <w:pPr>
        <w:pStyle w:val="Body1"/>
      </w:pPr>
    </w:p>
    <w:p w:rsidR="0064737B" w:rsidRPr="00B9133D" w:rsidRDefault="0064737B" w:rsidP="001076CB">
      <w:pPr>
        <w:pStyle w:val="Body1"/>
        <w:rPr>
          <w:b/>
        </w:rPr>
      </w:pPr>
      <w:r w:rsidRPr="009377B3">
        <w:rPr>
          <w:b/>
        </w:rPr>
        <w:t>17.</w:t>
      </w:r>
      <w:r w:rsidR="00B9133D">
        <w:t xml:space="preserve">  </w:t>
      </w:r>
      <w:r w:rsidR="00D270DD">
        <w:t xml:space="preserve"> </w:t>
      </w:r>
      <w:r w:rsidRPr="00B9133D">
        <w:rPr>
          <w:b/>
        </w:rPr>
        <w:t>Expiration Date</w:t>
      </w:r>
    </w:p>
    <w:p w:rsidR="0064737B" w:rsidRPr="00AF39D5" w:rsidRDefault="0064737B" w:rsidP="001076CB">
      <w:pPr>
        <w:pStyle w:val="Body1"/>
        <w:rPr>
          <w:u w:val="single"/>
        </w:rPr>
      </w:pPr>
    </w:p>
    <w:p w:rsidR="0064737B" w:rsidRPr="00AF39D5" w:rsidRDefault="00593C8A" w:rsidP="001076CB">
      <w:pPr>
        <w:pStyle w:val="Body1"/>
      </w:pPr>
      <w:r w:rsidRPr="00AF39D5">
        <w:t>CMS would like to display the expiration date.</w:t>
      </w:r>
    </w:p>
    <w:p w:rsidR="00593C8A" w:rsidRPr="00AA12FC" w:rsidRDefault="00593C8A" w:rsidP="001076CB">
      <w:pPr>
        <w:pStyle w:val="Body1"/>
      </w:pPr>
    </w:p>
    <w:p w:rsidR="0064737B" w:rsidRPr="00AA12FC" w:rsidRDefault="0064737B" w:rsidP="001076CB">
      <w:pPr>
        <w:pStyle w:val="Body1"/>
      </w:pPr>
      <w:r w:rsidRPr="009377B3">
        <w:rPr>
          <w:b/>
        </w:rPr>
        <w:t>18.</w:t>
      </w:r>
      <w:r w:rsidR="00B9133D">
        <w:t xml:space="preserve">  </w:t>
      </w:r>
      <w:r w:rsidR="00D270DD">
        <w:t xml:space="preserve"> </w:t>
      </w:r>
      <w:r w:rsidRPr="00B9133D">
        <w:rPr>
          <w:b/>
        </w:rPr>
        <w:t>Certification Statement</w:t>
      </w:r>
      <w:r w:rsidRPr="00AA12FC">
        <w:t xml:space="preserve"> </w:t>
      </w:r>
    </w:p>
    <w:p w:rsidR="0064737B" w:rsidRPr="00AF39D5" w:rsidRDefault="0064737B" w:rsidP="001076CB">
      <w:pPr>
        <w:pStyle w:val="Body1"/>
      </w:pPr>
    </w:p>
    <w:p w:rsidR="0064737B" w:rsidRPr="0056364A" w:rsidRDefault="0064737B" w:rsidP="001076CB">
      <w:pPr>
        <w:pStyle w:val="Body1"/>
      </w:pPr>
      <w:r w:rsidRPr="00AF39D5">
        <w:t xml:space="preserve">No exception to any section of the </w:t>
      </w:r>
      <w:proofErr w:type="spellStart"/>
      <w:r w:rsidRPr="00AF39D5">
        <w:t>83</w:t>
      </w:r>
      <w:r w:rsidR="00D52970">
        <w:t>i</w:t>
      </w:r>
      <w:proofErr w:type="spellEnd"/>
      <w:r w:rsidRPr="00AF39D5">
        <w:t xml:space="preserve"> is requested.</w:t>
      </w:r>
    </w:p>
    <w:p w:rsidR="0064737B" w:rsidRPr="0056364A" w:rsidRDefault="0064737B" w:rsidP="001076CB">
      <w:pPr>
        <w:pStyle w:val="Body1"/>
      </w:pPr>
    </w:p>
    <w:p w:rsidR="00AC292B" w:rsidRPr="00AC292B" w:rsidRDefault="00AC292B" w:rsidP="00AC292B">
      <w:pPr>
        <w:pStyle w:val="Body1"/>
        <w:rPr>
          <w:b/>
          <w:u w:val="single"/>
        </w:rPr>
      </w:pPr>
      <w:r w:rsidRPr="00AC292B">
        <w:rPr>
          <w:b/>
          <w:u w:val="single"/>
        </w:rPr>
        <w:t>B</w:t>
      </w:r>
      <w:r w:rsidRPr="00AC292B">
        <w:rPr>
          <w:b/>
          <w:u w:val="single"/>
        </w:rPr>
        <w:t>.</w:t>
      </w:r>
      <w:r w:rsidRPr="00AC292B">
        <w:rPr>
          <w:b/>
          <w:u w:val="single"/>
        </w:rPr>
        <w:tab/>
        <w:t>Collection of Information Employing Statistical Methods</w:t>
      </w:r>
    </w:p>
    <w:p w:rsidR="00AC292B" w:rsidRDefault="00AC292B" w:rsidP="00AC292B">
      <w:pPr>
        <w:pStyle w:val="Body1"/>
      </w:pPr>
    </w:p>
    <w:p w:rsidR="0064737B" w:rsidRDefault="00AC292B" w:rsidP="00AC292B">
      <w:pPr>
        <w:pStyle w:val="Body1"/>
      </w:pPr>
      <w:r>
        <w:t>N/A</w:t>
      </w:r>
    </w:p>
    <w:p w:rsidR="00B6339E" w:rsidRPr="0056364A" w:rsidRDefault="00B6339E" w:rsidP="001076CB">
      <w:pPr>
        <w:pStyle w:val="Body1"/>
      </w:pPr>
    </w:p>
    <w:sectPr w:rsidR="00B6339E" w:rsidRPr="0056364A" w:rsidSect="0056364A">
      <w:footerReference w:type="default" r:id="rId10"/>
      <w:endnotePr>
        <w:numFmt w:val="decimal"/>
      </w:endnotePr>
      <w:type w:val="continuous"/>
      <w:pgSz w:w="12240" w:h="15840"/>
      <w:pgMar w:top="1440" w:right="1440" w:bottom="1440" w:left="1440" w:header="1440" w:footer="93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0C3" w:rsidRDefault="003D60C3">
      <w:r>
        <w:separator/>
      </w:r>
    </w:p>
  </w:endnote>
  <w:endnote w:type="continuationSeparator" w:id="0">
    <w:p w:rsidR="003D60C3" w:rsidRDefault="003D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E2" w:rsidRDefault="00A603E2" w:rsidP="00064087">
    <w:pPr>
      <w:ind w:right="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0C3" w:rsidRDefault="003D60C3">
      <w:r>
        <w:separator/>
      </w:r>
    </w:p>
  </w:footnote>
  <w:footnote w:type="continuationSeparator" w:id="0">
    <w:p w:rsidR="003D60C3" w:rsidRDefault="003D6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0AE"/>
    <w:multiLevelType w:val="hybridMultilevel"/>
    <w:tmpl w:val="D87242C6"/>
    <w:lvl w:ilvl="0" w:tplc="98E05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9B51EA6"/>
    <w:multiLevelType w:val="hybridMultilevel"/>
    <w:tmpl w:val="84A2D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E1878"/>
    <w:multiLevelType w:val="hybridMultilevel"/>
    <w:tmpl w:val="4A3EC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32158"/>
    <w:multiLevelType w:val="hybridMultilevel"/>
    <w:tmpl w:val="1D5C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C3601"/>
    <w:multiLevelType w:val="hybridMultilevel"/>
    <w:tmpl w:val="A47E0096"/>
    <w:lvl w:ilvl="0" w:tplc="D81C2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F7F6C"/>
    <w:multiLevelType w:val="hybridMultilevel"/>
    <w:tmpl w:val="DB20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720D0"/>
    <w:multiLevelType w:val="hybridMultilevel"/>
    <w:tmpl w:val="E73CAC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A67688"/>
    <w:multiLevelType w:val="hybridMultilevel"/>
    <w:tmpl w:val="3B84B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AB1846"/>
    <w:multiLevelType w:val="hybridMultilevel"/>
    <w:tmpl w:val="A1085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665EC3"/>
    <w:multiLevelType w:val="hybridMultilevel"/>
    <w:tmpl w:val="962469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566CEB"/>
    <w:multiLevelType w:val="hybridMultilevel"/>
    <w:tmpl w:val="10D8A3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1"/>
  </w:num>
  <w:num w:numId="4">
    <w:abstractNumId w:val="6"/>
  </w:num>
  <w:num w:numId="5">
    <w:abstractNumId w:val="0"/>
  </w:num>
  <w:num w:numId="6">
    <w:abstractNumId w:val="3"/>
  </w:num>
  <w:num w:numId="7">
    <w:abstractNumId w:val="4"/>
  </w:num>
  <w:num w:numId="8">
    <w:abstractNumId w:val="1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5"/>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2A"/>
    <w:rsid w:val="000006AA"/>
    <w:rsid w:val="00004963"/>
    <w:rsid w:val="000158C8"/>
    <w:rsid w:val="000220BD"/>
    <w:rsid w:val="00023163"/>
    <w:rsid w:val="00025C2F"/>
    <w:rsid w:val="00027B17"/>
    <w:rsid w:val="0003191A"/>
    <w:rsid w:val="00035990"/>
    <w:rsid w:val="0004397E"/>
    <w:rsid w:val="00051EDE"/>
    <w:rsid w:val="00053239"/>
    <w:rsid w:val="000628D6"/>
    <w:rsid w:val="00064087"/>
    <w:rsid w:val="00070361"/>
    <w:rsid w:val="00083A44"/>
    <w:rsid w:val="00090458"/>
    <w:rsid w:val="000935D7"/>
    <w:rsid w:val="0009384F"/>
    <w:rsid w:val="00095A4D"/>
    <w:rsid w:val="00097372"/>
    <w:rsid w:val="000A3732"/>
    <w:rsid w:val="000B1787"/>
    <w:rsid w:val="000B3198"/>
    <w:rsid w:val="000B44BA"/>
    <w:rsid w:val="000C4669"/>
    <w:rsid w:val="000C65BB"/>
    <w:rsid w:val="000C761F"/>
    <w:rsid w:val="000D388C"/>
    <w:rsid w:val="000D5A12"/>
    <w:rsid w:val="000E1FE7"/>
    <w:rsid w:val="000F3778"/>
    <w:rsid w:val="00105D79"/>
    <w:rsid w:val="001076CB"/>
    <w:rsid w:val="001318D3"/>
    <w:rsid w:val="00145AD8"/>
    <w:rsid w:val="00160658"/>
    <w:rsid w:val="00166B16"/>
    <w:rsid w:val="00173AF9"/>
    <w:rsid w:val="0017564B"/>
    <w:rsid w:val="00176A15"/>
    <w:rsid w:val="001859FB"/>
    <w:rsid w:val="001938AC"/>
    <w:rsid w:val="00196E64"/>
    <w:rsid w:val="001A03C6"/>
    <w:rsid w:val="001A0513"/>
    <w:rsid w:val="001A53B0"/>
    <w:rsid w:val="001B0837"/>
    <w:rsid w:val="001B4DD7"/>
    <w:rsid w:val="001B669C"/>
    <w:rsid w:val="001B7371"/>
    <w:rsid w:val="001B74A8"/>
    <w:rsid w:val="001C1343"/>
    <w:rsid w:val="001C3789"/>
    <w:rsid w:val="001C5120"/>
    <w:rsid w:val="001D1EFC"/>
    <w:rsid w:val="001D20C8"/>
    <w:rsid w:val="001D239B"/>
    <w:rsid w:val="001F2FA7"/>
    <w:rsid w:val="001F33A0"/>
    <w:rsid w:val="001F636E"/>
    <w:rsid w:val="002042FD"/>
    <w:rsid w:val="002048CE"/>
    <w:rsid w:val="00206CFB"/>
    <w:rsid w:val="00210F73"/>
    <w:rsid w:val="002127E7"/>
    <w:rsid w:val="00212842"/>
    <w:rsid w:val="00213A4A"/>
    <w:rsid w:val="00214767"/>
    <w:rsid w:val="00216EEF"/>
    <w:rsid w:val="00223472"/>
    <w:rsid w:val="002259FA"/>
    <w:rsid w:val="00225E59"/>
    <w:rsid w:val="00235CE5"/>
    <w:rsid w:val="00246B0D"/>
    <w:rsid w:val="00256E72"/>
    <w:rsid w:val="00270775"/>
    <w:rsid w:val="00275B17"/>
    <w:rsid w:val="0027784D"/>
    <w:rsid w:val="00282ECB"/>
    <w:rsid w:val="00283912"/>
    <w:rsid w:val="00284011"/>
    <w:rsid w:val="00284E9B"/>
    <w:rsid w:val="002951A1"/>
    <w:rsid w:val="002A0424"/>
    <w:rsid w:val="002B3E56"/>
    <w:rsid w:val="002C6E25"/>
    <w:rsid w:val="002E0DD7"/>
    <w:rsid w:val="002E61C1"/>
    <w:rsid w:val="002F3BE3"/>
    <w:rsid w:val="002F61F9"/>
    <w:rsid w:val="002F64EF"/>
    <w:rsid w:val="00302330"/>
    <w:rsid w:val="00304DFD"/>
    <w:rsid w:val="003102F5"/>
    <w:rsid w:val="00320CEF"/>
    <w:rsid w:val="00323840"/>
    <w:rsid w:val="00333AA4"/>
    <w:rsid w:val="00341556"/>
    <w:rsid w:val="00341E43"/>
    <w:rsid w:val="00343C24"/>
    <w:rsid w:val="00347E50"/>
    <w:rsid w:val="00361A8C"/>
    <w:rsid w:val="00363433"/>
    <w:rsid w:val="00377EF0"/>
    <w:rsid w:val="00380CC0"/>
    <w:rsid w:val="00383FAF"/>
    <w:rsid w:val="00385A17"/>
    <w:rsid w:val="003961A4"/>
    <w:rsid w:val="003A4751"/>
    <w:rsid w:val="003A6652"/>
    <w:rsid w:val="003B090F"/>
    <w:rsid w:val="003B3707"/>
    <w:rsid w:val="003B67D6"/>
    <w:rsid w:val="003C4301"/>
    <w:rsid w:val="003D2FC4"/>
    <w:rsid w:val="003D30FF"/>
    <w:rsid w:val="003D3C2D"/>
    <w:rsid w:val="003D60C3"/>
    <w:rsid w:val="003E19D6"/>
    <w:rsid w:val="003E25DD"/>
    <w:rsid w:val="003E575C"/>
    <w:rsid w:val="003F3DF5"/>
    <w:rsid w:val="00401FFE"/>
    <w:rsid w:val="00405D84"/>
    <w:rsid w:val="004077BF"/>
    <w:rsid w:val="004104BD"/>
    <w:rsid w:val="0041427C"/>
    <w:rsid w:val="004176D8"/>
    <w:rsid w:val="00417D91"/>
    <w:rsid w:val="00421DF2"/>
    <w:rsid w:val="00433169"/>
    <w:rsid w:val="004342E9"/>
    <w:rsid w:val="0043460A"/>
    <w:rsid w:val="0044117A"/>
    <w:rsid w:val="00441747"/>
    <w:rsid w:val="004424EF"/>
    <w:rsid w:val="00444BFC"/>
    <w:rsid w:val="00446615"/>
    <w:rsid w:val="00451678"/>
    <w:rsid w:val="00463BF2"/>
    <w:rsid w:val="004655DC"/>
    <w:rsid w:val="004662DB"/>
    <w:rsid w:val="00467B04"/>
    <w:rsid w:val="004906B9"/>
    <w:rsid w:val="00490843"/>
    <w:rsid w:val="004A6643"/>
    <w:rsid w:val="004B61F5"/>
    <w:rsid w:val="004C41EB"/>
    <w:rsid w:val="004D12E4"/>
    <w:rsid w:val="004E4E3A"/>
    <w:rsid w:val="004E77A7"/>
    <w:rsid w:val="004F1531"/>
    <w:rsid w:val="004F1872"/>
    <w:rsid w:val="004F1C61"/>
    <w:rsid w:val="0050119B"/>
    <w:rsid w:val="00504A34"/>
    <w:rsid w:val="00510618"/>
    <w:rsid w:val="00510863"/>
    <w:rsid w:val="00511A9C"/>
    <w:rsid w:val="00517FD4"/>
    <w:rsid w:val="005236CA"/>
    <w:rsid w:val="00532546"/>
    <w:rsid w:val="00536E8C"/>
    <w:rsid w:val="005448D0"/>
    <w:rsid w:val="00546642"/>
    <w:rsid w:val="0054692A"/>
    <w:rsid w:val="0056364A"/>
    <w:rsid w:val="005637F5"/>
    <w:rsid w:val="00580E29"/>
    <w:rsid w:val="005832F7"/>
    <w:rsid w:val="00584176"/>
    <w:rsid w:val="00593C8A"/>
    <w:rsid w:val="00597A49"/>
    <w:rsid w:val="005A0C48"/>
    <w:rsid w:val="005A0CE3"/>
    <w:rsid w:val="005A6918"/>
    <w:rsid w:val="005A7248"/>
    <w:rsid w:val="005B7205"/>
    <w:rsid w:val="005C51E0"/>
    <w:rsid w:val="005D64A6"/>
    <w:rsid w:val="005E2691"/>
    <w:rsid w:val="0061295D"/>
    <w:rsid w:val="00613AA3"/>
    <w:rsid w:val="0061481E"/>
    <w:rsid w:val="006247AC"/>
    <w:rsid w:val="00630DE0"/>
    <w:rsid w:val="006328DA"/>
    <w:rsid w:val="006341CE"/>
    <w:rsid w:val="00635ADD"/>
    <w:rsid w:val="0063742B"/>
    <w:rsid w:val="006378D6"/>
    <w:rsid w:val="006422BF"/>
    <w:rsid w:val="00642C19"/>
    <w:rsid w:val="0064737B"/>
    <w:rsid w:val="00672BEB"/>
    <w:rsid w:val="00676E70"/>
    <w:rsid w:val="00687095"/>
    <w:rsid w:val="00691810"/>
    <w:rsid w:val="00692B94"/>
    <w:rsid w:val="0069532F"/>
    <w:rsid w:val="006A06C3"/>
    <w:rsid w:val="006C157C"/>
    <w:rsid w:val="006C42F8"/>
    <w:rsid w:val="006C7E78"/>
    <w:rsid w:val="006D0B48"/>
    <w:rsid w:val="006E21D0"/>
    <w:rsid w:val="006E305A"/>
    <w:rsid w:val="006E3455"/>
    <w:rsid w:val="00704233"/>
    <w:rsid w:val="00706A1A"/>
    <w:rsid w:val="00712634"/>
    <w:rsid w:val="00713104"/>
    <w:rsid w:val="007241E6"/>
    <w:rsid w:val="00740740"/>
    <w:rsid w:val="00741D38"/>
    <w:rsid w:val="00745776"/>
    <w:rsid w:val="00746C93"/>
    <w:rsid w:val="0074710F"/>
    <w:rsid w:val="00751B71"/>
    <w:rsid w:val="0076283B"/>
    <w:rsid w:val="007702A9"/>
    <w:rsid w:val="00773669"/>
    <w:rsid w:val="007A0F03"/>
    <w:rsid w:val="007A27AB"/>
    <w:rsid w:val="007A5230"/>
    <w:rsid w:val="007A788A"/>
    <w:rsid w:val="007B5F8F"/>
    <w:rsid w:val="007B6593"/>
    <w:rsid w:val="007C38E7"/>
    <w:rsid w:val="007D28D9"/>
    <w:rsid w:val="007D3E1B"/>
    <w:rsid w:val="007D73BD"/>
    <w:rsid w:val="007E2491"/>
    <w:rsid w:val="007E787C"/>
    <w:rsid w:val="007F72E0"/>
    <w:rsid w:val="008044AE"/>
    <w:rsid w:val="008124FB"/>
    <w:rsid w:val="008164F3"/>
    <w:rsid w:val="00823E4E"/>
    <w:rsid w:val="00837BB9"/>
    <w:rsid w:val="00837BDF"/>
    <w:rsid w:val="00837CF7"/>
    <w:rsid w:val="0084040E"/>
    <w:rsid w:val="008428FE"/>
    <w:rsid w:val="00846AD4"/>
    <w:rsid w:val="00847A8A"/>
    <w:rsid w:val="00852AD7"/>
    <w:rsid w:val="00864A49"/>
    <w:rsid w:val="0086627E"/>
    <w:rsid w:val="008710C2"/>
    <w:rsid w:val="00871FB9"/>
    <w:rsid w:val="008735EE"/>
    <w:rsid w:val="00875DE6"/>
    <w:rsid w:val="00876511"/>
    <w:rsid w:val="008A1494"/>
    <w:rsid w:val="008A3445"/>
    <w:rsid w:val="008B034A"/>
    <w:rsid w:val="008B1175"/>
    <w:rsid w:val="008B37AF"/>
    <w:rsid w:val="008B7771"/>
    <w:rsid w:val="008C5084"/>
    <w:rsid w:val="008E27D7"/>
    <w:rsid w:val="008E4969"/>
    <w:rsid w:val="008E53C1"/>
    <w:rsid w:val="008E59A1"/>
    <w:rsid w:val="008F0816"/>
    <w:rsid w:val="008F196D"/>
    <w:rsid w:val="008F507F"/>
    <w:rsid w:val="008F54D9"/>
    <w:rsid w:val="008F646A"/>
    <w:rsid w:val="009040FD"/>
    <w:rsid w:val="00906E54"/>
    <w:rsid w:val="0090730B"/>
    <w:rsid w:val="00911201"/>
    <w:rsid w:val="00911792"/>
    <w:rsid w:val="0092007D"/>
    <w:rsid w:val="00922B39"/>
    <w:rsid w:val="00924970"/>
    <w:rsid w:val="009252B5"/>
    <w:rsid w:val="009254BD"/>
    <w:rsid w:val="009332E8"/>
    <w:rsid w:val="009377B3"/>
    <w:rsid w:val="00937EBD"/>
    <w:rsid w:val="00940F72"/>
    <w:rsid w:val="00947211"/>
    <w:rsid w:val="0098431F"/>
    <w:rsid w:val="00985035"/>
    <w:rsid w:val="00992CEC"/>
    <w:rsid w:val="009954ED"/>
    <w:rsid w:val="00995CA2"/>
    <w:rsid w:val="009A26EF"/>
    <w:rsid w:val="009A678F"/>
    <w:rsid w:val="009A68AB"/>
    <w:rsid w:val="009A6FD7"/>
    <w:rsid w:val="009A7D7D"/>
    <w:rsid w:val="009D08CF"/>
    <w:rsid w:val="009E028C"/>
    <w:rsid w:val="009F0D09"/>
    <w:rsid w:val="009F3122"/>
    <w:rsid w:val="009F727E"/>
    <w:rsid w:val="009F7DEF"/>
    <w:rsid w:val="00A10AEC"/>
    <w:rsid w:val="00A1275F"/>
    <w:rsid w:val="00A1689E"/>
    <w:rsid w:val="00A16950"/>
    <w:rsid w:val="00A16E23"/>
    <w:rsid w:val="00A26F1C"/>
    <w:rsid w:val="00A300FF"/>
    <w:rsid w:val="00A302C3"/>
    <w:rsid w:val="00A31C43"/>
    <w:rsid w:val="00A4117F"/>
    <w:rsid w:val="00A43D22"/>
    <w:rsid w:val="00A47CFE"/>
    <w:rsid w:val="00A603E2"/>
    <w:rsid w:val="00A60AE0"/>
    <w:rsid w:val="00A6182D"/>
    <w:rsid w:val="00A63B65"/>
    <w:rsid w:val="00A72176"/>
    <w:rsid w:val="00A7286A"/>
    <w:rsid w:val="00A80A66"/>
    <w:rsid w:val="00A81543"/>
    <w:rsid w:val="00A83EA1"/>
    <w:rsid w:val="00A84D3E"/>
    <w:rsid w:val="00A879A5"/>
    <w:rsid w:val="00A94A86"/>
    <w:rsid w:val="00AA12FC"/>
    <w:rsid w:val="00AA3DF6"/>
    <w:rsid w:val="00AC122C"/>
    <w:rsid w:val="00AC292B"/>
    <w:rsid w:val="00AD0815"/>
    <w:rsid w:val="00AD44D2"/>
    <w:rsid w:val="00AE010F"/>
    <w:rsid w:val="00AE2830"/>
    <w:rsid w:val="00AE3837"/>
    <w:rsid w:val="00AE61A1"/>
    <w:rsid w:val="00AE6614"/>
    <w:rsid w:val="00AE7FED"/>
    <w:rsid w:val="00AF39D5"/>
    <w:rsid w:val="00B03118"/>
    <w:rsid w:val="00B0438B"/>
    <w:rsid w:val="00B05396"/>
    <w:rsid w:val="00B23997"/>
    <w:rsid w:val="00B27A6F"/>
    <w:rsid w:val="00B319D8"/>
    <w:rsid w:val="00B3609B"/>
    <w:rsid w:val="00B62879"/>
    <w:rsid w:val="00B6339E"/>
    <w:rsid w:val="00B637A0"/>
    <w:rsid w:val="00B6639C"/>
    <w:rsid w:val="00B66A20"/>
    <w:rsid w:val="00B712DB"/>
    <w:rsid w:val="00B73244"/>
    <w:rsid w:val="00B752C7"/>
    <w:rsid w:val="00B8491C"/>
    <w:rsid w:val="00B90DC2"/>
    <w:rsid w:val="00B9133D"/>
    <w:rsid w:val="00B924C2"/>
    <w:rsid w:val="00B92F2D"/>
    <w:rsid w:val="00BA7948"/>
    <w:rsid w:val="00BB017A"/>
    <w:rsid w:val="00BB521A"/>
    <w:rsid w:val="00BC1C8C"/>
    <w:rsid w:val="00BC77D8"/>
    <w:rsid w:val="00BE4283"/>
    <w:rsid w:val="00BF3255"/>
    <w:rsid w:val="00C00000"/>
    <w:rsid w:val="00C0009F"/>
    <w:rsid w:val="00C104EA"/>
    <w:rsid w:val="00C32D1E"/>
    <w:rsid w:val="00C36D4D"/>
    <w:rsid w:val="00C42CF2"/>
    <w:rsid w:val="00C42F21"/>
    <w:rsid w:val="00C445EE"/>
    <w:rsid w:val="00C4608B"/>
    <w:rsid w:val="00C4782B"/>
    <w:rsid w:val="00C5087D"/>
    <w:rsid w:val="00C6033C"/>
    <w:rsid w:val="00C74D3C"/>
    <w:rsid w:val="00C762D9"/>
    <w:rsid w:val="00C76454"/>
    <w:rsid w:val="00C77DE0"/>
    <w:rsid w:val="00C80AA6"/>
    <w:rsid w:val="00C903AD"/>
    <w:rsid w:val="00C927EF"/>
    <w:rsid w:val="00C95C22"/>
    <w:rsid w:val="00CA1CC0"/>
    <w:rsid w:val="00CA3814"/>
    <w:rsid w:val="00CA38E6"/>
    <w:rsid w:val="00CA67BF"/>
    <w:rsid w:val="00CA725B"/>
    <w:rsid w:val="00CB0589"/>
    <w:rsid w:val="00CB1F8A"/>
    <w:rsid w:val="00CB20DB"/>
    <w:rsid w:val="00CB2A7B"/>
    <w:rsid w:val="00CC6004"/>
    <w:rsid w:val="00CD0714"/>
    <w:rsid w:val="00CE0383"/>
    <w:rsid w:val="00CE21A8"/>
    <w:rsid w:val="00CE496F"/>
    <w:rsid w:val="00CE5E20"/>
    <w:rsid w:val="00CF3A6B"/>
    <w:rsid w:val="00CF70C9"/>
    <w:rsid w:val="00D04F00"/>
    <w:rsid w:val="00D0781F"/>
    <w:rsid w:val="00D12620"/>
    <w:rsid w:val="00D135C1"/>
    <w:rsid w:val="00D22DD2"/>
    <w:rsid w:val="00D265D0"/>
    <w:rsid w:val="00D270DD"/>
    <w:rsid w:val="00D40758"/>
    <w:rsid w:val="00D52970"/>
    <w:rsid w:val="00D55DED"/>
    <w:rsid w:val="00D609B9"/>
    <w:rsid w:val="00D7168D"/>
    <w:rsid w:val="00D7221C"/>
    <w:rsid w:val="00D732C2"/>
    <w:rsid w:val="00D819DE"/>
    <w:rsid w:val="00D81A40"/>
    <w:rsid w:val="00D83F40"/>
    <w:rsid w:val="00D932CC"/>
    <w:rsid w:val="00D93829"/>
    <w:rsid w:val="00DA0591"/>
    <w:rsid w:val="00DA0BDF"/>
    <w:rsid w:val="00DB0AE8"/>
    <w:rsid w:val="00DB3B81"/>
    <w:rsid w:val="00DC0EAC"/>
    <w:rsid w:val="00DC5868"/>
    <w:rsid w:val="00DC7893"/>
    <w:rsid w:val="00DD0988"/>
    <w:rsid w:val="00DD2885"/>
    <w:rsid w:val="00DD53BA"/>
    <w:rsid w:val="00DE307F"/>
    <w:rsid w:val="00DE744D"/>
    <w:rsid w:val="00DE753F"/>
    <w:rsid w:val="00E03C99"/>
    <w:rsid w:val="00E1316E"/>
    <w:rsid w:val="00E1334A"/>
    <w:rsid w:val="00E21D05"/>
    <w:rsid w:val="00E3365A"/>
    <w:rsid w:val="00E404B4"/>
    <w:rsid w:val="00E42C53"/>
    <w:rsid w:val="00E46792"/>
    <w:rsid w:val="00E47CF4"/>
    <w:rsid w:val="00E529F1"/>
    <w:rsid w:val="00E547C1"/>
    <w:rsid w:val="00E563F6"/>
    <w:rsid w:val="00E57092"/>
    <w:rsid w:val="00E62BDF"/>
    <w:rsid w:val="00E64A49"/>
    <w:rsid w:val="00E65859"/>
    <w:rsid w:val="00E659F8"/>
    <w:rsid w:val="00E74B36"/>
    <w:rsid w:val="00E93F82"/>
    <w:rsid w:val="00E9736D"/>
    <w:rsid w:val="00EA3028"/>
    <w:rsid w:val="00EA4F80"/>
    <w:rsid w:val="00EB4F55"/>
    <w:rsid w:val="00ED22F4"/>
    <w:rsid w:val="00EE2719"/>
    <w:rsid w:val="00EE7B01"/>
    <w:rsid w:val="00EF0EF9"/>
    <w:rsid w:val="00EF2311"/>
    <w:rsid w:val="00EF3A7E"/>
    <w:rsid w:val="00F00F93"/>
    <w:rsid w:val="00F029C7"/>
    <w:rsid w:val="00F229F5"/>
    <w:rsid w:val="00F23AD3"/>
    <w:rsid w:val="00F25659"/>
    <w:rsid w:val="00F33D93"/>
    <w:rsid w:val="00F40B3F"/>
    <w:rsid w:val="00F453D8"/>
    <w:rsid w:val="00F5230A"/>
    <w:rsid w:val="00F628C0"/>
    <w:rsid w:val="00F631F5"/>
    <w:rsid w:val="00F65960"/>
    <w:rsid w:val="00F751C1"/>
    <w:rsid w:val="00F84598"/>
    <w:rsid w:val="00FB26C4"/>
    <w:rsid w:val="00FC2CC0"/>
    <w:rsid w:val="00FC53E0"/>
    <w:rsid w:val="00FD0FF7"/>
    <w:rsid w:val="00FE42FC"/>
    <w:rsid w:val="00FE4B50"/>
    <w:rsid w:val="00FF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B0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7B04"/>
  </w:style>
  <w:style w:type="paragraph" w:styleId="Header">
    <w:name w:val="header"/>
    <w:basedOn w:val="Normal"/>
    <w:rsid w:val="00467B04"/>
    <w:pPr>
      <w:tabs>
        <w:tab w:val="center" w:pos="4320"/>
        <w:tab w:val="right" w:pos="8640"/>
      </w:tabs>
    </w:pPr>
  </w:style>
  <w:style w:type="paragraph" w:styleId="Footer">
    <w:name w:val="footer"/>
    <w:basedOn w:val="Normal"/>
    <w:link w:val="FooterChar"/>
    <w:uiPriority w:val="99"/>
    <w:rsid w:val="00467B04"/>
    <w:pPr>
      <w:tabs>
        <w:tab w:val="center" w:pos="4320"/>
        <w:tab w:val="right" w:pos="8640"/>
      </w:tabs>
    </w:pPr>
  </w:style>
  <w:style w:type="paragraph" w:styleId="BalloonText">
    <w:name w:val="Balloon Text"/>
    <w:basedOn w:val="Normal"/>
    <w:semiHidden/>
    <w:rsid w:val="0054692A"/>
    <w:rPr>
      <w:rFonts w:ascii="Tahoma" w:hAnsi="Tahoma" w:cs="Tahoma"/>
      <w:sz w:val="16"/>
      <w:szCs w:val="16"/>
    </w:rPr>
  </w:style>
  <w:style w:type="paragraph" w:styleId="FootnoteText">
    <w:name w:val="footnote text"/>
    <w:basedOn w:val="Normal"/>
    <w:semiHidden/>
    <w:rsid w:val="00CE496F"/>
    <w:rPr>
      <w:szCs w:val="20"/>
    </w:rPr>
  </w:style>
  <w:style w:type="character" w:styleId="Strong">
    <w:name w:val="Strong"/>
    <w:basedOn w:val="DefaultParagraphFont"/>
    <w:qFormat/>
    <w:rsid w:val="00A4117F"/>
    <w:rPr>
      <w:b/>
      <w:bCs/>
    </w:rPr>
  </w:style>
  <w:style w:type="character" w:styleId="CommentReference">
    <w:name w:val="annotation reference"/>
    <w:basedOn w:val="DefaultParagraphFont"/>
    <w:semiHidden/>
    <w:rsid w:val="003C4301"/>
    <w:rPr>
      <w:sz w:val="16"/>
      <w:szCs w:val="16"/>
    </w:rPr>
  </w:style>
  <w:style w:type="paragraph" w:styleId="CommentText">
    <w:name w:val="annotation text"/>
    <w:basedOn w:val="Normal"/>
    <w:semiHidden/>
    <w:rsid w:val="003C4301"/>
    <w:rPr>
      <w:szCs w:val="20"/>
    </w:rPr>
  </w:style>
  <w:style w:type="paragraph" w:styleId="CommentSubject">
    <w:name w:val="annotation subject"/>
    <w:basedOn w:val="CommentText"/>
    <w:next w:val="CommentText"/>
    <w:semiHidden/>
    <w:rsid w:val="003C4301"/>
    <w:rPr>
      <w:b/>
      <w:bCs/>
    </w:rPr>
  </w:style>
  <w:style w:type="character" w:styleId="Hyperlink">
    <w:name w:val="Hyperlink"/>
    <w:basedOn w:val="DefaultParagraphFont"/>
    <w:rsid w:val="009A26EF"/>
    <w:rPr>
      <w:color w:val="0000FF"/>
      <w:u w:val="single"/>
    </w:rPr>
  </w:style>
  <w:style w:type="character" w:customStyle="1" w:styleId="FooterChar">
    <w:name w:val="Footer Char"/>
    <w:basedOn w:val="DefaultParagraphFont"/>
    <w:link w:val="Footer"/>
    <w:uiPriority w:val="99"/>
    <w:rsid w:val="00B62879"/>
    <w:rPr>
      <w:szCs w:val="24"/>
    </w:rPr>
  </w:style>
  <w:style w:type="paragraph" w:customStyle="1" w:styleId="Header1">
    <w:name w:val="Header 1"/>
    <w:basedOn w:val="Normal"/>
    <w:qFormat/>
    <w:rsid w:val="00AA1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sz w:val="24"/>
    </w:rPr>
  </w:style>
  <w:style w:type="paragraph" w:styleId="EndnoteText">
    <w:name w:val="endnote text"/>
    <w:basedOn w:val="Normal"/>
    <w:link w:val="EndnoteTextChar"/>
    <w:rsid w:val="00E659F8"/>
    <w:rPr>
      <w:szCs w:val="20"/>
    </w:rPr>
  </w:style>
  <w:style w:type="character" w:customStyle="1" w:styleId="EndnoteTextChar">
    <w:name w:val="Endnote Text Char"/>
    <w:basedOn w:val="DefaultParagraphFont"/>
    <w:link w:val="EndnoteText"/>
    <w:rsid w:val="00E659F8"/>
  </w:style>
  <w:style w:type="character" w:styleId="EndnoteReference">
    <w:name w:val="endnote reference"/>
    <w:basedOn w:val="DefaultParagraphFont"/>
    <w:rsid w:val="00E659F8"/>
    <w:rPr>
      <w:vertAlign w:val="superscript"/>
    </w:rPr>
  </w:style>
  <w:style w:type="character" w:styleId="FollowedHyperlink">
    <w:name w:val="FollowedHyperlink"/>
    <w:basedOn w:val="DefaultParagraphFont"/>
    <w:rsid w:val="000A3732"/>
    <w:rPr>
      <w:color w:val="800080"/>
      <w:u w:val="single"/>
    </w:rPr>
  </w:style>
  <w:style w:type="paragraph" w:customStyle="1" w:styleId="Body1">
    <w:name w:val="Body 1"/>
    <w:basedOn w:val="Normal"/>
    <w:qFormat/>
    <w:rsid w:val="00AA3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bCs/>
      <w:sz w:val="24"/>
    </w:rPr>
  </w:style>
  <w:style w:type="paragraph" w:customStyle="1" w:styleId="Body2">
    <w:name w:val="Body 2"/>
    <w:basedOn w:val="Body1"/>
    <w:qFormat/>
    <w:rsid w:val="00AA3DF6"/>
  </w:style>
  <w:style w:type="paragraph" w:customStyle="1" w:styleId="Body3">
    <w:name w:val="Body 3"/>
    <w:basedOn w:val="FootnoteText"/>
    <w:qFormat/>
    <w:rsid w:val="00AA3DF6"/>
    <w:pPr>
      <w:tabs>
        <w:tab w:val="left" w:pos="8640"/>
      </w:tabs>
      <w:ind w:left="1080" w:right="720"/>
    </w:pPr>
    <w:rPr>
      <w:rFonts w:ascii="Arial" w:hAnsi="Arial" w:cs="Arial"/>
      <w:sz w:val="24"/>
      <w:szCs w:val="24"/>
    </w:rPr>
  </w:style>
  <w:style w:type="paragraph" w:customStyle="1" w:styleId="Body4">
    <w:name w:val="Body 4"/>
    <w:basedOn w:val="FootnoteText"/>
    <w:qFormat/>
    <w:rsid w:val="00AA3DF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B0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7B04"/>
  </w:style>
  <w:style w:type="paragraph" w:styleId="Header">
    <w:name w:val="header"/>
    <w:basedOn w:val="Normal"/>
    <w:rsid w:val="00467B04"/>
    <w:pPr>
      <w:tabs>
        <w:tab w:val="center" w:pos="4320"/>
        <w:tab w:val="right" w:pos="8640"/>
      </w:tabs>
    </w:pPr>
  </w:style>
  <w:style w:type="paragraph" w:styleId="Footer">
    <w:name w:val="footer"/>
    <w:basedOn w:val="Normal"/>
    <w:link w:val="FooterChar"/>
    <w:uiPriority w:val="99"/>
    <w:rsid w:val="00467B04"/>
    <w:pPr>
      <w:tabs>
        <w:tab w:val="center" w:pos="4320"/>
        <w:tab w:val="right" w:pos="8640"/>
      </w:tabs>
    </w:pPr>
  </w:style>
  <w:style w:type="paragraph" w:styleId="BalloonText">
    <w:name w:val="Balloon Text"/>
    <w:basedOn w:val="Normal"/>
    <w:semiHidden/>
    <w:rsid w:val="0054692A"/>
    <w:rPr>
      <w:rFonts w:ascii="Tahoma" w:hAnsi="Tahoma" w:cs="Tahoma"/>
      <w:sz w:val="16"/>
      <w:szCs w:val="16"/>
    </w:rPr>
  </w:style>
  <w:style w:type="paragraph" w:styleId="FootnoteText">
    <w:name w:val="footnote text"/>
    <w:basedOn w:val="Normal"/>
    <w:semiHidden/>
    <w:rsid w:val="00CE496F"/>
    <w:rPr>
      <w:szCs w:val="20"/>
    </w:rPr>
  </w:style>
  <w:style w:type="character" w:styleId="Strong">
    <w:name w:val="Strong"/>
    <w:basedOn w:val="DefaultParagraphFont"/>
    <w:qFormat/>
    <w:rsid w:val="00A4117F"/>
    <w:rPr>
      <w:b/>
      <w:bCs/>
    </w:rPr>
  </w:style>
  <w:style w:type="character" w:styleId="CommentReference">
    <w:name w:val="annotation reference"/>
    <w:basedOn w:val="DefaultParagraphFont"/>
    <w:semiHidden/>
    <w:rsid w:val="003C4301"/>
    <w:rPr>
      <w:sz w:val="16"/>
      <w:szCs w:val="16"/>
    </w:rPr>
  </w:style>
  <w:style w:type="paragraph" w:styleId="CommentText">
    <w:name w:val="annotation text"/>
    <w:basedOn w:val="Normal"/>
    <w:semiHidden/>
    <w:rsid w:val="003C4301"/>
    <w:rPr>
      <w:szCs w:val="20"/>
    </w:rPr>
  </w:style>
  <w:style w:type="paragraph" w:styleId="CommentSubject">
    <w:name w:val="annotation subject"/>
    <w:basedOn w:val="CommentText"/>
    <w:next w:val="CommentText"/>
    <w:semiHidden/>
    <w:rsid w:val="003C4301"/>
    <w:rPr>
      <w:b/>
      <w:bCs/>
    </w:rPr>
  </w:style>
  <w:style w:type="character" w:styleId="Hyperlink">
    <w:name w:val="Hyperlink"/>
    <w:basedOn w:val="DefaultParagraphFont"/>
    <w:rsid w:val="009A26EF"/>
    <w:rPr>
      <w:color w:val="0000FF"/>
      <w:u w:val="single"/>
    </w:rPr>
  </w:style>
  <w:style w:type="character" w:customStyle="1" w:styleId="FooterChar">
    <w:name w:val="Footer Char"/>
    <w:basedOn w:val="DefaultParagraphFont"/>
    <w:link w:val="Footer"/>
    <w:uiPriority w:val="99"/>
    <w:rsid w:val="00B62879"/>
    <w:rPr>
      <w:szCs w:val="24"/>
    </w:rPr>
  </w:style>
  <w:style w:type="paragraph" w:customStyle="1" w:styleId="Header1">
    <w:name w:val="Header 1"/>
    <w:basedOn w:val="Normal"/>
    <w:qFormat/>
    <w:rsid w:val="00AA1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sz w:val="24"/>
    </w:rPr>
  </w:style>
  <w:style w:type="paragraph" w:styleId="EndnoteText">
    <w:name w:val="endnote text"/>
    <w:basedOn w:val="Normal"/>
    <w:link w:val="EndnoteTextChar"/>
    <w:rsid w:val="00E659F8"/>
    <w:rPr>
      <w:szCs w:val="20"/>
    </w:rPr>
  </w:style>
  <w:style w:type="character" w:customStyle="1" w:styleId="EndnoteTextChar">
    <w:name w:val="Endnote Text Char"/>
    <w:basedOn w:val="DefaultParagraphFont"/>
    <w:link w:val="EndnoteText"/>
    <w:rsid w:val="00E659F8"/>
  </w:style>
  <w:style w:type="character" w:styleId="EndnoteReference">
    <w:name w:val="endnote reference"/>
    <w:basedOn w:val="DefaultParagraphFont"/>
    <w:rsid w:val="00E659F8"/>
    <w:rPr>
      <w:vertAlign w:val="superscript"/>
    </w:rPr>
  </w:style>
  <w:style w:type="character" w:styleId="FollowedHyperlink">
    <w:name w:val="FollowedHyperlink"/>
    <w:basedOn w:val="DefaultParagraphFont"/>
    <w:rsid w:val="000A3732"/>
    <w:rPr>
      <w:color w:val="800080"/>
      <w:u w:val="single"/>
    </w:rPr>
  </w:style>
  <w:style w:type="paragraph" w:customStyle="1" w:styleId="Body1">
    <w:name w:val="Body 1"/>
    <w:basedOn w:val="Normal"/>
    <w:qFormat/>
    <w:rsid w:val="00AA3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bCs/>
      <w:sz w:val="24"/>
    </w:rPr>
  </w:style>
  <w:style w:type="paragraph" w:customStyle="1" w:styleId="Body2">
    <w:name w:val="Body 2"/>
    <w:basedOn w:val="Body1"/>
    <w:qFormat/>
    <w:rsid w:val="00AA3DF6"/>
  </w:style>
  <w:style w:type="paragraph" w:customStyle="1" w:styleId="Body3">
    <w:name w:val="Body 3"/>
    <w:basedOn w:val="FootnoteText"/>
    <w:qFormat/>
    <w:rsid w:val="00AA3DF6"/>
    <w:pPr>
      <w:tabs>
        <w:tab w:val="left" w:pos="8640"/>
      </w:tabs>
      <w:ind w:left="1080" w:right="720"/>
    </w:pPr>
    <w:rPr>
      <w:rFonts w:ascii="Arial" w:hAnsi="Arial" w:cs="Arial"/>
      <w:sz w:val="24"/>
      <w:szCs w:val="24"/>
    </w:rPr>
  </w:style>
  <w:style w:type="paragraph" w:customStyle="1" w:styleId="Body4">
    <w:name w:val="Body 4"/>
    <w:basedOn w:val="FootnoteText"/>
    <w:qFormat/>
    <w:rsid w:val="00AA3DF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461961">
      <w:bodyDiv w:val="1"/>
      <w:marLeft w:val="0"/>
      <w:marRight w:val="0"/>
      <w:marTop w:val="0"/>
      <w:marBottom w:val="0"/>
      <w:divBdr>
        <w:top w:val="none" w:sz="0" w:space="0" w:color="auto"/>
        <w:left w:val="none" w:sz="0" w:space="0" w:color="auto"/>
        <w:bottom w:val="none" w:sz="0" w:space="0" w:color="auto"/>
        <w:right w:val="none" w:sz="0" w:space="0" w:color="auto"/>
      </w:divBdr>
    </w:div>
    <w:div w:id="17102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oig.hhs.gov/oei/reports/oei-01-08-002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016B-CFCB-45A6-8340-EED6BFDB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2195</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NDMC/NDP</vt:lpstr>
    </vt:vector>
  </TitlesOfParts>
  <Company>CMS</Company>
  <LinksUpToDate>false</LinksUpToDate>
  <CharactersWithSpaces>14251</CharactersWithSpaces>
  <SharedDoc>false</SharedDoc>
  <HLinks>
    <vt:vector size="6" baseType="variant">
      <vt:variant>
        <vt:i4>2818165</vt:i4>
      </vt:variant>
      <vt:variant>
        <vt:i4>0</vt:i4>
      </vt:variant>
      <vt:variant>
        <vt:i4>0</vt:i4>
      </vt:variant>
      <vt:variant>
        <vt:i4>5</vt:i4>
      </vt:variant>
      <vt:variant>
        <vt:lpwstr>http://oig.hhs.gov/oei/reports/oei-01-08-00280.pdf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NDMC/NDP</dc:title>
  <dc:subject>Supporting Statement NDMC/NDP</dc:subject>
  <dc:creator>CMS/CPC/MEAG/DAP</dc:creator>
  <cp:keywords>Medicare Health Plan Denial Notices, supporting statement, NDMC, NDP</cp:keywords>
  <cp:lastModifiedBy>Mitch Bryman</cp:lastModifiedBy>
  <cp:revision>2</cp:revision>
  <cp:lastPrinted>2012-03-22T21:36:00Z</cp:lastPrinted>
  <dcterms:created xsi:type="dcterms:W3CDTF">2013-04-21T12:51:00Z</dcterms:created>
  <dcterms:modified xsi:type="dcterms:W3CDTF">2013-04-21T12:51:00Z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-330279080</vt:i4>
  </property>
  <property fmtid="{D5CDD505-2E9C-101B-9397-08002B2CF9AE}" pid="4" name="_EmailSubject">
    <vt:lpwstr>CMS-10003/30-day notice PRA package</vt:lpwstr>
  </property>
  <property fmtid="{D5CDD505-2E9C-101B-9397-08002B2CF9AE}" pid="5" name="_AuthorEmail">
    <vt:lpwstr>Kathryn.McCannSmith@cms.hhs.gov</vt:lpwstr>
  </property>
  <property fmtid="{D5CDD505-2E9C-101B-9397-08002B2CF9AE}" pid="6" name="_AuthorEmailDisplayName">
    <vt:lpwstr>McCann Smith, Kathryn D. (CMS/CM)</vt:lpwstr>
  </property>
  <property fmtid="{D5CDD505-2E9C-101B-9397-08002B2CF9AE}" pid="7" name="_PreviousAdHocReviewCycleID">
    <vt:i4>1425493966</vt:i4>
  </property>
  <property fmtid="{D5CDD505-2E9C-101B-9397-08002B2CF9AE}" pid="8" name="_ReviewingToolsShownOnce">
    <vt:lpwstr/>
  </property>
</Properties>
</file>