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49" w:rsidRPr="0053445C" w:rsidRDefault="00EF7C49" w:rsidP="00EF7C49">
      <w:pPr>
        <w:ind w:left="720" w:right="612"/>
        <w:jc w:val="center"/>
      </w:pPr>
      <w:bookmarkStart w:id="0" w:name="_GoBack"/>
      <w:bookmarkEnd w:id="0"/>
      <w:r>
        <w:rPr>
          <w:b/>
        </w:rPr>
        <w:t>C</w:t>
      </w:r>
      <w:r w:rsidRPr="00B146B3">
        <w:rPr>
          <w:b/>
        </w:rPr>
        <w:t xml:space="preserve">rosswalk for Changes to </w:t>
      </w:r>
      <w:r w:rsidR="000E0D7C">
        <w:rPr>
          <w:b/>
        </w:rPr>
        <w:t xml:space="preserve">the 2012 </w:t>
      </w:r>
      <w:r w:rsidRPr="00B146B3">
        <w:rPr>
          <w:b/>
        </w:rPr>
        <w:t>MLR Annual Reporting Form</w:t>
      </w:r>
      <w:r>
        <w:rPr>
          <w:b/>
        </w:rPr>
        <w:t xml:space="preserve"> and Instructions</w:t>
      </w:r>
      <w:r w:rsidRPr="00B146B3">
        <w:rPr>
          <w:b/>
        </w:rPr>
        <w:t xml:space="preserve"> </w:t>
      </w:r>
      <w:r>
        <w:rPr>
          <w:b/>
        </w:rPr>
        <w:t>(</w:t>
      </w:r>
      <w:r w:rsidRPr="00B146B3">
        <w:rPr>
          <w:b/>
        </w:rPr>
        <w:t>CMS 10418</w:t>
      </w:r>
      <w:r>
        <w:rPr>
          <w:b/>
        </w:rPr>
        <w:t>)</w:t>
      </w:r>
      <w:r w:rsidR="000E0D7C">
        <w:rPr>
          <w:b/>
        </w:rPr>
        <w:t xml:space="preserve"> Following the 60 Day Comment Period</w:t>
      </w:r>
    </w:p>
    <w:p w:rsidR="00EF7C49" w:rsidRPr="002A4096" w:rsidRDefault="00EF7C49" w:rsidP="00EF7C49">
      <w:pPr>
        <w:tabs>
          <w:tab w:val="center" w:pos="4680"/>
          <w:tab w:val="right" w:pos="9360"/>
        </w:tabs>
        <w:ind w:left="720" w:right="612"/>
        <w:jc w:val="center"/>
      </w:pPr>
    </w:p>
    <w:p w:rsidR="00EF7C49" w:rsidRDefault="00EF7C49" w:rsidP="00EF7C49"/>
    <w:p w:rsidR="00EF7C49" w:rsidRDefault="00EF7C49" w:rsidP="00EF7C49">
      <w:pPr>
        <w:ind w:firstLine="720"/>
        <w:rPr>
          <w:b/>
          <w:u w:val="single"/>
        </w:rPr>
      </w:pPr>
      <w:r>
        <w:rPr>
          <w:b/>
          <w:u w:val="single"/>
        </w:rPr>
        <w:t>Table of Contents</w:t>
      </w:r>
    </w:p>
    <w:p w:rsidR="00EF7C49" w:rsidRPr="00B146B3" w:rsidRDefault="00EF7C49" w:rsidP="00EF7C49">
      <w:pPr>
        <w:pStyle w:val="Heading2"/>
        <w:numPr>
          <w:ilvl w:val="0"/>
          <w:numId w:val="0"/>
        </w:numPr>
        <w:ind w:firstLine="720"/>
        <w:rPr>
          <w:b w:val="0"/>
          <w:u w:val="none"/>
        </w:rPr>
      </w:pPr>
      <w:r>
        <w:rPr>
          <w:b w:val="0"/>
          <w:u w:val="none"/>
        </w:rPr>
        <w:t xml:space="preserve">A.  </w:t>
      </w:r>
      <w:r w:rsidRPr="00B146B3">
        <w:rPr>
          <w:b w:val="0"/>
          <w:u w:val="none"/>
        </w:rPr>
        <w:t>Introduction……………………………………………………………………………..1</w:t>
      </w:r>
    </w:p>
    <w:p w:rsidR="00EF7C49" w:rsidRDefault="00EF7C49" w:rsidP="00EF7C49">
      <w:pPr>
        <w:pStyle w:val="Heading2"/>
        <w:numPr>
          <w:ilvl w:val="0"/>
          <w:numId w:val="0"/>
        </w:numPr>
        <w:ind w:firstLine="720"/>
        <w:rPr>
          <w:b w:val="0"/>
          <w:u w:val="none"/>
        </w:rPr>
      </w:pPr>
      <w:r>
        <w:rPr>
          <w:b w:val="0"/>
          <w:u w:val="none"/>
        </w:rPr>
        <w:t xml:space="preserve">B. </w:t>
      </w:r>
      <w:r w:rsidRPr="00FB285A">
        <w:rPr>
          <w:b w:val="0"/>
          <w:u w:val="none"/>
        </w:rPr>
        <w:t>Changes to the MLR Reporting Form and Accompanying Instructions………………</w:t>
      </w:r>
      <w:r w:rsidR="00F41926">
        <w:rPr>
          <w:b w:val="0"/>
          <w:u w:val="none"/>
        </w:rPr>
        <w:t>.</w:t>
      </w:r>
      <w:r w:rsidRPr="00FB285A">
        <w:rPr>
          <w:b w:val="0"/>
          <w:u w:val="none"/>
        </w:rPr>
        <w:t>..1</w:t>
      </w:r>
    </w:p>
    <w:p w:rsidR="00EF7C49" w:rsidRPr="00FB285A" w:rsidRDefault="00EF7C49" w:rsidP="00EF7C49">
      <w:pPr>
        <w:pStyle w:val="Heading2"/>
        <w:numPr>
          <w:ilvl w:val="0"/>
          <w:numId w:val="0"/>
        </w:numPr>
        <w:ind w:firstLine="720"/>
        <w:rPr>
          <w:b w:val="0"/>
          <w:u w:val="none"/>
        </w:rPr>
      </w:pPr>
      <w:r>
        <w:rPr>
          <w:b w:val="0"/>
          <w:snapToGrid/>
          <w:u w:val="none"/>
        </w:rPr>
        <w:t xml:space="preserve">C. </w:t>
      </w:r>
      <w:r w:rsidRPr="00FB285A">
        <w:rPr>
          <w:b w:val="0"/>
          <w:snapToGrid/>
          <w:u w:val="none"/>
        </w:rPr>
        <w:t>2012 MLR Reporting Form and Instruction</w:t>
      </w:r>
      <w:r>
        <w:rPr>
          <w:b w:val="0"/>
          <w:snapToGrid/>
          <w:u w:val="none"/>
        </w:rPr>
        <w:t>s</w:t>
      </w:r>
      <w:r w:rsidRPr="00FB285A">
        <w:rPr>
          <w:b w:val="0"/>
          <w:snapToGrid/>
          <w:u w:val="none"/>
        </w:rPr>
        <w:t xml:space="preserve"> Changes……………………………</w:t>
      </w:r>
      <w:r w:rsidR="00F41926">
        <w:rPr>
          <w:b w:val="0"/>
          <w:snapToGrid/>
          <w:u w:val="none"/>
        </w:rPr>
        <w:t>.....</w:t>
      </w:r>
      <w:r w:rsidRPr="00FB285A">
        <w:rPr>
          <w:b w:val="0"/>
          <w:snapToGrid/>
          <w:u w:val="none"/>
        </w:rPr>
        <w:t>….2</w:t>
      </w:r>
    </w:p>
    <w:p w:rsidR="00EF7C49" w:rsidRDefault="00EF7C49" w:rsidP="00EF7C49">
      <w:pPr>
        <w:pBdr>
          <w:bottom w:val="single" w:sz="12" w:space="1" w:color="auto"/>
        </w:pBdr>
      </w:pPr>
    </w:p>
    <w:p w:rsidR="00EF7C49" w:rsidRDefault="00EF7C49" w:rsidP="00EF7C49"/>
    <w:p w:rsidR="00EF7C49" w:rsidRDefault="00EF7C49" w:rsidP="00EF7C49">
      <w:pPr>
        <w:pStyle w:val="Heading2"/>
        <w:numPr>
          <w:ilvl w:val="0"/>
          <w:numId w:val="2"/>
        </w:numPr>
        <w:ind w:right="432" w:firstLine="0"/>
      </w:pPr>
      <w:bookmarkStart w:id="1" w:name="_Toc335144774"/>
      <w:r w:rsidRPr="00232937">
        <w:t>Introduction</w:t>
      </w:r>
      <w:bookmarkEnd w:id="1"/>
    </w:p>
    <w:p w:rsidR="00EF7C49" w:rsidRDefault="00EF7C49" w:rsidP="00EF7C49">
      <w:pPr>
        <w:spacing w:before="240" w:after="240"/>
        <w:ind w:left="720"/>
      </w:pPr>
      <w:bookmarkStart w:id="2" w:name="_Toc335144775"/>
      <w:r>
        <w:t xml:space="preserve">CMS received 4 public comments on 25 specific issues regarding the notice of the revised Medical Loss Ratio (MLR) PRA package published in the Federal Register on December 4, 2012 (77 FR 71801). The </w:t>
      </w:r>
      <w:r w:rsidR="000E0D7C">
        <w:t xml:space="preserve">60 day </w:t>
      </w:r>
      <w:r>
        <w:t>comment period closed on February 4, 2013. The PRA package contains the MLR Annual Reporting Form for the 2012 MLR reporting year, which health insurance issuers must file with CMS by June 1, 2013, and the instructions for completing the form.  It modifies the MLR Annual Reporting Form for the 2011 MLR reporting year, approved by OMB on May 11, 2012, OCN 0938-1164.</w:t>
      </w:r>
    </w:p>
    <w:p w:rsidR="00EF7C49" w:rsidRPr="000F4237" w:rsidRDefault="00EF7C49" w:rsidP="00EF7C49">
      <w:pPr>
        <w:pStyle w:val="Heading2"/>
        <w:ind w:right="432" w:firstLine="0"/>
        <w:rPr>
          <w:rFonts w:cs="Times New Roman"/>
          <w:szCs w:val="24"/>
        </w:rPr>
      </w:pPr>
      <w:r w:rsidRPr="000F4237">
        <w:rPr>
          <w:rFonts w:cs="Times New Roman"/>
          <w:szCs w:val="24"/>
        </w:rPr>
        <w:t>Changes to MLR Reporting Form and Accompanying Instructions</w:t>
      </w:r>
      <w:bookmarkEnd w:id="2"/>
    </w:p>
    <w:p w:rsidR="00EF7C49" w:rsidRDefault="00EF7C49" w:rsidP="004A46B6">
      <w:pPr>
        <w:spacing w:before="240" w:after="240"/>
        <w:ind w:left="720" w:right="-54"/>
      </w:pPr>
      <w:r>
        <w:t>The following chart</w:t>
      </w:r>
      <w:r w:rsidR="000E0D7C">
        <w:t>s</w:t>
      </w:r>
      <w:r>
        <w:t xml:space="preserve"> list </w:t>
      </w:r>
      <w:r w:rsidR="000E0D7C">
        <w:t>the</w:t>
      </w:r>
      <w:r>
        <w:t xml:space="preserve"> changes made to the 2012 MLR Reporting Form and the accompanying Instructions</w:t>
      </w:r>
      <w:r w:rsidR="000E0D7C">
        <w:t xml:space="preserve">, as a result of </w:t>
      </w:r>
      <w:r>
        <w:t xml:space="preserve">internal </w:t>
      </w:r>
      <w:r w:rsidR="000E0D7C">
        <w:t xml:space="preserve">review </w:t>
      </w:r>
      <w:r>
        <w:t>and in response to comments received following the 60-day public comment period</w:t>
      </w:r>
      <w:r w:rsidR="004A46B6">
        <w:t>.</w:t>
      </w:r>
      <w:r>
        <w:t xml:space="preserve">  </w:t>
      </w:r>
      <w:r w:rsidRPr="0096558C">
        <w:t>Most of the comments</w:t>
      </w:r>
      <w:r>
        <w:t xml:space="preserve"> </w:t>
      </w:r>
      <w:r w:rsidR="000E0D7C">
        <w:t xml:space="preserve">requested clarification to </w:t>
      </w:r>
      <w:r>
        <w:t>the instructions or correcti</w:t>
      </w:r>
      <w:r w:rsidR="000E0D7C">
        <w:t xml:space="preserve">on of </w:t>
      </w:r>
      <w:r>
        <w:t>typographical errors,</w:t>
      </w:r>
      <w:r w:rsidRPr="00BD6758">
        <w:t xml:space="preserve"> </w:t>
      </w:r>
      <w:r w:rsidR="000E0D7C">
        <w:t xml:space="preserve">or addressed </w:t>
      </w:r>
      <w:r>
        <w:t>the removal of calculated cells and the issuer’s ability to copy and paste data onto the form, and the inclusion of a credibility indicator for small issuers so that small issuers would not need to fill out the complete MLR reporting form.</w:t>
      </w:r>
      <w:r w:rsidRPr="0096558C">
        <w:t xml:space="preserve"> </w:t>
      </w:r>
      <w:r w:rsidR="004A46B6">
        <w:t>W</w:t>
      </w:r>
      <w:r>
        <w:t xml:space="preserve">e have taken into consideration all of the </w:t>
      </w:r>
      <w:r w:rsidR="000E0D7C">
        <w:t>comments</w:t>
      </w:r>
      <w:r w:rsidR="00812406">
        <w:t xml:space="preserve"> </w:t>
      </w:r>
      <w:r>
        <w:t>and have made changes to the 2012 MLR Annual Reporting Form and Instructions.</w:t>
      </w:r>
    </w:p>
    <w:p w:rsidR="001A2B72" w:rsidRDefault="001A2B72" w:rsidP="001A2B72">
      <w:pPr>
        <w:spacing w:before="240" w:after="240"/>
        <w:ind w:left="720" w:right="-54"/>
      </w:pPr>
      <w:r w:rsidRPr="00F41926">
        <w:rPr>
          <w:rFonts w:eastAsia="Calibri"/>
          <w:szCs w:val="24"/>
        </w:rPr>
        <w:t>In addition,</w:t>
      </w:r>
      <w:r w:rsidR="004A46B6">
        <w:rPr>
          <w:rFonts w:eastAsia="Calibri"/>
          <w:szCs w:val="24"/>
        </w:rPr>
        <w:t xml:space="preserve"> as</w:t>
      </w:r>
      <w:r w:rsidR="00A232AE">
        <w:rPr>
          <w:rFonts w:eastAsia="Calibri"/>
          <w:szCs w:val="24"/>
        </w:rPr>
        <w:t xml:space="preserve"> a result of </w:t>
      </w:r>
      <w:r w:rsidR="00762E66">
        <w:rPr>
          <w:rFonts w:eastAsia="Calibri"/>
          <w:szCs w:val="24"/>
        </w:rPr>
        <w:t xml:space="preserve">Tri-Agency guidance </w:t>
      </w:r>
      <w:r w:rsidR="00066389">
        <w:rPr>
          <w:rFonts w:eastAsia="Calibri"/>
          <w:szCs w:val="24"/>
        </w:rPr>
        <w:t xml:space="preserve">regarding expatriate plans </w:t>
      </w:r>
      <w:r w:rsidR="00762E66">
        <w:rPr>
          <w:rFonts w:eastAsia="Calibri"/>
          <w:szCs w:val="24"/>
        </w:rPr>
        <w:t>(</w:t>
      </w:r>
      <w:hyperlink r:id="rId9" w:history="1">
        <w:r w:rsidR="00762E66" w:rsidRPr="009E1EBB">
          <w:rPr>
            <w:rStyle w:val="Hyperlink"/>
            <w:rFonts w:eastAsia="Calibri"/>
            <w:szCs w:val="24"/>
          </w:rPr>
          <w:t>Affordable Care Act Implementation FAQs – Set 13</w:t>
        </w:r>
      </w:hyperlink>
      <w:r w:rsidR="00762E66">
        <w:rPr>
          <w:rStyle w:val="Hyperlink"/>
          <w:rFonts w:eastAsia="Calibri"/>
          <w:szCs w:val="24"/>
        </w:rPr>
        <w:t>)</w:t>
      </w:r>
      <w:r w:rsidR="00A232AE">
        <w:rPr>
          <w:rFonts w:eastAsia="Calibri"/>
          <w:szCs w:val="24"/>
        </w:rPr>
        <w:t xml:space="preserve">, </w:t>
      </w:r>
      <w:r w:rsidR="004A46B6">
        <w:rPr>
          <w:rFonts w:eastAsia="Calibri"/>
          <w:szCs w:val="24"/>
        </w:rPr>
        <w:t xml:space="preserve">we have revised the MLR Form Instructions to reflect that </w:t>
      </w:r>
      <w:r w:rsidRPr="00F41926">
        <w:rPr>
          <w:rFonts w:eastAsia="Calibri"/>
          <w:szCs w:val="24"/>
        </w:rPr>
        <w:t>for the 2012 MLR reporting year, expatriate plans are considered compliant with MLR requirements</w:t>
      </w:r>
      <w:r>
        <w:rPr>
          <w:rFonts w:eastAsia="Calibri"/>
          <w:szCs w:val="24"/>
        </w:rPr>
        <w:t xml:space="preserve">. For the 2012 MLR reporting year, issuers with </w:t>
      </w:r>
      <w:r w:rsidRPr="00383CFF">
        <w:rPr>
          <w:rFonts w:eastAsia="Calibri"/>
          <w:i/>
          <w:szCs w:val="24"/>
        </w:rPr>
        <w:t>only</w:t>
      </w:r>
      <w:r>
        <w:rPr>
          <w:rFonts w:eastAsia="Calibri"/>
          <w:szCs w:val="24"/>
        </w:rPr>
        <w:t xml:space="preserve"> </w:t>
      </w:r>
      <w:r w:rsidRPr="003172C8">
        <w:rPr>
          <w:rFonts w:eastAsia="Calibri"/>
          <w:szCs w:val="24"/>
        </w:rPr>
        <w:t>expatriate</w:t>
      </w:r>
      <w:r>
        <w:rPr>
          <w:rFonts w:eastAsia="Calibri"/>
          <w:szCs w:val="24"/>
        </w:rPr>
        <w:t xml:space="preserve"> business are not required to file an MLR Form</w:t>
      </w:r>
      <w:r w:rsidR="004A46B6">
        <w:rPr>
          <w:rFonts w:eastAsia="Calibri"/>
          <w:szCs w:val="24"/>
        </w:rPr>
        <w:t>.</w:t>
      </w:r>
      <w:r w:rsidR="00762E66">
        <w:rPr>
          <w:rFonts w:eastAsia="Calibri"/>
          <w:szCs w:val="24"/>
        </w:rPr>
        <w:t xml:space="preserve">  Issuers with health insurance coverage that is subject to MLR requirements who also have expatriate experience must report the same information regarding their expatriate experience as they do regarding other lines of business that are not subject to the MLR rebate requirements.</w:t>
      </w:r>
    </w:p>
    <w:p w:rsidR="00EF7C49" w:rsidRDefault="00EF7C49" w:rsidP="00EF7C49">
      <w:pPr>
        <w:pStyle w:val="Heading2"/>
        <w:ind w:right="432" w:firstLine="0"/>
        <w:rPr>
          <w:snapToGrid/>
        </w:rPr>
      </w:pPr>
      <w:r w:rsidRPr="00BD0CA8">
        <w:rPr>
          <w:snapToGrid/>
        </w:rPr>
        <w:t>2012 MLR Reporti</w:t>
      </w:r>
      <w:r>
        <w:rPr>
          <w:snapToGrid/>
        </w:rPr>
        <w:t>ng Form and Instruction Changes</w:t>
      </w:r>
    </w:p>
    <w:p w:rsidR="00EF7C49" w:rsidRDefault="00EF7C49" w:rsidP="001A2B72">
      <w:pPr>
        <w:widowControl/>
        <w:spacing w:after="200" w:line="276" w:lineRule="auto"/>
        <w:ind w:left="720" w:right="432"/>
      </w:pPr>
      <w:r>
        <w:t>See next page.</w:t>
      </w:r>
      <w:r>
        <w:br w:type="page"/>
      </w:r>
    </w:p>
    <w:tbl>
      <w:tblPr>
        <w:tblW w:w="5332" w:type="pct"/>
        <w:tblInd w:w="-162" w:type="dxa"/>
        <w:tblLook w:val="04A0" w:firstRow="1" w:lastRow="0" w:firstColumn="1" w:lastColumn="0" w:noHBand="0" w:noVBand="1"/>
      </w:tblPr>
      <w:tblGrid>
        <w:gridCol w:w="661"/>
        <w:gridCol w:w="1867"/>
        <w:gridCol w:w="4908"/>
        <w:gridCol w:w="3544"/>
      </w:tblGrid>
      <w:tr w:rsidR="00EF7C49" w:rsidRPr="00D21C55" w:rsidTr="00F41926">
        <w:trPr>
          <w:cantSplit/>
          <w:trHeight w:val="330"/>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F7C49" w:rsidRPr="00762E66" w:rsidRDefault="00EF7C49" w:rsidP="00812406">
            <w:pPr>
              <w:widowControl/>
              <w:shd w:val="clear" w:color="auto" w:fill="FFFFFF" w:themeFill="background1"/>
              <w:jc w:val="center"/>
              <w:rPr>
                <w:rFonts w:ascii="Arial Narrow" w:hAnsi="Arial Narrow"/>
                <w:b/>
                <w:bCs/>
                <w:snapToGrid/>
                <w:color w:val="000000"/>
                <w:szCs w:val="24"/>
              </w:rPr>
            </w:pPr>
            <w:r w:rsidRPr="00456EDE">
              <w:rPr>
                <w:rFonts w:ascii="Arial Narrow" w:hAnsi="Arial Narrow"/>
                <w:b/>
                <w:bCs/>
                <w:snapToGrid/>
                <w:color w:val="000000"/>
                <w:szCs w:val="24"/>
              </w:rPr>
              <w:lastRenderedPageBreak/>
              <w:t>2012 Medical Loss Ratio Reporting Form</w:t>
            </w:r>
          </w:p>
        </w:tc>
      </w:tr>
      <w:tr w:rsidR="00D21C55" w:rsidRPr="00D21C55" w:rsidTr="00F41926">
        <w:trPr>
          <w:cantSplit/>
          <w:trHeight w:val="330"/>
          <w:tblHeader/>
        </w:trPr>
        <w:tc>
          <w:tcPr>
            <w:tcW w:w="301"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14556" w:rsidRPr="00F41926" w:rsidRDefault="00614556" w:rsidP="00812406">
            <w:pPr>
              <w:widowControl/>
              <w:shd w:val="clear" w:color="auto" w:fill="FFFFFF" w:themeFill="background1"/>
              <w:rPr>
                <w:rFonts w:ascii="Arial Narrow" w:hAnsi="Arial Narrow"/>
                <w:b/>
                <w:bCs/>
                <w:snapToGrid/>
                <w:color w:val="000000"/>
                <w:szCs w:val="24"/>
              </w:rPr>
            </w:pPr>
          </w:p>
        </w:tc>
        <w:tc>
          <w:tcPr>
            <w:tcW w:w="850" w:type="pct"/>
            <w:tcBorders>
              <w:top w:val="nil"/>
              <w:left w:val="nil"/>
              <w:bottom w:val="single" w:sz="4" w:space="0" w:color="auto"/>
              <w:right w:val="single" w:sz="4" w:space="0" w:color="auto"/>
            </w:tcBorders>
            <w:shd w:val="clear" w:color="auto" w:fill="FFFFFF" w:themeFill="background1"/>
            <w:noWrap/>
            <w:vAlign w:val="bottom"/>
            <w:hideMark/>
          </w:tcPr>
          <w:p w:rsidR="00614556" w:rsidRPr="00F41926" w:rsidRDefault="00614556" w:rsidP="00812406">
            <w:pPr>
              <w:widowControl/>
              <w:shd w:val="clear" w:color="auto" w:fill="FFFFFF" w:themeFill="background1"/>
              <w:rPr>
                <w:rFonts w:ascii="Arial Narrow" w:hAnsi="Arial Narrow"/>
                <w:b/>
                <w:bCs/>
                <w:snapToGrid/>
                <w:color w:val="000000"/>
                <w:szCs w:val="24"/>
              </w:rPr>
            </w:pPr>
            <w:r w:rsidRPr="00F41926">
              <w:rPr>
                <w:rFonts w:ascii="Arial Narrow" w:hAnsi="Arial Narrow"/>
                <w:b/>
                <w:bCs/>
                <w:snapToGrid/>
                <w:color w:val="000000"/>
                <w:szCs w:val="24"/>
              </w:rPr>
              <w:t>Section Edited</w:t>
            </w:r>
          </w:p>
        </w:tc>
        <w:tc>
          <w:tcPr>
            <w:tcW w:w="2235" w:type="pct"/>
            <w:tcBorders>
              <w:top w:val="nil"/>
              <w:left w:val="nil"/>
              <w:bottom w:val="single" w:sz="4" w:space="0" w:color="auto"/>
              <w:right w:val="single" w:sz="4" w:space="0" w:color="auto"/>
            </w:tcBorders>
            <w:shd w:val="clear" w:color="auto" w:fill="FFFFFF" w:themeFill="background1"/>
            <w:noWrap/>
            <w:vAlign w:val="bottom"/>
            <w:hideMark/>
          </w:tcPr>
          <w:p w:rsidR="00614556" w:rsidRPr="00751AF5" w:rsidRDefault="00614556" w:rsidP="00812406">
            <w:pPr>
              <w:widowControl/>
              <w:shd w:val="clear" w:color="auto" w:fill="FFFFFF" w:themeFill="background1"/>
              <w:rPr>
                <w:rFonts w:ascii="Arial Narrow" w:hAnsi="Arial Narrow"/>
                <w:b/>
                <w:bCs/>
                <w:snapToGrid/>
                <w:color w:val="000000"/>
                <w:sz w:val="22"/>
                <w:szCs w:val="22"/>
              </w:rPr>
            </w:pPr>
            <w:r w:rsidRPr="00456EDE">
              <w:rPr>
                <w:rFonts w:ascii="Arial Narrow" w:hAnsi="Arial Narrow"/>
                <w:b/>
                <w:bCs/>
                <w:snapToGrid/>
                <w:color w:val="000000"/>
                <w:sz w:val="22"/>
                <w:szCs w:val="22"/>
              </w:rPr>
              <w:t xml:space="preserve">Revision </w:t>
            </w:r>
            <w:r w:rsidRPr="00762E66">
              <w:rPr>
                <w:rFonts w:ascii="Arial Narrow" w:hAnsi="Arial Narrow"/>
                <w:b/>
                <w:bCs/>
                <w:snapToGrid/>
                <w:color w:val="FF0000"/>
                <w:sz w:val="22"/>
                <w:szCs w:val="22"/>
              </w:rPr>
              <w:t>(Red indicates added language</w:t>
            </w:r>
            <w:r w:rsidRPr="00762E66">
              <w:rPr>
                <w:rFonts w:ascii="Arial Narrow" w:hAnsi="Arial Narrow"/>
                <w:b/>
                <w:bCs/>
                <w:snapToGrid/>
                <w:color w:val="000000"/>
                <w:sz w:val="22"/>
                <w:szCs w:val="22"/>
              </w:rPr>
              <w:t>)</w:t>
            </w:r>
          </w:p>
        </w:tc>
        <w:tc>
          <w:tcPr>
            <w:tcW w:w="1614" w:type="pct"/>
            <w:tcBorders>
              <w:top w:val="nil"/>
              <w:left w:val="nil"/>
              <w:bottom w:val="single" w:sz="4" w:space="0" w:color="auto"/>
              <w:right w:val="single" w:sz="4" w:space="0" w:color="auto"/>
            </w:tcBorders>
            <w:shd w:val="clear" w:color="auto" w:fill="FFFFFF" w:themeFill="background1"/>
            <w:noWrap/>
            <w:vAlign w:val="bottom"/>
            <w:hideMark/>
          </w:tcPr>
          <w:p w:rsidR="00614556" w:rsidRPr="00B61A81" w:rsidRDefault="00614556" w:rsidP="00812406">
            <w:pPr>
              <w:widowControl/>
              <w:shd w:val="clear" w:color="auto" w:fill="FFFFFF" w:themeFill="background1"/>
              <w:rPr>
                <w:rFonts w:ascii="Arial Narrow" w:hAnsi="Arial Narrow"/>
                <w:b/>
                <w:bCs/>
                <w:snapToGrid/>
                <w:color w:val="000000"/>
                <w:sz w:val="22"/>
                <w:szCs w:val="22"/>
              </w:rPr>
            </w:pPr>
            <w:r w:rsidRPr="00B61A81">
              <w:rPr>
                <w:rFonts w:ascii="Arial Narrow" w:hAnsi="Arial Narrow"/>
                <w:b/>
                <w:bCs/>
                <w:snapToGrid/>
                <w:color w:val="000000"/>
                <w:sz w:val="22"/>
                <w:szCs w:val="22"/>
              </w:rPr>
              <w:t>Rationale</w:t>
            </w:r>
          </w:p>
        </w:tc>
      </w:tr>
      <w:tr w:rsidR="00D21C55" w:rsidRPr="00D21C55" w:rsidTr="00F41926">
        <w:trPr>
          <w:trHeight w:val="827"/>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1</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All worksheets</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Locked and protected various cells throughout MLR Form which should not have any data input.</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 xml:space="preserve">This change was implemented to improve the integrity of the data elements and to support </w:t>
            </w:r>
            <w:r w:rsidRPr="00F41926">
              <w:rPr>
                <w:rFonts w:ascii="Arial Narrow" w:hAnsi="Arial Narrow"/>
                <w:snapToGrid/>
                <w:color w:val="000000"/>
                <w:sz w:val="22"/>
                <w:szCs w:val="22"/>
              </w:rPr>
              <w:t>worksheet functionality.</w:t>
            </w:r>
          </w:p>
        </w:tc>
      </w:tr>
      <w:tr w:rsidR="00D21C55" w:rsidRPr="00D21C55" w:rsidTr="00F41926">
        <w:trPr>
          <w:cantSplit/>
          <w:trHeight w:val="132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2</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All worksheets</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Added and corrected color coding and legend.</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 xml:space="preserve">Changes in the form required adjustments to the shading of the fields and legends. Shading aids issuers in determining which fields should be completed for a </w:t>
            </w:r>
            <w:r w:rsidRPr="00F41926">
              <w:rPr>
                <w:rFonts w:ascii="Arial Narrow" w:hAnsi="Arial Narrow"/>
                <w:snapToGrid/>
                <w:color w:val="000000"/>
                <w:sz w:val="22"/>
                <w:szCs w:val="22"/>
              </w:rPr>
              <w:t>particular element.</w:t>
            </w:r>
          </w:p>
        </w:tc>
      </w:tr>
      <w:tr w:rsidR="00D21C55" w:rsidRPr="00D21C55" w:rsidTr="00F41926">
        <w:trPr>
          <w:trHeight w:val="99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3</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All worksheets</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Made section dividers pink for all worksheets.</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Changes in the form required adjustments to the color coding of the dividers. Color coding aids issuers in distinguishing the various sections.</w:t>
            </w:r>
          </w:p>
        </w:tc>
      </w:tr>
      <w:tr w:rsidR="00D21C55" w:rsidRPr="00D21C55" w:rsidTr="00F41926">
        <w:trPr>
          <w:trHeight w:val="66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4</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Part 1 –</w:t>
            </w:r>
          </w:p>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 xml:space="preserve">Summary </w:t>
            </w:r>
          </w:p>
          <w:p w:rsidR="00614556" w:rsidRPr="00B61A81"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of Data</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sz w:val="22"/>
                <w:szCs w:val="22"/>
              </w:rPr>
            </w:pPr>
            <w:r w:rsidRPr="00F41926">
              <w:rPr>
                <w:rFonts w:ascii="Arial Narrow" w:hAnsi="Arial Narrow"/>
                <w:snapToGrid/>
                <w:sz w:val="22"/>
                <w:szCs w:val="22"/>
              </w:rPr>
              <w:t>Changed line 4.6, to read "Allowable Implementation ICD-10 expenses (not to exceed 0.3% of premium)"</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F41926">
              <w:rPr>
                <w:rFonts w:ascii="Arial Narrow" w:hAnsi="Arial Narrow"/>
                <w:snapToGrid/>
                <w:color w:val="000000"/>
                <w:sz w:val="22"/>
                <w:szCs w:val="22"/>
              </w:rPr>
              <w:t>This item was changed to match information provided in accompanying instructions.</w:t>
            </w:r>
          </w:p>
        </w:tc>
      </w:tr>
      <w:tr w:rsidR="00D21C55" w:rsidRPr="00D21C55" w:rsidTr="00F41926">
        <w:trPr>
          <w:trHeight w:val="872"/>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5</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Part 3- </w:t>
            </w:r>
          </w:p>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Expense Allocation</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sz w:val="22"/>
                <w:szCs w:val="22"/>
              </w:rPr>
            </w:pPr>
            <w:r w:rsidRPr="00B61A81">
              <w:rPr>
                <w:rFonts w:ascii="Arial Narrow" w:hAnsi="Arial Narrow"/>
                <w:snapToGrid/>
                <w:sz w:val="22"/>
                <w:szCs w:val="22"/>
              </w:rPr>
              <w:t>Changed line 3.e, to read “Health information technology expenses related to healthcare quality” (removing “health improvement”)</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F41926">
              <w:rPr>
                <w:rFonts w:ascii="Arial Narrow" w:hAnsi="Arial Narrow"/>
                <w:snapToGrid/>
                <w:color w:val="000000"/>
                <w:sz w:val="22"/>
                <w:szCs w:val="22"/>
              </w:rPr>
              <w:t>This item was changed to match information provided in accompanying instructions.</w:t>
            </w:r>
          </w:p>
        </w:tc>
      </w:tr>
      <w:tr w:rsidR="00D21C55" w:rsidRPr="00D21C55" w:rsidTr="00F41926">
        <w:trPr>
          <w:trHeight w:val="66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6</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Part 4 - MLR and</w:t>
            </w:r>
            <w:r w:rsidR="00D21C55">
              <w:rPr>
                <w:rFonts w:ascii="Arial Narrow" w:hAnsi="Arial Narrow"/>
                <w:snapToGrid/>
                <w:color w:val="000000"/>
                <w:sz w:val="22"/>
                <w:szCs w:val="22"/>
              </w:rPr>
              <w:t xml:space="preserve"> </w:t>
            </w:r>
            <w:r w:rsidRPr="00762E66">
              <w:rPr>
                <w:rFonts w:ascii="Arial Narrow" w:hAnsi="Arial Narrow"/>
                <w:snapToGrid/>
                <w:color w:val="000000"/>
                <w:sz w:val="22"/>
                <w:szCs w:val="22"/>
              </w:rPr>
              <w:t xml:space="preserve"> Rebate Calculation</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Changed parenthetical in line 5.3, to read “(Line</w:t>
            </w:r>
            <w:r w:rsidRPr="00751AF5">
              <w:rPr>
                <w:rFonts w:ascii="Arial Narrow" w:hAnsi="Arial Narrow"/>
                <w:snapToGrid/>
                <w:color w:val="000000"/>
                <w:sz w:val="22"/>
                <w:szCs w:val="22"/>
              </w:rPr>
              <w:t xml:space="preserve"> 2.3, column CY only)”</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This item was changed to provide clarity and to match information provided in accompanying instructions.</w:t>
            </w:r>
          </w:p>
        </w:tc>
      </w:tr>
      <w:tr w:rsidR="00D21C55" w:rsidRPr="00D21C55" w:rsidTr="00F41926">
        <w:trPr>
          <w:trHeight w:val="99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7</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Part 5 - Rebate Disbursement</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Removed the word "below" from lines 4.g and 4.h and moved the data input cell to the right rather than below.</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This change was implemented to improve the integrity of the data elements and to support worksheet functionality.</w:t>
            </w:r>
          </w:p>
        </w:tc>
      </w:tr>
      <w:tr w:rsidR="00D21C55" w:rsidRPr="00D21C55" w:rsidTr="00F41926">
        <w:trPr>
          <w:trHeight w:val="66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8</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Part 6 - Additional Response</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sz w:val="22"/>
                <w:szCs w:val="22"/>
              </w:rPr>
            </w:pPr>
            <w:r w:rsidRPr="00751AF5">
              <w:rPr>
                <w:rFonts w:ascii="Arial Narrow" w:hAnsi="Arial Narrow"/>
                <w:snapToGrid/>
                <w:sz w:val="22"/>
                <w:szCs w:val="22"/>
              </w:rPr>
              <w:t>Removed the parenthetical “(with novation)” from line 6 title.</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B61A81"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This item was changed to provide clarity.</w:t>
            </w:r>
          </w:p>
        </w:tc>
      </w:tr>
      <w:tr w:rsidR="00D21C55" w:rsidRPr="00D21C55" w:rsidTr="00F41926">
        <w:trPr>
          <w:trHeight w:val="99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9</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Part 6 - Additional Response</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Removed statement "Insert rows as needed" from all sections.</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This change was implemented to improve the integrity of the data elements and to support worksheet functionality.</w:t>
            </w:r>
          </w:p>
        </w:tc>
      </w:tr>
      <w:tr w:rsidR="00D21C55" w:rsidRPr="00D21C55" w:rsidTr="00F41926">
        <w:trPr>
          <w:trHeight w:val="1565"/>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10</w:t>
            </w:r>
          </w:p>
        </w:tc>
        <w:tc>
          <w:tcPr>
            <w:tcW w:w="850" w:type="pct"/>
            <w:tcBorders>
              <w:top w:val="single" w:sz="4" w:space="0" w:color="auto"/>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Part 6 - Additional Responses</w:t>
            </w:r>
          </w:p>
        </w:tc>
        <w:tc>
          <w:tcPr>
            <w:tcW w:w="2235" w:type="pct"/>
            <w:tcBorders>
              <w:top w:val="single" w:sz="4" w:space="0" w:color="auto"/>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sz w:val="22"/>
                <w:szCs w:val="22"/>
              </w:rPr>
            </w:pPr>
            <w:r w:rsidRPr="00B61A81">
              <w:rPr>
                <w:rFonts w:ascii="Arial Narrow" w:hAnsi="Arial Narrow"/>
                <w:snapToGrid/>
                <w:sz w:val="22"/>
                <w:szCs w:val="22"/>
              </w:rPr>
              <w:t>Changed line 4 to read "If the issuer entered into any 100% assumptive reinsurance agreements (with a novation) to assume coverage during the MLR reporting year provide the names(s) of the entity (ies) with which the agreement was (wer</w:t>
            </w:r>
            <w:r w:rsidRPr="00F41926">
              <w:rPr>
                <w:rFonts w:ascii="Arial Narrow" w:hAnsi="Arial Narrow"/>
                <w:snapToGrid/>
                <w:sz w:val="22"/>
                <w:szCs w:val="22"/>
              </w:rPr>
              <w:t>e) made and the effective date of the novation."</w:t>
            </w:r>
          </w:p>
        </w:tc>
        <w:tc>
          <w:tcPr>
            <w:tcW w:w="1614" w:type="pct"/>
            <w:tcBorders>
              <w:top w:val="single" w:sz="4" w:space="0" w:color="auto"/>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F41926">
              <w:rPr>
                <w:rFonts w:ascii="Arial Narrow" w:hAnsi="Arial Narrow"/>
                <w:snapToGrid/>
                <w:color w:val="000000"/>
                <w:sz w:val="22"/>
                <w:szCs w:val="22"/>
              </w:rPr>
              <w:t>This item was changed to provide clarity.</w:t>
            </w:r>
          </w:p>
        </w:tc>
      </w:tr>
      <w:tr w:rsidR="00D21C55" w:rsidRPr="00D21C55" w:rsidTr="00F41926">
        <w:trPr>
          <w:trHeight w:val="990"/>
        </w:trPr>
        <w:tc>
          <w:tcPr>
            <w:tcW w:w="30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14556" w:rsidRPr="00762E66" w:rsidRDefault="00614556" w:rsidP="00F41926">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olor w:val="000000"/>
                <w:sz w:val="22"/>
                <w:szCs w:val="22"/>
              </w:rPr>
              <w:t>11</w:t>
            </w:r>
          </w:p>
        </w:tc>
        <w:tc>
          <w:tcPr>
            <w:tcW w:w="850" w:type="pct"/>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rsidP="0081240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Attestation</w:t>
            </w:r>
          </w:p>
        </w:tc>
        <w:tc>
          <w:tcPr>
            <w:tcW w:w="2235" w:type="pct"/>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81240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Corrected attestation verbiage.</w:t>
            </w:r>
          </w:p>
        </w:tc>
        <w:tc>
          <w:tcPr>
            <w:tcW w:w="1614" w:type="pct"/>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rsidP="0081240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This item was changed to match more precisely the verbiage provided in Health Insurance Oversight System (HIOS)</w:t>
            </w:r>
          </w:p>
        </w:tc>
      </w:tr>
    </w:tbl>
    <w:p w:rsidR="00EF7C49" w:rsidRPr="00456EDE" w:rsidRDefault="00EF7C49" w:rsidP="00812406">
      <w:pPr>
        <w:shd w:val="clear" w:color="auto" w:fill="FFFFFF" w:themeFill="background1"/>
        <w:rPr>
          <w:szCs w:val="24"/>
        </w:rPr>
      </w:pPr>
      <w:r>
        <w:br w:type="page"/>
      </w:r>
    </w:p>
    <w:tbl>
      <w:tblPr>
        <w:tblW w:w="10980" w:type="dxa"/>
        <w:tblInd w:w="-155" w:type="dxa"/>
        <w:tblLayout w:type="fixed"/>
        <w:tblCellMar>
          <w:left w:w="115" w:type="dxa"/>
          <w:right w:w="115" w:type="dxa"/>
        </w:tblCellMar>
        <w:tblLook w:val="04A0" w:firstRow="1" w:lastRow="0" w:firstColumn="1" w:lastColumn="0" w:noHBand="0" w:noVBand="1"/>
      </w:tblPr>
      <w:tblGrid>
        <w:gridCol w:w="630"/>
        <w:gridCol w:w="1890"/>
        <w:gridCol w:w="4680"/>
        <w:gridCol w:w="3780"/>
      </w:tblGrid>
      <w:tr w:rsidR="00EF7C49" w:rsidRPr="00D21C55" w:rsidTr="00F41926">
        <w:trPr>
          <w:cantSplit/>
          <w:trHeight w:val="330"/>
          <w:tblHeader/>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C49" w:rsidRPr="00456EDE" w:rsidRDefault="00EF7C49">
            <w:pPr>
              <w:widowControl/>
              <w:shd w:val="clear" w:color="auto" w:fill="FFFFFF" w:themeFill="background1"/>
              <w:jc w:val="center"/>
              <w:rPr>
                <w:rFonts w:ascii="Arial Narrow" w:hAnsi="Arial Narrow"/>
                <w:b/>
                <w:bCs/>
                <w:snapToGrid/>
                <w:color w:val="000000"/>
                <w:szCs w:val="24"/>
              </w:rPr>
            </w:pPr>
            <w:r w:rsidRPr="00F41926">
              <w:rPr>
                <w:rFonts w:ascii="Arial Narrow" w:hAnsi="Arial Narrow"/>
                <w:szCs w:val="24"/>
              </w:rPr>
              <w:lastRenderedPageBreak/>
              <w:br w:type="page"/>
            </w:r>
            <w:r w:rsidRPr="00456EDE">
              <w:rPr>
                <w:rFonts w:ascii="Arial Narrow" w:hAnsi="Arial Narrow"/>
                <w:b/>
                <w:bCs/>
                <w:snapToGrid/>
                <w:color w:val="000000"/>
                <w:szCs w:val="24"/>
              </w:rPr>
              <w:t>2012 Medical Loss Ratio Reporting Form Filing Instructions For All Parts</w:t>
            </w:r>
          </w:p>
        </w:tc>
      </w:tr>
      <w:tr w:rsidR="00D21C55" w:rsidRPr="00D21C55" w:rsidTr="00F41926">
        <w:trPr>
          <w:cantSplit/>
          <w:trHeight w:val="330"/>
          <w:tblHead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EF7C49" w:rsidRPr="00456EDE" w:rsidRDefault="00EF7C49">
            <w:pPr>
              <w:widowControl/>
              <w:shd w:val="clear" w:color="auto" w:fill="FFFFFF" w:themeFill="background1"/>
              <w:rPr>
                <w:rFonts w:ascii="Arial Narrow" w:hAnsi="Arial Narrow"/>
                <w:b/>
                <w:bCs/>
                <w:snapToGrid/>
                <w:color w:val="000000"/>
                <w:sz w:val="22"/>
                <w:szCs w:val="22"/>
              </w:rPr>
            </w:pPr>
            <w:r w:rsidRPr="00456EDE">
              <w:rPr>
                <w:rFonts w:ascii="Arial Narrow" w:hAnsi="Arial Narrow"/>
                <w:b/>
                <w:bCs/>
                <w:snapToGrid/>
                <w:color w:val="000000"/>
                <w:sz w:val="22"/>
                <w:szCs w:val="22"/>
              </w:rPr>
              <w:t> </w:t>
            </w:r>
          </w:p>
        </w:tc>
        <w:tc>
          <w:tcPr>
            <w:tcW w:w="1890" w:type="dxa"/>
            <w:tcBorders>
              <w:top w:val="nil"/>
              <w:left w:val="nil"/>
              <w:bottom w:val="single" w:sz="4" w:space="0" w:color="auto"/>
              <w:right w:val="single" w:sz="4" w:space="0" w:color="auto"/>
            </w:tcBorders>
            <w:shd w:val="clear" w:color="auto" w:fill="auto"/>
            <w:noWrap/>
            <w:vAlign w:val="center"/>
            <w:hideMark/>
          </w:tcPr>
          <w:p w:rsidR="00EF7C49" w:rsidRPr="00F41926" w:rsidRDefault="00EF7C49" w:rsidP="00F41926">
            <w:pPr>
              <w:widowControl/>
              <w:shd w:val="clear" w:color="auto" w:fill="FFFFFF" w:themeFill="background1"/>
              <w:rPr>
                <w:rFonts w:ascii="Arial Narrow" w:hAnsi="Arial Narrow"/>
                <w:b/>
                <w:bCs/>
                <w:snapToGrid/>
                <w:color w:val="000000"/>
                <w:szCs w:val="24"/>
              </w:rPr>
            </w:pPr>
            <w:r w:rsidRPr="00F41926">
              <w:rPr>
                <w:rFonts w:ascii="Arial Narrow" w:hAnsi="Arial Narrow"/>
                <w:b/>
                <w:bCs/>
                <w:snapToGrid/>
                <w:color w:val="000000"/>
                <w:szCs w:val="24"/>
              </w:rPr>
              <w:t>Section Edited</w:t>
            </w:r>
          </w:p>
        </w:tc>
        <w:tc>
          <w:tcPr>
            <w:tcW w:w="4680" w:type="dxa"/>
            <w:tcBorders>
              <w:top w:val="nil"/>
              <w:left w:val="nil"/>
              <w:bottom w:val="single" w:sz="4" w:space="0" w:color="auto"/>
              <w:right w:val="single" w:sz="4" w:space="0" w:color="auto"/>
            </w:tcBorders>
            <w:shd w:val="clear" w:color="auto" w:fill="auto"/>
            <w:noWrap/>
            <w:vAlign w:val="center"/>
            <w:hideMark/>
          </w:tcPr>
          <w:p w:rsidR="00EF7C49" w:rsidRPr="00F41926" w:rsidRDefault="00EF7C49" w:rsidP="00F41926">
            <w:pPr>
              <w:widowControl/>
              <w:shd w:val="clear" w:color="auto" w:fill="FFFFFF" w:themeFill="background1"/>
              <w:rPr>
                <w:rFonts w:ascii="Arial Narrow" w:hAnsi="Arial Narrow"/>
                <w:b/>
                <w:bCs/>
                <w:snapToGrid/>
                <w:color w:val="000000"/>
                <w:szCs w:val="24"/>
              </w:rPr>
            </w:pPr>
            <w:r w:rsidRPr="00F41926">
              <w:rPr>
                <w:rFonts w:ascii="Arial Narrow" w:hAnsi="Arial Narrow"/>
                <w:b/>
                <w:bCs/>
                <w:snapToGrid/>
                <w:color w:val="000000"/>
                <w:szCs w:val="24"/>
              </w:rPr>
              <w:t xml:space="preserve">Revision </w:t>
            </w:r>
            <w:r w:rsidRPr="00F41926">
              <w:rPr>
                <w:rFonts w:ascii="Arial Narrow" w:hAnsi="Arial Narrow"/>
                <w:b/>
                <w:bCs/>
                <w:snapToGrid/>
                <w:color w:val="FF0000"/>
                <w:szCs w:val="24"/>
              </w:rPr>
              <w:t>(Red indicates added language</w:t>
            </w:r>
            <w:r w:rsidRPr="00F41926">
              <w:rPr>
                <w:rFonts w:ascii="Arial Narrow" w:hAnsi="Arial Narrow"/>
                <w:b/>
                <w:bCs/>
                <w:snapToGrid/>
                <w:color w:val="000000"/>
                <w:szCs w:val="24"/>
              </w:rPr>
              <w:t>)</w:t>
            </w:r>
          </w:p>
        </w:tc>
        <w:tc>
          <w:tcPr>
            <w:tcW w:w="3780" w:type="dxa"/>
            <w:tcBorders>
              <w:top w:val="nil"/>
              <w:left w:val="nil"/>
              <w:bottom w:val="single" w:sz="4" w:space="0" w:color="auto"/>
              <w:right w:val="single" w:sz="4" w:space="0" w:color="auto"/>
            </w:tcBorders>
            <w:shd w:val="clear" w:color="auto" w:fill="auto"/>
            <w:noWrap/>
            <w:vAlign w:val="center"/>
            <w:hideMark/>
          </w:tcPr>
          <w:p w:rsidR="00EF7C49" w:rsidRPr="00F41926" w:rsidRDefault="00EF7C49">
            <w:pPr>
              <w:widowControl/>
              <w:shd w:val="clear" w:color="auto" w:fill="FFFFFF" w:themeFill="background1"/>
              <w:jc w:val="center"/>
              <w:rPr>
                <w:rFonts w:ascii="Arial Narrow" w:hAnsi="Arial Narrow"/>
                <w:b/>
                <w:bCs/>
                <w:snapToGrid/>
                <w:color w:val="000000"/>
                <w:szCs w:val="24"/>
              </w:rPr>
            </w:pPr>
            <w:r w:rsidRPr="00F41926">
              <w:rPr>
                <w:rFonts w:ascii="Arial Narrow" w:hAnsi="Arial Narrow"/>
                <w:b/>
                <w:bCs/>
                <w:snapToGrid/>
                <w:color w:val="000000"/>
                <w:szCs w:val="24"/>
              </w:rPr>
              <w:t>Rationale</w:t>
            </w:r>
          </w:p>
        </w:tc>
      </w:tr>
      <w:tr w:rsidR="00D21C55" w:rsidRPr="00D21C55" w:rsidTr="00ED713C">
        <w:trPr>
          <w:cantSplit/>
          <w:trHeight w:val="755"/>
        </w:trPr>
        <w:tc>
          <w:tcPr>
            <w:tcW w:w="630" w:type="dxa"/>
            <w:tcBorders>
              <w:top w:val="nil"/>
              <w:left w:val="single" w:sz="4" w:space="0" w:color="auto"/>
              <w:bottom w:val="single" w:sz="4" w:space="0" w:color="auto"/>
              <w:right w:val="single" w:sz="4" w:space="0" w:color="auto"/>
            </w:tcBorders>
            <w:shd w:val="clear" w:color="auto" w:fill="auto"/>
            <w:noWrap/>
            <w:vAlign w:val="center"/>
          </w:tcPr>
          <w:p w:rsidR="00614556" w:rsidRPr="00456EDE"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12</w:t>
            </w:r>
          </w:p>
        </w:tc>
        <w:tc>
          <w:tcPr>
            <w:tcW w:w="1890" w:type="dxa"/>
            <w:tcBorders>
              <w:top w:val="nil"/>
              <w:left w:val="nil"/>
              <w:bottom w:val="single" w:sz="4" w:space="0" w:color="auto"/>
              <w:right w:val="single" w:sz="4" w:space="0" w:color="auto"/>
            </w:tcBorders>
            <w:shd w:val="clear" w:color="auto" w:fill="FFFFFF" w:themeFill="background1"/>
            <w:vAlign w:val="center"/>
          </w:tcPr>
          <w:p w:rsidR="00614556" w:rsidRPr="00456EDE" w:rsidRDefault="00614556" w:rsidP="00F41926">
            <w:pPr>
              <w:rPr>
                <w:rFonts w:ascii="Arial Narrow" w:hAnsi="Arial Narrow"/>
                <w:snapToGrid/>
                <w:color w:val="000000"/>
                <w:sz w:val="22"/>
                <w:szCs w:val="22"/>
              </w:rPr>
            </w:pPr>
            <w:r w:rsidRPr="00F41926">
              <w:rPr>
                <w:rFonts w:ascii="Arial Narrow" w:hAnsi="Arial Narrow"/>
                <w:color w:val="000000"/>
                <w:sz w:val="22"/>
                <w:szCs w:val="22"/>
              </w:rPr>
              <w:t>Table of Contents and associated document headers</w:t>
            </w:r>
          </w:p>
        </w:tc>
        <w:tc>
          <w:tcPr>
            <w:tcW w:w="4680" w:type="dxa"/>
            <w:tcBorders>
              <w:top w:val="nil"/>
              <w:left w:val="nil"/>
              <w:bottom w:val="single" w:sz="4" w:space="0" w:color="auto"/>
              <w:right w:val="single" w:sz="4" w:space="0" w:color="auto"/>
            </w:tcBorders>
            <w:shd w:val="clear" w:color="auto" w:fill="FFFFFF" w:themeFill="background1"/>
            <w:vAlign w:val="center"/>
          </w:tcPr>
          <w:p w:rsidR="00614556" w:rsidRPr="00F41926" w:rsidRDefault="00614556" w:rsidP="00F41926">
            <w:pPr>
              <w:rPr>
                <w:rFonts w:ascii="Arial Narrow" w:hAnsi="Arial Narrow"/>
                <w:snapToGrid/>
                <w:sz w:val="22"/>
                <w:szCs w:val="22"/>
              </w:rPr>
            </w:pPr>
            <w:r w:rsidRPr="00F41926">
              <w:rPr>
                <w:rFonts w:ascii="Arial Narrow" w:hAnsi="Arial Narrow"/>
                <w:snapToGrid/>
                <w:sz w:val="22"/>
                <w:szCs w:val="22"/>
              </w:rPr>
              <w:t>Reformatted</w:t>
            </w:r>
          </w:p>
        </w:tc>
        <w:tc>
          <w:tcPr>
            <w:tcW w:w="3780" w:type="dxa"/>
            <w:tcBorders>
              <w:top w:val="nil"/>
              <w:left w:val="nil"/>
              <w:bottom w:val="single" w:sz="4" w:space="0" w:color="auto"/>
              <w:right w:val="single" w:sz="4" w:space="0" w:color="auto"/>
            </w:tcBorders>
            <w:shd w:val="clear" w:color="auto" w:fill="FFFFFF" w:themeFill="background1"/>
            <w:vAlign w:val="center"/>
          </w:tcPr>
          <w:p w:rsidR="00614556" w:rsidRPr="00762E66" w:rsidRDefault="00614556" w:rsidP="00ED713C">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Allows electronic links to sections and provides added consistency</w:t>
            </w:r>
          </w:p>
        </w:tc>
      </w:tr>
      <w:tr w:rsidR="00D21C55" w:rsidRPr="00D21C55" w:rsidTr="00F41926">
        <w:trPr>
          <w:cantSplit/>
          <w:trHeight w:val="241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14556" w:rsidRPr="00762E66"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13</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Instructions for the 2012 MLR Reporting Year</w:t>
            </w:r>
          </w:p>
        </w:tc>
        <w:tc>
          <w:tcPr>
            <w:tcW w:w="4680" w:type="dxa"/>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Revised third paragraph, to read "The annual MLR Form Filing Instructions only apply to the 2012 MLR reporting year and its reporting requirements.</w:t>
            </w:r>
          </w:p>
          <w:p w:rsidR="00614556" w:rsidRPr="00F41926" w:rsidRDefault="00614556">
            <w:pPr>
              <w:widowControl/>
              <w:shd w:val="clear" w:color="auto" w:fill="FFFFFF" w:themeFill="background1"/>
              <w:rPr>
                <w:rFonts w:ascii="Arial Narrow" w:hAnsi="Arial Narrow"/>
                <w:snapToGrid/>
                <w:color w:val="000000"/>
                <w:sz w:val="22"/>
                <w:szCs w:val="22"/>
              </w:rPr>
            </w:pPr>
          </w:p>
          <w:p w:rsidR="00614556" w:rsidRPr="00F41926" w:rsidRDefault="00614556">
            <w:pPr>
              <w:widowControl/>
              <w:shd w:val="clear" w:color="auto" w:fill="FFFFFF" w:themeFill="background1"/>
              <w:rPr>
                <w:rFonts w:ascii="Arial Narrow" w:hAnsi="Arial Narrow"/>
                <w:snapToGrid/>
                <w:color w:val="000000"/>
                <w:sz w:val="22"/>
                <w:szCs w:val="22"/>
              </w:rPr>
            </w:pPr>
            <w:r w:rsidRPr="00F41926">
              <w:rPr>
                <w:rFonts w:ascii="Arial Narrow" w:hAnsi="Arial Narrow"/>
                <w:snapToGrid/>
                <w:color w:val="000000"/>
                <w:sz w:val="22"/>
                <w:szCs w:val="22"/>
              </w:rPr>
              <w:t>These Filing Instructions will be revised to reflect changes that apply to the filing years subsequent to 2012. Filing will require a one-time registration by the issuer, with the CMS Health Insurance Oversight System (HIOS) to submit its report to the Secretary. If an issuer registered for the MLR module in HIOS for the 2011 MLR reporting year, it does not need to reregister, but will need to confirm or update its issuer associations."</w:t>
            </w:r>
          </w:p>
        </w:tc>
        <w:tc>
          <w:tcPr>
            <w:tcW w:w="3780" w:type="dxa"/>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pPr>
              <w:widowControl/>
              <w:shd w:val="clear" w:color="auto" w:fill="FFFFFF" w:themeFill="background1"/>
              <w:rPr>
                <w:rFonts w:ascii="Arial Narrow" w:hAnsi="Arial Narrow"/>
                <w:snapToGrid/>
                <w:color w:val="000000"/>
                <w:sz w:val="22"/>
                <w:szCs w:val="22"/>
              </w:rPr>
            </w:pPr>
            <w:r w:rsidRPr="00F41926">
              <w:rPr>
                <w:rFonts w:ascii="Arial Narrow" w:hAnsi="Arial Narrow"/>
                <w:snapToGrid/>
                <w:color w:val="000000"/>
                <w:sz w:val="22"/>
                <w:szCs w:val="22"/>
              </w:rPr>
              <w:t xml:space="preserve">In response to comments received, this language was revised to provide clarity and to reflect more precisely registration requirements. </w:t>
            </w:r>
          </w:p>
        </w:tc>
      </w:tr>
      <w:tr w:rsidR="00D21C55" w:rsidRPr="00D21C55" w:rsidTr="00F41926">
        <w:trPr>
          <w:cantSplit/>
          <w:trHeight w:val="881"/>
        </w:trPr>
        <w:tc>
          <w:tcPr>
            <w:tcW w:w="630" w:type="dxa"/>
            <w:tcBorders>
              <w:top w:val="nil"/>
              <w:left w:val="single" w:sz="4" w:space="0" w:color="auto"/>
              <w:bottom w:val="single" w:sz="4" w:space="0" w:color="auto"/>
              <w:right w:val="single" w:sz="4" w:space="0" w:color="auto"/>
            </w:tcBorders>
            <w:shd w:val="clear" w:color="auto" w:fill="auto"/>
            <w:noWrap/>
            <w:vAlign w:val="center"/>
          </w:tcPr>
          <w:p w:rsidR="00614556" w:rsidRPr="00456EDE"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14</w:t>
            </w:r>
          </w:p>
        </w:tc>
        <w:tc>
          <w:tcPr>
            <w:tcW w:w="1890" w:type="dxa"/>
            <w:tcBorders>
              <w:top w:val="nil"/>
              <w:left w:val="nil"/>
              <w:bottom w:val="single" w:sz="4" w:space="0" w:color="auto"/>
              <w:right w:val="single" w:sz="4" w:space="0" w:color="auto"/>
            </w:tcBorders>
            <w:shd w:val="clear" w:color="auto" w:fill="FFFFFF" w:themeFill="background1"/>
            <w:vAlign w:val="center"/>
          </w:tcPr>
          <w:p w:rsidR="00614556" w:rsidRPr="00762E66"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Instructions for the 2012 MLR Reporting Year</w:t>
            </w:r>
          </w:p>
        </w:tc>
        <w:tc>
          <w:tcPr>
            <w:tcW w:w="4680" w:type="dxa"/>
            <w:tcBorders>
              <w:top w:val="nil"/>
              <w:left w:val="nil"/>
              <w:bottom w:val="single" w:sz="4" w:space="0" w:color="auto"/>
              <w:right w:val="single" w:sz="4" w:space="0" w:color="auto"/>
            </w:tcBorders>
            <w:shd w:val="clear" w:color="auto" w:fill="FFFFFF" w:themeFill="background1"/>
            <w:vAlign w:val="center"/>
          </w:tcPr>
          <w:p w:rsidR="00614556" w:rsidRPr="00B61A81" w:rsidRDefault="00614556" w:rsidP="00B61A81">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Revised the second and third sentences in the seventh paragraph to read "(Note:  The experience of expatriate plans is aggregated on a national basis, and for the 2012 MLR </w:t>
            </w:r>
            <w:r w:rsidRPr="00751AF5">
              <w:rPr>
                <w:rFonts w:ascii="Arial Narrow" w:hAnsi="Arial Narrow"/>
                <w:snapToGrid/>
                <w:color w:val="000000"/>
                <w:sz w:val="22"/>
                <w:szCs w:val="22"/>
              </w:rPr>
              <w:t>reporting year should be reported only in the 12/31 column o</w:t>
            </w:r>
            <w:r w:rsidRPr="00B61A81">
              <w:rPr>
                <w:rFonts w:ascii="Arial Narrow" w:hAnsi="Arial Narrow"/>
                <w:snapToGrid/>
                <w:color w:val="000000"/>
                <w:sz w:val="22"/>
                <w:szCs w:val="22"/>
              </w:rPr>
              <w:t>f Parts 1 and 2 of the “Grand Total” MLR Form</w:t>
            </w:r>
            <w:r w:rsidRPr="00751AF5">
              <w:rPr>
                <w:rFonts w:ascii="Arial Narrow" w:hAnsi="Arial Narrow"/>
                <w:snapToGrid/>
                <w:color w:val="000000"/>
                <w:sz w:val="22"/>
                <w:szCs w:val="22"/>
              </w:rPr>
              <w:t>. Expatriate experience should not be reported in Parts 4, 5 or 6 of the MLR Form. See Changes t</w:t>
            </w:r>
            <w:r w:rsidRPr="00B61A81">
              <w:rPr>
                <w:rFonts w:ascii="Arial Narrow" w:hAnsi="Arial Narrow"/>
                <w:snapToGrid/>
                <w:color w:val="000000"/>
                <w:sz w:val="22"/>
                <w:szCs w:val="22"/>
              </w:rPr>
              <w:t>o the 2012 MLR Annual Reporting Form, below.)"</w:t>
            </w:r>
          </w:p>
        </w:tc>
        <w:tc>
          <w:tcPr>
            <w:tcW w:w="3780" w:type="dxa"/>
            <w:tcBorders>
              <w:top w:val="nil"/>
              <w:left w:val="nil"/>
              <w:bottom w:val="single" w:sz="4" w:space="0" w:color="auto"/>
              <w:right w:val="single" w:sz="4" w:space="0" w:color="auto"/>
            </w:tcBorders>
            <w:shd w:val="clear" w:color="auto" w:fill="FFFFFF" w:themeFill="background1"/>
            <w:vAlign w:val="center"/>
          </w:tcPr>
          <w:p w:rsidR="00614556" w:rsidRPr="00751AF5" w:rsidRDefault="00614556" w:rsidP="00B61A81">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 Issuers with only expatriate business</w:t>
            </w:r>
            <w:r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Pr="00B61A81">
              <w:rPr>
                <w:rFonts w:ascii="Arial Narrow" w:hAnsi="Arial Narrow"/>
                <w:snapToGrid/>
                <w:color w:val="000000"/>
                <w:sz w:val="22"/>
                <w:szCs w:val="22"/>
              </w:rPr>
              <w:t>.</w:t>
            </w:r>
          </w:p>
        </w:tc>
      </w:tr>
      <w:tr w:rsidR="00D21C55" w:rsidRPr="00D21C55" w:rsidTr="00F41926">
        <w:trPr>
          <w:cantSplit/>
          <w:trHeight w:val="881"/>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14556" w:rsidRPr="00762E66"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15</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Changes to the 2012 MLR Annual Reporting Form – </w:t>
            </w:r>
          </w:p>
          <w:p w:rsidR="00614556" w:rsidRPr="00751AF5" w:rsidRDefault="0061455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No Calculated Fields</w:t>
            </w:r>
          </w:p>
        </w:tc>
        <w:tc>
          <w:tcPr>
            <w:tcW w:w="4680" w:type="dxa"/>
            <w:tcBorders>
              <w:top w:val="nil"/>
              <w:left w:val="nil"/>
              <w:bottom w:val="single" w:sz="4" w:space="0" w:color="auto"/>
              <w:right w:val="single" w:sz="4" w:space="0" w:color="auto"/>
            </w:tcBorders>
            <w:shd w:val="clear" w:color="auto" w:fill="FFFFFF" w:themeFill="background1"/>
            <w:vAlign w:val="center"/>
            <w:hideMark/>
          </w:tcPr>
          <w:p w:rsidR="00614556" w:rsidRPr="00B61A81" w:rsidRDefault="0061455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Revised language, to read "No fields or cells in the 2012 MLR Form that are for user input or calculations are locked or contain automatic cal</w:t>
            </w:r>
            <w:r w:rsidRPr="00B61A81">
              <w:rPr>
                <w:rFonts w:ascii="Arial Narrow" w:hAnsi="Arial Narrow"/>
                <w:snapToGrid/>
                <w:color w:val="000000"/>
                <w:sz w:val="22"/>
                <w:szCs w:val="22"/>
              </w:rPr>
              <w:t xml:space="preserve">culations." </w:t>
            </w:r>
          </w:p>
        </w:tc>
        <w:tc>
          <w:tcPr>
            <w:tcW w:w="3780" w:type="dxa"/>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 xml:space="preserve">This language was revised to reflect more precisely changes made to the MLR form. </w:t>
            </w:r>
          </w:p>
        </w:tc>
      </w:tr>
      <w:tr w:rsidR="00D21C55" w:rsidRPr="00D21C55" w:rsidTr="00F41926">
        <w:trPr>
          <w:cantSplit/>
          <w:trHeight w:val="1925"/>
        </w:trPr>
        <w:tc>
          <w:tcPr>
            <w:tcW w:w="630" w:type="dxa"/>
            <w:tcBorders>
              <w:top w:val="nil"/>
              <w:left w:val="single" w:sz="4" w:space="0" w:color="auto"/>
              <w:bottom w:val="single" w:sz="4" w:space="0" w:color="auto"/>
              <w:right w:val="single" w:sz="4" w:space="0" w:color="auto"/>
            </w:tcBorders>
            <w:shd w:val="clear" w:color="auto" w:fill="auto"/>
            <w:noWrap/>
            <w:vAlign w:val="center"/>
          </w:tcPr>
          <w:p w:rsidR="00614556" w:rsidRPr="00456EDE"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16</w:t>
            </w:r>
          </w:p>
        </w:tc>
        <w:tc>
          <w:tcPr>
            <w:tcW w:w="1890" w:type="dxa"/>
            <w:tcBorders>
              <w:top w:val="nil"/>
              <w:left w:val="nil"/>
              <w:bottom w:val="single" w:sz="4" w:space="0" w:color="auto"/>
              <w:right w:val="single" w:sz="4" w:space="0" w:color="auto"/>
            </w:tcBorders>
            <w:shd w:val="clear" w:color="auto" w:fill="FFFFFF" w:themeFill="background1"/>
            <w:vAlign w:val="center"/>
          </w:tcPr>
          <w:p w:rsidR="00614556" w:rsidRPr="00762E66"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Changes to the 2012 MLR Annual Reporting Form – Expatriate Plans</w:t>
            </w:r>
          </w:p>
          <w:p w:rsidR="00614556" w:rsidRPr="00762E66" w:rsidRDefault="00614556">
            <w:pPr>
              <w:widowControl/>
              <w:shd w:val="clear" w:color="auto" w:fill="FFFFFF" w:themeFill="background1"/>
              <w:rPr>
                <w:rFonts w:ascii="Arial Narrow" w:hAnsi="Arial Narrow"/>
                <w:snapToGrid/>
                <w:color w:val="000000"/>
                <w:sz w:val="22"/>
                <w:szCs w:val="22"/>
              </w:rPr>
            </w:pPr>
          </w:p>
        </w:tc>
        <w:tc>
          <w:tcPr>
            <w:tcW w:w="4680" w:type="dxa"/>
            <w:tcBorders>
              <w:top w:val="nil"/>
              <w:left w:val="nil"/>
              <w:bottom w:val="single" w:sz="4" w:space="0" w:color="auto"/>
              <w:right w:val="single" w:sz="4" w:space="0" w:color="auto"/>
            </w:tcBorders>
            <w:shd w:val="clear" w:color="auto" w:fill="FFFFFF" w:themeFill="background1"/>
            <w:vAlign w:val="center"/>
          </w:tcPr>
          <w:p w:rsidR="00614556" w:rsidRPr="00B61A81" w:rsidRDefault="0061455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Added paragraph "Expatriate Plans: For the 2012 MLR reporting year, expatriate plans are considered compliant with MLR requirements (see Affordable Care Act Implementation FAQs – Set 13 published March 8, 2013. For the 2012 MLR reporting year, issuers with only expatriate business are not required to file an MLR Form. Issuers with health insurance coverage in other markets should report their expatriate experience only in the 12/31 column of Parts 1 and 2 of the “Grand Total” page of the MLR Form, and leave all other expatriate columns in the MLR Form blank.</w:t>
            </w:r>
          </w:p>
        </w:tc>
        <w:tc>
          <w:tcPr>
            <w:tcW w:w="3780" w:type="dxa"/>
            <w:tcBorders>
              <w:top w:val="nil"/>
              <w:left w:val="nil"/>
              <w:bottom w:val="single" w:sz="4" w:space="0" w:color="auto"/>
              <w:right w:val="single" w:sz="4" w:space="0" w:color="auto"/>
            </w:tcBorders>
            <w:shd w:val="clear" w:color="auto" w:fill="FFFFFF" w:themeFill="background1"/>
            <w:vAlign w:val="center"/>
          </w:tcPr>
          <w:p w:rsidR="00614556" w:rsidRPr="00751AF5" w:rsidRDefault="0061455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 xml:space="preserve">This language was added to reflect guidance issued in "Affordable Care Act Implementation FAQ - Set 13" regarding treatment of expatriate plans, which </w:t>
            </w:r>
            <w:r w:rsidRPr="00F41926">
              <w:rPr>
                <w:rFonts w:ascii="Arial Narrow" w:hAnsi="Arial Narrow"/>
                <w:snapToGrid/>
                <w:color w:val="000000"/>
                <w:sz w:val="22"/>
                <w:szCs w:val="22"/>
              </w:rPr>
              <w:t>are considered compliant for the 2012 reporting year</w:t>
            </w:r>
            <w:r w:rsidR="00ED713C">
              <w:rPr>
                <w:rFonts w:ascii="Arial Narrow" w:hAnsi="Arial Narrow"/>
                <w:snapToGrid/>
                <w:color w:val="000000"/>
                <w:sz w:val="22"/>
                <w:szCs w:val="22"/>
              </w:rPr>
              <w:t>.</w:t>
            </w:r>
            <w:r w:rsidRPr="00F41926">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192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14556" w:rsidRPr="00762E66"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17</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Changes to the 2012 MLR Annual Reporting Form - </w:t>
            </w:r>
            <w:r w:rsidRPr="00751AF5">
              <w:rPr>
                <w:rFonts w:ascii="Arial Narrow" w:hAnsi="Arial Narrow"/>
                <w:snapToGrid/>
                <w:color w:val="000000"/>
                <w:sz w:val="22"/>
                <w:szCs w:val="22"/>
              </w:rPr>
              <w:t>Formulas and Tables Reference Worksheets</w:t>
            </w:r>
          </w:p>
        </w:tc>
        <w:tc>
          <w:tcPr>
            <w:tcW w:w="4680" w:type="dxa"/>
            <w:tcBorders>
              <w:top w:val="nil"/>
              <w:left w:val="nil"/>
              <w:bottom w:val="single" w:sz="4" w:space="0" w:color="auto"/>
              <w:right w:val="single" w:sz="4" w:space="0" w:color="auto"/>
            </w:tcBorders>
            <w:shd w:val="clear" w:color="auto" w:fill="FFFFFF" w:themeFill="background1"/>
            <w:vAlign w:val="center"/>
            <w:hideMark/>
          </w:tcPr>
          <w:p w:rsidR="00614556" w:rsidRPr="00B61A81" w:rsidRDefault="0061455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 xml:space="preserve">Changed name of section to "Formulas" and revised language, to read "Since the workbook will no longer automatically calculate any fields, tools will be provided to inform issuers about key data calculations related to MLR reporting. </w:t>
            </w:r>
            <w:r w:rsidRPr="00751AF5">
              <w:rPr>
                <w:rFonts w:ascii="Arial Narrow" w:hAnsi="Arial Narrow"/>
                <w:snapToGrid/>
                <w:color w:val="FF0000"/>
                <w:sz w:val="22"/>
                <w:szCs w:val="22"/>
              </w:rPr>
              <w:t>These tools will be available through the HIOS MLR module and on the CCIIO website."</w:t>
            </w:r>
          </w:p>
        </w:tc>
        <w:tc>
          <w:tcPr>
            <w:tcW w:w="3780" w:type="dxa"/>
            <w:tcBorders>
              <w:top w:val="nil"/>
              <w:left w:val="nil"/>
              <w:bottom w:val="single" w:sz="4" w:space="0" w:color="auto"/>
              <w:right w:val="single" w:sz="4" w:space="0" w:color="auto"/>
            </w:tcBorders>
            <w:shd w:val="clear" w:color="auto" w:fill="FFFFFF" w:themeFill="background1"/>
            <w:vAlign w:val="center"/>
            <w:hideMark/>
          </w:tcPr>
          <w:p w:rsidR="00614556" w:rsidRPr="00B61A81" w:rsidRDefault="0061455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 xml:space="preserve">This language was revised to reflect more precisely changes made to the MLR form and to respond to comments asking CMS to provide the formulas and a tool to calculate the data. </w:t>
            </w:r>
          </w:p>
        </w:tc>
      </w:tr>
      <w:tr w:rsidR="00D21C55" w:rsidRPr="00D21C55" w:rsidTr="00EF3083">
        <w:trPr>
          <w:cantSplit/>
          <w:trHeight w:val="99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14556" w:rsidRPr="00762E66"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18</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BB648D">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General Instructions - Closed Blocks of Business</w:t>
            </w:r>
          </w:p>
        </w:tc>
        <w:tc>
          <w:tcPr>
            <w:tcW w:w="4680" w:type="dxa"/>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rsidP="00EF3083">
            <w:pPr>
              <w:widowControl/>
              <w:shd w:val="clear" w:color="auto" w:fill="FFFFFF" w:themeFill="background1"/>
              <w:rPr>
                <w:rFonts w:ascii="Arial Narrow" w:hAnsi="Arial Narrow"/>
                <w:snapToGrid/>
                <w:sz w:val="22"/>
                <w:szCs w:val="22"/>
              </w:rPr>
            </w:pPr>
            <w:r w:rsidRPr="00751AF5">
              <w:rPr>
                <w:rFonts w:ascii="Arial Narrow" w:hAnsi="Arial Narrow"/>
                <w:snapToGrid/>
                <w:color w:val="FF0000"/>
                <w:sz w:val="22"/>
                <w:szCs w:val="22"/>
              </w:rPr>
              <w:t>Added section for issuers with small grandfathered closed blocks of business.</w:t>
            </w:r>
          </w:p>
        </w:tc>
        <w:tc>
          <w:tcPr>
            <w:tcW w:w="3780" w:type="dxa"/>
            <w:tcBorders>
              <w:top w:val="nil"/>
              <w:left w:val="nil"/>
              <w:bottom w:val="single" w:sz="4" w:space="0" w:color="auto"/>
              <w:right w:val="single" w:sz="4" w:space="0" w:color="auto"/>
            </w:tcBorders>
            <w:shd w:val="clear" w:color="auto" w:fill="FFFFFF" w:themeFill="background1"/>
            <w:vAlign w:val="center"/>
            <w:hideMark/>
          </w:tcPr>
          <w:p w:rsidR="00614556" w:rsidRPr="00B61A81" w:rsidRDefault="00614556" w:rsidP="00BB648D">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In response to comments received, this section was added to clarify the submission process for issuers with closed blocks of business.</w:t>
            </w:r>
          </w:p>
        </w:tc>
      </w:tr>
      <w:tr w:rsidR="00D21C55" w:rsidRPr="00D21C55" w:rsidTr="00F41926">
        <w:trPr>
          <w:cantSplit/>
          <w:trHeight w:val="1358"/>
        </w:trPr>
        <w:tc>
          <w:tcPr>
            <w:tcW w:w="630" w:type="dxa"/>
            <w:tcBorders>
              <w:top w:val="nil"/>
              <w:left w:val="single" w:sz="4" w:space="0" w:color="auto"/>
              <w:bottom w:val="single" w:sz="4" w:space="0" w:color="auto"/>
              <w:right w:val="single" w:sz="4" w:space="0" w:color="auto"/>
            </w:tcBorders>
            <w:shd w:val="clear" w:color="auto" w:fill="auto"/>
            <w:noWrap/>
            <w:vAlign w:val="center"/>
          </w:tcPr>
          <w:p w:rsidR="00614556" w:rsidRPr="00456EDE"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19</w:t>
            </w:r>
          </w:p>
        </w:tc>
        <w:tc>
          <w:tcPr>
            <w:tcW w:w="1890" w:type="dxa"/>
            <w:tcBorders>
              <w:top w:val="nil"/>
              <w:left w:val="nil"/>
              <w:bottom w:val="single" w:sz="4" w:space="0" w:color="auto"/>
              <w:right w:val="single" w:sz="4" w:space="0" w:color="auto"/>
            </w:tcBorders>
            <w:shd w:val="clear" w:color="auto" w:fill="FFFFFF" w:themeFill="background1"/>
            <w:vAlign w:val="center"/>
          </w:tcPr>
          <w:p w:rsidR="00614556" w:rsidRPr="00762E66"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General Instructions - Closed Blocks of Business</w:t>
            </w:r>
          </w:p>
        </w:tc>
        <w:tc>
          <w:tcPr>
            <w:tcW w:w="4680" w:type="dxa"/>
            <w:tcBorders>
              <w:top w:val="nil"/>
              <w:left w:val="nil"/>
              <w:bottom w:val="single" w:sz="4" w:space="0" w:color="auto"/>
              <w:right w:val="single" w:sz="4" w:space="0" w:color="auto"/>
            </w:tcBorders>
            <w:shd w:val="clear" w:color="auto" w:fill="FFFFFF" w:themeFill="background1"/>
            <w:vAlign w:val="center"/>
          </w:tcPr>
          <w:p w:rsidR="00614556" w:rsidRPr="00456EDE" w:rsidRDefault="00614556" w:rsidP="00F41926">
            <w:pPr>
              <w:rPr>
                <w:rFonts w:ascii="Arial Narrow" w:hAnsi="Arial Narrow"/>
                <w:snapToGrid/>
                <w:color w:val="000000"/>
                <w:sz w:val="22"/>
                <w:szCs w:val="22"/>
              </w:rPr>
            </w:pPr>
            <w:r w:rsidRPr="00F41926">
              <w:rPr>
                <w:rFonts w:ascii="Arial Narrow" w:hAnsi="Arial Narrow"/>
                <w:color w:val="000000"/>
                <w:sz w:val="22"/>
                <w:szCs w:val="22"/>
              </w:rPr>
              <w:t>Added language "</w:t>
            </w:r>
            <w:r w:rsidRPr="00F41926">
              <w:rPr>
                <w:rFonts w:ascii="Arial Narrow" w:hAnsi="Arial Narrow"/>
                <w:bCs/>
                <w:color w:val="FF0000"/>
                <w:sz w:val="22"/>
                <w:szCs w:val="22"/>
              </w:rPr>
              <w:t>For example, an issuer with 700 life-years in the 2011 MLR reporting year and 600 life-years in the 2012 MLR reporting year for the same state market would be partially credible in the 2012 MLR reporting year. (45 CFR §158.230 and 158.231.)"</w:t>
            </w:r>
          </w:p>
        </w:tc>
        <w:tc>
          <w:tcPr>
            <w:tcW w:w="3780" w:type="dxa"/>
            <w:tcBorders>
              <w:top w:val="nil"/>
              <w:left w:val="nil"/>
              <w:bottom w:val="single" w:sz="4" w:space="0" w:color="auto"/>
              <w:right w:val="single" w:sz="4" w:space="0" w:color="auto"/>
            </w:tcBorders>
            <w:shd w:val="clear" w:color="auto" w:fill="FFFFFF" w:themeFill="background1"/>
            <w:vAlign w:val="center"/>
          </w:tcPr>
          <w:p w:rsidR="00614556" w:rsidRPr="00762E66" w:rsidRDefault="00614556" w:rsidP="00202AB5">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This language was added to </w:t>
            </w:r>
            <w:r w:rsidR="00751AF5">
              <w:rPr>
                <w:rFonts w:ascii="Arial Narrow" w:hAnsi="Arial Narrow"/>
                <w:snapToGrid/>
                <w:color w:val="000000"/>
                <w:sz w:val="22"/>
                <w:szCs w:val="22"/>
              </w:rPr>
              <w:t xml:space="preserve">clarify </w:t>
            </w:r>
            <w:r w:rsidR="00202AB5">
              <w:rPr>
                <w:rFonts w:ascii="Arial Narrow" w:hAnsi="Arial Narrow"/>
                <w:snapToGrid/>
                <w:color w:val="000000"/>
                <w:sz w:val="22"/>
                <w:szCs w:val="22"/>
              </w:rPr>
              <w:t>the</w:t>
            </w:r>
            <w:r w:rsidR="00751AF5">
              <w:rPr>
                <w:rFonts w:ascii="Arial Narrow" w:hAnsi="Arial Narrow"/>
                <w:snapToGrid/>
                <w:color w:val="000000"/>
                <w:sz w:val="22"/>
                <w:szCs w:val="22"/>
              </w:rPr>
              <w:t xml:space="preserve"> data </w:t>
            </w:r>
            <w:r w:rsidR="00202AB5">
              <w:rPr>
                <w:rFonts w:ascii="Arial Narrow" w:hAnsi="Arial Narrow"/>
                <w:snapToGrid/>
                <w:color w:val="000000"/>
                <w:sz w:val="22"/>
                <w:szCs w:val="22"/>
              </w:rPr>
              <w:t>that are</w:t>
            </w:r>
            <w:r w:rsidR="00751AF5">
              <w:rPr>
                <w:rFonts w:ascii="Arial Narrow" w:hAnsi="Arial Narrow"/>
                <w:snapToGrid/>
                <w:color w:val="000000"/>
                <w:sz w:val="22"/>
                <w:szCs w:val="22"/>
              </w:rPr>
              <w:t xml:space="preserve"> used in determining </w:t>
            </w:r>
            <w:r w:rsidR="00202AB5">
              <w:rPr>
                <w:rFonts w:ascii="Arial Narrow" w:hAnsi="Arial Narrow"/>
                <w:snapToGrid/>
                <w:color w:val="000000"/>
                <w:sz w:val="22"/>
                <w:szCs w:val="22"/>
              </w:rPr>
              <w:t>whether an issuer is non-credible or partially credible.</w:t>
            </w:r>
          </w:p>
        </w:tc>
      </w:tr>
      <w:tr w:rsidR="00D21C55" w:rsidRPr="00D21C55" w:rsidTr="00F41926">
        <w:trPr>
          <w:cantSplit/>
          <w:trHeight w:val="2024"/>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14556" w:rsidRPr="00762E66" w:rsidRDefault="00614556"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20</w:t>
            </w:r>
          </w:p>
        </w:tc>
        <w:tc>
          <w:tcPr>
            <w:tcW w:w="1890" w:type="dxa"/>
            <w:tcBorders>
              <w:top w:val="nil"/>
              <w:left w:val="nil"/>
              <w:bottom w:val="single" w:sz="4" w:space="0" w:color="auto"/>
              <w:right w:val="single" w:sz="4" w:space="0" w:color="auto"/>
            </w:tcBorders>
            <w:shd w:val="clear" w:color="auto" w:fill="FFFFFF" w:themeFill="background1"/>
            <w:vAlign w:val="center"/>
            <w:hideMark/>
          </w:tcPr>
          <w:p w:rsidR="00614556" w:rsidRPr="00762E66" w:rsidRDefault="00614556">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General Instructions - Aggregation of Experience – </w:t>
            </w:r>
          </w:p>
          <w:p w:rsidR="00614556" w:rsidRPr="00751AF5" w:rsidRDefault="0061455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Stand Alone Paragraph</w:t>
            </w:r>
          </w:p>
        </w:tc>
        <w:tc>
          <w:tcPr>
            <w:tcW w:w="4680" w:type="dxa"/>
            <w:tcBorders>
              <w:top w:val="nil"/>
              <w:left w:val="nil"/>
              <w:bottom w:val="single" w:sz="4" w:space="0" w:color="auto"/>
              <w:right w:val="single" w:sz="4" w:space="0" w:color="auto"/>
            </w:tcBorders>
            <w:shd w:val="clear" w:color="auto" w:fill="FFFFFF" w:themeFill="background1"/>
            <w:vAlign w:val="center"/>
            <w:hideMark/>
          </w:tcPr>
          <w:p w:rsidR="00614556" w:rsidRPr="00751AF5" w:rsidRDefault="00614556">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 xml:space="preserve">Revised paragraph, to read "For those issuers of health insurance coverage in Massachusetts’ individual and small group markets that choose to merge their markets in accordance with Massachusetts law, please indicate “Yes” in the Merged Markets – Indv/SmGrp (MA only) box at the top of the MLR Form.  </w:t>
            </w:r>
          </w:p>
          <w:p w:rsidR="00614556" w:rsidRPr="00751AF5" w:rsidRDefault="00614556">
            <w:pPr>
              <w:widowControl/>
              <w:shd w:val="clear" w:color="auto" w:fill="FFFFFF" w:themeFill="background1"/>
              <w:rPr>
                <w:rFonts w:ascii="Arial Narrow" w:hAnsi="Arial Narrow"/>
                <w:snapToGrid/>
                <w:color w:val="000000"/>
                <w:sz w:val="22"/>
                <w:szCs w:val="22"/>
              </w:rPr>
            </w:pPr>
          </w:p>
          <w:p w:rsidR="00614556" w:rsidRPr="00B61A81" w:rsidRDefault="0061455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Please report all experience separately for the individual and small group markets, and combine it only in MLR numerator and denominator fields (Part 4 Lines 1.5 and 2.3)."</w:t>
            </w:r>
          </w:p>
        </w:tc>
        <w:tc>
          <w:tcPr>
            <w:tcW w:w="3780" w:type="dxa"/>
            <w:tcBorders>
              <w:top w:val="nil"/>
              <w:left w:val="nil"/>
              <w:bottom w:val="single" w:sz="4" w:space="0" w:color="auto"/>
              <w:right w:val="single" w:sz="4" w:space="0" w:color="auto"/>
            </w:tcBorders>
            <w:shd w:val="clear" w:color="auto" w:fill="FFFFFF" w:themeFill="background1"/>
            <w:vAlign w:val="center"/>
            <w:hideMark/>
          </w:tcPr>
          <w:p w:rsidR="00614556" w:rsidRPr="00F41926" w:rsidRDefault="00614556">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 xml:space="preserve">This language was revised to provide clarity. </w:t>
            </w:r>
          </w:p>
        </w:tc>
      </w:tr>
      <w:tr w:rsidR="00D21C55" w:rsidRPr="00D21C55" w:rsidTr="00EF3083">
        <w:trPr>
          <w:cantSplit/>
          <w:trHeight w:val="296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21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456EDE" w:rsidRDefault="00D21C55" w:rsidP="00F41926">
            <w:pPr>
              <w:widowControl/>
              <w:shd w:val="clear" w:color="auto" w:fill="FFFFFF" w:themeFill="background1"/>
              <w:ind w:left="-25"/>
              <w:rPr>
                <w:rFonts w:ascii="Arial Narrow" w:hAnsi="Arial Narrow"/>
                <w:snapToGrid/>
                <w:color w:val="000000"/>
                <w:sz w:val="22"/>
                <w:szCs w:val="22"/>
              </w:rPr>
            </w:pPr>
            <w:r w:rsidRPr="0056375E">
              <w:rPr>
                <w:rFonts w:ascii="Arial Narrow" w:hAnsi="Arial Narrow"/>
                <w:snapToGrid/>
                <w:color w:val="000000"/>
                <w:sz w:val="22"/>
                <w:szCs w:val="22"/>
              </w:rPr>
              <w:t>Column Definitions for Medical Loss Ratio Annual Reporting Form -Parts 1 &amp; 2</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751AF5" w:rsidRDefault="00D21C55">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Added language in the second paragraph: "(Mini-med plan experience is reported in Columns 16-24 of each State MLR Form and Columns 25-34 on the Grand Total MLR Form are labeled , respectively for expatriate plan experience. However, for the 2012 MLR reporting year, expatriate plans should be reported only in the 12/31 columns (Columns 25 and 30) of Parts 1 and 2 of the “Grand Total” page of the MLR Form and all other expatriate columns in the MLR Form should be left blank.)  The experience of expatriate plans is aggregated on a national basis."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751AF5" w:rsidRDefault="00D21C55">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751AF5">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433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22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Column Definitions for Medical Loss Ratio Annual Reporting Form -Parts 1 &amp; 2</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Revised fifth paragraph, to read “For any data element that is not separately reported in the financial statement filings to the issuer’s regulatory authority, an issuer does not need to separately report that element in the “12/31” column of the MLR Form.  However, an issuer must separately report that data element in the “3/31” column as required by 45 CFR Part 158 and as instructed in the MLR Form instructions.</w:t>
            </w:r>
          </w:p>
          <w:p w:rsidR="00D21C55" w:rsidRPr="00751AF5" w:rsidRDefault="00D21C55">
            <w:pPr>
              <w:widowControl/>
              <w:shd w:val="clear" w:color="auto" w:fill="FFFFFF" w:themeFill="background1"/>
              <w:rPr>
                <w:rFonts w:ascii="Arial Narrow" w:hAnsi="Arial Narrow"/>
                <w:snapToGrid/>
                <w:color w:val="000000"/>
                <w:sz w:val="22"/>
                <w:szCs w:val="22"/>
              </w:rPr>
            </w:pPr>
          </w:p>
          <w:p w:rsidR="00D21C55" w:rsidRPr="00B61A81" w:rsidRDefault="00D21C55">
            <w:pPr>
              <w:widowControl/>
              <w:shd w:val="clear" w:color="auto" w:fill="FFFFFF" w:themeFill="background1"/>
              <w:rPr>
                <w:rFonts w:ascii="Arial Narrow" w:hAnsi="Arial Narrow"/>
                <w:snapToGrid/>
                <w:color w:val="000000"/>
                <w:sz w:val="22"/>
                <w:szCs w:val="22"/>
              </w:rPr>
            </w:pPr>
            <w:r w:rsidRPr="00202AB5">
              <w:rPr>
                <w:rFonts w:ascii="Arial Narrow" w:hAnsi="Arial Narrow"/>
                <w:snapToGrid/>
                <w:color w:val="000000"/>
                <w:sz w:val="22"/>
                <w:szCs w:val="22"/>
              </w:rPr>
              <w:t>For example, an issuer may not need to report the amount of contingent benefit and lawsuit reserves in Part 2 Line 2.13 in the “12/31” column, but must report s</w:t>
            </w:r>
            <w:r w:rsidRPr="00B61A81">
              <w:rPr>
                <w:rFonts w:ascii="Arial Narrow" w:hAnsi="Arial Narrow"/>
                <w:snapToGrid/>
                <w:color w:val="000000"/>
                <w:sz w:val="22"/>
                <w:szCs w:val="22"/>
              </w:rPr>
              <w:t>uch amounts in the “3/31” column. An issuer must still report, in the detail provided by the MLR form, the amounts for premiums and unearned premium reserves, taxes and fees, claims and claims-related reserves, quality improving activities, and non-claims costs, in both the “12/31” and the “3/31” columns, to the extent the issuer reports such amounts to the issuer’s regulatory authority."</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B61A81" w:rsidRDefault="00D21C55">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In response to comments received this language was revised to provide clarity.</w:t>
            </w:r>
          </w:p>
        </w:tc>
      </w:tr>
      <w:tr w:rsidR="00D21C55" w:rsidRPr="00D21C55" w:rsidTr="00F41926">
        <w:trPr>
          <w:cantSplit/>
          <w:trHeight w:val="497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shd w:val="clear" w:color="auto" w:fill="FFFFFF" w:themeFill="background1"/>
              <w:jc w:val="center"/>
              <w:rPr>
                <w:rFonts w:ascii="Arial Narrow" w:hAnsi="Arial Narrow"/>
                <w:b/>
                <w:bCs/>
                <w:snapToGrid/>
                <w:color w:val="000000"/>
                <w:sz w:val="22"/>
                <w:szCs w:val="22"/>
              </w:rPr>
            </w:pPr>
            <w:r w:rsidRPr="00F41926">
              <w:rPr>
                <w:rFonts w:ascii="Arial Narrow" w:hAnsi="Arial Narrow" w:cs="Calibri"/>
                <w:color w:val="000000"/>
                <w:sz w:val="22"/>
                <w:szCs w:val="22"/>
              </w:rPr>
              <w:t>23</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21C55" w:rsidRPr="00762E66" w:rsidRDefault="00D21C55">
            <w:pPr>
              <w:widowControl/>
              <w:shd w:val="clear" w:color="auto" w:fill="FFFFFF" w:themeFill="background1"/>
              <w:rPr>
                <w:rFonts w:ascii="Arial Narrow" w:hAnsi="Arial Narrow"/>
                <w:snapToGrid/>
                <w:color w:val="000000"/>
                <w:sz w:val="22"/>
                <w:szCs w:val="22"/>
              </w:rPr>
            </w:pPr>
            <w:r w:rsidRPr="00762E66">
              <w:rPr>
                <w:rFonts w:ascii="Arial Narrow" w:hAnsi="Arial Narrow"/>
                <w:snapToGrid/>
                <w:color w:val="000000"/>
                <w:sz w:val="22"/>
                <w:szCs w:val="22"/>
              </w:rPr>
              <w:t xml:space="preserve">Column Definitions for Medical Loss Ratio Annual Reporting Form -Parts 1 &amp; 2-  </w:t>
            </w:r>
          </w:p>
        </w:tc>
        <w:tc>
          <w:tcPr>
            <w:tcW w:w="4680" w:type="dxa"/>
            <w:tcBorders>
              <w:top w:val="single" w:sz="4" w:space="0" w:color="auto"/>
              <w:left w:val="nil"/>
              <w:bottom w:val="single" w:sz="4" w:space="0" w:color="auto"/>
              <w:right w:val="single" w:sz="4" w:space="0" w:color="auto"/>
            </w:tcBorders>
            <w:shd w:val="clear" w:color="auto" w:fill="FFFFFF" w:themeFill="background1"/>
            <w:vAlign w:val="center"/>
            <w:hideMark/>
          </w:tcPr>
          <w:p w:rsidR="00D21C55" w:rsidRPr="00751AF5" w:rsidRDefault="00D21C55">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 xml:space="preserve">Revised language in section titled Columns 2, 7, 12, 17, 20, 23, 26, and 31, Business as of 3/31 of subsequent MLR reporting year, to read "Financial Information reported in the 3/31 columns should equal the amount of each element related specifically to experience in the 2012 MLR reporting year and paid through March 31 of the subsequent reporting year (incurred in 12, paid or received in 15), plus any provision for items properly allocable to the 2012 MLR reporting year but not yet paid as of 3/31 of the following year. </w:t>
            </w:r>
          </w:p>
          <w:p w:rsidR="00D21C55" w:rsidRPr="00751AF5" w:rsidRDefault="00D21C55">
            <w:pPr>
              <w:widowControl/>
              <w:shd w:val="clear" w:color="auto" w:fill="FFFFFF" w:themeFill="background1"/>
              <w:rPr>
                <w:rFonts w:ascii="Arial Narrow" w:hAnsi="Arial Narrow"/>
                <w:snapToGrid/>
                <w:color w:val="000000"/>
                <w:sz w:val="22"/>
                <w:szCs w:val="22"/>
              </w:rPr>
            </w:pPr>
          </w:p>
          <w:p w:rsidR="00D21C55" w:rsidRPr="00202AB5" w:rsidRDefault="00D21C55">
            <w:pPr>
              <w:widowControl/>
              <w:shd w:val="clear" w:color="auto" w:fill="FFFFFF" w:themeFill="background1"/>
              <w:rPr>
                <w:rFonts w:ascii="Arial Narrow" w:hAnsi="Arial Narrow"/>
                <w:snapToGrid/>
                <w:color w:val="000000"/>
                <w:sz w:val="22"/>
                <w:szCs w:val="22"/>
              </w:rPr>
            </w:pPr>
            <w:r w:rsidRPr="00751AF5">
              <w:rPr>
                <w:rFonts w:ascii="Arial Narrow" w:hAnsi="Arial Narrow"/>
                <w:snapToGrid/>
                <w:color w:val="000000"/>
                <w:sz w:val="22"/>
                <w:szCs w:val="22"/>
              </w:rPr>
              <w:t>For example, these columns could include differences from the 12/31 columns in the upper limit for a small group and the lower limit for a large group, if state group size regulations differ fr</w:t>
            </w:r>
            <w:r w:rsidRPr="00202AB5">
              <w:rPr>
                <w:rFonts w:ascii="Arial Narrow" w:hAnsi="Arial Narrow"/>
                <w:snapToGrid/>
                <w:color w:val="000000"/>
                <w:sz w:val="22"/>
                <w:szCs w:val="22"/>
              </w:rPr>
              <w:t>om federal group size regulations. (See the Definitions of Small Group and Large Group, in the General Instructions above.) </w:t>
            </w:r>
          </w:p>
          <w:p w:rsidR="00D21C55" w:rsidRPr="00B61A81" w:rsidRDefault="00D21C55">
            <w:pPr>
              <w:widowControl/>
              <w:shd w:val="clear" w:color="auto" w:fill="FFFFFF" w:themeFill="background1"/>
              <w:rPr>
                <w:rFonts w:ascii="Arial Narrow" w:hAnsi="Arial Narrow"/>
                <w:snapToGrid/>
                <w:color w:val="000000"/>
                <w:sz w:val="22"/>
                <w:szCs w:val="22"/>
              </w:rPr>
            </w:pPr>
          </w:p>
          <w:p w:rsidR="00D21C55" w:rsidRPr="00B61A81" w:rsidRDefault="00D21C55">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If the issuer elects to treat the out-of-network experience of an affiliate that provides the out-of-network coverage as if it were related to the contract providing the in-network coverage, the issuer must include such out-of-network experience in the 3/31 columns, as well as separately report it in the Dual Contract columns (see the column definition below)."</w:t>
            </w:r>
          </w:p>
        </w:tc>
        <w:tc>
          <w:tcPr>
            <w:tcW w:w="3780" w:type="dxa"/>
            <w:tcBorders>
              <w:top w:val="single" w:sz="4" w:space="0" w:color="auto"/>
              <w:left w:val="nil"/>
              <w:bottom w:val="single" w:sz="4" w:space="0" w:color="auto"/>
              <w:right w:val="single" w:sz="4" w:space="0" w:color="auto"/>
            </w:tcBorders>
            <w:shd w:val="clear" w:color="auto" w:fill="FFFFFF" w:themeFill="background1"/>
            <w:vAlign w:val="center"/>
            <w:hideMark/>
          </w:tcPr>
          <w:p w:rsidR="00D21C55" w:rsidRPr="00B61A81" w:rsidRDefault="00D21C55">
            <w:pPr>
              <w:widowControl/>
              <w:shd w:val="clear" w:color="auto" w:fill="FFFFFF" w:themeFill="background1"/>
              <w:rPr>
                <w:rFonts w:ascii="Arial Narrow" w:hAnsi="Arial Narrow"/>
                <w:snapToGrid/>
                <w:color w:val="000000"/>
                <w:sz w:val="22"/>
                <w:szCs w:val="22"/>
              </w:rPr>
            </w:pPr>
            <w:r w:rsidRPr="00B61A81">
              <w:rPr>
                <w:rFonts w:ascii="Arial Narrow" w:hAnsi="Arial Narrow"/>
                <w:snapToGrid/>
                <w:color w:val="000000"/>
                <w:sz w:val="22"/>
                <w:szCs w:val="22"/>
              </w:rPr>
              <w:t>In response to comments received, this language was revised to provide clarity and to capture MLR data through 3/31.</w:t>
            </w:r>
          </w:p>
        </w:tc>
      </w:tr>
      <w:tr w:rsidR="00D21C55" w:rsidRPr="00D21C55" w:rsidTr="00F41926">
        <w:trPr>
          <w:cantSplit/>
          <w:trHeight w:val="217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24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Column Definitions for Medical Loss Ratio Annual Reporting Form - Parts 1 &amp; 2</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language in section titled Columns 4, 9, 14, 28, and 33 - Deferred Newer Business from prior MLR reporting year, to read "Experience from policies for the relevant market newly issued in the 2011MLR reporting year (PY1), previously deferred, as provided in the General Instructions. </w:t>
            </w:r>
          </w:p>
          <w:p w:rsidR="00D21C55" w:rsidRPr="00751AF5" w:rsidRDefault="00D21C55">
            <w:pPr>
              <w:widowControl/>
              <w:rPr>
                <w:rFonts w:ascii="Arial Narrow" w:hAnsi="Arial Narrow"/>
                <w:snapToGrid/>
                <w:color w:val="000000"/>
                <w:sz w:val="22"/>
                <w:szCs w:val="22"/>
              </w:rPr>
            </w:pPr>
          </w:p>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FF0000"/>
                <w:sz w:val="22"/>
                <w:szCs w:val="22"/>
              </w:rPr>
              <w:t>Data elements constituting adjusted incurred claims for business deferred from the preceding MLR reporting year should be restated as of 3/31 of the year following the MLR reporting year."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In response to comments received this language was revised to provide clarity. </w:t>
            </w:r>
          </w:p>
        </w:tc>
      </w:tr>
      <w:tr w:rsidR="00D21C55" w:rsidRPr="00D21C55" w:rsidTr="00F41926">
        <w:trPr>
          <w:cantSplit/>
          <w:trHeight w:val="1844"/>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25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Column Definitions for Medical Loss Ratio Annual Reporting Form - Parts 1, 2, 4 &amp; 5</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751AF5" w:rsidRDefault="00D21C55" w:rsidP="00202AB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Added </w:t>
            </w:r>
            <w:r w:rsidR="00202AB5">
              <w:rPr>
                <w:rFonts w:ascii="Arial Narrow" w:hAnsi="Arial Narrow"/>
                <w:snapToGrid/>
                <w:color w:val="000000"/>
                <w:sz w:val="22"/>
                <w:szCs w:val="22"/>
              </w:rPr>
              <w:t xml:space="preserve">the following </w:t>
            </w:r>
            <w:r w:rsidRPr="00762E66">
              <w:rPr>
                <w:rFonts w:ascii="Arial Narrow" w:hAnsi="Arial Narrow"/>
                <w:snapToGrid/>
                <w:color w:val="000000"/>
                <w:sz w:val="22"/>
                <w:szCs w:val="22"/>
              </w:rPr>
              <w:t>language</w:t>
            </w:r>
            <w:r w:rsidR="00202AB5" w:rsidRPr="00751AF5">
              <w:rPr>
                <w:rFonts w:ascii="Arial Narrow" w:hAnsi="Arial Narrow"/>
                <w:snapToGrid/>
                <w:color w:val="000000"/>
                <w:sz w:val="22"/>
                <w:szCs w:val="22"/>
              </w:rPr>
              <w:t xml:space="preserve"> under each set of column descriptions</w:t>
            </w:r>
            <w:r w:rsidR="00202AB5">
              <w:rPr>
                <w:rFonts w:ascii="Arial Narrow" w:hAnsi="Arial Narrow"/>
                <w:snapToGrid/>
                <w:color w:val="000000"/>
                <w:sz w:val="22"/>
                <w:szCs w:val="22"/>
              </w:rPr>
              <w:t>:</w:t>
            </w:r>
            <w:r w:rsidRPr="00762E66">
              <w:rPr>
                <w:rFonts w:ascii="Arial Narrow" w:hAnsi="Arial Narrow"/>
                <w:snapToGrid/>
                <w:color w:val="000000"/>
                <w:sz w:val="22"/>
                <w:szCs w:val="22"/>
              </w:rPr>
              <w:t xml:space="preserve"> </w:t>
            </w:r>
            <w:r w:rsidRPr="00066389">
              <w:rPr>
                <w:rFonts w:ascii="Arial Narrow" w:hAnsi="Arial Narrow"/>
                <w:snapToGrid/>
                <w:color w:val="FF0000"/>
                <w:sz w:val="22"/>
                <w:szCs w:val="22"/>
              </w:rPr>
              <w:t xml:space="preserve">"(Note: Columns XX and XX are labeled for expatriate experience, but for the 2012 MLR reporting year should be left blank.) "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751AF5">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179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26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Column Definitions for Medical Loss Ratio Annual Reporting Form - Parts 1,&amp; 2, Columns 25-34 – Expatriate Plans</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Added language "For the 2012</w:t>
            </w:r>
            <w:r w:rsidR="00B66C16">
              <w:rPr>
                <w:rFonts w:ascii="Arial Narrow" w:hAnsi="Arial Narrow"/>
                <w:snapToGrid/>
                <w:color w:val="000000"/>
                <w:sz w:val="22"/>
                <w:szCs w:val="22"/>
              </w:rPr>
              <w:t xml:space="preserve"> </w:t>
            </w:r>
            <w:r w:rsidRPr="00751AF5">
              <w:rPr>
                <w:rFonts w:ascii="Arial Narrow" w:hAnsi="Arial Narrow"/>
                <w:snapToGrid/>
                <w:color w:val="000000"/>
                <w:sz w:val="22"/>
                <w:szCs w:val="22"/>
              </w:rPr>
              <w:t>MLR reporting year, expatriate plans should be reported only in the 12/31 column of Parts 1 and 2 (Columns 25 and 30) of the “Grand Total” page of the MLR Form, and all other expatriate columns(Columns 26 – 29 and 31 – 34) should be left blank."</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751AF5">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225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27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w:t>
            </w:r>
            <w:r w:rsidRPr="00751AF5">
              <w:rPr>
                <w:rFonts w:ascii="Arial Narrow" w:hAnsi="Arial Narrow"/>
                <w:snapToGrid/>
                <w:color w:val="000000"/>
                <w:sz w:val="22"/>
                <w:szCs w:val="22"/>
              </w:rPr>
              <w:t>Reporting Form - Part 1 - (Summary of Data) Section 2 - Claims</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Added the following statement under instructions for line 2.1, Total incurred claims.</w:t>
            </w:r>
          </w:p>
          <w:p w:rsidR="00D21C55" w:rsidRPr="00751AF5" w:rsidRDefault="00D21C55">
            <w:pPr>
              <w:widowControl/>
              <w:rPr>
                <w:rFonts w:ascii="Arial Narrow" w:hAnsi="Arial Narrow"/>
                <w:i/>
                <w:iCs/>
                <w:snapToGrid/>
                <w:color w:val="FF0000"/>
                <w:sz w:val="22"/>
                <w:szCs w:val="22"/>
              </w:rPr>
            </w:pPr>
          </w:p>
          <w:p w:rsidR="00D21C55" w:rsidRPr="00B66C16" w:rsidRDefault="00D21C55">
            <w:pPr>
              <w:widowControl/>
              <w:rPr>
                <w:rFonts w:ascii="Arial Narrow" w:hAnsi="Arial Narrow"/>
                <w:i/>
                <w:iCs/>
                <w:snapToGrid/>
                <w:color w:val="000000"/>
                <w:sz w:val="22"/>
                <w:szCs w:val="22"/>
              </w:rPr>
            </w:pPr>
            <w:r w:rsidRPr="00751AF5">
              <w:rPr>
                <w:rFonts w:ascii="Arial Narrow" w:hAnsi="Arial Narrow"/>
                <w:i/>
                <w:iCs/>
                <w:snapToGrid/>
                <w:color w:val="FF0000"/>
                <w:sz w:val="22"/>
                <w:szCs w:val="22"/>
              </w:rPr>
              <w:t>"(Note: In the 2011 MLR reporting form, Part 1 Line 2.1 was equal to Total adjusted incurred claims, which included Allowable fraud reduction expense. The 2012 MLR reporting form Part 1 Line 2.</w:t>
            </w:r>
            <w:r w:rsidRPr="00202AB5">
              <w:rPr>
                <w:rFonts w:ascii="Arial Narrow" w:hAnsi="Arial Narrow"/>
                <w:i/>
                <w:iCs/>
                <w:snapToGrid/>
                <w:color w:val="FF0000"/>
                <w:sz w:val="22"/>
                <w:szCs w:val="22"/>
              </w:rPr>
              <w:t>1 is Total incurred claims, which does not include Allowable fraud reduction expense. Allowable fraud reduction expense is accounted for in calculating Adjusted incurred claims in Part 4.)"</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B66C16" w:rsidRDefault="00D21C55" w:rsidP="00B66C16">
            <w:pPr>
              <w:widowControl/>
              <w:rPr>
                <w:rFonts w:ascii="Arial Narrow" w:hAnsi="Arial Narrow"/>
                <w:snapToGrid/>
                <w:color w:val="000000"/>
                <w:sz w:val="22"/>
                <w:szCs w:val="22"/>
              </w:rPr>
            </w:pPr>
            <w:r w:rsidRPr="00B66C16">
              <w:rPr>
                <w:rFonts w:ascii="Arial Narrow" w:hAnsi="Arial Narrow"/>
                <w:snapToGrid/>
                <w:color w:val="000000"/>
                <w:sz w:val="22"/>
                <w:szCs w:val="22"/>
              </w:rPr>
              <w:t>This language was revised</w:t>
            </w:r>
            <w:r w:rsidR="00B66C16">
              <w:rPr>
                <w:rFonts w:ascii="Arial Narrow" w:hAnsi="Arial Narrow"/>
                <w:snapToGrid/>
                <w:color w:val="000000"/>
                <w:sz w:val="22"/>
                <w:szCs w:val="22"/>
              </w:rPr>
              <w:t>, in response to comments,</w:t>
            </w:r>
            <w:r w:rsidRPr="00B66C16">
              <w:rPr>
                <w:rFonts w:ascii="Arial Narrow" w:hAnsi="Arial Narrow"/>
                <w:snapToGrid/>
                <w:color w:val="000000"/>
                <w:sz w:val="22"/>
                <w:szCs w:val="22"/>
              </w:rPr>
              <w:t xml:space="preserve"> to </w:t>
            </w:r>
            <w:r w:rsidR="00B66C16">
              <w:rPr>
                <w:rFonts w:ascii="Arial Narrow" w:hAnsi="Arial Narrow"/>
                <w:snapToGrid/>
                <w:color w:val="000000"/>
                <w:sz w:val="22"/>
                <w:szCs w:val="22"/>
              </w:rPr>
              <w:t>explain</w:t>
            </w:r>
            <w:r w:rsidRPr="00B66C16">
              <w:rPr>
                <w:rFonts w:ascii="Arial Narrow" w:hAnsi="Arial Narrow"/>
                <w:snapToGrid/>
                <w:color w:val="000000"/>
                <w:sz w:val="22"/>
                <w:szCs w:val="22"/>
              </w:rPr>
              <w:t xml:space="preserve"> more precisely changes made to the MLR form. </w:t>
            </w:r>
          </w:p>
        </w:tc>
      </w:tr>
      <w:tr w:rsidR="00D21C55" w:rsidRPr="00D21C55" w:rsidTr="00F41926">
        <w:trPr>
          <w:cantSplit/>
          <w:trHeight w:val="23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28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1 - (Summary of Data) Section 3 - Federal and State  Taxes and Licensing for Regulatory Fees</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line 3.2c, to read "Community benefit expenditures deductible from premium in MLR calculations."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This language was revised for clarity and to accurately reflect changes made to the MLR form. </w:t>
            </w:r>
          </w:p>
        </w:tc>
      </w:tr>
      <w:tr w:rsidR="00D21C55" w:rsidRPr="00D21C55" w:rsidTr="00F41926">
        <w:trPr>
          <w:cantSplit/>
          <w:trHeight w:val="223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29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1 - (Summary of Data) Section 3 - Federal and State  Taxes and Licensing for Regulatory Fees</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section titled NOTE, to read "The expenditures in lines 3.1a, 3.1b, 3.2a, 3.2b, and 3.2c may not be reported multiple times or in multiple categories. For example, if an expense is reported in Line 3.2c, the Federal or State assessments may not be included in Lines 3.1a, 3.1b, 3.2a, 3.2b or in the quality improvement expenses reported in Lines 4.1 through 4.6."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This language was revised to correct a typographical error. </w:t>
            </w:r>
          </w:p>
        </w:tc>
      </w:tr>
      <w:tr w:rsidR="00D21C55" w:rsidRPr="00D21C55" w:rsidTr="00F41926">
        <w:trPr>
          <w:cantSplit/>
          <w:trHeight w:val="3464"/>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2 - (Premiums and Claims) Section 1 - Health Premiums Earned</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1.1- Direct Premium written, to read “3/31 Columns (Direct premium written for coverage in MLR reporting year only)—report premium collected through 3/31 of the year following the MLR reporting year for coverage in the MLR reporting year only, and uncollected (due and unpaid) premium for coverage in the MLR reporting year only as of 3/31 of the year following the MLR reporting year. Premium should reflect retroactive eligibility adjustments. </w:t>
            </w:r>
          </w:p>
          <w:p w:rsidR="00D21C55" w:rsidRPr="00751AF5" w:rsidRDefault="00D21C55">
            <w:pPr>
              <w:widowControl/>
              <w:rPr>
                <w:rFonts w:ascii="Arial Narrow" w:hAnsi="Arial Narrow"/>
                <w:snapToGrid/>
                <w:color w:val="000000"/>
                <w:sz w:val="22"/>
                <w:szCs w:val="22"/>
              </w:rPr>
            </w:pPr>
          </w:p>
          <w:p w:rsidR="00D21C55" w:rsidRPr="00B66C16" w:rsidRDefault="00D21C55">
            <w:pPr>
              <w:widowControl/>
              <w:rPr>
                <w:rFonts w:ascii="Arial Narrow" w:hAnsi="Arial Narrow"/>
                <w:i/>
                <w:snapToGrid/>
                <w:color w:val="000000"/>
                <w:sz w:val="22"/>
                <w:szCs w:val="22"/>
              </w:rPr>
            </w:pPr>
            <w:r w:rsidRPr="00751AF5">
              <w:rPr>
                <w:rFonts w:ascii="Arial Narrow" w:hAnsi="Arial Narrow"/>
                <w:i/>
                <w:snapToGrid/>
                <w:color w:val="000000"/>
                <w:sz w:val="22"/>
                <w:szCs w:val="22"/>
                <w:u w:val="single"/>
              </w:rPr>
              <w:t>However</w:t>
            </w:r>
            <w:r w:rsidRPr="00202AB5">
              <w:rPr>
                <w:rFonts w:ascii="Arial Narrow" w:hAnsi="Arial Narrow"/>
                <w:i/>
                <w:snapToGrid/>
                <w:color w:val="000000"/>
                <w:sz w:val="22"/>
                <w:szCs w:val="22"/>
                <w:u w:val="single"/>
              </w:rPr>
              <w:t xml:space="preserve">, </w:t>
            </w:r>
            <w:r w:rsidRPr="00B66C16">
              <w:rPr>
                <w:rFonts w:ascii="Arial Narrow" w:hAnsi="Arial Narrow"/>
                <w:i/>
                <w:snapToGrid/>
                <w:color w:val="000000"/>
                <w:sz w:val="22"/>
                <w:szCs w:val="22"/>
              </w:rPr>
              <w:t>for the 2012 MLR reporting year only, issuers may choose to report amounts on the same basis as in the 12/31 columns."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provide clarity and to capture MLR data through 3/31. </w:t>
            </w:r>
          </w:p>
        </w:tc>
      </w:tr>
      <w:tr w:rsidR="00D21C55" w:rsidRPr="00D21C55" w:rsidTr="00F41926">
        <w:trPr>
          <w:cantSplit/>
          <w:trHeight w:val="288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2 - (Premiums and Claims) Section 1 - Health Premiums Earned</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1.2-Unearned Premiums (Year preceding the MLR reporting year,, to read "3/31 Columns (Unearned premium for coverage in the MLR reporting year only) – report premium for coverage in the MLR reporting year only, collected in the immediately preceding MLR reporting year. Report reserves as of 12/31 of the year preceding the MLR reporting year. </w:t>
            </w:r>
          </w:p>
          <w:p w:rsidR="00D21C55" w:rsidRPr="00751AF5" w:rsidRDefault="00D21C55">
            <w:pPr>
              <w:widowControl/>
              <w:rPr>
                <w:rFonts w:ascii="Arial Narrow" w:hAnsi="Arial Narrow"/>
                <w:snapToGrid/>
                <w:color w:val="000000"/>
                <w:sz w:val="22"/>
                <w:szCs w:val="22"/>
              </w:rPr>
            </w:pPr>
          </w:p>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FF0000"/>
                <w:sz w:val="22"/>
                <w:szCs w:val="22"/>
              </w:rPr>
              <w:t>However, if for the 2012 MLR reporting year the issuer</w:t>
            </w:r>
            <w:r w:rsidRPr="00202AB5">
              <w:rPr>
                <w:rFonts w:ascii="Arial Narrow" w:hAnsi="Arial Narrow"/>
                <w:snapToGrid/>
                <w:color w:val="FF0000"/>
                <w:sz w:val="22"/>
                <w:szCs w:val="22"/>
              </w:rPr>
              <w:t xml:space="preserve"> chooses to report written premium on the same basis as in the 12/31 columns, the issuer should report unearned premium reserves consistently with how it reports written premium."</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B61A81"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In response to comments received this language was revised to provide clarit</w:t>
            </w:r>
            <w:r w:rsidRPr="00B61A81">
              <w:rPr>
                <w:rFonts w:ascii="Arial Narrow" w:hAnsi="Arial Narrow"/>
                <w:snapToGrid/>
                <w:color w:val="000000"/>
                <w:sz w:val="22"/>
                <w:szCs w:val="22"/>
              </w:rPr>
              <w:t xml:space="preserve">y and to capture MLR data through 3/31. </w:t>
            </w:r>
          </w:p>
        </w:tc>
      </w:tr>
      <w:tr w:rsidR="00D21C55" w:rsidRPr="00D21C55" w:rsidTr="00F41926">
        <w:trPr>
          <w:cantSplit/>
          <w:trHeight w:val="28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32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2 - (Premiums and Claims) Section 1 - Health Premiums Earned</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1.3- Unearned Premiums (MLR Reporting Year), to read "Report reserves established to account for the portion of the premium paid in the MLR reporting year that was intended to provide coverage during the following MLR reporting year. </w:t>
            </w:r>
          </w:p>
          <w:p w:rsidR="00D21C55" w:rsidRPr="00751AF5" w:rsidRDefault="00D21C55">
            <w:pPr>
              <w:widowControl/>
              <w:rPr>
                <w:rFonts w:ascii="Arial Narrow" w:hAnsi="Arial Narrow"/>
                <w:snapToGrid/>
                <w:color w:val="000000"/>
                <w:sz w:val="22"/>
                <w:szCs w:val="22"/>
              </w:rPr>
            </w:pPr>
          </w:p>
          <w:p w:rsidR="00D21C55" w:rsidRPr="00751AF5" w:rsidRDefault="00D21C55">
            <w:pPr>
              <w:widowControl/>
              <w:rPr>
                <w:rFonts w:ascii="Arial Narrow" w:hAnsi="Arial Narrow"/>
                <w:snapToGrid/>
                <w:color w:val="FF0000"/>
                <w:sz w:val="22"/>
                <w:szCs w:val="22"/>
              </w:rPr>
            </w:pPr>
            <w:r w:rsidRPr="00751AF5">
              <w:rPr>
                <w:rFonts w:ascii="Arial Narrow" w:hAnsi="Arial Narrow"/>
                <w:snapToGrid/>
                <w:color w:val="FF0000"/>
                <w:sz w:val="22"/>
                <w:szCs w:val="22"/>
              </w:rPr>
              <w:t xml:space="preserve">12/31 Columns – report reserves as of 12/31 of the MLR reporting year, as reported to the department of insurance in the issuer’s State of domicile or as filed on the NAIC SHCE filing for the MLR reporting year. </w:t>
            </w:r>
          </w:p>
          <w:p w:rsidR="00D21C55" w:rsidRPr="00202AB5" w:rsidRDefault="00D21C55">
            <w:pPr>
              <w:widowControl/>
              <w:rPr>
                <w:rFonts w:ascii="Arial Narrow" w:hAnsi="Arial Narrow"/>
                <w:snapToGrid/>
                <w:color w:val="FF0000"/>
                <w:sz w:val="22"/>
                <w:szCs w:val="22"/>
              </w:rPr>
            </w:pPr>
          </w:p>
          <w:p w:rsidR="00D21C55" w:rsidRPr="00B61A81" w:rsidRDefault="00D21C55">
            <w:pPr>
              <w:widowControl/>
              <w:rPr>
                <w:rFonts w:ascii="Arial Narrow" w:hAnsi="Arial Narrow"/>
                <w:snapToGrid/>
                <w:color w:val="000000"/>
                <w:sz w:val="22"/>
                <w:szCs w:val="22"/>
              </w:rPr>
            </w:pPr>
            <w:r w:rsidRPr="00B66C16">
              <w:rPr>
                <w:rFonts w:ascii="Arial Narrow" w:hAnsi="Arial Narrow"/>
                <w:snapToGrid/>
                <w:color w:val="FF0000"/>
                <w:sz w:val="22"/>
                <w:szCs w:val="22"/>
              </w:rPr>
              <w:t>3/31 Columns –  report zero (note that if collected and due and unpaid premium is reported correctly in Line 1.1 above, Line 1.1 should not include amounts that would constitute unearned premium for coverage in years subsequent to the MLR reporting year). However, if for the 2012 MLR reporting year the issuer chooses to report written premium on the same basis as in the 12/31 columns, the issuer shou</w:t>
            </w:r>
            <w:r w:rsidRPr="00B61A81">
              <w:rPr>
                <w:rFonts w:ascii="Arial Narrow" w:hAnsi="Arial Narrow"/>
                <w:snapToGrid/>
                <w:color w:val="FF0000"/>
                <w:sz w:val="22"/>
                <w:szCs w:val="22"/>
              </w:rPr>
              <w:t>ld report unearned premium reserves consistently with how it reports written premium."</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In response to comments received, this language was revised to provide clarity and to capture MLR data through 3/31.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2 - (Premiums and Claims) Section 1 - Health Premiums Earned</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1.4b - Experience Rated Refunds, to read "3/31 Columns - Report refunds associated only with claims incurred during the MLR reporting year and paid through 3/31 of the following year."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In response to comments received, this language was revised to provide clarity on how experience rating refunds are reported and allocated. </w:t>
            </w:r>
          </w:p>
        </w:tc>
      </w:tr>
      <w:tr w:rsidR="00D21C55" w:rsidRPr="00D21C55" w:rsidTr="00F41926">
        <w:trPr>
          <w:cantSplit/>
          <w:trHeight w:val="16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2 - (Premiums and Claims) Section 1 - Health Premiums Earned</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1.5 - Reserves for experience rating refunds (rate credits) (MLR reporting year), to read "3/31 Columns – based on refunds associated only with claims incurred in the MLR reporting year and unpaid through 3/31 of the following year."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In response to comments received, this language was revised to provide clarity on how reserves for experience rating refunds are reported and allocated.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2 - (Premiums and Claims) Section 2- Claims </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line 2.8a - Experienced rating refunds (rate credits) paid-, to read "12/31 Column –Report all refunds paid through 12/31 of the MLR reporting year."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This language was revised to provide clarity.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2 - (Premiums and Claims) Section 2- Claims </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line 2.8b - Experienced rating refunds (rate credits) paid-, to read "3/31 Column – Report refunds associated only with claims incurred during the MLR reporting year and paid through 3/31 of the following year.”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In response to comments received, this language was revised to provide clarity on how experience rating refunds are reported and allocated.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37</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w:t>
            </w:r>
            <w:r w:rsidRPr="00751AF5">
              <w:rPr>
                <w:rFonts w:ascii="Arial Narrow" w:hAnsi="Arial Narrow"/>
                <w:snapToGrid/>
                <w:color w:val="000000"/>
                <w:sz w:val="22"/>
                <w:szCs w:val="22"/>
              </w:rPr>
              <w:t xml:space="preserve">2 - (Premiums and Claims) Section 2- Claims </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FF0000"/>
                <w:sz w:val="22"/>
                <w:szCs w:val="22"/>
              </w:rPr>
            </w:pPr>
            <w:r w:rsidRPr="00751AF5">
              <w:rPr>
                <w:rFonts w:ascii="Arial Narrow" w:hAnsi="Arial Narrow"/>
                <w:snapToGrid/>
                <w:color w:val="FF0000"/>
                <w:sz w:val="22"/>
                <w:szCs w:val="22"/>
              </w:rPr>
              <w:t>Added title  to line "Line 2.9 – Reserve for Experience rating refunds (rate credits) (MLR reporting year)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This language was revised to provide clarity and consistency throughout document.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2 - (Premiums and Claims) Section 2- Claims </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2.9b - Reserve for Experience rating refunds (rate credits) (MLR reporting year), to read "3/31 Column – based on refunds associated only with claims incurred during the MLR reporting year and unpaid as of 3/31 of the following year."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In response to comments received, this language was revised to provide clarity on how reserves for experience rating refunds are reported and allocated.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39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w:t>
            </w:r>
            <w:r w:rsidRPr="00751AF5">
              <w:rPr>
                <w:rFonts w:ascii="Arial Narrow" w:hAnsi="Arial Narrow"/>
                <w:snapToGrid/>
                <w:color w:val="000000"/>
                <w:sz w:val="22"/>
                <w:szCs w:val="22"/>
              </w:rPr>
              <w:t xml:space="preserve">ions for MLR Annual Reporting Form - Part 2 - (Premiums and Claims) Section 2- Claims </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F41926" w:rsidRDefault="00D21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sz w:val="22"/>
                <w:szCs w:val="22"/>
              </w:rPr>
            </w:pPr>
            <w:r w:rsidRPr="00751AF5">
              <w:rPr>
                <w:rFonts w:ascii="Arial Narrow" w:hAnsi="Arial Narrow"/>
                <w:snapToGrid/>
                <w:sz w:val="22"/>
                <w:szCs w:val="22"/>
              </w:rPr>
              <w:t>Revised line 2.15 - Blended rate adjustment, to read “</w:t>
            </w:r>
            <w:r w:rsidRPr="00D21C55">
              <w:rPr>
                <w:rFonts w:ascii="Arial Narrow" w:hAnsi="Arial Narrow"/>
                <w:sz w:val="22"/>
                <w:szCs w:val="22"/>
              </w:rPr>
              <w:t xml:space="preserve">Affiliated issuers that offer group coverage at a blended rate </w:t>
            </w:r>
            <w:r w:rsidRPr="00D21C55">
              <w:rPr>
                <w:rFonts w:ascii="Arial Narrow" w:hAnsi="Arial Narrow"/>
                <w:i/>
                <w:sz w:val="22"/>
                <w:szCs w:val="22"/>
              </w:rPr>
              <w:t>may choose</w:t>
            </w:r>
            <w:r w:rsidRPr="00D21C55">
              <w:rPr>
                <w:rFonts w:ascii="Arial Narrow" w:hAnsi="Arial Narrow"/>
                <w:sz w:val="22"/>
                <w:szCs w:val="22"/>
              </w:rPr>
              <w:t xml:space="preserve"> whether to make an adjustment to each affiliate’s incurred claims and activities to improve health care quality, to reflect the experience of the issuer with respect to the employer as a whole, according to an objective formula the issuer defined prior to the beginning of the MLR reporting year, so as to result in each affiliate having the same ratio of incurred claims to earned premium for that employer group for the MLR reporting year as the ratio of incurred claims to earned premium calculated for the employer group in the aggregate.  </w:t>
            </w:r>
          </w:p>
          <w:p w:rsidR="00D21C55" w:rsidRPr="00F41926" w:rsidRDefault="00D21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sz w:val="22"/>
                <w:szCs w:val="22"/>
              </w:rPr>
            </w:pPr>
          </w:p>
          <w:p w:rsidR="00D21C55" w:rsidRPr="00F41926" w:rsidRDefault="00D21C55" w:rsidP="00F419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snapToGrid/>
                <w:sz w:val="22"/>
                <w:szCs w:val="22"/>
              </w:rPr>
            </w:pPr>
            <w:r w:rsidRPr="00D21C55">
              <w:rPr>
                <w:rFonts w:ascii="Arial Narrow" w:hAnsi="Arial Narrow"/>
                <w:sz w:val="22"/>
                <w:szCs w:val="22"/>
              </w:rPr>
              <w:t xml:space="preserve">From the date an issuer </w:t>
            </w:r>
            <w:r w:rsidRPr="00D21C55">
              <w:rPr>
                <w:rFonts w:ascii="Arial Narrow" w:hAnsi="Arial Narrow"/>
                <w:b/>
                <w:i/>
                <w:sz w:val="22"/>
                <w:szCs w:val="22"/>
              </w:rPr>
              <w:t>chooses</w:t>
            </w:r>
            <w:r w:rsidRPr="00D21C55">
              <w:rPr>
                <w:rFonts w:ascii="Arial Narrow" w:hAnsi="Arial Narrow"/>
                <w:sz w:val="22"/>
                <w:szCs w:val="22"/>
              </w:rPr>
              <w:t xml:space="preserve"> to use such an adjustment, it must be used for a minimum of three consecutive MLR reporting years.  Affiliated issuers that choose to make such an adjustment must do so for all policies with blended rates in the applicable State market.” </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1C55" w:rsidRPr="00F41926" w:rsidRDefault="00D21C55">
            <w:pPr>
              <w:widowControl/>
              <w:rPr>
                <w:rFonts w:ascii="Arial Narrow" w:hAnsi="Arial Narrow"/>
                <w:snapToGrid/>
                <w:color w:val="000000"/>
                <w:sz w:val="22"/>
                <w:szCs w:val="22"/>
              </w:rPr>
            </w:pPr>
            <w:r w:rsidRPr="00F41926">
              <w:rPr>
                <w:rFonts w:ascii="Arial Narrow" w:hAnsi="Arial Narrow"/>
                <w:snapToGrid/>
                <w:color w:val="000000"/>
                <w:sz w:val="22"/>
                <w:szCs w:val="22"/>
              </w:rPr>
              <w:t xml:space="preserve">This language was revised to correct a typographical error. </w:t>
            </w:r>
          </w:p>
        </w:tc>
      </w:tr>
      <w:tr w:rsidR="00D21C55" w:rsidRPr="00D21C55" w:rsidTr="00F41926">
        <w:trPr>
          <w:cantSplit/>
          <w:trHeight w:val="127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2 - (Premiums and Claims)</w:t>
            </w:r>
          </w:p>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Section 2- Claims </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line 2.16 - Total incurred claims, to add “</w:t>
            </w:r>
            <w:r w:rsidRPr="00751AF5">
              <w:rPr>
                <w:rFonts w:ascii="Arial Narrow" w:hAnsi="Arial Narrow"/>
                <w:snapToGrid/>
                <w:color w:val="FF0000"/>
                <w:sz w:val="22"/>
                <w:szCs w:val="22"/>
              </w:rPr>
              <w:t>(Note:  Allowable fraud recovery expenses are added to Incurred Claims in the calculation of Adjusted Incurred Claims in Part 4 Line 1.2)”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B66C16" w:rsidP="00B66C16">
            <w:pPr>
              <w:widowControl/>
              <w:rPr>
                <w:rFonts w:ascii="Arial Narrow" w:hAnsi="Arial Narrow"/>
                <w:snapToGrid/>
                <w:color w:val="000000"/>
                <w:sz w:val="22"/>
                <w:szCs w:val="22"/>
              </w:rPr>
            </w:pPr>
            <w:r>
              <w:rPr>
                <w:rFonts w:ascii="Arial Narrow" w:hAnsi="Arial Narrow"/>
                <w:snapToGrid/>
                <w:color w:val="000000"/>
                <w:sz w:val="22"/>
                <w:szCs w:val="22"/>
              </w:rPr>
              <w:t>In response to comments, t</w:t>
            </w:r>
            <w:r w:rsidR="00D21C55" w:rsidRPr="00B66C16">
              <w:rPr>
                <w:rFonts w:ascii="Arial Narrow" w:hAnsi="Arial Narrow"/>
                <w:snapToGrid/>
                <w:color w:val="000000"/>
                <w:sz w:val="22"/>
                <w:szCs w:val="22"/>
              </w:rPr>
              <w:t xml:space="preserve">his language was revised to </w:t>
            </w:r>
            <w:r>
              <w:rPr>
                <w:rFonts w:ascii="Arial Narrow" w:hAnsi="Arial Narrow"/>
                <w:snapToGrid/>
                <w:color w:val="000000"/>
                <w:sz w:val="22"/>
                <w:szCs w:val="22"/>
              </w:rPr>
              <w:t>explain</w:t>
            </w:r>
            <w:r w:rsidR="00D21C55" w:rsidRPr="00B66C16">
              <w:rPr>
                <w:rFonts w:ascii="Arial Narrow" w:hAnsi="Arial Narrow"/>
                <w:snapToGrid/>
                <w:color w:val="000000"/>
                <w:sz w:val="22"/>
                <w:szCs w:val="22"/>
              </w:rPr>
              <w:t xml:space="preserve"> more precisely changes made to the MLR form. </w:t>
            </w:r>
          </w:p>
        </w:tc>
      </w:tr>
      <w:tr w:rsidR="00D21C55" w:rsidRPr="00D21C55" w:rsidTr="00F41926">
        <w:trPr>
          <w:cantSplit/>
          <w:trHeight w:val="336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41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Column Definitions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Section titled Columns 4, 8, 12, 16, 20, 24, 28 &amp; 31 - </w:t>
            </w:r>
            <w:r w:rsidRPr="00751AF5">
              <w:rPr>
                <w:rFonts w:ascii="Arial Narrow" w:hAnsi="Arial Narrow"/>
                <w:b/>
                <w:snapToGrid/>
                <w:color w:val="000000"/>
                <w:sz w:val="22"/>
                <w:szCs w:val="22"/>
              </w:rPr>
              <w:t>Total</w:t>
            </w:r>
            <w:r w:rsidRPr="00751AF5">
              <w:rPr>
                <w:rFonts w:ascii="Arial Narrow" w:hAnsi="Arial Narrow"/>
                <w:snapToGrid/>
                <w:color w:val="000000"/>
                <w:sz w:val="22"/>
                <w:szCs w:val="22"/>
              </w:rPr>
              <w:t>, to read "For the 2012 MLR reporting year, for issuers with fewer than 75,000 life years in the applicable State market in 2012, the information for PY1 and CY for each market (e.g., individual</w:t>
            </w:r>
            <w:r w:rsidRPr="00202AB5">
              <w:rPr>
                <w:rFonts w:ascii="Arial Narrow" w:hAnsi="Arial Narrow"/>
                <w:snapToGrid/>
                <w:color w:val="000000"/>
                <w:sz w:val="22"/>
                <w:szCs w:val="22"/>
              </w:rPr>
              <w:t xml:space="preserve"> market, small group market, etc.) should be added together for the Total (e.g. the issuer will aggregate two years of data).  </w:t>
            </w:r>
          </w:p>
          <w:p w:rsidR="00D21C55" w:rsidRPr="00B66C16" w:rsidRDefault="00D21C55">
            <w:pPr>
              <w:widowControl/>
              <w:rPr>
                <w:rFonts w:ascii="Arial Narrow" w:hAnsi="Arial Narrow"/>
                <w:snapToGrid/>
                <w:color w:val="000000"/>
                <w:sz w:val="22"/>
                <w:szCs w:val="22"/>
              </w:rPr>
            </w:pPr>
          </w:p>
          <w:p w:rsidR="00D21C55" w:rsidRPr="00B61A81" w:rsidRDefault="00D21C55">
            <w:pPr>
              <w:widowControl/>
              <w:rPr>
                <w:rFonts w:ascii="Arial Narrow" w:hAnsi="Arial Narrow"/>
                <w:snapToGrid/>
                <w:color w:val="000000"/>
                <w:sz w:val="22"/>
                <w:szCs w:val="22"/>
              </w:rPr>
            </w:pPr>
            <w:r w:rsidRPr="00B66C16">
              <w:rPr>
                <w:rFonts w:ascii="Arial Narrow" w:hAnsi="Arial Narrow"/>
                <w:snapToGrid/>
                <w:color w:val="FF0000"/>
                <w:sz w:val="22"/>
                <w:szCs w:val="22"/>
              </w:rPr>
              <w:t xml:space="preserve">For issuers with 2012 life years greater than or equal to 75,000, the Total column will equal the CY column. The amount in the </w:t>
            </w:r>
            <w:r w:rsidRPr="00B61A81">
              <w:rPr>
                <w:rFonts w:ascii="Arial Narrow" w:hAnsi="Arial Narrow"/>
                <w:snapToGrid/>
                <w:color w:val="FF0000"/>
                <w:sz w:val="22"/>
                <w:szCs w:val="22"/>
              </w:rPr>
              <w:t>Total column will be used to calculate the issuer’s MLR and rebates owing, if any."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rsidP="00B66C16">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In response to comments received, this language was revised to provide clarity on how credible </w:t>
            </w:r>
            <w:r w:rsidR="00B66C16">
              <w:rPr>
                <w:rFonts w:ascii="Arial Narrow" w:hAnsi="Arial Narrow"/>
                <w:snapToGrid/>
                <w:color w:val="000000"/>
                <w:sz w:val="22"/>
                <w:szCs w:val="22"/>
              </w:rPr>
              <w:t xml:space="preserve">and </w:t>
            </w:r>
            <w:r w:rsidRPr="00B66C16">
              <w:rPr>
                <w:rFonts w:ascii="Arial Narrow" w:hAnsi="Arial Narrow"/>
                <w:snapToGrid/>
                <w:color w:val="000000"/>
                <w:sz w:val="22"/>
                <w:szCs w:val="22"/>
              </w:rPr>
              <w:t xml:space="preserve">non-credible data </w:t>
            </w:r>
            <w:r w:rsidR="00B66C16">
              <w:rPr>
                <w:rFonts w:ascii="Arial Narrow" w:hAnsi="Arial Narrow"/>
                <w:snapToGrid/>
                <w:color w:val="000000"/>
                <w:sz w:val="22"/>
                <w:szCs w:val="22"/>
              </w:rPr>
              <w:t>are</w:t>
            </w:r>
            <w:r w:rsidRPr="00B66C16">
              <w:rPr>
                <w:rFonts w:ascii="Arial Narrow" w:hAnsi="Arial Narrow"/>
                <w:snapToGrid/>
                <w:color w:val="000000"/>
                <w:sz w:val="22"/>
                <w:szCs w:val="22"/>
              </w:rPr>
              <w:t xml:space="preserve"> reported. </w:t>
            </w:r>
          </w:p>
        </w:tc>
      </w:tr>
      <w:tr w:rsidR="00D21C55" w:rsidRPr="00D21C55" w:rsidTr="00F41926">
        <w:trPr>
          <w:cantSplit/>
          <w:trHeight w:val="242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202AB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Column Definitions - Part 4 </w:t>
            </w:r>
            <w:r w:rsidRPr="00751AF5">
              <w:rPr>
                <w:rFonts w:ascii="Arial Narrow" w:hAnsi="Arial Narrow"/>
                <w:snapToGrid/>
                <w:color w:val="000000"/>
                <w:sz w:val="22"/>
                <w:szCs w:val="22"/>
              </w:rPr>
              <w:t>- Column Groupings – Columns 25-28 and Columns 29-32</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Added language to column group descriptions "For the 2012 MLR reporting year, expatriate plans should not be reported in Part 4 of the MLR Form.)"</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B66C16">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r w:rsidRPr="00B66C16">
              <w:rPr>
                <w:rFonts w:ascii="Arial Narrow" w:hAnsi="Arial Narrow"/>
                <w:snapToGrid/>
                <w:color w:val="000000"/>
                <w:sz w:val="22"/>
                <w:szCs w:val="22"/>
              </w:rPr>
              <w:t>.</w:t>
            </w:r>
          </w:p>
        </w:tc>
      </w:tr>
      <w:tr w:rsidR="00D21C55" w:rsidRPr="00D21C55" w:rsidTr="00F41926">
        <w:trPr>
          <w:cantSplit/>
          <w:trHeight w:val="196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 - Part 4, Sections 1-4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Added language beneath section header "(Not applicable to the Grand Total Page)"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F41926" w:rsidRDefault="00D21C55" w:rsidP="00F41926">
            <w:pPr>
              <w:rPr>
                <w:rFonts w:ascii="Arial Narrow" w:hAnsi="Arial Narrow"/>
                <w:sz w:val="22"/>
                <w:szCs w:val="22"/>
              </w:rPr>
            </w:pPr>
            <w:r w:rsidRPr="00751AF5">
              <w:rPr>
                <w:rFonts w:ascii="Arial Narrow" w:hAnsi="Arial Narrow"/>
                <w:sz w:val="22"/>
                <w:szCs w:val="22"/>
              </w:rPr>
              <w:t>This language was added to clarify directions for completing the MLR form.</w:t>
            </w:r>
          </w:p>
        </w:tc>
      </w:tr>
      <w:tr w:rsidR="00D21C55" w:rsidRPr="00D21C55" w:rsidTr="00F41926">
        <w:trPr>
          <w:cantSplit/>
          <w:trHeight w:val="312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Numerator,</w:t>
            </w:r>
            <w:r w:rsidRPr="00202AB5">
              <w:rPr>
                <w:rFonts w:ascii="Arial Narrow" w:hAnsi="Arial Narrow"/>
                <w:snapToGrid/>
                <w:color w:val="000000"/>
                <w:sz w:val="22"/>
                <w:szCs w:val="22"/>
              </w:rPr>
              <w:t xml:space="preserve"> L</w:t>
            </w:r>
            <w:r w:rsidRPr="00B66C16">
              <w:rPr>
                <w:rFonts w:ascii="Arial Narrow" w:hAnsi="Arial Narrow"/>
                <w:snapToGrid/>
                <w:color w:val="000000"/>
                <w:sz w:val="22"/>
                <w:szCs w:val="22"/>
              </w:rPr>
              <w:t xml:space="preserve">ine 1.2 - Adjusted incurred claims as of 3/31 of the year following MLR reporting year-, to read "PY1 - enter the amount of adjusted incurred claims reported on Part 1, Line 2.1, Columns 3/31 + Deferred PY1 – Deferred CY of the MLR form for the prior MLR reporting year, restated as of 3/31 of the year following the MLR reporting year, if the issuer is aggregating two years of data. (This is also knows as incurred claims based upon claims incurred in 12 months and paid in 27 months).  </w:t>
            </w:r>
          </w:p>
          <w:p w:rsidR="00D21C55" w:rsidRPr="00B61A81" w:rsidRDefault="00D21C55">
            <w:pPr>
              <w:widowControl/>
              <w:rPr>
                <w:rFonts w:ascii="Arial Narrow" w:hAnsi="Arial Narrow"/>
                <w:snapToGrid/>
                <w:color w:val="000000"/>
                <w:sz w:val="22"/>
                <w:szCs w:val="22"/>
              </w:rPr>
            </w:pPr>
          </w:p>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FF0000"/>
                <w:sz w:val="22"/>
                <w:szCs w:val="22"/>
              </w:rPr>
              <w:t>Restate all applicable elements of adjusted incurred claims, including reserves and the allowable fraud reduction expense."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In response to comments received, this language was revised to clarify which data elements are used to determine adjusted incurred claims. </w:t>
            </w:r>
          </w:p>
        </w:tc>
      </w:tr>
      <w:tr w:rsidR="00D21C55" w:rsidRPr="00D21C55" w:rsidTr="00F41926">
        <w:trPr>
          <w:cantSplit/>
          <w:trHeight w:val="218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45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1A81"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Numerator, L</w:t>
            </w:r>
            <w:r w:rsidRPr="00B66C16">
              <w:rPr>
                <w:rFonts w:ascii="Arial Narrow" w:hAnsi="Arial Narrow"/>
                <w:snapToGrid/>
                <w:color w:val="000000"/>
                <w:sz w:val="22"/>
                <w:szCs w:val="22"/>
              </w:rPr>
              <w:t xml:space="preserve">ine 1.2 - Adjusted incurred claims as of 3/31 of the year following MLR reporting year, to read "Column CY: Part 1 Line 2.1 + Part 2 Line 2.17, Columns 3/31 + Deferred PY1 – Deferred </w:t>
            </w:r>
            <w:r w:rsidRPr="00B66C16">
              <w:rPr>
                <w:rFonts w:ascii="Arial Narrow" w:hAnsi="Arial Narrow"/>
                <w:snapToGrid/>
                <w:color w:val="FF0000"/>
                <w:sz w:val="22"/>
                <w:szCs w:val="22"/>
              </w:rPr>
              <w:t>CY (note that adjusted incurred claims in the Deferred PY1 columns on Parts 1 and 2 should have been restated as of 3/31 of the year following the MLR reporting year)."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This language was revised to clarify which data elements to report.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Numerator</w:t>
            </w:r>
            <w:r w:rsidRPr="00202AB5">
              <w:rPr>
                <w:rFonts w:ascii="Arial Narrow" w:hAnsi="Arial Narrow"/>
                <w:snapToGrid/>
                <w:color w:val="000000"/>
                <w:sz w:val="22"/>
                <w:szCs w:val="22"/>
              </w:rPr>
              <w:t>,</w:t>
            </w:r>
            <w:r w:rsidRPr="00B66C16">
              <w:rPr>
                <w:rFonts w:ascii="Arial Narrow" w:hAnsi="Arial Narrow"/>
                <w:snapToGrid/>
                <w:color w:val="000000"/>
                <w:sz w:val="22"/>
                <w:szCs w:val="22"/>
              </w:rPr>
              <w:t xml:space="preserve"> Line 1.3 - Improving Health Care Quality Expenses Incurred, to read "PY1 - 2011 MLR Form, Part 1, Line 4.6, </w:t>
            </w:r>
            <w:r w:rsidRPr="00B66C16">
              <w:rPr>
                <w:rFonts w:ascii="Arial Narrow" w:hAnsi="Arial Narrow"/>
                <w:snapToGrid/>
                <w:color w:val="FF0000"/>
                <w:sz w:val="22"/>
                <w:szCs w:val="22"/>
              </w:rPr>
              <w:t>Columns 3/31 + Deferred PY1 – Deferred CY</w:t>
            </w:r>
            <w:r w:rsidRPr="00B66C16">
              <w:rPr>
                <w:rFonts w:ascii="Arial Narrow" w:hAnsi="Arial Narrow"/>
                <w:snapToGrid/>
                <w:color w:val="000000"/>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This language was revised to clarify which data elements to report.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r w:rsidRPr="00751AF5">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Numerator, L</w:t>
            </w:r>
            <w:r w:rsidRPr="00B66C16">
              <w:rPr>
                <w:rFonts w:ascii="Arial Narrow" w:hAnsi="Arial Narrow"/>
                <w:snapToGrid/>
                <w:color w:val="000000"/>
                <w:sz w:val="22"/>
                <w:szCs w:val="22"/>
              </w:rPr>
              <w:t>ine 1.5 title to read "MLR numerator".</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This language was revised to correct a typographical error.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Numerator</w:t>
            </w:r>
            <w:r w:rsidRPr="00202AB5">
              <w:rPr>
                <w:rFonts w:ascii="Arial Narrow" w:hAnsi="Arial Narrow"/>
                <w:snapToGrid/>
                <w:color w:val="000000"/>
                <w:sz w:val="22"/>
                <w:szCs w:val="22"/>
              </w:rPr>
              <w:t>,</w:t>
            </w:r>
            <w:r w:rsidRPr="00B66C16">
              <w:rPr>
                <w:rFonts w:ascii="Arial Narrow" w:hAnsi="Arial Narrow"/>
                <w:snapToGrid/>
                <w:color w:val="000000"/>
                <w:sz w:val="22"/>
                <w:szCs w:val="22"/>
              </w:rPr>
              <w:t xml:space="preserve"> Line 1.5 - MLR numerator, to read "Enter the results of the following calculation: Part 4, Total column, Lines 1.2 + 1.3 + 1.4"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This language was revised to provide clarity.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r w:rsidRPr="00751AF5">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w:t>
            </w:r>
            <w:r w:rsidRPr="00202AB5">
              <w:rPr>
                <w:rFonts w:ascii="Arial Narrow" w:hAnsi="Arial Narrow"/>
                <w:snapToGrid/>
                <w:color w:val="000000"/>
                <w:sz w:val="22"/>
                <w:szCs w:val="22"/>
              </w:rPr>
              <w:t xml:space="preserve">r, Line </w:t>
            </w:r>
            <w:r w:rsidRPr="00B66C16">
              <w:rPr>
                <w:rFonts w:ascii="Arial Narrow" w:hAnsi="Arial Narrow"/>
                <w:snapToGrid/>
                <w:color w:val="000000"/>
                <w:sz w:val="22"/>
                <w:szCs w:val="22"/>
              </w:rPr>
              <w:t>1.6 Mini-Med or expatriate numerator after adjustment factor, to read "Mini-Med: 1.75 x (Part 4, Total column, Line 1.2 + 1.3 + 1.4)"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clarify the methodology for calculating the MLR numerator for mini-med experience. </w:t>
            </w:r>
          </w:p>
        </w:tc>
      </w:tr>
      <w:tr w:rsidR="00D21C55" w:rsidRPr="00D21C55" w:rsidTr="00F41926">
        <w:trPr>
          <w:cantSplit/>
          <w:trHeight w:val="1439"/>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r w:rsidRPr="00751AF5">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202AB5">
              <w:rPr>
                <w:rFonts w:ascii="Arial Narrow" w:hAnsi="Arial Narrow"/>
                <w:snapToGrid/>
                <w:color w:val="000000"/>
                <w:sz w:val="22"/>
                <w:szCs w:val="22"/>
              </w:rPr>
              <w:t>Revised Section 1 - Medical Loss Ratio Numerator</w:t>
            </w:r>
            <w:r w:rsidRPr="00B66C16">
              <w:rPr>
                <w:rFonts w:ascii="Arial Narrow" w:hAnsi="Arial Narrow"/>
                <w:snapToGrid/>
                <w:color w:val="000000"/>
                <w:sz w:val="22"/>
                <w:szCs w:val="22"/>
              </w:rPr>
              <w:t>, Line 1.6 Mini-Med or expatriate numerator after adjustment factor, to read "Expatriate: 2.00 x (Part 4, Total column, Line 1.2 + 1.3 + 1.4)"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clarify the methodology for calculating the MLR numerator for expatriate experience. </w:t>
            </w:r>
          </w:p>
        </w:tc>
      </w:tr>
      <w:tr w:rsidR="00D21C55" w:rsidRPr="00D21C55" w:rsidTr="00F41926">
        <w:trPr>
          <w:cantSplit/>
          <w:trHeight w:val="160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rsidP="00B66C16">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Section 1 - Medical Loss Ratio Numerator, Line </w:t>
            </w:r>
            <w:r w:rsidRPr="00B66C16">
              <w:rPr>
                <w:rFonts w:ascii="Arial Narrow" w:hAnsi="Arial Narrow"/>
                <w:snapToGrid/>
                <w:color w:val="000000"/>
                <w:sz w:val="22"/>
                <w:szCs w:val="22"/>
              </w:rPr>
              <w:t>1.6 Mini-</w:t>
            </w:r>
            <w:r w:rsidR="00B66C16">
              <w:rPr>
                <w:rFonts w:ascii="Arial Narrow" w:hAnsi="Arial Narrow"/>
                <w:snapToGrid/>
                <w:color w:val="000000"/>
                <w:sz w:val="22"/>
                <w:szCs w:val="22"/>
              </w:rPr>
              <w:t>m</w:t>
            </w:r>
            <w:r w:rsidRPr="00B66C16">
              <w:rPr>
                <w:rFonts w:ascii="Arial Narrow" w:hAnsi="Arial Narrow"/>
                <w:snapToGrid/>
                <w:color w:val="000000"/>
                <w:sz w:val="22"/>
                <w:szCs w:val="22"/>
              </w:rPr>
              <w:t>ed or expatriate numerator after adjustment factor by adding "(Note: Mini-</w:t>
            </w:r>
            <w:r w:rsidR="00B66C16">
              <w:rPr>
                <w:rFonts w:ascii="Arial Narrow" w:hAnsi="Arial Narrow"/>
                <w:snapToGrid/>
                <w:color w:val="000000"/>
                <w:sz w:val="22"/>
                <w:szCs w:val="22"/>
              </w:rPr>
              <w:t>m</w:t>
            </w:r>
            <w:r w:rsidRPr="00B66C16">
              <w:rPr>
                <w:rFonts w:ascii="Arial Narrow" w:hAnsi="Arial Narrow"/>
                <w:snapToGrid/>
                <w:color w:val="000000"/>
                <w:sz w:val="22"/>
                <w:szCs w:val="22"/>
              </w:rPr>
              <w:t>ed issuers who are aggregating data should add the reported experience for each MLR year together and then apply the multiplier for the 2012 MLR reporting year (1.75) to the aggregated experience.)"</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In response to comments received, this language was revised to clarify methodology for calculating the MLR numerator for mini-med experience.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52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202AB5" w:rsidRDefault="00D21C55" w:rsidP="00B66C16">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1 - Medical Loss Ratio Numerator, Line 1.6 Mini-</w:t>
            </w:r>
            <w:r w:rsidR="00B66C16">
              <w:rPr>
                <w:rFonts w:ascii="Arial Narrow" w:hAnsi="Arial Narrow"/>
                <w:snapToGrid/>
                <w:color w:val="000000"/>
                <w:sz w:val="22"/>
                <w:szCs w:val="22"/>
              </w:rPr>
              <w:t>m</w:t>
            </w:r>
            <w:r w:rsidRPr="00751AF5">
              <w:rPr>
                <w:rFonts w:ascii="Arial Narrow" w:hAnsi="Arial Narrow"/>
                <w:snapToGrid/>
                <w:color w:val="000000"/>
                <w:sz w:val="22"/>
                <w:szCs w:val="22"/>
              </w:rPr>
              <w:t>ed or expatriate numerator after adjustment factor by adding "For the 2012 MLR reporting year, expatriate columns should be left blank in Part 4." and removed reference to expatriate plans multiplier and for expatriate formula.</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B66C16">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Column Definitions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2- Medical Loss Ratio Denominator, line 2.1 - Premium earned including federal and state high risk programs, to read "PY1 - 2011 MLR Form, Part 1, Line 1.4, Columns 3/31 + Deferred PY1 – Deferred CY"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This language was revised to clarify which data elements to report.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2 - Medical Loss Ratio Denominator, line 2.2 Federal and State taxes and licensing or regulatory fees, to read "PY1 - 2011 MLR Form, Part 1, Line 3.4, Columns 3/31 + Deferred PY1 – Deferred CY"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202AB5" w:rsidRDefault="00D21C55">
            <w:pPr>
              <w:widowControl/>
              <w:rPr>
                <w:rFonts w:ascii="Arial Narrow" w:hAnsi="Arial Narrow"/>
                <w:snapToGrid/>
                <w:color w:val="000000"/>
                <w:sz w:val="22"/>
                <w:szCs w:val="22"/>
              </w:rPr>
            </w:pPr>
            <w:r w:rsidRPr="00202AB5">
              <w:rPr>
                <w:rFonts w:ascii="Arial Narrow" w:hAnsi="Arial Narrow"/>
                <w:snapToGrid/>
                <w:color w:val="000000"/>
                <w:sz w:val="22"/>
                <w:szCs w:val="22"/>
              </w:rPr>
              <w:t xml:space="preserve">This language was revised to clarify which data elements to report.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w:t>
            </w:r>
            <w:r w:rsidRPr="00751AF5">
              <w:rPr>
                <w:rFonts w:ascii="Arial Narrow" w:hAnsi="Arial Narrow"/>
                <w:snapToGrid/>
                <w:color w:val="000000"/>
                <w:sz w:val="22"/>
                <w:szCs w:val="22"/>
              </w:rPr>
              <w:t>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2 - Medical Loss Ratio Denominator, line 2.2 Federal and State taxes and licensing or regulatory fees, to read "Part 1, Lines 3.1a + 3.1b + 3.2a + (the higher of 3.2b or 3.</w:t>
            </w:r>
            <w:r w:rsidRPr="00202AB5">
              <w:rPr>
                <w:rFonts w:ascii="Arial Narrow" w:hAnsi="Arial Narrow"/>
                <w:snapToGrid/>
                <w:color w:val="000000"/>
                <w:sz w:val="22"/>
                <w:szCs w:val="22"/>
              </w:rPr>
              <w:t>2c) + 3.3, Columns 3/31 + Deferred PY1 – Deferred CY"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This language was revised to correct a typographical error. </w:t>
            </w:r>
          </w:p>
        </w:tc>
      </w:tr>
      <w:tr w:rsidR="00D21C55" w:rsidRPr="00D21C55" w:rsidTr="00F41926">
        <w:trPr>
          <w:cantSplit/>
          <w:trHeight w:val="297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2 - Medical Loss Ratio Denominator, Line 2.3 - MLR denominator, to read "Issuers with health insurance coverage in both Massachusetts’ individual and small group markets who choose to merge their markets in accordance with Massachusetts law, shou</w:t>
            </w:r>
            <w:r w:rsidRPr="00202AB5">
              <w:rPr>
                <w:rFonts w:ascii="Arial Narrow" w:hAnsi="Arial Narrow"/>
                <w:snapToGrid/>
                <w:color w:val="000000"/>
                <w:sz w:val="22"/>
                <w:szCs w:val="22"/>
              </w:rPr>
              <w:t xml:space="preserve">ld combine Part 4, Lines 2.1 – 2.2 for both markets, and enter this combined amount on Part 4 Line 2.3 in the Total Columns for both markets (Columns 4 and 8). </w:t>
            </w:r>
          </w:p>
          <w:p w:rsidR="00D21C55" w:rsidRPr="00B66C16" w:rsidRDefault="00D21C55">
            <w:pPr>
              <w:widowControl/>
              <w:rPr>
                <w:rFonts w:ascii="Arial Narrow" w:hAnsi="Arial Narrow"/>
                <w:snapToGrid/>
                <w:color w:val="000000"/>
                <w:sz w:val="22"/>
                <w:szCs w:val="22"/>
              </w:rPr>
            </w:pPr>
          </w:p>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Please note that MLR numerator and denominator are the only fields on the MLR Form where experience for the two markets may be combined."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provide clarity.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Section 3 - Credibility Adjustment (Not Applicable to the Grand total Page) </w:t>
            </w:r>
            <w:r w:rsidRPr="00202AB5">
              <w:rPr>
                <w:rFonts w:ascii="Arial Narrow" w:hAnsi="Arial Narrow"/>
                <w:snapToGrid/>
                <w:color w:val="000000"/>
                <w:sz w:val="22"/>
                <w:szCs w:val="22"/>
              </w:rPr>
              <w:t>L</w:t>
            </w:r>
            <w:r w:rsidRPr="00B66C16">
              <w:rPr>
                <w:rFonts w:ascii="Arial Narrow" w:hAnsi="Arial Narrow"/>
                <w:snapToGrid/>
                <w:color w:val="000000"/>
                <w:sz w:val="22"/>
                <w:szCs w:val="22"/>
              </w:rPr>
              <w:t>ine 3.1 - Life Years to determine credibility, to read "PY1 - 2-11 MLR Form, Part 1, Line 11.5, columns 3/31 + Deferred PY1 – Deferred CY"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This language was revised to clarify which data elements to report. </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58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Revised Section 3 - Credibility Adjustment (Not Applicable to the Grand total Page) </w:t>
            </w:r>
            <w:r w:rsidRPr="00751AF5">
              <w:rPr>
                <w:rFonts w:ascii="Arial Narrow" w:hAnsi="Arial Narrow"/>
                <w:snapToGrid/>
                <w:color w:val="000000"/>
                <w:sz w:val="22"/>
                <w:szCs w:val="22"/>
              </w:rPr>
              <w:t xml:space="preserve">Line 3.2 Average deductible, </w:t>
            </w:r>
            <w:r w:rsidRPr="00F41926">
              <w:rPr>
                <w:rFonts w:ascii="Arial Narrow" w:hAnsi="Arial Narrow"/>
                <w:snapToGrid/>
                <w:sz w:val="22"/>
                <w:szCs w:val="22"/>
              </w:rPr>
              <w:t xml:space="preserve">by adding </w:t>
            </w:r>
            <w:r w:rsidRPr="00F41926">
              <w:rPr>
                <w:rFonts w:ascii="Arial Narrow" w:hAnsi="Arial Narrow"/>
                <w:snapToGrid/>
                <w:color w:val="FF0000"/>
                <w:sz w:val="22"/>
                <w:szCs w:val="22"/>
              </w:rPr>
              <w:t>"Issuers with non-credible or fully credible experience do not have a base credibility factor, and should enter zero."</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This language was added to </w:t>
            </w:r>
            <w:r w:rsidRPr="00751AF5">
              <w:rPr>
                <w:rFonts w:ascii="Arial Narrow" w:hAnsi="Arial Narrow"/>
                <w:snapToGrid/>
                <w:color w:val="000000"/>
                <w:sz w:val="22"/>
                <w:szCs w:val="22"/>
              </w:rPr>
              <w:t>clarify directions for completing the MLR form.</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59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3 - Credibility Adjustment (Not Applicable to the Grand total Page) line 3.3 - Average deductible, to read "Issuers who choose to use a deductible factor of 1.0 enter 1.0 in this field."</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This change was implemented to improve the integrity of the data elements and to support worksheet functionality.</w:t>
            </w:r>
          </w:p>
        </w:tc>
      </w:tr>
      <w:tr w:rsidR="00D21C55" w:rsidRPr="00D21C55" w:rsidTr="00F41926">
        <w:trPr>
          <w:cantSplit/>
          <w:trHeight w:val="228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w:t>
            </w:r>
            <w:r w:rsidRPr="00751AF5">
              <w:rPr>
                <w:rFonts w:ascii="Arial Narrow" w:hAnsi="Arial Narrow"/>
                <w:snapToGrid/>
                <w:color w:val="000000"/>
                <w:sz w:val="22"/>
                <w:szCs w:val="22"/>
              </w:rPr>
              <w:t xml:space="preserve">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3 - Credibility Adjustment (Not Applicable to the Grand total Page) L</w:t>
            </w:r>
            <w:r w:rsidRPr="00B66C16">
              <w:rPr>
                <w:rFonts w:ascii="Arial Narrow" w:hAnsi="Arial Narrow"/>
                <w:snapToGrid/>
                <w:color w:val="000000"/>
                <w:sz w:val="22"/>
                <w:szCs w:val="22"/>
              </w:rPr>
              <w:t xml:space="preserve">ine 3.3 - Average deductible, to read "Issuers with between 0 and 75,000 life years in the applicable State market in 2012 should first calculate an average deductible using life years and per-person deductible levels for policies in force in 2012.  </w:t>
            </w:r>
          </w:p>
          <w:p w:rsidR="00D21C55" w:rsidRPr="00B66C16" w:rsidRDefault="00D21C55">
            <w:pPr>
              <w:widowControl/>
              <w:rPr>
                <w:rFonts w:ascii="Arial Narrow" w:hAnsi="Arial Narrow"/>
                <w:snapToGrid/>
                <w:color w:val="000000"/>
                <w:sz w:val="22"/>
                <w:szCs w:val="22"/>
              </w:rPr>
            </w:pPr>
          </w:p>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Issuers should then determine a two-year average deductible based on the weighted average of the average deductible for the 2011 MLR reporting year and the average deductible for the 2012 MLR reporting year."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1A81" w:rsidRDefault="00D21C55">
            <w:pPr>
              <w:widowControl/>
              <w:rPr>
                <w:rFonts w:ascii="Arial Narrow" w:hAnsi="Arial Narrow"/>
                <w:snapToGrid/>
                <w:color w:val="000000"/>
                <w:sz w:val="22"/>
                <w:szCs w:val="22"/>
              </w:rPr>
            </w:pPr>
            <w:r w:rsidRPr="00B61A81">
              <w:rPr>
                <w:rFonts w:ascii="Arial Narrow" w:hAnsi="Arial Narrow"/>
                <w:snapToGrid/>
                <w:color w:val="000000"/>
                <w:sz w:val="22"/>
                <w:szCs w:val="22"/>
              </w:rPr>
              <w:t xml:space="preserve">In response to comments received this language was revised to provide clarity. </w:t>
            </w:r>
          </w:p>
        </w:tc>
      </w:tr>
      <w:tr w:rsidR="00D21C55" w:rsidRPr="00D21C55" w:rsidTr="00F41926">
        <w:trPr>
          <w:cantSplit/>
          <w:trHeight w:val="162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4 - (MLR and Rebate Calculation) 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Revised Section 3 - Credibility Adjustment (Not Applicable to the Grand total Page) Line 3.3 - Average </w:t>
            </w:r>
            <w:r w:rsidRPr="00751AF5">
              <w:rPr>
                <w:rFonts w:ascii="Arial Narrow" w:hAnsi="Arial Narrow"/>
                <w:snapToGrid/>
                <w:color w:val="000000"/>
                <w:sz w:val="22"/>
                <w:szCs w:val="22"/>
              </w:rPr>
              <w:t>deductible,</w:t>
            </w:r>
            <w:r w:rsidRPr="00F41926">
              <w:rPr>
                <w:rFonts w:ascii="Arial Narrow" w:hAnsi="Arial Narrow"/>
                <w:sz w:val="22"/>
                <w:szCs w:val="22"/>
              </w:rPr>
              <w:t xml:space="preserve"> </w:t>
            </w:r>
            <w:r w:rsidRPr="00456EDE">
              <w:rPr>
                <w:rFonts w:ascii="Arial Narrow" w:hAnsi="Arial Narrow"/>
                <w:snapToGrid/>
                <w:color w:val="000000"/>
                <w:sz w:val="22"/>
                <w:szCs w:val="22"/>
              </w:rPr>
              <w:t>by adding</w:t>
            </w:r>
            <w:r w:rsidRPr="00762E66">
              <w:rPr>
                <w:rFonts w:ascii="Arial Narrow" w:hAnsi="Arial Narrow"/>
                <w:snapToGrid/>
                <w:color w:val="000000"/>
                <w:sz w:val="22"/>
                <w:szCs w:val="22"/>
              </w:rPr>
              <w:t xml:space="preserve"> </w:t>
            </w:r>
            <w:r w:rsidRPr="00F41926">
              <w:rPr>
                <w:rFonts w:ascii="Arial Narrow" w:hAnsi="Arial Narrow"/>
                <w:snapToGrid/>
                <w:color w:val="FF0000"/>
                <w:sz w:val="22"/>
                <w:szCs w:val="22"/>
              </w:rPr>
              <w:t>"Issuers who choose to use a deductible factor of 1.0 should leave this field blank."</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rsidP="000B6A66">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This language was </w:t>
            </w:r>
            <w:r w:rsidR="000B6A66">
              <w:rPr>
                <w:rFonts w:ascii="Arial Narrow" w:hAnsi="Arial Narrow"/>
                <w:snapToGrid/>
                <w:color w:val="000000"/>
                <w:sz w:val="22"/>
                <w:szCs w:val="22"/>
              </w:rPr>
              <w:t>added to clarify directions for completing the MLR form.</w:t>
            </w:r>
          </w:p>
        </w:tc>
      </w:tr>
      <w:tr w:rsidR="00D21C55" w:rsidRPr="00D21C55" w:rsidTr="00F41926">
        <w:trPr>
          <w:cantSplit/>
          <w:trHeight w:val="205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3 - Credibility Adjustment (Not Applicable to the Grand total Page)</w:t>
            </w:r>
            <w:r w:rsidRPr="00202AB5">
              <w:rPr>
                <w:rFonts w:ascii="Arial Narrow" w:hAnsi="Arial Narrow"/>
                <w:snapToGrid/>
                <w:color w:val="000000"/>
                <w:sz w:val="22"/>
                <w:szCs w:val="22"/>
              </w:rPr>
              <w:t xml:space="preserve"> Line</w:t>
            </w:r>
            <w:r w:rsidRPr="00B66C16">
              <w:rPr>
                <w:rFonts w:ascii="Arial Narrow" w:hAnsi="Arial Narrow"/>
                <w:snapToGrid/>
                <w:color w:val="000000"/>
                <w:sz w:val="22"/>
                <w:szCs w:val="22"/>
              </w:rPr>
              <w:t xml:space="preserve"> 3.4 - Deductible Factor, to read "Enter the amount from the table corresponding with the average deductible. Issuers with non-credible or fully credible experience do not have a deductible factor and can enter a value of 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This change was implemented to improve the integrity of the data elements and to support worksheet functionality.</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pPr>
              <w:widowControl/>
              <w:rPr>
                <w:rFonts w:ascii="Arial Narrow" w:hAnsi="Arial Narrow"/>
                <w:snapToGrid/>
                <w:sz w:val="22"/>
                <w:szCs w:val="22"/>
              </w:rPr>
            </w:pPr>
            <w:r w:rsidRPr="00751AF5">
              <w:rPr>
                <w:rFonts w:ascii="Arial Narrow" w:hAnsi="Arial Narrow"/>
                <w:snapToGrid/>
                <w:color w:val="000000"/>
                <w:sz w:val="22"/>
                <w:szCs w:val="22"/>
              </w:rPr>
              <w:t>Revised Section 3 - Credibility Adjustment (Not Applicable to the Grand total Page) Line 3.</w:t>
            </w:r>
            <w:r w:rsidRPr="00202AB5">
              <w:rPr>
                <w:rFonts w:ascii="Arial Narrow" w:hAnsi="Arial Narrow"/>
                <w:snapToGrid/>
                <w:color w:val="000000"/>
                <w:sz w:val="22"/>
                <w:szCs w:val="22"/>
              </w:rPr>
              <w:t>5</w:t>
            </w:r>
            <w:r w:rsidRPr="00B66C16">
              <w:rPr>
                <w:rFonts w:ascii="Arial Narrow" w:hAnsi="Arial Narrow"/>
                <w:snapToGrid/>
                <w:color w:val="000000"/>
                <w:sz w:val="22"/>
                <w:szCs w:val="22"/>
              </w:rPr>
              <w:t xml:space="preserve"> – Credibility adjustment by adding </w:t>
            </w:r>
            <w:r w:rsidRPr="00F41926">
              <w:rPr>
                <w:rFonts w:ascii="Arial Narrow" w:hAnsi="Arial Narrow"/>
                <w:snapToGrid/>
                <w:color w:val="FF0000"/>
                <w:sz w:val="22"/>
                <w:szCs w:val="22"/>
              </w:rPr>
              <w:t>"Issuers with non-credible or fully credible experience do not receive a credibility adjustment and should enter zero."</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This change was implemented to improve the integrity of the data elements and to support worksheet functionality.</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64</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F41926" w:rsidRDefault="00D21C55">
            <w:pPr>
              <w:widowControl/>
              <w:rPr>
                <w:rFonts w:ascii="Arial Narrow" w:hAnsi="Arial Narrow"/>
                <w:snapToGrid/>
                <w:color w:val="FF0000"/>
                <w:sz w:val="22"/>
                <w:szCs w:val="22"/>
              </w:rPr>
            </w:pPr>
            <w:r w:rsidRPr="00751AF5">
              <w:rPr>
                <w:rFonts w:ascii="Arial Narrow" w:hAnsi="Arial Narrow"/>
                <w:snapToGrid/>
                <w:sz w:val="22"/>
                <w:szCs w:val="22"/>
              </w:rPr>
              <w:t xml:space="preserve">Revised Section 4 – Medical Loss Ratio Calculation, by adding </w:t>
            </w:r>
            <w:r w:rsidRPr="00751AF5">
              <w:rPr>
                <w:rFonts w:ascii="Arial Narrow" w:hAnsi="Arial Narrow"/>
                <w:snapToGrid/>
                <w:color w:val="FF0000"/>
                <w:sz w:val="22"/>
                <w:szCs w:val="22"/>
              </w:rPr>
              <w:t>“Issuers with non-credible experience should leave Lines 4.1-4.3 blank.”</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rsidP="000B6A66">
            <w:pPr>
              <w:widowControl/>
              <w:rPr>
                <w:rFonts w:ascii="Arial Narrow" w:hAnsi="Arial Narrow"/>
                <w:snapToGrid/>
                <w:color w:val="000000"/>
                <w:sz w:val="22"/>
                <w:szCs w:val="22"/>
              </w:rPr>
            </w:pPr>
            <w:r w:rsidRPr="00456EDE">
              <w:rPr>
                <w:rFonts w:ascii="Arial Narrow" w:hAnsi="Arial Narrow"/>
                <w:snapToGrid/>
                <w:color w:val="000000"/>
                <w:sz w:val="22"/>
                <w:szCs w:val="22"/>
              </w:rPr>
              <w:t xml:space="preserve">This language was </w:t>
            </w:r>
            <w:r w:rsidR="000B6A66">
              <w:rPr>
                <w:rFonts w:ascii="Arial Narrow" w:hAnsi="Arial Narrow"/>
                <w:snapToGrid/>
                <w:color w:val="000000"/>
                <w:sz w:val="22"/>
                <w:szCs w:val="22"/>
              </w:rPr>
              <w:t xml:space="preserve">added </w:t>
            </w:r>
            <w:r w:rsidRPr="00456EDE">
              <w:rPr>
                <w:rFonts w:ascii="Arial Narrow" w:hAnsi="Arial Narrow"/>
                <w:snapToGrid/>
                <w:color w:val="000000"/>
                <w:sz w:val="22"/>
                <w:szCs w:val="22"/>
              </w:rPr>
              <w:t>to clarify which data elements to report</w:t>
            </w:r>
            <w:r w:rsidR="000B6A66">
              <w:rPr>
                <w:rFonts w:ascii="Arial Narrow" w:hAnsi="Arial Narrow"/>
                <w:snapToGrid/>
                <w:color w:val="000000"/>
                <w:sz w:val="22"/>
                <w:szCs w:val="22"/>
              </w:rPr>
              <w:t>.</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pPr>
              <w:widowControl/>
              <w:rPr>
                <w:rFonts w:ascii="Arial Narrow" w:hAnsi="Arial Narrow"/>
                <w:snapToGrid/>
                <w:sz w:val="22"/>
                <w:szCs w:val="22"/>
              </w:rPr>
            </w:pPr>
            <w:r w:rsidRPr="00751AF5">
              <w:rPr>
                <w:rFonts w:ascii="Arial Narrow" w:hAnsi="Arial Narrow"/>
                <w:snapToGrid/>
                <w:sz w:val="22"/>
                <w:szCs w:val="22"/>
              </w:rPr>
              <w:t xml:space="preserve">Revised Section 5 - MLR Rebate Calculation </w:t>
            </w:r>
            <w:r w:rsidRPr="00F41926">
              <w:rPr>
                <w:rFonts w:ascii="Arial Narrow" w:hAnsi="Arial Narrow"/>
                <w:i/>
                <w:snapToGrid/>
                <w:sz w:val="22"/>
                <w:szCs w:val="22"/>
              </w:rPr>
              <w:t>(For Current Year Only)</w:t>
            </w:r>
            <w:r w:rsidRPr="00456EDE">
              <w:rPr>
                <w:rFonts w:ascii="Arial Narrow" w:hAnsi="Arial Narrow"/>
                <w:snapToGrid/>
                <w:sz w:val="22"/>
                <w:szCs w:val="22"/>
              </w:rPr>
              <w:t xml:space="preserve"> </w:t>
            </w:r>
            <w:r w:rsidRPr="00762E66">
              <w:rPr>
                <w:rFonts w:ascii="Arial Narrow" w:hAnsi="Arial Narrow"/>
                <w:snapToGrid/>
                <w:sz w:val="22"/>
                <w:szCs w:val="22"/>
              </w:rPr>
              <w:t xml:space="preserve">by adding </w:t>
            </w:r>
            <w:r w:rsidRPr="00F41926">
              <w:rPr>
                <w:rFonts w:ascii="Arial Narrow" w:hAnsi="Arial Narrow"/>
                <w:snapToGrid/>
                <w:color w:val="FF0000"/>
                <w:sz w:val="22"/>
                <w:szCs w:val="22"/>
              </w:rPr>
              <w:t>"Issuers with non-credible experience should leave Lines 5.1 – 5.3 blank and enter zero on Line 5.4."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rsidP="000B6A66">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This language was </w:t>
            </w:r>
            <w:r w:rsidR="000B6A66">
              <w:rPr>
                <w:rFonts w:ascii="Arial Narrow" w:hAnsi="Arial Narrow"/>
                <w:snapToGrid/>
                <w:color w:val="000000"/>
                <w:sz w:val="22"/>
                <w:szCs w:val="22"/>
              </w:rPr>
              <w:t>added</w:t>
            </w:r>
            <w:r w:rsidRPr="00762E66">
              <w:rPr>
                <w:rFonts w:ascii="Arial Narrow" w:hAnsi="Arial Narrow"/>
                <w:snapToGrid/>
                <w:color w:val="000000"/>
                <w:sz w:val="22"/>
                <w:szCs w:val="22"/>
              </w:rPr>
              <w:t xml:space="preserve"> to clarify which data elements to report</w:t>
            </w:r>
            <w:r w:rsidR="000B6A66">
              <w:rPr>
                <w:rFonts w:ascii="Arial Narrow" w:hAnsi="Arial Narrow"/>
                <w:snapToGrid/>
                <w:color w:val="000000"/>
                <w:sz w:val="22"/>
                <w:szCs w:val="22"/>
              </w:rPr>
              <w:t>.</w:t>
            </w:r>
          </w:p>
        </w:tc>
      </w:tr>
      <w:tr w:rsidR="00D21C55" w:rsidRPr="00D21C55" w:rsidTr="00F41926">
        <w:trPr>
          <w:cantSplit/>
          <w:trHeight w:val="165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202AB5" w:rsidRDefault="00D21C55">
            <w:pPr>
              <w:widowControl/>
              <w:rPr>
                <w:rFonts w:ascii="Arial Narrow" w:hAnsi="Arial Narrow"/>
                <w:snapToGrid/>
                <w:sz w:val="22"/>
                <w:szCs w:val="22"/>
              </w:rPr>
            </w:pPr>
            <w:r w:rsidRPr="00751AF5">
              <w:rPr>
                <w:rFonts w:ascii="Arial Narrow" w:hAnsi="Arial Narrow"/>
                <w:snapToGrid/>
                <w:sz w:val="22"/>
                <w:szCs w:val="22"/>
              </w:rPr>
              <w:t>Revised Section 5 - MLR Rebate Calculation (For Current Year Only) Line 5.3 - Adjusted earned premium, less Federal and state taxes and licensing or regulatory fees (not applic</w:t>
            </w:r>
            <w:r w:rsidRPr="00202AB5">
              <w:rPr>
                <w:rFonts w:ascii="Arial Narrow" w:hAnsi="Arial Narrow"/>
                <w:snapToGrid/>
                <w:sz w:val="22"/>
                <w:szCs w:val="22"/>
              </w:rPr>
              <w:t>able to the grand total page), to read "Part 4, Lines 2.1 – 2.2, Column CY only"</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This language was revised to clarify which data elements to report. </w:t>
            </w:r>
          </w:p>
        </w:tc>
      </w:tr>
      <w:tr w:rsidR="00D21C55" w:rsidRPr="00D21C55" w:rsidTr="00F41926">
        <w:trPr>
          <w:cantSplit/>
          <w:trHeight w:val="132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pPr>
              <w:widowControl/>
              <w:rPr>
                <w:rFonts w:ascii="Arial Narrow" w:hAnsi="Arial Narrow"/>
                <w:snapToGrid/>
                <w:color w:val="000000"/>
                <w:sz w:val="22"/>
                <w:szCs w:val="22"/>
              </w:rPr>
            </w:pPr>
            <w:r w:rsidRPr="00751AF5">
              <w:rPr>
                <w:rFonts w:ascii="Arial Narrow" w:hAnsi="Arial Narrow"/>
                <w:snapToGrid/>
                <w:sz w:val="22"/>
                <w:szCs w:val="22"/>
              </w:rPr>
              <w:t xml:space="preserve">Revised Section 5 - MLR Rebate Calculation (For Current Year Only) Line 5.4 Rebate amount if credibility-adjusted MLR is less than the MLR standard </w:t>
            </w:r>
            <w:r w:rsidRPr="00F41926">
              <w:rPr>
                <w:rFonts w:ascii="Arial Narrow" w:hAnsi="Arial Narrow"/>
                <w:i/>
                <w:snapToGrid/>
                <w:sz w:val="22"/>
                <w:szCs w:val="22"/>
              </w:rPr>
              <w:t>(not applicable to the Grand Total page)</w:t>
            </w:r>
            <w:r w:rsidRPr="00456EDE">
              <w:rPr>
                <w:rFonts w:ascii="Arial Narrow" w:hAnsi="Arial Narrow"/>
                <w:snapToGrid/>
                <w:sz w:val="22"/>
                <w:szCs w:val="22"/>
              </w:rPr>
              <w:t xml:space="preserve"> </w:t>
            </w:r>
            <w:r w:rsidRPr="00762E66">
              <w:rPr>
                <w:rFonts w:ascii="Arial Narrow" w:hAnsi="Arial Narrow"/>
                <w:snapToGrid/>
                <w:sz w:val="22"/>
                <w:szCs w:val="22"/>
              </w:rPr>
              <w:t xml:space="preserve">by adding </w:t>
            </w:r>
            <w:r w:rsidRPr="00F41926">
              <w:rPr>
                <w:rFonts w:ascii="Arial Narrow" w:hAnsi="Arial Narrow"/>
                <w:snapToGrid/>
                <w:color w:val="FF0000"/>
                <w:sz w:val="22"/>
                <w:szCs w:val="22"/>
              </w:rPr>
              <w:t>"Issuers with non-credible experience and issuers whose credibility-adjusted MLR is equal to or above the MLR standard should enter zero."</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rsidP="000B6A66">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This language was </w:t>
            </w:r>
            <w:r w:rsidR="000B6A66">
              <w:rPr>
                <w:rFonts w:ascii="Arial Narrow" w:hAnsi="Arial Narrow"/>
                <w:snapToGrid/>
                <w:color w:val="000000"/>
                <w:sz w:val="22"/>
                <w:szCs w:val="22"/>
              </w:rPr>
              <w:t>added</w:t>
            </w:r>
            <w:r w:rsidRPr="00762E66">
              <w:rPr>
                <w:rFonts w:ascii="Arial Narrow" w:hAnsi="Arial Narrow"/>
                <w:snapToGrid/>
                <w:color w:val="000000"/>
                <w:sz w:val="22"/>
                <w:szCs w:val="22"/>
              </w:rPr>
              <w:t xml:space="preserve"> to clarify which data elements to report</w:t>
            </w:r>
            <w:r w:rsidR="000B6A66">
              <w:rPr>
                <w:rFonts w:ascii="Arial Narrow" w:hAnsi="Arial Narrow"/>
                <w:snapToGrid/>
                <w:color w:val="000000"/>
                <w:sz w:val="22"/>
                <w:szCs w:val="22"/>
              </w:rPr>
              <w:t>.</w:t>
            </w:r>
          </w:p>
        </w:tc>
      </w:tr>
      <w:tr w:rsidR="00D21C55" w:rsidRPr="00D21C55" w:rsidTr="00F41926">
        <w:trPr>
          <w:cantSplit/>
          <w:trHeight w:val="132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68</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Instructions for MLR Annual Reporting Form - Part 4 - (MLR and Rebate Calculation) </w:t>
            </w:r>
          </w:p>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Line Instructions - Part 4</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rsidP="000B6A66">
            <w:pPr>
              <w:widowControl/>
              <w:rPr>
                <w:rFonts w:ascii="Arial Narrow" w:hAnsi="Arial Narrow"/>
                <w:snapToGrid/>
                <w:color w:val="000000"/>
                <w:sz w:val="22"/>
                <w:szCs w:val="22"/>
              </w:rPr>
            </w:pPr>
            <w:r w:rsidRPr="00751AF5">
              <w:rPr>
                <w:rFonts w:ascii="Arial Narrow" w:hAnsi="Arial Narrow"/>
                <w:snapToGrid/>
                <w:sz w:val="22"/>
                <w:szCs w:val="22"/>
              </w:rPr>
              <w:t xml:space="preserve">Revised Section 5 - MLR Rebate Calculation (For Current Year Only) Line 5.4 Rebate amount if credibility-adjusted MLR is less than the MLR standard </w:t>
            </w:r>
            <w:r w:rsidRPr="00751AF5">
              <w:rPr>
                <w:rFonts w:ascii="Arial Narrow" w:hAnsi="Arial Narrow"/>
                <w:i/>
                <w:snapToGrid/>
                <w:sz w:val="22"/>
                <w:szCs w:val="22"/>
              </w:rPr>
              <w:t>(not applicable to the Grand Total page)</w:t>
            </w:r>
            <w:r w:rsidRPr="00751AF5">
              <w:rPr>
                <w:rFonts w:ascii="Arial Narrow" w:hAnsi="Arial Narrow"/>
                <w:snapToGrid/>
                <w:sz w:val="22"/>
                <w:szCs w:val="22"/>
              </w:rPr>
              <w:t xml:space="preserve"> by removing </w:t>
            </w:r>
            <w:r w:rsidR="000B6A66">
              <w:rPr>
                <w:rFonts w:ascii="Arial Narrow" w:hAnsi="Arial Narrow"/>
                <w:snapToGrid/>
                <w:sz w:val="22"/>
                <w:szCs w:val="22"/>
              </w:rPr>
              <w:t xml:space="preserve">the </w:t>
            </w:r>
            <w:r w:rsidRPr="00751AF5">
              <w:rPr>
                <w:rFonts w:ascii="Arial Narrow" w:hAnsi="Arial Narrow"/>
                <w:snapToGrid/>
                <w:sz w:val="22"/>
                <w:szCs w:val="22"/>
              </w:rPr>
              <w:t>reference to expatriate plans, and add</w:t>
            </w:r>
            <w:r w:rsidR="000B6A66">
              <w:rPr>
                <w:rFonts w:ascii="Arial Narrow" w:hAnsi="Arial Narrow"/>
                <w:snapToGrid/>
                <w:sz w:val="22"/>
                <w:szCs w:val="22"/>
              </w:rPr>
              <w:t>ing</w:t>
            </w:r>
            <w:r w:rsidRPr="00202AB5">
              <w:rPr>
                <w:rFonts w:ascii="Arial Narrow" w:hAnsi="Arial Narrow"/>
                <w:snapToGrid/>
                <w:sz w:val="22"/>
                <w:szCs w:val="22"/>
              </w:rPr>
              <w:t xml:space="preserve"> </w:t>
            </w:r>
            <w:r w:rsidRPr="00F41926">
              <w:rPr>
                <w:rFonts w:ascii="Arial Narrow" w:hAnsi="Arial Narrow"/>
                <w:snapToGrid/>
                <w:color w:val="FF0000"/>
                <w:sz w:val="22"/>
                <w:szCs w:val="22"/>
              </w:rPr>
              <w:t>"For the 2012 MLR reporting year expatriate columns should be left blank in Part 4."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762E66">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132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C55" w:rsidRPr="00456EDE"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69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5 Rebate Disbursement</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456EDE"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 xml:space="preserve">Revised definitions for Columns 7 and 8 by </w:t>
            </w:r>
            <w:r w:rsidRPr="00F41926">
              <w:rPr>
                <w:rFonts w:ascii="Arial Narrow" w:hAnsi="Arial Narrow"/>
                <w:snapToGrid/>
                <w:sz w:val="22"/>
                <w:szCs w:val="22"/>
              </w:rPr>
              <w:t>adding</w:t>
            </w:r>
            <w:r w:rsidRPr="00F41926">
              <w:rPr>
                <w:rFonts w:ascii="Arial Narrow" w:hAnsi="Arial Narrow"/>
                <w:snapToGrid/>
                <w:color w:val="FF0000"/>
                <w:sz w:val="22"/>
                <w:szCs w:val="22"/>
              </w:rPr>
              <w:t xml:space="preserve"> "(For the 2012 MLR reporting year, expatriate plans should not report anything on Part 5 of the MLR Form.)"</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This language was revised to reflect guidance issued in "Affordable Care Act Implementation FAQ - Set 13" regarding treatment of expatriate plans, which are considered compliant for the 2012 reporting year</w:t>
            </w:r>
            <w:r w:rsidR="00B61A81">
              <w:rPr>
                <w:rFonts w:ascii="Arial Narrow" w:hAnsi="Arial Narrow"/>
                <w:snapToGrid/>
                <w:color w:val="000000"/>
                <w:sz w:val="22"/>
                <w:szCs w:val="22"/>
              </w:rPr>
              <w:t>.</w:t>
            </w:r>
            <w:r w:rsidRPr="00762E66">
              <w:rPr>
                <w:rFonts w:ascii="Arial Narrow" w:hAnsi="Arial Narrow"/>
                <w:snapToGrid/>
                <w:color w:val="000000"/>
                <w:sz w:val="22"/>
                <w:szCs w:val="22"/>
              </w:rPr>
              <w:t xml:space="preserve"> </w:t>
            </w:r>
            <w:r w:rsidR="00B61A81">
              <w:rPr>
                <w:rFonts w:ascii="Arial Narrow" w:hAnsi="Arial Narrow"/>
                <w:snapToGrid/>
                <w:color w:val="000000"/>
                <w:sz w:val="22"/>
                <w:szCs w:val="22"/>
              </w:rPr>
              <w:t>Issuers with only expatriate business</w:t>
            </w:r>
            <w:r w:rsidR="00B61A81" w:rsidRPr="00B61A81">
              <w:rPr>
                <w:rFonts w:ascii="Arial Narrow" w:hAnsi="Arial Narrow"/>
                <w:snapToGrid/>
                <w:color w:val="000000"/>
                <w:sz w:val="22"/>
                <w:szCs w:val="22"/>
              </w:rPr>
              <w:t xml:space="preserve"> do not have to submit an MLR report</w:t>
            </w:r>
            <w:r w:rsidR="00B61A81">
              <w:rPr>
                <w:rFonts w:ascii="Arial Narrow" w:hAnsi="Arial Narrow"/>
                <w:snapToGrid/>
                <w:color w:val="000000"/>
                <w:sz w:val="22"/>
                <w:szCs w:val="22"/>
              </w:rPr>
              <w:t>, and issuers with health insurance coverage in other markets report expatriate business on a limited basis</w:t>
            </w:r>
            <w:r w:rsidR="00B61A81" w:rsidRPr="00B61A81">
              <w:rPr>
                <w:rFonts w:ascii="Arial Narrow" w:hAnsi="Arial Narrow"/>
                <w:snapToGrid/>
                <w:color w:val="000000"/>
                <w:sz w:val="22"/>
                <w:szCs w:val="22"/>
              </w:rPr>
              <w:t>.</w:t>
            </w:r>
          </w:p>
        </w:tc>
      </w:tr>
      <w:tr w:rsidR="00D21C55" w:rsidRPr="00D21C55" w:rsidTr="00F41926">
        <w:trPr>
          <w:cantSplit/>
          <w:trHeight w:val="132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lastRenderedPageBreak/>
              <w:t>70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5 Rebate Disbursement</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Revised Section 3 - Total amounts of rebates, line 3.a –, to read</w:t>
            </w:r>
          </w:p>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 "Total amount of rebates (from Part 4, Line 5.4)."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This language was revised to correct a typographical error. </w:t>
            </w:r>
          </w:p>
        </w:tc>
      </w:tr>
      <w:tr w:rsidR="00D21C55" w:rsidRPr="00D21C55" w:rsidTr="00F41926">
        <w:trPr>
          <w:cantSplit/>
          <w:trHeight w:val="302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71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62E66"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5 Rebate Disbursement</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bullets in Section 4 - Prior MLR reporting year rebates, line 4.d - Percentage of rebates timely paid to individual policy subscribers and group policy holders owed a rebate, to read: </w:t>
            </w:r>
          </w:p>
          <w:p w:rsidR="00D21C55" w:rsidRPr="00751AF5" w:rsidRDefault="00D21C55">
            <w:pPr>
              <w:widowControl/>
              <w:rPr>
                <w:rFonts w:ascii="Arial Narrow" w:hAnsi="Arial Narrow"/>
                <w:snapToGrid/>
                <w:color w:val="000000"/>
                <w:sz w:val="22"/>
                <w:szCs w:val="22"/>
              </w:rPr>
            </w:pPr>
          </w:p>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 Rebates paid as a lump-sum check or reimbursement to individual policy subscribers and directly to group policyholders (e.g., if this form is being filed for the 2012 MLR reporting year, include rebates for the 2011 MLR reporting year that were disbursed as a lump sum by August 1, 2012); </w:t>
            </w:r>
          </w:p>
          <w:p w:rsidR="00D21C55" w:rsidRPr="00202AB5" w:rsidRDefault="00D21C55">
            <w:pPr>
              <w:widowControl/>
              <w:rPr>
                <w:rFonts w:ascii="Arial Narrow" w:hAnsi="Arial Narrow"/>
                <w:snapToGrid/>
                <w:color w:val="000000"/>
                <w:sz w:val="22"/>
                <w:szCs w:val="22"/>
              </w:rPr>
            </w:pPr>
          </w:p>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 • Rebates credited to individual policy subscribers and directly to group policyholders for the premium due on or after August 1 following the prior MLR reporting year (e.g., if this form is being filed for the 2012 MLR reporting year, enter the percentage of rebates based upon the 2011 MLR reporting year that were paid as premium credit beginning August 1, 2012)."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clarify which data elements to report. </w:t>
            </w:r>
          </w:p>
        </w:tc>
      </w:tr>
      <w:tr w:rsidR="00D21C55" w:rsidRPr="00D21C55" w:rsidTr="00F41926">
        <w:trPr>
          <w:cantSplit/>
          <w:trHeight w:val="178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72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6 Additional Responses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4, to read "If the issuer entered into any 100% assumption reinsurance agreements (with a novation) during the MLR reporting year provide the name(s) of the entity (ies) with which the agreement was (were) made and the effective date of the novation. </w:t>
            </w:r>
          </w:p>
          <w:p w:rsidR="00D21C55" w:rsidRPr="00751AF5" w:rsidRDefault="00D21C55">
            <w:pPr>
              <w:widowControl/>
              <w:rPr>
                <w:rFonts w:ascii="Arial Narrow" w:hAnsi="Arial Narrow"/>
                <w:snapToGrid/>
                <w:color w:val="000000"/>
                <w:sz w:val="22"/>
                <w:szCs w:val="22"/>
              </w:rPr>
            </w:pPr>
          </w:p>
          <w:p w:rsidR="00D21C55" w:rsidRPr="00202AB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Report only those agreements that are applicable to “health insurance coverage” as defined on page 2 of </w:t>
            </w:r>
            <w:r w:rsidRPr="00202AB5">
              <w:rPr>
                <w:rFonts w:ascii="Arial Narrow" w:hAnsi="Arial Narrow"/>
                <w:snapToGrid/>
                <w:color w:val="000000"/>
                <w:sz w:val="22"/>
                <w:szCs w:val="22"/>
              </w:rPr>
              <w:t>the instructions."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provide clarity. </w:t>
            </w:r>
          </w:p>
        </w:tc>
      </w:tr>
      <w:tr w:rsidR="00D21C55" w:rsidRPr="00D21C55" w:rsidTr="00F41926">
        <w:trPr>
          <w:cantSplit/>
          <w:trHeight w:val="2141"/>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C55" w:rsidRPr="00762E66" w:rsidRDefault="00D21C55" w:rsidP="00EF3083">
            <w:pPr>
              <w:widowControl/>
              <w:jc w:val="center"/>
              <w:rPr>
                <w:rFonts w:ascii="Arial Narrow" w:hAnsi="Arial Narrow"/>
                <w:b/>
                <w:bCs/>
                <w:snapToGrid/>
                <w:color w:val="000000"/>
                <w:sz w:val="22"/>
                <w:szCs w:val="22"/>
              </w:rPr>
            </w:pPr>
            <w:r w:rsidRPr="00F41926">
              <w:rPr>
                <w:rFonts w:ascii="Arial Narrow" w:hAnsi="Arial Narrow" w:cs="Calibri"/>
                <w:color w:val="000000"/>
                <w:sz w:val="22"/>
                <w:szCs w:val="22"/>
              </w:rPr>
              <w:t>73</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62E66">
              <w:rPr>
                <w:rFonts w:ascii="Arial Narrow" w:hAnsi="Arial Narrow"/>
                <w:snapToGrid/>
                <w:color w:val="000000"/>
                <w:sz w:val="22"/>
                <w:szCs w:val="22"/>
              </w:rPr>
              <w:t>Instructions for MLR Annual Reporting Form - Part 6 Additional Responses</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751AF5" w:rsidRDefault="00D21C55">
            <w:pPr>
              <w:widowControl/>
              <w:rPr>
                <w:rFonts w:ascii="Arial Narrow" w:hAnsi="Arial Narrow"/>
                <w:snapToGrid/>
                <w:color w:val="000000"/>
                <w:sz w:val="22"/>
                <w:szCs w:val="22"/>
              </w:rPr>
            </w:pPr>
            <w:r w:rsidRPr="00751AF5">
              <w:rPr>
                <w:rFonts w:ascii="Arial Narrow" w:hAnsi="Arial Narrow"/>
                <w:snapToGrid/>
                <w:color w:val="000000"/>
                <w:sz w:val="22"/>
                <w:szCs w:val="22"/>
              </w:rPr>
              <w:t xml:space="preserve">Revised line 6, to read "If the issuer has any 100% indemnity reinsurance and administrative agreements effective prior to March 23, 2010, for which the assuming entity is responsible for 100 percent of the ceding entity's financial risk and takes on all of the administration of the block of business, provide name(s) of the entity (ies) that is (are) reporting the experience related to such business. </w:t>
            </w:r>
          </w:p>
          <w:p w:rsidR="00D21C55" w:rsidRPr="00751AF5" w:rsidRDefault="00D21C55">
            <w:pPr>
              <w:widowControl/>
              <w:rPr>
                <w:rFonts w:ascii="Arial Narrow" w:hAnsi="Arial Narrow"/>
                <w:snapToGrid/>
                <w:color w:val="000000"/>
                <w:sz w:val="22"/>
                <w:szCs w:val="22"/>
              </w:rPr>
            </w:pPr>
          </w:p>
          <w:p w:rsidR="00D21C55" w:rsidRPr="00202AB5" w:rsidRDefault="00D21C55">
            <w:pPr>
              <w:widowControl/>
              <w:rPr>
                <w:rFonts w:ascii="Arial Narrow" w:hAnsi="Arial Narrow"/>
                <w:snapToGrid/>
                <w:color w:val="000000"/>
                <w:sz w:val="22"/>
                <w:szCs w:val="22"/>
              </w:rPr>
            </w:pPr>
            <w:r w:rsidRPr="00202AB5">
              <w:rPr>
                <w:rFonts w:ascii="Arial Narrow" w:hAnsi="Arial Narrow"/>
                <w:snapToGrid/>
                <w:color w:val="000000"/>
                <w:sz w:val="22"/>
                <w:szCs w:val="22"/>
              </w:rPr>
              <w:t>Report only those agreements that are applicable to “health insurance coverage” as defined on page 2 of the instructions."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C55" w:rsidRPr="00B66C16" w:rsidRDefault="00D21C55">
            <w:pPr>
              <w:widowControl/>
              <w:rPr>
                <w:rFonts w:ascii="Arial Narrow" w:hAnsi="Arial Narrow"/>
                <w:snapToGrid/>
                <w:color w:val="000000"/>
                <w:sz w:val="22"/>
                <w:szCs w:val="22"/>
              </w:rPr>
            </w:pPr>
            <w:r w:rsidRPr="00B66C16">
              <w:rPr>
                <w:rFonts w:ascii="Arial Narrow" w:hAnsi="Arial Narrow"/>
                <w:snapToGrid/>
                <w:color w:val="000000"/>
                <w:sz w:val="22"/>
                <w:szCs w:val="22"/>
              </w:rPr>
              <w:t xml:space="preserve">In response to comments received, this language was revised to provide clarity. </w:t>
            </w:r>
          </w:p>
        </w:tc>
      </w:tr>
    </w:tbl>
    <w:p w:rsidR="00A968E5" w:rsidRDefault="00A968E5"/>
    <w:sectPr w:rsidR="00A968E5" w:rsidSect="0077020A">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E0" w:rsidRDefault="001A3BE0" w:rsidP="00EF7C49">
      <w:r>
        <w:separator/>
      </w:r>
    </w:p>
  </w:endnote>
  <w:endnote w:type="continuationSeparator" w:id="0">
    <w:p w:rsidR="001A3BE0" w:rsidRDefault="001A3BE0" w:rsidP="00EF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926" w:rsidRDefault="00F41926">
    <w:pPr>
      <w:pStyle w:val="Footer"/>
    </w:pPr>
  </w:p>
  <w:p w:rsidR="00F41926" w:rsidRPr="00EF3083" w:rsidRDefault="00F41926">
    <w:pPr>
      <w:pStyle w:val="Footer"/>
    </w:pPr>
    <w:r>
      <w:tab/>
    </w:r>
    <w:r w:rsidRPr="00EF3083">
      <w:t xml:space="preserve">Page </w:t>
    </w:r>
    <w:r w:rsidRPr="00EF3083">
      <w:fldChar w:fldCharType="begin"/>
    </w:r>
    <w:r w:rsidRPr="00EF3083">
      <w:instrText xml:space="preserve"> PAGE  \* Arabic  \* MERGEFORMAT </w:instrText>
    </w:r>
    <w:r w:rsidRPr="00EF3083">
      <w:fldChar w:fldCharType="separate"/>
    </w:r>
    <w:r w:rsidR="009F55C0">
      <w:rPr>
        <w:noProof/>
      </w:rPr>
      <w:t>2</w:t>
    </w:r>
    <w:r w:rsidRPr="00EF3083">
      <w:fldChar w:fldCharType="end"/>
    </w:r>
    <w:r w:rsidRPr="00EF3083">
      <w:t xml:space="preserve"> of </w:t>
    </w:r>
    <w:r w:rsidR="001A3BE0">
      <w:fldChar w:fldCharType="begin"/>
    </w:r>
    <w:r w:rsidR="001A3BE0">
      <w:instrText xml:space="preserve"> NUMPAGES  \* Arabic  \* MERGEFORMAT </w:instrText>
    </w:r>
    <w:r w:rsidR="001A3BE0">
      <w:fldChar w:fldCharType="separate"/>
    </w:r>
    <w:r w:rsidR="009F55C0">
      <w:rPr>
        <w:noProof/>
      </w:rPr>
      <w:t>15</w:t>
    </w:r>
    <w:r w:rsidR="001A3BE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E0" w:rsidRDefault="001A3BE0" w:rsidP="00EF7C49">
      <w:r>
        <w:separator/>
      </w:r>
    </w:p>
  </w:footnote>
  <w:footnote w:type="continuationSeparator" w:id="0">
    <w:p w:rsidR="001A3BE0" w:rsidRDefault="001A3BE0" w:rsidP="00EF7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C226F"/>
    <w:multiLevelType w:val="hybridMultilevel"/>
    <w:tmpl w:val="87A08936"/>
    <w:lvl w:ilvl="0" w:tplc="B6BA8B1A">
      <w:start w:val="1"/>
      <w:numFmt w:val="upperLetter"/>
      <w:pStyle w:val="Heading2"/>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49"/>
    <w:rsid w:val="00010214"/>
    <w:rsid w:val="000306B6"/>
    <w:rsid w:val="000425D5"/>
    <w:rsid w:val="000631A3"/>
    <w:rsid w:val="00066389"/>
    <w:rsid w:val="0006716B"/>
    <w:rsid w:val="000B6A66"/>
    <w:rsid w:val="000D0989"/>
    <w:rsid w:val="000E0D7C"/>
    <w:rsid w:val="00170908"/>
    <w:rsid w:val="00190B16"/>
    <w:rsid w:val="001A0608"/>
    <w:rsid w:val="001A2B72"/>
    <w:rsid w:val="001A3BE0"/>
    <w:rsid w:val="001A41D1"/>
    <w:rsid w:val="001D2235"/>
    <w:rsid w:val="001E0F00"/>
    <w:rsid w:val="00202AB5"/>
    <w:rsid w:val="00212464"/>
    <w:rsid w:val="00217FCD"/>
    <w:rsid w:val="00275F2F"/>
    <w:rsid w:val="002C21F7"/>
    <w:rsid w:val="002C4994"/>
    <w:rsid w:val="002E5650"/>
    <w:rsid w:val="003301AB"/>
    <w:rsid w:val="00356AD9"/>
    <w:rsid w:val="003632D5"/>
    <w:rsid w:val="0036688F"/>
    <w:rsid w:val="00381F98"/>
    <w:rsid w:val="003C099B"/>
    <w:rsid w:val="004267A1"/>
    <w:rsid w:val="00427E9E"/>
    <w:rsid w:val="00456EDE"/>
    <w:rsid w:val="004A46B6"/>
    <w:rsid w:val="004D7CF3"/>
    <w:rsid w:val="005B2C2E"/>
    <w:rsid w:val="005D1F17"/>
    <w:rsid w:val="005E5D31"/>
    <w:rsid w:val="005F2786"/>
    <w:rsid w:val="005F2F9D"/>
    <w:rsid w:val="005F48EA"/>
    <w:rsid w:val="00603AA2"/>
    <w:rsid w:val="00614556"/>
    <w:rsid w:val="006B11F2"/>
    <w:rsid w:val="007071B0"/>
    <w:rsid w:val="00751AF5"/>
    <w:rsid w:val="00762E66"/>
    <w:rsid w:val="0077020A"/>
    <w:rsid w:val="007C28FC"/>
    <w:rsid w:val="007D5C65"/>
    <w:rsid w:val="007F3E8A"/>
    <w:rsid w:val="00812406"/>
    <w:rsid w:val="00837201"/>
    <w:rsid w:val="008562E6"/>
    <w:rsid w:val="00904289"/>
    <w:rsid w:val="00904432"/>
    <w:rsid w:val="009351BD"/>
    <w:rsid w:val="0094134C"/>
    <w:rsid w:val="00942608"/>
    <w:rsid w:val="009766A7"/>
    <w:rsid w:val="009847A9"/>
    <w:rsid w:val="009874CB"/>
    <w:rsid w:val="009F55C0"/>
    <w:rsid w:val="00A232AE"/>
    <w:rsid w:val="00A26E3B"/>
    <w:rsid w:val="00A665D8"/>
    <w:rsid w:val="00A968E5"/>
    <w:rsid w:val="00B0730C"/>
    <w:rsid w:val="00B61A81"/>
    <w:rsid w:val="00B61D14"/>
    <w:rsid w:val="00B66C16"/>
    <w:rsid w:val="00BB1EDF"/>
    <w:rsid w:val="00BB648D"/>
    <w:rsid w:val="00BE4C38"/>
    <w:rsid w:val="00BF4AE8"/>
    <w:rsid w:val="00C07C45"/>
    <w:rsid w:val="00C12656"/>
    <w:rsid w:val="00C4614F"/>
    <w:rsid w:val="00CD0566"/>
    <w:rsid w:val="00CD5EB0"/>
    <w:rsid w:val="00D00F27"/>
    <w:rsid w:val="00D21C55"/>
    <w:rsid w:val="00D609A9"/>
    <w:rsid w:val="00DD6ED4"/>
    <w:rsid w:val="00DF29BE"/>
    <w:rsid w:val="00DF5716"/>
    <w:rsid w:val="00E31D8C"/>
    <w:rsid w:val="00E56A0F"/>
    <w:rsid w:val="00E60A43"/>
    <w:rsid w:val="00ED713C"/>
    <w:rsid w:val="00EF3083"/>
    <w:rsid w:val="00EF7B71"/>
    <w:rsid w:val="00EF7C49"/>
    <w:rsid w:val="00F00393"/>
    <w:rsid w:val="00F41926"/>
    <w:rsid w:val="00F46591"/>
    <w:rsid w:val="00F952A5"/>
    <w:rsid w:val="00FB0AC6"/>
    <w:rsid w:val="00FC2DEC"/>
    <w:rsid w:val="00FD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4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EF7C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EF7C49"/>
    <w:pPr>
      <w:numPr>
        <w:numId w:val="1"/>
      </w:numPr>
      <w:spacing w:before="240" w:after="240"/>
      <w:outlineLvl w:val="1"/>
    </w:pPr>
    <w:rPr>
      <w:rFonts w:ascii="Times New Roman" w:hAnsi="Times New Roman"/>
      <w:bCs w:val="0"/>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7C49"/>
    <w:rPr>
      <w:rFonts w:ascii="Times New Roman" w:eastAsiaTheme="majorEastAsia" w:hAnsi="Times New Roman" w:cstheme="majorBidi"/>
      <w:b/>
      <w:snapToGrid w:val="0"/>
      <w:color w:val="000000" w:themeColor="text1"/>
      <w:sz w:val="24"/>
      <w:szCs w:val="26"/>
      <w:u w:val="single"/>
    </w:rPr>
  </w:style>
  <w:style w:type="character" w:customStyle="1" w:styleId="Heading1Char">
    <w:name w:val="Heading 1 Char"/>
    <w:basedOn w:val="DefaultParagraphFont"/>
    <w:link w:val="Heading1"/>
    <w:uiPriority w:val="9"/>
    <w:rsid w:val="00EF7C49"/>
    <w:rPr>
      <w:rFonts w:asciiTheme="majorHAnsi" w:eastAsiaTheme="majorEastAsia" w:hAnsiTheme="majorHAnsi" w:cstheme="majorBidi"/>
      <w:b/>
      <w:bCs/>
      <w:snapToGrid w:val="0"/>
      <w:color w:val="365F91" w:themeColor="accent1" w:themeShade="BF"/>
      <w:sz w:val="28"/>
      <w:szCs w:val="28"/>
    </w:rPr>
  </w:style>
  <w:style w:type="paragraph" w:styleId="Header">
    <w:name w:val="header"/>
    <w:basedOn w:val="Normal"/>
    <w:link w:val="HeaderChar"/>
    <w:uiPriority w:val="99"/>
    <w:unhideWhenUsed/>
    <w:rsid w:val="00EF7C49"/>
    <w:pPr>
      <w:tabs>
        <w:tab w:val="center" w:pos="4680"/>
        <w:tab w:val="right" w:pos="9360"/>
      </w:tabs>
    </w:pPr>
  </w:style>
  <w:style w:type="character" w:customStyle="1" w:styleId="HeaderChar">
    <w:name w:val="Header Char"/>
    <w:basedOn w:val="DefaultParagraphFont"/>
    <w:link w:val="Header"/>
    <w:uiPriority w:val="99"/>
    <w:rsid w:val="00EF7C49"/>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F7C49"/>
    <w:pPr>
      <w:tabs>
        <w:tab w:val="center" w:pos="4680"/>
        <w:tab w:val="right" w:pos="9360"/>
      </w:tabs>
    </w:pPr>
  </w:style>
  <w:style w:type="character" w:customStyle="1" w:styleId="FooterChar">
    <w:name w:val="Footer Char"/>
    <w:basedOn w:val="DefaultParagraphFont"/>
    <w:link w:val="Footer"/>
    <w:uiPriority w:val="99"/>
    <w:rsid w:val="00EF7C49"/>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E0D7C"/>
    <w:rPr>
      <w:rFonts w:ascii="Tahoma" w:hAnsi="Tahoma" w:cs="Tahoma"/>
      <w:sz w:val="16"/>
      <w:szCs w:val="16"/>
    </w:rPr>
  </w:style>
  <w:style w:type="character" w:customStyle="1" w:styleId="BalloonTextChar">
    <w:name w:val="Balloon Text Char"/>
    <w:basedOn w:val="DefaultParagraphFont"/>
    <w:link w:val="BalloonText"/>
    <w:uiPriority w:val="99"/>
    <w:semiHidden/>
    <w:rsid w:val="000E0D7C"/>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5F2786"/>
    <w:rPr>
      <w:sz w:val="16"/>
      <w:szCs w:val="16"/>
    </w:rPr>
  </w:style>
  <w:style w:type="paragraph" w:styleId="CommentText">
    <w:name w:val="annotation text"/>
    <w:basedOn w:val="Normal"/>
    <w:link w:val="CommentTextChar"/>
    <w:uiPriority w:val="99"/>
    <w:semiHidden/>
    <w:unhideWhenUsed/>
    <w:rsid w:val="005F2786"/>
    <w:rPr>
      <w:sz w:val="20"/>
    </w:rPr>
  </w:style>
  <w:style w:type="character" w:customStyle="1" w:styleId="CommentTextChar">
    <w:name w:val="Comment Text Char"/>
    <w:basedOn w:val="DefaultParagraphFont"/>
    <w:link w:val="CommentText"/>
    <w:uiPriority w:val="99"/>
    <w:semiHidden/>
    <w:rsid w:val="005F278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F2786"/>
    <w:rPr>
      <w:b/>
      <w:bCs/>
    </w:rPr>
  </w:style>
  <w:style w:type="character" w:customStyle="1" w:styleId="CommentSubjectChar">
    <w:name w:val="Comment Subject Char"/>
    <w:basedOn w:val="CommentTextChar"/>
    <w:link w:val="CommentSubject"/>
    <w:uiPriority w:val="99"/>
    <w:semiHidden/>
    <w:rsid w:val="005F2786"/>
    <w:rPr>
      <w:rFonts w:ascii="Times New Roman" w:eastAsia="Times New Roman" w:hAnsi="Times New Roman" w:cs="Times New Roman"/>
      <w:b/>
      <w:bCs/>
      <w:snapToGrid w:val="0"/>
      <w:sz w:val="20"/>
      <w:szCs w:val="20"/>
    </w:rPr>
  </w:style>
  <w:style w:type="character" w:styleId="Hyperlink">
    <w:name w:val="Hyperlink"/>
    <w:basedOn w:val="DefaultParagraphFont"/>
    <w:uiPriority w:val="99"/>
    <w:unhideWhenUsed/>
    <w:rsid w:val="001A2B72"/>
    <w:rPr>
      <w:color w:val="0000FF"/>
      <w:u w:val="single"/>
    </w:rPr>
  </w:style>
  <w:style w:type="character" w:styleId="FollowedHyperlink">
    <w:name w:val="FollowedHyperlink"/>
    <w:basedOn w:val="DefaultParagraphFont"/>
    <w:uiPriority w:val="99"/>
    <w:semiHidden/>
    <w:unhideWhenUsed/>
    <w:rsid w:val="004A46B6"/>
    <w:rPr>
      <w:color w:val="800080" w:themeColor="followedHyperlink"/>
      <w:u w:val="single"/>
    </w:rPr>
  </w:style>
  <w:style w:type="paragraph" w:styleId="Revision">
    <w:name w:val="Revision"/>
    <w:hidden/>
    <w:uiPriority w:val="99"/>
    <w:semiHidden/>
    <w:rsid w:val="009874CB"/>
    <w:pPr>
      <w:spacing w:after="0" w:line="240" w:lineRule="auto"/>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C4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EF7C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EF7C49"/>
    <w:pPr>
      <w:numPr>
        <w:numId w:val="1"/>
      </w:numPr>
      <w:spacing w:before="240" w:after="240"/>
      <w:outlineLvl w:val="1"/>
    </w:pPr>
    <w:rPr>
      <w:rFonts w:ascii="Times New Roman" w:hAnsi="Times New Roman"/>
      <w:bCs w:val="0"/>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7C49"/>
    <w:rPr>
      <w:rFonts w:ascii="Times New Roman" w:eastAsiaTheme="majorEastAsia" w:hAnsi="Times New Roman" w:cstheme="majorBidi"/>
      <w:b/>
      <w:snapToGrid w:val="0"/>
      <w:color w:val="000000" w:themeColor="text1"/>
      <w:sz w:val="24"/>
      <w:szCs w:val="26"/>
      <w:u w:val="single"/>
    </w:rPr>
  </w:style>
  <w:style w:type="character" w:customStyle="1" w:styleId="Heading1Char">
    <w:name w:val="Heading 1 Char"/>
    <w:basedOn w:val="DefaultParagraphFont"/>
    <w:link w:val="Heading1"/>
    <w:uiPriority w:val="9"/>
    <w:rsid w:val="00EF7C49"/>
    <w:rPr>
      <w:rFonts w:asciiTheme="majorHAnsi" w:eastAsiaTheme="majorEastAsia" w:hAnsiTheme="majorHAnsi" w:cstheme="majorBidi"/>
      <w:b/>
      <w:bCs/>
      <w:snapToGrid w:val="0"/>
      <w:color w:val="365F91" w:themeColor="accent1" w:themeShade="BF"/>
      <w:sz w:val="28"/>
      <w:szCs w:val="28"/>
    </w:rPr>
  </w:style>
  <w:style w:type="paragraph" w:styleId="Header">
    <w:name w:val="header"/>
    <w:basedOn w:val="Normal"/>
    <w:link w:val="HeaderChar"/>
    <w:uiPriority w:val="99"/>
    <w:unhideWhenUsed/>
    <w:rsid w:val="00EF7C49"/>
    <w:pPr>
      <w:tabs>
        <w:tab w:val="center" w:pos="4680"/>
        <w:tab w:val="right" w:pos="9360"/>
      </w:tabs>
    </w:pPr>
  </w:style>
  <w:style w:type="character" w:customStyle="1" w:styleId="HeaderChar">
    <w:name w:val="Header Char"/>
    <w:basedOn w:val="DefaultParagraphFont"/>
    <w:link w:val="Header"/>
    <w:uiPriority w:val="99"/>
    <w:rsid w:val="00EF7C49"/>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F7C49"/>
    <w:pPr>
      <w:tabs>
        <w:tab w:val="center" w:pos="4680"/>
        <w:tab w:val="right" w:pos="9360"/>
      </w:tabs>
    </w:pPr>
  </w:style>
  <w:style w:type="character" w:customStyle="1" w:styleId="FooterChar">
    <w:name w:val="Footer Char"/>
    <w:basedOn w:val="DefaultParagraphFont"/>
    <w:link w:val="Footer"/>
    <w:uiPriority w:val="99"/>
    <w:rsid w:val="00EF7C49"/>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E0D7C"/>
    <w:rPr>
      <w:rFonts w:ascii="Tahoma" w:hAnsi="Tahoma" w:cs="Tahoma"/>
      <w:sz w:val="16"/>
      <w:szCs w:val="16"/>
    </w:rPr>
  </w:style>
  <w:style w:type="character" w:customStyle="1" w:styleId="BalloonTextChar">
    <w:name w:val="Balloon Text Char"/>
    <w:basedOn w:val="DefaultParagraphFont"/>
    <w:link w:val="BalloonText"/>
    <w:uiPriority w:val="99"/>
    <w:semiHidden/>
    <w:rsid w:val="000E0D7C"/>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5F2786"/>
    <w:rPr>
      <w:sz w:val="16"/>
      <w:szCs w:val="16"/>
    </w:rPr>
  </w:style>
  <w:style w:type="paragraph" w:styleId="CommentText">
    <w:name w:val="annotation text"/>
    <w:basedOn w:val="Normal"/>
    <w:link w:val="CommentTextChar"/>
    <w:uiPriority w:val="99"/>
    <w:semiHidden/>
    <w:unhideWhenUsed/>
    <w:rsid w:val="005F2786"/>
    <w:rPr>
      <w:sz w:val="20"/>
    </w:rPr>
  </w:style>
  <w:style w:type="character" w:customStyle="1" w:styleId="CommentTextChar">
    <w:name w:val="Comment Text Char"/>
    <w:basedOn w:val="DefaultParagraphFont"/>
    <w:link w:val="CommentText"/>
    <w:uiPriority w:val="99"/>
    <w:semiHidden/>
    <w:rsid w:val="005F278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F2786"/>
    <w:rPr>
      <w:b/>
      <w:bCs/>
    </w:rPr>
  </w:style>
  <w:style w:type="character" w:customStyle="1" w:styleId="CommentSubjectChar">
    <w:name w:val="Comment Subject Char"/>
    <w:basedOn w:val="CommentTextChar"/>
    <w:link w:val="CommentSubject"/>
    <w:uiPriority w:val="99"/>
    <w:semiHidden/>
    <w:rsid w:val="005F2786"/>
    <w:rPr>
      <w:rFonts w:ascii="Times New Roman" w:eastAsia="Times New Roman" w:hAnsi="Times New Roman" w:cs="Times New Roman"/>
      <w:b/>
      <w:bCs/>
      <w:snapToGrid w:val="0"/>
      <w:sz w:val="20"/>
      <w:szCs w:val="20"/>
    </w:rPr>
  </w:style>
  <w:style w:type="character" w:styleId="Hyperlink">
    <w:name w:val="Hyperlink"/>
    <w:basedOn w:val="DefaultParagraphFont"/>
    <w:uiPriority w:val="99"/>
    <w:unhideWhenUsed/>
    <w:rsid w:val="001A2B72"/>
    <w:rPr>
      <w:color w:val="0000FF"/>
      <w:u w:val="single"/>
    </w:rPr>
  </w:style>
  <w:style w:type="character" w:styleId="FollowedHyperlink">
    <w:name w:val="FollowedHyperlink"/>
    <w:basedOn w:val="DefaultParagraphFont"/>
    <w:uiPriority w:val="99"/>
    <w:semiHidden/>
    <w:unhideWhenUsed/>
    <w:rsid w:val="004A46B6"/>
    <w:rPr>
      <w:color w:val="800080" w:themeColor="followedHyperlink"/>
      <w:u w:val="single"/>
    </w:rPr>
  </w:style>
  <w:style w:type="paragraph" w:styleId="Revision">
    <w:name w:val="Revision"/>
    <w:hidden/>
    <w:uiPriority w:val="99"/>
    <w:semiHidden/>
    <w:rsid w:val="009874CB"/>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4901">
      <w:bodyDiv w:val="1"/>
      <w:marLeft w:val="0"/>
      <w:marRight w:val="0"/>
      <w:marTop w:val="0"/>
      <w:marBottom w:val="0"/>
      <w:divBdr>
        <w:top w:val="none" w:sz="0" w:space="0" w:color="auto"/>
        <w:left w:val="none" w:sz="0" w:space="0" w:color="auto"/>
        <w:bottom w:val="none" w:sz="0" w:space="0" w:color="auto"/>
        <w:right w:val="none" w:sz="0" w:space="0" w:color="auto"/>
      </w:divBdr>
    </w:div>
    <w:div w:id="232935034">
      <w:bodyDiv w:val="1"/>
      <w:marLeft w:val="0"/>
      <w:marRight w:val="0"/>
      <w:marTop w:val="0"/>
      <w:marBottom w:val="0"/>
      <w:divBdr>
        <w:top w:val="none" w:sz="0" w:space="0" w:color="auto"/>
        <w:left w:val="none" w:sz="0" w:space="0" w:color="auto"/>
        <w:bottom w:val="none" w:sz="0" w:space="0" w:color="auto"/>
        <w:right w:val="none" w:sz="0" w:space="0" w:color="auto"/>
      </w:divBdr>
    </w:div>
    <w:div w:id="657002149">
      <w:bodyDiv w:val="1"/>
      <w:marLeft w:val="0"/>
      <w:marRight w:val="0"/>
      <w:marTop w:val="0"/>
      <w:marBottom w:val="0"/>
      <w:divBdr>
        <w:top w:val="none" w:sz="0" w:space="0" w:color="auto"/>
        <w:left w:val="none" w:sz="0" w:space="0" w:color="auto"/>
        <w:bottom w:val="none" w:sz="0" w:space="0" w:color="auto"/>
        <w:right w:val="none" w:sz="0" w:space="0" w:color="auto"/>
      </w:divBdr>
    </w:div>
    <w:div w:id="668170900">
      <w:bodyDiv w:val="1"/>
      <w:marLeft w:val="0"/>
      <w:marRight w:val="0"/>
      <w:marTop w:val="0"/>
      <w:marBottom w:val="0"/>
      <w:divBdr>
        <w:top w:val="none" w:sz="0" w:space="0" w:color="auto"/>
        <w:left w:val="none" w:sz="0" w:space="0" w:color="auto"/>
        <w:bottom w:val="none" w:sz="0" w:space="0" w:color="auto"/>
        <w:right w:val="none" w:sz="0" w:space="0" w:color="auto"/>
      </w:divBdr>
    </w:div>
    <w:div w:id="1327174320">
      <w:bodyDiv w:val="1"/>
      <w:marLeft w:val="0"/>
      <w:marRight w:val="0"/>
      <w:marTop w:val="0"/>
      <w:marBottom w:val="0"/>
      <w:divBdr>
        <w:top w:val="none" w:sz="0" w:space="0" w:color="auto"/>
        <w:left w:val="none" w:sz="0" w:space="0" w:color="auto"/>
        <w:bottom w:val="none" w:sz="0" w:space="0" w:color="auto"/>
        <w:right w:val="none" w:sz="0" w:space="0" w:color="auto"/>
      </w:divBdr>
    </w:div>
    <w:div w:id="20739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iio.cms.gov/resources/factsheets/aca_implementation_faqs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D36A-2F3F-4391-9F14-89A9C8B8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6272</Words>
  <Characters>35755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Edwards</dc:creator>
  <cp:lastModifiedBy>Veronica Edwards</cp:lastModifiedBy>
  <cp:revision>2</cp:revision>
  <cp:lastPrinted>2013-02-14T00:43:00Z</cp:lastPrinted>
  <dcterms:created xsi:type="dcterms:W3CDTF">2013-03-29T14:07:00Z</dcterms:created>
  <dcterms:modified xsi:type="dcterms:W3CDTF">2013-03-29T14:07:00Z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1486201448</vt:i4>
  </property>
  <property fmtid="{D5CDD505-2E9C-101B-9397-08002B2CF9AE}" pid="3" name="_NewReviewCycle">
    <vt:lpwstr/>
  </property>
  <property fmtid="{D5CDD505-2E9C-101B-9397-08002B2CF9AE}" pid="4" name="_EmailSubject">
    <vt:lpwstr>MLR Form Instructions</vt:lpwstr>
  </property>
  <property fmtid="{D5CDD505-2E9C-101B-9397-08002B2CF9AE}" pid="5" name="_AuthorEmail">
    <vt:lpwstr>carol.jimenez@cms.hhs.gov</vt:lpwstr>
  </property>
  <property fmtid="{D5CDD505-2E9C-101B-9397-08002B2CF9AE}" pid="6" name="_AuthorEmailDisplayName">
    <vt:lpwstr>Jimenez, Carol S. (CMS/CCIIO)</vt:lpwstr>
  </property>
  <property fmtid="{D5CDD505-2E9C-101B-9397-08002B2CF9AE}" pid="7" name="_PreviousAdHocReviewCycleID">
    <vt:i4>1255927187</vt:i4>
  </property>
</Properties>
</file>