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A1A" w:rsidRPr="00324A1A" w:rsidRDefault="00324A1A" w:rsidP="00324A1A">
      <w:pPr>
        <w:jc w:val="center"/>
        <w:rPr>
          <w:b/>
        </w:rPr>
      </w:pPr>
      <w:bookmarkStart w:id="0" w:name="_GoBack"/>
      <w:bookmarkEnd w:id="0"/>
    </w:p>
    <w:p w:rsidR="00324A1A" w:rsidRPr="00324A1A" w:rsidRDefault="00324A1A" w:rsidP="00324A1A">
      <w:pPr>
        <w:jc w:val="center"/>
        <w:rPr>
          <w:b/>
        </w:rPr>
      </w:pPr>
    </w:p>
    <w:p w:rsidR="00324A1A" w:rsidRPr="00324A1A" w:rsidRDefault="00324A1A" w:rsidP="00324A1A">
      <w:pPr>
        <w:jc w:val="center"/>
        <w:rPr>
          <w:b/>
        </w:rPr>
      </w:pPr>
    </w:p>
    <w:p w:rsidR="00324A1A" w:rsidRPr="00324A1A" w:rsidRDefault="00324A1A" w:rsidP="00324A1A">
      <w:pPr>
        <w:jc w:val="center"/>
        <w:rPr>
          <w:b/>
        </w:rPr>
      </w:pPr>
    </w:p>
    <w:p w:rsidR="00324A1A" w:rsidRPr="00324A1A" w:rsidRDefault="00324A1A" w:rsidP="00324A1A">
      <w:pPr>
        <w:jc w:val="center"/>
        <w:rPr>
          <w:b/>
        </w:rPr>
      </w:pPr>
    </w:p>
    <w:p w:rsidR="00324A1A" w:rsidRPr="00324A1A" w:rsidRDefault="00324A1A" w:rsidP="00324A1A">
      <w:pPr>
        <w:jc w:val="center"/>
        <w:rPr>
          <w:b/>
        </w:rPr>
      </w:pPr>
    </w:p>
    <w:p w:rsidR="00324A1A" w:rsidRPr="00324A1A" w:rsidRDefault="00324A1A" w:rsidP="00324A1A">
      <w:pPr>
        <w:jc w:val="center"/>
        <w:rPr>
          <w:b/>
        </w:rPr>
      </w:pPr>
    </w:p>
    <w:p w:rsidR="00324A1A" w:rsidRPr="00324A1A" w:rsidRDefault="00324A1A" w:rsidP="00324A1A">
      <w:pPr>
        <w:jc w:val="center"/>
        <w:rPr>
          <w:b/>
        </w:rPr>
      </w:pPr>
    </w:p>
    <w:p w:rsidR="00324A1A" w:rsidRPr="00324A1A" w:rsidRDefault="00324A1A" w:rsidP="00324A1A">
      <w:pPr>
        <w:jc w:val="center"/>
        <w:rPr>
          <w:b/>
        </w:rPr>
      </w:pPr>
    </w:p>
    <w:p w:rsidR="00324A1A" w:rsidRPr="00324A1A" w:rsidRDefault="00324A1A" w:rsidP="00324A1A">
      <w:pPr>
        <w:jc w:val="center"/>
        <w:rPr>
          <w:b/>
        </w:rPr>
      </w:pPr>
    </w:p>
    <w:p w:rsidR="00324A1A" w:rsidRPr="00324A1A" w:rsidRDefault="00324A1A" w:rsidP="00324A1A">
      <w:pPr>
        <w:jc w:val="center"/>
        <w:rPr>
          <w:b/>
        </w:rPr>
      </w:pPr>
      <w:r w:rsidRPr="00324A1A">
        <w:rPr>
          <w:b/>
        </w:rPr>
        <w:t>Mini Supporting Statement A For</w:t>
      </w:r>
    </w:p>
    <w:p w:rsidR="007007B4" w:rsidRDefault="007007B4" w:rsidP="00324A1A">
      <w:pPr>
        <w:jc w:val="center"/>
      </w:pPr>
      <w:r w:rsidRPr="002742A1">
        <w:t>“</w:t>
      </w:r>
      <w:r w:rsidRPr="002742A1">
        <w:rPr>
          <w:bCs/>
        </w:rPr>
        <w:t>A Generic Submission for Formative Research, Pretesting, and Customer Satisfaction of NCI’s Communication and Education Resources</w:t>
      </w:r>
      <w:r w:rsidRPr="002742A1">
        <w:t>”</w:t>
      </w:r>
    </w:p>
    <w:p w:rsidR="00324A1A" w:rsidRPr="00324A1A" w:rsidRDefault="007007B4" w:rsidP="00324A1A">
      <w:pPr>
        <w:jc w:val="center"/>
      </w:pPr>
      <w:r>
        <w:t xml:space="preserve">OMB No. </w:t>
      </w:r>
      <w:r w:rsidR="00324A1A" w:rsidRPr="00324A1A">
        <w:t>0925-0046</w:t>
      </w:r>
      <w:r>
        <w:t>-09</w:t>
      </w:r>
      <w:r w:rsidR="00324A1A" w:rsidRPr="00324A1A">
        <w:t>, Expiration Date 05/31/2016</w:t>
      </w:r>
    </w:p>
    <w:p w:rsidR="00324A1A" w:rsidRPr="00324A1A" w:rsidRDefault="00324A1A" w:rsidP="00324A1A">
      <w:pPr>
        <w:jc w:val="center"/>
        <w:rPr>
          <w:b/>
          <w:sz w:val="22"/>
          <w:szCs w:val="22"/>
        </w:rPr>
      </w:pPr>
    </w:p>
    <w:p w:rsidR="00324A1A" w:rsidRPr="00324A1A" w:rsidRDefault="00324A1A" w:rsidP="00324A1A">
      <w:pPr>
        <w:rPr>
          <w:b/>
          <w:color w:val="FF0000"/>
        </w:rPr>
      </w:pPr>
    </w:p>
    <w:p w:rsidR="00324A1A" w:rsidRPr="00324A1A" w:rsidRDefault="00324A1A" w:rsidP="00324A1A">
      <w:pPr>
        <w:rPr>
          <w:b/>
        </w:rPr>
      </w:pPr>
    </w:p>
    <w:p w:rsidR="00324A1A" w:rsidRDefault="00324A1A" w:rsidP="00324A1A">
      <w:r w:rsidRPr="00324A1A">
        <w:t>Title of Sub-Project:</w:t>
      </w:r>
      <w:r w:rsidRPr="00324A1A">
        <w:rPr>
          <w:b/>
        </w:rPr>
        <w:t xml:space="preserve">  </w:t>
      </w:r>
      <w:r w:rsidRPr="00324A1A">
        <w:t>Customer Satisfaction Survey</w:t>
      </w:r>
      <w:r w:rsidR="000650C4">
        <w:t>s</w:t>
      </w:r>
      <w:r w:rsidRPr="00324A1A">
        <w:t xml:space="preserve"> of Participants in the New National Cancer Institute’s Experimental Therapeutics Clinical Trials Network (ETCTN)</w:t>
      </w:r>
    </w:p>
    <w:p w:rsidR="007007B4" w:rsidRDefault="007007B4" w:rsidP="00324A1A"/>
    <w:p w:rsidR="007007B4" w:rsidRDefault="007007B4" w:rsidP="00324A1A"/>
    <w:p w:rsidR="007007B4" w:rsidRDefault="007007B4" w:rsidP="00324A1A"/>
    <w:p w:rsidR="00F266C2" w:rsidRDefault="00F266C2" w:rsidP="00324A1A"/>
    <w:p w:rsidR="007007B4" w:rsidRDefault="007007B4" w:rsidP="00324A1A"/>
    <w:p w:rsidR="007007B4" w:rsidRDefault="007007B4" w:rsidP="00324A1A"/>
    <w:p w:rsidR="007007B4" w:rsidRPr="00324A1A" w:rsidRDefault="00B22465" w:rsidP="007007B4">
      <w:pPr>
        <w:jc w:val="center"/>
        <w:rPr>
          <w:b/>
          <w:color w:val="FF0000"/>
        </w:rPr>
      </w:pPr>
      <w:r>
        <w:t>December 2014</w:t>
      </w:r>
    </w:p>
    <w:p w:rsidR="00324A1A" w:rsidRPr="00324A1A" w:rsidRDefault="00324A1A" w:rsidP="00324A1A"/>
    <w:p w:rsidR="00324A1A" w:rsidRPr="00324A1A" w:rsidRDefault="00324A1A" w:rsidP="00324A1A"/>
    <w:p w:rsidR="007007B4" w:rsidRDefault="007007B4" w:rsidP="00324A1A"/>
    <w:p w:rsidR="00F266C2" w:rsidRDefault="00F266C2" w:rsidP="00324A1A"/>
    <w:p w:rsidR="007007B4" w:rsidRDefault="007007B4" w:rsidP="00324A1A"/>
    <w:p w:rsidR="007007B4" w:rsidRDefault="007007B4" w:rsidP="00324A1A"/>
    <w:p w:rsidR="007007B4" w:rsidRDefault="00324A1A" w:rsidP="007007B4">
      <w:pPr>
        <w:jc w:val="center"/>
      </w:pPr>
      <w:r w:rsidRPr="00324A1A">
        <w:t>Holly A. Massett, PhD.</w:t>
      </w:r>
    </w:p>
    <w:p w:rsidR="007007B4" w:rsidRDefault="00324A1A" w:rsidP="007007B4">
      <w:pPr>
        <w:jc w:val="center"/>
      </w:pPr>
      <w:r w:rsidRPr="00324A1A">
        <w:t xml:space="preserve">Senior Behavioral Science Analyst, </w:t>
      </w:r>
    </w:p>
    <w:p w:rsidR="007007B4" w:rsidRDefault="00324A1A" w:rsidP="007007B4">
      <w:pPr>
        <w:jc w:val="center"/>
      </w:pPr>
      <w:r w:rsidRPr="00324A1A">
        <w:t>Cancer Therapy Evaluation Program (CTEP)</w:t>
      </w:r>
      <w:r w:rsidR="007007B4">
        <w:t>,</w:t>
      </w:r>
    </w:p>
    <w:p w:rsidR="007007B4" w:rsidRDefault="00324A1A" w:rsidP="007007B4">
      <w:pPr>
        <w:jc w:val="center"/>
      </w:pPr>
      <w:r w:rsidRPr="00324A1A">
        <w:t xml:space="preserve">Division of Cancer Treatment &amp; Diagnosis, </w:t>
      </w:r>
    </w:p>
    <w:p w:rsidR="00324A1A" w:rsidRPr="00324A1A" w:rsidRDefault="00324A1A" w:rsidP="007007B4">
      <w:pPr>
        <w:jc w:val="center"/>
      </w:pPr>
      <w:r w:rsidRPr="00324A1A">
        <w:t>National Cancer Institute, National Institutes of Health</w:t>
      </w:r>
    </w:p>
    <w:p w:rsidR="00324A1A" w:rsidRPr="00324A1A" w:rsidRDefault="00324A1A" w:rsidP="00324A1A">
      <w:pPr>
        <w:jc w:val="center"/>
        <w:rPr>
          <w:b/>
        </w:rPr>
      </w:pPr>
      <w:r w:rsidRPr="00324A1A">
        <w:rPr>
          <w:b/>
        </w:rPr>
        <w:br w:type="page"/>
      </w:r>
    </w:p>
    <w:p w:rsidR="00C95A44" w:rsidRPr="00AB6E0A" w:rsidRDefault="00055367" w:rsidP="00AB6E0A">
      <w:pPr>
        <w:spacing w:line="480" w:lineRule="auto"/>
        <w:jc w:val="center"/>
        <w:rPr>
          <w:sz w:val="32"/>
          <w:szCs w:val="32"/>
        </w:rPr>
      </w:pPr>
      <w:bookmarkStart w:id="1" w:name="_Toc230515978"/>
      <w:r w:rsidRPr="00AB6E0A">
        <w:rPr>
          <w:sz w:val="32"/>
          <w:szCs w:val="32"/>
        </w:rPr>
        <w:lastRenderedPageBreak/>
        <w:t>Attachments</w:t>
      </w:r>
    </w:p>
    <w:p w:rsidR="00C95A44" w:rsidRDefault="007007B4" w:rsidP="00AB6E0A">
      <w:pPr>
        <w:spacing w:line="480" w:lineRule="auto"/>
      </w:pPr>
      <w:r w:rsidRPr="007007B4">
        <w:t>Attachment #1:</w:t>
      </w:r>
      <w:r w:rsidR="00DC4283">
        <w:tab/>
      </w:r>
      <w:r w:rsidR="00B370C7">
        <w:t xml:space="preserve">Principal Investigator </w:t>
      </w:r>
      <w:r w:rsidR="00DC4283">
        <w:t>Online Customer Satisfaction Survey</w:t>
      </w:r>
    </w:p>
    <w:p w:rsidR="00C95A44" w:rsidRDefault="007007B4" w:rsidP="00AB6E0A">
      <w:pPr>
        <w:spacing w:line="480" w:lineRule="auto"/>
      </w:pPr>
      <w:r w:rsidRPr="007007B4">
        <w:t>Attachment #2:</w:t>
      </w:r>
      <w:r w:rsidRPr="007007B4">
        <w:tab/>
      </w:r>
      <w:r w:rsidR="00D763DD">
        <w:t xml:space="preserve">Research </w:t>
      </w:r>
      <w:r w:rsidR="00B370C7" w:rsidRPr="00B85FDE">
        <w:t>Staff Online Customer Satisfaction Survey</w:t>
      </w:r>
    </w:p>
    <w:p w:rsidR="00C95A44" w:rsidRDefault="007007B4" w:rsidP="00AB6E0A">
      <w:pPr>
        <w:spacing w:line="480" w:lineRule="auto"/>
      </w:pPr>
      <w:r w:rsidRPr="00B85FDE">
        <w:t>Attachment #3:</w:t>
      </w:r>
      <w:r w:rsidRPr="00B85FDE">
        <w:tab/>
      </w:r>
      <w:r w:rsidR="00B8651B">
        <w:t xml:space="preserve">Invite and Reminder </w:t>
      </w:r>
      <w:r w:rsidR="00B370C7" w:rsidRPr="00B85FDE">
        <w:t>Email</w:t>
      </w:r>
      <w:r w:rsidR="00B8651B">
        <w:t>s</w:t>
      </w:r>
    </w:p>
    <w:p w:rsidR="00C95A44" w:rsidRDefault="007007B4" w:rsidP="00AB6E0A">
      <w:pPr>
        <w:spacing w:line="480" w:lineRule="auto"/>
      </w:pPr>
      <w:r w:rsidRPr="00B85FDE">
        <w:t>Attachment #4:</w:t>
      </w:r>
      <w:r w:rsidRPr="00B85FDE">
        <w:tab/>
      </w:r>
      <w:r w:rsidR="00B370C7" w:rsidRPr="00B85FDE">
        <w:t>OHSRP Determination Letter</w:t>
      </w:r>
    </w:p>
    <w:p w:rsidR="00C95A44" w:rsidRDefault="00C95A44" w:rsidP="00AB6E0A">
      <w:pPr>
        <w:spacing w:line="480" w:lineRule="auto"/>
        <w:rPr>
          <w:rFonts w:ascii="Arial" w:hAnsi="Arial" w:cs="Arial"/>
          <w:b/>
        </w:rPr>
      </w:pPr>
    </w:p>
    <w:p w:rsidR="00C95A44" w:rsidRDefault="0071721D" w:rsidP="00AB6E0A">
      <w:pPr>
        <w:spacing w:line="480" w:lineRule="auto"/>
        <w:rPr>
          <w:rFonts w:ascii="Arial" w:hAnsi="Arial" w:cs="Arial"/>
          <w:b/>
        </w:rPr>
      </w:pPr>
      <w:r>
        <w:rPr>
          <w:rFonts w:ascii="Arial" w:hAnsi="Arial" w:cs="Arial"/>
          <w:b/>
        </w:rPr>
        <w:br w:type="page"/>
      </w:r>
    </w:p>
    <w:p w:rsidR="00E2147D" w:rsidRPr="00B73AA4" w:rsidRDefault="00E2147D" w:rsidP="00E2147D">
      <w:pPr>
        <w:spacing w:line="480" w:lineRule="auto"/>
        <w:rPr>
          <w:rFonts w:ascii="Arial" w:hAnsi="Arial" w:cs="Arial"/>
          <w:b/>
        </w:rPr>
      </w:pPr>
      <w:r w:rsidRPr="00B73AA4">
        <w:rPr>
          <w:rFonts w:ascii="Arial" w:hAnsi="Arial" w:cs="Arial"/>
          <w:b/>
        </w:rPr>
        <w:lastRenderedPageBreak/>
        <w:t>Section A.</w:t>
      </w:r>
    </w:p>
    <w:p w:rsidR="0008711B" w:rsidRPr="00B73AA4" w:rsidRDefault="0008711B" w:rsidP="006F5F87">
      <w:pPr>
        <w:rPr>
          <w:rFonts w:ascii="Arial" w:hAnsi="Arial" w:cs="Arial"/>
          <w:b/>
        </w:rPr>
      </w:pPr>
      <w:r w:rsidRPr="00B73AA4">
        <w:rPr>
          <w:rFonts w:ascii="Arial" w:hAnsi="Arial" w:cs="Arial"/>
          <w:b/>
        </w:rPr>
        <w:t>A1. Circumstances Making the Collection of Information Necessary</w:t>
      </w:r>
      <w:bookmarkEnd w:id="1"/>
    </w:p>
    <w:p w:rsidR="008C3043" w:rsidRDefault="00D24D97">
      <w:pPr>
        <w:rPr>
          <w:szCs w:val="18"/>
        </w:rPr>
      </w:pPr>
      <w:proofErr w:type="gramStart"/>
      <w:r w:rsidRPr="00D24D97">
        <w:rPr>
          <w:color w:val="000000"/>
        </w:rPr>
        <w:t>Sec. 410.</w:t>
      </w:r>
      <w:proofErr w:type="gramEnd"/>
      <w:r w:rsidRPr="00D24D97">
        <w:rPr>
          <w:color w:val="000000"/>
        </w:rPr>
        <w:t xml:space="preserve"> [285]</w:t>
      </w:r>
      <w:r w:rsidR="007F029F">
        <w:rPr>
          <w:color w:val="000000"/>
        </w:rPr>
        <w:t xml:space="preserve"> </w:t>
      </w:r>
      <w:r w:rsidR="00AC3E6F" w:rsidRPr="004179DE">
        <w:rPr>
          <w:color w:val="000000"/>
        </w:rPr>
        <w:t xml:space="preserve">of the Public Health Service Act (42 USC </w:t>
      </w:r>
      <w:r w:rsidR="00AC3E6F" w:rsidRPr="004179DE">
        <w:rPr>
          <w:i/>
          <w:iCs/>
          <w:color w:val="000000"/>
        </w:rPr>
        <w:t>§</w:t>
      </w:r>
      <w:r w:rsidR="00AC3E6F" w:rsidRPr="004179DE">
        <w:rPr>
          <w:color w:val="000000"/>
        </w:rPr>
        <w:t xml:space="preserve"> 285) authorizes th</w:t>
      </w:r>
      <w:r>
        <w:rPr>
          <w:color w:val="000000"/>
        </w:rPr>
        <w:t xml:space="preserve">e collection of the information.  </w:t>
      </w:r>
      <w:r w:rsidR="00DC37C9">
        <w:rPr>
          <w:szCs w:val="18"/>
        </w:rPr>
        <w:t xml:space="preserve">The information will be collected </w:t>
      </w:r>
      <w:r w:rsidR="00DB7D3D" w:rsidRPr="00C9101B">
        <w:rPr>
          <w:szCs w:val="18"/>
        </w:rPr>
        <w:t>within NCI’s Investigational Drug Branch (IDB)</w:t>
      </w:r>
      <w:r w:rsidR="00F40BA7">
        <w:rPr>
          <w:szCs w:val="18"/>
        </w:rPr>
        <w:t>,</w:t>
      </w:r>
      <w:r w:rsidR="00DB7D3D" w:rsidRPr="00C9101B">
        <w:rPr>
          <w:szCs w:val="18"/>
        </w:rPr>
        <w:t xml:space="preserve"> Cancer Therapy and Evaluation Program (CTEP) within the Division of Cancer Treatment and Diagnosis (DCTD)</w:t>
      </w:r>
      <w:r w:rsidR="00F40BA7">
        <w:rPr>
          <w:szCs w:val="18"/>
        </w:rPr>
        <w:t xml:space="preserve">, </w:t>
      </w:r>
      <w:r w:rsidR="00F40BA7" w:rsidRPr="00C9101B">
        <w:rPr>
          <w:szCs w:val="18"/>
        </w:rPr>
        <w:t>National Cancer Institute (NCI)</w:t>
      </w:r>
      <w:r w:rsidR="00DB7D3D" w:rsidRPr="00C9101B">
        <w:rPr>
          <w:szCs w:val="18"/>
        </w:rPr>
        <w:t>.</w:t>
      </w:r>
      <w:r w:rsidR="005334E6">
        <w:rPr>
          <w:szCs w:val="18"/>
        </w:rPr>
        <w:t xml:space="preserve">  </w:t>
      </w:r>
      <w:r w:rsidR="002A1337">
        <w:rPr>
          <w:szCs w:val="18"/>
        </w:rPr>
        <w:t xml:space="preserve">The focus of the </w:t>
      </w:r>
      <w:r w:rsidR="005334E6">
        <w:rPr>
          <w:szCs w:val="18"/>
        </w:rPr>
        <w:t xml:space="preserve">online satisfaction </w:t>
      </w:r>
      <w:r w:rsidR="002A1337">
        <w:rPr>
          <w:szCs w:val="18"/>
        </w:rPr>
        <w:t>survey</w:t>
      </w:r>
      <w:r w:rsidR="00B85FDE">
        <w:rPr>
          <w:szCs w:val="18"/>
        </w:rPr>
        <w:t xml:space="preserve">s </w:t>
      </w:r>
      <w:r w:rsidR="002A1337">
        <w:rPr>
          <w:szCs w:val="18"/>
        </w:rPr>
        <w:t xml:space="preserve"> </w:t>
      </w:r>
      <w:r w:rsidR="00DC4283">
        <w:rPr>
          <w:szCs w:val="18"/>
        </w:rPr>
        <w:t>(</w:t>
      </w:r>
      <w:r w:rsidR="0055220B" w:rsidRPr="0055220B">
        <w:rPr>
          <w:b/>
          <w:szCs w:val="18"/>
        </w:rPr>
        <w:t>Attachment</w:t>
      </w:r>
      <w:r w:rsidR="00B85FDE">
        <w:rPr>
          <w:b/>
          <w:szCs w:val="18"/>
        </w:rPr>
        <w:t>s</w:t>
      </w:r>
      <w:r w:rsidR="0055220B" w:rsidRPr="0055220B">
        <w:rPr>
          <w:b/>
          <w:szCs w:val="18"/>
        </w:rPr>
        <w:t xml:space="preserve"> 1</w:t>
      </w:r>
      <w:r w:rsidR="00B85FDE">
        <w:rPr>
          <w:b/>
          <w:szCs w:val="18"/>
        </w:rPr>
        <w:t xml:space="preserve"> and</w:t>
      </w:r>
      <w:r w:rsidR="00B370C7">
        <w:rPr>
          <w:b/>
          <w:szCs w:val="18"/>
        </w:rPr>
        <w:t xml:space="preserve"> 2</w:t>
      </w:r>
      <w:r w:rsidR="00DC4283">
        <w:rPr>
          <w:szCs w:val="18"/>
        </w:rPr>
        <w:t xml:space="preserve">) </w:t>
      </w:r>
      <w:r w:rsidR="005334E6">
        <w:rPr>
          <w:szCs w:val="18"/>
        </w:rPr>
        <w:t xml:space="preserve">proposed in this application </w:t>
      </w:r>
      <w:r w:rsidR="00B85FDE">
        <w:rPr>
          <w:szCs w:val="18"/>
        </w:rPr>
        <w:t>are</w:t>
      </w:r>
      <w:r w:rsidR="002A1337">
        <w:rPr>
          <w:szCs w:val="18"/>
        </w:rPr>
        <w:t xml:space="preserve"> to assess satisfaction of the external grantees</w:t>
      </w:r>
      <w:r w:rsidR="002153CF">
        <w:rPr>
          <w:szCs w:val="18"/>
        </w:rPr>
        <w:t xml:space="preserve"> </w:t>
      </w:r>
      <w:r w:rsidR="001C717D">
        <w:rPr>
          <w:szCs w:val="18"/>
        </w:rPr>
        <w:t>participating in</w:t>
      </w:r>
      <w:r w:rsidR="002A1337">
        <w:rPr>
          <w:szCs w:val="18"/>
        </w:rPr>
        <w:t xml:space="preserve"> NCI’s new </w:t>
      </w:r>
      <w:r w:rsidR="002A1337">
        <w:t>Experimental</w:t>
      </w:r>
      <w:r w:rsidR="002A1337" w:rsidRPr="00C34E62">
        <w:t xml:space="preserve"> Therapeutics Clinical Trial</w:t>
      </w:r>
      <w:r w:rsidR="002A1337">
        <w:t>s</w:t>
      </w:r>
      <w:r w:rsidR="002A1337" w:rsidRPr="00C34E62">
        <w:t xml:space="preserve"> Network (</w:t>
      </w:r>
      <w:r w:rsidR="002A1337">
        <w:t>ETCTN</w:t>
      </w:r>
      <w:r w:rsidR="002A1337" w:rsidRPr="00C34E62">
        <w:t>)</w:t>
      </w:r>
      <w:r w:rsidR="00B636A9">
        <w:t xml:space="preserve">, which began in </w:t>
      </w:r>
      <w:r w:rsidR="007D3B67">
        <w:t>April</w:t>
      </w:r>
      <w:r w:rsidR="00B636A9">
        <w:t xml:space="preserve"> 2014</w:t>
      </w:r>
      <w:r w:rsidR="00D62D06">
        <w:t xml:space="preserve"> </w:t>
      </w:r>
      <w:r w:rsidR="00D62D06" w:rsidRPr="00D62D06">
        <w:t>and will continue for five years with an</w:t>
      </w:r>
      <w:r w:rsidR="00D62D06">
        <w:t xml:space="preserve"> annual budget of $10 million. </w:t>
      </w:r>
      <w:r w:rsidR="00DC37C9">
        <w:t>ETCTN</w:t>
      </w:r>
      <w:r w:rsidR="00DC37C9" w:rsidRPr="00D3510D">
        <w:t xml:space="preserve">’s purpose directly supports a </w:t>
      </w:r>
      <w:r w:rsidR="00DC37C9">
        <w:t>principal mandate of the NCI (“T</w:t>
      </w:r>
      <w:r w:rsidR="00DC37C9" w:rsidRPr="00D3510D">
        <w:t>o assess the incorporation of state-of-the-art cancer treatments into clinical practice”) and a key NIH goal (“</w:t>
      </w:r>
      <w:r w:rsidR="00DC37C9">
        <w:t>T</w:t>
      </w:r>
      <w:r w:rsidR="00DC37C9" w:rsidRPr="00D3510D">
        <w:t>o foster fundamental creative discoveries, innovative research strategies, and their applications”)</w:t>
      </w:r>
      <w:r w:rsidR="005334E6">
        <w:t xml:space="preserve">. </w:t>
      </w:r>
      <w:r w:rsidR="00D5644D">
        <w:t>Given the resources</w:t>
      </w:r>
      <w:r w:rsidR="00317AC6">
        <w:t xml:space="preserve"> invested by NCI to advance cancer research via early phase clinical trials, i</w:t>
      </w:r>
      <w:r w:rsidR="00D5644D">
        <w:t>t is critical</w:t>
      </w:r>
      <w:r w:rsidR="002153CF">
        <w:t xml:space="preserve"> to seek input from grantees </w:t>
      </w:r>
      <w:r w:rsidR="002153CF">
        <w:rPr>
          <w:szCs w:val="18"/>
        </w:rPr>
        <w:t xml:space="preserve">(both Principal Investigators and their research staff) </w:t>
      </w:r>
      <w:r w:rsidR="002153CF">
        <w:t>in</w:t>
      </w:r>
      <w:r w:rsidR="00D5644D">
        <w:t xml:space="preserve"> a systematic, </w:t>
      </w:r>
      <w:r w:rsidR="007D3B67">
        <w:t xml:space="preserve">private </w:t>
      </w:r>
      <w:r w:rsidR="00317AC6">
        <w:t xml:space="preserve">manner to hear how </w:t>
      </w:r>
      <w:r w:rsidR="007D3B67">
        <w:t xml:space="preserve">the </w:t>
      </w:r>
      <w:r w:rsidR="00317AC6">
        <w:t>program is working and where</w:t>
      </w:r>
      <w:r w:rsidR="00D5644D">
        <w:t xml:space="preserve"> corrections </w:t>
      </w:r>
      <w:r w:rsidR="00317AC6">
        <w:t>are needed</w:t>
      </w:r>
      <w:r w:rsidR="00D5644D">
        <w:t xml:space="preserve">.  </w:t>
      </w:r>
    </w:p>
    <w:p w:rsidR="008C3043" w:rsidRDefault="008C3043">
      <w:pPr>
        <w:rPr>
          <w:szCs w:val="18"/>
        </w:rPr>
      </w:pPr>
    </w:p>
    <w:p w:rsidR="00F22581" w:rsidRPr="00F22581" w:rsidRDefault="00F22581" w:rsidP="00F22581">
      <w:pPr>
        <w:tabs>
          <w:tab w:val="num" w:pos="450"/>
        </w:tabs>
        <w:rPr>
          <w:color w:val="000000"/>
        </w:rPr>
      </w:pPr>
      <w:r w:rsidRPr="00F22581">
        <w:rPr>
          <w:color w:val="000000"/>
        </w:rPr>
        <w:t>This fits under the scope of NCI’s</w:t>
      </w:r>
      <w:r w:rsidR="00286902">
        <w:rPr>
          <w:color w:val="000000"/>
        </w:rPr>
        <w:t>, “</w:t>
      </w:r>
      <w:r w:rsidRPr="00F22581">
        <w:rPr>
          <w:color w:val="000000"/>
        </w:rPr>
        <w:t>Generic Submission for Formative Research, Pretesting and Customer Satisfaction</w:t>
      </w:r>
      <w:r w:rsidR="00286902">
        <w:rPr>
          <w:color w:val="000000"/>
        </w:rPr>
        <w:t>”</w:t>
      </w:r>
      <w:r w:rsidRPr="00F22581">
        <w:rPr>
          <w:color w:val="000000"/>
        </w:rPr>
        <w:t xml:space="preserve"> to “determine the level of customer satisfaction with products that help NCI identify strategies for improving the accessibility of materials/programs, their user-friendliness, and their relevance </w:t>
      </w:r>
      <w:r w:rsidRPr="00973FC2">
        <w:rPr>
          <w:color w:val="000000"/>
        </w:rPr>
        <w:t>to the needs of</w:t>
      </w:r>
      <w:r w:rsidR="003B539A" w:rsidRPr="00973FC2">
        <w:rPr>
          <w:color w:val="000000"/>
        </w:rPr>
        <w:t xml:space="preserve"> NCI grantees committed to carrying out the processes to conduct early phase cancer treatment trials.  </w:t>
      </w:r>
      <w:proofErr w:type="gramStart"/>
      <w:r w:rsidRPr="00973FC2">
        <w:rPr>
          <w:color w:val="000000"/>
        </w:rPr>
        <w:t>Systematic formative research and pretesting has been widely adopted by health education program</w:t>
      </w:r>
      <w:r w:rsidRPr="00F22581">
        <w:rPr>
          <w:color w:val="000000"/>
        </w:rPr>
        <w:t xml:space="preserve"> planners as an integral step in the development and targeted dissemination of messages and materials” (</w:t>
      </w:r>
      <w:r w:rsidR="00286902">
        <w:rPr>
          <w:color w:val="000000"/>
        </w:rPr>
        <w:t xml:space="preserve">OMB No. </w:t>
      </w:r>
      <w:r w:rsidRPr="00F22581">
        <w:rPr>
          <w:color w:val="000000"/>
        </w:rPr>
        <w:t>0925-0046</w:t>
      </w:r>
      <w:r w:rsidR="00286902">
        <w:rPr>
          <w:color w:val="000000"/>
        </w:rPr>
        <w:t xml:space="preserve"> Expiry 5/31/2016;</w:t>
      </w:r>
      <w:r w:rsidRPr="00F22581">
        <w:rPr>
          <w:color w:val="000000"/>
        </w:rPr>
        <w:t xml:space="preserve"> Supporting Statement A, Section A.2, p. 5).</w:t>
      </w:r>
      <w:proofErr w:type="gramEnd"/>
      <w:r w:rsidRPr="00F22581">
        <w:rPr>
          <w:color w:val="000000"/>
        </w:rPr>
        <w:t xml:space="preserve">  Specifically, the in-depth interviews would contribute to the Division’s communication strategy by, “understand the characteristics of the target audience</w:t>
      </w:r>
      <w:r w:rsidR="00286902">
        <w:rPr>
          <w:color w:val="000000"/>
        </w:rPr>
        <w:t xml:space="preserve"> </w:t>
      </w:r>
      <w:r w:rsidRPr="00F22581">
        <w:rPr>
          <w:color w:val="000000"/>
        </w:rPr>
        <w:t>… determined the best promotion and distribution channels</w:t>
      </w:r>
      <w:r w:rsidR="00286902">
        <w:rPr>
          <w:color w:val="000000"/>
        </w:rPr>
        <w:t xml:space="preserve"> </w:t>
      </w:r>
      <w:r w:rsidRPr="00F22581">
        <w:rPr>
          <w:color w:val="000000"/>
        </w:rPr>
        <w:t>… and expend limited program resource dollar wisely and effectively” (</w:t>
      </w:r>
      <w:r w:rsidR="00286902">
        <w:rPr>
          <w:color w:val="000000"/>
        </w:rPr>
        <w:t xml:space="preserve">OMB No. </w:t>
      </w:r>
      <w:r w:rsidRPr="00F22581">
        <w:rPr>
          <w:color w:val="000000"/>
        </w:rPr>
        <w:t>0925-0046 Expiry 5/31/2016</w:t>
      </w:r>
      <w:r w:rsidR="00286902">
        <w:rPr>
          <w:color w:val="000000"/>
        </w:rPr>
        <w:t>;</w:t>
      </w:r>
      <w:r w:rsidRPr="00F22581">
        <w:rPr>
          <w:color w:val="000000"/>
        </w:rPr>
        <w:t xml:space="preserve"> Supporting Statement A, Section A.2, p. 6).</w:t>
      </w:r>
    </w:p>
    <w:p w:rsidR="00DC37C9" w:rsidRPr="00583E9E" w:rsidRDefault="00DC37C9" w:rsidP="00F22581">
      <w:pPr>
        <w:rPr>
          <w:szCs w:val="18"/>
        </w:rPr>
      </w:pPr>
    </w:p>
    <w:p w:rsidR="00EB44F6" w:rsidRDefault="0008711B" w:rsidP="00E64B25">
      <w:pPr>
        <w:outlineLvl w:val="0"/>
        <w:rPr>
          <w:rFonts w:ascii="Arial" w:hAnsi="Arial" w:cs="Arial"/>
          <w:b/>
        </w:rPr>
      </w:pPr>
      <w:bookmarkStart w:id="2" w:name="_Toc230515979"/>
      <w:r w:rsidRPr="00B73AA4">
        <w:rPr>
          <w:rFonts w:ascii="Arial" w:hAnsi="Arial" w:cs="Arial"/>
          <w:b/>
        </w:rPr>
        <w:t>A2. Purpose and Use of the Information Collection</w:t>
      </w:r>
      <w:bookmarkEnd w:id="2"/>
    </w:p>
    <w:p w:rsidR="00DB7D3D" w:rsidRDefault="00776782" w:rsidP="00AB6E0A">
      <w:pPr>
        <w:spacing w:line="240" w:lineRule="atLeast"/>
        <w:rPr>
          <w:b/>
          <w:color w:val="FF0000"/>
          <w:sz w:val="20"/>
          <w:szCs w:val="20"/>
        </w:rPr>
      </w:pPr>
      <w:r>
        <w:rPr>
          <w:szCs w:val="18"/>
        </w:rPr>
        <w:t xml:space="preserve">Two </w:t>
      </w:r>
      <w:r w:rsidR="00A1234A">
        <w:rPr>
          <w:szCs w:val="18"/>
        </w:rPr>
        <w:t xml:space="preserve">online </w:t>
      </w:r>
      <w:r w:rsidR="00AE4D6F">
        <w:rPr>
          <w:szCs w:val="18"/>
        </w:rPr>
        <w:t>survey</w:t>
      </w:r>
      <w:r w:rsidR="00863CA2">
        <w:rPr>
          <w:szCs w:val="18"/>
        </w:rPr>
        <w:t>s</w:t>
      </w:r>
      <w:r w:rsidR="00AE4D6F">
        <w:rPr>
          <w:szCs w:val="18"/>
        </w:rPr>
        <w:t xml:space="preserve"> will</w:t>
      </w:r>
      <w:r w:rsidR="00092527">
        <w:rPr>
          <w:szCs w:val="18"/>
        </w:rPr>
        <w:t xml:space="preserve"> be</w:t>
      </w:r>
      <w:r w:rsidR="00AE4D6F">
        <w:rPr>
          <w:szCs w:val="18"/>
        </w:rPr>
        <w:t xml:space="preserve"> </w:t>
      </w:r>
      <w:r>
        <w:rPr>
          <w:szCs w:val="18"/>
        </w:rPr>
        <w:t>used</w:t>
      </w:r>
      <w:r w:rsidR="007F2BBD">
        <w:rPr>
          <w:szCs w:val="18"/>
        </w:rPr>
        <w:t>. One will</w:t>
      </w:r>
      <w:r>
        <w:rPr>
          <w:szCs w:val="18"/>
        </w:rPr>
        <w:t xml:space="preserve"> collect information from </w:t>
      </w:r>
      <w:r w:rsidR="00654EE5">
        <w:rPr>
          <w:szCs w:val="18"/>
        </w:rPr>
        <w:t>principal investigators</w:t>
      </w:r>
      <w:r>
        <w:rPr>
          <w:szCs w:val="18"/>
        </w:rPr>
        <w:t xml:space="preserve"> (PI)</w:t>
      </w:r>
      <w:r w:rsidR="00654EE5">
        <w:rPr>
          <w:szCs w:val="18"/>
        </w:rPr>
        <w:t xml:space="preserve"> </w:t>
      </w:r>
      <w:r w:rsidR="00C95A44">
        <w:rPr>
          <w:szCs w:val="18"/>
        </w:rPr>
        <w:t xml:space="preserve">who are oncologists </w:t>
      </w:r>
      <w:r w:rsidR="00654EE5">
        <w:rPr>
          <w:szCs w:val="18"/>
        </w:rPr>
        <w:t xml:space="preserve">and researchers </w:t>
      </w:r>
      <w:r w:rsidR="007F2BBD">
        <w:rPr>
          <w:szCs w:val="18"/>
        </w:rPr>
        <w:t>at organizations that</w:t>
      </w:r>
      <w:r w:rsidR="00654EE5">
        <w:rPr>
          <w:szCs w:val="18"/>
        </w:rPr>
        <w:t xml:space="preserve"> have received </w:t>
      </w:r>
      <w:r w:rsidR="00C95A44">
        <w:rPr>
          <w:szCs w:val="18"/>
        </w:rPr>
        <w:t xml:space="preserve">ETCTN </w:t>
      </w:r>
      <w:r w:rsidR="00654EE5">
        <w:rPr>
          <w:szCs w:val="18"/>
        </w:rPr>
        <w:t>grants</w:t>
      </w:r>
      <w:r w:rsidR="00C95A44">
        <w:rPr>
          <w:szCs w:val="18"/>
        </w:rPr>
        <w:t xml:space="preserve"> and are responsible for deve</w:t>
      </w:r>
      <w:r w:rsidR="007F2BBD">
        <w:rPr>
          <w:szCs w:val="18"/>
        </w:rPr>
        <w:t xml:space="preserve">loping and running the program’s </w:t>
      </w:r>
      <w:r w:rsidR="00C95A44">
        <w:rPr>
          <w:szCs w:val="18"/>
        </w:rPr>
        <w:t xml:space="preserve">clinical trials.  </w:t>
      </w:r>
      <w:r>
        <w:rPr>
          <w:szCs w:val="18"/>
        </w:rPr>
        <w:t>The PI</w:t>
      </w:r>
      <w:r w:rsidR="00654EE5">
        <w:rPr>
          <w:szCs w:val="18"/>
        </w:rPr>
        <w:t xml:space="preserve"> </w:t>
      </w:r>
      <w:r>
        <w:rPr>
          <w:szCs w:val="18"/>
        </w:rPr>
        <w:t>survey serves to collect information about</w:t>
      </w:r>
      <w:r w:rsidR="007F2BBD">
        <w:rPr>
          <w:szCs w:val="18"/>
        </w:rPr>
        <w:t xml:space="preserve"> their satisfaction with </w:t>
      </w:r>
      <w:r w:rsidR="007F2BBD" w:rsidRPr="00322CB3">
        <w:rPr>
          <w:szCs w:val="18"/>
        </w:rPr>
        <w:t>the ETCTN’s implementation and processes; the</w:t>
      </w:r>
      <w:r w:rsidR="007F2BBD">
        <w:rPr>
          <w:szCs w:val="18"/>
        </w:rPr>
        <w:t>ir perceived</w:t>
      </w:r>
      <w:r w:rsidR="007F2BBD" w:rsidRPr="00322CB3">
        <w:rPr>
          <w:szCs w:val="18"/>
        </w:rPr>
        <w:t xml:space="preserve"> quality of scientific protocols developed; their reactions and experiences to the team-science approach; and the</w:t>
      </w:r>
      <w:r w:rsidR="007F2BBD">
        <w:rPr>
          <w:szCs w:val="18"/>
        </w:rPr>
        <w:t>ir belief on how the</w:t>
      </w:r>
      <w:r w:rsidR="007F2BBD" w:rsidRPr="00322CB3">
        <w:rPr>
          <w:szCs w:val="18"/>
        </w:rPr>
        <w:t xml:space="preserve"> program</w:t>
      </w:r>
      <w:r w:rsidR="007F2BBD">
        <w:rPr>
          <w:szCs w:val="18"/>
        </w:rPr>
        <w:t xml:space="preserve"> has affected</w:t>
      </w:r>
      <w:r w:rsidR="007F2BBD" w:rsidRPr="00322CB3">
        <w:rPr>
          <w:szCs w:val="18"/>
        </w:rPr>
        <w:t xml:space="preserve"> their level of collaboration with peers</w:t>
      </w:r>
      <w:r>
        <w:rPr>
          <w:szCs w:val="18"/>
        </w:rPr>
        <w:t xml:space="preserve"> (</w:t>
      </w:r>
      <w:r w:rsidRPr="00AB6E0A">
        <w:rPr>
          <w:b/>
          <w:szCs w:val="18"/>
        </w:rPr>
        <w:t xml:space="preserve">Attachment </w:t>
      </w:r>
      <w:r w:rsidR="00C95A44" w:rsidRPr="00AB6E0A">
        <w:rPr>
          <w:b/>
          <w:szCs w:val="18"/>
        </w:rPr>
        <w:t>1</w:t>
      </w:r>
      <w:r>
        <w:rPr>
          <w:szCs w:val="18"/>
        </w:rPr>
        <w:t>)</w:t>
      </w:r>
      <w:r w:rsidR="007F2BBD">
        <w:rPr>
          <w:szCs w:val="18"/>
        </w:rPr>
        <w:t xml:space="preserve">. </w:t>
      </w:r>
      <w:r>
        <w:rPr>
          <w:szCs w:val="18"/>
        </w:rPr>
        <w:t xml:space="preserve"> The </w:t>
      </w:r>
      <w:r w:rsidR="007F2BBD">
        <w:rPr>
          <w:szCs w:val="18"/>
        </w:rPr>
        <w:t xml:space="preserve">other survey will collect information for the organizations’ clinical </w:t>
      </w:r>
      <w:r>
        <w:rPr>
          <w:szCs w:val="18"/>
        </w:rPr>
        <w:t xml:space="preserve">research staff </w:t>
      </w:r>
      <w:r w:rsidR="007F2BBD">
        <w:rPr>
          <w:szCs w:val="18"/>
        </w:rPr>
        <w:t xml:space="preserve">(i.e., grant and site administrators, clinical research associates and registrars) and ask them </w:t>
      </w:r>
      <w:r w:rsidR="00DD3E46">
        <w:rPr>
          <w:szCs w:val="18"/>
        </w:rPr>
        <w:t xml:space="preserve">their satisfaction with ETCTN processes and resources involved </w:t>
      </w:r>
      <w:proofErr w:type="gramStart"/>
      <w:r w:rsidR="00DD3E46">
        <w:rPr>
          <w:szCs w:val="18"/>
        </w:rPr>
        <w:t>to submit and administer</w:t>
      </w:r>
      <w:proofErr w:type="gramEnd"/>
      <w:r w:rsidR="00DD3E46">
        <w:rPr>
          <w:szCs w:val="18"/>
        </w:rPr>
        <w:t xml:space="preserve"> protocols </w:t>
      </w:r>
      <w:r>
        <w:rPr>
          <w:szCs w:val="18"/>
        </w:rPr>
        <w:t>(</w:t>
      </w:r>
      <w:r w:rsidRPr="00AB6E0A">
        <w:rPr>
          <w:b/>
          <w:szCs w:val="18"/>
        </w:rPr>
        <w:t>Atta</w:t>
      </w:r>
      <w:r w:rsidR="007F2BBD" w:rsidRPr="00AB6E0A">
        <w:rPr>
          <w:b/>
          <w:szCs w:val="18"/>
        </w:rPr>
        <w:t>c</w:t>
      </w:r>
      <w:r w:rsidRPr="00AB6E0A">
        <w:rPr>
          <w:b/>
          <w:szCs w:val="18"/>
        </w:rPr>
        <w:t xml:space="preserve">hment </w:t>
      </w:r>
      <w:r w:rsidR="00C95A44" w:rsidRPr="00AB6E0A">
        <w:rPr>
          <w:b/>
          <w:szCs w:val="18"/>
        </w:rPr>
        <w:t>2</w:t>
      </w:r>
      <w:r w:rsidR="007F2BBD">
        <w:rPr>
          <w:szCs w:val="18"/>
        </w:rPr>
        <w:t xml:space="preserve">).  </w:t>
      </w:r>
      <w:r w:rsidR="00AE4D6F" w:rsidRPr="00322CB3">
        <w:rPr>
          <w:szCs w:val="18"/>
        </w:rPr>
        <w:t xml:space="preserve">The </w:t>
      </w:r>
      <w:r w:rsidR="00AE4D6F">
        <w:rPr>
          <w:szCs w:val="18"/>
        </w:rPr>
        <w:t>data will assist NCI leadership in determining</w:t>
      </w:r>
      <w:r w:rsidR="00AE4D6F" w:rsidRPr="00322CB3">
        <w:rPr>
          <w:szCs w:val="18"/>
        </w:rPr>
        <w:t xml:space="preserve"> if and where mid-course corrections </w:t>
      </w:r>
      <w:r w:rsidR="00AE4D6F">
        <w:rPr>
          <w:szCs w:val="18"/>
        </w:rPr>
        <w:t>are needed</w:t>
      </w:r>
      <w:r w:rsidR="00AE4D6F" w:rsidRPr="00322CB3">
        <w:rPr>
          <w:szCs w:val="18"/>
        </w:rPr>
        <w:t xml:space="preserve"> (i.e., where satisfaction might be low), what areas are working well (i.e., high satisfaction) and where needs or resources are unmet and could be improved to increase the program’s reach and effec</w:t>
      </w:r>
      <w:r w:rsidR="00AE4D6F">
        <w:rPr>
          <w:szCs w:val="18"/>
        </w:rPr>
        <w:t>tiveness</w:t>
      </w:r>
      <w:r w:rsidR="00AE4D6F" w:rsidRPr="00322CB3">
        <w:rPr>
          <w:szCs w:val="18"/>
        </w:rPr>
        <w:t>.  The survey</w:t>
      </w:r>
      <w:r w:rsidR="00863CA2">
        <w:rPr>
          <w:szCs w:val="18"/>
        </w:rPr>
        <w:t>s</w:t>
      </w:r>
      <w:r w:rsidR="00AE4D6F" w:rsidRPr="00322CB3">
        <w:rPr>
          <w:szCs w:val="18"/>
        </w:rPr>
        <w:t xml:space="preserve"> also will provide important data to the NCI leadership to guide their decision making in their development and planning of the ETCTN’s subsequent Funding Opportunity Announcement (FOA) for another five years (i.e., what components of the ETCTN might need to be changed or improved in the FOA before seeking applications).  </w:t>
      </w:r>
    </w:p>
    <w:p w:rsidR="00DB7D3D" w:rsidRDefault="00DB7D3D" w:rsidP="002C2390">
      <w:pPr>
        <w:spacing w:line="240" w:lineRule="atLeast"/>
        <w:jc w:val="both"/>
        <w:rPr>
          <w:b/>
          <w:color w:val="FF0000"/>
          <w:sz w:val="20"/>
          <w:szCs w:val="20"/>
        </w:rPr>
      </w:pPr>
    </w:p>
    <w:p w:rsidR="0008711B" w:rsidRPr="00B73AA4" w:rsidRDefault="0008711B" w:rsidP="0008711B">
      <w:pPr>
        <w:rPr>
          <w:rFonts w:ascii="Arial" w:hAnsi="Arial" w:cs="Arial"/>
        </w:rPr>
      </w:pPr>
      <w:bookmarkStart w:id="3" w:name="_Toc230515980"/>
      <w:r w:rsidRPr="00B73AA4">
        <w:rPr>
          <w:rFonts w:ascii="Arial" w:hAnsi="Arial" w:cs="Arial"/>
          <w:b/>
        </w:rPr>
        <w:t>A3. Use of Information Technology and Burden Reduction</w:t>
      </w:r>
      <w:bookmarkEnd w:id="3"/>
    </w:p>
    <w:p w:rsidR="005979CD" w:rsidRPr="00743654" w:rsidRDefault="0080792F" w:rsidP="005979CD">
      <w:bookmarkStart w:id="4" w:name="_Toc230515981"/>
      <w:r w:rsidRPr="005979CD">
        <w:t>The collection of information will be done via online customer satisfaction survey</w:t>
      </w:r>
      <w:r w:rsidR="00863CA2">
        <w:t>s</w:t>
      </w:r>
      <w:r w:rsidR="0071721D">
        <w:t xml:space="preserve"> (</w:t>
      </w:r>
      <w:r w:rsidR="00AA79F8" w:rsidRPr="00AA79F8">
        <w:rPr>
          <w:b/>
        </w:rPr>
        <w:t>Attachments 1 and 2</w:t>
      </w:r>
      <w:r w:rsidR="0071721D">
        <w:t>)</w:t>
      </w:r>
      <w:r w:rsidRPr="005979CD">
        <w:t>.</w:t>
      </w:r>
      <w:r w:rsidR="00366E5E">
        <w:t xml:space="preserve"> </w:t>
      </w:r>
      <w:r w:rsidR="006F4122">
        <w:t xml:space="preserve"> </w:t>
      </w:r>
      <w:r w:rsidR="00180CA1">
        <w:t>The respondents will be invited by email (</w:t>
      </w:r>
      <w:r w:rsidR="0055220B" w:rsidRPr="0055220B">
        <w:rPr>
          <w:b/>
        </w:rPr>
        <w:t xml:space="preserve">Attachment </w:t>
      </w:r>
      <w:r w:rsidR="00B370C7">
        <w:rPr>
          <w:b/>
        </w:rPr>
        <w:t>3</w:t>
      </w:r>
      <w:r w:rsidR="00180CA1">
        <w:t>) and an on-line link will be available to link to the survey</w:t>
      </w:r>
      <w:r w:rsidR="00863CA2">
        <w:t>s</w:t>
      </w:r>
      <w:r w:rsidR="00180CA1">
        <w:t xml:space="preserve">.  </w:t>
      </w:r>
      <w:r w:rsidR="00147353">
        <w:t>The NCI Privacy Act Coordinator has been contacted and a</w:t>
      </w:r>
      <w:r w:rsidR="005979CD" w:rsidRPr="00743654">
        <w:t xml:space="preserve"> P</w:t>
      </w:r>
      <w:r w:rsidR="00B44791">
        <w:t xml:space="preserve">rivacy </w:t>
      </w:r>
      <w:r w:rsidR="005979CD" w:rsidRPr="00743654">
        <w:t>I</w:t>
      </w:r>
      <w:r w:rsidR="00B44791">
        <w:t xml:space="preserve">mpact </w:t>
      </w:r>
      <w:r w:rsidR="005979CD" w:rsidRPr="00743654">
        <w:t>A</w:t>
      </w:r>
      <w:r w:rsidR="00B44791">
        <w:t>ssessment</w:t>
      </w:r>
      <w:r w:rsidR="0057635C">
        <w:t xml:space="preserve"> </w:t>
      </w:r>
      <w:r w:rsidR="006F4122">
        <w:t xml:space="preserve">(PIA) </w:t>
      </w:r>
      <w:r w:rsidR="00147353">
        <w:t xml:space="preserve">is being sought </w:t>
      </w:r>
      <w:r w:rsidR="0057635C">
        <w:t>for the I</w:t>
      </w:r>
      <w:r w:rsidR="006F4122">
        <w:t xml:space="preserve">nformation </w:t>
      </w:r>
      <w:r w:rsidR="0057635C">
        <w:t>T</w:t>
      </w:r>
      <w:r w:rsidR="006F4122">
        <w:t>echnology</w:t>
      </w:r>
      <w:r w:rsidR="00B44791">
        <w:t xml:space="preserve"> system that is being used to collect, store and transmit the data</w:t>
      </w:r>
      <w:r w:rsidR="006E27EE">
        <w:t xml:space="preserve"> to ensure that it provides a documented process to identify and safeguard the </w:t>
      </w:r>
      <w:r w:rsidR="00147353">
        <w:t>personally identifiable information</w:t>
      </w:r>
      <w:r w:rsidR="006E27EE">
        <w:t xml:space="preserve"> being collected</w:t>
      </w:r>
      <w:r w:rsidR="005979CD" w:rsidRPr="00743654">
        <w:t xml:space="preserve">.  </w:t>
      </w:r>
    </w:p>
    <w:p w:rsidR="0080792F" w:rsidRDefault="0080792F" w:rsidP="00186F0C">
      <w:pPr>
        <w:spacing w:line="240" w:lineRule="atLeast"/>
        <w:jc w:val="both"/>
        <w:rPr>
          <w:b/>
          <w:color w:val="FF0000"/>
          <w:sz w:val="20"/>
          <w:szCs w:val="20"/>
        </w:rPr>
      </w:pPr>
    </w:p>
    <w:p w:rsidR="0008711B" w:rsidRPr="00B73AA4" w:rsidRDefault="0008711B" w:rsidP="0008711B">
      <w:pPr>
        <w:autoSpaceDE w:val="0"/>
        <w:autoSpaceDN w:val="0"/>
        <w:adjustRightInd w:val="0"/>
        <w:outlineLvl w:val="0"/>
        <w:rPr>
          <w:rFonts w:ascii="Arial" w:hAnsi="Arial" w:cs="Arial"/>
          <w:b/>
        </w:rPr>
      </w:pPr>
      <w:r w:rsidRPr="00B73AA4">
        <w:rPr>
          <w:rFonts w:ascii="Arial" w:hAnsi="Arial" w:cs="Arial"/>
          <w:b/>
        </w:rPr>
        <w:t>A4. Efforts to Identify Duplication and Use of Similar Information</w:t>
      </w:r>
      <w:bookmarkEnd w:id="4"/>
    </w:p>
    <w:p w:rsidR="00147353" w:rsidRDefault="008408F5" w:rsidP="00147353">
      <w:pPr>
        <w:rPr>
          <w:szCs w:val="18"/>
        </w:rPr>
      </w:pPr>
      <w:bookmarkStart w:id="5" w:name="_Toc230515982"/>
      <w:r w:rsidRPr="00E64B25">
        <w:rPr>
          <w:color w:val="000000"/>
        </w:rPr>
        <w:t>No similar collection of information exists</w:t>
      </w:r>
      <w:r w:rsidR="00147353">
        <w:rPr>
          <w:color w:val="000000"/>
        </w:rPr>
        <w:t xml:space="preserve"> </w:t>
      </w:r>
      <w:r w:rsidR="00B370C7">
        <w:rPr>
          <w:color w:val="000000"/>
        </w:rPr>
        <w:t xml:space="preserve">and </w:t>
      </w:r>
      <w:r w:rsidR="00147353">
        <w:rPr>
          <w:szCs w:val="18"/>
        </w:rPr>
        <w:t>because the program is new, no other past data collection efforts have been done that could help NCI in this effort.</w:t>
      </w:r>
    </w:p>
    <w:p w:rsidR="008408F5" w:rsidRPr="00E64B25" w:rsidRDefault="008408F5" w:rsidP="008408F5">
      <w:pPr>
        <w:tabs>
          <w:tab w:val="num" w:pos="450"/>
        </w:tabs>
        <w:autoSpaceDE w:val="0"/>
        <w:autoSpaceDN w:val="0"/>
        <w:adjustRightInd w:val="0"/>
        <w:outlineLvl w:val="0"/>
        <w:rPr>
          <w:b/>
          <w:color w:val="FF0000"/>
          <w:sz w:val="20"/>
          <w:szCs w:val="20"/>
        </w:rPr>
      </w:pPr>
    </w:p>
    <w:p w:rsidR="0008711B" w:rsidRPr="00B73AA4" w:rsidRDefault="0008711B" w:rsidP="0008711B">
      <w:pPr>
        <w:autoSpaceDE w:val="0"/>
        <w:autoSpaceDN w:val="0"/>
        <w:adjustRightInd w:val="0"/>
        <w:outlineLvl w:val="0"/>
        <w:rPr>
          <w:rFonts w:ascii="Arial" w:hAnsi="Arial" w:cs="Arial"/>
          <w:b/>
        </w:rPr>
      </w:pPr>
      <w:r w:rsidRPr="00B73AA4">
        <w:rPr>
          <w:rFonts w:ascii="Arial" w:hAnsi="Arial" w:cs="Arial"/>
          <w:b/>
        </w:rPr>
        <w:t>A5. Impact on Small Businesses or Other Small Entities</w:t>
      </w:r>
      <w:bookmarkEnd w:id="5"/>
    </w:p>
    <w:p w:rsidR="00B73AA4" w:rsidRPr="00E64B25" w:rsidRDefault="00B73AA4" w:rsidP="0008711B">
      <w:pPr>
        <w:autoSpaceDE w:val="0"/>
        <w:autoSpaceDN w:val="0"/>
        <w:adjustRightInd w:val="0"/>
        <w:outlineLvl w:val="0"/>
        <w:rPr>
          <w:color w:val="000000"/>
        </w:rPr>
      </w:pPr>
      <w:r w:rsidRPr="00E64B25">
        <w:rPr>
          <w:color w:val="000000"/>
        </w:rPr>
        <w:t>No small businesses will be involved in this study.</w:t>
      </w:r>
    </w:p>
    <w:p w:rsidR="00E97385" w:rsidRDefault="00E97385" w:rsidP="0008711B">
      <w:pPr>
        <w:autoSpaceDE w:val="0"/>
        <w:autoSpaceDN w:val="0"/>
        <w:adjustRightInd w:val="0"/>
        <w:outlineLvl w:val="0"/>
        <w:rPr>
          <w:rFonts w:ascii="Arial" w:hAnsi="Arial" w:cs="Arial"/>
          <w:b/>
          <w:sz w:val="22"/>
          <w:szCs w:val="22"/>
        </w:rPr>
      </w:pPr>
      <w:bookmarkStart w:id="6" w:name="_Toc230515983"/>
    </w:p>
    <w:p w:rsidR="0008711B" w:rsidRDefault="0008711B" w:rsidP="0008711B">
      <w:pPr>
        <w:autoSpaceDE w:val="0"/>
        <w:autoSpaceDN w:val="0"/>
        <w:adjustRightInd w:val="0"/>
        <w:outlineLvl w:val="0"/>
        <w:rPr>
          <w:rFonts w:ascii="Arial" w:hAnsi="Arial" w:cs="Arial"/>
          <w:b/>
        </w:rPr>
      </w:pPr>
      <w:r w:rsidRPr="00C5422A">
        <w:rPr>
          <w:rFonts w:ascii="Arial" w:hAnsi="Arial" w:cs="Arial"/>
          <w:b/>
        </w:rPr>
        <w:t>A6. Consequences of Collecting the Information Less Frequently</w:t>
      </w:r>
      <w:bookmarkEnd w:id="6"/>
    </w:p>
    <w:p w:rsidR="00404057" w:rsidRPr="00472C1A" w:rsidRDefault="001B4EB2" w:rsidP="0008711B">
      <w:pPr>
        <w:autoSpaceDE w:val="0"/>
        <w:autoSpaceDN w:val="0"/>
        <w:adjustRightInd w:val="0"/>
        <w:outlineLvl w:val="0"/>
        <w:rPr>
          <w:color w:val="000000"/>
        </w:rPr>
      </w:pPr>
      <w:r w:rsidRPr="001B4EB2">
        <w:rPr>
          <w:color w:val="000000"/>
        </w:rPr>
        <w:t>CTEP requests OMB approval to field the ETCTN customer satisfaction survey</w:t>
      </w:r>
      <w:r w:rsidR="00863CA2">
        <w:rPr>
          <w:color w:val="000000"/>
        </w:rPr>
        <w:t>s</w:t>
      </w:r>
      <w:r w:rsidRPr="001B4EB2">
        <w:rPr>
          <w:color w:val="000000"/>
        </w:rPr>
        <w:t xml:space="preserve"> at the end of the first and second year of the program’s implementation.  The rationale for the end of the first year is to be sure that if any substantial concerns are uncovered, they will be identified early in the program’s rollout and can be addressed sufficiently.  A second year of data will help identify whether any changes made after the first year resulted in greater satisfaction; it also will give NCI a better understanding of audiences’ perceptions and satisfaction after they have had two years to experience </w:t>
      </w:r>
      <w:r>
        <w:rPr>
          <w:color w:val="000000"/>
        </w:rPr>
        <w:t>the new program and settle in and to help the planning for a subsequent FOA which will be written in grant years 3 &amp; 4 of the program.</w:t>
      </w:r>
      <w:r w:rsidR="00BE11C1">
        <w:rPr>
          <w:color w:val="000000"/>
        </w:rPr>
        <w:t xml:space="preserve">  Without data, NCI will have to assume that the program is working well and as planned.  Without two years of data, NCI will not know if changes made after the first year have been addressed sufficiently.  Finally, NCI and NIH have repeatedly requested that programmatic funding decisions be evidence-based: the online customer survey</w:t>
      </w:r>
      <w:r w:rsidR="00863CA2">
        <w:rPr>
          <w:color w:val="000000"/>
        </w:rPr>
        <w:t>s are</w:t>
      </w:r>
      <w:r w:rsidR="00BE11C1">
        <w:rPr>
          <w:color w:val="000000"/>
        </w:rPr>
        <w:t xml:space="preserve"> a mechanism to help NCI fulfill this obligation.</w:t>
      </w:r>
    </w:p>
    <w:p w:rsidR="00CE5CE6" w:rsidRPr="00492899" w:rsidRDefault="00CE5CE6" w:rsidP="0008711B">
      <w:pPr>
        <w:autoSpaceDE w:val="0"/>
        <w:autoSpaceDN w:val="0"/>
        <w:adjustRightInd w:val="0"/>
        <w:outlineLvl w:val="0"/>
        <w:rPr>
          <w:rFonts w:ascii="Arial" w:hAnsi="Arial" w:cs="Arial"/>
          <w:b/>
          <w:sz w:val="22"/>
          <w:szCs w:val="22"/>
          <w:highlight w:val="yellow"/>
        </w:rPr>
      </w:pPr>
      <w:bookmarkStart w:id="7" w:name="_Toc230515984"/>
    </w:p>
    <w:p w:rsidR="0008711B" w:rsidRPr="00C5422A" w:rsidRDefault="0008711B" w:rsidP="0008711B">
      <w:pPr>
        <w:autoSpaceDE w:val="0"/>
        <w:autoSpaceDN w:val="0"/>
        <w:adjustRightInd w:val="0"/>
        <w:outlineLvl w:val="0"/>
        <w:rPr>
          <w:rFonts w:ascii="Arial" w:hAnsi="Arial" w:cs="Arial"/>
          <w:b/>
        </w:rPr>
      </w:pPr>
      <w:r w:rsidRPr="00C5422A">
        <w:rPr>
          <w:rFonts w:ascii="Arial" w:hAnsi="Arial" w:cs="Arial"/>
          <w:b/>
        </w:rPr>
        <w:t>A7. Special Circumstances Relating to the Guidelines of 5 CFR 1320.5</w:t>
      </w:r>
      <w:bookmarkEnd w:id="7"/>
    </w:p>
    <w:p w:rsidR="002526C1" w:rsidRPr="00E64B25" w:rsidRDefault="002526C1" w:rsidP="0008711B">
      <w:pPr>
        <w:autoSpaceDE w:val="0"/>
        <w:autoSpaceDN w:val="0"/>
        <w:adjustRightInd w:val="0"/>
        <w:outlineLvl w:val="0"/>
        <w:rPr>
          <w:color w:val="000000"/>
        </w:rPr>
      </w:pPr>
      <w:r w:rsidRPr="00E64B25">
        <w:rPr>
          <w:color w:val="000000"/>
        </w:rPr>
        <w:t>This project will be implemented in a manner that fully complies with the Guidelines of 5 CFR 1320.5.</w:t>
      </w:r>
    </w:p>
    <w:p w:rsidR="005B690A" w:rsidRDefault="005B690A" w:rsidP="0008711B">
      <w:pPr>
        <w:autoSpaceDE w:val="0"/>
        <w:autoSpaceDN w:val="0"/>
        <w:adjustRightInd w:val="0"/>
        <w:outlineLvl w:val="0"/>
        <w:rPr>
          <w:rFonts w:ascii="Arial" w:hAnsi="Arial" w:cs="Arial"/>
          <w:b/>
        </w:rPr>
      </w:pPr>
      <w:bookmarkStart w:id="8" w:name="_Toc230515985"/>
    </w:p>
    <w:p w:rsidR="0008711B" w:rsidRDefault="0008711B" w:rsidP="0008711B">
      <w:pPr>
        <w:autoSpaceDE w:val="0"/>
        <w:autoSpaceDN w:val="0"/>
        <w:adjustRightInd w:val="0"/>
        <w:outlineLvl w:val="0"/>
        <w:rPr>
          <w:rFonts w:ascii="Arial" w:hAnsi="Arial" w:cs="Arial"/>
          <w:b/>
        </w:rPr>
      </w:pPr>
      <w:r w:rsidRPr="001A2CD9">
        <w:rPr>
          <w:rFonts w:ascii="Arial" w:hAnsi="Arial" w:cs="Arial"/>
          <w:b/>
        </w:rPr>
        <w:t>A8. Comments in Response to Federal Register Notice and Efforts to Consult Outside Agency</w:t>
      </w:r>
      <w:bookmarkEnd w:id="8"/>
    </w:p>
    <w:p w:rsidR="000348B6" w:rsidRPr="006D32BE" w:rsidRDefault="004D104A" w:rsidP="0008711B">
      <w:pPr>
        <w:autoSpaceDE w:val="0"/>
        <w:autoSpaceDN w:val="0"/>
        <w:adjustRightInd w:val="0"/>
        <w:outlineLvl w:val="0"/>
      </w:pPr>
      <w:r w:rsidRPr="00E64B25">
        <w:t>No efforts have made to consult with others.</w:t>
      </w:r>
    </w:p>
    <w:p w:rsidR="00381A1B" w:rsidRPr="00457967" w:rsidRDefault="00CE5CE6" w:rsidP="00A61A8A">
      <w:pPr>
        <w:pStyle w:val="a"/>
        <w:tabs>
          <w:tab w:val="num" w:pos="1440"/>
          <w:tab w:val="left" w:pos="2160"/>
        </w:tabs>
        <w:ind w:left="0"/>
        <w:rPr>
          <w:b/>
          <w:color w:val="FF0000"/>
          <w:sz w:val="20"/>
        </w:rPr>
      </w:pPr>
      <w:r w:rsidRPr="00CE5CE6">
        <w:rPr>
          <w:b/>
          <w:color w:val="FF0000"/>
          <w:sz w:val="20"/>
        </w:rPr>
        <w:t xml:space="preserve">  </w:t>
      </w:r>
    </w:p>
    <w:p w:rsidR="00717D41" w:rsidRDefault="0008711B" w:rsidP="009F1935">
      <w:pPr>
        <w:autoSpaceDE w:val="0"/>
        <w:autoSpaceDN w:val="0"/>
        <w:adjustRightInd w:val="0"/>
        <w:outlineLvl w:val="0"/>
        <w:rPr>
          <w:rFonts w:ascii="Arial" w:hAnsi="Arial" w:cs="Arial"/>
          <w:b/>
        </w:rPr>
      </w:pPr>
      <w:bookmarkStart w:id="9" w:name="_Toc230515986"/>
      <w:r w:rsidRPr="001A2CD9">
        <w:rPr>
          <w:rFonts w:ascii="Arial" w:hAnsi="Arial" w:cs="Arial"/>
          <w:b/>
        </w:rPr>
        <w:t>A9. Explanation of Any Payment or Gift to Respondents</w:t>
      </w:r>
      <w:bookmarkStart w:id="10" w:name="_Toc230515987"/>
      <w:bookmarkEnd w:id="9"/>
    </w:p>
    <w:p w:rsidR="005B690A" w:rsidRDefault="00FF08F9" w:rsidP="009F1935">
      <w:pPr>
        <w:autoSpaceDE w:val="0"/>
        <w:autoSpaceDN w:val="0"/>
        <w:adjustRightInd w:val="0"/>
        <w:outlineLvl w:val="0"/>
        <w:rPr>
          <w:rFonts w:ascii="Arial" w:hAnsi="Arial" w:cs="Arial"/>
          <w:color w:val="00B050"/>
        </w:rPr>
      </w:pPr>
      <w:r w:rsidRPr="00821EA6">
        <w:t xml:space="preserve">No payment or gifts will be given to respondents. </w:t>
      </w:r>
      <w:r>
        <w:rPr>
          <w:rFonts w:ascii="Arial" w:hAnsi="Arial" w:cs="Arial"/>
        </w:rPr>
        <w:t xml:space="preserve"> </w:t>
      </w:r>
    </w:p>
    <w:p w:rsidR="006D32BE" w:rsidRDefault="006D32BE" w:rsidP="009F1935">
      <w:pPr>
        <w:autoSpaceDE w:val="0"/>
        <w:autoSpaceDN w:val="0"/>
        <w:adjustRightInd w:val="0"/>
        <w:outlineLvl w:val="0"/>
        <w:rPr>
          <w:rFonts w:ascii="Arial" w:hAnsi="Arial" w:cs="Arial"/>
        </w:rPr>
      </w:pPr>
    </w:p>
    <w:p w:rsidR="0008711B" w:rsidRDefault="0008711B" w:rsidP="0008711B">
      <w:pPr>
        <w:autoSpaceDE w:val="0"/>
        <w:autoSpaceDN w:val="0"/>
        <w:adjustRightInd w:val="0"/>
        <w:outlineLvl w:val="0"/>
        <w:rPr>
          <w:rFonts w:ascii="Arial" w:hAnsi="Arial" w:cs="Arial"/>
          <w:b/>
        </w:rPr>
      </w:pPr>
      <w:r w:rsidRPr="001A2CD9">
        <w:rPr>
          <w:rFonts w:ascii="Arial" w:hAnsi="Arial" w:cs="Arial"/>
          <w:b/>
        </w:rPr>
        <w:t>A10. Assurance of Confidentiality Provided to Respondents</w:t>
      </w:r>
      <w:bookmarkEnd w:id="10"/>
    </w:p>
    <w:p w:rsidR="00A8361C" w:rsidRPr="00A8361C" w:rsidRDefault="00A8361C" w:rsidP="0045207F">
      <w:pPr>
        <w:rPr>
          <w:b/>
          <w:sz w:val="20"/>
          <w:szCs w:val="20"/>
          <w:u w:val="single"/>
        </w:rPr>
      </w:pPr>
      <w:bookmarkStart w:id="11" w:name="_Toc230515988"/>
      <w:r w:rsidRPr="00A8361C">
        <w:t>Participation is voluntary and there are no penalties for not participating or withdrawing from the study at any time. The information collected in this study will be kept private to the extent provided by law.  Names and other identifiers will not appear in any report of the study. Information provided will be combined for all study participants and reported as summaries</w:t>
      </w:r>
      <w:r w:rsidR="00D10966">
        <w:t xml:space="preserve"> by the contractor, </w:t>
      </w:r>
      <w:r>
        <w:t>User-Centered Design, Inc</w:t>
      </w:r>
      <w:r w:rsidRPr="00973FC2">
        <w:t>.</w:t>
      </w:r>
      <w:r w:rsidR="00D10966" w:rsidRPr="00973FC2">
        <w:t xml:space="preserve"> </w:t>
      </w:r>
      <w:r w:rsidR="006F4122" w:rsidRPr="00973FC2">
        <w:t xml:space="preserve">NIH’s Office of Human Subjects Research Protections (OHSRP) </w:t>
      </w:r>
      <w:r w:rsidR="00863CA2" w:rsidRPr="00973FC2">
        <w:t xml:space="preserve">reviewed this project and determined </w:t>
      </w:r>
      <w:r w:rsidR="00766701" w:rsidRPr="00973FC2">
        <w:t>that</w:t>
      </w:r>
      <w:r w:rsidR="00B370C7" w:rsidRPr="00973FC2">
        <w:t xml:space="preserve"> federal regulations for the protection of human subjects does not </w:t>
      </w:r>
      <w:r w:rsidR="00B370C7" w:rsidRPr="00973FC2">
        <w:lastRenderedPageBreak/>
        <w:t>apply to the activity proposed in this SSA</w:t>
      </w:r>
      <w:r w:rsidR="00766701" w:rsidRPr="00973FC2">
        <w:t>, as the activities are not considered research but are being done as a measure of quality improvement/assurance</w:t>
      </w:r>
      <w:r w:rsidR="00863CA2" w:rsidRPr="00973FC2">
        <w:t xml:space="preserve"> (see </w:t>
      </w:r>
      <w:r w:rsidR="00863CA2" w:rsidRPr="00973FC2">
        <w:rPr>
          <w:b/>
        </w:rPr>
        <w:t>Attachment 4</w:t>
      </w:r>
      <w:r w:rsidR="00863CA2" w:rsidRPr="00973FC2">
        <w:t xml:space="preserve">). </w:t>
      </w:r>
      <w:r w:rsidR="00B370C7" w:rsidRPr="00973FC2">
        <w:t xml:space="preserve"> </w:t>
      </w:r>
      <w:r w:rsidR="006F4122" w:rsidRPr="00973FC2">
        <w:t>We also are in the process of</w:t>
      </w:r>
      <w:r w:rsidR="006F4122">
        <w:t xml:space="preserve"> </w:t>
      </w:r>
      <w:r w:rsidR="00D10966">
        <w:t>requesti</w:t>
      </w:r>
      <w:r w:rsidR="006F4122">
        <w:t xml:space="preserve">ng </w:t>
      </w:r>
      <w:r w:rsidR="00D10966">
        <w:t>a</w:t>
      </w:r>
      <w:r w:rsidR="006F4122" w:rsidRPr="00743654">
        <w:t xml:space="preserve"> Privacy Act Memo </w:t>
      </w:r>
      <w:r w:rsidR="00D10966">
        <w:t>from the NIH Privacy Act Officer.</w:t>
      </w:r>
      <w:r w:rsidR="006F4122" w:rsidRPr="00743654">
        <w:t xml:space="preserve"> </w:t>
      </w:r>
    </w:p>
    <w:p w:rsidR="00EF0CC4" w:rsidRPr="00EF0CC4" w:rsidRDefault="00EF0CC4" w:rsidP="00EF0CC4">
      <w:pPr>
        <w:ind w:left="360"/>
        <w:rPr>
          <w:rFonts w:ascii="Arial" w:hAnsi="Arial" w:cs="Arial"/>
          <w:b/>
        </w:rPr>
      </w:pPr>
    </w:p>
    <w:p w:rsidR="00C97012" w:rsidRDefault="0008711B" w:rsidP="00616C66">
      <w:pPr>
        <w:rPr>
          <w:rFonts w:ascii="Arial" w:hAnsi="Arial" w:cs="Arial"/>
          <w:b/>
        </w:rPr>
      </w:pPr>
      <w:r w:rsidRPr="001A2CD9">
        <w:rPr>
          <w:rFonts w:ascii="Arial" w:hAnsi="Arial" w:cs="Arial"/>
          <w:b/>
        </w:rPr>
        <w:t>A11. Justification for Sensitive Questions</w:t>
      </w:r>
      <w:bookmarkEnd w:id="11"/>
    </w:p>
    <w:p w:rsidR="004C5DB5" w:rsidRPr="004A5FB8" w:rsidRDefault="004A5FB8" w:rsidP="004C5DB5">
      <w:pPr>
        <w:tabs>
          <w:tab w:val="num" w:pos="720"/>
          <w:tab w:val="left" w:pos="1800"/>
        </w:tabs>
        <w:rPr>
          <w:szCs w:val="20"/>
        </w:rPr>
      </w:pPr>
      <w:r w:rsidRPr="004A5FB8">
        <w:rPr>
          <w:szCs w:val="20"/>
        </w:rPr>
        <w:t>Personally identifiable information (PII) is being collected</w:t>
      </w:r>
      <w:r w:rsidR="00092527">
        <w:rPr>
          <w:szCs w:val="20"/>
        </w:rPr>
        <w:t>.</w:t>
      </w:r>
      <w:r w:rsidRPr="004A5FB8">
        <w:rPr>
          <w:szCs w:val="20"/>
        </w:rPr>
        <w:t xml:space="preserve"> </w:t>
      </w:r>
      <w:proofErr w:type="gramStart"/>
      <w:r w:rsidRPr="004A5FB8">
        <w:rPr>
          <w:szCs w:val="20"/>
        </w:rPr>
        <w:t>in</w:t>
      </w:r>
      <w:proofErr w:type="gramEnd"/>
      <w:r w:rsidRPr="004A5FB8">
        <w:rPr>
          <w:szCs w:val="20"/>
        </w:rPr>
        <w:t xml:space="preserve"> the form of the respondent’s </w:t>
      </w:r>
      <w:r w:rsidR="00C95A44">
        <w:rPr>
          <w:szCs w:val="20"/>
        </w:rPr>
        <w:t>education level</w:t>
      </w:r>
      <w:r w:rsidR="00092527">
        <w:rPr>
          <w:szCs w:val="20"/>
        </w:rPr>
        <w:t>, name and contact information.</w:t>
      </w:r>
      <w:r w:rsidRPr="004A5FB8">
        <w:rPr>
          <w:szCs w:val="20"/>
        </w:rPr>
        <w:t xml:space="preserve">.  </w:t>
      </w:r>
      <w:r w:rsidR="005509DA">
        <w:rPr>
          <w:szCs w:val="20"/>
        </w:rPr>
        <w:t>No sensitive questions are being asked.</w:t>
      </w:r>
    </w:p>
    <w:p w:rsidR="0008711B" w:rsidRPr="00FC2B62" w:rsidRDefault="0008711B" w:rsidP="0008711B">
      <w:pPr>
        <w:autoSpaceDE w:val="0"/>
        <w:autoSpaceDN w:val="0"/>
        <w:adjustRightInd w:val="0"/>
        <w:rPr>
          <w:rFonts w:ascii="Arial" w:hAnsi="Arial" w:cs="Arial"/>
          <w:sz w:val="20"/>
          <w:szCs w:val="20"/>
          <w:highlight w:val="yellow"/>
        </w:rPr>
      </w:pPr>
    </w:p>
    <w:p w:rsidR="0008711B" w:rsidRPr="001A2CD9" w:rsidRDefault="0008711B" w:rsidP="0008711B">
      <w:pPr>
        <w:autoSpaceDE w:val="0"/>
        <w:autoSpaceDN w:val="0"/>
        <w:adjustRightInd w:val="0"/>
        <w:outlineLvl w:val="0"/>
        <w:rPr>
          <w:rFonts w:ascii="Arial" w:hAnsi="Arial" w:cs="Arial"/>
          <w:b/>
        </w:rPr>
      </w:pPr>
      <w:bookmarkStart w:id="12" w:name="_Toc230515989"/>
      <w:r w:rsidRPr="001A2CD9">
        <w:rPr>
          <w:rFonts w:ascii="Arial" w:hAnsi="Arial" w:cs="Arial"/>
          <w:b/>
        </w:rPr>
        <w:t>A12. Estimates of Hour Burden Including Annualized Hourly Costs</w:t>
      </w:r>
      <w:bookmarkEnd w:id="12"/>
    </w:p>
    <w:p w:rsidR="00317C12" w:rsidRPr="00DD1C87" w:rsidRDefault="00BC62FD" w:rsidP="0008711B">
      <w:pPr>
        <w:autoSpaceDE w:val="0"/>
        <w:autoSpaceDN w:val="0"/>
        <w:adjustRightInd w:val="0"/>
      </w:pPr>
      <w:r>
        <w:t>It is expected that 25</w:t>
      </w:r>
      <w:r w:rsidR="00317C12" w:rsidRPr="00AA3ABA">
        <w:t xml:space="preserve">0 </w:t>
      </w:r>
      <w:r w:rsidR="00EA350C">
        <w:t xml:space="preserve">participants </w:t>
      </w:r>
      <w:r w:rsidR="00317C12" w:rsidRPr="00AA3ABA">
        <w:t>will be surveye</w:t>
      </w:r>
      <w:r>
        <w:t>d each year (total N =5</w:t>
      </w:r>
      <w:r w:rsidR="00317C12" w:rsidRPr="00AA3ABA">
        <w:t>00) with each survey taking no more than 15 minutes to complete</w:t>
      </w:r>
      <w:r w:rsidR="006833D7">
        <w:t xml:space="preserve"> on each </w:t>
      </w:r>
      <w:r w:rsidR="004A3374">
        <w:t>occasion</w:t>
      </w:r>
      <w:r w:rsidR="00317C12" w:rsidRPr="00AA3ABA">
        <w:t>.</w:t>
      </w:r>
      <w:r w:rsidR="00317C12">
        <w:t xml:space="preserve">  The total burden t</w:t>
      </w:r>
      <w:r>
        <w:t xml:space="preserve">ime to complete the study is </w:t>
      </w:r>
      <w:r w:rsidR="004A3374">
        <w:t>63</w:t>
      </w:r>
      <w:r w:rsidR="00317C12">
        <w:t xml:space="preserve"> hours</w:t>
      </w:r>
      <w:r w:rsidR="004A3374">
        <w:t xml:space="preserve"> annually</w:t>
      </w:r>
      <w:r w:rsidR="007011C8">
        <w:t xml:space="preserve"> (Table A12-1)</w:t>
      </w:r>
      <w:r w:rsidR="00C02F72">
        <w:t>.  Respondents will be asked to respond to the survey twice, once per year, so that changes made after the 1</w:t>
      </w:r>
      <w:r w:rsidR="00C02F72" w:rsidRPr="00C02F72">
        <w:rPr>
          <w:vertAlign w:val="superscript"/>
        </w:rPr>
        <w:t>st</w:t>
      </w:r>
      <w:r w:rsidR="00C02F72">
        <w:t xml:space="preserve"> survey can be reassessed the following year (for further detail, refer to Section A.6, above).  Thus the total burden is estimated to be </w:t>
      </w:r>
      <w:r w:rsidR="004A3374">
        <w:t>126 hours</w:t>
      </w:r>
      <w:r w:rsidR="00D46FB5">
        <w:t xml:space="preserve"> over two years</w:t>
      </w:r>
      <w:r w:rsidR="00317C12">
        <w:t xml:space="preserve">. </w:t>
      </w:r>
    </w:p>
    <w:p w:rsidR="009C421E" w:rsidRDefault="009C421E" w:rsidP="0008711B">
      <w:pPr>
        <w:autoSpaceDE w:val="0"/>
        <w:autoSpaceDN w:val="0"/>
        <w:adjustRightInd w:val="0"/>
      </w:pPr>
    </w:p>
    <w:p w:rsidR="009E57FE" w:rsidRPr="00DD1C87" w:rsidRDefault="00A252AF" w:rsidP="0008711B">
      <w:pPr>
        <w:autoSpaceDE w:val="0"/>
        <w:autoSpaceDN w:val="0"/>
        <w:adjustRightInd w:val="0"/>
      </w:pPr>
      <w:proofErr w:type="gramStart"/>
      <w:r w:rsidRPr="00DD1C87">
        <w:t xml:space="preserve">Table </w:t>
      </w:r>
      <w:r w:rsidR="003C72B0" w:rsidRPr="00DD1C87">
        <w:t>A12-1.</w:t>
      </w:r>
      <w:proofErr w:type="gramEnd"/>
      <w:r w:rsidR="003C72B0" w:rsidRPr="00DD1C87">
        <w:t xml:space="preserve"> Estimates of Hour Burden</w:t>
      </w:r>
      <w:r w:rsidR="00611A54" w:rsidRPr="00DD1C87">
        <w:t xml:space="preserve">  </w:t>
      </w:r>
    </w:p>
    <w:p w:rsidR="00CF3447" w:rsidRPr="00DD1C87" w:rsidRDefault="00CF3447" w:rsidP="0008711B">
      <w:pPr>
        <w:autoSpaceDE w:val="0"/>
        <w:autoSpaceDN w:val="0"/>
        <w:adjustRightInd w:val="0"/>
      </w:pPr>
    </w:p>
    <w:tbl>
      <w:tblPr>
        <w:tblW w:w="5167" w:type="pct"/>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1960"/>
        <w:gridCol w:w="1854"/>
        <w:gridCol w:w="2225"/>
        <w:gridCol w:w="2136"/>
        <w:gridCol w:w="2033"/>
      </w:tblGrid>
      <w:tr w:rsidR="00EB0E6D" w:rsidRPr="00095E27" w:rsidTr="00337327">
        <w:trPr>
          <w:cantSplit/>
          <w:trHeight w:val="880"/>
        </w:trPr>
        <w:tc>
          <w:tcPr>
            <w:tcW w:w="960" w:type="pct"/>
            <w:shd w:val="clear" w:color="auto" w:fill="auto"/>
            <w:vAlign w:val="center"/>
            <w:hideMark/>
          </w:tcPr>
          <w:p w:rsidR="005812FB" w:rsidRPr="00DD1C87" w:rsidRDefault="00B81F23" w:rsidP="00DD1C87">
            <w:pPr>
              <w:jc w:val="center"/>
              <w:rPr>
                <w:rFonts w:eastAsia="Times New Roman"/>
                <w:bCs/>
                <w:lang w:eastAsia="en-US"/>
              </w:rPr>
            </w:pPr>
            <w:r w:rsidRPr="00DD1C87">
              <w:rPr>
                <w:rFonts w:eastAsia="Times New Roman"/>
                <w:bCs/>
                <w:lang w:eastAsia="en-US"/>
              </w:rPr>
              <w:t>Type of Respondent</w:t>
            </w:r>
          </w:p>
        </w:tc>
        <w:tc>
          <w:tcPr>
            <w:tcW w:w="908" w:type="pct"/>
            <w:shd w:val="clear" w:color="auto" w:fill="auto"/>
            <w:vAlign w:val="center"/>
            <w:hideMark/>
          </w:tcPr>
          <w:p w:rsidR="005812FB" w:rsidRPr="00DD1C87" w:rsidRDefault="005812FB" w:rsidP="00EB0E6D">
            <w:pPr>
              <w:jc w:val="center"/>
              <w:rPr>
                <w:rFonts w:eastAsia="Times New Roman"/>
                <w:bCs/>
                <w:lang w:eastAsia="en-US"/>
              </w:rPr>
            </w:pPr>
            <w:r w:rsidRPr="00DD1C87">
              <w:rPr>
                <w:rFonts w:eastAsia="Times New Roman"/>
                <w:bCs/>
                <w:lang w:eastAsia="en-US"/>
              </w:rPr>
              <w:t>Number of Respondents</w:t>
            </w:r>
          </w:p>
        </w:tc>
        <w:tc>
          <w:tcPr>
            <w:tcW w:w="1090" w:type="pct"/>
            <w:shd w:val="clear" w:color="auto" w:fill="auto"/>
            <w:vAlign w:val="center"/>
            <w:hideMark/>
          </w:tcPr>
          <w:p w:rsidR="005812FB" w:rsidRPr="00DD1C87" w:rsidRDefault="006833D7" w:rsidP="00EB0E6D">
            <w:pPr>
              <w:jc w:val="center"/>
              <w:rPr>
                <w:rFonts w:eastAsia="Times New Roman"/>
                <w:bCs/>
                <w:lang w:eastAsia="en-US"/>
              </w:rPr>
            </w:pPr>
            <w:r>
              <w:rPr>
                <w:rFonts w:eastAsia="Times New Roman"/>
                <w:bCs/>
                <w:lang w:eastAsia="en-US"/>
              </w:rPr>
              <w:t>Estimated Frequency of Response</w:t>
            </w:r>
          </w:p>
        </w:tc>
        <w:tc>
          <w:tcPr>
            <w:tcW w:w="1046" w:type="pct"/>
            <w:shd w:val="clear" w:color="auto" w:fill="auto"/>
            <w:vAlign w:val="center"/>
            <w:hideMark/>
          </w:tcPr>
          <w:p w:rsidR="00EB0E6D" w:rsidRPr="00DD1C87" w:rsidRDefault="00492563" w:rsidP="00EB0E6D">
            <w:pPr>
              <w:jc w:val="center"/>
              <w:rPr>
                <w:rFonts w:eastAsia="Times New Roman"/>
                <w:bCs/>
                <w:lang w:eastAsia="en-US"/>
              </w:rPr>
            </w:pPr>
            <w:r>
              <w:rPr>
                <w:rFonts w:eastAsia="Times New Roman"/>
                <w:bCs/>
                <w:lang w:eastAsia="en-US"/>
              </w:rPr>
              <w:t>Participation Time</w:t>
            </w:r>
          </w:p>
          <w:p w:rsidR="005812FB" w:rsidRPr="00DD1C87" w:rsidRDefault="00EB0E6D" w:rsidP="00EB0E6D">
            <w:pPr>
              <w:jc w:val="center"/>
              <w:rPr>
                <w:rFonts w:eastAsia="Times New Roman"/>
                <w:bCs/>
                <w:lang w:eastAsia="en-US"/>
              </w:rPr>
            </w:pPr>
            <w:r w:rsidRPr="00DD1C87">
              <w:rPr>
                <w:rFonts w:eastAsia="Times New Roman"/>
                <w:bCs/>
                <w:lang w:eastAsia="en-US"/>
              </w:rPr>
              <w:t>(in</w:t>
            </w:r>
            <w:r w:rsidR="005812FB" w:rsidRPr="00DD1C87">
              <w:rPr>
                <w:rFonts w:eastAsia="Times New Roman"/>
                <w:bCs/>
                <w:lang w:eastAsia="en-US"/>
              </w:rPr>
              <w:t xml:space="preserve"> </w:t>
            </w:r>
            <w:r w:rsidRPr="00DD1C87">
              <w:rPr>
                <w:rFonts w:eastAsia="Times New Roman"/>
                <w:bCs/>
                <w:lang w:eastAsia="en-US"/>
              </w:rPr>
              <w:t>h</w:t>
            </w:r>
            <w:r w:rsidR="005812FB" w:rsidRPr="00DD1C87">
              <w:rPr>
                <w:rFonts w:eastAsia="Times New Roman"/>
                <w:bCs/>
                <w:lang w:eastAsia="en-US"/>
              </w:rPr>
              <w:t>ours</w:t>
            </w:r>
            <w:r w:rsidRPr="00DD1C87">
              <w:rPr>
                <w:rFonts w:eastAsia="Times New Roman"/>
                <w:bCs/>
                <w:lang w:eastAsia="en-US"/>
              </w:rPr>
              <w:t>)</w:t>
            </w:r>
          </w:p>
        </w:tc>
        <w:tc>
          <w:tcPr>
            <w:tcW w:w="997" w:type="pct"/>
            <w:shd w:val="clear" w:color="auto" w:fill="auto"/>
            <w:vAlign w:val="center"/>
            <w:hideMark/>
          </w:tcPr>
          <w:p w:rsidR="005812FB" w:rsidRPr="00DD1C87" w:rsidRDefault="006833D7" w:rsidP="003C72B0">
            <w:pPr>
              <w:jc w:val="center"/>
              <w:rPr>
                <w:rFonts w:eastAsia="Times New Roman"/>
                <w:bCs/>
                <w:lang w:eastAsia="en-US"/>
              </w:rPr>
            </w:pPr>
            <w:r>
              <w:rPr>
                <w:rFonts w:eastAsia="Times New Roman"/>
                <w:bCs/>
                <w:lang w:eastAsia="en-US"/>
              </w:rPr>
              <w:t xml:space="preserve">Annual </w:t>
            </w:r>
            <w:r w:rsidR="005812FB" w:rsidRPr="00DD1C87">
              <w:rPr>
                <w:rFonts w:eastAsia="Times New Roman"/>
                <w:bCs/>
                <w:lang w:eastAsia="en-US"/>
              </w:rPr>
              <w:t>Burden Hours</w:t>
            </w:r>
          </w:p>
        </w:tc>
      </w:tr>
      <w:tr w:rsidR="00EB0E6D" w:rsidRPr="00095E27" w:rsidTr="00337327">
        <w:trPr>
          <w:cantSplit/>
          <w:trHeight w:val="260"/>
        </w:trPr>
        <w:tc>
          <w:tcPr>
            <w:tcW w:w="960" w:type="pct"/>
            <w:shd w:val="clear" w:color="auto" w:fill="auto"/>
            <w:noWrap/>
            <w:vAlign w:val="bottom"/>
          </w:tcPr>
          <w:p w:rsidR="005812FB" w:rsidRPr="00DD1C87" w:rsidRDefault="001343A5" w:rsidP="00EB0E6D">
            <w:pPr>
              <w:rPr>
                <w:rFonts w:eastAsia="Times New Roman"/>
                <w:lang w:eastAsia="en-US"/>
              </w:rPr>
            </w:pPr>
            <w:r w:rsidRPr="00DD1C87">
              <w:rPr>
                <w:rFonts w:eastAsia="Times New Roman"/>
                <w:lang w:eastAsia="en-US"/>
              </w:rPr>
              <w:t>Principal Investigator</w:t>
            </w:r>
          </w:p>
        </w:tc>
        <w:tc>
          <w:tcPr>
            <w:tcW w:w="908" w:type="pct"/>
            <w:shd w:val="clear" w:color="auto" w:fill="auto"/>
            <w:noWrap/>
            <w:vAlign w:val="bottom"/>
            <w:hideMark/>
          </w:tcPr>
          <w:p w:rsidR="005812FB" w:rsidRPr="00DD1C87" w:rsidRDefault="00D339BD" w:rsidP="005812FB">
            <w:pPr>
              <w:jc w:val="right"/>
              <w:rPr>
                <w:rFonts w:eastAsia="Times New Roman"/>
                <w:lang w:eastAsia="en-US"/>
              </w:rPr>
            </w:pPr>
            <w:r w:rsidRPr="00DD1C87">
              <w:rPr>
                <w:rFonts w:eastAsia="Times New Roman"/>
                <w:lang w:eastAsia="en-US"/>
              </w:rPr>
              <w:t>75</w:t>
            </w:r>
          </w:p>
        </w:tc>
        <w:tc>
          <w:tcPr>
            <w:tcW w:w="1090" w:type="pct"/>
            <w:shd w:val="clear" w:color="auto" w:fill="auto"/>
            <w:noWrap/>
            <w:vAlign w:val="bottom"/>
          </w:tcPr>
          <w:p w:rsidR="005812FB" w:rsidRPr="00DD1C87" w:rsidRDefault="004A3374" w:rsidP="005812FB">
            <w:pPr>
              <w:jc w:val="right"/>
              <w:rPr>
                <w:rFonts w:eastAsia="Times New Roman"/>
                <w:lang w:eastAsia="en-US"/>
              </w:rPr>
            </w:pPr>
            <w:r>
              <w:rPr>
                <w:rFonts w:eastAsia="Times New Roman"/>
                <w:lang w:eastAsia="en-US"/>
              </w:rPr>
              <w:t>1</w:t>
            </w:r>
          </w:p>
        </w:tc>
        <w:tc>
          <w:tcPr>
            <w:tcW w:w="1046" w:type="pct"/>
            <w:shd w:val="clear" w:color="auto" w:fill="auto"/>
            <w:vAlign w:val="bottom"/>
          </w:tcPr>
          <w:p w:rsidR="005812FB" w:rsidRPr="00DD1C87" w:rsidRDefault="00B80B59" w:rsidP="005812FB">
            <w:pPr>
              <w:jc w:val="right"/>
              <w:rPr>
                <w:rFonts w:eastAsia="Times New Roman"/>
                <w:lang w:eastAsia="en-US"/>
              </w:rPr>
            </w:pPr>
            <w:r w:rsidRPr="00DD1C87">
              <w:rPr>
                <w:rFonts w:eastAsia="Times New Roman"/>
                <w:lang w:eastAsia="en-US"/>
              </w:rPr>
              <w:t>15/60</w:t>
            </w:r>
          </w:p>
        </w:tc>
        <w:tc>
          <w:tcPr>
            <w:tcW w:w="997" w:type="pct"/>
            <w:shd w:val="clear" w:color="auto" w:fill="auto"/>
            <w:vAlign w:val="bottom"/>
          </w:tcPr>
          <w:p w:rsidR="005812FB" w:rsidRPr="00DD1C87" w:rsidRDefault="004A3374" w:rsidP="004A3374">
            <w:pPr>
              <w:jc w:val="right"/>
              <w:rPr>
                <w:rFonts w:eastAsia="Times New Roman"/>
                <w:lang w:eastAsia="en-US"/>
              </w:rPr>
            </w:pPr>
            <w:r>
              <w:rPr>
                <w:rFonts w:eastAsia="Times New Roman"/>
                <w:lang w:eastAsia="en-US"/>
              </w:rPr>
              <w:t>19</w:t>
            </w:r>
          </w:p>
        </w:tc>
      </w:tr>
      <w:tr w:rsidR="00EB0E6D" w:rsidRPr="00095E27" w:rsidTr="00337327">
        <w:trPr>
          <w:cantSplit/>
          <w:trHeight w:val="260"/>
        </w:trPr>
        <w:tc>
          <w:tcPr>
            <w:tcW w:w="960" w:type="pct"/>
            <w:shd w:val="clear" w:color="auto" w:fill="auto"/>
            <w:noWrap/>
            <w:vAlign w:val="bottom"/>
          </w:tcPr>
          <w:p w:rsidR="005812FB" w:rsidRPr="00DD1C87" w:rsidRDefault="001343A5" w:rsidP="00EB0E6D">
            <w:pPr>
              <w:rPr>
                <w:rFonts w:eastAsia="Times New Roman"/>
                <w:lang w:eastAsia="en-US"/>
              </w:rPr>
            </w:pPr>
            <w:r w:rsidRPr="00DD1C87">
              <w:rPr>
                <w:rFonts w:eastAsia="Times New Roman"/>
                <w:lang w:eastAsia="en-US"/>
              </w:rPr>
              <w:t>Research staff</w:t>
            </w:r>
          </w:p>
        </w:tc>
        <w:tc>
          <w:tcPr>
            <w:tcW w:w="908" w:type="pct"/>
            <w:shd w:val="clear" w:color="auto" w:fill="auto"/>
            <w:noWrap/>
            <w:vAlign w:val="bottom"/>
          </w:tcPr>
          <w:p w:rsidR="005812FB" w:rsidRPr="00DD1C87" w:rsidRDefault="00B80B59" w:rsidP="005812FB">
            <w:pPr>
              <w:jc w:val="right"/>
              <w:rPr>
                <w:rFonts w:eastAsia="Times New Roman"/>
                <w:lang w:eastAsia="en-US"/>
              </w:rPr>
            </w:pPr>
            <w:r w:rsidRPr="00DD1C87">
              <w:rPr>
                <w:rFonts w:eastAsia="Times New Roman"/>
                <w:lang w:eastAsia="en-US"/>
              </w:rPr>
              <w:t>175</w:t>
            </w:r>
          </w:p>
        </w:tc>
        <w:tc>
          <w:tcPr>
            <w:tcW w:w="1090" w:type="pct"/>
            <w:shd w:val="clear" w:color="auto" w:fill="auto"/>
            <w:noWrap/>
            <w:vAlign w:val="bottom"/>
          </w:tcPr>
          <w:p w:rsidR="005812FB" w:rsidRPr="00DD1C87" w:rsidRDefault="004A3374" w:rsidP="005812FB">
            <w:pPr>
              <w:jc w:val="right"/>
              <w:rPr>
                <w:rFonts w:eastAsia="Times New Roman"/>
                <w:lang w:eastAsia="en-US"/>
              </w:rPr>
            </w:pPr>
            <w:r>
              <w:rPr>
                <w:rFonts w:eastAsia="Times New Roman"/>
                <w:lang w:eastAsia="en-US"/>
              </w:rPr>
              <w:t>1</w:t>
            </w:r>
          </w:p>
        </w:tc>
        <w:tc>
          <w:tcPr>
            <w:tcW w:w="1046" w:type="pct"/>
            <w:shd w:val="clear" w:color="auto" w:fill="auto"/>
            <w:vAlign w:val="bottom"/>
          </w:tcPr>
          <w:p w:rsidR="005812FB" w:rsidRPr="00DD1C87" w:rsidRDefault="00B80B59" w:rsidP="005812FB">
            <w:pPr>
              <w:jc w:val="right"/>
              <w:rPr>
                <w:rFonts w:eastAsia="Times New Roman"/>
                <w:lang w:eastAsia="en-US"/>
              </w:rPr>
            </w:pPr>
            <w:r w:rsidRPr="00DD1C87">
              <w:rPr>
                <w:rFonts w:eastAsia="Times New Roman"/>
                <w:lang w:eastAsia="en-US"/>
              </w:rPr>
              <w:t>15/60</w:t>
            </w:r>
          </w:p>
        </w:tc>
        <w:tc>
          <w:tcPr>
            <w:tcW w:w="997" w:type="pct"/>
            <w:shd w:val="clear" w:color="auto" w:fill="auto"/>
            <w:vAlign w:val="bottom"/>
          </w:tcPr>
          <w:p w:rsidR="005812FB" w:rsidRPr="00DD1C87" w:rsidRDefault="004A3374" w:rsidP="004A3374">
            <w:pPr>
              <w:jc w:val="right"/>
              <w:rPr>
                <w:rFonts w:eastAsia="Times New Roman"/>
                <w:lang w:eastAsia="en-US"/>
              </w:rPr>
            </w:pPr>
            <w:r>
              <w:rPr>
                <w:rFonts w:eastAsia="Times New Roman"/>
                <w:lang w:eastAsia="en-US"/>
              </w:rPr>
              <w:t>44</w:t>
            </w:r>
          </w:p>
        </w:tc>
      </w:tr>
      <w:tr w:rsidR="00EB0E6D" w:rsidRPr="00095E27" w:rsidTr="00337327">
        <w:trPr>
          <w:cantSplit/>
          <w:trHeight w:val="260"/>
        </w:trPr>
        <w:tc>
          <w:tcPr>
            <w:tcW w:w="960" w:type="pct"/>
            <w:shd w:val="clear" w:color="auto" w:fill="auto"/>
            <w:noWrap/>
            <w:vAlign w:val="bottom"/>
            <w:hideMark/>
          </w:tcPr>
          <w:p w:rsidR="005812FB" w:rsidRPr="00DD1C87" w:rsidRDefault="005812FB" w:rsidP="005812FB">
            <w:pPr>
              <w:rPr>
                <w:rFonts w:eastAsia="Times New Roman"/>
                <w:bCs/>
                <w:lang w:eastAsia="en-US"/>
              </w:rPr>
            </w:pPr>
            <w:r w:rsidRPr="00DD1C87">
              <w:rPr>
                <w:rFonts w:eastAsia="Times New Roman"/>
                <w:bCs/>
                <w:lang w:eastAsia="en-US"/>
              </w:rPr>
              <w:t>Totals</w:t>
            </w:r>
          </w:p>
        </w:tc>
        <w:tc>
          <w:tcPr>
            <w:tcW w:w="908" w:type="pct"/>
            <w:shd w:val="clear" w:color="auto" w:fill="auto"/>
            <w:noWrap/>
            <w:vAlign w:val="bottom"/>
          </w:tcPr>
          <w:p w:rsidR="005812FB" w:rsidRPr="00DD1C87" w:rsidRDefault="00B80B59" w:rsidP="005812FB">
            <w:pPr>
              <w:jc w:val="right"/>
              <w:rPr>
                <w:rFonts w:eastAsia="Times New Roman"/>
                <w:bCs/>
                <w:lang w:eastAsia="en-US"/>
              </w:rPr>
            </w:pPr>
            <w:r w:rsidRPr="00DD1C87">
              <w:rPr>
                <w:rFonts w:eastAsia="Times New Roman"/>
                <w:bCs/>
                <w:lang w:eastAsia="en-US"/>
              </w:rPr>
              <w:t>250</w:t>
            </w:r>
          </w:p>
        </w:tc>
        <w:tc>
          <w:tcPr>
            <w:tcW w:w="1090" w:type="pct"/>
            <w:tcBorders>
              <w:tl2br w:val="nil"/>
              <w:tr2bl w:val="nil"/>
            </w:tcBorders>
            <w:shd w:val="clear" w:color="auto" w:fill="auto"/>
            <w:noWrap/>
            <w:vAlign w:val="bottom"/>
          </w:tcPr>
          <w:p w:rsidR="005812FB" w:rsidRPr="00DD1C87" w:rsidRDefault="004A3374" w:rsidP="005812FB">
            <w:pPr>
              <w:jc w:val="right"/>
              <w:rPr>
                <w:rFonts w:eastAsia="Times New Roman"/>
                <w:bCs/>
                <w:lang w:eastAsia="en-US"/>
              </w:rPr>
            </w:pPr>
            <w:r>
              <w:rPr>
                <w:rFonts w:eastAsia="Times New Roman"/>
                <w:bCs/>
                <w:lang w:eastAsia="en-US"/>
              </w:rPr>
              <w:t>1</w:t>
            </w:r>
          </w:p>
        </w:tc>
        <w:tc>
          <w:tcPr>
            <w:tcW w:w="1046" w:type="pct"/>
            <w:tcBorders>
              <w:tl2br w:val="nil"/>
              <w:tr2bl w:val="nil"/>
            </w:tcBorders>
            <w:shd w:val="clear" w:color="auto" w:fill="auto"/>
            <w:noWrap/>
            <w:vAlign w:val="bottom"/>
          </w:tcPr>
          <w:p w:rsidR="005812FB" w:rsidRPr="00DD1C87" w:rsidRDefault="00B80B59" w:rsidP="005812FB">
            <w:pPr>
              <w:jc w:val="right"/>
              <w:rPr>
                <w:rFonts w:eastAsia="Times New Roman"/>
                <w:bCs/>
                <w:lang w:eastAsia="en-US"/>
              </w:rPr>
            </w:pPr>
            <w:r w:rsidRPr="00DD1C87">
              <w:rPr>
                <w:rFonts w:eastAsia="Times New Roman"/>
                <w:bCs/>
                <w:lang w:eastAsia="en-US"/>
              </w:rPr>
              <w:t>15/60</w:t>
            </w:r>
          </w:p>
        </w:tc>
        <w:tc>
          <w:tcPr>
            <w:tcW w:w="997" w:type="pct"/>
            <w:shd w:val="clear" w:color="auto" w:fill="auto"/>
            <w:noWrap/>
            <w:vAlign w:val="bottom"/>
          </w:tcPr>
          <w:p w:rsidR="005812FB" w:rsidRPr="00DD1C87" w:rsidRDefault="004A3374" w:rsidP="005812FB">
            <w:pPr>
              <w:jc w:val="right"/>
              <w:rPr>
                <w:rFonts w:eastAsia="Times New Roman"/>
                <w:bCs/>
                <w:lang w:eastAsia="en-US"/>
              </w:rPr>
            </w:pPr>
            <w:r>
              <w:rPr>
                <w:rFonts w:eastAsia="Times New Roman"/>
                <w:bCs/>
                <w:lang w:eastAsia="en-US"/>
              </w:rPr>
              <w:t>63</w:t>
            </w:r>
          </w:p>
        </w:tc>
      </w:tr>
    </w:tbl>
    <w:p w:rsidR="00AA3ABA" w:rsidRPr="00DD1C87" w:rsidRDefault="00AA3ABA" w:rsidP="0008711B"/>
    <w:p w:rsidR="0080188C" w:rsidRDefault="003C1448" w:rsidP="0080188C">
      <w:pPr>
        <w:autoSpaceDE w:val="0"/>
        <w:autoSpaceDN w:val="0"/>
        <w:adjustRightInd w:val="0"/>
        <w:outlineLvl w:val="0"/>
      </w:pPr>
      <w:r w:rsidRPr="00DD1C87">
        <w:t xml:space="preserve">The </w:t>
      </w:r>
      <w:r w:rsidR="0080188C">
        <w:t xml:space="preserve">mean </w:t>
      </w:r>
      <w:r w:rsidRPr="00DD1C87">
        <w:t xml:space="preserve">hourly wage rate </w:t>
      </w:r>
      <w:r w:rsidR="0080188C">
        <w:t>for Principal Investigators was based on occupation code #29-1060</w:t>
      </w:r>
      <w:r w:rsidR="00C61618">
        <w:t xml:space="preserve"> (Physicians and Surgeons</w:t>
      </w:r>
      <w:r w:rsidR="00BE50B3">
        <w:t xml:space="preserve">; </w:t>
      </w:r>
      <w:hyperlink r:id="rId9" w:history="1">
        <w:r w:rsidR="00BE50B3" w:rsidRPr="00DD1C87">
          <w:rPr>
            <w:rStyle w:val="Hyperlink"/>
            <w:color w:val="auto"/>
          </w:rPr>
          <w:t>http://www.bls.gov/oes/current/oes_nat.htm</w:t>
        </w:r>
      </w:hyperlink>
      <w:r w:rsidR="00C61618">
        <w:t>)</w:t>
      </w:r>
      <w:r w:rsidR="0080188C">
        <w:t xml:space="preserve"> at $92.</w:t>
      </w:r>
      <w:r w:rsidR="004A3374">
        <w:t>2</w:t>
      </w:r>
      <w:r w:rsidR="0080188C">
        <w:t>5/hour and for Research Staff was based on occupation code #29-1141</w:t>
      </w:r>
      <w:r w:rsidR="00C61618">
        <w:t xml:space="preserve"> (Registered Nurses</w:t>
      </w:r>
      <w:r w:rsidR="00BE50B3">
        <w:t xml:space="preserve">; </w:t>
      </w:r>
      <w:r w:rsidR="00BE50B3" w:rsidRPr="00BE50B3">
        <w:t>http://www.bls.gov/oes/current/oes291141.htm</w:t>
      </w:r>
      <w:r w:rsidR="00C61618">
        <w:t>)</w:t>
      </w:r>
      <w:r w:rsidR="0080188C">
        <w:t xml:space="preserve"> at $33.13/hour (based on the May 2013 National Occupational Employment and Wage Estimates in the United States</w:t>
      </w:r>
      <w:r w:rsidR="0080188C">
        <w:rPr>
          <w:rStyle w:val="Hyperlink"/>
          <w:color w:val="auto"/>
        </w:rPr>
        <w:t>)</w:t>
      </w:r>
      <w:r w:rsidRPr="00DD1C87">
        <w:t>.</w:t>
      </w:r>
      <w:r w:rsidR="0080188C">
        <w:t xml:space="preserve">  </w:t>
      </w:r>
      <w:r w:rsidR="001E5CD8">
        <w:t>The annual respondent cost is estimated to be $</w:t>
      </w:r>
      <w:proofErr w:type="gramStart"/>
      <w:r w:rsidR="001E5CD8">
        <w:t>3,210.47,</w:t>
      </w:r>
      <w:proofErr w:type="gramEnd"/>
      <w:r w:rsidR="001E5CD8">
        <w:t xml:space="preserve"> and $6,420.94 over the course of two years</w:t>
      </w:r>
      <w:r w:rsidR="007011C8">
        <w:t xml:space="preserve"> (Table A.12-2)</w:t>
      </w:r>
      <w:r w:rsidR="001E5CD8">
        <w:t>.</w:t>
      </w:r>
    </w:p>
    <w:p w:rsidR="0080188C" w:rsidRDefault="0080188C" w:rsidP="0080188C">
      <w:pPr>
        <w:autoSpaceDE w:val="0"/>
        <w:autoSpaceDN w:val="0"/>
        <w:adjustRightInd w:val="0"/>
        <w:outlineLvl w:val="0"/>
      </w:pPr>
    </w:p>
    <w:p w:rsidR="003C1448" w:rsidRPr="00DD1C87" w:rsidRDefault="003C1448" w:rsidP="003C1448">
      <w:proofErr w:type="gramStart"/>
      <w:r w:rsidRPr="00DD1C87">
        <w:t>Table A12-2.</w:t>
      </w:r>
      <w:proofErr w:type="gramEnd"/>
      <w:r w:rsidRPr="00DD1C87">
        <w:t xml:space="preserve">  Cost to Respondents</w:t>
      </w:r>
    </w:p>
    <w:p w:rsidR="00CF3447" w:rsidRPr="00DD1C87" w:rsidRDefault="00CF3447" w:rsidP="0008711B"/>
    <w:tbl>
      <w:tblPr>
        <w:tblW w:w="5349" w:type="pct"/>
        <w:tblInd w:w="-2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415"/>
        <w:gridCol w:w="1946"/>
        <w:gridCol w:w="2225"/>
        <w:gridCol w:w="1946"/>
        <w:gridCol w:w="2035"/>
      </w:tblGrid>
      <w:tr w:rsidR="00EB0E6D" w:rsidRPr="00095E27" w:rsidTr="00F028D0">
        <w:trPr>
          <w:cantSplit/>
          <w:trHeight w:val="880"/>
        </w:trPr>
        <w:tc>
          <w:tcPr>
            <w:tcW w:w="1142" w:type="pct"/>
            <w:shd w:val="clear" w:color="auto" w:fill="auto"/>
            <w:vAlign w:val="center"/>
            <w:hideMark/>
          </w:tcPr>
          <w:p w:rsidR="00EB0E6D" w:rsidRPr="00095E27" w:rsidRDefault="0055220B" w:rsidP="001B209D">
            <w:pPr>
              <w:tabs>
                <w:tab w:val="center" w:pos="4320"/>
                <w:tab w:val="right" w:pos="8640"/>
              </w:tabs>
              <w:jc w:val="center"/>
              <w:rPr>
                <w:rFonts w:eastAsia="Times New Roman"/>
                <w:bCs/>
                <w:lang w:eastAsia="en-US"/>
              </w:rPr>
            </w:pPr>
            <w:bookmarkStart w:id="13" w:name="_Toc230515990"/>
            <w:r w:rsidRPr="0055220B">
              <w:rPr>
                <w:rFonts w:eastAsia="Times New Roman"/>
                <w:bCs/>
                <w:lang w:eastAsia="en-US"/>
              </w:rPr>
              <w:t>Type of Respondent</w:t>
            </w:r>
          </w:p>
        </w:tc>
        <w:tc>
          <w:tcPr>
            <w:tcW w:w="921" w:type="pct"/>
            <w:shd w:val="clear" w:color="auto" w:fill="auto"/>
            <w:vAlign w:val="center"/>
            <w:hideMark/>
          </w:tcPr>
          <w:p w:rsidR="00EB0E6D" w:rsidRPr="00095E27" w:rsidRDefault="0055220B" w:rsidP="001B209D">
            <w:pPr>
              <w:tabs>
                <w:tab w:val="center" w:pos="4320"/>
                <w:tab w:val="right" w:pos="8640"/>
              </w:tabs>
              <w:jc w:val="center"/>
              <w:rPr>
                <w:rFonts w:eastAsia="Times New Roman"/>
                <w:bCs/>
                <w:lang w:eastAsia="en-US"/>
              </w:rPr>
            </w:pPr>
            <w:r w:rsidRPr="0055220B">
              <w:rPr>
                <w:rFonts w:eastAsia="Times New Roman"/>
                <w:bCs/>
                <w:lang w:eastAsia="en-US"/>
              </w:rPr>
              <w:t>Number of Respondents</w:t>
            </w:r>
          </w:p>
        </w:tc>
        <w:tc>
          <w:tcPr>
            <w:tcW w:w="1053" w:type="pct"/>
            <w:shd w:val="clear" w:color="auto" w:fill="auto"/>
            <w:vAlign w:val="center"/>
            <w:hideMark/>
          </w:tcPr>
          <w:p w:rsidR="00EB0E6D" w:rsidRPr="004A3374" w:rsidRDefault="00CD33AF" w:rsidP="003C72B0">
            <w:pPr>
              <w:jc w:val="center"/>
              <w:rPr>
                <w:rFonts w:eastAsia="Times New Roman"/>
                <w:bCs/>
                <w:lang w:eastAsia="en-US"/>
              </w:rPr>
            </w:pPr>
            <w:r>
              <w:rPr>
                <w:rFonts w:eastAsia="Times New Roman"/>
                <w:bCs/>
                <w:lang w:eastAsia="en-US"/>
              </w:rPr>
              <w:t>Annual</w:t>
            </w:r>
            <w:r w:rsidRPr="004A3374">
              <w:rPr>
                <w:rFonts w:eastAsia="Times New Roman"/>
                <w:bCs/>
                <w:lang w:eastAsia="en-US"/>
              </w:rPr>
              <w:t xml:space="preserve"> </w:t>
            </w:r>
            <w:r w:rsidR="00EB0E6D" w:rsidRPr="004A3374">
              <w:rPr>
                <w:rFonts w:eastAsia="Times New Roman"/>
                <w:bCs/>
                <w:lang w:eastAsia="en-US"/>
              </w:rPr>
              <w:t>Burden Hours</w:t>
            </w:r>
          </w:p>
        </w:tc>
        <w:tc>
          <w:tcPr>
            <w:tcW w:w="921" w:type="pct"/>
            <w:shd w:val="clear" w:color="auto" w:fill="auto"/>
            <w:vAlign w:val="center"/>
            <w:hideMark/>
          </w:tcPr>
          <w:p w:rsidR="00EB0E6D" w:rsidRPr="004A3374" w:rsidRDefault="00EB0E6D" w:rsidP="001B209D">
            <w:pPr>
              <w:jc w:val="center"/>
              <w:rPr>
                <w:rFonts w:eastAsia="Times New Roman"/>
                <w:bCs/>
                <w:lang w:eastAsia="en-US"/>
              </w:rPr>
            </w:pPr>
            <w:r w:rsidRPr="004A3374">
              <w:rPr>
                <w:rFonts w:eastAsia="Times New Roman"/>
                <w:bCs/>
                <w:lang w:eastAsia="en-US"/>
              </w:rPr>
              <w:t>Wage Rate</w:t>
            </w:r>
          </w:p>
        </w:tc>
        <w:tc>
          <w:tcPr>
            <w:tcW w:w="963" w:type="pct"/>
            <w:shd w:val="clear" w:color="auto" w:fill="auto"/>
            <w:vAlign w:val="center"/>
            <w:hideMark/>
          </w:tcPr>
          <w:p w:rsidR="00EB0E6D" w:rsidRPr="004A3374" w:rsidRDefault="00EB0E6D" w:rsidP="001B209D">
            <w:pPr>
              <w:jc w:val="center"/>
              <w:rPr>
                <w:rFonts w:eastAsia="Times New Roman"/>
                <w:bCs/>
                <w:lang w:eastAsia="en-US"/>
              </w:rPr>
            </w:pPr>
            <w:r w:rsidRPr="004A3374">
              <w:rPr>
                <w:rFonts w:eastAsia="Times New Roman"/>
                <w:bCs/>
                <w:lang w:eastAsia="en-US"/>
              </w:rPr>
              <w:t>Respondent Cost</w:t>
            </w:r>
          </w:p>
        </w:tc>
      </w:tr>
      <w:tr w:rsidR="00EB0E6D" w:rsidRPr="00095E27" w:rsidTr="00F028D0">
        <w:trPr>
          <w:cantSplit/>
          <w:trHeight w:val="260"/>
        </w:trPr>
        <w:tc>
          <w:tcPr>
            <w:tcW w:w="1142" w:type="pct"/>
            <w:shd w:val="clear" w:color="auto" w:fill="auto"/>
            <w:noWrap/>
            <w:vAlign w:val="bottom"/>
          </w:tcPr>
          <w:p w:rsidR="00EB0E6D" w:rsidRPr="00DD1C87" w:rsidRDefault="00B80B59" w:rsidP="001B209D">
            <w:pPr>
              <w:rPr>
                <w:rFonts w:eastAsia="Times New Roman"/>
                <w:lang w:eastAsia="en-US"/>
              </w:rPr>
            </w:pPr>
            <w:r w:rsidRPr="00DD1C87">
              <w:rPr>
                <w:rFonts w:eastAsia="Times New Roman"/>
                <w:lang w:eastAsia="en-US"/>
              </w:rPr>
              <w:t>Principal Investigator</w:t>
            </w:r>
          </w:p>
        </w:tc>
        <w:tc>
          <w:tcPr>
            <w:tcW w:w="921" w:type="pct"/>
            <w:shd w:val="clear" w:color="auto" w:fill="auto"/>
            <w:noWrap/>
            <w:vAlign w:val="bottom"/>
            <w:hideMark/>
          </w:tcPr>
          <w:p w:rsidR="00EB0E6D" w:rsidRPr="00DD1C87" w:rsidRDefault="00B80B59" w:rsidP="001B209D">
            <w:pPr>
              <w:jc w:val="right"/>
              <w:rPr>
                <w:rFonts w:eastAsia="Times New Roman"/>
                <w:lang w:eastAsia="en-US"/>
              </w:rPr>
            </w:pPr>
            <w:r w:rsidRPr="00DD1C87">
              <w:rPr>
                <w:rFonts w:eastAsia="Times New Roman"/>
                <w:lang w:eastAsia="en-US"/>
              </w:rPr>
              <w:t>75</w:t>
            </w:r>
          </w:p>
        </w:tc>
        <w:tc>
          <w:tcPr>
            <w:tcW w:w="1053" w:type="pct"/>
            <w:shd w:val="clear" w:color="auto" w:fill="auto"/>
            <w:noWrap/>
            <w:vAlign w:val="bottom"/>
          </w:tcPr>
          <w:p w:rsidR="00EB0E6D" w:rsidRPr="00DD1C87" w:rsidRDefault="001E5CD8" w:rsidP="001E5CD8">
            <w:pPr>
              <w:jc w:val="right"/>
              <w:rPr>
                <w:rFonts w:eastAsia="Times New Roman"/>
                <w:lang w:eastAsia="en-US"/>
              </w:rPr>
            </w:pPr>
            <w:r>
              <w:rPr>
                <w:rFonts w:eastAsia="Times New Roman"/>
                <w:lang w:eastAsia="en-US"/>
              </w:rPr>
              <w:t>19</w:t>
            </w:r>
          </w:p>
        </w:tc>
        <w:tc>
          <w:tcPr>
            <w:tcW w:w="921" w:type="pct"/>
            <w:shd w:val="clear" w:color="auto" w:fill="auto"/>
            <w:vAlign w:val="bottom"/>
          </w:tcPr>
          <w:p w:rsidR="00EB0E6D" w:rsidRPr="00DD1C87" w:rsidRDefault="00CD33AF" w:rsidP="001B209D">
            <w:pPr>
              <w:jc w:val="right"/>
              <w:rPr>
                <w:rFonts w:eastAsia="Times New Roman"/>
                <w:lang w:eastAsia="en-US"/>
              </w:rPr>
            </w:pPr>
            <w:r>
              <w:rPr>
                <w:rFonts w:eastAsia="Times New Roman"/>
                <w:lang w:eastAsia="en-US"/>
              </w:rPr>
              <w:t>$</w:t>
            </w:r>
            <w:r w:rsidR="00B80B59" w:rsidRPr="00DD1C87">
              <w:rPr>
                <w:rFonts w:eastAsia="Times New Roman"/>
                <w:lang w:eastAsia="en-US"/>
              </w:rPr>
              <w:t>92.25</w:t>
            </w:r>
          </w:p>
        </w:tc>
        <w:tc>
          <w:tcPr>
            <w:tcW w:w="963" w:type="pct"/>
            <w:shd w:val="clear" w:color="auto" w:fill="auto"/>
            <w:vAlign w:val="bottom"/>
          </w:tcPr>
          <w:p w:rsidR="00EB0E6D" w:rsidRPr="00DD1C87" w:rsidRDefault="001E5CD8" w:rsidP="001E5CD8">
            <w:pPr>
              <w:jc w:val="right"/>
              <w:rPr>
                <w:rFonts w:eastAsia="Times New Roman"/>
                <w:lang w:eastAsia="en-US"/>
              </w:rPr>
            </w:pPr>
            <w:r>
              <w:rPr>
                <w:rFonts w:eastAsia="Times New Roman"/>
                <w:lang w:eastAsia="en-US"/>
              </w:rPr>
              <w:t>1,752.75</w:t>
            </w:r>
          </w:p>
        </w:tc>
      </w:tr>
      <w:tr w:rsidR="00EB0E6D" w:rsidRPr="00095E27" w:rsidTr="00F028D0">
        <w:trPr>
          <w:cantSplit/>
          <w:trHeight w:val="260"/>
        </w:trPr>
        <w:tc>
          <w:tcPr>
            <w:tcW w:w="1142" w:type="pct"/>
            <w:shd w:val="clear" w:color="auto" w:fill="auto"/>
            <w:noWrap/>
            <w:vAlign w:val="bottom"/>
          </w:tcPr>
          <w:p w:rsidR="00EB0E6D" w:rsidRPr="00DD1C87" w:rsidRDefault="00B80B59" w:rsidP="001B209D">
            <w:pPr>
              <w:rPr>
                <w:rFonts w:eastAsia="Times New Roman"/>
                <w:lang w:eastAsia="en-US"/>
              </w:rPr>
            </w:pPr>
            <w:r w:rsidRPr="00DD1C87">
              <w:rPr>
                <w:rFonts w:eastAsia="Times New Roman"/>
                <w:lang w:eastAsia="en-US"/>
              </w:rPr>
              <w:t>Research staff</w:t>
            </w:r>
          </w:p>
        </w:tc>
        <w:tc>
          <w:tcPr>
            <w:tcW w:w="921" w:type="pct"/>
            <w:shd w:val="clear" w:color="auto" w:fill="auto"/>
            <w:noWrap/>
            <w:vAlign w:val="bottom"/>
          </w:tcPr>
          <w:p w:rsidR="00EB0E6D" w:rsidRPr="00DD1C87" w:rsidRDefault="00B80B59" w:rsidP="001B209D">
            <w:pPr>
              <w:jc w:val="right"/>
              <w:rPr>
                <w:rFonts w:eastAsia="Times New Roman"/>
                <w:lang w:eastAsia="en-US"/>
              </w:rPr>
            </w:pPr>
            <w:r w:rsidRPr="00DD1C87">
              <w:rPr>
                <w:rFonts w:eastAsia="Times New Roman"/>
                <w:lang w:eastAsia="en-US"/>
              </w:rPr>
              <w:t>175</w:t>
            </w:r>
          </w:p>
        </w:tc>
        <w:tc>
          <w:tcPr>
            <w:tcW w:w="1053" w:type="pct"/>
            <w:shd w:val="clear" w:color="auto" w:fill="auto"/>
            <w:noWrap/>
            <w:vAlign w:val="bottom"/>
          </w:tcPr>
          <w:p w:rsidR="00EB0E6D" w:rsidRPr="00DD1C87" w:rsidRDefault="001E5CD8" w:rsidP="001E5CD8">
            <w:pPr>
              <w:jc w:val="right"/>
              <w:rPr>
                <w:rFonts w:eastAsia="Times New Roman"/>
                <w:lang w:eastAsia="en-US"/>
              </w:rPr>
            </w:pPr>
            <w:r>
              <w:rPr>
                <w:rFonts w:eastAsia="Times New Roman"/>
                <w:lang w:eastAsia="en-US"/>
              </w:rPr>
              <w:t>44</w:t>
            </w:r>
          </w:p>
        </w:tc>
        <w:tc>
          <w:tcPr>
            <w:tcW w:w="921" w:type="pct"/>
            <w:shd w:val="clear" w:color="auto" w:fill="auto"/>
            <w:vAlign w:val="bottom"/>
          </w:tcPr>
          <w:p w:rsidR="00EB0E6D" w:rsidRPr="00DD1C87" w:rsidRDefault="00CD33AF" w:rsidP="001B209D">
            <w:pPr>
              <w:jc w:val="right"/>
              <w:rPr>
                <w:rFonts w:eastAsia="Times New Roman"/>
                <w:lang w:eastAsia="en-US"/>
              </w:rPr>
            </w:pPr>
            <w:r>
              <w:rPr>
                <w:rFonts w:eastAsia="Times New Roman"/>
                <w:lang w:eastAsia="en-US"/>
              </w:rPr>
              <w:t>$</w:t>
            </w:r>
            <w:r w:rsidR="007377BA" w:rsidRPr="00DD1C87">
              <w:rPr>
                <w:rFonts w:eastAsia="Times New Roman"/>
                <w:lang w:eastAsia="en-US"/>
              </w:rPr>
              <w:t>33.13</w:t>
            </w:r>
          </w:p>
        </w:tc>
        <w:tc>
          <w:tcPr>
            <w:tcW w:w="963" w:type="pct"/>
            <w:shd w:val="clear" w:color="auto" w:fill="auto"/>
            <w:vAlign w:val="bottom"/>
          </w:tcPr>
          <w:p w:rsidR="00EB0E6D" w:rsidRPr="00DD1C87" w:rsidRDefault="001E5CD8" w:rsidP="001E5CD8">
            <w:pPr>
              <w:jc w:val="right"/>
              <w:rPr>
                <w:rFonts w:eastAsia="Times New Roman"/>
                <w:lang w:eastAsia="en-US"/>
              </w:rPr>
            </w:pPr>
            <w:r>
              <w:rPr>
                <w:rFonts w:eastAsia="Times New Roman"/>
                <w:lang w:eastAsia="en-US"/>
              </w:rPr>
              <w:t>1,457.72</w:t>
            </w:r>
          </w:p>
        </w:tc>
      </w:tr>
      <w:tr w:rsidR="00EB0E6D" w:rsidRPr="00095E27" w:rsidTr="00F028D0">
        <w:trPr>
          <w:cantSplit/>
          <w:trHeight w:val="260"/>
        </w:trPr>
        <w:tc>
          <w:tcPr>
            <w:tcW w:w="1142" w:type="pct"/>
            <w:shd w:val="clear" w:color="auto" w:fill="auto"/>
            <w:noWrap/>
            <w:vAlign w:val="bottom"/>
            <w:hideMark/>
          </w:tcPr>
          <w:p w:rsidR="00EB0E6D" w:rsidRPr="00DD1C87" w:rsidRDefault="00EB0E6D" w:rsidP="001B209D">
            <w:pPr>
              <w:rPr>
                <w:rFonts w:eastAsia="Times New Roman"/>
                <w:bCs/>
                <w:lang w:eastAsia="en-US"/>
              </w:rPr>
            </w:pPr>
            <w:r w:rsidRPr="00DD1C87">
              <w:rPr>
                <w:rFonts w:eastAsia="Times New Roman"/>
                <w:bCs/>
                <w:lang w:eastAsia="en-US"/>
              </w:rPr>
              <w:t>Totals</w:t>
            </w:r>
          </w:p>
        </w:tc>
        <w:tc>
          <w:tcPr>
            <w:tcW w:w="921" w:type="pct"/>
            <w:shd w:val="clear" w:color="auto" w:fill="auto"/>
            <w:noWrap/>
            <w:vAlign w:val="bottom"/>
          </w:tcPr>
          <w:p w:rsidR="00EB0E6D" w:rsidRPr="00DD1C87" w:rsidRDefault="00B80B59" w:rsidP="001B209D">
            <w:pPr>
              <w:jc w:val="right"/>
              <w:rPr>
                <w:rFonts w:eastAsia="Times New Roman"/>
                <w:bCs/>
                <w:lang w:eastAsia="en-US"/>
              </w:rPr>
            </w:pPr>
            <w:r w:rsidRPr="00DD1C87">
              <w:rPr>
                <w:rFonts w:eastAsia="Times New Roman"/>
                <w:bCs/>
                <w:lang w:eastAsia="en-US"/>
              </w:rPr>
              <w:t>250</w:t>
            </w:r>
          </w:p>
        </w:tc>
        <w:tc>
          <w:tcPr>
            <w:tcW w:w="1053" w:type="pct"/>
            <w:tcBorders>
              <w:tl2br w:val="nil"/>
              <w:tr2bl w:val="nil"/>
            </w:tcBorders>
            <w:shd w:val="clear" w:color="auto" w:fill="auto"/>
            <w:noWrap/>
            <w:vAlign w:val="bottom"/>
          </w:tcPr>
          <w:p w:rsidR="00EB0E6D" w:rsidRPr="00DD1C87" w:rsidRDefault="0071721D" w:rsidP="001B209D">
            <w:pPr>
              <w:jc w:val="right"/>
              <w:rPr>
                <w:rFonts w:eastAsia="Times New Roman"/>
                <w:bCs/>
                <w:lang w:eastAsia="en-US"/>
              </w:rPr>
            </w:pPr>
            <w:r>
              <w:rPr>
                <w:rFonts w:eastAsia="Times New Roman"/>
                <w:bCs/>
                <w:lang w:eastAsia="en-US"/>
              </w:rPr>
              <w:t>63</w:t>
            </w:r>
          </w:p>
        </w:tc>
        <w:tc>
          <w:tcPr>
            <w:tcW w:w="921" w:type="pct"/>
            <w:tcBorders>
              <w:tl2br w:val="nil"/>
              <w:tr2bl w:val="nil"/>
            </w:tcBorders>
            <w:shd w:val="clear" w:color="auto" w:fill="auto"/>
            <w:noWrap/>
            <w:vAlign w:val="bottom"/>
          </w:tcPr>
          <w:p w:rsidR="00EB0E6D" w:rsidRPr="00DD1C87" w:rsidRDefault="00EB0E6D" w:rsidP="001B209D">
            <w:pPr>
              <w:jc w:val="right"/>
              <w:rPr>
                <w:rFonts w:eastAsia="Times New Roman"/>
                <w:bCs/>
                <w:lang w:eastAsia="en-US"/>
              </w:rPr>
            </w:pPr>
          </w:p>
        </w:tc>
        <w:tc>
          <w:tcPr>
            <w:tcW w:w="963" w:type="pct"/>
            <w:shd w:val="clear" w:color="auto" w:fill="auto"/>
            <w:noWrap/>
            <w:vAlign w:val="bottom"/>
          </w:tcPr>
          <w:p w:rsidR="00EB0E6D" w:rsidRPr="00DD1C87" w:rsidRDefault="001E5CD8" w:rsidP="001E5CD8">
            <w:pPr>
              <w:jc w:val="right"/>
              <w:rPr>
                <w:rFonts w:eastAsia="Times New Roman"/>
                <w:bCs/>
                <w:lang w:eastAsia="en-US"/>
              </w:rPr>
            </w:pPr>
            <w:r>
              <w:rPr>
                <w:rFonts w:eastAsia="Times New Roman"/>
                <w:bCs/>
                <w:lang w:eastAsia="en-US"/>
              </w:rPr>
              <w:t>3,210.47</w:t>
            </w:r>
          </w:p>
        </w:tc>
      </w:tr>
    </w:tbl>
    <w:p w:rsidR="00E97385" w:rsidRPr="00DD1C87" w:rsidRDefault="00E97385" w:rsidP="0008711B">
      <w:pPr>
        <w:autoSpaceDE w:val="0"/>
        <w:autoSpaceDN w:val="0"/>
        <w:adjustRightInd w:val="0"/>
        <w:outlineLvl w:val="0"/>
        <w:rPr>
          <w:b/>
        </w:rPr>
      </w:pPr>
    </w:p>
    <w:p w:rsidR="0008711B" w:rsidRPr="001A2CD9" w:rsidRDefault="0008711B" w:rsidP="0008711B">
      <w:pPr>
        <w:autoSpaceDE w:val="0"/>
        <w:autoSpaceDN w:val="0"/>
        <w:adjustRightInd w:val="0"/>
        <w:outlineLvl w:val="0"/>
        <w:rPr>
          <w:rFonts w:ascii="Arial" w:hAnsi="Arial" w:cs="Arial"/>
          <w:b/>
        </w:rPr>
      </w:pPr>
      <w:r w:rsidRPr="001A2CD9">
        <w:rPr>
          <w:rFonts w:ascii="Arial" w:hAnsi="Arial" w:cs="Arial"/>
          <w:b/>
        </w:rPr>
        <w:t>A13. Estimate of Other Total Annual Cost Burden to Respondents or Record Keepers</w:t>
      </w:r>
      <w:bookmarkEnd w:id="13"/>
    </w:p>
    <w:p w:rsidR="0008711B" w:rsidRPr="00472C1A" w:rsidRDefault="0008711B" w:rsidP="0008711B">
      <w:pPr>
        <w:autoSpaceDE w:val="0"/>
        <w:autoSpaceDN w:val="0"/>
        <w:adjustRightInd w:val="0"/>
      </w:pPr>
      <w:r w:rsidRPr="00472C1A">
        <w:t>There are no capital costs, operating costs, or maintenance costs to report.</w:t>
      </w:r>
    </w:p>
    <w:p w:rsidR="00F266C2" w:rsidRDefault="00F266C2" w:rsidP="000E0C83">
      <w:pPr>
        <w:autoSpaceDE w:val="0"/>
        <w:autoSpaceDN w:val="0"/>
        <w:adjustRightInd w:val="0"/>
        <w:outlineLvl w:val="0"/>
        <w:rPr>
          <w:rFonts w:ascii="Arial" w:hAnsi="Arial" w:cs="Arial"/>
          <w:b/>
        </w:rPr>
      </w:pPr>
      <w:bookmarkStart w:id="14" w:name="_Toc230515991"/>
    </w:p>
    <w:p w:rsidR="000E0C83" w:rsidRPr="001A2CD9" w:rsidRDefault="0008711B" w:rsidP="000E0C83">
      <w:pPr>
        <w:autoSpaceDE w:val="0"/>
        <w:autoSpaceDN w:val="0"/>
        <w:adjustRightInd w:val="0"/>
        <w:outlineLvl w:val="0"/>
        <w:rPr>
          <w:rFonts w:ascii="Arial" w:hAnsi="Arial" w:cs="Arial"/>
          <w:b/>
        </w:rPr>
      </w:pPr>
      <w:r w:rsidRPr="001A2CD9">
        <w:rPr>
          <w:rFonts w:ascii="Arial" w:hAnsi="Arial" w:cs="Arial"/>
          <w:b/>
        </w:rPr>
        <w:t>A14. Annualized Cost to the Federal Government</w:t>
      </w:r>
      <w:bookmarkEnd w:id="14"/>
    </w:p>
    <w:p w:rsidR="00552238" w:rsidRDefault="008A5C5E" w:rsidP="00552238">
      <w:pPr>
        <w:spacing w:after="20"/>
      </w:pPr>
      <w:bookmarkStart w:id="15" w:name="_Toc230515992"/>
      <w:r w:rsidRPr="008A5C5E">
        <w:lastRenderedPageBreak/>
        <w:t xml:space="preserve">The </w:t>
      </w:r>
      <w:r w:rsidR="007011C8">
        <w:t xml:space="preserve">annualized </w:t>
      </w:r>
      <w:r w:rsidRPr="008A5C5E">
        <w:t>cost to the Federal Government is estimated to be $</w:t>
      </w:r>
      <w:r w:rsidR="003F132A">
        <w:t>45,248</w:t>
      </w:r>
      <w:r w:rsidR="007011C8">
        <w:t xml:space="preserve"> (Table A14-1)</w:t>
      </w:r>
      <w:r w:rsidRPr="008A5C5E">
        <w:t>.</w:t>
      </w:r>
      <w:r w:rsidR="003F132A">
        <w:t xml:space="preserve">  The costs are primarily associated with the contractor ($29,832).  The cost of the Federal employee is estimated to be $15,416 annually</w:t>
      </w:r>
      <w:r w:rsidR="00DD3E46">
        <w:t xml:space="preserve"> as the Task Leader of the contractor carrying out the survey tasks and responsibilities</w:t>
      </w:r>
      <w:r w:rsidR="003F132A">
        <w:t xml:space="preserve">.  This project is anticipated to have two surveys, </w:t>
      </w:r>
      <w:r w:rsidR="00863CA2">
        <w:t xml:space="preserve">both will be conducted </w:t>
      </w:r>
      <w:r w:rsidR="003F132A">
        <w:t>one year apart, and thus over two years it is anticipated that the total cost will be $90,496.</w:t>
      </w:r>
      <w:r w:rsidR="009062E1" w:rsidRPr="008A5C5E">
        <w:t xml:space="preserve"> </w:t>
      </w:r>
      <w:r w:rsidR="00552238">
        <w:t xml:space="preserve"> </w:t>
      </w:r>
      <w:r w:rsidR="00552238" w:rsidRPr="0052347B">
        <w:t>Salaries are based on the January 2014 General Schedule for the Washington, DC Metropolitan area</w:t>
      </w:r>
      <w:r w:rsidR="00973FC2">
        <w:t xml:space="preserve"> </w:t>
      </w:r>
      <w:r w:rsidR="00552238" w:rsidRPr="0052347B">
        <w:t>(</w:t>
      </w:r>
      <w:hyperlink r:id="rId10" w:history="1">
        <w:r w:rsidR="00552238" w:rsidRPr="0052347B">
          <w:rPr>
            <w:rStyle w:val="Hyperlink"/>
          </w:rPr>
          <w:t>http://www.opm.gov/policy-data-oversight/pay-leave/salaries-wages/salary-tables/pdf/2014/DCB.pdf</w:t>
        </w:r>
      </w:hyperlink>
      <w:r w:rsidR="00552238" w:rsidRPr="0052347B">
        <w:t>).</w:t>
      </w:r>
    </w:p>
    <w:p w:rsidR="008A5C5E" w:rsidRPr="008A5C5E" w:rsidRDefault="008A5C5E" w:rsidP="0008711B">
      <w:pPr>
        <w:autoSpaceDE w:val="0"/>
        <w:autoSpaceDN w:val="0"/>
        <w:adjustRightInd w:val="0"/>
      </w:pPr>
    </w:p>
    <w:p w:rsidR="00AE6148" w:rsidRPr="00DD1C87" w:rsidRDefault="00A252AF" w:rsidP="0008711B">
      <w:pPr>
        <w:autoSpaceDE w:val="0"/>
        <w:autoSpaceDN w:val="0"/>
        <w:adjustRightInd w:val="0"/>
      </w:pPr>
      <w:proofErr w:type="gramStart"/>
      <w:r w:rsidRPr="00DD1C87">
        <w:t xml:space="preserve">Table </w:t>
      </w:r>
      <w:r w:rsidR="00AE6148" w:rsidRPr="00DD1C87">
        <w:t>A14-1.</w:t>
      </w:r>
      <w:proofErr w:type="gramEnd"/>
      <w:r w:rsidR="00AE6148" w:rsidRPr="00DD1C87">
        <w:t xml:space="preserve"> Cost to the Federal Government</w:t>
      </w:r>
    </w:p>
    <w:p w:rsidR="000E5159" w:rsidRPr="00DD1C87" w:rsidRDefault="000E5159" w:rsidP="000E5159">
      <w:pPr>
        <w:autoSpaceDE w:val="0"/>
        <w:autoSpaceDN w:val="0"/>
        <w:adjustRightInd w:val="0"/>
      </w:pPr>
    </w:p>
    <w:tbl>
      <w:tblPr>
        <w:tblW w:w="9762" w:type="dxa"/>
        <w:tblInd w:w="-212" w:type="dxa"/>
        <w:tblCellMar>
          <w:left w:w="0" w:type="dxa"/>
          <w:right w:w="0" w:type="dxa"/>
        </w:tblCellMar>
        <w:tblLook w:val="04A0" w:firstRow="1" w:lastRow="0" w:firstColumn="1" w:lastColumn="0" w:noHBand="0" w:noVBand="1"/>
      </w:tblPr>
      <w:tblGrid>
        <w:gridCol w:w="1212"/>
        <w:gridCol w:w="6480"/>
        <w:gridCol w:w="2070"/>
      </w:tblGrid>
      <w:tr w:rsidR="000E5159" w:rsidRPr="00095E27" w:rsidTr="00B80B59">
        <w:tc>
          <w:tcPr>
            <w:tcW w:w="1212" w:type="dxa"/>
            <w:tcBorders>
              <w:top w:val="single" w:sz="8" w:space="0" w:color="auto"/>
              <w:left w:val="single" w:sz="8" w:space="0" w:color="auto"/>
              <w:bottom w:val="single" w:sz="8" w:space="0" w:color="auto"/>
              <w:right w:val="single" w:sz="8" w:space="0" w:color="auto"/>
            </w:tcBorders>
          </w:tcPr>
          <w:p w:rsidR="000E5159" w:rsidRPr="00DD1C87" w:rsidRDefault="000E5159" w:rsidP="00B80B59">
            <w:pPr>
              <w:jc w:val="center"/>
              <w:rPr>
                <w:b/>
                <w:bCs/>
              </w:rPr>
            </w:pPr>
            <w:r w:rsidRPr="00DD1C87">
              <w:rPr>
                <w:b/>
                <w:bCs/>
              </w:rPr>
              <w:t>Staffing</w:t>
            </w:r>
          </w:p>
        </w:tc>
        <w:tc>
          <w:tcPr>
            <w:tcW w:w="6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E5159" w:rsidRPr="00DD1C87" w:rsidRDefault="000E5159" w:rsidP="00B80B59">
            <w:pPr>
              <w:jc w:val="center"/>
              <w:rPr>
                <w:rFonts w:eastAsia="Calibri"/>
                <w:b/>
                <w:bCs/>
              </w:rPr>
            </w:pPr>
            <w:r w:rsidRPr="00DD1C87">
              <w:rPr>
                <w:b/>
                <w:bCs/>
              </w:rPr>
              <w:t>Task</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5159" w:rsidRPr="00DD1C87" w:rsidRDefault="000E5159" w:rsidP="00B80B59">
            <w:pPr>
              <w:jc w:val="center"/>
              <w:rPr>
                <w:rFonts w:eastAsia="Calibri"/>
                <w:b/>
                <w:bCs/>
              </w:rPr>
            </w:pPr>
            <w:r w:rsidRPr="00DD1C87">
              <w:rPr>
                <w:b/>
                <w:bCs/>
              </w:rPr>
              <w:t>Annualized Cost</w:t>
            </w:r>
          </w:p>
        </w:tc>
      </w:tr>
      <w:tr w:rsidR="000E5159" w:rsidRPr="00095E27" w:rsidTr="00B80B59">
        <w:tc>
          <w:tcPr>
            <w:tcW w:w="1212" w:type="dxa"/>
            <w:tcBorders>
              <w:top w:val="nil"/>
              <w:left w:val="single" w:sz="8" w:space="0" w:color="auto"/>
              <w:bottom w:val="single" w:sz="8" w:space="0" w:color="auto"/>
              <w:right w:val="single" w:sz="8" w:space="0" w:color="auto"/>
            </w:tcBorders>
            <w:vAlign w:val="center"/>
          </w:tcPr>
          <w:p w:rsidR="000E5159" w:rsidRPr="006031E7" w:rsidRDefault="000E5159" w:rsidP="00B80B59">
            <w:r w:rsidRPr="006031E7">
              <w:t>NCI</w:t>
            </w:r>
          </w:p>
        </w:tc>
        <w:tc>
          <w:tcPr>
            <w:tcW w:w="6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5159" w:rsidRPr="006031E7" w:rsidRDefault="0075656B" w:rsidP="005F4765">
            <w:pPr>
              <w:rPr>
                <w:rFonts w:eastAsia="Calibri"/>
              </w:rPr>
            </w:pPr>
            <w:r w:rsidRPr="006031E7">
              <w:t>S</w:t>
            </w:r>
            <w:r w:rsidR="008A5C5E">
              <w:t>enior</w:t>
            </w:r>
            <w:r w:rsidRPr="006031E7">
              <w:t xml:space="preserve"> Behav</w:t>
            </w:r>
            <w:r w:rsidR="008A5C5E">
              <w:t xml:space="preserve">ioral </w:t>
            </w:r>
            <w:r w:rsidRPr="006031E7">
              <w:t>Res</w:t>
            </w:r>
            <w:r w:rsidR="008A5C5E">
              <w:t>earch</w:t>
            </w:r>
            <w:r w:rsidRPr="006031E7">
              <w:t xml:space="preserve"> Scientist (</w:t>
            </w:r>
            <w:r w:rsidR="008A5C5E">
              <w:t>GS 15/8</w:t>
            </w:r>
            <w:r w:rsidR="005F4765">
              <w:t xml:space="preserve">; $154,160/annually at </w:t>
            </w:r>
            <w:r w:rsidRPr="006031E7">
              <w:t>10% time for 12</w:t>
            </w:r>
            <w:r w:rsidR="000E5159" w:rsidRPr="006031E7">
              <w:t xml:space="preserve"> months)</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159" w:rsidRPr="006031E7" w:rsidRDefault="0075656B" w:rsidP="00B80B59">
            <w:pPr>
              <w:jc w:val="center"/>
              <w:rPr>
                <w:rFonts w:eastAsia="Calibri"/>
              </w:rPr>
            </w:pPr>
            <w:r w:rsidRPr="00DD1C87">
              <w:t>$15</w:t>
            </w:r>
            <w:r w:rsidR="000E5159" w:rsidRPr="00DD1C87">
              <w:t>,</w:t>
            </w:r>
            <w:r w:rsidRPr="006031E7">
              <w:t>416</w:t>
            </w:r>
          </w:p>
        </w:tc>
      </w:tr>
      <w:tr w:rsidR="0075656B" w:rsidRPr="00095E27" w:rsidTr="00B80B59">
        <w:tc>
          <w:tcPr>
            <w:tcW w:w="1212" w:type="dxa"/>
            <w:tcBorders>
              <w:top w:val="nil"/>
              <w:left w:val="single" w:sz="8" w:space="0" w:color="auto"/>
              <w:bottom w:val="single" w:sz="8" w:space="0" w:color="auto"/>
              <w:right w:val="single" w:sz="8" w:space="0" w:color="auto"/>
            </w:tcBorders>
            <w:vAlign w:val="center"/>
          </w:tcPr>
          <w:p w:rsidR="0075656B" w:rsidRPr="00095E27" w:rsidRDefault="0055220B" w:rsidP="00B80B59">
            <w:r>
              <w:t>Contractor</w:t>
            </w:r>
          </w:p>
        </w:tc>
        <w:tc>
          <w:tcPr>
            <w:tcW w:w="6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656B" w:rsidRPr="00095E27" w:rsidRDefault="0055220B" w:rsidP="00B80B59">
            <w:r>
              <w:t>Development of Database, Collecting Data, Cleaning Data, Sending Email, Running Reports, and Managing Data Tables</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656B" w:rsidRPr="00673DF7" w:rsidRDefault="0055220B" w:rsidP="00673DF7">
            <w:pPr>
              <w:jc w:val="center"/>
            </w:pPr>
            <w:r>
              <w:t>$</w:t>
            </w:r>
            <w:r w:rsidR="00673DF7">
              <w:t>29,832</w:t>
            </w:r>
          </w:p>
        </w:tc>
      </w:tr>
      <w:tr w:rsidR="0075656B" w:rsidRPr="00095E27" w:rsidTr="00B870E6">
        <w:trPr>
          <w:trHeight w:val="313"/>
        </w:trPr>
        <w:tc>
          <w:tcPr>
            <w:tcW w:w="1212" w:type="dxa"/>
            <w:vMerge w:val="restart"/>
            <w:tcBorders>
              <w:left w:val="single" w:sz="8" w:space="0" w:color="auto"/>
              <w:right w:val="single" w:sz="8" w:space="0" w:color="auto"/>
            </w:tcBorders>
            <w:vAlign w:val="center"/>
          </w:tcPr>
          <w:p w:rsidR="0075656B" w:rsidRPr="00095E27" w:rsidRDefault="0075656B" w:rsidP="00B80B59"/>
        </w:tc>
        <w:tc>
          <w:tcPr>
            <w:tcW w:w="6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5656B" w:rsidRPr="00095E27" w:rsidRDefault="0075656B" w:rsidP="00B80B59"/>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5656B" w:rsidRPr="00673DF7" w:rsidRDefault="0055220B" w:rsidP="00673DF7">
            <w:pPr>
              <w:jc w:val="center"/>
            </w:pPr>
            <w:r>
              <w:t>$</w:t>
            </w:r>
            <w:r w:rsidR="00673DF7">
              <w:t>45,248</w:t>
            </w:r>
          </w:p>
        </w:tc>
      </w:tr>
      <w:tr w:rsidR="0075656B" w:rsidRPr="00095E27" w:rsidTr="00B80B59">
        <w:tc>
          <w:tcPr>
            <w:tcW w:w="1212" w:type="dxa"/>
            <w:vMerge/>
            <w:tcBorders>
              <w:left w:val="single" w:sz="8" w:space="0" w:color="auto"/>
              <w:bottom w:val="single" w:sz="4" w:space="0" w:color="auto"/>
              <w:right w:val="single" w:sz="8" w:space="0" w:color="auto"/>
            </w:tcBorders>
            <w:vAlign w:val="center"/>
          </w:tcPr>
          <w:p w:rsidR="0075656B" w:rsidRPr="006031E7" w:rsidRDefault="0075656B" w:rsidP="00B80B59"/>
        </w:tc>
        <w:tc>
          <w:tcPr>
            <w:tcW w:w="64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5656B" w:rsidRPr="006031E7" w:rsidRDefault="0075656B" w:rsidP="00B80B59">
            <w:pPr>
              <w:rPr>
                <w:rFonts w:eastAsia="Calibri"/>
              </w:rPr>
            </w:pPr>
          </w:p>
        </w:tc>
        <w:tc>
          <w:tcPr>
            <w:tcW w:w="207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75656B" w:rsidRPr="006031E7" w:rsidRDefault="0075656B" w:rsidP="00B80B59">
            <w:pPr>
              <w:jc w:val="center"/>
              <w:rPr>
                <w:rFonts w:eastAsia="Calibri"/>
              </w:rPr>
            </w:pPr>
          </w:p>
        </w:tc>
      </w:tr>
    </w:tbl>
    <w:p w:rsidR="000E5159" w:rsidRPr="006031E7" w:rsidRDefault="000E5159" w:rsidP="000E5159">
      <w:pPr>
        <w:autoSpaceDE w:val="0"/>
        <w:autoSpaceDN w:val="0"/>
        <w:adjustRightInd w:val="0"/>
      </w:pPr>
    </w:p>
    <w:p w:rsidR="0008711B" w:rsidRPr="001A2CD9" w:rsidRDefault="0008711B" w:rsidP="0008711B">
      <w:pPr>
        <w:autoSpaceDE w:val="0"/>
        <w:autoSpaceDN w:val="0"/>
        <w:adjustRightInd w:val="0"/>
        <w:outlineLvl w:val="0"/>
        <w:rPr>
          <w:rFonts w:ascii="Arial" w:hAnsi="Arial" w:cs="Arial"/>
          <w:b/>
        </w:rPr>
      </w:pPr>
      <w:r w:rsidRPr="001A2CD9">
        <w:rPr>
          <w:rFonts w:ascii="Arial" w:hAnsi="Arial" w:cs="Arial"/>
          <w:b/>
        </w:rPr>
        <w:t>A15. Explanation for Program Changes or Adjustments</w:t>
      </w:r>
      <w:bookmarkEnd w:id="15"/>
    </w:p>
    <w:p w:rsidR="0008711B" w:rsidRPr="00821EA6" w:rsidRDefault="00F132D3" w:rsidP="0008711B">
      <w:pPr>
        <w:rPr>
          <w:b/>
        </w:rPr>
      </w:pPr>
      <w:bookmarkStart w:id="16" w:name="_Toc230515993"/>
      <w:r w:rsidRPr="00821EA6">
        <w:t xml:space="preserve">This is a </w:t>
      </w:r>
      <w:r w:rsidR="003F132A">
        <w:t>generic sub-study</w:t>
      </w:r>
      <w:r w:rsidR="00552238">
        <w:t xml:space="preserve"> under OMB No. 0925-0046</w:t>
      </w:r>
      <w:r w:rsidRPr="00821EA6">
        <w:t>.</w:t>
      </w:r>
    </w:p>
    <w:p w:rsidR="0008711B" w:rsidRPr="001A2CD9" w:rsidRDefault="0008711B" w:rsidP="0008711B">
      <w:pPr>
        <w:rPr>
          <w:rFonts w:ascii="Arial" w:hAnsi="Arial" w:cs="Arial"/>
          <w:b/>
        </w:rPr>
      </w:pPr>
    </w:p>
    <w:p w:rsidR="006D2BF2" w:rsidRPr="00D55D84" w:rsidRDefault="0008711B" w:rsidP="0008711B">
      <w:pPr>
        <w:autoSpaceDE w:val="0"/>
        <w:autoSpaceDN w:val="0"/>
        <w:adjustRightInd w:val="0"/>
        <w:outlineLvl w:val="0"/>
        <w:rPr>
          <w:rFonts w:ascii="Arial" w:hAnsi="Arial" w:cs="Arial"/>
          <w:b/>
        </w:rPr>
      </w:pPr>
      <w:r w:rsidRPr="001A2CD9">
        <w:rPr>
          <w:rFonts w:ascii="Arial" w:hAnsi="Arial" w:cs="Arial"/>
          <w:b/>
        </w:rPr>
        <w:t>A16. Plans for Tabulation and Publication and Project Time Schedule</w:t>
      </w:r>
      <w:bookmarkEnd w:id="16"/>
    </w:p>
    <w:p w:rsidR="00D720B9" w:rsidRPr="00D55D84" w:rsidRDefault="00D720B9" w:rsidP="0008711B">
      <w:pPr>
        <w:autoSpaceDE w:val="0"/>
        <w:autoSpaceDN w:val="0"/>
        <w:adjustRightInd w:val="0"/>
        <w:outlineLvl w:val="0"/>
      </w:pPr>
      <w:r w:rsidRPr="00D55D84">
        <w:t>Plans for</w:t>
      </w:r>
      <w:r w:rsidR="00D55D84" w:rsidRPr="00D55D84">
        <w:t xml:space="preserve"> statistical analysis include</w:t>
      </w:r>
      <w:r w:rsidR="00BA4731">
        <w:t xml:space="preserve"> summary, descriptive and comparison analyses.  </w:t>
      </w:r>
      <w:r w:rsidR="00D55D84">
        <w:t>Summary scores will be calculated from the item-responses</w:t>
      </w:r>
      <w:r w:rsidR="00D55D84" w:rsidRPr="00993E18">
        <w:t xml:space="preserve"> </w:t>
      </w:r>
      <w:r w:rsidR="00D55D84">
        <w:t>measuring the key survey concepts</w:t>
      </w:r>
      <w:r w:rsidR="00D55D84" w:rsidRPr="00743654">
        <w:t>.</w:t>
      </w:r>
      <w:r w:rsidR="00D55D84">
        <w:t xml:space="preserve"> Descriptive statistics (mean, median, standard deviation) will be calculated for each survey item. Comparisons (t-tests, ANOVA) will be made within groups for each year to examine potential differences and across the two years to examine changes in perceptions and/or satisfaction.</w:t>
      </w:r>
    </w:p>
    <w:p w:rsidR="00EA275F" w:rsidRPr="00821EA6" w:rsidRDefault="00EA275F" w:rsidP="0008711B">
      <w:pPr>
        <w:autoSpaceDE w:val="0"/>
        <w:autoSpaceDN w:val="0"/>
        <w:adjustRightInd w:val="0"/>
        <w:outlineLvl w:val="0"/>
      </w:pPr>
      <w:bookmarkStart w:id="17" w:name="_Toc230515994"/>
    </w:p>
    <w:p w:rsidR="00BD36F7" w:rsidRPr="00821EA6" w:rsidRDefault="00BD36F7" w:rsidP="0008711B">
      <w:pPr>
        <w:autoSpaceDE w:val="0"/>
        <w:autoSpaceDN w:val="0"/>
        <w:adjustRightInd w:val="0"/>
        <w:outlineLvl w:val="0"/>
      </w:pPr>
      <w:r w:rsidRPr="00821EA6">
        <w:t>The project time schedule is outlined in Table A16-1.</w:t>
      </w:r>
    </w:p>
    <w:p w:rsidR="00FC3485" w:rsidRPr="006031E7" w:rsidRDefault="00FC3485" w:rsidP="0008711B">
      <w:pPr>
        <w:autoSpaceDE w:val="0"/>
        <w:autoSpaceDN w:val="0"/>
        <w:adjustRightInd w:val="0"/>
        <w:outlineLvl w:val="0"/>
      </w:pPr>
    </w:p>
    <w:p w:rsidR="00A53F86" w:rsidRPr="006031E7" w:rsidRDefault="00B3645D" w:rsidP="0008711B">
      <w:pPr>
        <w:autoSpaceDE w:val="0"/>
        <w:autoSpaceDN w:val="0"/>
        <w:adjustRightInd w:val="0"/>
        <w:outlineLvl w:val="0"/>
      </w:pPr>
      <w:proofErr w:type="gramStart"/>
      <w:r w:rsidRPr="006031E7">
        <w:t xml:space="preserve">Table </w:t>
      </w:r>
      <w:r w:rsidR="00CD598D" w:rsidRPr="006031E7">
        <w:t>A</w:t>
      </w:r>
      <w:r w:rsidR="00E50BA8" w:rsidRPr="006031E7">
        <w:t>16</w:t>
      </w:r>
      <w:r w:rsidR="00CD598D" w:rsidRPr="006031E7">
        <w:t>-1.</w:t>
      </w:r>
      <w:proofErr w:type="gramEnd"/>
      <w:r w:rsidR="00A83FAA" w:rsidRPr="006031E7">
        <w:t xml:space="preserve"> Project Time Schedule</w:t>
      </w:r>
    </w:p>
    <w:p w:rsidR="00D24D97" w:rsidRPr="006031E7" w:rsidRDefault="00D24D97" w:rsidP="00D24D97">
      <w:pPr>
        <w:autoSpaceDE w:val="0"/>
        <w:autoSpaceDN w:val="0"/>
        <w:adjustRightInd w:val="0"/>
        <w:outlineLv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972"/>
        <w:gridCol w:w="3906"/>
      </w:tblGrid>
      <w:tr w:rsidR="00D24D97" w:rsidRPr="00095E27" w:rsidTr="00B80B59">
        <w:trPr>
          <w:cantSplit/>
          <w:trHeight w:val="300"/>
        </w:trPr>
        <w:tc>
          <w:tcPr>
            <w:tcW w:w="3023" w:type="pct"/>
            <w:shd w:val="clear" w:color="auto" w:fill="auto"/>
            <w:vAlign w:val="bottom"/>
          </w:tcPr>
          <w:p w:rsidR="00D24D97" w:rsidRPr="00BA4731" w:rsidRDefault="00D24D97" w:rsidP="00BA4731">
            <w:pPr>
              <w:autoSpaceDE w:val="0"/>
              <w:autoSpaceDN w:val="0"/>
              <w:adjustRightInd w:val="0"/>
              <w:jc w:val="center"/>
              <w:outlineLvl w:val="0"/>
            </w:pPr>
            <w:r w:rsidRPr="00BA4731">
              <w:t>Activity</w:t>
            </w:r>
          </w:p>
        </w:tc>
        <w:tc>
          <w:tcPr>
            <w:tcW w:w="1977" w:type="pct"/>
            <w:vAlign w:val="center"/>
          </w:tcPr>
          <w:p w:rsidR="00D24D97" w:rsidRPr="00BA4731" w:rsidRDefault="00D24D97" w:rsidP="00BA4731">
            <w:pPr>
              <w:autoSpaceDE w:val="0"/>
              <w:autoSpaceDN w:val="0"/>
              <w:adjustRightInd w:val="0"/>
              <w:jc w:val="center"/>
              <w:outlineLvl w:val="0"/>
            </w:pPr>
            <w:r w:rsidRPr="00BA4731">
              <w:t>Months after OMB Approval</w:t>
            </w:r>
          </w:p>
        </w:tc>
      </w:tr>
      <w:tr w:rsidR="00D24D97" w:rsidRPr="00095E27" w:rsidTr="00B80B59">
        <w:trPr>
          <w:cantSplit/>
          <w:trHeight w:val="300"/>
        </w:trPr>
        <w:tc>
          <w:tcPr>
            <w:tcW w:w="3023" w:type="pct"/>
            <w:shd w:val="clear" w:color="auto" w:fill="auto"/>
            <w:vAlign w:val="bottom"/>
          </w:tcPr>
          <w:p w:rsidR="00D24D97" w:rsidRPr="006031E7" w:rsidRDefault="00D24D97" w:rsidP="00D24D97">
            <w:pPr>
              <w:autoSpaceDE w:val="0"/>
              <w:autoSpaceDN w:val="0"/>
              <w:adjustRightInd w:val="0"/>
              <w:outlineLvl w:val="0"/>
            </w:pPr>
            <w:r w:rsidRPr="006031E7">
              <w:t>Field survey</w:t>
            </w:r>
            <w:r w:rsidR="005D2067" w:rsidRPr="006031E7">
              <w:t xml:space="preserve"> for Year 1</w:t>
            </w:r>
          </w:p>
        </w:tc>
        <w:tc>
          <w:tcPr>
            <w:tcW w:w="1977" w:type="pct"/>
            <w:vAlign w:val="center"/>
          </w:tcPr>
          <w:p w:rsidR="00D24D97" w:rsidRPr="006031E7" w:rsidRDefault="005D2067" w:rsidP="00D24D97">
            <w:pPr>
              <w:autoSpaceDE w:val="0"/>
              <w:autoSpaceDN w:val="0"/>
              <w:adjustRightInd w:val="0"/>
              <w:outlineLvl w:val="0"/>
            </w:pPr>
            <w:r w:rsidRPr="006031E7">
              <w:t>1</w:t>
            </w:r>
            <w:r w:rsidR="00D24D97" w:rsidRPr="006031E7">
              <w:t xml:space="preserve"> </w:t>
            </w:r>
          </w:p>
        </w:tc>
      </w:tr>
      <w:tr w:rsidR="005D2067" w:rsidRPr="00095E27" w:rsidTr="00B80B59">
        <w:trPr>
          <w:cantSplit/>
          <w:trHeight w:val="300"/>
        </w:trPr>
        <w:tc>
          <w:tcPr>
            <w:tcW w:w="3023" w:type="pct"/>
            <w:shd w:val="clear" w:color="auto" w:fill="auto"/>
            <w:vAlign w:val="bottom"/>
          </w:tcPr>
          <w:p w:rsidR="005D2067" w:rsidRPr="006031E7" w:rsidRDefault="005D2067" w:rsidP="00D24D97">
            <w:pPr>
              <w:autoSpaceDE w:val="0"/>
              <w:autoSpaceDN w:val="0"/>
              <w:adjustRightInd w:val="0"/>
              <w:outlineLvl w:val="0"/>
            </w:pPr>
            <w:r w:rsidRPr="006031E7">
              <w:t>Data collected</w:t>
            </w:r>
          </w:p>
        </w:tc>
        <w:tc>
          <w:tcPr>
            <w:tcW w:w="1977" w:type="pct"/>
            <w:vAlign w:val="center"/>
          </w:tcPr>
          <w:p w:rsidR="005D2067" w:rsidRPr="006031E7" w:rsidRDefault="005D2067" w:rsidP="00D24D97">
            <w:pPr>
              <w:autoSpaceDE w:val="0"/>
              <w:autoSpaceDN w:val="0"/>
              <w:adjustRightInd w:val="0"/>
              <w:outlineLvl w:val="0"/>
            </w:pPr>
            <w:r w:rsidRPr="006031E7">
              <w:t>2</w:t>
            </w:r>
          </w:p>
        </w:tc>
      </w:tr>
      <w:tr w:rsidR="005D2067" w:rsidRPr="00095E27" w:rsidTr="00B80B59">
        <w:trPr>
          <w:cantSplit/>
          <w:trHeight w:val="300"/>
        </w:trPr>
        <w:tc>
          <w:tcPr>
            <w:tcW w:w="3023" w:type="pct"/>
            <w:shd w:val="clear" w:color="auto" w:fill="auto"/>
            <w:vAlign w:val="bottom"/>
          </w:tcPr>
          <w:p w:rsidR="005D2067" w:rsidRPr="006031E7" w:rsidRDefault="005D2067" w:rsidP="00D24D97">
            <w:pPr>
              <w:autoSpaceDE w:val="0"/>
              <w:autoSpaceDN w:val="0"/>
              <w:adjustRightInd w:val="0"/>
              <w:outlineLvl w:val="0"/>
            </w:pPr>
            <w:r w:rsidRPr="006031E7">
              <w:t>Data analyzed and report generated</w:t>
            </w:r>
          </w:p>
        </w:tc>
        <w:tc>
          <w:tcPr>
            <w:tcW w:w="1977" w:type="pct"/>
            <w:vAlign w:val="center"/>
          </w:tcPr>
          <w:p w:rsidR="005D2067" w:rsidRPr="006031E7" w:rsidRDefault="005D2067" w:rsidP="00D24D97">
            <w:pPr>
              <w:autoSpaceDE w:val="0"/>
              <w:autoSpaceDN w:val="0"/>
              <w:adjustRightInd w:val="0"/>
              <w:outlineLvl w:val="0"/>
            </w:pPr>
            <w:r w:rsidRPr="006031E7">
              <w:t>3-4</w:t>
            </w:r>
          </w:p>
        </w:tc>
      </w:tr>
      <w:tr w:rsidR="005D2067" w:rsidRPr="00095E27" w:rsidTr="00B80B59">
        <w:trPr>
          <w:cantSplit/>
          <w:trHeight w:val="300"/>
        </w:trPr>
        <w:tc>
          <w:tcPr>
            <w:tcW w:w="3023" w:type="pct"/>
            <w:shd w:val="clear" w:color="auto" w:fill="auto"/>
            <w:vAlign w:val="bottom"/>
          </w:tcPr>
          <w:p w:rsidR="005D2067" w:rsidRPr="006031E7" w:rsidRDefault="005D2067" w:rsidP="00D24D97">
            <w:pPr>
              <w:autoSpaceDE w:val="0"/>
              <w:autoSpaceDN w:val="0"/>
              <w:adjustRightInd w:val="0"/>
              <w:outlineLvl w:val="0"/>
            </w:pPr>
            <w:r w:rsidRPr="006031E7">
              <w:t>Field survey for Year 2</w:t>
            </w:r>
          </w:p>
        </w:tc>
        <w:tc>
          <w:tcPr>
            <w:tcW w:w="1977" w:type="pct"/>
            <w:vAlign w:val="center"/>
          </w:tcPr>
          <w:p w:rsidR="005D2067" w:rsidRPr="006031E7" w:rsidRDefault="005D2067" w:rsidP="00D24D97">
            <w:pPr>
              <w:autoSpaceDE w:val="0"/>
              <w:autoSpaceDN w:val="0"/>
              <w:adjustRightInd w:val="0"/>
              <w:outlineLvl w:val="0"/>
            </w:pPr>
            <w:r w:rsidRPr="006031E7">
              <w:t>13</w:t>
            </w:r>
          </w:p>
        </w:tc>
      </w:tr>
      <w:tr w:rsidR="005D2067" w:rsidRPr="00095E27" w:rsidTr="00B80B59">
        <w:trPr>
          <w:cantSplit/>
          <w:trHeight w:val="300"/>
        </w:trPr>
        <w:tc>
          <w:tcPr>
            <w:tcW w:w="3023" w:type="pct"/>
            <w:shd w:val="clear" w:color="auto" w:fill="auto"/>
            <w:vAlign w:val="bottom"/>
          </w:tcPr>
          <w:p w:rsidR="005D2067" w:rsidRPr="006031E7" w:rsidRDefault="005D2067" w:rsidP="00D24D97">
            <w:pPr>
              <w:autoSpaceDE w:val="0"/>
              <w:autoSpaceDN w:val="0"/>
              <w:adjustRightInd w:val="0"/>
              <w:outlineLvl w:val="0"/>
            </w:pPr>
            <w:r w:rsidRPr="006031E7">
              <w:t>Data collected</w:t>
            </w:r>
          </w:p>
        </w:tc>
        <w:tc>
          <w:tcPr>
            <w:tcW w:w="1977" w:type="pct"/>
            <w:vAlign w:val="center"/>
          </w:tcPr>
          <w:p w:rsidR="005D2067" w:rsidRPr="006031E7" w:rsidRDefault="005D2067" w:rsidP="00D24D97">
            <w:pPr>
              <w:autoSpaceDE w:val="0"/>
              <w:autoSpaceDN w:val="0"/>
              <w:adjustRightInd w:val="0"/>
              <w:outlineLvl w:val="0"/>
            </w:pPr>
            <w:r w:rsidRPr="006031E7">
              <w:t>14</w:t>
            </w:r>
          </w:p>
        </w:tc>
      </w:tr>
      <w:tr w:rsidR="005D2067" w:rsidRPr="00095E27" w:rsidTr="00B80B59">
        <w:trPr>
          <w:cantSplit/>
          <w:trHeight w:val="300"/>
        </w:trPr>
        <w:tc>
          <w:tcPr>
            <w:tcW w:w="3023" w:type="pct"/>
            <w:shd w:val="clear" w:color="auto" w:fill="auto"/>
            <w:vAlign w:val="bottom"/>
          </w:tcPr>
          <w:p w:rsidR="005D2067" w:rsidRPr="006031E7" w:rsidRDefault="005D2067" w:rsidP="00D24D97">
            <w:pPr>
              <w:autoSpaceDE w:val="0"/>
              <w:autoSpaceDN w:val="0"/>
              <w:adjustRightInd w:val="0"/>
              <w:outlineLvl w:val="0"/>
            </w:pPr>
            <w:r w:rsidRPr="006031E7">
              <w:t>Data analyzed and report generated</w:t>
            </w:r>
          </w:p>
        </w:tc>
        <w:tc>
          <w:tcPr>
            <w:tcW w:w="1977" w:type="pct"/>
            <w:vAlign w:val="center"/>
          </w:tcPr>
          <w:p w:rsidR="005D2067" w:rsidRPr="006031E7" w:rsidRDefault="005D2067" w:rsidP="00D24D97">
            <w:pPr>
              <w:autoSpaceDE w:val="0"/>
              <w:autoSpaceDN w:val="0"/>
              <w:adjustRightInd w:val="0"/>
              <w:outlineLvl w:val="0"/>
            </w:pPr>
            <w:r w:rsidRPr="006031E7">
              <w:t>15-16</w:t>
            </w:r>
          </w:p>
        </w:tc>
      </w:tr>
    </w:tbl>
    <w:p w:rsidR="0037000D" w:rsidRPr="006031E7" w:rsidRDefault="0037000D" w:rsidP="0008711B">
      <w:pPr>
        <w:autoSpaceDE w:val="0"/>
        <w:autoSpaceDN w:val="0"/>
        <w:adjustRightInd w:val="0"/>
        <w:outlineLvl w:val="0"/>
        <w:rPr>
          <w:b/>
        </w:rPr>
      </w:pPr>
    </w:p>
    <w:p w:rsidR="0008711B" w:rsidRPr="001A2CD9" w:rsidRDefault="0008711B" w:rsidP="0008711B">
      <w:pPr>
        <w:autoSpaceDE w:val="0"/>
        <w:autoSpaceDN w:val="0"/>
        <w:adjustRightInd w:val="0"/>
        <w:outlineLvl w:val="0"/>
        <w:rPr>
          <w:rFonts w:ascii="Arial" w:hAnsi="Arial" w:cs="Arial"/>
          <w:b/>
        </w:rPr>
      </w:pPr>
      <w:r w:rsidRPr="001A2CD9">
        <w:rPr>
          <w:rFonts w:ascii="Arial" w:hAnsi="Arial" w:cs="Arial"/>
          <w:b/>
        </w:rPr>
        <w:t>A17. Reason(s) Display of OMB Expiration Date Is Inappropriate</w:t>
      </w:r>
      <w:bookmarkEnd w:id="17"/>
    </w:p>
    <w:p w:rsidR="000852A2" w:rsidRPr="00821EA6" w:rsidRDefault="00EA275F" w:rsidP="00EA275F">
      <w:pPr>
        <w:autoSpaceDE w:val="0"/>
        <w:autoSpaceDN w:val="0"/>
        <w:adjustRightInd w:val="0"/>
      </w:pPr>
      <w:r w:rsidRPr="00821EA6">
        <w:t>T</w:t>
      </w:r>
      <w:r w:rsidR="0008711B" w:rsidRPr="00821EA6">
        <w:t>he OMB Expiration Dat</w:t>
      </w:r>
      <w:r w:rsidRPr="00821EA6">
        <w:t>e</w:t>
      </w:r>
      <w:r w:rsidR="0008711B" w:rsidRPr="00821EA6">
        <w:t xml:space="preserve"> </w:t>
      </w:r>
      <w:r w:rsidRPr="00821EA6">
        <w:t xml:space="preserve">will be displayed on the </w:t>
      </w:r>
      <w:bookmarkStart w:id="18" w:name="_Toc230515995"/>
      <w:r w:rsidR="00F266C2">
        <w:t>survey</w:t>
      </w:r>
      <w:r w:rsidRPr="00821EA6">
        <w:t>.</w:t>
      </w:r>
    </w:p>
    <w:p w:rsidR="0008711B" w:rsidRPr="00B22465" w:rsidRDefault="0008711B" w:rsidP="0008711B">
      <w:pPr>
        <w:autoSpaceDE w:val="0"/>
        <w:autoSpaceDN w:val="0"/>
        <w:adjustRightInd w:val="0"/>
        <w:outlineLvl w:val="0"/>
        <w:rPr>
          <w:rFonts w:ascii="Arial" w:hAnsi="Arial" w:cs="Arial"/>
          <w:b/>
          <w:highlight w:val="lightGray"/>
        </w:rPr>
      </w:pPr>
    </w:p>
    <w:p w:rsidR="0008711B" w:rsidRPr="001A2CD9" w:rsidRDefault="0008711B" w:rsidP="0008711B">
      <w:pPr>
        <w:autoSpaceDE w:val="0"/>
        <w:autoSpaceDN w:val="0"/>
        <w:adjustRightInd w:val="0"/>
        <w:outlineLvl w:val="0"/>
        <w:rPr>
          <w:rFonts w:ascii="Arial" w:hAnsi="Arial" w:cs="Arial"/>
          <w:b/>
        </w:rPr>
      </w:pPr>
      <w:r w:rsidRPr="001A2CD9">
        <w:rPr>
          <w:rFonts w:ascii="Arial" w:hAnsi="Arial" w:cs="Arial"/>
          <w:b/>
        </w:rPr>
        <w:t>A18. Exceptions to Certification for Paperwork Reduction Act Submissions</w:t>
      </w:r>
      <w:bookmarkEnd w:id="18"/>
    </w:p>
    <w:p w:rsidR="0008711B" w:rsidRPr="00821EA6" w:rsidRDefault="0008711B" w:rsidP="0008711B">
      <w:pPr>
        <w:autoSpaceDE w:val="0"/>
        <w:autoSpaceDN w:val="0"/>
        <w:adjustRightInd w:val="0"/>
        <w:rPr>
          <w:sz w:val="22"/>
          <w:szCs w:val="22"/>
        </w:rPr>
      </w:pPr>
      <w:r w:rsidRPr="00821EA6">
        <w:t>There are no exceptions to the Certification for Paperwork Reduction Act Submis</w:t>
      </w:r>
      <w:r w:rsidRPr="00821EA6">
        <w:rPr>
          <w:sz w:val="22"/>
          <w:szCs w:val="22"/>
        </w:rPr>
        <w:t>sions.</w:t>
      </w:r>
    </w:p>
    <w:p w:rsidR="004C5DB5" w:rsidRDefault="004C5DB5" w:rsidP="0008711B">
      <w:pPr>
        <w:autoSpaceDE w:val="0"/>
        <w:autoSpaceDN w:val="0"/>
        <w:adjustRightInd w:val="0"/>
        <w:rPr>
          <w:rFonts w:ascii="Arial" w:hAnsi="Arial" w:cs="Arial"/>
          <w:sz w:val="22"/>
          <w:szCs w:val="22"/>
        </w:rPr>
      </w:pPr>
    </w:p>
    <w:sectPr w:rsidR="004C5DB5" w:rsidSect="000650C4">
      <w:footerReference w:type="even" r:id="rId11"/>
      <w:footerReference w:type="default" r:id="rId12"/>
      <w:footerReference w:type="first" r:id="rId13"/>
      <w:pgSz w:w="12240" w:h="15840" w:code="1"/>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DAC" w:rsidRDefault="00735DAC">
      <w:r>
        <w:separator/>
      </w:r>
    </w:p>
  </w:endnote>
  <w:endnote w:type="continuationSeparator" w:id="0">
    <w:p w:rsidR="00735DAC" w:rsidRDefault="0073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A44" w:rsidRDefault="00AA79F8" w:rsidP="0008711B">
    <w:pPr>
      <w:pStyle w:val="Footer"/>
      <w:framePr w:wrap="around" w:vAnchor="text" w:hAnchor="margin" w:xAlign="center" w:y="1"/>
      <w:rPr>
        <w:rStyle w:val="PageNumber"/>
      </w:rPr>
    </w:pPr>
    <w:r>
      <w:rPr>
        <w:rStyle w:val="PageNumber"/>
      </w:rPr>
      <w:fldChar w:fldCharType="begin"/>
    </w:r>
    <w:r w:rsidR="00C95A44">
      <w:rPr>
        <w:rStyle w:val="PageNumber"/>
      </w:rPr>
      <w:instrText xml:space="preserve">PAGE  </w:instrText>
    </w:r>
    <w:r>
      <w:rPr>
        <w:rStyle w:val="PageNumber"/>
      </w:rPr>
      <w:fldChar w:fldCharType="end"/>
    </w:r>
  </w:p>
  <w:p w:rsidR="00C95A44" w:rsidRDefault="00C95A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A44" w:rsidRDefault="00C95A44">
    <w:pPr>
      <w:pStyle w:val="Footer"/>
      <w:framePr w:w="9354" w:wrap="around" w:vAnchor="text" w:hAnchor="page" w:x="1657" w:y="-43"/>
      <w:tabs>
        <w:tab w:val="clear" w:pos="4320"/>
        <w:tab w:val="clear" w:pos="8640"/>
        <w:tab w:val="center" w:pos="4680"/>
        <w:tab w:val="right" w:pos="9360"/>
      </w:tabs>
    </w:pPr>
    <w:r>
      <w:rPr>
        <w:sz w:val="22"/>
        <w:szCs w:val="22"/>
      </w:rPr>
      <w:t>Short Title: ETCTN</w:t>
    </w:r>
    <w:r w:rsidRPr="00137D20">
      <w:rPr>
        <w:sz w:val="22"/>
        <w:szCs w:val="22"/>
      </w:rPr>
      <w:tab/>
    </w:r>
    <w:r w:rsidR="00AA79F8" w:rsidRPr="00137D20">
      <w:rPr>
        <w:sz w:val="22"/>
        <w:szCs w:val="22"/>
      </w:rPr>
      <w:fldChar w:fldCharType="begin"/>
    </w:r>
    <w:r w:rsidRPr="00137D20">
      <w:rPr>
        <w:sz w:val="22"/>
        <w:szCs w:val="22"/>
      </w:rPr>
      <w:instrText xml:space="preserve"> PAGE  \* Arabic  \* MERGEFORMAT </w:instrText>
    </w:r>
    <w:r w:rsidR="00AA79F8" w:rsidRPr="00137D20">
      <w:rPr>
        <w:sz w:val="22"/>
        <w:szCs w:val="22"/>
      </w:rPr>
      <w:fldChar w:fldCharType="separate"/>
    </w:r>
    <w:r w:rsidR="00A3293D">
      <w:rPr>
        <w:noProof/>
        <w:sz w:val="22"/>
        <w:szCs w:val="22"/>
      </w:rPr>
      <w:t>6</w:t>
    </w:r>
    <w:r w:rsidR="00AA79F8" w:rsidRPr="00137D20">
      <w:rPr>
        <w:sz w:val="22"/>
        <w:szCs w:val="22"/>
      </w:rPr>
      <w:fldChar w:fldCharType="end"/>
    </w:r>
    <w:r w:rsidRPr="00137D20">
      <w:rPr>
        <w:sz w:val="22"/>
        <w:szCs w:val="22"/>
      </w:rPr>
      <w:tab/>
    </w:r>
    <w:r>
      <w:rPr>
        <w:sz w:val="22"/>
        <w:szCs w:val="22"/>
      </w:rPr>
      <w:t>12/19/14</w:t>
    </w:r>
  </w:p>
  <w:p w:rsidR="00C95A44" w:rsidRDefault="00C95A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A44" w:rsidRDefault="00C95A44" w:rsidP="00537246">
    <w:pPr>
      <w:pStyle w:val="Footer"/>
      <w:tabs>
        <w:tab w:val="clear" w:pos="4320"/>
        <w:tab w:val="clear" w:pos="8640"/>
        <w:tab w:val="center" w:pos="4680"/>
        <w:tab w:val="right" w:pos="9360"/>
      </w:tabs>
    </w:pPr>
    <w:r>
      <w:rPr>
        <w:sz w:val="22"/>
        <w:szCs w:val="22"/>
      </w:rPr>
      <w:t>Short Title: ETCTN</w:t>
    </w:r>
    <w:r w:rsidRPr="00137D20">
      <w:rPr>
        <w:sz w:val="22"/>
        <w:szCs w:val="22"/>
      </w:rPr>
      <w:tab/>
    </w:r>
    <w:r w:rsidR="00AA79F8" w:rsidRPr="00137D20">
      <w:rPr>
        <w:sz w:val="22"/>
        <w:szCs w:val="22"/>
      </w:rPr>
      <w:fldChar w:fldCharType="begin"/>
    </w:r>
    <w:r w:rsidRPr="00137D20">
      <w:rPr>
        <w:sz w:val="22"/>
        <w:szCs w:val="22"/>
      </w:rPr>
      <w:instrText xml:space="preserve"> PAGE  \* Arabic  \* MERGEFORMAT </w:instrText>
    </w:r>
    <w:r w:rsidR="00AA79F8" w:rsidRPr="00137D20">
      <w:rPr>
        <w:sz w:val="22"/>
        <w:szCs w:val="22"/>
      </w:rPr>
      <w:fldChar w:fldCharType="separate"/>
    </w:r>
    <w:r w:rsidR="00A3293D">
      <w:rPr>
        <w:noProof/>
        <w:sz w:val="22"/>
        <w:szCs w:val="22"/>
      </w:rPr>
      <w:t>1</w:t>
    </w:r>
    <w:r w:rsidR="00AA79F8" w:rsidRPr="00137D20">
      <w:rPr>
        <w:sz w:val="22"/>
        <w:szCs w:val="22"/>
      </w:rPr>
      <w:fldChar w:fldCharType="end"/>
    </w:r>
    <w:r w:rsidRPr="00137D20">
      <w:rPr>
        <w:sz w:val="22"/>
        <w:szCs w:val="22"/>
      </w:rPr>
      <w:tab/>
    </w:r>
    <w:r>
      <w:rPr>
        <w:sz w:val="22"/>
        <w:szCs w:val="22"/>
      </w:rPr>
      <w:t>12/19/14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DAC" w:rsidRDefault="00735DAC">
      <w:r>
        <w:separator/>
      </w:r>
    </w:p>
  </w:footnote>
  <w:footnote w:type="continuationSeparator" w:id="0">
    <w:p w:rsidR="00735DAC" w:rsidRDefault="00735D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0901"/>
    <w:multiLevelType w:val="hybridMultilevel"/>
    <w:tmpl w:val="5E6261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41707F"/>
    <w:multiLevelType w:val="hybridMultilevel"/>
    <w:tmpl w:val="221628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01306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nsid w:val="1C884841"/>
    <w:multiLevelType w:val="hybridMultilevel"/>
    <w:tmpl w:val="74CAF8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050F93"/>
    <w:multiLevelType w:val="hybridMultilevel"/>
    <w:tmpl w:val="2E88A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6C6F67"/>
    <w:multiLevelType w:val="hybridMultilevel"/>
    <w:tmpl w:val="3E2EE45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8B3284"/>
    <w:multiLevelType w:val="hybridMultilevel"/>
    <w:tmpl w:val="53DC9E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DD4652"/>
    <w:multiLevelType w:val="hybridMultilevel"/>
    <w:tmpl w:val="06182F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7C622D"/>
    <w:multiLevelType w:val="hybridMultilevel"/>
    <w:tmpl w:val="4588F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6FC2D58"/>
    <w:multiLevelType w:val="hybridMultilevel"/>
    <w:tmpl w:val="7D12B9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5E5DA7"/>
    <w:multiLevelType w:val="hybridMultilevel"/>
    <w:tmpl w:val="22427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7E17072"/>
    <w:multiLevelType w:val="hybridMultilevel"/>
    <w:tmpl w:val="EDCAFD0A"/>
    <w:lvl w:ilvl="0" w:tplc="55F4D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0467E80"/>
    <w:multiLevelType w:val="hybridMultilevel"/>
    <w:tmpl w:val="78443E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0A13E3"/>
    <w:multiLevelType w:val="hybridMultilevel"/>
    <w:tmpl w:val="3A9613DC"/>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1">
      <w:start w:val="1"/>
      <w:numFmt w:val="bullet"/>
      <w:lvlText w:val=""/>
      <w:lvlJc w:val="left"/>
      <w:pPr>
        <w:tabs>
          <w:tab w:val="num" w:pos="4680"/>
        </w:tabs>
        <w:ind w:left="4680" w:hanging="360"/>
      </w:pPr>
      <w:rPr>
        <w:rFonts w:ascii="Symbol" w:hAnsi="Symbol"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0">
    <w:nsid w:val="43BB2F00"/>
    <w:multiLevelType w:val="hybridMultilevel"/>
    <w:tmpl w:val="A008F5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A446DD"/>
    <w:multiLevelType w:val="hybridMultilevel"/>
    <w:tmpl w:val="81A2BA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D1A2907"/>
    <w:multiLevelType w:val="hybridMultilevel"/>
    <w:tmpl w:val="3988777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EB94B5F"/>
    <w:multiLevelType w:val="hybridMultilevel"/>
    <w:tmpl w:val="EEEED1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8D29CF"/>
    <w:multiLevelType w:val="hybridMultilevel"/>
    <w:tmpl w:val="6414E6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8817B4"/>
    <w:multiLevelType w:val="hybridMultilevel"/>
    <w:tmpl w:val="9F3AF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A621EA"/>
    <w:multiLevelType w:val="hybridMultilevel"/>
    <w:tmpl w:val="57FE3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BB56EE"/>
    <w:multiLevelType w:val="hybridMultilevel"/>
    <w:tmpl w:val="7276752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92472EC"/>
    <w:multiLevelType w:val="hybridMultilevel"/>
    <w:tmpl w:val="FFE0C2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A27D8C"/>
    <w:multiLevelType w:val="hybridMultilevel"/>
    <w:tmpl w:val="5FEEC8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8B1979"/>
    <w:multiLevelType w:val="hybridMultilevel"/>
    <w:tmpl w:val="C374B1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FC4D91"/>
    <w:multiLevelType w:val="hybridMultilevel"/>
    <w:tmpl w:val="5BB80F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BE3E0F"/>
    <w:multiLevelType w:val="hybridMultilevel"/>
    <w:tmpl w:val="1BC809D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A5B3602"/>
    <w:multiLevelType w:val="hybridMultilevel"/>
    <w:tmpl w:val="778CA1DA"/>
    <w:lvl w:ilvl="0" w:tplc="3DEAC26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18"/>
  </w:num>
  <w:num w:numId="4">
    <w:abstractNumId w:val="23"/>
  </w:num>
  <w:num w:numId="5">
    <w:abstractNumId w:val="2"/>
  </w:num>
  <w:num w:numId="6">
    <w:abstractNumId w:val="17"/>
  </w:num>
  <w:num w:numId="7">
    <w:abstractNumId w:val="33"/>
  </w:num>
  <w:num w:numId="8">
    <w:abstractNumId w:val="39"/>
  </w:num>
  <w:num w:numId="9">
    <w:abstractNumId w:val="35"/>
  </w:num>
  <w:num w:numId="10">
    <w:abstractNumId w:val="15"/>
  </w:num>
  <w:num w:numId="11">
    <w:abstractNumId w:val="30"/>
  </w:num>
  <w:num w:numId="12">
    <w:abstractNumId w:val="11"/>
  </w:num>
  <w:num w:numId="13">
    <w:abstractNumId w:val="7"/>
  </w:num>
  <w:num w:numId="14">
    <w:abstractNumId w:val="19"/>
  </w:num>
  <w:num w:numId="15">
    <w:abstractNumId w:val="34"/>
  </w:num>
  <w:num w:numId="16">
    <w:abstractNumId w:val="16"/>
  </w:num>
  <w:num w:numId="17">
    <w:abstractNumId w:val="27"/>
  </w:num>
  <w:num w:numId="18">
    <w:abstractNumId w:val="22"/>
  </w:num>
  <w:num w:numId="19">
    <w:abstractNumId w:val="3"/>
  </w:num>
  <w:num w:numId="20">
    <w:abstractNumId w:val="26"/>
  </w:num>
  <w:num w:numId="21">
    <w:abstractNumId w:val="37"/>
  </w:num>
  <w:num w:numId="22">
    <w:abstractNumId w:val="1"/>
  </w:num>
  <w:num w:numId="23">
    <w:abstractNumId w:val="36"/>
  </w:num>
  <w:num w:numId="24">
    <w:abstractNumId w:val="21"/>
  </w:num>
  <w:num w:numId="25">
    <w:abstractNumId w:val="8"/>
  </w:num>
  <w:num w:numId="26">
    <w:abstractNumId w:val="10"/>
  </w:num>
  <w:num w:numId="27">
    <w:abstractNumId w:val="25"/>
  </w:num>
  <w:num w:numId="28">
    <w:abstractNumId w:val="0"/>
  </w:num>
  <w:num w:numId="29">
    <w:abstractNumId w:val="32"/>
  </w:num>
  <w:num w:numId="30">
    <w:abstractNumId w:val="20"/>
  </w:num>
  <w:num w:numId="31">
    <w:abstractNumId w:val="9"/>
  </w:num>
  <w:num w:numId="32">
    <w:abstractNumId w:val="6"/>
  </w:num>
  <w:num w:numId="33">
    <w:abstractNumId w:val="24"/>
  </w:num>
  <w:num w:numId="34">
    <w:abstractNumId w:val="13"/>
  </w:num>
  <w:num w:numId="35">
    <w:abstractNumId w:val="31"/>
  </w:num>
  <w:num w:numId="36">
    <w:abstractNumId w:val="12"/>
  </w:num>
  <w:num w:numId="37">
    <w:abstractNumId w:val="28"/>
  </w:num>
  <w:num w:numId="38">
    <w:abstractNumId w:val="38"/>
  </w:num>
  <w:num w:numId="39">
    <w:abstractNumId w:val="14"/>
  </w:num>
  <w:num w:numId="4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noPunctuationKerning/>
  <w:characterSpacingControl w:val="doNotCompress"/>
  <w:hdrShapeDefaults>
    <o:shapedefaults v:ext="edit" spidmax="2049">
      <o:colormru v:ext="edit" colors="#c0a1fb"/>
    </o:shapedefaults>
  </w:hdrShapeDefaults>
  <w:footnotePr>
    <w:footnote w:id="-1"/>
    <w:footnote w:id="0"/>
  </w:footnotePr>
  <w:endnotePr>
    <w:endnote w:id="-1"/>
    <w:endnote w:id="0"/>
  </w:endnotePr>
  <w:compat>
    <w:useFELayout/>
    <w:compatSetting w:name="compatibilityMode" w:uri="http://schemas.microsoft.com/office/word" w:val="12"/>
  </w:compat>
  <w:rsids>
    <w:rsidRoot w:val="00E01E2D"/>
    <w:rsid w:val="0000179D"/>
    <w:rsid w:val="000030A2"/>
    <w:rsid w:val="0000421B"/>
    <w:rsid w:val="0001158B"/>
    <w:rsid w:val="0001774B"/>
    <w:rsid w:val="00022D36"/>
    <w:rsid w:val="00025FAA"/>
    <w:rsid w:val="00026464"/>
    <w:rsid w:val="0002647D"/>
    <w:rsid w:val="000348B6"/>
    <w:rsid w:val="00037638"/>
    <w:rsid w:val="000472F3"/>
    <w:rsid w:val="0005079C"/>
    <w:rsid w:val="00051662"/>
    <w:rsid w:val="00053C11"/>
    <w:rsid w:val="00055367"/>
    <w:rsid w:val="00055A4C"/>
    <w:rsid w:val="000566FF"/>
    <w:rsid w:val="00060975"/>
    <w:rsid w:val="000650C4"/>
    <w:rsid w:val="00071B47"/>
    <w:rsid w:val="00075A76"/>
    <w:rsid w:val="000852A2"/>
    <w:rsid w:val="00085738"/>
    <w:rsid w:val="0008692D"/>
    <w:rsid w:val="00087005"/>
    <w:rsid w:val="0008711B"/>
    <w:rsid w:val="000873F3"/>
    <w:rsid w:val="0008755E"/>
    <w:rsid w:val="00092527"/>
    <w:rsid w:val="00095E27"/>
    <w:rsid w:val="000A35DB"/>
    <w:rsid w:val="000A5EC0"/>
    <w:rsid w:val="000B2154"/>
    <w:rsid w:val="000B4D0B"/>
    <w:rsid w:val="000C3CD0"/>
    <w:rsid w:val="000C64EA"/>
    <w:rsid w:val="000D6504"/>
    <w:rsid w:val="000D7AB8"/>
    <w:rsid w:val="000D7E23"/>
    <w:rsid w:val="000E0C83"/>
    <w:rsid w:val="000E2CEF"/>
    <w:rsid w:val="000E5159"/>
    <w:rsid w:val="000E6E88"/>
    <w:rsid w:val="000F0CBC"/>
    <w:rsid w:val="000F20E6"/>
    <w:rsid w:val="000F4C3F"/>
    <w:rsid w:val="000F5D35"/>
    <w:rsid w:val="00101004"/>
    <w:rsid w:val="00101371"/>
    <w:rsid w:val="00101EEA"/>
    <w:rsid w:val="00102ED5"/>
    <w:rsid w:val="00103C16"/>
    <w:rsid w:val="00105B5F"/>
    <w:rsid w:val="00116F02"/>
    <w:rsid w:val="0012191E"/>
    <w:rsid w:val="001309F0"/>
    <w:rsid w:val="001338DD"/>
    <w:rsid w:val="00133C1B"/>
    <w:rsid w:val="001340D0"/>
    <w:rsid w:val="001343A5"/>
    <w:rsid w:val="0014115D"/>
    <w:rsid w:val="00145418"/>
    <w:rsid w:val="00145620"/>
    <w:rsid w:val="00147353"/>
    <w:rsid w:val="00147B5C"/>
    <w:rsid w:val="00151E70"/>
    <w:rsid w:val="001524CD"/>
    <w:rsid w:val="001543D8"/>
    <w:rsid w:val="00154DCA"/>
    <w:rsid w:val="00155719"/>
    <w:rsid w:val="00156E4D"/>
    <w:rsid w:val="0016053B"/>
    <w:rsid w:val="00164822"/>
    <w:rsid w:val="00170D1C"/>
    <w:rsid w:val="00171239"/>
    <w:rsid w:val="00172600"/>
    <w:rsid w:val="0017704B"/>
    <w:rsid w:val="00180CA1"/>
    <w:rsid w:val="001821B8"/>
    <w:rsid w:val="001824D2"/>
    <w:rsid w:val="001835F7"/>
    <w:rsid w:val="0018431C"/>
    <w:rsid w:val="00186F0C"/>
    <w:rsid w:val="001940E5"/>
    <w:rsid w:val="001A1807"/>
    <w:rsid w:val="001A2CD9"/>
    <w:rsid w:val="001A36DA"/>
    <w:rsid w:val="001A65F6"/>
    <w:rsid w:val="001A6E53"/>
    <w:rsid w:val="001A714F"/>
    <w:rsid w:val="001B209D"/>
    <w:rsid w:val="001B4EB2"/>
    <w:rsid w:val="001B70C6"/>
    <w:rsid w:val="001C26E8"/>
    <w:rsid w:val="001C2809"/>
    <w:rsid w:val="001C2A54"/>
    <w:rsid w:val="001C717D"/>
    <w:rsid w:val="001D6D19"/>
    <w:rsid w:val="001D6DDE"/>
    <w:rsid w:val="001E1AB3"/>
    <w:rsid w:val="001E48AC"/>
    <w:rsid w:val="001E5CD8"/>
    <w:rsid w:val="00200FCF"/>
    <w:rsid w:val="00201FF0"/>
    <w:rsid w:val="002021FF"/>
    <w:rsid w:val="002073B4"/>
    <w:rsid w:val="002075E7"/>
    <w:rsid w:val="00211729"/>
    <w:rsid w:val="00214876"/>
    <w:rsid w:val="002153CF"/>
    <w:rsid w:val="00220C30"/>
    <w:rsid w:val="002226C5"/>
    <w:rsid w:val="00223B1B"/>
    <w:rsid w:val="00230132"/>
    <w:rsid w:val="00232A70"/>
    <w:rsid w:val="00241F05"/>
    <w:rsid w:val="00242EA7"/>
    <w:rsid w:val="002462FB"/>
    <w:rsid w:val="002471E5"/>
    <w:rsid w:val="00251540"/>
    <w:rsid w:val="002526C1"/>
    <w:rsid w:val="002709E8"/>
    <w:rsid w:val="00276395"/>
    <w:rsid w:val="002811F7"/>
    <w:rsid w:val="00284C47"/>
    <w:rsid w:val="0028634E"/>
    <w:rsid w:val="00286902"/>
    <w:rsid w:val="00294408"/>
    <w:rsid w:val="002A1337"/>
    <w:rsid w:val="002A1AB6"/>
    <w:rsid w:val="002A3A50"/>
    <w:rsid w:val="002B0B59"/>
    <w:rsid w:val="002B76F5"/>
    <w:rsid w:val="002C15C1"/>
    <w:rsid w:val="002C2390"/>
    <w:rsid w:val="002C3E91"/>
    <w:rsid w:val="002D1FB9"/>
    <w:rsid w:val="002D2817"/>
    <w:rsid w:val="002E24D9"/>
    <w:rsid w:val="002E49EB"/>
    <w:rsid w:val="002E61BC"/>
    <w:rsid w:val="002F1A71"/>
    <w:rsid w:val="002F4F13"/>
    <w:rsid w:val="002F6154"/>
    <w:rsid w:val="002F619B"/>
    <w:rsid w:val="002F75FB"/>
    <w:rsid w:val="00303E05"/>
    <w:rsid w:val="00305408"/>
    <w:rsid w:val="003064BB"/>
    <w:rsid w:val="0031010B"/>
    <w:rsid w:val="00310DC9"/>
    <w:rsid w:val="003123A7"/>
    <w:rsid w:val="00312A75"/>
    <w:rsid w:val="00313799"/>
    <w:rsid w:val="00317AC6"/>
    <w:rsid w:val="00317C12"/>
    <w:rsid w:val="00320B8D"/>
    <w:rsid w:val="00322CB3"/>
    <w:rsid w:val="00323009"/>
    <w:rsid w:val="00324A1A"/>
    <w:rsid w:val="00324C03"/>
    <w:rsid w:val="00333A5B"/>
    <w:rsid w:val="00337327"/>
    <w:rsid w:val="00341855"/>
    <w:rsid w:val="00342882"/>
    <w:rsid w:val="00347098"/>
    <w:rsid w:val="0035028B"/>
    <w:rsid w:val="00362FAC"/>
    <w:rsid w:val="00363635"/>
    <w:rsid w:val="003667D3"/>
    <w:rsid w:val="00366E5E"/>
    <w:rsid w:val="00367876"/>
    <w:rsid w:val="0037000D"/>
    <w:rsid w:val="00370986"/>
    <w:rsid w:val="00381A1B"/>
    <w:rsid w:val="00385E54"/>
    <w:rsid w:val="00390612"/>
    <w:rsid w:val="003A4F3C"/>
    <w:rsid w:val="003A7058"/>
    <w:rsid w:val="003A7518"/>
    <w:rsid w:val="003B539A"/>
    <w:rsid w:val="003B7158"/>
    <w:rsid w:val="003C1448"/>
    <w:rsid w:val="003C72B0"/>
    <w:rsid w:val="003D39D2"/>
    <w:rsid w:val="003D57B5"/>
    <w:rsid w:val="003D5B29"/>
    <w:rsid w:val="003E0A6C"/>
    <w:rsid w:val="003E7C6B"/>
    <w:rsid w:val="003E7D8E"/>
    <w:rsid w:val="003F0B33"/>
    <w:rsid w:val="003F132A"/>
    <w:rsid w:val="003F203A"/>
    <w:rsid w:val="003F6410"/>
    <w:rsid w:val="003F7A02"/>
    <w:rsid w:val="00404057"/>
    <w:rsid w:val="0040615C"/>
    <w:rsid w:val="00412196"/>
    <w:rsid w:val="004165FA"/>
    <w:rsid w:val="004179DE"/>
    <w:rsid w:val="00417A45"/>
    <w:rsid w:val="0042303C"/>
    <w:rsid w:val="004232B4"/>
    <w:rsid w:val="004237B7"/>
    <w:rsid w:val="00424B15"/>
    <w:rsid w:val="0043110D"/>
    <w:rsid w:val="00447A81"/>
    <w:rsid w:val="00451A5D"/>
    <w:rsid w:val="0045207F"/>
    <w:rsid w:val="00457967"/>
    <w:rsid w:val="00457CA4"/>
    <w:rsid w:val="00460072"/>
    <w:rsid w:val="00462271"/>
    <w:rsid w:val="00462F8F"/>
    <w:rsid w:val="004649F0"/>
    <w:rsid w:val="004664D5"/>
    <w:rsid w:val="00472C1A"/>
    <w:rsid w:val="004755A3"/>
    <w:rsid w:val="00477BD8"/>
    <w:rsid w:val="00486DFB"/>
    <w:rsid w:val="00492563"/>
    <w:rsid w:val="00492899"/>
    <w:rsid w:val="00496D76"/>
    <w:rsid w:val="004A3374"/>
    <w:rsid w:val="004A48E5"/>
    <w:rsid w:val="004A5FB8"/>
    <w:rsid w:val="004B01CB"/>
    <w:rsid w:val="004B28A3"/>
    <w:rsid w:val="004C35E0"/>
    <w:rsid w:val="004C5DB5"/>
    <w:rsid w:val="004C71AF"/>
    <w:rsid w:val="004D104A"/>
    <w:rsid w:val="004D130F"/>
    <w:rsid w:val="004D7082"/>
    <w:rsid w:val="004E0836"/>
    <w:rsid w:val="004E6430"/>
    <w:rsid w:val="004F5129"/>
    <w:rsid w:val="005030DD"/>
    <w:rsid w:val="00507671"/>
    <w:rsid w:val="00507860"/>
    <w:rsid w:val="00510051"/>
    <w:rsid w:val="00512EF2"/>
    <w:rsid w:val="005145C2"/>
    <w:rsid w:val="0052157A"/>
    <w:rsid w:val="005252B4"/>
    <w:rsid w:val="00530DF0"/>
    <w:rsid w:val="005334E6"/>
    <w:rsid w:val="00537246"/>
    <w:rsid w:val="00545AC4"/>
    <w:rsid w:val="00547F1E"/>
    <w:rsid w:val="005509DA"/>
    <w:rsid w:val="005515C9"/>
    <w:rsid w:val="0055220B"/>
    <w:rsid w:val="00552238"/>
    <w:rsid w:val="00557577"/>
    <w:rsid w:val="005645C5"/>
    <w:rsid w:val="0056682C"/>
    <w:rsid w:val="0057103A"/>
    <w:rsid w:val="0057635C"/>
    <w:rsid w:val="005775CE"/>
    <w:rsid w:val="005777D3"/>
    <w:rsid w:val="00580C62"/>
    <w:rsid w:val="005812FB"/>
    <w:rsid w:val="00581526"/>
    <w:rsid w:val="00583276"/>
    <w:rsid w:val="00583E9E"/>
    <w:rsid w:val="0058611A"/>
    <w:rsid w:val="005868FD"/>
    <w:rsid w:val="00587DA6"/>
    <w:rsid w:val="00594E57"/>
    <w:rsid w:val="005979CD"/>
    <w:rsid w:val="005A6655"/>
    <w:rsid w:val="005B437B"/>
    <w:rsid w:val="005B690A"/>
    <w:rsid w:val="005B6F0A"/>
    <w:rsid w:val="005B734A"/>
    <w:rsid w:val="005D02F4"/>
    <w:rsid w:val="005D2067"/>
    <w:rsid w:val="005D5F2A"/>
    <w:rsid w:val="005E206B"/>
    <w:rsid w:val="005E32B3"/>
    <w:rsid w:val="005E7083"/>
    <w:rsid w:val="005F0827"/>
    <w:rsid w:val="005F237C"/>
    <w:rsid w:val="005F4765"/>
    <w:rsid w:val="006031E7"/>
    <w:rsid w:val="00606C58"/>
    <w:rsid w:val="00607D33"/>
    <w:rsid w:val="00611A54"/>
    <w:rsid w:val="00613952"/>
    <w:rsid w:val="006153CA"/>
    <w:rsid w:val="00616C66"/>
    <w:rsid w:val="0062468E"/>
    <w:rsid w:val="00640662"/>
    <w:rsid w:val="00642A90"/>
    <w:rsid w:val="00643C2B"/>
    <w:rsid w:val="00650831"/>
    <w:rsid w:val="00652809"/>
    <w:rsid w:val="00654EE5"/>
    <w:rsid w:val="00665C6B"/>
    <w:rsid w:val="00666504"/>
    <w:rsid w:val="0066650B"/>
    <w:rsid w:val="00671857"/>
    <w:rsid w:val="00673DF7"/>
    <w:rsid w:val="0068017F"/>
    <w:rsid w:val="00681274"/>
    <w:rsid w:val="006822E1"/>
    <w:rsid w:val="00682E5F"/>
    <w:rsid w:val="006833D7"/>
    <w:rsid w:val="00684FBB"/>
    <w:rsid w:val="00696A8B"/>
    <w:rsid w:val="006A135C"/>
    <w:rsid w:val="006A410A"/>
    <w:rsid w:val="006B0D16"/>
    <w:rsid w:val="006B2DFC"/>
    <w:rsid w:val="006C52CC"/>
    <w:rsid w:val="006C7551"/>
    <w:rsid w:val="006C7F35"/>
    <w:rsid w:val="006D2BF2"/>
    <w:rsid w:val="006D32BE"/>
    <w:rsid w:val="006D7BA8"/>
    <w:rsid w:val="006E27EE"/>
    <w:rsid w:val="006E7B58"/>
    <w:rsid w:val="006F4122"/>
    <w:rsid w:val="006F53C3"/>
    <w:rsid w:val="006F5F87"/>
    <w:rsid w:val="006F790E"/>
    <w:rsid w:val="007007B4"/>
    <w:rsid w:val="007011C8"/>
    <w:rsid w:val="00704E3B"/>
    <w:rsid w:val="007143F1"/>
    <w:rsid w:val="0071721D"/>
    <w:rsid w:val="00717D41"/>
    <w:rsid w:val="007262B2"/>
    <w:rsid w:val="00730CAA"/>
    <w:rsid w:val="00735DAC"/>
    <w:rsid w:val="007377BA"/>
    <w:rsid w:val="00747E98"/>
    <w:rsid w:val="0075656B"/>
    <w:rsid w:val="007634B7"/>
    <w:rsid w:val="00766701"/>
    <w:rsid w:val="007708AD"/>
    <w:rsid w:val="007733C8"/>
    <w:rsid w:val="00776782"/>
    <w:rsid w:val="00780337"/>
    <w:rsid w:val="00786F4C"/>
    <w:rsid w:val="00787099"/>
    <w:rsid w:val="007A0BF1"/>
    <w:rsid w:val="007A30FA"/>
    <w:rsid w:val="007B2F13"/>
    <w:rsid w:val="007C1ACC"/>
    <w:rsid w:val="007C6C31"/>
    <w:rsid w:val="007C71F0"/>
    <w:rsid w:val="007C791B"/>
    <w:rsid w:val="007D0CAD"/>
    <w:rsid w:val="007D3B67"/>
    <w:rsid w:val="007D6062"/>
    <w:rsid w:val="007E1BEA"/>
    <w:rsid w:val="007E20F0"/>
    <w:rsid w:val="007E2332"/>
    <w:rsid w:val="007E5068"/>
    <w:rsid w:val="007F029F"/>
    <w:rsid w:val="007F2BBD"/>
    <w:rsid w:val="007F45A0"/>
    <w:rsid w:val="007F5F0F"/>
    <w:rsid w:val="0080188C"/>
    <w:rsid w:val="00801DC6"/>
    <w:rsid w:val="0080792F"/>
    <w:rsid w:val="008126D1"/>
    <w:rsid w:val="00820CC6"/>
    <w:rsid w:val="00821EA6"/>
    <w:rsid w:val="00824432"/>
    <w:rsid w:val="0082598E"/>
    <w:rsid w:val="0084062A"/>
    <w:rsid w:val="008408F5"/>
    <w:rsid w:val="00843FDE"/>
    <w:rsid w:val="00844E7C"/>
    <w:rsid w:val="00851255"/>
    <w:rsid w:val="00856C9A"/>
    <w:rsid w:val="00863CA2"/>
    <w:rsid w:val="00871757"/>
    <w:rsid w:val="008872A9"/>
    <w:rsid w:val="00895E83"/>
    <w:rsid w:val="008A0724"/>
    <w:rsid w:val="008A5C5E"/>
    <w:rsid w:val="008A666B"/>
    <w:rsid w:val="008C1BCE"/>
    <w:rsid w:val="008C2991"/>
    <w:rsid w:val="008C3043"/>
    <w:rsid w:val="008C4912"/>
    <w:rsid w:val="008C516E"/>
    <w:rsid w:val="008D1AB6"/>
    <w:rsid w:val="008D7B12"/>
    <w:rsid w:val="008E01CF"/>
    <w:rsid w:val="008E4C20"/>
    <w:rsid w:val="008F7390"/>
    <w:rsid w:val="009062E1"/>
    <w:rsid w:val="00907CE2"/>
    <w:rsid w:val="00913029"/>
    <w:rsid w:val="0091737B"/>
    <w:rsid w:val="009201F2"/>
    <w:rsid w:val="0092058B"/>
    <w:rsid w:val="00926E08"/>
    <w:rsid w:val="009363CA"/>
    <w:rsid w:val="00941350"/>
    <w:rsid w:val="00941A01"/>
    <w:rsid w:val="0094773D"/>
    <w:rsid w:val="00950FB2"/>
    <w:rsid w:val="00964097"/>
    <w:rsid w:val="009714EA"/>
    <w:rsid w:val="00973FC2"/>
    <w:rsid w:val="00985308"/>
    <w:rsid w:val="009906E8"/>
    <w:rsid w:val="00990BCF"/>
    <w:rsid w:val="00991134"/>
    <w:rsid w:val="0099776F"/>
    <w:rsid w:val="009B2715"/>
    <w:rsid w:val="009B2811"/>
    <w:rsid w:val="009B5464"/>
    <w:rsid w:val="009C421E"/>
    <w:rsid w:val="009D3A14"/>
    <w:rsid w:val="009D6E2C"/>
    <w:rsid w:val="009E0A54"/>
    <w:rsid w:val="009E57FE"/>
    <w:rsid w:val="009E746B"/>
    <w:rsid w:val="009F1935"/>
    <w:rsid w:val="009F602B"/>
    <w:rsid w:val="00A006AD"/>
    <w:rsid w:val="00A01F9E"/>
    <w:rsid w:val="00A03ECA"/>
    <w:rsid w:val="00A0425F"/>
    <w:rsid w:val="00A10EA2"/>
    <w:rsid w:val="00A11B7D"/>
    <w:rsid w:val="00A1234A"/>
    <w:rsid w:val="00A12401"/>
    <w:rsid w:val="00A23C31"/>
    <w:rsid w:val="00A23D42"/>
    <w:rsid w:val="00A252AF"/>
    <w:rsid w:val="00A25A24"/>
    <w:rsid w:val="00A3293D"/>
    <w:rsid w:val="00A3345F"/>
    <w:rsid w:val="00A354A6"/>
    <w:rsid w:val="00A46558"/>
    <w:rsid w:val="00A47EED"/>
    <w:rsid w:val="00A52A25"/>
    <w:rsid w:val="00A53F86"/>
    <w:rsid w:val="00A61A8A"/>
    <w:rsid w:val="00A61AEB"/>
    <w:rsid w:val="00A70F4C"/>
    <w:rsid w:val="00A72A21"/>
    <w:rsid w:val="00A8361C"/>
    <w:rsid w:val="00A83FAA"/>
    <w:rsid w:val="00A92FEF"/>
    <w:rsid w:val="00AA15BF"/>
    <w:rsid w:val="00AA21E8"/>
    <w:rsid w:val="00AA322A"/>
    <w:rsid w:val="00AA3ABA"/>
    <w:rsid w:val="00AA40B2"/>
    <w:rsid w:val="00AA79F8"/>
    <w:rsid w:val="00AB1D16"/>
    <w:rsid w:val="00AB6E0A"/>
    <w:rsid w:val="00AC1013"/>
    <w:rsid w:val="00AC354E"/>
    <w:rsid w:val="00AC3E6F"/>
    <w:rsid w:val="00AD0048"/>
    <w:rsid w:val="00AD0457"/>
    <w:rsid w:val="00AD0C74"/>
    <w:rsid w:val="00AD276C"/>
    <w:rsid w:val="00AD2A0B"/>
    <w:rsid w:val="00AD4437"/>
    <w:rsid w:val="00AE0AA3"/>
    <w:rsid w:val="00AE4D6F"/>
    <w:rsid w:val="00AE6148"/>
    <w:rsid w:val="00AE66B2"/>
    <w:rsid w:val="00AF0096"/>
    <w:rsid w:val="00AF218F"/>
    <w:rsid w:val="00AF6589"/>
    <w:rsid w:val="00B01D87"/>
    <w:rsid w:val="00B11280"/>
    <w:rsid w:val="00B12AD5"/>
    <w:rsid w:val="00B13422"/>
    <w:rsid w:val="00B16D7A"/>
    <w:rsid w:val="00B22465"/>
    <w:rsid w:val="00B25233"/>
    <w:rsid w:val="00B26914"/>
    <w:rsid w:val="00B32F57"/>
    <w:rsid w:val="00B3645D"/>
    <w:rsid w:val="00B370C7"/>
    <w:rsid w:val="00B43071"/>
    <w:rsid w:val="00B44791"/>
    <w:rsid w:val="00B50EB9"/>
    <w:rsid w:val="00B53BF2"/>
    <w:rsid w:val="00B62EBA"/>
    <w:rsid w:val="00B636A9"/>
    <w:rsid w:val="00B64F89"/>
    <w:rsid w:val="00B65018"/>
    <w:rsid w:val="00B66007"/>
    <w:rsid w:val="00B73AA4"/>
    <w:rsid w:val="00B773FB"/>
    <w:rsid w:val="00B80B59"/>
    <w:rsid w:val="00B8164B"/>
    <w:rsid w:val="00B81F23"/>
    <w:rsid w:val="00B85FDE"/>
    <w:rsid w:val="00B8651B"/>
    <w:rsid w:val="00B870E6"/>
    <w:rsid w:val="00B87A7F"/>
    <w:rsid w:val="00B97509"/>
    <w:rsid w:val="00BA179B"/>
    <w:rsid w:val="00BA4442"/>
    <w:rsid w:val="00BA4731"/>
    <w:rsid w:val="00BA740F"/>
    <w:rsid w:val="00BC028C"/>
    <w:rsid w:val="00BC232D"/>
    <w:rsid w:val="00BC35AD"/>
    <w:rsid w:val="00BC368D"/>
    <w:rsid w:val="00BC5683"/>
    <w:rsid w:val="00BC62FD"/>
    <w:rsid w:val="00BC6DFB"/>
    <w:rsid w:val="00BD2FFA"/>
    <w:rsid w:val="00BD3554"/>
    <w:rsid w:val="00BD36F7"/>
    <w:rsid w:val="00BE11C1"/>
    <w:rsid w:val="00BE50B3"/>
    <w:rsid w:val="00BF3272"/>
    <w:rsid w:val="00BF467E"/>
    <w:rsid w:val="00BF4D6E"/>
    <w:rsid w:val="00BF64F2"/>
    <w:rsid w:val="00BF74E8"/>
    <w:rsid w:val="00C02F72"/>
    <w:rsid w:val="00C03CE8"/>
    <w:rsid w:val="00C0462A"/>
    <w:rsid w:val="00C27FC1"/>
    <w:rsid w:val="00C3065A"/>
    <w:rsid w:val="00C317C9"/>
    <w:rsid w:val="00C325F3"/>
    <w:rsid w:val="00C34AA1"/>
    <w:rsid w:val="00C42A5C"/>
    <w:rsid w:val="00C4579A"/>
    <w:rsid w:val="00C4692C"/>
    <w:rsid w:val="00C46F82"/>
    <w:rsid w:val="00C47093"/>
    <w:rsid w:val="00C5164D"/>
    <w:rsid w:val="00C5422A"/>
    <w:rsid w:val="00C549A4"/>
    <w:rsid w:val="00C61618"/>
    <w:rsid w:val="00C6212A"/>
    <w:rsid w:val="00C62DBE"/>
    <w:rsid w:val="00C6630D"/>
    <w:rsid w:val="00C90019"/>
    <w:rsid w:val="00C92A81"/>
    <w:rsid w:val="00C95A44"/>
    <w:rsid w:val="00C97012"/>
    <w:rsid w:val="00CA01A4"/>
    <w:rsid w:val="00CA3F99"/>
    <w:rsid w:val="00CB1B8A"/>
    <w:rsid w:val="00CB5386"/>
    <w:rsid w:val="00CC14B0"/>
    <w:rsid w:val="00CC3731"/>
    <w:rsid w:val="00CC4F38"/>
    <w:rsid w:val="00CD00DC"/>
    <w:rsid w:val="00CD2459"/>
    <w:rsid w:val="00CD2783"/>
    <w:rsid w:val="00CD33AF"/>
    <w:rsid w:val="00CD598D"/>
    <w:rsid w:val="00CD6D79"/>
    <w:rsid w:val="00CD70F0"/>
    <w:rsid w:val="00CE469B"/>
    <w:rsid w:val="00CE5CE6"/>
    <w:rsid w:val="00CF02A9"/>
    <w:rsid w:val="00CF3447"/>
    <w:rsid w:val="00D046EE"/>
    <w:rsid w:val="00D07068"/>
    <w:rsid w:val="00D10966"/>
    <w:rsid w:val="00D1139D"/>
    <w:rsid w:val="00D12C85"/>
    <w:rsid w:val="00D20252"/>
    <w:rsid w:val="00D24D97"/>
    <w:rsid w:val="00D264D5"/>
    <w:rsid w:val="00D339BD"/>
    <w:rsid w:val="00D46FB5"/>
    <w:rsid w:val="00D52EBB"/>
    <w:rsid w:val="00D53147"/>
    <w:rsid w:val="00D55D84"/>
    <w:rsid w:val="00D5644D"/>
    <w:rsid w:val="00D618EB"/>
    <w:rsid w:val="00D62D06"/>
    <w:rsid w:val="00D66570"/>
    <w:rsid w:val="00D67242"/>
    <w:rsid w:val="00D67D3E"/>
    <w:rsid w:val="00D720B9"/>
    <w:rsid w:val="00D724CC"/>
    <w:rsid w:val="00D72FBF"/>
    <w:rsid w:val="00D763DD"/>
    <w:rsid w:val="00D7701F"/>
    <w:rsid w:val="00D90A1F"/>
    <w:rsid w:val="00D912D2"/>
    <w:rsid w:val="00DA2867"/>
    <w:rsid w:val="00DA5EBF"/>
    <w:rsid w:val="00DA71C4"/>
    <w:rsid w:val="00DB03C8"/>
    <w:rsid w:val="00DB2D74"/>
    <w:rsid w:val="00DB42FD"/>
    <w:rsid w:val="00DB430F"/>
    <w:rsid w:val="00DB47F7"/>
    <w:rsid w:val="00DB51FB"/>
    <w:rsid w:val="00DB7D3D"/>
    <w:rsid w:val="00DC1244"/>
    <w:rsid w:val="00DC1258"/>
    <w:rsid w:val="00DC37C9"/>
    <w:rsid w:val="00DC4283"/>
    <w:rsid w:val="00DC6564"/>
    <w:rsid w:val="00DC6BBB"/>
    <w:rsid w:val="00DD1C87"/>
    <w:rsid w:val="00DD3E46"/>
    <w:rsid w:val="00DD4DFF"/>
    <w:rsid w:val="00DE1B12"/>
    <w:rsid w:val="00DE67BB"/>
    <w:rsid w:val="00DE78E7"/>
    <w:rsid w:val="00DF3F79"/>
    <w:rsid w:val="00DF4FA7"/>
    <w:rsid w:val="00DF7155"/>
    <w:rsid w:val="00DF7AF4"/>
    <w:rsid w:val="00E005C4"/>
    <w:rsid w:val="00E0190F"/>
    <w:rsid w:val="00E01E2D"/>
    <w:rsid w:val="00E0495A"/>
    <w:rsid w:val="00E10C24"/>
    <w:rsid w:val="00E13E6B"/>
    <w:rsid w:val="00E16999"/>
    <w:rsid w:val="00E20CE7"/>
    <w:rsid w:val="00E2147D"/>
    <w:rsid w:val="00E2218D"/>
    <w:rsid w:val="00E2376D"/>
    <w:rsid w:val="00E2461C"/>
    <w:rsid w:val="00E36811"/>
    <w:rsid w:val="00E50BA8"/>
    <w:rsid w:val="00E50D34"/>
    <w:rsid w:val="00E53D1E"/>
    <w:rsid w:val="00E55325"/>
    <w:rsid w:val="00E64B25"/>
    <w:rsid w:val="00E664CB"/>
    <w:rsid w:val="00E72416"/>
    <w:rsid w:val="00E728C5"/>
    <w:rsid w:val="00E81F2A"/>
    <w:rsid w:val="00E82053"/>
    <w:rsid w:val="00E9087F"/>
    <w:rsid w:val="00E97385"/>
    <w:rsid w:val="00EA275F"/>
    <w:rsid w:val="00EA2C7B"/>
    <w:rsid w:val="00EA350C"/>
    <w:rsid w:val="00EA5CAC"/>
    <w:rsid w:val="00EB0E6D"/>
    <w:rsid w:val="00EB4042"/>
    <w:rsid w:val="00EB44F6"/>
    <w:rsid w:val="00EB6EAF"/>
    <w:rsid w:val="00EC0823"/>
    <w:rsid w:val="00EC22C1"/>
    <w:rsid w:val="00EC31E5"/>
    <w:rsid w:val="00EF0CC4"/>
    <w:rsid w:val="00EF2CF0"/>
    <w:rsid w:val="00EF4885"/>
    <w:rsid w:val="00EF715F"/>
    <w:rsid w:val="00F02792"/>
    <w:rsid w:val="00F028D0"/>
    <w:rsid w:val="00F107E4"/>
    <w:rsid w:val="00F132D3"/>
    <w:rsid w:val="00F22581"/>
    <w:rsid w:val="00F22977"/>
    <w:rsid w:val="00F266C2"/>
    <w:rsid w:val="00F32CEE"/>
    <w:rsid w:val="00F40B35"/>
    <w:rsid w:val="00F40BA7"/>
    <w:rsid w:val="00F476DD"/>
    <w:rsid w:val="00F54CB3"/>
    <w:rsid w:val="00F62F96"/>
    <w:rsid w:val="00F63A47"/>
    <w:rsid w:val="00F674ED"/>
    <w:rsid w:val="00F71E4E"/>
    <w:rsid w:val="00F73298"/>
    <w:rsid w:val="00F73B01"/>
    <w:rsid w:val="00F8500F"/>
    <w:rsid w:val="00F853B2"/>
    <w:rsid w:val="00F8602C"/>
    <w:rsid w:val="00F862B6"/>
    <w:rsid w:val="00F92112"/>
    <w:rsid w:val="00F93A99"/>
    <w:rsid w:val="00FA3B8C"/>
    <w:rsid w:val="00FA6299"/>
    <w:rsid w:val="00FB7BBC"/>
    <w:rsid w:val="00FC2B62"/>
    <w:rsid w:val="00FC2F49"/>
    <w:rsid w:val="00FC3485"/>
    <w:rsid w:val="00FC63B9"/>
    <w:rsid w:val="00FC657D"/>
    <w:rsid w:val="00FE2AC9"/>
    <w:rsid w:val="00FE384C"/>
    <w:rsid w:val="00FF08F9"/>
    <w:rsid w:val="00FF1DD1"/>
    <w:rsid w:val="00FF75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c0a1f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1"/>
      </w:numPr>
      <w:outlineLvl w:val="0"/>
    </w:pPr>
    <w:rPr>
      <w:rFonts w:ascii="Times" w:eastAsia="Times" w:hAnsi="Times"/>
      <w:b/>
      <w:szCs w:val="20"/>
    </w:rPr>
  </w:style>
  <w:style w:type="paragraph" w:styleId="Heading2">
    <w:name w:val="heading 2"/>
    <w:basedOn w:val="Normal"/>
    <w:next w:val="Normal"/>
    <w:link w:val="Heading2Char"/>
    <w:qFormat/>
    <w:rsid w:val="0085534A"/>
    <w:pPr>
      <w:keepNext/>
      <w:numPr>
        <w:ilvl w:val="1"/>
        <w:numId w:val="1"/>
      </w:numPr>
      <w:spacing w:before="240" w:after="60"/>
      <w:outlineLvl w:val="1"/>
    </w:pPr>
    <w:rPr>
      <w:rFonts w:ascii="Calibri" w:eastAsia="Times New Roman" w:hAnsi="Calibri"/>
      <w:b/>
      <w:bCs/>
      <w:i/>
      <w:iCs/>
      <w:sz w:val="28"/>
      <w:szCs w:val="28"/>
    </w:rPr>
  </w:style>
  <w:style w:type="paragraph" w:styleId="Heading3">
    <w:name w:val="heading 3"/>
    <w:basedOn w:val="Normal"/>
    <w:next w:val="Normal"/>
    <w:qFormat/>
    <w:rsid w:val="00AC156A"/>
    <w:pPr>
      <w:keepNext/>
      <w:numPr>
        <w:ilvl w:val="2"/>
        <w:numId w:val="1"/>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1"/>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rsid w:val="002462FB"/>
    <w:pPr>
      <w:tabs>
        <w:tab w:val="center" w:pos="4320"/>
        <w:tab w:val="right" w:pos="8640"/>
      </w:tabs>
    </w:pPr>
  </w:style>
  <w:style w:type="paragraph" w:styleId="Header">
    <w:name w:val="header"/>
    <w:basedOn w:val="Normal"/>
    <w:rsid w:val="002462FB"/>
    <w:pPr>
      <w:tabs>
        <w:tab w:val="center" w:pos="4320"/>
        <w:tab w:val="right" w:pos="8640"/>
      </w:tabs>
    </w:pPr>
  </w:style>
  <w:style w:type="character" w:styleId="LineNumber">
    <w:name w:val="line number"/>
    <w:basedOn w:val="DefaultParagraphFont"/>
    <w:rsid w:val="002462FB"/>
  </w:style>
  <w:style w:type="character" w:styleId="PageNumber">
    <w:name w:val="page number"/>
    <w:basedOn w:val="DefaultParagraphFont"/>
    <w:rsid w:val="002462FB"/>
  </w:style>
  <w:style w:type="table" w:styleId="TableGrid">
    <w:name w:val="Table Grid"/>
    <w:basedOn w:val="TableNormal"/>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semiHidden/>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eastAsia="ja-JP"/>
    </w:rPr>
  </w:style>
  <w:style w:type="paragraph" w:styleId="Caption">
    <w:name w:val="caption"/>
    <w:basedOn w:val="Normal"/>
    <w:next w:val="Normal"/>
    <w:qFormat/>
    <w:rsid w:val="00D912D2"/>
    <w:rPr>
      <w:b/>
      <w:bCs/>
      <w:sz w:val="20"/>
      <w:szCs w:val="20"/>
    </w:rPr>
  </w:style>
  <w:style w:type="paragraph" w:styleId="BodyTextIndent3">
    <w:name w:val="Body Text Indent 3"/>
    <w:basedOn w:val="Normal"/>
    <w:link w:val="BodyTextIndent3Char"/>
    <w:rsid w:val="00EB44F6"/>
    <w:pPr>
      <w:spacing w:after="120"/>
      <w:ind w:left="360"/>
    </w:pPr>
    <w:rPr>
      <w:sz w:val="16"/>
      <w:szCs w:val="16"/>
    </w:rPr>
  </w:style>
  <w:style w:type="character" w:customStyle="1" w:styleId="BodyTextIndent3Char">
    <w:name w:val="Body Text Indent 3 Char"/>
    <w:link w:val="BodyTextIndent3"/>
    <w:rsid w:val="00EB44F6"/>
    <w:rPr>
      <w:sz w:val="16"/>
      <w:szCs w:val="16"/>
      <w:lang w:eastAsia="ja-JP"/>
    </w:rPr>
  </w:style>
  <w:style w:type="paragraph" w:customStyle="1" w:styleId="P1-StandPara">
    <w:name w:val="P1-Stand Para"/>
    <w:link w:val="P1-StandParaChar"/>
    <w:rsid w:val="00EB44F6"/>
    <w:pPr>
      <w:spacing w:line="480" w:lineRule="auto"/>
      <w:ind w:firstLine="720"/>
    </w:pPr>
    <w:rPr>
      <w:rFonts w:eastAsia="Times New Roman"/>
      <w:sz w:val="22"/>
    </w:rPr>
  </w:style>
  <w:style w:type="paragraph" w:styleId="FootnoteText">
    <w:name w:val="footnote text"/>
    <w:aliases w:val="F1"/>
    <w:link w:val="FootnoteTextChar"/>
    <w:rsid w:val="00EB44F6"/>
    <w:pPr>
      <w:tabs>
        <w:tab w:val="left" w:pos="120"/>
      </w:tabs>
      <w:spacing w:before="120" w:line="200" w:lineRule="atLeast"/>
      <w:ind w:left="115" w:hanging="115"/>
      <w:jc w:val="both"/>
    </w:pPr>
    <w:rPr>
      <w:rFonts w:eastAsia="Times New Roman"/>
      <w:sz w:val="16"/>
    </w:rPr>
  </w:style>
  <w:style w:type="character" w:customStyle="1" w:styleId="FootnoteTextChar">
    <w:name w:val="Footnote Text Char"/>
    <w:aliases w:val="F1 Char"/>
    <w:link w:val="FootnoteText"/>
    <w:rsid w:val="00EB44F6"/>
    <w:rPr>
      <w:rFonts w:eastAsia="Times New Roman"/>
      <w:sz w:val="16"/>
      <w:lang w:bidi="ar-SA"/>
    </w:rPr>
  </w:style>
  <w:style w:type="character" w:styleId="FootnoteReference">
    <w:name w:val="footnote reference"/>
    <w:rsid w:val="00EB44F6"/>
    <w:rPr>
      <w:vertAlign w:val="superscript"/>
    </w:rPr>
  </w:style>
  <w:style w:type="paragraph" w:styleId="ListParagraph">
    <w:name w:val="List Paragraph"/>
    <w:basedOn w:val="Normal"/>
    <w:uiPriority w:val="34"/>
    <w:qFormat/>
    <w:rsid w:val="00EB44F6"/>
    <w:pPr>
      <w:spacing w:line="240" w:lineRule="atLeast"/>
      <w:ind w:left="720"/>
      <w:jc w:val="both"/>
    </w:pPr>
    <w:rPr>
      <w:rFonts w:eastAsia="Times New Roman"/>
      <w:sz w:val="22"/>
      <w:szCs w:val="20"/>
      <w:lang w:eastAsia="en-US"/>
    </w:rPr>
  </w:style>
  <w:style w:type="character" w:customStyle="1" w:styleId="P1-StandParaChar">
    <w:name w:val="P1-Stand Para Char"/>
    <w:link w:val="P1-StandPara"/>
    <w:rsid w:val="00EB44F6"/>
    <w:rPr>
      <w:rFonts w:eastAsia="Times New Roman"/>
      <w:sz w:val="22"/>
      <w:lang w:bidi="ar-SA"/>
    </w:rPr>
  </w:style>
  <w:style w:type="paragraph" w:customStyle="1" w:styleId="a">
    <w:name w:val="_"/>
    <w:rsid w:val="005645C5"/>
    <w:pPr>
      <w:widowControl w:val="0"/>
      <w:ind w:left="720"/>
    </w:pPr>
    <w:rPr>
      <w:rFonts w:eastAsia="Times New Roman"/>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1"/>
      </w:numPr>
      <w:outlineLvl w:val="0"/>
    </w:pPr>
    <w:rPr>
      <w:rFonts w:ascii="Times" w:eastAsia="Times" w:hAnsi="Times"/>
      <w:b/>
      <w:szCs w:val="20"/>
    </w:rPr>
  </w:style>
  <w:style w:type="paragraph" w:styleId="Heading2">
    <w:name w:val="heading 2"/>
    <w:basedOn w:val="Normal"/>
    <w:next w:val="Normal"/>
    <w:link w:val="Heading2Char"/>
    <w:qFormat/>
    <w:rsid w:val="0085534A"/>
    <w:pPr>
      <w:keepNext/>
      <w:numPr>
        <w:ilvl w:val="1"/>
        <w:numId w:val="1"/>
      </w:numPr>
      <w:spacing w:before="240" w:after="60"/>
      <w:outlineLvl w:val="1"/>
    </w:pPr>
    <w:rPr>
      <w:rFonts w:ascii="Calibri" w:eastAsia="Times New Roman" w:hAnsi="Calibri"/>
      <w:b/>
      <w:bCs/>
      <w:i/>
      <w:iCs/>
      <w:sz w:val="28"/>
      <w:szCs w:val="28"/>
    </w:rPr>
  </w:style>
  <w:style w:type="paragraph" w:styleId="Heading3">
    <w:name w:val="heading 3"/>
    <w:basedOn w:val="Normal"/>
    <w:next w:val="Normal"/>
    <w:qFormat/>
    <w:rsid w:val="00AC156A"/>
    <w:pPr>
      <w:keepNext/>
      <w:numPr>
        <w:ilvl w:val="2"/>
        <w:numId w:val="1"/>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1"/>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rsid w:val="002462FB"/>
    <w:pPr>
      <w:tabs>
        <w:tab w:val="center" w:pos="4320"/>
        <w:tab w:val="right" w:pos="8640"/>
      </w:tabs>
    </w:pPr>
  </w:style>
  <w:style w:type="paragraph" w:styleId="Header">
    <w:name w:val="header"/>
    <w:basedOn w:val="Normal"/>
    <w:rsid w:val="002462FB"/>
    <w:pPr>
      <w:tabs>
        <w:tab w:val="center" w:pos="4320"/>
        <w:tab w:val="right" w:pos="8640"/>
      </w:tabs>
    </w:pPr>
  </w:style>
  <w:style w:type="character" w:styleId="LineNumber">
    <w:name w:val="line number"/>
    <w:basedOn w:val="DefaultParagraphFont"/>
    <w:rsid w:val="002462FB"/>
  </w:style>
  <w:style w:type="character" w:styleId="PageNumber">
    <w:name w:val="page number"/>
    <w:basedOn w:val="DefaultParagraphFont"/>
    <w:rsid w:val="002462FB"/>
  </w:style>
  <w:style w:type="table" w:styleId="TableGrid">
    <w:name w:val="Table Grid"/>
    <w:basedOn w:val="TableNormal"/>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semiHidden/>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eastAsia="ja-JP"/>
    </w:rPr>
  </w:style>
  <w:style w:type="paragraph" w:styleId="Caption">
    <w:name w:val="caption"/>
    <w:basedOn w:val="Normal"/>
    <w:next w:val="Normal"/>
    <w:qFormat/>
    <w:rsid w:val="00D912D2"/>
    <w:rPr>
      <w:b/>
      <w:bCs/>
      <w:sz w:val="20"/>
      <w:szCs w:val="20"/>
    </w:rPr>
  </w:style>
  <w:style w:type="paragraph" w:styleId="BodyTextIndent3">
    <w:name w:val="Body Text Indent 3"/>
    <w:basedOn w:val="Normal"/>
    <w:link w:val="BodyTextIndent3Char"/>
    <w:rsid w:val="00EB44F6"/>
    <w:pPr>
      <w:spacing w:after="120"/>
      <w:ind w:left="360"/>
    </w:pPr>
    <w:rPr>
      <w:sz w:val="16"/>
      <w:szCs w:val="16"/>
    </w:rPr>
  </w:style>
  <w:style w:type="character" w:customStyle="1" w:styleId="BodyTextIndent3Char">
    <w:name w:val="Body Text Indent 3 Char"/>
    <w:link w:val="BodyTextIndent3"/>
    <w:rsid w:val="00EB44F6"/>
    <w:rPr>
      <w:sz w:val="16"/>
      <w:szCs w:val="16"/>
      <w:lang w:eastAsia="ja-JP"/>
    </w:rPr>
  </w:style>
  <w:style w:type="paragraph" w:customStyle="1" w:styleId="P1-StandPara">
    <w:name w:val="P1-Stand Para"/>
    <w:link w:val="P1-StandParaChar"/>
    <w:rsid w:val="00EB44F6"/>
    <w:pPr>
      <w:spacing w:line="480" w:lineRule="auto"/>
      <w:ind w:firstLine="720"/>
    </w:pPr>
    <w:rPr>
      <w:rFonts w:eastAsia="Times New Roman"/>
      <w:sz w:val="22"/>
    </w:rPr>
  </w:style>
  <w:style w:type="paragraph" w:styleId="FootnoteText">
    <w:name w:val="footnote text"/>
    <w:aliases w:val="F1"/>
    <w:link w:val="FootnoteTextChar"/>
    <w:rsid w:val="00EB44F6"/>
    <w:pPr>
      <w:tabs>
        <w:tab w:val="left" w:pos="120"/>
      </w:tabs>
      <w:spacing w:before="120" w:line="200" w:lineRule="atLeast"/>
      <w:ind w:left="115" w:hanging="115"/>
      <w:jc w:val="both"/>
    </w:pPr>
    <w:rPr>
      <w:rFonts w:eastAsia="Times New Roman"/>
      <w:sz w:val="16"/>
    </w:rPr>
  </w:style>
  <w:style w:type="character" w:customStyle="1" w:styleId="FootnoteTextChar">
    <w:name w:val="Footnote Text Char"/>
    <w:aliases w:val="F1 Char"/>
    <w:link w:val="FootnoteText"/>
    <w:rsid w:val="00EB44F6"/>
    <w:rPr>
      <w:rFonts w:eastAsia="Times New Roman"/>
      <w:sz w:val="16"/>
      <w:lang w:bidi="ar-SA"/>
    </w:rPr>
  </w:style>
  <w:style w:type="character" w:styleId="FootnoteReference">
    <w:name w:val="footnote reference"/>
    <w:rsid w:val="00EB44F6"/>
    <w:rPr>
      <w:vertAlign w:val="superscript"/>
    </w:rPr>
  </w:style>
  <w:style w:type="paragraph" w:styleId="ListParagraph">
    <w:name w:val="List Paragraph"/>
    <w:basedOn w:val="Normal"/>
    <w:uiPriority w:val="34"/>
    <w:qFormat/>
    <w:rsid w:val="00EB44F6"/>
    <w:pPr>
      <w:spacing w:line="240" w:lineRule="atLeast"/>
      <w:ind w:left="720"/>
      <w:jc w:val="both"/>
    </w:pPr>
    <w:rPr>
      <w:rFonts w:eastAsia="Times New Roman"/>
      <w:sz w:val="22"/>
      <w:szCs w:val="20"/>
      <w:lang w:eastAsia="en-US"/>
    </w:rPr>
  </w:style>
  <w:style w:type="character" w:customStyle="1" w:styleId="P1-StandParaChar">
    <w:name w:val="P1-Stand Para Char"/>
    <w:link w:val="P1-StandPara"/>
    <w:rsid w:val="00EB44F6"/>
    <w:rPr>
      <w:rFonts w:eastAsia="Times New Roman"/>
      <w:sz w:val="22"/>
      <w:lang w:bidi="ar-SA"/>
    </w:rPr>
  </w:style>
  <w:style w:type="paragraph" w:customStyle="1" w:styleId="a">
    <w:name w:val="_"/>
    <w:rsid w:val="005645C5"/>
    <w:pPr>
      <w:widowControl w:val="0"/>
      <w:ind w:left="720"/>
    </w:pPr>
    <w:rPr>
      <w:rFonts w:eastAsia="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29408">
      <w:bodyDiv w:val="1"/>
      <w:marLeft w:val="0"/>
      <w:marRight w:val="0"/>
      <w:marTop w:val="0"/>
      <w:marBottom w:val="0"/>
      <w:divBdr>
        <w:top w:val="none" w:sz="0" w:space="0" w:color="auto"/>
        <w:left w:val="none" w:sz="0" w:space="0" w:color="auto"/>
        <w:bottom w:val="none" w:sz="0" w:space="0" w:color="auto"/>
        <w:right w:val="none" w:sz="0" w:space="0" w:color="auto"/>
      </w:divBdr>
    </w:div>
    <w:div w:id="263810666">
      <w:bodyDiv w:val="1"/>
      <w:marLeft w:val="0"/>
      <w:marRight w:val="0"/>
      <w:marTop w:val="0"/>
      <w:marBottom w:val="0"/>
      <w:divBdr>
        <w:top w:val="none" w:sz="0" w:space="0" w:color="auto"/>
        <w:left w:val="none" w:sz="0" w:space="0" w:color="auto"/>
        <w:bottom w:val="none" w:sz="0" w:space="0" w:color="auto"/>
        <w:right w:val="none" w:sz="0" w:space="0" w:color="auto"/>
      </w:divBdr>
    </w:div>
    <w:div w:id="408968498">
      <w:bodyDiv w:val="1"/>
      <w:marLeft w:val="0"/>
      <w:marRight w:val="0"/>
      <w:marTop w:val="0"/>
      <w:marBottom w:val="0"/>
      <w:divBdr>
        <w:top w:val="none" w:sz="0" w:space="0" w:color="auto"/>
        <w:left w:val="none" w:sz="0" w:space="0" w:color="auto"/>
        <w:bottom w:val="none" w:sz="0" w:space="0" w:color="auto"/>
        <w:right w:val="none" w:sz="0" w:space="0" w:color="auto"/>
      </w:divBdr>
    </w:div>
    <w:div w:id="445541693">
      <w:bodyDiv w:val="1"/>
      <w:marLeft w:val="0"/>
      <w:marRight w:val="0"/>
      <w:marTop w:val="0"/>
      <w:marBottom w:val="0"/>
      <w:divBdr>
        <w:top w:val="none" w:sz="0" w:space="0" w:color="auto"/>
        <w:left w:val="none" w:sz="0" w:space="0" w:color="auto"/>
        <w:bottom w:val="none" w:sz="0" w:space="0" w:color="auto"/>
        <w:right w:val="none" w:sz="0" w:space="0" w:color="auto"/>
      </w:divBdr>
    </w:div>
    <w:div w:id="557321180">
      <w:bodyDiv w:val="1"/>
      <w:marLeft w:val="0"/>
      <w:marRight w:val="0"/>
      <w:marTop w:val="0"/>
      <w:marBottom w:val="0"/>
      <w:divBdr>
        <w:top w:val="none" w:sz="0" w:space="0" w:color="auto"/>
        <w:left w:val="none" w:sz="0" w:space="0" w:color="auto"/>
        <w:bottom w:val="none" w:sz="0" w:space="0" w:color="auto"/>
        <w:right w:val="none" w:sz="0" w:space="0" w:color="auto"/>
      </w:divBdr>
    </w:div>
    <w:div w:id="605235651">
      <w:bodyDiv w:val="1"/>
      <w:marLeft w:val="0"/>
      <w:marRight w:val="0"/>
      <w:marTop w:val="0"/>
      <w:marBottom w:val="0"/>
      <w:divBdr>
        <w:top w:val="none" w:sz="0" w:space="0" w:color="auto"/>
        <w:left w:val="none" w:sz="0" w:space="0" w:color="auto"/>
        <w:bottom w:val="none" w:sz="0" w:space="0" w:color="auto"/>
        <w:right w:val="none" w:sz="0" w:space="0" w:color="auto"/>
      </w:divBdr>
    </w:div>
    <w:div w:id="755832383">
      <w:bodyDiv w:val="1"/>
      <w:marLeft w:val="0"/>
      <w:marRight w:val="0"/>
      <w:marTop w:val="0"/>
      <w:marBottom w:val="0"/>
      <w:divBdr>
        <w:top w:val="none" w:sz="0" w:space="0" w:color="auto"/>
        <w:left w:val="none" w:sz="0" w:space="0" w:color="auto"/>
        <w:bottom w:val="none" w:sz="0" w:space="0" w:color="auto"/>
        <w:right w:val="none" w:sz="0" w:space="0" w:color="auto"/>
      </w:divBdr>
    </w:div>
    <w:div w:id="868908092">
      <w:bodyDiv w:val="1"/>
      <w:marLeft w:val="0"/>
      <w:marRight w:val="0"/>
      <w:marTop w:val="0"/>
      <w:marBottom w:val="0"/>
      <w:divBdr>
        <w:top w:val="none" w:sz="0" w:space="0" w:color="auto"/>
        <w:left w:val="none" w:sz="0" w:space="0" w:color="auto"/>
        <w:bottom w:val="none" w:sz="0" w:space="0" w:color="auto"/>
        <w:right w:val="none" w:sz="0" w:space="0" w:color="auto"/>
      </w:divBdr>
    </w:div>
    <w:div w:id="874200574">
      <w:bodyDiv w:val="1"/>
      <w:marLeft w:val="0"/>
      <w:marRight w:val="0"/>
      <w:marTop w:val="0"/>
      <w:marBottom w:val="0"/>
      <w:divBdr>
        <w:top w:val="none" w:sz="0" w:space="0" w:color="auto"/>
        <w:left w:val="none" w:sz="0" w:space="0" w:color="auto"/>
        <w:bottom w:val="none" w:sz="0" w:space="0" w:color="auto"/>
        <w:right w:val="none" w:sz="0" w:space="0" w:color="auto"/>
      </w:divBdr>
    </w:div>
    <w:div w:id="919145151">
      <w:bodyDiv w:val="1"/>
      <w:marLeft w:val="0"/>
      <w:marRight w:val="0"/>
      <w:marTop w:val="0"/>
      <w:marBottom w:val="0"/>
      <w:divBdr>
        <w:top w:val="none" w:sz="0" w:space="0" w:color="auto"/>
        <w:left w:val="none" w:sz="0" w:space="0" w:color="auto"/>
        <w:bottom w:val="none" w:sz="0" w:space="0" w:color="auto"/>
        <w:right w:val="none" w:sz="0" w:space="0" w:color="auto"/>
      </w:divBdr>
    </w:div>
    <w:div w:id="956060037">
      <w:bodyDiv w:val="1"/>
      <w:marLeft w:val="0"/>
      <w:marRight w:val="0"/>
      <w:marTop w:val="0"/>
      <w:marBottom w:val="0"/>
      <w:divBdr>
        <w:top w:val="none" w:sz="0" w:space="0" w:color="auto"/>
        <w:left w:val="none" w:sz="0" w:space="0" w:color="auto"/>
        <w:bottom w:val="none" w:sz="0" w:space="0" w:color="auto"/>
        <w:right w:val="none" w:sz="0" w:space="0" w:color="auto"/>
      </w:divBdr>
    </w:div>
    <w:div w:id="1130440077">
      <w:bodyDiv w:val="1"/>
      <w:marLeft w:val="0"/>
      <w:marRight w:val="0"/>
      <w:marTop w:val="0"/>
      <w:marBottom w:val="0"/>
      <w:divBdr>
        <w:top w:val="none" w:sz="0" w:space="0" w:color="auto"/>
        <w:left w:val="none" w:sz="0" w:space="0" w:color="auto"/>
        <w:bottom w:val="none" w:sz="0" w:space="0" w:color="auto"/>
        <w:right w:val="none" w:sz="0" w:space="0" w:color="auto"/>
      </w:divBdr>
    </w:div>
    <w:div w:id="1399209217">
      <w:bodyDiv w:val="1"/>
      <w:marLeft w:val="0"/>
      <w:marRight w:val="0"/>
      <w:marTop w:val="0"/>
      <w:marBottom w:val="0"/>
      <w:divBdr>
        <w:top w:val="none" w:sz="0" w:space="0" w:color="auto"/>
        <w:left w:val="none" w:sz="0" w:space="0" w:color="auto"/>
        <w:bottom w:val="none" w:sz="0" w:space="0" w:color="auto"/>
        <w:right w:val="none" w:sz="0" w:space="0" w:color="auto"/>
      </w:divBdr>
    </w:div>
    <w:div w:id="1589073088">
      <w:bodyDiv w:val="1"/>
      <w:marLeft w:val="0"/>
      <w:marRight w:val="0"/>
      <w:marTop w:val="0"/>
      <w:marBottom w:val="0"/>
      <w:divBdr>
        <w:top w:val="none" w:sz="0" w:space="0" w:color="auto"/>
        <w:left w:val="none" w:sz="0" w:space="0" w:color="auto"/>
        <w:bottom w:val="none" w:sz="0" w:space="0" w:color="auto"/>
        <w:right w:val="none" w:sz="0" w:space="0" w:color="auto"/>
      </w:divBdr>
    </w:div>
    <w:div w:id="1856454345">
      <w:bodyDiv w:val="1"/>
      <w:marLeft w:val="0"/>
      <w:marRight w:val="0"/>
      <w:marTop w:val="0"/>
      <w:marBottom w:val="0"/>
      <w:divBdr>
        <w:top w:val="none" w:sz="0" w:space="0" w:color="auto"/>
        <w:left w:val="none" w:sz="0" w:space="0" w:color="auto"/>
        <w:bottom w:val="none" w:sz="0" w:space="0" w:color="auto"/>
        <w:right w:val="none" w:sz="0" w:space="0" w:color="auto"/>
      </w:divBdr>
    </w:div>
    <w:div w:id="1860774946">
      <w:bodyDiv w:val="1"/>
      <w:marLeft w:val="0"/>
      <w:marRight w:val="0"/>
      <w:marTop w:val="0"/>
      <w:marBottom w:val="0"/>
      <w:divBdr>
        <w:top w:val="none" w:sz="0" w:space="0" w:color="auto"/>
        <w:left w:val="none" w:sz="0" w:space="0" w:color="auto"/>
        <w:bottom w:val="none" w:sz="0" w:space="0" w:color="auto"/>
        <w:right w:val="none" w:sz="0" w:space="0" w:color="auto"/>
      </w:divBdr>
    </w:div>
    <w:div w:id="1869179582">
      <w:bodyDiv w:val="1"/>
      <w:marLeft w:val="0"/>
      <w:marRight w:val="0"/>
      <w:marTop w:val="0"/>
      <w:marBottom w:val="0"/>
      <w:divBdr>
        <w:top w:val="none" w:sz="0" w:space="0" w:color="auto"/>
        <w:left w:val="none" w:sz="0" w:space="0" w:color="auto"/>
        <w:bottom w:val="none" w:sz="0" w:space="0" w:color="auto"/>
        <w:right w:val="none" w:sz="0" w:space="0" w:color="auto"/>
      </w:divBdr>
    </w:div>
    <w:div w:id="205268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pm.gov/policy-data-oversight/pay-leave/salaries-wages/salary-tables/pdf/2014/DCB.pdf"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93449-C438-44D8-B58E-421A41BE9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NIH INTRAMURAL RESEARCH TRAINING AWARD</vt:lpstr>
    </vt:vector>
  </TitlesOfParts>
  <Company>NIH</Company>
  <LinksUpToDate>false</LinksUpToDate>
  <CharactersWithSpaces>12754</CharactersWithSpaces>
  <SharedDoc>false</SharedDoc>
  <HLinks>
    <vt:vector size="18" baseType="variant">
      <vt:variant>
        <vt:i4>3211361</vt:i4>
      </vt:variant>
      <vt:variant>
        <vt:i4>6</vt:i4>
      </vt:variant>
      <vt:variant>
        <vt:i4>0</vt:i4>
      </vt:variant>
      <vt:variant>
        <vt:i4>5</vt:i4>
      </vt:variant>
      <vt:variant>
        <vt:lpwstr/>
      </vt:variant>
      <vt:variant>
        <vt:lpwstr>A13</vt:lpwstr>
      </vt:variant>
      <vt:variant>
        <vt:i4>3407967</vt:i4>
      </vt:variant>
      <vt:variant>
        <vt:i4>3</vt:i4>
      </vt:variant>
      <vt:variant>
        <vt:i4>0</vt:i4>
      </vt:variant>
      <vt:variant>
        <vt:i4>5</vt:i4>
      </vt:variant>
      <vt:variant>
        <vt:lpwstr>http://www.bls.gov/oes/current/oes_nat.htm</vt:lpwstr>
      </vt:variant>
      <vt:variant>
        <vt:lpwstr/>
      </vt:variant>
      <vt:variant>
        <vt:i4>6356993</vt:i4>
      </vt:variant>
      <vt:variant>
        <vt:i4>0</vt:i4>
      </vt:variant>
      <vt:variant>
        <vt:i4>0</vt:i4>
      </vt:variant>
      <vt:variant>
        <vt:i4>5</vt:i4>
      </vt:variant>
      <vt:variant>
        <vt:lpwstr>mailto:privacy@mail.nih.gov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INTRAMURAL RESEARCH TRAINING AWARD</dc:title>
  <dc:creator>Patty Wagner</dc:creator>
  <cp:lastModifiedBy>Currie, Mikia (NIH/OD) [E]</cp:lastModifiedBy>
  <cp:revision>3</cp:revision>
  <cp:lastPrinted>2010-05-05T13:31:00Z</cp:lastPrinted>
  <dcterms:created xsi:type="dcterms:W3CDTF">2015-02-04T20:35:00Z</dcterms:created>
  <dcterms:modified xsi:type="dcterms:W3CDTF">2015-02-04T20:36:00Z</dcterms:modified>
</cp:coreProperties>
</file>