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06" w:rsidRPr="008D07EA" w:rsidRDefault="00E42FA6" w:rsidP="00FB0B06">
      <w:pPr>
        <w:pStyle w:val="Heading1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Attachment 4:  </w:t>
      </w:r>
      <w:r w:rsidR="00FB0B06" w:rsidRPr="008D07EA">
        <w:rPr>
          <w:rFonts w:ascii="Times New Roman" w:hAnsi="Times New Roman"/>
          <w:sz w:val="24"/>
          <w:szCs w:val="24"/>
        </w:rPr>
        <w:t>Literature review list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sz w:val="24"/>
          <w:szCs w:val="24"/>
        </w:rPr>
        <w:fldChar w:fldCharType="begin"/>
      </w:r>
      <w:r w:rsidRPr="008D07EA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8D07EA">
        <w:rPr>
          <w:rFonts w:ascii="Times New Roman" w:hAnsi="Times New Roman" w:cs="Times New Roman"/>
          <w:sz w:val="24"/>
          <w:szCs w:val="24"/>
        </w:rPr>
        <w:fldChar w:fldCharType="separate"/>
      </w:r>
      <w:r w:rsidRPr="008D07EA">
        <w:rPr>
          <w:rFonts w:ascii="Times New Roman" w:hAnsi="Times New Roman" w:cs="Times New Roman"/>
          <w:noProof/>
          <w:sz w:val="24"/>
          <w:szCs w:val="24"/>
        </w:rPr>
        <w:t>Ajzen, I. (1985). From intentions to actions: A theory of planned behavior. In J. Kuhl &amp; J. Be</w:t>
      </w:r>
      <w:bookmarkStart w:id="0" w:name="_GoBack"/>
      <w:bookmarkEnd w:id="0"/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ckmann (Eds.),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Action control: From cognition to behavior</w:t>
      </w:r>
      <w:r w:rsidRPr="008D07EA">
        <w:rPr>
          <w:rFonts w:ascii="Times New Roman" w:hAnsi="Times New Roman" w:cs="Times New Roman"/>
          <w:noProof/>
          <w:sz w:val="24"/>
          <w:szCs w:val="24"/>
        </w:rPr>
        <w:t>. Berlin, Heidelber, New York: Springer-Vrlag.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Ajzen, I. (1991). The theory of planned behavior.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Organizational Behavior and Human Decision Processes, 50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, 179-211.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Ajzen, I., &amp; Fishbein, M. (1980).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Understanding attitudes and predicting social behavior</w:t>
      </w:r>
      <w:r w:rsidRPr="008D07EA">
        <w:rPr>
          <w:rFonts w:ascii="Times New Roman" w:hAnsi="Times New Roman" w:cs="Times New Roman"/>
          <w:noProof/>
          <w:sz w:val="24"/>
          <w:szCs w:val="24"/>
        </w:rPr>
        <w:t>. Englewood Cliffs, NJ: Prentice-Hall.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Armstrong, A. W., Watson, A. J., Makredes, M., Frangos, J. E., Kimball, A. B., &amp; Kvedar, J. C. (2009). Text-message reminders to improve sunscreen use: a randomized, controlled trial using electronic monitoring.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Arch Dermatol, 145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(11), 1230-1236. doi: 10.1001/archdermatol.2009.269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Arnett, J. J. (2000). Emerging adulthood. A theory of development from the late teens through the twenties.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Am Psychol, 55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, 469-480.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Baer, J. S., &amp; Lichtenstein, E. (1988). Classification and prediction of smoking relapse episodes: an exploration of individual differences.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J Consult Clin Psychol, 56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(1), 104-110.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Balch, G. I., Tworek, C., Barker, D. C., Sasso, B., Mermelstein, R., &amp; Giovino, G. A. (2004). Opportunities for youth smoking cessation: findings from a national focus group study.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Nicotine Tob Res, 6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(1), 9-17. doi: 10.1080/1462200310001650812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Bandura, A. (1985).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Social foundations of thought and action</w:t>
      </w:r>
      <w:r w:rsidRPr="008D07EA">
        <w:rPr>
          <w:rFonts w:ascii="Times New Roman" w:hAnsi="Times New Roman" w:cs="Times New Roman"/>
          <w:noProof/>
          <w:sz w:val="24"/>
          <w:szCs w:val="24"/>
        </w:rPr>
        <w:t>. Englewood Cliffs, NJ: Prentice-Hall.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Brendryen, H., &amp; Kraft, P. (2008). Happy ending: a randomized controlled trial of a digital multi-media smoking cessation intervention.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Addiction, 103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(3), 478-484; discussion 485-476. doi: 10.1111/j.1360-0443.2007.02119.x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Burdein, I. B. (2011).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The Pledge Test Encouraging Accurate Reporting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. Paper presented at the American Association of Public Opinion Reporting.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Castiglioni, L., Pforr, K., &amp; Krieger, U. (2008). 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The effect of incentives on response rates and panel attrition: Results of a controlled experiment.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Survey Research Methods, 2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(3), 151-158.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Church, A. H. (1993). Estimating the effect of incentives on mail survey response rates: a meta-analysis.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Public Opinion Quarterly, 57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, 62-79.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Cohen, S., Kamarck, T., &amp; Mermelstein, R. (1983). A global measure of perceived stress.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J Health Soc Behav, 24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(4), 385-396.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Cohen, S., &amp; Lichtenstein, E. (1990). Perceived stress, quitting smoking, and smoking relapse.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Health Psychol, 9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(4), 466-478.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>Cole-Lewis, H. (2011). Behavior change techniques sued by the Teen SmokefreeTXT Intervention: Report prepared for MMG.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Collins, L. M., Baker, T. B., Mermelstein, R. J., Piper, M. E., Jorenby, D. E., Smith, S. S., Fiore, M. C. (2011). The multiphase optimization strategy for engineering effective tobacco use interventions.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Ann Behav Med, 41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(2), 208-226. doi: 10.1007/s12160-010-9253-x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Copeland, A. L., Brandon, T. H., &amp; Quinn, E. P. (1995). The Smoking Consequences Questionnaire-Adults: Measurement of smoking outcome expectancies of experienced smokers.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Psychological Assessment, 7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, 484-494.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CTIA.). Wireless Quick Facts  Retrieved March 1, 2012, from </w:t>
      </w:r>
      <w:hyperlink r:id="rId8" w:history="1">
        <w:r w:rsidRPr="008D07E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http://www.ctia.org/advocacy/research/index.cfm/aid/10323</w:t>
        </w:r>
      </w:hyperlink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Doll, R., Peto, R., Boreham, J., &amp; Sutherland, I. (2004). Mortality in relation to smoking: 50 years' observations on male British doctors. [Research Support, Non-U.S. Gov't].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BMJ, 328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(7455), 1519. doi: 10.1136/bmj.38142.554479.AE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Doll, R., Peto, R., Boreham, J., &amp; Sutherland, I. (2005). Mortality from cancer in relation to smoking: 50 years observations on British doctors.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Br J Cancer, 92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(3), 426-429. doi: 10.1038/sj.bjc.6602359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Federal Communication Commission.). Cellular service  Retrieved March 1, 2012, from </w:t>
      </w:r>
      <w:hyperlink r:id="rId9" w:history="1">
        <w:r w:rsidRPr="008D07E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http://www.fcc.gov/encyclopedia/cellular-service</w:t>
        </w:r>
      </w:hyperlink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Fishbein, A., &amp; Ajzen, I. (2010).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Predicting and changing behavior: The reasoned action approach</w:t>
      </w:r>
      <w:r w:rsidRPr="008D07EA">
        <w:rPr>
          <w:rFonts w:ascii="Times New Roman" w:hAnsi="Times New Roman" w:cs="Times New Roman"/>
          <w:noProof/>
          <w:sz w:val="24"/>
          <w:szCs w:val="24"/>
        </w:rPr>
        <w:t>. New York: Psychology Press (Taylor &amp; Francis).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Free, C., Knight, R., Robertson, S., Whittaker, R., Edwards, P., Zhou, W., . . . Roberts, I. (2011). Smoking cessation support delivered via mobile phone text messaging (txt2stop): a single-blind, randomised trial.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Lancet, 378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(9785), 49-55. doi: 10.1016/s0140-6736(11)60701-0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Grimshaw, G. M., &amp; Stanton, A. (2006). Tobacco cessation interventions for young people.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Cochrane Database Syst Rev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(4), CD003289. doi: 10.1002/14651858.CD003289.pub4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Hammond, D. (2005). Smoking behavior among young aduls: Beyond youth prevention.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Tob Control, 14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, 181-185.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Haug, S., Meyer, C., Dymalski, A., Lippke, S., &amp; John, U. (2012). Efficacy of a text messaging (SMS) based smoking cessation intervention for adolescents and young adults: study protocol of a cluster randomised controlled trial.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BMC Public Health, 12</w:t>
      </w:r>
      <w:r w:rsidRPr="008D07EA">
        <w:rPr>
          <w:rFonts w:ascii="Times New Roman" w:hAnsi="Times New Roman" w:cs="Times New Roman"/>
          <w:noProof/>
          <w:sz w:val="24"/>
          <w:szCs w:val="24"/>
        </w:rPr>
        <w:t>, 51. doi: 10.1186/1471-2458-12-51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de-DE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Hurling, R., Catt, M., Boni, M. D., Fairley, B. W., Hurst, T., Murray, P., . . . Sodhi, J. S. (2007). Using internet and mobile phone technology to deliver an automated physical activity program: randomized controlled trial. </w:t>
      </w:r>
      <w:r w:rsidRPr="008D07EA">
        <w:rPr>
          <w:rFonts w:ascii="Times New Roman" w:hAnsi="Times New Roman" w:cs="Times New Roman"/>
          <w:i/>
          <w:noProof/>
          <w:sz w:val="24"/>
          <w:szCs w:val="24"/>
          <w:lang w:val="de-DE"/>
        </w:rPr>
        <w:t>J Med Internet Res, 9</w:t>
      </w:r>
      <w:r w:rsidRPr="008D07EA">
        <w:rPr>
          <w:rFonts w:ascii="Times New Roman" w:hAnsi="Times New Roman" w:cs="Times New Roman"/>
          <w:noProof/>
          <w:sz w:val="24"/>
          <w:szCs w:val="24"/>
          <w:lang w:val="de-DE"/>
        </w:rPr>
        <w:t>(2), e7. doi: 10.2196/jmir.9.2.e7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Jackle, A., &amp; Lynn, P. (2008). 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Respondent incentives in a multi-mode panel survey: Cumulative effects on nonresponse and bias.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Survey Methodology, 34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(1), 105-117.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Lefebvre, C. (2009). Integrating cell phones and mobile technologies into public health practice: a social marketing perspective.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Health Promot Pract, 10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(4), 490-494. doi: 10.1177/1524839909342849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Lengacher, J. E., Sullivan, C. M., Couper, M. P., &amp; Groves, R. M. (1995).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Once reluctant, always reluctant? Effects of differential incentives on later survey participation in a longitudinal study</w:t>
      </w:r>
      <w:r w:rsidRPr="008D07EA">
        <w:rPr>
          <w:rFonts w:ascii="Times New Roman" w:hAnsi="Times New Roman" w:cs="Times New Roman"/>
          <w:noProof/>
          <w:sz w:val="24"/>
          <w:szCs w:val="24"/>
        </w:rPr>
        <w:t>: Survey Research Center, University of Michigan.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McClernon, F. J., Kozink, R. V., Lutz, A. M., &amp; Rose, J. E. (2009). 24-h smoking abstinence potentiates fMRI-BOLD activation to smoking cues in cerebral cortex and dorsal striatum.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Psychopharmacology (Berl), 204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(1), 25-35. doi: 10.1007/s00213-008-1436-9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McCormick, L. K., Crawford, M., Anderson, R. H., Gittelsohn, J., Kingsley, B., &amp; Upson, D. (1999). Recruiting adolescents into qualitative tobacco research studies: experiences and lessons learned.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J Sch Health, 69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(3), 95-99.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Mermelstein, R., Colby, S. M., Patten, C., Prokhorov, A., Brown, R., Myers, M., . . . McDonald, P. (2002). Methodological issues in measuring treatment outcome in adolescent smoking cessation studies.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Nicotine Tob Res, 4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(4), 395-403. doi: 10.1080/1462220021000018470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Militello, L. K., Kelly, S. A., &amp; Melnyk, B. M. (2012). Systematic review of text-messaging interventions to promote healthy behaviors in pediatric and adolescent populations: implications for clinical practice and research.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Worldviews Evid Based Nurs, 9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(2), 66-77. doi: 10.1111/j.1741-6787.2011.00239.x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Newton, K. H., Wiltshire, E. J., &amp; Elley, C. R. (2009). Pedometers and text messaging to increase physical activity: randomized controlled trial of adolescents with type 1 diabetes.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Diabetes Care, 32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(5), 813-815. doi: 10.2337/dc08-1974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Pew Research Center. (2010). Social media and mobile internet use among teens and young adults, from </w:t>
      </w:r>
      <w:hyperlink r:id="rId10" w:history="1">
        <w:r w:rsidRPr="008D07E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http://www.pewinternet.org/~/media//Files/Reports/2010/PIP_Social_Media_and_Young_Adults_Report_Final_with_toplines.pdf</w:t>
        </w:r>
      </w:hyperlink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Rami, B., Popow, C., Horn, W., Waldhoer, T., &amp; Schober, E. (2006). Telemedical support to improve glycemic control in adolescents with type 1 diabetes mellitus.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Eur J Pediatr, 165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(10), 701-705. doi: 10.1007/s00431-006-0156-6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Rodgers, A., Corbett, T., Bramley, D., Riddell, T., Wills, M., Lin, R. B., &amp; Jones, M. (2005). Do u smoke after txt? Results of a randomised trial of smoking cessation using mobile phone text messaging.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Tob Control, 14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(4), 255-261. doi: 10.1136/tc.2005.011577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Singer, E., Groves, R. M., &amp; Corning, A. D. (1999). Differential incentives: Beliefs about practices, perceptions of equity, and effects on survey participation.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Public Opinion Quarterly, 63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(2), 251-260.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Thorne, S. L., Malarcher, A., Maurice, E., &amp; Caraballo, R. (2008). Cigarette smoking adults - U.S., 2007.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MMWR Morb Mortal Wkly Rep, 57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, 1221-1226.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Time Magazine. (2012). All-TIME 100 Gadgets.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Time Magazine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  Retrieved March 1, from </w:t>
      </w:r>
      <w:hyperlink r:id="rId11" w:history="1">
        <w:r w:rsidRPr="008D07E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http://www.time.com/time/specials/packages/article/0,28804,2023689_2023708_2023656,00.html</w:t>
        </w:r>
      </w:hyperlink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Villanti, A. C., McKay, H. S., Abrams, D. B., Holtgrave, D. R., &amp; Bowie, J. V. (2010). Smoking-cessation interventions for U.S. young adults: a systematic review.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Am J Prev Med, 39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(6), 564-574. doi: 10.1016/j.amepre.2010.08.009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Vuckovic, N., Polen, M. R., &amp; Hollis, J. F. (2003). The problem is getting us to stop. What teens say about smoking cessation.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Prev Med, 37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(3), 209-218.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West, R. (2006).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Theory of addiction</w:t>
      </w:r>
      <w:r w:rsidRPr="008D07EA">
        <w:rPr>
          <w:rFonts w:ascii="Times New Roman" w:hAnsi="Times New Roman" w:cs="Times New Roman"/>
          <w:noProof/>
          <w:sz w:val="24"/>
          <w:szCs w:val="24"/>
        </w:rPr>
        <w:t>. Oxford: Wiley-Blackwell.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West, R. (2009). The multiple facets of cigarette addiction and what they mean for encouraging and helping smokers to stop.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COPD, 6</w:t>
      </w: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(4), 277-283. 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Whittaker, R., Borland, R., Bullen, C., Lin, R. B., McRobbie, H., &amp; Rodgers, A. (2009). Mobile phone-based interventions for smoking cessation.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Cochrane Database Syst Rev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(4), CD006611. doi: 10.1002/14651858.CD006611.pub2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Whittaker, R., Merry, S., Stasiak, K., McDowell, H., Doherty, I., Shepherd, M., . . . Rodgers, A. (2012). MEMO--a mobile phone depression prevention intervention for adolescents: development process and postprogram findings on acceptability from a randomized controlled trial.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J Med Internet Res, 14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(1), e13. doi: 10.2196/jmir.1857</w:t>
      </w:r>
    </w:p>
    <w:p w:rsidR="00FB0B06" w:rsidRPr="008D07EA" w:rsidRDefault="00FB0B06" w:rsidP="00E42FA6">
      <w:pPr>
        <w:spacing w:before="120"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D07EA">
        <w:rPr>
          <w:rFonts w:ascii="Times New Roman" w:hAnsi="Times New Roman" w:cs="Times New Roman"/>
          <w:noProof/>
          <w:sz w:val="24"/>
          <w:szCs w:val="24"/>
        </w:rPr>
        <w:t xml:space="preserve">Zhu, S. H., Sun, J., Billings, S. C., Choi, W. S., &amp; Malarcher, A. (1999). Predictors of smoking cessation in U.S. adolescents. </w:t>
      </w:r>
      <w:r w:rsidRPr="008D07EA">
        <w:rPr>
          <w:rFonts w:ascii="Times New Roman" w:hAnsi="Times New Roman" w:cs="Times New Roman"/>
          <w:i/>
          <w:noProof/>
          <w:sz w:val="24"/>
          <w:szCs w:val="24"/>
        </w:rPr>
        <w:t>Am J Prev Med, 16</w:t>
      </w:r>
      <w:r w:rsidRPr="008D07EA">
        <w:rPr>
          <w:rFonts w:ascii="Times New Roman" w:hAnsi="Times New Roman" w:cs="Times New Roman"/>
          <w:noProof/>
          <w:sz w:val="24"/>
          <w:szCs w:val="24"/>
        </w:rPr>
        <w:t>(3), 202-207.</w:t>
      </w:r>
    </w:p>
    <w:p w:rsidR="00496505" w:rsidRPr="008D07EA" w:rsidRDefault="00FB0B06" w:rsidP="00E42FA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D07EA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96505" w:rsidRPr="008D07E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06" w:rsidRDefault="00FB0B06" w:rsidP="00FB0B06">
      <w:pPr>
        <w:spacing w:after="0" w:line="240" w:lineRule="auto"/>
      </w:pPr>
      <w:r>
        <w:separator/>
      </w:r>
    </w:p>
  </w:endnote>
  <w:endnote w:type="continuationSeparator" w:id="0">
    <w:p w:rsidR="00FB0B06" w:rsidRDefault="00FB0B06" w:rsidP="00FB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78" w:rsidRDefault="00984C94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998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7EA" w:rsidRDefault="008D07E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F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3378" w:rsidRDefault="00984C94" w:rsidP="003E1F2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06" w:rsidRDefault="00FB0B06" w:rsidP="00FB0B06">
      <w:pPr>
        <w:spacing w:after="0" w:line="240" w:lineRule="auto"/>
      </w:pPr>
      <w:r>
        <w:separator/>
      </w:r>
    </w:p>
  </w:footnote>
  <w:footnote w:type="continuationSeparator" w:id="0">
    <w:p w:rsidR="00FB0B06" w:rsidRDefault="00FB0B06" w:rsidP="00FB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78" w:rsidRDefault="00FB0B06" w:rsidP="00B74861">
    <w:pPr>
      <w:pStyle w:val="Header"/>
      <w:pBdr>
        <w:bottom w:val="single" w:sz="8" w:space="1" w:color="auto"/>
      </w:pBdr>
    </w:pPr>
    <w:r>
      <w:t xml:space="preserve">Evaluation of NCI’s </w:t>
    </w:r>
    <w:proofErr w:type="spellStart"/>
    <w:r>
      <w:t>SmokefreeTXT</w:t>
    </w:r>
    <w:proofErr w:type="spellEnd"/>
    <w:r>
      <w:t xml:space="preserve"> Program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8AC" w:rsidRPr="00984C94" w:rsidRDefault="00D128AC" w:rsidP="00D128AC">
    <w:pPr>
      <w:pStyle w:val="Header"/>
      <w:rPr>
        <w:rFonts w:ascii="Times New Roman" w:hAnsi="Times New Roman"/>
        <w:i w:val="0"/>
        <w:sz w:val="28"/>
        <w:szCs w:val="28"/>
      </w:rPr>
    </w:pPr>
    <w:r w:rsidRPr="00984C94">
      <w:rPr>
        <w:rFonts w:ascii="Times New Roman" w:hAnsi="Times New Roman"/>
        <w:i w:val="0"/>
        <w:sz w:val="28"/>
        <w:szCs w:val="28"/>
      </w:rPr>
      <w:t>SFTXT – Attachment 4</w:t>
    </w:r>
  </w:p>
  <w:p w:rsidR="00D128AC" w:rsidRDefault="00D128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B06" w:rsidRPr="008D07EA" w:rsidRDefault="008D07EA">
    <w:pPr>
      <w:pStyle w:val="Header"/>
      <w:rPr>
        <w:rFonts w:ascii="Times New Roman" w:hAnsi="Times New Roman"/>
        <w:sz w:val="24"/>
      </w:rPr>
    </w:pPr>
    <w:r w:rsidRPr="008D07EA">
      <w:rPr>
        <w:rFonts w:ascii="Times New Roman" w:hAnsi="Times New Roman"/>
        <w:sz w:val="24"/>
      </w:rPr>
      <w:t xml:space="preserve">SSA </w:t>
    </w:r>
    <w:r w:rsidR="00FB0B06" w:rsidRPr="008D07EA">
      <w:rPr>
        <w:rFonts w:ascii="Times New Roman" w:hAnsi="Times New Roman"/>
        <w:sz w:val="24"/>
      </w:rPr>
      <w:t xml:space="preserve">SFTXT– Attachment </w:t>
    </w:r>
    <w:r w:rsidR="00BD5FB5" w:rsidRPr="008D07EA">
      <w:rPr>
        <w:rFonts w:ascii="Times New Roman" w:hAnsi="Times New Roman"/>
        <w:sz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6039"/>
    <w:multiLevelType w:val="multilevel"/>
    <w:tmpl w:val="154ED458"/>
    <w:numStyleLink w:val="Format4"/>
  </w:abstractNum>
  <w:abstractNum w:abstractNumId="1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06"/>
    <w:rsid w:val="00492624"/>
    <w:rsid w:val="00496505"/>
    <w:rsid w:val="008D07EA"/>
    <w:rsid w:val="00984C94"/>
    <w:rsid w:val="00BD5FB5"/>
    <w:rsid w:val="00D128AC"/>
    <w:rsid w:val="00E42FA6"/>
    <w:rsid w:val="00FB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0B06"/>
    <w:pPr>
      <w:keepNext/>
      <w:numPr>
        <w:numId w:val="2"/>
      </w:numPr>
      <w:spacing w:before="240" w:after="240" w:line="240" w:lineRule="auto"/>
      <w:jc w:val="center"/>
      <w:outlineLvl w:val="0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uiPriority w:val="9"/>
    <w:qFormat/>
    <w:rsid w:val="00FB0B06"/>
    <w:pPr>
      <w:keepNext/>
      <w:keepLines/>
      <w:numPr>
        <w:ilvl w:val="1"/>
        <w:numId w:val="2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FB0B06"/>
    <w:pPr>
      <w:keepNext/>
      <w:keepLines/>
      <w:numPr>
        <w:ilvl w:val="2"/>
        <w:numId w:val="2"/>
      </w:numPr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0B06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0B06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B0B06"/>
    <w:rPr>
      <w:rFonts w:ascii="Verdana" w:eastAsia="MS Mincho" w:hAnsi="Verdana" w:cs="Times New Roman"/>
      <w:b/>
      <w:i/>
      <w:szCs w:val="20"/>
    </w:rPr>
  </w:style>
  <w:style w:type="character" w:styleId="Hyperlink">
    <w:name w:val="Hyperlink"/>
    <w:rsid w:val="00FB0B06"/>
    <w:rPr>
      <w:color w:val="0000FF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FB0B06"/>
    <w:pPr>
      <w:spacing w:after="0" w:line="240" w:lineRule="auto"/>
    </w:pPr>
    <w:rPr>
      <w:rFonts w:ascii="Verdana" w:eastAsia="MS Mincho" w:hAnsi="Verdana" w:cs="Times New Roman"/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B0B06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B0B06"/>
    <w:pPr>
      <w:pBdr>
        <w:bottom w:val="single" w:sz="2" w:space="3" w:color="auto"/>
      </w:pBdr>
      <w:spacing w:after="0" w:line="240" w:lineRule="auto"/>
    </w:pPr>
    <w:rPr>
      <w:rFonts w:ascii="Verdana" w:eastAsia="MS Mincho" w:hAnsi="Verdana" w:cs="Times New Roman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0B06"/>
    <w:rPr>
      <w:rFonts w:ascii="Verdana" w:eastAsia="MS Mincho" w:hAnsi="Verdana" w:cs="Times New Roman"/>
      <w:i/>
      <w:sz w:val="18"/>
      <w:szCs w:val="20"/>
    </w:rPr>
  </w:style>
  <w:style w:type="numbering" w:customStyle="1" w:styleId="Format4">
    <w:name w:val="Format4"/>
    <w:rsid w:val="00FB0B06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0B06"/>
    <w:pPr>
      <w:keepNext/>
      <w:numPr>
        <w:numId w:val="2"/>
      </w:numPr>
      <w:spacing w:before="240" w:after="240" w:line="240" w:lineRule="auto"/>
      <w:jc w:val="center"/>
      <w:outlineLvl w:val="0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uiPriority w:val="9"/>
    <w:qFormat/>
    <w:rsid w:val="00FB0B06"/>
    <w:pPr>
      <w:keepNext/>
      <w:keepLines/>
      <w:numPr>
        <w:ilvl w:val="1"/>
        <w:numId w:val="2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FB0B06"/>
    <w:pPr>
      <w:keepNext/>
      <w:keepLines/>
      <w:numPr>
        <w:ilvl w:val="2"/>
        <w:numId w:val="2"/>
      </w:numPr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0B06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0B06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B0B06"/>
    <w:rPr>
      <w:rFonts w:ascii="Verdana" w:eastAsia="MS Mincho" w:hAnsi="Verdana" w:cs="Times New Roman"/>
      <w:b/>
      <w:i/>
      <w:szCs w:val="20"/>
    </w:rPr>
  </w:style>
  <w:style w:type="character" w:styleId="Hyperlink">
    <w:name w:val="Hyperlink"/>
    <w:rsid w:val="00FB0B06"/>
    <w:rPr>
      <w:color w:val="0000FF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FB0B06"/>
    <w:pPr>
      <w:spacing w:after="0" w:line="240" w:lineRule="auto"/>
    </w:pPr>
    <w:rPr>
      <w:rFonts w:ascii="Verdana" w:eastAsia="MS Mincho" w:hAnsi="Verdana" w:cs="Times New Roman"/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B0B06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B0B06"/>
    <w:pPr>
      <w:pBdr>
        <w:bottom w:val="single" w:sz="2" w:space="3" w:color="auto"/>
      </w:pBdr>
      <w:spacing w:after="0" w:line="240" w:lineRule="auto"/>
    </w:pPr>
    <w:rPr>
      <w:rFonts w:ascii="Verdana" w:eastAsia="MS Mincho" w:hAnsi="Verdana" w:cs="Times New Roman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0B06"/>
    <w:rPr>
      <w:rFonts w:ascii="Verdana" w:eastAsia="MS Mincho" w:hAnsi="Verdana" w:cs="Times New Roman"/>
      <w:i/>
      <w:sz w:val="18"/>
      <w:szCs w:val="20"/>
    </w:rPr>
  </w:style>
  <w:style w:type="numbering" w:customStyle="1" w:styleId="Format4">
    <w:name w:val="Format4"/>
    <w:rsid w:val="00FB0B06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ia.org/advocacy/research/index.cfm/aid/10323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ime.com/time/specials/packages/article/0,28804,2023689_2023708_2023656,00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ewinternet.org/~/media//Files/Reports/2010/PIP_Social_Media_and_Young_Adults_Report_Final_with_toplin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c.gov/encyclopedia/cellular-servi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Ketchum Inc</Company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sandera1</dc:creator>
  <cp:keywords/>
  <dc:description/>
  <cp:lastModifiedBy> Vivian Horovitch-Kelley</cp:lastModifiedBy>
  <cp:revision>6</cp:revision>
  <dcterms:created xsi:type="dcterms:W3CDTF">2012-11-16T17:39:00Z</dcterms:created>
  <dcterms:modified xsi:type="dcterms:W3CDTF">2012-11-23T20:29:00Z</dcterms:modified>
</cp:coreProperties>
</file>