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4D1" w:rsidRPr="003D773E" w:rsidRDefault="008544D1" w:rsidP="003D773E">
      <w:pPr>
        <w:rPr>
          <w:sz w:val="20"/>
          <w:szCs w:val="20"/>
        </w:rPr>
      </w:pPr>
    </w:p>
    <w:p w:rsidR="008544D1" w:rsidRDefault="008544D1" w:rsidP="008544D1">
      <w:pPr>
        <w:jc w:val="center"/>
        <w:rPr>
          <w:b/>
        </w:rPr>
      </w:pPr>
    </w:p>
    <w:p w:rsidR="00380EA1" w:rsidRDefault="008544D1" w:rsidP="008544D1">
      <w:pPr>
        <w:jc w:val="center"/>
        <w:rPr>
          <w:b/>
        </w:rPr>
      </w:pPr>
      <w:r>
        <w:rPr>
          <w:b/>
        </w:rPr>
        <w:t xml:space="preserve">Supporting Statement (Part A: Justification) of the Request for </w:t>
      </w:r>
      <w:r>
        <w:rPr>
          <w:b/>
        </w:rPr>
        <w:br/>
        <w:t>OMB Review and Approval of</w:t>
      </w:r>
      <w:r w:rsidR="00016C0E">
        <w:rPr>
          <w:b/>
        </w:rPr>
        <w:t xml:space="preserve"> </w:t>
      </w:r>
    </w:p>
    <w:p w:rsidR="008544D1" w:rsidRDefault="008544D1" w:rsidP="008544D1">
      <w:pPr>
        <w:jc w:val="center"/>
        <w:rPr>
          <w:b/>
        </w:rPr>
      </w:pPr>
    </w:p>
    <w:p w:rsidR="005856AA" w:rsidRDefault="005856AA" w:rsidP="008544D1">
      <w:pPr>
        <w:jc w:val="center"/>
        <w:rPr>
          <w:b/>
        </w:rPr>
      </w:pPr>
      <w:r>
        <w:rPr>
          <w:b/>
        </w:rPr>
        <w:t>Generic Clearance of</w:t>
      </w:r>
    </w:p>
    <w:p w:rsidR="008544D1" w:rsidRDefault="00D851A6" w:rsidP="008544D1">
      <w:pPr>
        <w:jc w:val="center"/>
        <w:rPr>
          <w:b/>
        </w:rPr>
      </w:pPr>
      <w:r>
        <w:rPr>
          <w:b/>
        </w:rPr>
        <w:t>A</w:t>
      </w:r>
      <w:r w:rsidR="00195192">
        <w:rPr>
          <w:b/>
        </w:rPr>
        <w:t>TSDR Exposure Investigations (EI)</w:t>
      </w:r>
    </w:p>
    <w:p w:rsidR="008544D1" w:rsidRDefault="008544D1" w:rsidP="008544D1">
      <w:pPr>
        <w:jc w:val="center"/>
        <w:rPr>
          <w:b/>
        </w:rPr>
      </w:pPr>
    </w:p>
    <w:p w:rsidR="008E5673" w:rsidRDefault="008E5673" w:rsidP="008544D1">
      <w:pPr>
        <w:jc w:val="center"/>
        <w:rPr>
          <w:b/>
        </w:rPr>
      </w:pPr>
      <w:r>
        <w:rPr>
          <w:b/>
        </w:rPr>
        <w:t>0923-0040</w:t>
      </w:r>
    </w:p>
    <w:p w:rsidR="008544D1" w:rsidRDefault="008E5673" w:rsidP="008544D1">
      <w:pPr>
        <w:jc w:val="center"/>
        <w:rPr>
          <w:b/>
        </w:rPr>
      </w:pPr>
      <w:r>
        <w:rPr>
          <w:b/>
        </w:rPr>
        <w:t>Re</w:t>
      </w:r>
      <w:r w:rsidR="003B6233">
        <w:rPr>
          <w:b/>
        </w:rPr>
        <w:t>instatement with Change</w:t>
      </w:r>
    </w:p>
    <w:p w:rsidR="008544D1" w:rsidRDefault="008544D1" w:rsidP="008544D1">
      <w:pPr>
        <w:jc w:val="center"/>
        <w:rPr>
          <w:b/>
        </w:rPr>
      </w:pPr>
    </w:p>
    <w:p w:rsidR="008544D1" w:rsidRDefault="006668A4" w:rsidP="008544D1">
      <w:pPr>
        <w:jc w:val="center"/>
        <w:rPr>
          <w:b/>
        </w:rPr>
      </w:pPr>
      <w:r>
        <w:rPr>
          <w:b/>
        </w:rPr>
        <w:t xml:space="preserve">March </w:t>
      </w:r>
      <w:r w:rsidR="00316DF8">
        <w:rPr>
          <w:b/>
        </w:rPr>
        <w:t>2013</w:t>
      </w:r>
    </w:p>
    <w:p w:rsidR="00583F53" w:rsidRDefault="00583F53" w:rsidP="008544D1">
      <w:pPr>
        <w:jc w:val="center"/>
        <w:rPr>
          <w:b/>
        </w:rPr>
      </w:pPr>
    </w:p>
    <w:p w:rsidR="00583F53" w:rsidRDefault="00583F53" w:rsidP="008544D1">
      <w:pPr>
        <w:jc w:val="center"/>
        <w:rPr>
          <w:b/>
        </w:rPr>
      </w:pPr>
    </w:p>
    <w:p w:rsidR="00583F53" w:rsidRDefault="00583F53" w:rsidP="008544D1">
      <w:pPr>
        <w:jc w:val="center"/>
        <w:rPr>
          <w:b/>
        </w:rPr>
      </w:pPr>
    </w:p>
    <w:p w:rsidR="00C84428" w:rsidRDefault="00C84428" w:rsidP="00C84428">
      <w:pPr>
        <w:jc w:val="center"/>
      </w:pPr>
      <w:r>
        <w:t>Science Support Branch (SSB)</w:t>
      </w:r>
    </w:p>
    <w:p w:rsidR="00583F53" w:rsidRDefault="007A429D" w:rsidP="00C84428">
      <w:pPr>
        <w:jc w:val="center"/>
      </w:pPr>
      <w:r w:rsidRPr="007A429D">
        <w:t xml:space="preserve">Division of </w:t>
      </w:r>
      <w:r w:rsidR="00C84428">
        <w:t>Community and Health Investigations (DCHI)</w:t>
      </w:r>
    </w:p>
    <w:p w:rsidR="00C84428" w:rsidRPr="007A429D" w:rsidRDefault="00C84428" w:rsidP="00C84428">
      <w:pPr>
        <w:jc w:val="center"/>
      </w:pPr>
      <w:r>
        <w:t>Agency for Toxic Substances and Disease Registry (ATSDR)</w:t>
      </w:r>
    </w:p>
    <w:p w:rsidR="00583F53" w:rsidRDefault="00583F53" w:rsidP="008544D1">
      <w:pPr>
        <w:jc w:val="center"/>
        <w:rPr>
          <w:b/>
        </w:rPr>
      </w:pPr>
    </w:p>
    <w:p w:rsidR="005856AA" w:rsidRDefault="005856AA" w:rsidP="00583F53">
      <w:pPr>
        <w:rPr>
          <w:b/>
        </w:rPr>
      </w:pPr>
    </w:p>
    <w:p w:rsidR="00583F53" w:rsidRDefault="00583F53" w:rsidP="00583F53">
      <w:pPr>
        <w:rPr>
          <w:b/>
        </w:rPr>
      </w:pPr>
    </w:p>
    <w:p w:rsidR="00C84428" w:rsidRPr="00C84428" w:rsidRDefault="00C84428" w:rsidP="00C84428">
      <w:pPr>
        <w:tabs>
          <w:tab w:val="left" w:pos="1545"/>
        </w:tabs>
        <w:rPr>
          <w:b/>
        </w:rPr>
      </w:pPr>
      <w:r w:rsidRPr="00C84428">
        <w:rPr>
          <w:b/>
        </w:rPr>
        <w:t>Program Official:</w:t>
      </w:r>
    </w:p>
    <w:p w:rsidR="00C84428" w:rsidRDefault="00CC027D" w:rsidP="00C84428">
      <w:pPr>
        <w:autoSpaceDE w:val="0"/>
        <w:autoSpaceDN w:val="0"/>
        <w:adjustRightInd w:val="0"/>
        <w:ind w:left="720"/>
      </w:pPr>
      <w:r>
        <w:t>Peter J. Kowalski</w:t>
      </w:r>
      <w:r w:rsidR="00C84428">
        <w:t>, M</w:t>
      </w:r>
      <w:r>
        <w:t>PH</w:t>
      </w:r>
      <w:r w:rsidR="00C84428">
        <w:t xml:space="preserve">, </w:t>
      </w:r>
      <w:r>
        <w:t>CI</w:t>
      </w:r>
      <w:r w:rsidR="00C84428">
        <w:t>H</w:t>
      </w:r>
    </w:p>
    <w:p w:rsidR="00C84428" w:rsidRDefault="00C84428" w:rsidP="00C84428">
      <w:pPr>
        <w:autoSpaceDE w:val="0"/>
        <w:autoSpaceDN w:val="0"/>
        <w:adjustRightInd w:val="0"/>
        <w:ind w:left="720"/>
      </w:pPr>
      <w:r>
        <w:t>Lead, Exposure Investigations Team</w:t>
      </w:r>
    </w:p>
    <w:p w:rsidR="00C84428" w:rsidRDefault="00C84428" w:rsidP="00C84428">
      <w:pPr>
        <w:autoSpaceDE w:val="0"/>
        <w:autoSpaceDN w:val="0"/>
        <w:adjustRightInd w:val="0"/>
        <w:ind w:left="720"/>
      </w:pPr>
      <w:r>
        <w:t>Science Support Branch</w:t>
      </w:r>
    </w:p>
    <w:p w:rsidR="00C84428" w:rsidRDefault="00C84428" w:rsidP="00C84428">
      <w:pPr>
        <w:autoSpaceDE w:val="0"/>
        <w:autoSpaceDN w:val="0"/>
        <w:adjustRightInd w:val="0"/>
        <w:ind w:left="720"/>
      </w:pPr>
      <w:r>
        <w:t xml:space="preserve">Division of Community Health </w:t>
      </w:r>
      <w:r w:rsidRPr="008E0304">
        <w:t>Investigations</w:t>
      </w:r>
    </w:p>
    <w:p w:rsidR="00C84428" w:rsidRDefault="00C84428" w:rsidP="00C84428">
      <w:pPr>
        <w:autoSpaceDE w:val="0"/>
        <w:autoSpaceDN w:val="0"/>
        <w:adjustRightInd w:val="0"/>
        <w:ind w:left="720"/>
      </w:pPr>
      <w:r>
        <w:t>Agency for Toxic Substances and Disease Registry</w:t>
      </w:r>
    </w:p>
    <w:p w:rsidR="00C84428" w:rsidRDefault="00C84428" w:rsidP="00C84428">
      <w:pPr>
        <w:autoSpaceDE w:val="0"/>
        <w:autoSpaceDN w:val="0"/>
        <w:adjustRightInd w:val="0"/>
        <w:ind w:left="720"/>
        <w:rPr>
          <w:szCs w:val="20"/>
          <w:lang w:val="en"/>
        </w:rPr>
      </w:pPr>
      <w:r>
        <w:rPr>
          <w:szCs w:val="20"/>
          <w:lang w:val="en"/>
        </w:rPr>
        <w:t>4770 Buford Hwy NE, MS F59</w:t>
      </w:r>
      <w:r>
        <w:rPr>
          <w:szCs w:val="20"/>
          <w:lang w:val="en"/>
        </w:rPr>
        <w:br/>
      </w:r>
      <w:smartTag w:uri="urn:schemas-microsoft-com:office:smarttags" w:element="place">
        <w:smartTag w:uri="urn:schemas-microsoft-com:office:smarttags" w:element="City">
          <w:r>
            <w:rPr>
              <w:szCs w:val="20"/>
              <w:lang w:val="en"/>
            </w:rPr>
            <w:t>Atlanta</w:t>
          </w:r>
        </w:smartTag>
        <w:r>
          <w:rPr>
            <w:szCs w:val="20"/>
            <w:lang w:val="en"/>
          </w:rPr>
          <w:t xml:space="preserve">, </w:t>
        </w:r>
        <w:smartTag w:uri="urn:schemas-microsoft-com:office:smarttags" w:element="State">
          <w:r>
            <w:rPr>
              <w:szCs w:val="20"/>
              <w:lang w:val="en"/>
            </w:rPr>
            <w:t>GA</w:t>
          </w:r>
        </w:smartTag>
        <w:r>
          <w:rPr>
            <w:szCs w:val="20"/>
            <w:lang w:val="en"/>
          </w:rPr>
          <w:t xml:space="preserve"> </w:t>
        </w:r>
        <w:smartTag w:uri="urn:schemas-microsoft-com:office:smarttags" w:element="PostalCode">
          <w:r>
            <w:rPr>
              <w:szCs w:val="20"/>
              <w:lang w:val="en"/>
            </w:rPr>
            <w:t>30341</w:t>
          </w:r>
        </w:smartTag>
      </w:smartTag>
    </w:p>
    <w:p w:rsidR="00C84428" w:rsidRDefault="00C84428" w:rsidP="00C84428">
      <w:pPr>
        <w:autoSpaceDE w:val="0"/>
        <w:autoSpaceDN w:val="0"/>
        <w:adjustRightInd w:val="0"/>
        <w:ind w:left="720"/>
      </w:pPr>
      <w:r>
        <w:t>Phone: 770-488-</w:t>
      </w:r>
      <w:r w:rsidR="00CC027D">
        <w:t>0776</w:t>
      </w:r>
    </w:p>
    <w:p w:rsidR="00C84428" w:rsidRDefault="00C84428" w:rsidP="00C84428">
      <w:pPr>
        <w:autoSpaceDE w:val="0"/>
        <w:autoSpaceDN w:val="0"/>
        <w:adjustRightInd w:val="0"/>
        <w:ind w:left="720"/>
      </w:pPr>
      <w:r>
        <w:t>Fax:  770-488-1542</w:t>
      </w:r>
    </w:p>
    <w:p w:rsidR="00C84428" w:rsidRDefault="00C84428" w:rsidP="00C84428">
      <w:pPr>
        <w:autoSpaceDE w:val="0"/>
        <w:autoSpaceDN w:val="0"/>
        <w:adjustRightInd w:val="0"/>
        <w:ind w:left="720"/>
      </w:pPr>
      <w:r>
        <w:t xml:space="preserve">Email: </w:t>
      </w:r>
      <w:hyperlink r:id="rId9" w:history="1">
        <w:r w:rsidR="00CC027D" w:rsidRPr="00CC027D">
          <w:rPr>
            <w:rStyle w:val="Hyperlink"/>
          </w:rPr>
          <w:t>PKowalski@cdc.gov</w:t>
        </w:r>
      </w:hyperlink>
    </w:p>
    <w:p w:rsidR="00C84428" w:rsidRDefault="00C84428" w:rsidP="00C84428">
      <w:pPr>
        <w:autoSpaceDE w:val="0"/>
        <w:autoSpaceDN w:val="0"/>
        <w:adjustRightInd w:val="0"/>
        <w:ind w:left="720"/>
      </w:pPr>
    </w:p>
    <w:p w:rsidR="00C84428" w:rsidRDefault="00C84428" w:rsidP="008E5673">
      <w:pPr>
        <w:autoSpaceDE w:val="0"/>
        <w:autoSpaceDN w:val="0"/>
        <w:adjustRightInd w:val="0"/>
        <w:ind w:left="720"/>
      </w:pPr>
    </w:p>
    <w:p w:rsidR="00C84428" w:rsidRPr="00C84428" w:rsidRDefault="00C84428" w:rsidP="00C84428">
      <w:pPr>
        <w:autoSpaceDE w:val="0"/>
        <w:autoSpaceDN w:val="0"/>
        <w:adjustRightInd w:val="0"/>
        <w:rPr>
          <w:b/>
        </w:rPr>
      </w:pPr>
      <w:r w:rsidRPr="00C84428">
        <w:rPr>
          <w:b/>
        </w:rPr>
        <w:t>Point of Contact:</w:t>
      </w:r>
    </w:p>
    <w:p w:rsidR="00C84428" w:rsidRDefault="00C84428" w:rsidP="00C84428">
      <w:pPr>
        <w:autoSpaceDE w:val="0"/>
        <w:autoSpaceDN w:val="0"/>
        <w:adjustRightInd w:val="0"/>
        <w:ind w:left="720"/>
      </w:pPr>
      <w:r>
        <w:t>Karen M. Scruton, MS</w:t>
      </w:r>
    </w:p>
    <w:p w:rsidR="00C84428" w:rsidRDefault="00C84428" w:rsidP="00C84428">
      <w:pPr>
        <w:autoSpaceDE w:val="0"/>
        <w:autoSpaceDN w:val="0"/>
        <w:adjustRightInd w:val="0"/>
        <w:ind w:left="720"/>
      </w:pPr>
      <w:r>
        <w:t>Environmental Health Scientist, Exposure Investigations Team</w:t>
      </w:r>
    </w:p>
    <w:p w:rsidR="00C84428" w:rsidRDefault="00C84428" w:rsidP="00C84428">
      <w:pPr>
        <w:autoSpaceDE w:val="0"/>
        <w:autoSpaceDN w:val="0"/>
        <w:adjustRightInd w:val="0"/>
        <w:ind w:left="720"/>
      </w:pPr>
      <w:r>
        <w:t>Science Support Branch</w:t>
      </w:r>
    </w:p>
    <w:p w:rsidR="00C84428" w:rsidRDefault="00C84428" w:rsidP="00C84428">
      <w:pPr>
        <w:autoSpaceDE w:val="0"/>
        <w:autoSpaceDN w:val="0"/>
        <w:adjustRightInd w:val="0"/>
        <w:ind w:left="720"/>
      </w:pPr>
      <w:r>
        <w:t xml:space="preserve">Division of Community Health Investigation </w:t>
      </w:r>
    </w:p>
    <w:p w:rsidR="00C84428" w:rsidRDefault="00C84428" w:rsidP="00C84428">
      <w:pPr>
        <w:autoSpaceDE w:val="0"/>
        <w:autoSpaceDN w:val="0"/>
        <w:adjustRightInd w:val="0"/>
        <w:ind w:left="720"/>
      </w:pPr>
      <w:r>
        <w:t>Agency for Toxic Substances and Disease Registry</w:t>
      </w:r>
    </w:p>
    <w:p w:rsidR="00C84428" w:rsidRDefault="00C84428" w:rsidP="00C84428">
      <w:pPr>
        <w:autoSpaceDE w:val="0"/>
        <w:autoSpaceDN w:val="0"/>
        <w:adjustRightInd w:val="0"/>
        <w:ind w:left="720"/>
        <w:rPr>
          <w:szCs w:val="20"/>
          <w:lang w:val="en"/>
        </w:rPr>
      </w:pPr>
      <w:r>
        <w:rPr>
          <w:szCs w:val="20"/>
          <w:lang w:val="en"/>
        </w:rPr>
        <w:t>4770 Buford Hwy NE, MS F59</w:t>
      </w:r>
      <w:r>
        <w:rPr>
          <w:szCs w:val="20"/>
          <w:lang w:val="en"/>
        </w:rPr>
        <w:br/>
        <w:t>Atlanta, GA 30341</w:t>
      </w:r>
    </w:p>
    <w:p w:rsidR="00C84428" w:rsidRDefault="00C84428" w:rsidP="00C84428">
      <w:pPr>
        <w:autoSpaceDE w:val="0"/>
        <w:autoSpaceDN w:val="0"/>
        <w:adjustRightInd w:val="0"/>
        <w:ind w:left="720"/>
      </w:pPr>
      <w:r>
        <w:t>Phone: 770-488-1325</w:t>
      </w:r>
    </w:p>
    <w:p w:rsidR="00C84428" w:rsidRDefault="00C84428" w:rsidP="00C84428">
      <w:pPr>
        <w:autoSpaceDE w:val="0"/>
        <w:autoSpaceDN w:val="0"/>
        <w:adjustRightInd w:val="0"/>
        <w:ind w:left="720"/>
      </w:pPr>
      <w:r>
        <w:t>Fax:  770-488-1542</w:t>
      </w:r>
    </w:p>
    <w:p w:rsidR="00090754" w:rsidRDefault="00C84428" w:rsidP="00876788">
      <w:pPr>
        <w:ind w:firstLine="720"/>
        <w:rPr>
          <w:b/>
        </w:rPr>
      </w:pPr>
      <w:r>
        <w:t xml:space="preserve">Email: </w:t>
      </w:r>
      <w:hyperlink r:id="rId10" w:history="1">
        <w:r w:rsidRPr="00E42692">
          <w:rPr>
            <w:rStyle w:val="Hyperlink"/>
          </w:rPr>
          <w:t>KScruton@cdc.gov</w:t>
        </w:r>
      </w:hyperlink>
      <w:r>
        <w:t xml:space="preserve"> </w:t>
      </w:r>
    </w:p>
    <w:p w:rsidR="000B0BC3" w:rsidRDefault="000B0BC3">
      <w:pPr>
        <w:rPr>
          <w:b/>
        </w:rPr>
      </w:pPr>
      <w:r>
        <w:rPr>
          <w:b/>
        </w:rPr>
        <w:br w:type="page"/>
      </w:r>
    </w:p>
    <w:p w:rsidR="0067720C" w:rsidRPr="009E7AC5" w:rsidRDefault="006E3E43" w:rsidP="009E7AC5">
      <w:pPr>
        <w:jc w:val="center"/>
        <w:rPr>
          <w:rFonts w:asciiTheme="majorHAnsi" w:hAnsiTheme="majorHAnsi"/>
          <w:b/>
          <w:color w:val="1F497D" w:themeColor="text2"/>
          <w:sz w:val="28"/>
          <w:szCs w:val="28"/>
        </w:rPr>
      </w:pPr>
      <w:r w:rsidRPr="009E7AC5">
        <w:rPr>
          <w:rFonts w:asciiTheme="majorHAnsi" w:hAnsiTheme="majorHAnsi"/>
          <w:b/>
          <w:color w:val="1F497D" w:themeColor="text2"/>
          <w:sz w:val="28"/>
          <w:szCs w:val="28"/>
        </w:rPr>
        <w:lastRenderedPageBreak/>
        <w:t>Table of Contents</w:t>
      </w:r>
    </w:p>
    <w:p w:rsidR="006E3E43" w:rsidRDefault="006E3E43"/>
    <w:p w:rsidR="00AC5805" w:rsidRDefault="00AC5805" w:rsidP="00261215">
      <w:pPr>
        <w:rPr>
          <w:rFonts w:ascii="Arial" w:hAnsi="Arial" w:cs="Arial"/>
          <w:b/>
          <w:bCs/>
          <w:sz w:val="20"/>
          <w:szCs w:val="20"/>
          <w:u w:val="single"/>
        </w:rPr>
      </w:pPr>
      <w:bookmarkStart w:id="0" w:name="_Toc304808214"/>
      <w:bookmarkStart w:id="1" w:name="_Toc304808301"/>
      <w:bookmarkStart w:id="2" w:name="_Toc305153411"/>
      <w:bookmarkStart w:id="3" w:name="_Toc305153629"/>
      <w:bookmarkStart w:id="4" w:name="_Toc305154205"/>
      <w:bookmarkStart w:id="5" w:name="_Toc305155359"/>
      <w:bookmarkStart w:id="6" w:name="_Toc306341889"/>
      <w:bookmarkStart w:id="7" w:name="_Toc306344142"/>
      <w:bookmarkStart w:id="8" w:name="_Toc306344783"/>
      <w:bookmarkStart w:id="9" w:name="_Toc306345024"/>
      <w:bookmarkStart w:id="10" w:name="_Toc311445493"/>
    </w:p>
    <w:sdt>
      <w:sdtPr>
        <w:rPr>
          <w:b/>
          <w:bCs/>
        </w:rPr>
        <w:id w:val="2086181389"/>
        <w:docPartObj>
          <w:docPartGallery w:val="Table of Contents"/>
          <w:docPartUnique/>
        </w:docPartObj>
      </w:sdtPr>
      <w:sdtEndPr>
        <w:rPr>
          <w:b w:val="0"/>
          <w:bCs w:val="0"/>
          <w:noProof/>
        </w:rPr>
      </w:sdtEndPr>
      <w:sdtContent>
        <w:p w:rsidR="00A0377F" w:rsidRDefault="002930BD">
          <w:pPr>
            <w:pStyle w:val="TOC1"/>
            <w:tabs>
              <w:tab w:val="left" w:pos="176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bookmarkStart w:id="11" w:name="_Toc351620191"/>
        </w:p>
        <w:p w:rsidR="00A0377F" w:rsidRDefault="009632E5">
          <w:pPr>
            <w:pStyle w:val="TOC1"/>
            <w:rPr>
              <w:rFonts w:asciiTheme="minorHAnsi" w:eastAsiaTheme="minorEastAsia" w:hAnsiTheme="minorHAnsi" w:cstheme="minorBidi"/>
              <w:noProof/>
              <w:sz w:val="22"/>
              <w:szCs w:val="22"/>
            </w:rPr>
          </w:pPr>
          <w:hyperlink w:anchor="_Toc351620192" w:history="1">
            <w:r w:rsidR="00A0377F" w:rsidRPr="007D7C8D">
              <w:rPr>
                <w:rStyle w:val="Hyperlink"/>
                <w:noProof/>
              </w:rPr>
              <w:t>A. Justification</w:t>
            </w:r>
            <w:r w:rsidR="00A0377F">
              <w:rPr>
                <w:noProof/>
                <w:webHidden/>
              </w:rPr>
              <w:tab/>
            </w:r>
            <w:r w:rsidR="00A0377F">
              <w:rPr>
                <w:noProof/>
                <w:webHidden/>
              </w:rPr>
              <w:fldChar w:fldCharType="begin"/>
            </w:r>
            <w:r w:rsidR="00A0377F">
              <w:rPr>
                <w:noProof/>
                <w:webHidden/>
              </w:rPr>
              <w:instrText xml:space="preserve"> PAGEREF _Toc351620192 \h </w:instrText>
            </w:r>
            <w:r w:rsidR="00A0377F">
              <w:rPr>
                <w:noProof/>
                <w:webHidden/>
              </w:rPr>
            </w:r>
            <w:r w:rsidR="00A0377F">
              <w:rPr>
                <w:noProof/>
                <w:webHidden/>
              </w:rPr>
              <w:fldChar w:fldCharType="separate"/>
            </w:r>
            <w:r w:rsidR="00A0377F">
              <w:rPr>
                <w:noProof/>
                <w:webHidden/>
              </w:rPr>
              <w:t>4</w:t>
            </w:r>
            <w:r w:rsidR="00A0377F">
              <w:rPr>
                <w:noProof/>
                <w:webHidden/>
              </w:rPr>
              <w:fldChar w:fldCharType="end"/>
            </w:r>
          </w:hyperlink>
        </w:p>
        <w:p w:rsidR="00A0377F" w:rsidRDefault="009632E5">
          <w:pPr>
            <w:pStyle w:val="TOC2"/>
            <w:rPr>
              <w:rFonts w:asciiTheme="minorHAnsi" w:hAnsiTheme="minorHAnsi" w:cstheme="minorBidi"/>
              <w:bCs w:val="0"/>
              <w:sz w:val="22"/>
              <w:szCs w:val="22"/>
            </w:rPr>
          </w:pPr>
          <w:hyperlink w:anchor="_Toc351620193" w:history="1">
            <w:r w:rsidR="00A0377F" w:rsidRPr="007D7C8D">
              <w:rPr>
                <w:rStyle w:val="Hyperlink"/>
              </w:rPr>
              <w:t>A.1 Circumstances Making the Collection of Information Necessary</w:t>
            </w:r>
            <w:r w:rsidR="00A0377F">
              <w:rPr>
                <w:webHidden/>
              </w:rPr>
              <w:tab/>
            </w:r>
            <w:r w:rsidR="00A0377F">
              <w:rPr>
                <w:webHidden/>
              </w:rPr>
              <w:fldChar w:fldCharType="begin"/>
            </w:r>
            <w:r w:rsidR="00A0377F">
              <w:rPr>
                <w:webHidden/>
              </w:rPr>
              <w:instrText xml:space="preserve"> PAGEREF _Toc351620193 \h </w:instrText>
            </w:r>
            <w:r w:rsidR="00A0377F">
              <w:rPr>
                <w:webHidden/>
              </w:rPr>
            </w:r>
            <w:r w:rsidR="00A0377F">
              <w:rPr>
                <w:webHidden/>
              </w:rPr>
              <w:fldChar w:fldCharType="separate"/>
            </w:r>
            <w:r w:rsidR="00A0377F">
              <w:rPr>
                <w:webHidden/>
              </w:rPr>
              <w:t>4</w:t>
            </w:r>
            <w:r w:rsidR="00A0377F">
              <w:rPr>
                <w:webHidden/>
              </w:rPr>
              <w:fldChar w:fldCharType="end"/>
            </w:r>
          </w:hyperlink>
        </w:p>
        <w:p w:rsidR="00A0377F" w:rsidRDefault="009632E5">
          <w:pPr>
            <w:pStyle w:val="TOC2"/>
            <w:rPr>
              <w:rFonts w:asciiTheme="minorHAnsi" w:hAnsiTheme="minorHAnsi" w:cstheme="minorBidi"/>
              <w:bCs w:val="0"/>
              <w:sz w:val="22"/>
              <w:szCs w:val="22"/>
            </w:rPr>
          </w:pPr>
          <w:hyperlink w:anchor="_Toc351620194" w:history="1">
            <w:r w:rsidR="00A0377F" w:rsidRPr="007D7C8D">
              <w:rPr>
                <w:rStyle w:val="Hyperlink"/>
              </w:rPr>
              <w:t>A.1.1. Privacy Impact Assessment</w:t>
            </w:r>
            <w:r w:rsidR="00A0377F">
              <w:rPr>
                <w:webHidden/>
              </w:rPr>
              <w:tab/>
            </w:r>
            <w:r w:rsidR="00A0377F">
              <w:rPr>
                <w:webHidden/>
              </w:rPr>
              <w:fldChar w:fldCharType="begin"/>
            </w:r>
            <w:r w:rsidR="00A0377F">
              <w:rPr>
                <w:webHidden/>
              </w:rPr>
              <w:instrText xml:space="preserve"> PAGEREF _Toc351620194 \h </w:instrText>
            </w:r>
            <w:r w:rsidR="00A0377F">
              <w:rPr>
                <w:webHidden/>
              </w:rPr>
            </w:r>
            <w:r w:rsidR="00A0377F">
              <w:rPr>
                <w:webHidden/>
              </w:rPr>
              <w:fldChar w:fldCharType="separate"/>
            </w:r>
            <w:r w:rsidR="00A0377F">
              <w:rPr>
                <w:webHidden/>
              </w:rPr>
              <w:t>8</w:t>
            </w:r>
            <w:r w:rsidR="00A0377F">
              <w:rPr>
                <w:webHidden/>
              </w:rPr>
              <w:fldChar w:fldCharType="end"/>
            </w:r>
          </w:hyperlink>
        </w:p>
        <w:p w:rsidR="00A0377F" w:rsidRDefault="009632E5">
          <w:pPr>
            <w:pStyle w:val="TOC3"/>
            <w:tabs>
              <w:tab w:val="right" w:leader="dot" w:pos="9350"/>
            </w:tabs>
            <w:rPr>
              <w:noProof/>
            </w:rPr>
          </w:pPr>
          <w:hyperlink w:anchor="_Toc351620195" w:history="1">
            <w:r w:rsidR="00A0377F" w:rsidRPr="007D7C8D">
              <w:rPr>
                <w:rStyle w:val="Hyperlink"/>
                <w:rFonts w:ascii="Times New Roman" w:hAnsi="Times New Roman" w:cs="Times New Roman"/>
                <w:noProof/>
              </w:rPr>
              <w:t>Overview of the Data Collection System</w:t>
            </w:r>
            <w:r w:rsidR="00A0377F">
              <w:rPr>
                <w:noProof/>
                <w:webHidden/>
              </w:rPr>
              <w:tab/>
            </w:r>
            <w:r w:rsidR="00A0377F">
              <w:rPr>
                <w:noProof/>
                <w:webHidden/>
              </w:rPr>
              <w:fldChar w:fldCharType="begin"/>
            </w:r>
            <w:r w:rsidR="00A0377F">
              <w:rPr>
                <w:noProof/>
                <w:webHidden/>
              </w:rPr>
              <w:instrText xml:space="preserve"> PAGEREF _Toc351620195 \h </w:instrText>
            </w:r>
            <w:r w:rsidR="00A0377F">
              <w:rPr>
                <w:noProof/>
                <w:webHidden/>
              </w:rPr>
            </w:r>
            <w:r w:rsidR="00A0377F">
              <w:rPr>
                <w:noProof/>
                <w:webHidden/>
              </w:rPr>
              <w:fldChar w:fldCharType="separate"/>
            </w:r>
            <w:r w:rsidR="00A0377F">
              <w:rPr>
                <w:noProof/>
                <w:webHidden/>
              </w:rPr>
              <w:t>8</w:t>
            </w:r>
            <w:r w:rsidR="00A0377F">
              <w:rPr>
                <w:noProof/>
                <w:webHidden/>
              </w:rPr>
              <w:fldChar w:fldCharType="end"/>
            </w:r>
          </w:hyperlink>
        </w:p>
        <w:p w:rsidR="00A0377F" w:rsidRDefault="009632E5">
          <w:pPr>
            <w:pStyle w:val="TOC3"/>
            <w:tabs>
              <w:tab w:val="right" w:leader="dot" w:pos="9350"/>
            </w:tabs>
            <w:rPr>
              <w:noProof/>
            </w:rPr>
          </w:pPr>
          <w:hyperlink w:anchor="_Toc351620196" w:history="1">
            <w:r w:rsidR="00A0377F" w:rsidRPr="007D7C8D">
              <w:rPr>
                <w:rStyle w:val="Hyperlink"/>
                <w:rFonts w:ascii="Times New Roman" w:hAnsi="Times New Roman" w:cs="Times New Roman"/>
                <w:noProof/>
              </w:rPr>
              <w:t>Items of Information to be Collected</w:t>
            </w:r>
            <w:r w:rsidR="00A0377F">
              <w:rPr>
                <w:noProof/>
                <w:webHidden/>
              </w:rPr>
              <w:tab/>
            </w:r>
            <w:r w:rsidR="00A0377F">
              <w:rPr>
                <w:noProof/>
                <w:webHidden/>
              </w:rPr>
              <w:fldChar w:fldCharType="begin"/>
            </w:r>
            <w:r w:rsidR="00A0377F">
              <w:rPr>
                <w:noProof/>
                <w:webHidden/>
              </w:rPr>
              <w:instrText xml:space="preserve"> PAGEREF _Toc351620196 \h </w:instrText>
            </w:r>
            <w:r w:rsidR="00A0377F">
              <w:rPr>
                <w:noProof/>
                <w:webHidden/>
              </w:rPr>
            </w:r>
            <w:r w:rsidR="00A0377F">
              <w:rPr>
                <w:noProof/>
                <w:webHidden/>
              </w:rPr>
              <w:fldChar w:fldCharType="separate"/>
            </w:r>
            <w:r w:rsidR="00A0377F">
              <w:rPr>
                <w:noProof/>
                <w:webHidden/>
              </w:rPr>
              <w:t>10</w:t>
            </w:r>
            <w:r w:rsidR="00A0377F">
              <w:rPr>
                <w:noProof/>
                <w:webHidden/>
              </w:rPr>
              <w:fldChar w:fldCharType="end"/>
            </w:r>
          </w:hyperlink>
        </w:p>
        <w:p w:rsidR="00A0377F" w:rsidRDefault="009632E5">
          <w:pPr>
            <w:pStyle w:val="TOC3"/>
            <w:tabs>
              <w:tab w:val="right" w:leader="dot" w:pos="9350"/>
            </w:tabs>
            <w:rPr>
              <w:noProof/>
            </w:rPr>
          </w:pPr>
          <w:hyperlink w:anchor="_Toc351620197" w:history="1">
            <w:r w:rsidR="00A0377F" w:rsidRPr="007D7C8D">
              <w:rPr>
                <w:rStyle w:val="Hyperlink"/>
                <w:rFonts w:ascii="Times New Roman" w:hAnsi="Times New Roman" w:cs="Times New Roman"/>
                <w:noProof/>
              </w:rPr>
              <w:t>Identification of Website(s) and Website Content Directed at Children Under 13 Years of Age</w:t>
            </w:r>
            <w:r w:rsidR="00A0377F">
              <w:rPr>
                <w:noProof/>
                <w:webHidden/>
              </w:rPr>
              <w:tab/>
            </w:r>
            <w:r w:rsidR="00A0377F">
              <w:rPr>
                <w:noProof/>
                <w:webHidden/>
              </w:rPr>
              <w:fldChar w:fldCharType="begin"/>
            </w:r>
            <w:r w:rsidR="00A0377F">
              <w:rPr>
                <w:noProof/>
                <w:webHidden/>
              </w:rPr>
              <w:instrText xml:space="preserve"> PAGEREF _Toc351620197 \h </w:instrText>
            </w:r>
            <w:r w:rsidR="00A0377F">
              <w:rPr>
                <w:noProof/>
                <w:webHidden/>
              </w:rPr>
            </w:r>
            <w:r w:rsidR="00A0377F">
              <w:rPr>
                <w:noProof/>
                <w:webHidden/>
              </w:rPr>
              <w:fldChar w:fldCharType="separate"/>
            </w:r>
            <w:r w:rsidR="00A0377F">
              <w:rPr>
                <w:noProof/>
                <w:webHidden/>
              </w:rPr>
              <w:t>11</w:t>
            </w:r>
            <w:r w:rsidR="00A0377F">
              <w:rPr>
                <w:noProof/>
                <w:webHidden/>
              </w:rPr>
              <w:fldChar w:fldCharType="end"/>
            </w:r>
          </w:hyperlink>
        </w:p>
        <w:p w:rsidR="00A0377F" w:rsidRDefault="009632E5">
          <w:pPr>
            <w:pStyle w:val="TOC2"/>
            <w:rPr>
              <w:rFonts w:asciiTheme="minorHAnsi" w:hAnsiTheme="minorHAnsi" w:cstheme="minorBidi"/>
              <w:bCs w:val="0"/>
              <w:sz w:val="22"/>
              <w:szCs w:val="22"/>
            </w:rPr>
          </w:pPr>
          <w:hyperlink w:anchor="_Toc351620198" w:history="1">
            <w:r w:rsidR="00A0377F" w:rsidRPr="007D7C8D">
              <w:rPr>
                <w:rStyle w:val="Hyperlink"/>
              </w:rPr>
              <w:t>A.2 Purpose and Use of Information Collection</w:t>
            </w:r>
            <w:r w:rsidR="00A0377F">
              <w:rPr>
                <w:webHidden/>
              </w:rPr>
              <w:tab/>
            </w:r>
            <w:r w:rsidR="00A0377F">
              <w:rPr>
                <w:webHidden/>
              </w:rPr>
              <w:fldChar w:fldCharType="begin"/>
            </w:r>
            <w:r w:rsidR="00A0377F">
              <w:rPr>
                <w:webHidden/>
              </w:rPr>
              <w:instrText xml:space="preserve"> PAGEREF _Toc351620198 \h </w:instrText>
            </w:r>
            <w:r w:rsidR="00A0377F">
              <w:rPr>
                <w:webHidden/>
              </w:rPr>
            </w:r>
            <w:r w:rsidR="00A0377F">
              <w:rPr>
                <w:webHidden/>
              </w:rPr>
              <w:fldChar w:fldCharType="separate"/>
            </w:r>
            <w:r w:rsidR="00A0377F">
              <w:rPr>
                <w:webHidden/>
              </w:rPr>
              <w:t>12</w:t>
            </w:r>
            <w:r w:rsidR="00A0377F">
              <w:rPr>
                <w:webHidden/>
              </w:rPr>
              <w:fldChar w:fldCharType="end"/>
            </w:r>
          </w:hyperlink>
        </w:p>
        <w:p w:rsidR="00A0377F" w:rsidRDefault="009632E5">
          <w:pPr>
            <w:pStyle w:val="TOC3"/>
            <w:tabs>
              <w:tab w:val="right" w:leader="dot" w:pos="9350"/>
            </w:tabs>
            <w:rPr>
              <w:noProof/>
            </w:rPr>
          </w:pPr>
          <w:hyperlink w:anchor="_Toc351620199" w:history="1">
            <w:r w:rsidR="00A0377F" w:rsidRPr="007D7C8D">
              <w:rPr>
                <w:rStyle w:val="Hyperlink"/>
                <w:rFonts w:ascii="Times New Roman" w:hAnsi="Times New Roman"/>
                <w:noProof/>
              </w:rPr>
              <w:t>A.2.1. Privacy Impact Assessment</w:t>
            </w:r>
            <w:r w:rsidR="00A0377F">
              <w:rPr>
                <w:noProof/>
                <w:webHidden/>
              </w:rPr>
              <w:tab/>
            </w:r>
            <w:r w:rsidR="00A0377F">
              <w:rPr>
                <w:noProof/>
                <w:webHidden/>
              </w:rPr>
              <w:fldChar w:fldCharType="begin"/>
            </w:r>
            <w:r w:rsidR="00A0377F">
              <w:rPr>
                <w:noProof/>
                <w:webHidden/>
              </w:rPr>
              <w:instrText xml:space="preserve"> PAGEREF _Toc351620199 \h </w:instrText>
            </w:r>
            <w:r w:rsidR="00A0377F">
              <w:rPr>
                <w:noProof/>
                <w:webHidden/>
              </w:rPr>
            </w:r>
            <w:r w:rsidR="00A0377F">
              <w:rPr>
                <w:noProof/>
                <w:webHidden/>
              </w:rPr>
              <w:fldChar w:fldCharType="separate"/>
            </w:r>
            <w:r w:rsidR="00A0377F">
              <w:rPr>
                <w:noProof/>
                <w:webHidden/>
              </w:rPr>
              <w:t>13</w:t>
            </w:r>
            <w:r w:rsidR="00A0377F">
              <w:rPr>
                <w:noProof/>
                <w:webHidden/>
              </w:rPr>
              <w:fldChar w:fldCharType="end"/>
            </w:r>
          </w:hyperlink>
        </w:p>
        <w:p w:rsidR="00A0377F" w:rsidRDefault="009632E5">
          <w:pPr>
            <w:pStyle w:val="TOC2"/>
            <w:rPr>
              <w:rFonts w:asciiTheme="minorHAnsi" w:hAnsiTheme="minorHAnsi" w:cstheme="minorBidi"/>
              <w:bCs w:val="0"/>
              <w:sz w:val="22"/>
              <w:szCs w:val="22"/>
            </w:rPr>
          </w:pPr>
          <w:hyperlink w:anchor="_Toc351620200" w:history="1">
            <w:r w:rsidR="00A0377F" w:rsidRPr="007D7C8D">
              <w:rPr>
                <w:rStyle w:val="Hyperlink"/>
              </w:rPr>
              <w:t>A.3 Use of Improved Information Technology and Burden Reduction</w:t>
            </w:r>
            <w:r w:rsidR="00A0377F">
              <w:rPr>
                <w:webHidden/>
              </w:rPr>
              <w:tab/>
            </w:r>
            <w:r w:rsidR="00A0377F">
              <w:rPr>
                <w:webHidden/>
              </w:rPr>
              <w:fldChar w:fldCharType="begin"/>
            </w:r>
            <w:r w:rsidR="00A0377F">
              <w:rPr>
                <w:webHidden/>
              </w:rPr>
              <w:instrText xml:space="preserve"> PAGEREF _Toc351620200 \h </w:instrText>
            </w:r>
            <w:r w:rsidR="00A0377F">
              <w:rPr>
                <w:webHidden/>
              </w:rPr>
            </w:r>
            <w:r w:rsidR="00A0377F">
              <w:rPr>
                <w:webHidden/>
              </w:rPr>
              <w:fldChar w:fldCharType="separate"/>
            </w:r>
            <w:r w:rsidR="00A0377F">
              <w:rPr>
                <w:webHidden/>
              </w:rPr>
              <w:t>13</w:t>
            </w:r>
            <w:r w:rsidR="00A0377F">
              <w:rPr>
                <w:webHidden/>
              </w:rPr>
              <w:fldChar w:fldCharType="end"/>
            </w:r>
          </w:hyperlink>
        </w:p>
        <w:p w:rsidR="00A0377F" w:rsidRDefault="009632E5">
          <w:pPr>
            <w:pStyle w:val="TOC2"/>
            <w:rPr>
              <w:rFonts w:asciiTheme="minorHAnsi" w:hAnsiTheme="minorHAnsi" w:cstheme="minorBidi"/>
              <w:bCs w:val="0"/>
              <w:sz w:val="22"/>
              <w:szCs w:val="22"/>
            </w:rPr>
          </w:pPr>
          <w:hyperlink w:anchor="_Toc351620201" w:history="1">
            <w:r w:rsidR="00A0377F" w:rsidRPr="007D7C8D">
              <w:rPr>
                <w:rStyle w:val="Hyperlink"/>
              </w:rPr>
              <w:t>A.4 Efforts to Identify Duplication and Use of Similar Information</w:t>
            </w:r>
            <w:r w:rsidR="00A0377F">
              <w:rPr>
                <w:webHidden/>
              </w:rPr>
              <w:tab/>
            </w:r>
            <w:r w:rsidR="00A0377F">
              <w:rPr>
                <w:webHidden/>
              </w:rPr>
              <w:fldChar w:fldCharType="begin"/>
            </w:r>
            <w:r w:rsidR="00A0377F">
              <w:rPr>
                <w:webHidden/>
              </w:rPr>
              <w:instrText xml:space="preserve"> PAGEREF _Toc351620201 \h </w:instrText>
            </w:r>
            <w:r w:rsidR="00A0377F">
              <w:rPr>
                <w:webHidden/>
              </w:rPr>
            </w:r>
            <w:r w:rsidR="00A0377F">
              <w:rPr>
                <w:webHidden/>
              </w:rPr>
              <w:fldChar w:fldCharType="separate"/>
            </w:r>
            <w:r w:rsidR="00A0377F">
              <w:rPr>
                <w:webHidden/>
              </w:rPr>
              <w:t>13</w:t>
            </w:r>
            <w:r w:rsidR="00A0377F">
              <w:rPr>
                <w:webHidden/>
              </w:rPr>
              <w:fldChar w:fldCharType="end"/>
            </w:r>
          </w:hyperlink>
        </w:p>
        <w:p w:rsidR="00A0377F" w:rsidRDefault="009632E5">
          <w:pPr>
            <w:pStyle w:val="TOC2"/>
            <w:rPr>
              <w:rFonts w:asciiTheme="minorHAnsi" w:hAnsiTheme="minorHAnsi" w:cstheme="minorBidi"/>
              <w:bCs w:val="0"/>
              <w:sz w:val="22"/>
              <w:szCs w:val="22"/>
            </w:rPr>
          </w:pPr>
          <w:hyperlink w:anchor="_Toc351620202" w:history="1">
            <w:r w:rsidR="00A0377F" w:rsidRPr="007D7C8D">
              <w:rPr>
                <w:rStyle w:val="Hyperlink"/>
              </w:rPr>
              <w:t>A.5 Impact on Small Businesses or Other Small Entities</w:t>
            </w:r>
            <w:r w:rsidR="00A0377F">
              <w:rPr>
                <w:webHidden/>
              </w:rPr>
              <w:tab/>
            </w:r>
            <w:r w:rsidR="00A0377F">
              <w:rPr>
                <w:webHidden/>
              </w:rPr>
              <w:fldChar w:fldCharType="begin"/>
            </w:r>
            <w:r w:rsidR="00A0377F">
              <w:rPr>
                <w:webHidden/>
              </w:rPr>
              <w:instrText xml:space="preserve"> PAGEREF _Toc351620202 \h </w:instrText>
            </w:r>
            <w:r w:rsidR="00A0377F">
              <w:rPr>
                <w:webHidden/>
              </w:rPr>
            </w:r>
            <w:r w:rsidR="00A0377F">
              <w:rPr>
                <w:webHidden/>
              </w:rPr>
              <w:fldChar w:fldCharType="separate"/>
            </w:r>
            <w:r w:rsidR="00A0377F">
              <w:rPr>
                <w:webHidden/>
              </w:rPr>
              <w:t>14</w:t>
            </w:r>
            <w:r w:rsidR="00A0377F">
              <w:rPr>
                <w:webHidden/>
              </w:rPr>
              <w:fldChar w:fldCharType="end"/>
            </w:r>
          </w:hyperlink>
        </w:p>
        <w:p w:rsidR="00A0377F" w:rsidRDefault="009632E5">
          <w:pPr>
            <w:pStyle w:val="TOC2"/>
            <w:rPr>
              <w:rFonts w:asciiTheme="minorHAnsi" w:hAnsiTheme="minorHAnsi" w:cstheme="minorBidi"/>
              <w:bCs w:val="0"/>
              <w:sz w:val="22"/>
              <w:szCs w:val="22"/>
            </w:rPr>
          </w:pPr>
          <w:hyperlink w:anchor="_Toc351620203" w:history="1">
            <w:r w:rsidR="00A0377F" w:rsidRPr="007D7C8D">
              <w:rPr>
                <w:rStyle w:val="Hyperlink"/>
              </w:rPr>
              <w:t>A.6 Consequences of Collecting the Information Less Frequently</w:t>
            </w:r>
            <w:r w:rsidR="00A0377F">
              <w:rPr>
                <w:webHidden/>
              </w:rPr>
              <w:tab/>
            </w:r>
            <w:r w:rsidR="00A0377F">
              <w:rPr>
                <w:webHidden/>
              </w:rPr>
              <w:fldChar w:fldCharType="begin"/>
            </w:r>
            <w:r w:rsidR="00A0377F">
              <w:rPr>
                <w:webHidden/>
              </w:rPr>
              <w:instrText xml:space="preserve"> PAGEREF _Toc351620203 \h </w:instrText>
            </w:r>
            <w:r w:rsidR="00A0377F">
              <w:rPr>
                <w:webHidden/>
              </w:rPr>
            </w:r>
            <w:r w:rsidR="00A0377F">
              <w:rPr>
                <w:webHidden/>
              </w:rPr>
              <w:fldChar w:fldCharType="separate"/>
            </w:r>
            <w:r w:rsidR="00A0377F">
              <w:rPr>
                <w:webHidden/>
              </w:rPr>
              <w:t>15</w:t>
            </w:r>
            <w:r w:rsidR="00A0377F">
              <w:rPr>
                <w:webHidden/>
              </w:rPr>
              <w:fldChar w:fldCharType="end"/>
            </w:r>
          </w:hyperlink>
        </w:p>
        <w:p w:rsidR="00A0377F" w:rsidRDefault="009632E5">
          <w:pPr>
            <w:pStyle w:val="TOC2"/>
            <w:rPr>
              <w:rFonts w:asciiTheme="minorHAnsi" w:hAnsiTheme="minorHAnsi" w:cstheme="minorBidi"/>
              <w:bCs w:val="0"/>
              <w:sz w:val="22"/>
              <w:szCs w:val="22"/>
            </w:rPr>
          </w:pPr>
          <w:hyperlink w:anchor="_Toc351620204" w:history="1">
            <w:r w:rsidR="00A0377F" w:rsidRPr="007D7C8D">
              <w:rPr>
                <w:rStyle w:val="Hyperlink"/>
              </w:rPr>
              <w:t>A.7 Special Circumstances Relating to the Guidelines of 5 CFR 1320.5</w:t>
            </w:r>
            <w:r w:rsidR="00A0377F">
              <w:rPr>
                <w:webHidden/>
              </w:rPr>
              <w:tab/>
            </w:r>
            <w:r w:rsidR="00A0377F">
              <w:rPr>
                <w:webHidden/>
              </w:rPr>
              <w:fldChar w:fldCharType="begin"/>
            </w:r>
            <w:r w:rsidR="00A0377F">
              <w:rPr>
                <w:webHidden/>
              </w:rPr>
              <w:instrText xml:space="preserve"> PAGEREF _Toc351620204 \h </w:instrText>
            </w:r>
            <w:r w:rsidR="00A0377F">
              <w:rPr>
                <w:webHidden/>
              </w:rPr>
            </w:r>
            <w:r w:rsidR="00A0377F">
              <w:rPr>
                <w:webHidden/>
              </w:rPr>
              <w:fldChar w:fldCharType="separate"/>
            </w:r>
            <w:r w:rsidR="00A0377F">
              <w:rPr>
                <w:webHidden/>
              </w:rPr>
              <w:t>15</w:t>
            </w:r>
            <w:r w:rsidR="00A0377F">
              <w:rPr>
                <w:webHidden/>
              </w:rPr>
              <w:fldChar w:fldCharType="end"/>
            </w:r>
          </w:hyperlink>
        </w:p>
        <w:p w:rsidR="00A0377F" w:rsidRDefault="009632E5">
          <w:pPr>
            <w:pStyle w:val="TOC2"/>
            <w:rPr>
              <w:rFonts w:asciiTheme="minorHAnsi" w:hAnsiTheme="minorHAnsi" w:cstheme="minorBidi"/>
              <w:bCs w:val="0"/>
              <w:sz w:val="22"/>
              <w:szCs w:val="22"/>
            </w:rPr>
          </w:pPr>
          <w:hyperlink w:anchor="_Toc351620205" w:history="1">
            <w:r w:rsidR="00A0377F" w:rsidRPr="007D7C8D">
              <w:rPr>
                <w:rStyle w:val="Hyperlink"/>
              </w:rPr>
              <w:t>A.8 Comments in Response to the Federal Register Notice and Efforts to Consult Outside the Agency</w:t>
            </w:r>
            <w:r w:rsidR="00A0377F">
              <w:rPr>
                <w:webHidden/>
              </w:rPr>
              <w:tab/>
            </w:r>
            <w:r w:rsidR="00A0377F">
              <w:rPr>
                <w:webHidden/>
              </w:rPr>
              <w:fldChar w:fldCharType="begin"/>
            </w:r>
            <w:r w:rsidR="00A0377F">
              <w:rPr>
                <w:webHidden/>
              </w:rPr>
              <w:instrText xml:space="preserve"> PAGEREF _Toc351620205 \h </w:instrText>
            </w:r>
            <w:r w:rsidR="00A0377F">
              <w:rPr>
                <w:webHidden/>
              </w:rPr>
            </w:r>
            <w:r w:rsidR="00A0377F">
              <w:rPr>
                <w:webHidden/>
              </w:rPr>
              <w:fldChar w:fldCharType="separate"/>
            </w:r>
            <w:r w:rsidR="00A0377F">
              <w:rPr>
                <w:webHidden/>
              </w:rPr>
              <w:t>15</w:t>
            </w:r>
            <w:r w:rsidR="00A0377F">
              <w:rPr>
                <w:webHidden/>
              </w:rPr>
              <w:fldChar w:fldCharType="end"/>
            </w:r>
          </w:hyperlink>
        </w:p>
        <w:p w:rsidR="00A0377F" w:rsidRDefault="009632E5">
          <w:pPr>
            <w:pStyle w:val="TOC2"/>
            <w:rPr>
              <w:rFonts w:asciiTheme="minorHAnsi" w:hAnsiTheme="minorHAnsi" w:cstheme="minorBidi"/>
              <w:bCs w:val="0"/>
              <w:sz w:val="22"/>
              <w:szCs w:val="22"/>
            </w:rPr>
          </w:pPr>
          <w:hyperlink w:anchor="_Toc351620206" w:history="1">
            <w:r w:rsidR="00A0377F" w:rsidRPr="007D7C8D">
              <w:rPr>
                <w:rStyle w:val="Hyperlink"/>
              </w:rPr>
              <w:t>A.9 Explanation of Any Payment or Gift to Respondents</w:t>
            </w:r>
            <w:r w:rsidR="00A0377F">
              <w:rPr>
                <w:webHidden/>
              </w:rPr>
              <w:tab/>
            </w:r>
            <w:r w:rsidR="00A0377F">
              <w:rPr>
                <w:webHidden/>
              </w:rPr>
              <w:fldChar w:fldCharType="begin"/>
            </w:r>
            <w:r w:rsidR="00A0377F">
              <w:rPr>
                <w:webHidden/>
              </w:rPr>
              <w:instrText xml:space="preserve"> PAGEREF _Toc351620206 \h </w:instrText>
            </w:r>
            <w:r w:rsidR="00A0377F">
              <w:rPr>
                <w:webHidden/>
              </w:rPr>
            </w:r>
            <w:r w:rsidR="00A0377F">
              <w:rPr>
                <w:webHidden/>
              </w:rPr>
              <w:fldChar w:fldCharType="separate"/>
            </w:r>
            <w:r w:rsidR="00A0377F">
              <w:rPr>
                <w:webHidden/>
              </w:rPr>
              <w:t>16</w:t>
            </w:r>
            <w:r w:rsidR="00A0377F">
              <w:rPr>
                <w:webHidden/>
              </w:rPr>
              <w:fldChar w:fldCharType="end"/>
            </w:r>
          </w:hyperlink>
        </w:p>
        <w:p w:rsidR="00A0377F" w:rsidRDefault="009632E5">
          <w:pPr>
            <w:pStyle w:val="TOC2"/>
            <w:rPr>
              <w:rFonts w:asciiTheme="minorHAnsi" w:hAnsiTheme="minorHAnsi" w:cstheme="minorBidi"/>
              <w:bCs w:val="0"/>
              <w:sz w:val="22"/>
              <w:szCs w:val="22"/>
            </w:rPr>
          </w:pPr>
          <w:hyperlink w:anchor="_Toc351620207" w:history="1">
            <w:r w:rsidR="00A0377F" w:rsidRPr="007D7C8D">
              <w:rPr>
                <w:rStyle w:val="Hyperlink"/>
              </w:rPr>
              <w:t>A.10 Assurance of Confidentiality Provided to Respondents</w:t>
            </w:r>
            <w:r w:rsidR="00A0377F">
              <w:rPr>
                <w:webHidden/>
              </w:rPr>
              <w:tab/>
            </w:r>
            <w:r w:rsidR="00A0377F">
              <w:rPr>
                <w:webHidden/>
              </w:rPr>
              <w:fldChar w:fldCharType="begin"/>
            </w:r>
            <w:r w:rsidR="00A0377F">
              <w:rPr>
                <w:webHidden/>
              </w:rPr>
              <w:instrText xml:space="preserve"> PAGEREF _Toc351620207 \h </w:instrText>
            </w:r>
            <w:r w:rsidR="00A0377F">
              <w:rPr>
                <w:webHidden/>
              </w:rPr>
            </w:r>
            <w:r w:rsidR="00A0377F">
              <w:rPr>
                <w:webHidden/>
              </w:rPr>
              <w:fldChar w:fldCharType="separate"/>
            </w:r>
            <w:r w:rsidR="00A0377F">
              <w:rPr>
                <w:webHidden/>
              </w:rPr>
              <w:t>16</w:t>
            </w:r>
            <w:r w:rsidR="00A0377F">
              <w:rPr>
                <w:webHidden/>
              </w:rPr>
              <w:fldChar w:fldCharType="end"/>
            </w:r>
          </w:hyperlink>
        </w:p>
        <w:p w:rsidR="00A0377F" w:rsidRDefault="009632E5">
          <w:pPr>
            <w:pStyle w:val="TOC2"/>
            <w:rPr>
              <w:rFonts w:asciiTheme="minorHAnsi" w:hAnsiTheme="minorHAnsi" w:cstheme="minorBidi"/>
              <w:bCs w:val="0"/>
              <w:sz w:val="22"/>
              <w:szCs w:val="22"/>
            </w:rPr>
          </w:pPr>
          <w:hyperlink w:anchor="_Toc351620208" w:history="1">
            <w:r w:rsidR="00A0377F" w:rsidRPr="007D7C8D">
              <w:rPr>
                <w:rStyle w:val="Hyperlink"/>
              </w:rPr>
              <w:t>A.10.1. Privacy Impact Assessment Information</w:t>
            </w:r>
            <w:r w:rsidR="00A0377F">
              <w:rPr>
                <w:webHidden/>
              </w:rPr>
              <w:tab/>
            </w:r>
            <w:r w:rsidR="00A0377F">
              <w:rPr>
                <w:webHidden/>
              </w:rPr>
              <w:fldChar w:fldCharType="begin"/>
            </w:r>
            <w:r w:rsidR="00A0377F">
              <w:rPr>
                <w:webHidden/>
              </w:rPr>
              <w:instrText xml:space="preserve"> PAGEREF _Toc351620208 \h </w:instrText>
            </w:r>
            <w:r w:rsidR="00A0377F">
              <w:rPr>
                <w:webHidden/>
              </w:rPr>
            </w:r>
            <w:r w:rsidR="00A0377F">
              <w:rPr>
                <w:webHidden/>
              </w:rPr>
              <w:fldChar w:fldCharType="separate"/>
            </w:r>
            <w:r w:rsidR="00A0377F">
              <w:rPr>
                <w:webHidden/>
              </w:rPr>
              <w:t>17</w:t>
            </w:r>
            <w:r w:rsidR="00A0377F">
              <w:rPr>
                <w:webHidden/>
              </w:rPr>
              <w:fldChar w:fldCharType="end"/>
            </w:r>
          </w:hyperlink>
        </w:p>
        <w:p w:rsidR="00A0377F" w:rsidRDefault="009632E5">
          <w:pPr>
            <w:pStyle w:val="TOC2"/>
            <w:rPr>
              <w:rFonts w:asciiTheme="minorHAnsi" w:hAnsiTheme="minorHAnsi" w:cstheme="minorBidi"/>
              <w:bCs w:val="0"/>
              <w:sz w:val="22"/>
              <w:szCs w:val="22"/>
            </w:rPr>
          </w:pPr>
          <w:hyperlink w:anchor="_Toc351620209" w:history="1">
            <w:r w:rsidR="00A0377F" w:rsidRPr="007D7C8D">
              <w:rPr>
                <w:rStyle w:val="Hyperlink"/>
              </w:rPr>
              <w:t>A.11 Justification for Sensitive Questions</w:t>
            </w:r>
            <w:r w:rsidR="00A0377F">
              <w:rPr>
                <w:webHidden/>
              </w:rPr>
              <w:tab/>
            </w:r>
            <w:r w:rsidR="00A0377F">
              <w:rPr>
                <w:webHidden/>
              </w:rPr>
              <w:fldChar w:fldCharType="begin"/>
            </w:r>
            <w:r w:rsidR="00A0377F">
              <w:rPr>
                <w:webHidden/>
              </w:rPr>
              <w:instrText xml:space="preserve"> PAGEREF _Toc351620209 \h </w:instrText>
            </w:r>
            <w:r w:rsidR="00A0377F">
              <w:rPr>
                <w:webHidden/>
              </w:rPr>
            </w:r>
            <w:r w:rsidR="00A0377F">
              <w:rPr>
                <w:webHidden/>
              </w:rPr>
              <w:fldChar w:fldCharType="separate"/>
            </w:r>
            <w:r w:rsidR="00A0377F">
              <w:rPr>
                <w:webHidden/>
              </w:rPr>
              <w:t>18</w:t>
            </w:r>
            <w:r w:rsidR="00A0377F">
              <w:rPr>
                <w:webHidden/>
              </w:rPr>
              <w:fldChar w:fldCharType="end"/>
            </w:r>
          </w:hyperlink>
        </w:p>
        <w:p w:rsidR="00A0377F" w:rsidRDefault="009632E5">
          <w:pPr>
            <w:pStyle w:val="TOC2"/>
            <w:rPr>
              <w:rFonts w:asciiTheme="minorHAnsi" w:hAnsiTheme="minorHAnsi" w:cstheme="minorBidi"/>
              <w:bCs w:val="0"/>
              <w:sz w:val="22"/>
              <w:szCs w:val="22"/>
            </w:rPr>
          </w:pPr>
          <w:hyperlink w:anchor="_Toc351620210" w:history="1">
            <w:r w:rsidR="00A0377F" w:rsidRPr="007D7C8D">
              <w:rPr>
                <w:rStyle w:val="Hyperlink"/>
              </w:rPr>
              <w:t>A.12 Estimates of Annualized Burden Hours and Costs</w:t>
            </w:r>
            <w:r w:rsidR="00A0377F">
              <w:rPr>
                <w:webHidden/>
              </w:rPr>
              <w:tab/>
            </w:r>
            <w:r w:rsidR="00A0377F">
              <w:rPr>
                <w:webHidden/>
              </w:rPr>
              <w:fldChar w:fldCharType="begin"/>
            </w:r>
            <w:r w:rsidR="00A0377F">
              <w:rPr>
                <w:webHidden/>
              </w:rPr>
              <w:instrText xml:space="preserve"> PAGEREF _Toc351620210 \h </w:instrText>
            </w:r>
            <w:r w:rsidR="00A0377F">
              <w:rPr>
                <w:webHidden/>
              </w:rPr>
            </w:r>
            <w:r w:rsidR="00A0377F">
              <w:rPr>
                <w:webHidden/>
              </w:rPr>
              <w:fldChar w:fldCharType="separate"/>
            </w:r>
            <w:r w:rsidR="00A0377F">
              <w:rPr>
                <w:webHidden/>
              </w:rPr>
              <w:t>18</w:t>
            </w:r>
            <w:r w:rsidR="00A0377F">
              <w:rPr>
                <w:webHidden/>
              </w:rPr>
              <w:fldChar w:fldCharType="end"/>
            </w:r>
          </w:hyperlink>
        </w:p>
        <w:p w:rsidR="00A0377F" w:rsidRDefault="009632E5">
          <w:pPr>
            <w:pStyle w:val="TOC2"/>
            <w:rPr>
              <w:rFonts w:asciiTheme="minorHAnsi" w:hAnsiTheme="minorHAnsi" w:cstheme="minorBidi"/>
              <w:bCs w:val="0"/>
              <w:sz w:val="22"/>
              <w:szCs w:val="22"/>
            </w:rPr>
          </w:pPr>
          <w:hyperlink w:anchor="_Toc351620211" w:history="1">
            <w:r w:rsidR="00A0377F" w:rsidRPr="007D7C8D">
              <w:rPr>
                <w:rStyle w:val="Hyperlink"/>
              </w:rPr>
              <w:t>A. Estimates of Annualized Burden Hours</w:t>
            </w:r>
            <w:r w:rsidR="00A0377F">
              <w:rPr>
                <w:webHidden/>
              </w:rPr>
              <w:tab/>
            </w:r>
            <w:r w:rsidR="00A0377F">
              <w:rPr>
                <w:webHidden/>
              </w:rPr>
              <w:fldChar w:fldCharType="begin"/>
            </w:r>
            <w:r w:rsidR="00A0377F">
              <w:rPr>
                <w:webHidden/>
              </w:rPr>
              <w:instrText xml:space="preserve"> PAGEREF _Toc351620211 \h </w:instrText>
            </w:r>
            <w:r w:rsidR="00A0377F">
              <w:rPr>
                <w:webHidden/>
              </w:rPr>
            </w:r>
            <w:r w:rsidR="00A0377F">
              <w:rPr>
                <w:webHidden/>
              </w:rPr>
              <w:fldChar w:fldCharType="separate"/>
            </w:r>
            <w:r w:rsidR="00A0377F">
              <w:rPr>
                <w:webHidden/>
              </w:rPr>
              <w:t>18</w:t>
            </w:r>
            <w:r w:rsidR="00A0377F">
              <w:rPr>
                <w:webHidden/>
              </w:rPr>
              <w:fldChar w:fldCharType="end"/>
            </w:r>
          </w:hyperlink>
        </w:p>
        <w:p w:rsidR="00A0377F" w:rsidRDefault="009632E5">
          <w:pPr>
            <w:pStyle w:val="TOC2"/>
            <w:rPr>
              <w:rFonts w:asciiTheme="minorHAnsi" w:hAnsiTheme="minorHAnsi" w:cstheme="minorBidi"/>
              <w:bCs w:val="0"/>
              <w:sz w:val="22"/>
              <w:szCs w:val="22"/>
            </w:rPr>
          </w:pPr>
          <w:hyperlink w:anchor="_Toc351620212" w:history="1">
            <w:r w:rsidR="00A0377F" w:rsidRPr="007D7C8D">
              <w:rPr>
                <w:rStyle w:val="Hyperlink"/>
              </w:rPr>
              <w:t>B. Annualized Cost to Respondents</w:t>
            </w:r>
            <w:r w:rsidR="00A0377F">
              <w:rPr>
                <w:webHidden/>
              </w:rPr>
              <w:tab/>
            </w:r>
            <w:r w:rsidR="00A0377F">
              <w:rPr>
                <w:webHidden/>
              </w:rPr>
              <w:fldChar w:fldCharType="begin"/>
            </w:r>
            <w:r w:rsidR="00A0377F">
              <w:rPr>
                <w:webHidden/>
              </w:rPr>
              <w:instrText xml:space="preserve"> PAGEREF _Toc351620212 \h </w:instrText>
            </w:r>
            <w:r w:rsidR="00A0377F">
              <w:rPr>
                <w:webHidden/>
              </w:rPr>
            </w:r>
            <w:r w:rsidR="00A0377F">
              <w:rPr>
                <w:webHidden/>
              </w:rPr>
              <w:fldChar w:fldCharType="separate"/>
            </w:r>
            <w:r w:rsidR="00A0377F">
              <w:rPr>
                <w:webHidden/>
              </w:rPr>
              <w:t>19</w:t>
            </w:r>
            <w:r w:rsidR="00A0377F">
              <w:rPr>
                <w:webHidden/>
              </w:rPr>
              <w:fldChar w:fldCharType="end"/>
            </w:r>
          </w:hyperlink>
        </w:p>
        <w:p w:rsidR="00A0377F" w:rsidRDefault="009632E5">
          <w:pPr>
            <w:pStyle w:val="TOC2"/>
            <w:rPr>
              <w:rFonts w:asciiTheme="minorHAnsi" w:hAnsiTheme="minorHAnsi" w:cstheme="minorBidi"/>
              <w:bCs w:val="0"/>
              <w:sz w:val="22"/>
              <w:szCs w:val="22"/>
            </w:rPr>
          </w:pPr>
          <w:hyperlink w:anchor="_Toc351620213" w:history="1">
            <w:r w:rsidR="00A0377F" w:rsidRPr="007D7C8D">
              <w:rPr>
                <w:rStyle w:val="Hyperlink"/>
              </w:rPr>
              <w:t>A.13 Estimates of Other Total Annual Cost Burden to Respondents or Record Keepers</w:t>
            </w:r>
            <w:r w:rsidR="00A0377F">
              <w:rPr>
                <w:webHidden/>
              </w:rPr>
              <w:tab/>
            </w:r>
            <w:r w:rsidR="00A0377F">
              <w:rPr>
                <w:webHidden/>
              </w:rPr>
              <w:fldChar w:fldCharType="begin"/>
            </w:r>
            <w:r w:rsidR="00A0377F">
              <w:rPr>
                <w:webHidden/>
              </w:rPr>
              <w:instrText xml:space="preserve"> PAGEREF _Toc351620213 \h </w:instrText>
            </w:r>
            <w:r w:rsidR="00A0377F">
              <w:rPr>
                <w:webHidden/>
              </w:rPr>
            </w:r>
            <w:r w:rsidR="00A0377F">
              <w:rPr>
                <w:webHidden/>
              </w:rPr>
              <w:fldChar w:fldCharType="separate"/>
            </w:r>
            <w:r w:rsidR="00A0377F">
              <w:rPr>
                <w:webHidden/>
              </w:rPr>
              <w:t>19</w:t>
            </w:r>
            <w:r w:rsidR="00A0377F">
              <w:rPr>
                <w:webHidden/>
              </w:rPr>
              <w:fldChar w:fldCharType="end"/>
            </w:r>
          </w:hyperlink>
        </w:p>
        <w:p w:rsidR="00A0377F" w:rsidRDefault="009632E5">
          <w:pPr>
            <w:pStyle w:val="TOC2"/>
            <w:rPr>
              <w:rFonts w:asciiTheme="minorHAnsi" w:hAnsiTheme="minorHAnsi" w:cstheme="minorBidi"/>
              <w:bCs w:val="0"/>
              <w:sz w:val="22"/>
              <w:szCs w:val="22"/>
            </w:rPr>
          </w:pPr>
          <w:hyperlink w:anchor="_Toc351620214" w:history="1">
            <w:r w:rsidR="00A0377F" w:rsidRPr="007D7C8D">
              <w:rPr>
                <w:rStyle w:val="Hyperlink"/>
              </w:rPr>
              <w:t>A.14. Annualized Cost to the Federal Government</w:t>
            </w:r>
            <w:r w:rsidR="00A0377F">
              <w:rPr>
                <w:webHidden/>
              </w:rPr>
              <w:tab/>
            </w:r>
            <w:r w:rsidR="00A0377F">
              <w:rPr>
                <w:webHidden/>
              </w:rPr>
              <w:fldChar w:fldCharType="begin"/>
            </w:r>
            <w:r w:rsidR="00A0377F">
              <w:rPr>
                <w:webHidden/>
              </w:rPr>
              <w:instrText xml:space="preserve"> PAGEREF _Toc351620214 \h </w:instrText>
            </w:r>
            <w:r w:rsidR="00A0377F">
              <w:rPr>
                <w:webHidden/>
              </w:rPr>
            </w:r>
            <w:r w:rsidR="00A0377F">
              <w:rPr>
                <w:webHidden/>
              </w:rPr>
              <w:fldChar w:fldCharType="separate"/>
            </w:r>
            <w:r w:rsidR="00A0377F">
              <w:rPr>
                <w:webHidden/>
              </w:rPr>
              <w:t>19</w:t>
            </w:r>
            <w:r w:rsidR="00A0377F">
              <w:rPr>
                <w:webHidden/>
              </w:rPr>
              <w:fldChar w:fldCharType="end"/>
            </w:r>
          </w:hyperlink>
        </w:p>
        <w:p w:rsidR="00A0377F" w:rsidRDefault="009632E5">
          <w:pPr>
            <w:pStyle w:val="TOC2"/>
            <w:rPr>
              <w:rFonts w:asciiTheme="minorHAnsi" w:hAnsiTheme="minorHAnsi" w:cstheme="minorBidi"/>
              <w:bCs w:val="0"/>
              <w:sz w:val="22"/>
              <w:szCs w:val="22"/>
            </w:rPr>
          </w:pPr>
          <w:hyperlink w:anchor="_Toc351620215" w:history="1">
            <w:r w:rsidR="00A0377F" w:rsidRPr="007D7C8D">
              <w:rPr>
                <w:rStyle w:val="Hyperlink"/>
              </w:rPr>
              <w:t>A.15. Explanation for Program Changes or Adjustments</w:t>
            </w:r>
            <w:r w:rsidR="00A0377F">
              <w:rPr>
                <w:webHidden/>
              </w:rPr>
              <w:tab/>
            </w:r>
            <w:r w:rsidR="00A0377F">
              <w:rPr>
                <w:webHidden/>
              </w:rPr>
              <w:fldChar w:fldCharType="begin"/>
            </w:r>
            <w:r w:rsidR="00A0377F">
              <w:rPr>
                <w:webHidden/>
              </w:rPr>
              <w:instrText xml:space="preserve"> PAGEREF _Toc351620215 \h </w:instrText>
            </w:r>
            <w:r w:rsidR="00A0377F">
              <w:rPr>
                <w:webHidden/>
              </w:rPr>
            </w:r>
            <w:r w:rsidR="00A0377F">
              <w:rPr>
                <w:webHidden/>
              </w:rPr>
              <w:fldChar w:fldCharType="separate"/>
            </w:r>
            <w:r w:rsidR="00A0377F">
              <w:rPr>
                <w:webHidden/>
              </w:rPr>
              <w:t>19</w:t>
            </w:r>
            <w:r w:rsidR="00A0377F">
              <w:rPr>
                <w:webHidden/>
              </w:rPr>
              <w:fldChar w:fldCharType="end"/>
            </w:r>
          </w:hyperlink>
        </w:p>
        <w:p w:rsidR="00A0377F" w:rsidRDefault="009632E5">
          <w:pPr>
            <w:pStyle w:val="TOC2"/>
            <w:rPr>
              <w:rFonts w:asciiTheme="minorHAnsi" w:hAnsiTheme="minorHAnsi" w:cstheme="minorBidi"/>
              <w:bCs w:val="0"/>
              <w:sz w:val="22"/>
              <w:szCs w:val="22"/>
            </w:rPr>
          </w:pPr>
          <w:hyperlink w:anchor="_Toc351620216" w:history="1">
            <w:r w:rsidR="00A0377F" w:rsidRPr="007D7C8D">
              <w:rPr>
                <w:rStyle w:val="Hyperlink"/>
              </w:rPr>
              <w:t>A.16. Plans for Tabulation and Publication and Project Time Schedule</w:t>
            </w:r>
            <w:r w:rsidR="00A0377F">
              <w:rPr>
                <w:webHidden/>
              </w:rPr>
              <w:tab/>
            </w:r>
            <w:r w:rsidR="00A0377F">
              <w:rPr>
                <w:webHidden/>
              </w:rPr>
              <w:fldChar w:fldCharType="begin"/>
            </w:r>
            <w:r w:rsidR="00A0377F">
              <w:rPr>
                <w:webHidden/>
              </w:rPr>
              <w:instrText xml:space="preserve"> PAGEREF _Toc351620216 \h </w:instrText>
            </w:r>
            <w:r w:rsidR="00A0377F">
              <w:rPr>
                <w:webHidden/>
              </w:rPr>
            </w:r>
            <w:r w:rsidR="00A0377F">
              <w:rPr>
                <w:webHidden/>
              </w:rPr>
              <w:fldChar w:fldCharType="separate"/>
            </w:r>
            <w:r w:rsidR="00A0377F">
              <w:rPr>
                <w:webHidden/>
              </w:rPr>
              <w:t>20</w:t>
            </w:r>
            <w:r w:rsidR="00A0377F">
              <w:rPr>
                <w:webHidden/>
              </w:rPr>
              <w:fldChar w:fldCharType="end"/>
            </w:r>
          </w:hyperlink>
        </w:p>
        <w:p w:rsidR="00A0377F" w:rsidRDefault="009632E5">
          <w:pPr>
            <w:pStyle w:val="TOC2"/>
            <w:rPr>
              <w:rFonts w:asciiTheme="minorHAnsi" w:hAnsiTheme="minorHAnsi" w:cstheme="minorBidi"/>
              <w:bCs w:val="0"/>
              <w:sz w:val="22"/>
              <w:szCs w:val="22"/>
            </w:rPr>
          </w:pPr>
          <w:hyperlink w:anchor="_Toc351620217" w:history="1">
            <w:r w:rsidR="00A0377F" w:rsidRPr="007D7C8D">
              <w:rPr>
                <w:rStyle w:val="Hyperlink"/>
              </w:rPr>
              <w:t>A.17. Reason(s) Display of OMB Expiration Date is Inappropriate</w:t>
            </w:r>
            <w:r w:rsidR="00A0377F">
              <w:rPr>
                <w:webHidden/>
              </w:rPr>
              <w:tab/>
            </w:r>
            <w:r w:rsidR="00A0377F">
              <w:rPr>
                <w:webHidden/>
              </w:rPr>
              <w:fldChar w:fldCharType="begin"/>
            </w:r>
            <w:r w:rsidR="00A0377F">
              <w:rPr>
                <w:webHidden/>
              </w:rPr>
              <w:instrText xml:space="preserve"> PAGEREF _Toc351620217 \h </w:instrText>
            </w:r>
            <w:r w:rsidR="00A0377F">
              <w:rPr>
                <w:webHidden/>
              </w:rPr>
            </w:r>
            <w:r w:rsidR="00A0377F">
              <w:rPr>
                <w:webHidden/>
              </w:rPr>
              <w:fldChar w:fldCharType="separate"/>
            </w:r>
            <w:r w:rsidR="00A0377F">
              <w:rPr>
                <w:webHidden/>
              </w:rPr>
              <w:t>20</w:t>
            </w:r>
            <w:r w:rsidR="00A0377F">
              <w:rPr>
                <w:webHidden/>
              </w:rPr>
              <w:fldChar w:fldCharType="end"/>
            </w:r>
          </w:hyperlink>
        </w:p>
        <w:p w:rsidR="00A0377F" w:rsidRDefault="009632E5">
          <w:pPr>
            <w:pStyle w:val="TOC2"/>
            <w:rPr>
              <w:rFonts w:asciiTheme="minorHAnsi" w:hAnsiTheme="minorHAnsi" w:cstheme="minorBidi"/>
              <w:bCs w:val="0"/>
              <w:sz w:val="22"/>
              <w:szCs w:val="22"/>
            </w:rPr>
          </w:pPr>
          <w:hyperlink w:anchor="_Toc351620218" w:history="1">
            <w:r w:rsidR="00A0377F" w:rsidRPr="007D7C8D">
              <w:rPr>
                <w:rStyle w:val="Hyperlink"/>
              </w:rPr>
              <w:t>A.18. Exceptions to Certification for Paperwork Reduction Act Submissions</w:t>
            </w:r>
            <w:r w:rsidR="00A0377F">
              <w:rPr>
                <w:webHidden/>
              </w:rPr>
              <w:tab/>
            </w:r>
            <w:r w:rsidR="00A0377F">
              <w:rPr>
                <w:webHidden/>
              </w:rPr>
              <w:fldChar w:fldCharType="begin"/>
            </w:r>
            <w:r w:rsidR="00A0377F">
              <w:rPr>
                <w:webHidden/>
              </w:rPr>
              <w:instrText xml:space="preserve"> PAGEREF _Toc351620218 \h </w:instrText>
            </w:r>
            <w:r w:rsidR="00A0377F">
              <w:rPr>
                <w:webHidden/>
              </w:rPr>
            </w:r>
            <w:r w:rsidR="00A0377F">
              <w:rPr>
                <w:webHidden/>
              </w:rPr>
              <w:fldChar w:fldCharType="separate"/>
            </w:r>
            <w:r w:rsidR="00A0377F">
              <w:rPr>
                <w:webHidden/>
              </w:rPr>
              <w:t>20</w:t>
            </w:r>
            <w:r w:rsidR="00A0377F">
              <w:rPr>
                <w:webHidden/>
              </w:rPr>
              <w:fldChar w:fldCharType="end"/>
            </w:r>
          </w:hyperlink>
        </w:p>
        <w:bookmarkEnd w:id="11"/>
        <w:p w:rsidR="002930BD" w:rsidRDefault="002930BD">
          <w:r>
            <w:rPr>
              <w:b/>
              <w:bCs/>
              <w:noProof/>
            </w:rPr>
            <w:fldChar w:fldCharType="end"/>
          </w:r>
        </w:p>
      </w:sdtContent>
    </w:sdt>
    <w:p w:rsidR="00AC5805" w:rsidRDefault="00AC5805" w:rsidP="00261215">
      <w:pPr>
        <w:rPr>
          <w:rFonts w:ascii="Arial" w:hAnsi="Arial" w:cs="Arial"/>
          <w:b/>
          <w:bCs/>
          <w:sz w:val="20"/>
          <w:szCs w:val="20"/>
          <w:u w:val="single"/>
        </w:rPr>
      </w:pPr>
    </w:p>
    <w:p w:rsidR="00524678" w:rsidRPr="00E03572" w:rsidRDefault="00524678" w:rsidP="00E03572">
      <w:pPr>
        <w:jc w:val="center"/>
        <w:rPr>
          <w:b/>
          <w:bCs/>
          <w:sz w:val="28"/>
          <w:szCs w:val="28"/>
          <w:u w:val="single"/>
        </w:rPr>
      </w:pPr>
      <w:r w:rsidRPr="00E03572">
        <w:rPr>
          <w:b/>
          <w:bCs/>
          <w:sz w:val="28"/>
          <w:szCs w:val="28"/>
          <w:u w:val="single"/>
        </w:rPr>
        <w:t>List of Attachments</w:t>
      </w:r>
    </w:p>
    <w:p w:rsidR="00524678" w:rsidRDefault="00524678" w:rsidP="00261215">
      <w:pPr>
        <w:rPr>
          <w:bCs/>
          <w:u w:val="single"/>
        </w:rPr>
      </w:pPr>
    </w:p>
    <w:p w:rsidR="00524678" w:rsidRPr="00E03572" w:rsidRDefault="00524678" w:rsidP="00261215">
      <w:pPr>
        <w:rPr>
          <w:bCs/>
        </w:rPr>
      </w:pPr>
      <w:r w:rsidRPr="00E03572">
        <w:rPr>
          <w:bCs/>
        </w:rPr>
        <w:t xml:space="preserve">1:  </w:t>
      </w:r>
      <w:r w:rsidR="00E0614B" w:rsidRPr="00E03572">
        <w:rPr>
          <w:bCs/>
        </w:rPr>
        <w:t>Authorizing Legislation</w:t>
      </w:r>
      <w:r w:rsidRPr="00E03572">
        <w:rPr>
          <w:bCs/>
        </w:rPr>
        <w:t xml:space="preserve"> – CERCLA</w:t>
      </w:r>
    </w:p>
    <w:p w:rsidR="00524678" w:rsidRPr="00E03572" w:rsidRDefault="00524678" w:rsidP="00261215">
      <w:pPr>
        <w:rPr>
          <w:bCs/>
        </w:rPr>
      </w:pPr>
      <w:r w:rsidRPr="00E03572">
        <w:rPr>
          <w:bCs/>
        </w:rPr>
        <w:t xml:space="preserve">2:  60-day </w:t>
      </w:r>
      <w:r w:rsidR="00E0614B" w:rsidRPr="00E03572">
        <w:rPr>
          <w:bCs/>
        </w:rPr>
        <w:t>Federal Register Notice</w:t>
      </w:r>
      <w:r w:rsidRPr="00E03572">
        <w:rPr>
          <w:bCs/>
        </w:rPr>
        <w:t xml:space="preserve"> </w:t>
      </w:r>
    </w:p>
    <w:p w:rsidR="00524678" w:rsidRDefault="00DD42CA" w:rsidP="00261215">
      <w:pPr>
        <w:rPr>
          <w:bCs/>
        </w:rPr>
      </w:pPr>
      <w:r>
        <w:rPr>
          <w:bCs/>
        </w:rPr>
        <w:t>3</w:t>
      </w:r>
      <w:r w:rsidR="00524678" w:rsidRPr="00E03572">
        <w:rPr>
          <w:bCs/>
        </w:rPr>
        <w:t xml:space="preserve">:  </w:t>
      </w:r>
      <w:r w:rsidR="00E03572">
        <w:rPr>
          <w:bCs/>
        </w:rPr>
        <w:t xml:space="preserve">Chemical Exposure Question Bank </w:t>
      </w:r>
    </w:p>
    <w:p w:rsidR="00320114" w:rsidRPr="00E03572" w:rsidRDefault="00DD42CA" w:rsidP="00261215">
      <w:pPr>
        <w:rPr>
          <w:bCs/>
        </w:rPr>
      </w:pPr>
      <w:r>
        <w:rPr>
          <w:bCs/>
        </w:rPr>
        <w:t>4</w:t>
      </w:r>
      <w:r w:rsidR="00320114">
        <w:rPr>
          <w:bCs/>
        </w:rPr>
        <w:t>:  Map of EPA and ATSDR Regions</w:t>
      </w:r>
    </w:p>
    <w:p w:rsidR="00992266" w:rsidRDefault="00992266" w:rsidP="00F75151"/>
    <w:p w:rsidR="00992266" w:rsidRPr="000B1254" w:rsidRDefault="00992266" w:rsidP="000B1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24678" w:rsidRPr="00E03572" w:rsidRDefault="00524678" w:rsidP="00261215">
      <w:pPr>
        <w:rPr>
          <w:bCs/>
        </w:rPr>
      </w:pPr>
    </w:p>
    <w:p w:rsidR="003E4C15" w:rsidRPr="00FD2B98" w:rsidRDefault="004F0058" w:rsidP="007F446A">
      <w:pPr>
        <w:pStyle w:val="Heading1"/>
      </w:pPr>
      <w:r>
        <w:br w:type="page"/>
      </w:r>
      <w:bookmarkStart w:id="12" w:name="_Toc351620192"/>
      <w:r w:rsidR="006E3E43" w:rsidRPr="00FD2B98">
        <w:lastRenderedPageBreak/>
        <w:t>A. Justification</w:t>
      </w:r>
      <w:bookmarkEnd w:id="0"/>
      <w:bookmarkEnd w:id="1"/>
      <w:bookmarkEnd w:id="2"/>
      <w:bookmarkEnd w:id="3"/>
      <w:bookmarkEnd w:id="4"/>
      <w:bookmarkEnd w:id="5"/>
      <w:bookmarkEnd w:id="6"/>
      <w:bookmarkEnd w:id="7"/>
      <w:bookmarkEnd w:id="8"/>
      <w:bookmarkEnd w:id="9"/>
      <w:bookmarkEnd w:id="10"/>
      <w:bookmarkEnd w:id="12"/>
    </w:p>
    <w:p w:rsidR="005B4ECC" w:rsidRPr="00FD2B98" w:rsidRDefault="00380EA1" w:rsidP="007F446A">
      <w:pPr>
        <w:pStyle w:val="Heading2"/>
        <w:rPr>
          <w:rStyle w:val="Strong"/>
          <w:color w:val="365F91" w:themeColor="accent1" w:themeShade="BF"/>
          <w:sz w:val="28"/>
          <w:szCs w:val="28"/>
        </w:rPr>
      </w:pPr>
      <w:r w:rsidRPr="00FD2B98">
        <w:br/>
      </w:r>
      <w:bookmarkStart w:id="13" w:name="_Toc304808215"/>
      <w:bookmarkStart w:id="14" w:name="_Toc304808302"/>
      <w:bookmarkStart w:id="15" w:name="_Toc305153412"/>
      <w:bookmarkStart w:id="16" w:name="_Toc305153630"/>
      <w:bookmarkStart w:id="17" w:name="_Toc305154206"/>
      <w:bookmarkStart w:id="18" w:name="_Toc305155360"/>
      <w:bookmarkStart w:id="19" w:name="_Toc306341890"/>
      <w:bookmarkStart w:id="20" w:name="_Toc306344143"/>
      <w:bookmarkStart w:id="21" w:name="_Toc306344784"/>
      <w:bookmarkStart w:id="22" w:name="_Toc306345025"/>
      <w:bookmarkStart w:id="23" w:name="_Toc311445494"/>
      <w:bookmarkStart w:id="24" w:name="_Toc351620193"/>
      <w:r w:rsidRPr="00FD2B98">
        <w:rPr>
          <w:rStyle w:val="Strong"/>
          <w:sz w:val="28"/>
          <w:szCs w:val="28"/>
        </w:rPr>
        <w:t>A.1 Circumstances Making the Collection of Information Necessary</w:t>
      </w:r>
      <w:bookmarkEnd w:id="13"/>
      <w:bookmarkEnd w:id="14"/>
      <w:bookmarkEnd w:id="15"/>
      <w:bookmarkEnd w:id="16"/>
      <w:bookmarkEnd w:id="17"/>
      <w:bookmarkEnd w:id="18"/>
      <w:bookmarkEnd w:id="19"/>
      <w:bookmarkEnd w:id="20"/>
      <w:bookmarkEnd w:id="21"/>
      <w:bookmarkEnd w:id="22"/>
      <w:bookmarkEnd w:id="23"/>
      <w:bookmarkEnd w:id="24"/>
    </w:p>
    <w:p w:rsidR="00073047" w:rsidRPr="003E4C15" w:rsidRDefault="00073047" w:rsidP="004C7B15"/>
    <w:p w:rsidR="0069469D" w:rsidRDefault="003B6233" w:rsidP="007E5790">
      <w:r>
        <w:rPr>
          <w:bCs/>
        </w:rPr>
        <w:t>The classification of this i</w:t>
      </w:r>
      <w:r w:rsidR="008823BC" w:rsidRPr="00C6650B">
        <w:rPr>
          <w:bCs/>
        </w:rPr>
        <w:t xml:space="preserve">nformation </w:t>
      </w:r>
      <w:r>
        <w:rPr>
          <w:bCs/>
        </w:rPr>
        <w:t>c</w:t>
      </w:r>
      <w:r w:rsidR="008823BC">
        <w:rPr>
          <w:bCs/>
        </w:rPr>
        <w:t>ollection</w:t>
      </w:r>
      <w:r>
        <w:rPr>
          <w:bCs/>
        </w:rPr>
        <w:t xml:space="preserve"> request</w:t>
      </w:r>
      <w:r w:rsidR="008823BC">
        <w:rPr>
          <w:bCs/>
        </w:rPr>
        <w:t xml:space="preserve"> (IC</w:t>
      </w:r>
      <w:r>
        <w:rPr>
          <w:bCs/>
        </w:rPr>
        <w:t>R</w:t>
      </w:r>
      <w:r w:rsidR="008823BC">
        <w:rPr>
          <w:bCs/>
        </w:rPr>
        <w:t>) is as a reinstatement with change</w:t>
      </w:r>
      <w:r w:rsidR="008823BC" w:rsidRPr="00C6650B">
        <w:rPr>
          <w:bCs/>
        </w:rPr>
        <w:t xml:space="preserve"> of the </w:t>
      </w:r>
      <w:r w:rsidR="008823BC">
        <w:rPr>
          <w:bCs/>
          <w:i/>
        </w:rPr>
        <w:t xml:space="preserve">National Center for Environmental Health/Agency for Toxic Substances and Disease </w:t>
      </w:r>
      <w:r w:rsidR="008823BC" w:rsidRPr="0069469D">
        <w:rPr>
          <w:bCs/>
          <w:i/>
        </w:rPr>
        <w:t>Registry (</w:t>
      </w:r>
      <w:r w:rsidR="008823BC" w:rsidRPr="0069469D">
        <w:rPr>
          <w:i/>
        </w:rPr>
        <w:t>NCEH/ATSDR) Exposure Investigations (EI)</w:t>
      </w:r>
      <w:r w:rsidR="008823BC" w:rsidRPr="0069469D">
        <w:rPr>
          <w:bCs/>
        </w:rPr>
        <w:t xml:space="preserve">, </w:t>
      </w:r>
      <w:r w:rsidR="000B0BC3">
        <w:rPr>
          <w:bCs/>
        </w:rPr>
        <w:t xml:space="preserve">OMB Control Number (OCN) </w:t>
      </w:r>
      <w:r w:rsidR="008823BC" w:rsidRPr="00B063C5">
        <w:rPr>
          <w:bCs/>
        </w:rPr>
        <w:t>0923</w:t>
      </w:r>
      <w:r w:rsidR="008823BC">
        <w:rPr>
          <w:bCs/>
        </w:rPr>
        <w:t>-0040</w:t>
      </w:r>
      <w:r w:rsidR="008823BC" w:rsidRPr="00C6650B">
        <w:rPr>
          <w:bCs/>
        </w:rPr>
        <w:t>.</w:t>
      </w:r>
      <w:r w:rsidR="008823BC">
        <w:rPr>
          <w:bCs/>
        </w:rPr>
        <w:t xml:space="preserve"> </w:t>
      </w:r>
      <w:r w:rsidR="0069469D">
        <w:t xml:space="preserve">The 60-day Federal Register notice for </w:t>
      </w:r>
      <w:r w:rsidR="00EF2746">
        <w:t xml:space="preserve">the reinstatement of </w:t>
      </w:r>
      <w:r w:rsidR="0069469D">
        <w:t xml:space="preserve">OCN 0923-0040 is provided as Attachment 2. </w:t>
      </w:r>
    </w:p>
    <w:p w:rsidR="0069469D" w:rsidRDefault="0069469D" w:rsidP="007E5790"/>
    <w:p w:rsidR="005B1CE6" w:rsidRDefault="00E8609B" w:rsidP="007E5790">
      <w:pPr>
        <w:rPr>
          <w:color w:val="000000"/>
        </w:rPr>
      </w:pPr>
      <w:r>
        <w:t>ATSDR requests</w:t>
      </w:r>
      <w:r w:rsidR="00002E14">
        <w:t xml:space="preserve"> a change to a three-year “generic” clearance to </w:t>
      </w:r>
      <w:r w:rsidR="00002E14">
        <w:rPr>
          <w:bCs/>
        </w:rPr>
        <w:t>allow the Agency to carry out its public health activities in a more timely and efficient manner.</w:t>
      </w:r>
      <w:r w:rsidR="00002E14">
        <w:rPr>
          <w:bCs/>
          <w:i/>
        </w:rPr>
        <w:t xml:space="preserve"> </w:t>
      </w:r>
      <w:r>
        <w:rPr>
          <w:bCs/>
        </w:rPr>
        <w:t xml:space="preserve">The Agency </w:t>
      </w:r>
      <w:r w:rsidR="00002E14">
        <w:rPr>
          <w:bCs/>
        </w:rPr>
        <w:t xml:space="preserve">also </w:t>
      </w:r>
      <w:r>
        <w:rPr>
          <w:bCs/>
        </w:rPr>
        <w:t>requests</w:t>
      </w:r>
      <w:r w:rsidR="008823BC" w:rsidRPr="00EE683B">
        <w:rPr>
          <w:bCs/>
        </w:rPr>
        <w:t xml:space="preserve"> a title change to read </w:t>
      </w:r>
      <w:r w:rsidR="008823BC">
        <w:rPr>
          <w:bCs/>
        </w:rPr>
        <w:t>–</w:t>
      </w:r>
      <w:r w:rsidR="008823BC" w:rsidRPr="00EE683B">
        <w:rPr>
          <w:bCs/>
        </w:rPr>
        <w:t xml:space="preserve"> </w:t>
      </w:r>
      <w:r w:rsidR="00ED28C8" w:rsidRPr="00DD42CA">
        <w:rPr>
          <w:bCs/>
          <w:i/>
        </w:rPr>
        <w:t>Generic Clearance of</w:t>
      </w:r>
      <w:r w:rsidR="00ED28C8">
        <w:rPr>
          <w:bCs/>
        </w:rPr>
        <w:t xml:space="preserve"> </w:t>
      </w:r>
      <w:r w:rsidR="008823BC">
        <w:rPr>
          <w:bCs/>
          <w:i/>
        </w:rPr>
        <w:t>ATSDR Exposure Investigations (EI</w:t>
      </w:r>
      <w:r w:rsidR="008823BC" w:rsidRPr="00EE683B">
        <w:rPr>
          <w:bCs/>
          <w:i/>
        </w:rPr>
        <w:t>)</w:t>
      </w:r>
      <w:r w:rsidR="00A83B80" w:rsidRPr="00AC5805">
        <w:t xml:space="preserve"> under the authority of t</w:t>
      </w:r>
      <w:r w:rsidR="00A83B80" w:rsidRPr="00AC5805">
        <w:rPr>
          <w:bCs/>
          <w:iCs/>
        </w:rPr>
        <w:t xml:space="preserve">he Comprehensive Environmental Response, Compensation, and Liability Act of 1980 (CERCLA), commonly known as the "Superfund" </w:t>
      </w:r>
      <w:r w:rsidR="00A83B80" w:rsidRPr="00384A59">
        <w:rPr>
          <w:bCs/>
          <w:iCs/>
        </w:rPr>
        <w:t>Act</w:t>
      </w:r>
      <w:r w:rsidR="006B749A">
        <w:rPr>
          <w:bCs/>
          <w:iCs/>
        </w:rPr>
        <w:t>, as amended</w:t>
      </w:r>
      <w:r w:rsidR="00384A59">
        <w:rPr>
          <w:bCs/>
          <w:iCs/>
        </w:rPr>
        <w:t xml:space="preserve"> by the Superfund Amendments and Reauthorization Act (SARA) of 1986</w:t>
      </w:r>
      <w:r w:rsidR="00221B76" w:rsidRPr="00384A59">
        <w:rPr>
          <w:bCs/>
          <w:iCs/>
        </w:rPr>
        <w:t xml:space="preserve"> (Attachment 1)</w:t>
      </w:r>
      <w:r w:rsidR="00BB15B3" w:rsidRPr="00384A59">
        <w:t>.</w:t>
      </w:r>
      <w:r w:rsidR="004F005E">
        <w:rPr>
          <w:rStyle w:val="FootnoteReference"/>
        </w:rPr>
        <w:footnoteReference w:id="1"/>
      </w:r>
      <w:r w:rsidR="00002E14">
        <w:t xml:space="preserve"> </w:t>
      </w:r>
      <w:r w:rsidR="00002E14">
        <w:rPr>
          <w:color w:val="000000"/>
        </w:rPr>
        <w:t xml:space="preserve">Under CERCLA, </w:t>
      </w:r>
      <w:r w:rsidR="005E1D66">
        <w:rPr>
          <w:color w:val="000000"/>
        </w:rPr>
        <w:t xml:space="preserve">ATSDR </w:t>
      </w:r>
      <w:r w:rsidR="00002E14">
        <w:rPr>
          <w:color w:val="000000"/>
        </w:rPr>
        <w:t>works closely with</w:t>
      </w:r>
      <w:r w:rsidR="00681AD2" w:rsidRPr="00CF1BF0">
        <w:rPr>
          <w:color w:val="000000"/>
        </w:rPr>
        <w:t xml:space="preserve"> </w:t>
      </w:r>
      <w:r w:rsidR="00997496">
        <w:rPr>
          <w:color w:val="000000"/>
        </w:rPr>
        <w:t>the U.S. Environmental Protection Agency (</w:t>
      </w:r>
      <w:r w:rsidR="00681AD2" w:rsidRPr="00CF1BF0">
        <w:rPr>
          <w:color w:val="000000"/>
        </w:rPr>
        <w:t>EPA</w:t>
      </w:r>
      <w:r w:rsidR="00997496">
        <w:rPr>
          <w:color w:val="000000"/>
        </w:rPr>
        <w:t>)</w:t>
      </w:r>
      <w:r w:rsidR="005E1D66">
        <w:rPr>
          <w:color w:val="000000"/>
        </w:rPr>
        <w:t xml:space="preserve"> </w:t>
      </w:r>
      <w:r w:rsidR="00002E14">
        <w:rPr>
          <w:color w:val="000000"/>
        </w:rPr>
        <w:t>to evaluate</w:t>
      </w:r>
      <w:r w:rsidR="00681AD2" w:rsidRPr="00CF1BF0">
        <w:rPr>
          <w:color w:val="000000"/>
        </w:rPr>
        <w:t xml:space="preserve"> </w:t>
      </w:r>
      <w:r w:rsidR="002B775D">
        <w:rPr>
          <w:color w:val="000000"/>
        </w:rPr>
        <w:t xml:space="preserve">the presence and nature of </w:t>
      </w:r>
      <w:r w:rsidR="00681AD2">
        <w:rPr>
          <w:color w:val="000000"/>
        </w:rPr>
        <w:t xml:space="preserve">hazardous </w:t>
      </w:r>
      <w:r w:rsidR="008D78F1">
        <w:rPr>
          <w:color w:val="000000"/>
        </w:rPr>
        <w:t xml:space="preserve">substances </w:t>
      </w:r>
      <w:r w:rsidR="002B775D">
        <w:rPr>
          <w:color w:val="000000"/>
        </w:rPr>
        <w:t xml:space="preserve">at specific sites </w:t>
      </w:r>
      <w:r w:rsidR="00681AD2" w:rsidRPr="00CF1BF0">
        <w:rPr>
          <w:color w:val="000000"/>
        </w:rPr>
        <w:t xml:space="preserve">and the levels at which </w:t>
      </w:r>
      <w:r w:rsidR="005856AA">
        <w:rPr>
          <w:color w:val="000000"/>
        </w:rPr>
        <w:t xml:space="preserve">these </w:t>
      </w:r>
      <w:r w:rsidR="00681AD2" w:rsidRPr="00CF1BF0">
        <w:rPr>
          <w:color w:val="000000"/>
        </w:rPr>
        <w:t xml:space="preserve">substances may </w:t>
      </w:r>
      <w:r w:rsidR="00681AD2">
        <w:rPr>
          <w:color w:val="000000"/>
        </w:rPr>
        <w:t xml:space="preserve">pose a threat to human health. </w:t>
      </w:r>
      <w:r w:rsidR="00F57ED0">
        <w:rPr>
          <w:color w:val="000000"/>
        </w:rPr>
        <w:t>ATSDR</w:t>
      </w:r>
      <w:r w:rsidR="002B775D">
        <w:rPr>
          <w:color w:val="000000"/>
        </w:rPr>
        <w:t xml:space="preserve"> works to</w:t>
      </w:r>
      <w:r w:rsidR="000C2177" w:rsidRPr="00CF1BF0">
        <w:rPr>
          <w:color w:val="000000"/>
        </w:rPr>
        <w:t xml:space="preserve"> prevent or reduce further exposure and the illnesses </w:t>
      </w:r>
      <w:r w:rsidR="00C53688">
        <w:rPr>
          <w:color w:val="000000"/>
        </w:rPr>
        <w:t xml:space="preserve">that result from such </w:t>
      </w:r>
      <w:r w:rsidR="000C2177" w:rsidRPr="00CF1BF0">
        <w:rPr>
          <w:color w:val="000000"/>
        </w:rPr>
        <w:t>hazardous substances.</w:t>
      </w:r>
    </w:p>
    <w:p w:rsidR="008A19C2" w:rsidRDefault="008A19C2" w:rsidP="007E5790">
      <w:pPr>
        <w:rPr>
          <w:color w:val="000000"/>
        </w:rPr>
      </w:pPr>
    </w:p>
    <w:p w:rsidR="008A19C2" w:rsidRDefault="006B4A7B" w:rsidP="007E5790">
      <w:r>
        <w:t>Due to</w:t>
      </w:r>
      <w:r w:rsidR="008A19C2">
        <w:t xml:space="preserve"> th</w:t>
      </w:r>
      <w:r w:rsidR="003D6F20">
        <w:t>e 2012</w:t>
      </w:r>
      <w:r>
        <w:t xml:space="preserve"> ATSDR</w:t>
      </w:r>
      <w:r w:rsidR="008A19C2">
        <w:t xml:space="preserve"> reorganization (Federal Register, Volume 77 No. 221, 15 Nov 2012, Pages 68125-7</w:t>
      </w:r>
      <w:r w:rsidR="00435BAC">
        <w:t>)</w:t>
      </w:r>
      <w:r>
        <w:t>, the agency is</w:t>
      </w:r>
      <w:r w:rsidR="008A19C2">
        <w:t xml:space="preserve"> requesting that OMB allow three simultaneous review tracks (Eastern, Centra</w:t>
      </w:r>
      <w:r w:rsidR="00F479E8">
        <w:t>l, Western) to expedite</w:t>
      </w:r>
      <w:r w:rsidR="008A19C2">
        <w:t xml:space="preserve"> review </w:t>
      </w:r>
      <w:r w:rsidR="00F479E8">
        <w:t xml:space="preserve">and approval </w:t>
      </w:r>
      <w:r w:rsidR="008A19C2">
        <w:t>of these time-sensitive submittals</w:t>
      </w:r>
      <w:r w:rsidR="00BD055A">
        <w:t xml:space="preserve"> from across the nation</w:t>
      </w:r>
      <w:r w:rsidR="008A19C2">
        <w:t>.</w:t>
      </w:r>
      <w:r w:rsidR="00442BA2">
        <w:t xml:space="preserve"> The justification for t</w:t>
      </w:r>
      <w:r>
        <w:t xml:space="preserve">his request is further discussed in Section </w:t>
      </w:r>
      <w:r w:rsidR="009D0082">
        <w:t>A.1.1.</w:t>
      </w:r>
    </w:p>
    <w:p w:rsidR="005B1CE6" w:rsidRPr="005B1CE6" w:rsidRDefault="005B1CE6" w:rsidP="007E5790"/>
    <w:p w:rsidR="005B1CE6" w:rsidRPr="005B1CE6" w:rsidRDefault="005B1CE6" w:rsidP="007E5790">
      <w:pPr>
        <w:rPr>
          <w:rStyle w:val="Strong"/>
          <w:rFonts w:asciiTheme="majorHAnsi" w:hAnsiTheme="majorHAnsi"/>
          <w:color w:val="4F81BD"/>
        </w:rPr>
      </w:pPr>
      <w:r w:rsidRPr="005B1CE6">
        <w:rPr>
          <w:rStyle w:val="Strong"/>
          <w:rFonts w:asciiTheme="majorHAnsi" w:hAnsiTheme="majorHAnsi"/>
          <w:color w:val="4F81BD"/>
        </w:rPr>
        <w:t>ATSDR Public Health Assessment Process</w:t>
      </w:r>
      <w:r w:rsidR="00C15C5B">
        <w:rPr>
          <w:rStyle w:val="Strong"/>
          <w:rFonts w:asciiTheme="majorHAnsi" w:hAnsiTheme="majorHAnsi"/>
          <w:color w:val="4F81BD"/>
        </w:rPr>
        <w:t xml:space="preserve"> and the Role of the Exposure Investigation</w:t>
      </w:r>
    </w:p>
    <w:p w:rsidR="005B1CE6" w:rsidRDefault="005B1CE6" w:rsidP="007E5790">
      <w:pPr>
        <w:rPr>
          <w:color w:val="000000"/>
        </w:rPr>
      </w:pPr>
    </w:p>
    <w:p w:rsidR="00EC07F3" w:rsidRDefault="00D745C1" w:rsidP="00EC07F3">
      <w:pPr>
        <w:tabs>
          <w:tab w:val="left" w:pos="1545"/>
        </w:tabs>
        <w:rPr>
          <w:color w:val="000000"/>
          <w:lang w:val="en"/>
        </w:rPr>
      </w:pPr>
      <w:r w:rsidRPr="001608A1">
        <w:rPr>
          <w:color w:val="000000"/>
        </w:rPr>
        <w:t xml:space="preserve">The </w:t>
      </w:r>
      <w:r w:rsidRPr="001608A1">
        <w:t>ATSDR Division of Community Health and Investigation (DCHI)</w:t>
      </w:r>
      <w:r w:rsidR="004C7B15" w:rsidRPr="001608A1">
        <w:rPr>
          <w:color w:val="000000"/>
        </w:rPr>
        <w:t xml:space="preserve"> conducts public health assessments (PHAs</w:t>
      </w:r>
      <w:r w:rsidR="00800B8E" w:rsidRPr="001608A1">
        <w:rPr>
          <w:color w:val="000000"/>
        </w:rPr>
        <w:t xml:space="preserve">) </w:t>
      </w:r>
      <w:r w:rsidR="004C7B15" w:rsidRPr="001608A1">
        <w:rPr>
          <w:color w:val="000000"/>
        </w:rPr>
        <w:t xml:space="preserve">at sites when requested by the </w:t>
      </w:r>
      <w:r w:rsidR="005856AA" w:rsidRPr="001608A1">
        <w:rPr>
          <w:color w:val="000000"/>
        </w:rPr>
        <w:t>U</w:t>
      </w:r>
      <w:r w:rsidR="00997496" w:rsidRPr="001608A1">
        <w:rPr>
          <w:color w:val="000000"/>
        </w:rPr>
        <w:t>.</w:t>
      </w:r>
      <w:r w:rsidR="005856AA" w:rsidRPr="001608A1">
        <w:rPr>
          <w:color w:val="000000"/>
        </w:rPr>
        <w:t>S</w:t>
      </w:r>
      <w:r w:rsidR="00997496" w:rsidRPr="001608A1">
        <w:rPr>
          <w:color w:val="000000"/>
        </w:rPr>
        <w:t>. EPA</w:t>
      </w:r>
      <w:r w:rsidR="004C7B15" w:rsidRPr="001608A1">
        <w:rPr>
          <w:color w:val="000000"/>
        </w:rPr>
        <w:t xml:space="preserve">, states, </w:t>
      </w:r>
      <w:r w:rsidR="00270902" w:rsidRPr="001608A1">
        <w:rPr>
          <w:color w:val="000000"/>
        </w:rPr>
        <w:t xml:space="preserve">organizations, </w:t>
      </w:r>
      <w:r w:rsidR="004C7B15" w:rsidRPr="001608A1">
        <w:rPr>
          <w:color w:val="000000"/>
        </w:rPr>
        <w:t>or individual</w:t>
      </w:r>
      <w:r w:rsidR="002473AB" w:rsidRPr="001608A1">
        <w:rPr>
          <w:color w:val="000000"/>
        </w:rPr>
        <w:t xml:space="preserve"> </w:t>
      </w:r>
      <w:r w:rsidR="00EC07F3" w:rsidRPr="001608A1">
        <w:rPr>
          <w:color w:val="000000"/>
        </w:rPr>
        <w:t>petitioners</w:t>
      </w:r>
      <w:r w:rsidR="00EC07F3">
        <w:rPr>
          <w:color w:val="000000"/>
        </w:rPr>
        <w:t>. The 2005 ATSDR PHA Guidance Manual is available at</w:t>
      </w:r>
      <w:r w:rsidR="00EC07F3" w:rsidRPr="001608A1">
        <w:rPr>
          <w:color w:val="000000"/>
          <w:lang w:val="en"/>
        </w:rPr>
        <w:t xml:space="preserve">, </w:t>
      </w:r>
      <w:hyperlink r:id="rId11" w:history="1">
        <w:r w:rsidR="00EC07F3" w:rsidRPr="00222D14">
          <w:rPr>
            <w:rStyle w:val="Hyperlink"/>
          </w:rPr>
          <w:t>http://www.atsdr.cdc.gov/HAC/PHAManual/toc.html</w:t>
        </w:r>
      </w:hyperlink>
      <w:r w:rsidR="00EC07F3">
        <w:rPr>
          <w:color w:val="000000"/>
        </w:rPr>
        <w:t>.</w:t>
      </w:r>
      <w:r w:rsidR="00EC07F3" w:rsidRPr="001608A1">
        <w:rPr>
          <w:color w:val="000000"/>
        </w:rPr>
        <w:t xml:space="preserve"> </w:t>
      </w:r>
      <w:r w:rsidR="00EC07F3" w:rsidRPr="001608A1">
        <w:rPr>
          <w:color w:val="000000"/>
          <w:lang w:val="en"/>
        </w:rPr>
        <w:t xml:space="preserve">The purpose of the </w:t>
      </w:r>
      <w:r w:rsidR="00576A27">
        <w:rPr>
          <w:color w:val="000000"/>
          <w:lang w:val="en"/>
        </w:rPr>
        <w:t xml:space="preserve">agency’s </w:t>
      </w:r>
      <w:r w:rsidR="00EC07F3" w:rsidRPr="001608A1">
        <w:rPr>
          <w:color w:val="000000"/>
          <w:lang w:val="en"/>
        </w:rPr>
        <w:t>PHA process is to find out whether people have been, are being, or may be exposed to hazardous substances and, if so whether that exposure is harmful, or</w:t>
      </w:r>
      <w:r w:rsidR="00EC07F3">
        <w:rPr>
          <w:color w:val="000000"/>
          <w:lang w:val="en"/>
        </w:rPr>
        <w:t xml:space="preserve"> </w:t>
      </w:r>
      <w:r w:rsidR="00EC07F3" w:rsidRPr="001608A1">
        <w:rPr>
          <w:color w:val="000000"/>
          <w:lang w:val="en"/>
        </w:rPr>
        <w:t>potentially harmful, and should therefore be stopped or reduced. The process also serves as a mechanism through which the agency responds to specific community health concerns related to hazardous waste sit</w:t>
      </w:r>
      <w:r w:rsidR="00EC07F3">
        <w:rPr>
          <w:color w:val="000000"/>
          <w:lang w:val="en"/>
        </w:rPr>
        <w:t xml:space="preserve">es. </w:t>
      </w:r>
    </w:p>
    <w:p w:rsidR="001608A1" w:rsidRPr="001608A1" w:rsidRDefault="001608A1" w:rsidP="007E5790">
      <w:pPr>
        <w:tabs>
          <w:tab w:val="left" w:pos="1545"/>
        </w:tabs>
        <w:rPr>
          <w:color w:val="000000"/>
        </w:rPr>
      </w:pPr>
    </w:p>
    <w:p w:rsidR="00EC07F3" w:rsidRDefault="00EC07F3" w:rsidP="00EC07F3">
      <w:pPr>
        <w:tabs>
          <w:tab w:val="left" w:pos="1545"/>
        </w:tabs>
        <w:rPr>
          <w:color w:val="000000"/>
          <w:lang w:val="en"/>
        </w:rPr>
      </w:pPr>
      <w:r>
        <w:rPr>
          <w:color w:val="000000"/>
          <w:lang w:val="en"/>
        </w:rPr>
        <w:t>In summary, the PHA process includes the following steps:</w:t>
      </w:r>
    </w:p>
    <w:p w:rsidR="00EC07F3" w:rsidRDefault="00EC07F3" w:rsidP="00EC07F3">
      <w:pPr>
        <w:tabs>
          <w:tab w:val="left" w:pos="1545"/>
        </w:tabs>
        <w:rPr>
          <w:color w:val="000000"/>
          <w:lang w:val="en"/>
        </w:rPr>
      </w:pPr>
    </w:p>
    <w:p w:rsidR="00EC07F3" w:rsidRDefault="00EC07F3" w:rsidP="00EC07F3">
      <w:pPr>
        <w:pStyle w:val="ListParagraph"/>
        <w:numPr>
          <w:ilvl w:val="0"/>
          <w:numId w:val="47"/>
        </w:numPr>
        <w:tabs>
          <w:tab w:val="left" w:pos="1545"/>
        </w:tabs>
        <w:rPr>
          <w:color w:val="000000"/>
          <w:lang w:val="en"/>
        </w:rPr>
      </w:pPr>
      <w:r>
        <w:rPr>
          <w:color w:val="000000"/>
          <w:lang w:val="en"/>
        </w:rPr>
        <w:t>Obtaining Site Information;</w:t>
      </w:r>
    </w:p>
    <w:p w:rsidR="00EC07F3" w:rsidRDefault="00EC07F3" w:rsidP="00EC07F3">
      <w:pPr>
        <w:pStyle w:val="ListParagraph"/>
        <w:numPr>
          <w:ilvl w:val="0"/>
          <w:numId w:val="47"/>
        </w:numPr>
        <w:tabs>
          <w:tab w:val="left" w:pos="1545"/>
        </w:tabs>
        <w:rPr>
          <w:color w:val="000000"/>
          <w:lang w:val="en"/>
        </w:rPr>
      </w:pPr>
      <w:r w:rsidRPr="007F6C49">
        <w:rPr>
          <w:color w:val="000000"/>
          <w:lang w:val="en"/>
        </w:rPr>
        <w:t>Involving and C</w:t>
      </w:r>
      <w:r>
        <w:rPr>
          <w:color w:val="000000"/>
          <w:lang w:val="en"/>
        </w:rPr>
        <w:t xml:space="preserve">ommunicating with the Community; </w:t>
      </w:r>
    </w:p>
    <w:p w:rsidR="00EC07F3" w:rsidRDefault="00EC07F3" w:rsidP="00EC07F3">
      <w:pPr>
        <w:pStyle w:val="ListParagraph"/>
        <w:numPr>
          <w:ilvl w:val="0"/>
          <w:numId w:val="47"/>
        </w:numPr>
        <w:tabs>
          <w:tab w:val="left" w:pos="1545"/>
        </w:tabs>
        <w:rPr>
          <w:color w:val="000000"/>
          <w:lang w:val="en"/>
        </w:rPr>
      </w:pPr>
      <w:r>
        <w:rPr>
          <w:color w:val="000000"/>
          <w:lang w:val="en"/>
        </w:rPr>
        <w:lastRenderedPageBreak/>
        <w:t>Exposure Evaluation;</w:t>
      </w:r>
    </w:p>
    <w:p w:rsidR="00EC07F3" w:rsidRDefault="00EC07F3" w:rsidP="00EC07F3">
      <w:pPr>
        <w:pStyle w:val="ListParagraph"/>
        <w:numPr>
          <w:ilvl w:val="0"/>
          <w:numId w:val="47"/>
        </w:numPr>
        <w:tabs>
          <w:tab w:val="left" w:pos="1545"/>
        </w:tabs>
        <w:rPr>
          <w:color w:val="000000"/>
          <w:lang w:val="en"/>
        </w:rPr>
      </w:pPr>
      <w:r>
        <w:rPr>
          <w:color w:val="000000"/>
          <w:lang w:val="en"/>
        </w:rPr>
        <w:t>Health Outcome Evaluation; and</w:t>
      </w:r>
    </w:p>
    <w:p w:rsidR="00EC07F3" w:rsidRPr="007F6C49" w:rsidRDefault="00EC07F3" w:rsidP="00EC07F3">
      <w:pPr>
        <w:pStyle w:val="ListParagraph"/>
        <w:numPr>
          <w:ilvl w:val="0"/>
          <w:numId w:val="47"/>
        </w:numPr>
        <w:tabs>
          <w:tab w:val="left" w:pos="1545"/>
        </w:tabs>
        <w:rPr>
          <w:color w:val="000000"/>
          <w:lang w:val="en"/>
        </w:rPr>
      </w:pPr>
      <w:r>
        <w:rPr>
          <w:color w:val="000000"/>
          <w:lang w:val="en"/>
        </w:rPr>
        <w:t>Determining Conclusions and Recommendations</w:t>
      </w:r>
    </w:p>
    <w:p w:rsidR="001608A1" w:rsidRDefault="001608A1" w:rsidP="007E5790">
      <w:pPr>
        <w:tabs>
          <w:tab w:val="left" w:pos="1545"/>
        </w:tabs>
        <w:rPr>
          <w:color w:val="000000"/>
        </w:rPr>
      </w:pPr>
    </w:p>
    <w:p w:rsidR="00EC07F3" w:rsidRDefault="00EC07F3" w:rsidP="007E5790">
      <w:pPr>
        <w:tabs>
          <w:tab w:val="left" w:pos="1545"/>
        </w:tabs>
        <w:rPr>
          <w:color w:val="000000"/>
        </w:rPr>
      </w:pPr>
    </w:p>
    <w:p w:rsidR="001608A1" w:rsidRDefault="00DC44A1" w:rsidP="001608A1">
      <w:pPr>
        <w:tabs>
          <w:tab w:val="left" w:pos="1545"/>
        </w:tabs>
        <w:jc w:val="center"/>
        <w:rPr>
          <w:color w:val="000000"/>
        </w:rPr>
      </w:pPr>
      <w:r>
        <w:rPr>
          <w:rFonts w:ascii="Georgia" w:hAnsi="Georgia"/>
          <w:noProof/>
          <w:color w:val="000000"/>
        </w:rPr>
        <mc:AlternateContent>
          <mc:Choice Requires="wpg">
            <w:drawing>
              <wp:anchor distT="0" distB="0" distL="114300" distR="114300" simplePos="0" relativeHeight="251660288" behindDoc="0" locked="0" layoutInCell="1" allowOverlap="1" wp14:anchorId="57E0730B" wp14:editId="58AA41AA">
                <wp:simplePos x="0" y="0"/>
                <wp:positionH relativeFrom="column">
                  <wp:posOffset>304800</wp:posOffset>
                </wp:positionH>
                <wp:positionV relativeFrom="paragraph">
                  <wp:posOffset>128451</wp:posOffset>
                </wp:positionV>
                <wp:extent cx="3982085" cy="3124654"/>
                <wp:effectExtent l="0" t="0" r="0" b="0"/>
                <wp:wrapNone/>
                <wp:docPr id="4" name="Group 4"/>
                <wp:cNvGraphicFramePr/>
                <a:graphic xmlns:a="http://schemas.openxmlformats.org/drawingml/2006/main">
                  <a:graphicData uri="http://schemas.microsoft.com/office/word/2010/wordprocessingGroup">
                    <wpg:wgp>
                      <wpg:cNvGrpSpPr/>
                      <wpg:grpSpPr>
                        <a:xfrm>
                          <a:off x="0" y="0"/>
                          <a:ext cx="3982085" cy="3124654"/>
                          <a:chOff x="0" y="0"/>
                          <a:chExt cx="3982085" cy="3124654"/>
                        </a:xfrm>
                      </wpg:grpSpPr>
                      <wps:wsp>
                        <wps:cNvPr id="307" name="Text Box 2"/>
                        <wps:cNvSpPr txBox="1">
                          <a:spLocks noChangeArrowheads="1"/>
                        </wps:cNvSpPr>
                        <wps:spPr bwMode="auto">
                          <a:xfrm>
                            <a:off x="0" y="2924629"/>
                            <a:ext cx="3982085" cy="200025"/>
                          </a:xfrm>
                          <a:prstGeom prst="rect">
                            <a:avLst/>
                          </a:prstGeom>
                          <a:solidFill>
                            <a:srgbClr val="FFFFFF"/>
                          </a:solidFill>
                          <a:ln w="9525">
                            <a:noFill/>
                            <a:miter lim="800000"/>
                            <a:headEnd/>
                            <a:tailEnd/>
                          </a:ln>
                        </wps:spPr>
                        <wps:txbx>
                          <w:txbxContent>
                            <w:p w:rsidR="009406CD" w:rsidRPr="001E1C8D" w:rsidRDefault="009406CD">
                              <w:pPr>
                                <w:rPr>
                                  <w:b/>
                                  <w:i/>
                                  <w:sz w:val="14"/>
                                  <w:szCs w:val="14"/>
                                </w:rPr>
                              </w:pPr>
                              <w:r w:rsidRPr="001E1C8D">
                                <w:rPr>
                                  <w:b/>
                                  <w:i/>
                                  <w:sz w:val="14"/>
                                  <w:szCs w:val="14"/>
                                </w:rPr>
                                <w:t>Source: ATSDR Public Health Assessment Guidance Manual (2005 Update)</w:t>
                              </w:r>
                            </w:p>
                          </w:txbxContent>
                        </wps:txbx>
                        <wps:bodyPr rot="0" vert="horz" wrap="square" lIns="91440" tIns="45720" rIns="91440" bIns="45720" anchor="t" anchorCtr="0">
                          <a:spAutoFit/>
                        </wps:bodyPr>
                      </wps:wsp>
                      <wps:wsp>
                        <wps:cNvPr id="2" name="Rectangle 2"/>
                        <wps:cNvSpPr/>
                        <wps:spPr>
                          <a:xfrm>
                            <a:off x="1030514" y="0"/>
                            <a:ext cx="500743" cy="1905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 o:spid="_x0000_s1026" style="position:absolute;left:0;text-align:left;margin-left:24pt;margin-top:10.1pt;width:313.55pt;height:246.05pt;z-index:251660288" coordsize="39820,31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">
                <v:shapetype id="_x0000_t202" coordsize="21600,21600" o:spt="202" path="m,l,21600r21600,l21600,xe">
                  <v:stroke joinstyle="miter"/>
                  <v:path gradientshapeok="t" o:connecttype="rect"/>
                </v:shapetype>
                <v:shape id="Text Box 2" o:spid="_x0000_s1027" type="#_x0000_t202" style="position:absolute;top:29246;width:39820;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eh2MQA&#10;AADcAAAADwAAAGRycy9kb3ducmV2LnhtbESPzWrCQBSF9wXfYbiF7pqJLU0lZhQRCqW4aLQLl5fM&#10;NZMmcydmRk3fviMILg/n5+MUy9F24kyDbxwrmCYpCOLK6YZrBT+7j+cZCB+QNXaOScEfeVguJg8F&#10;5tpduKTzNtQijrDPUYEJoc+l9JUhiz5xPXH0Dm6wGKIcaqkHvMRx28mXNM2kxYYjwWBPa0NVuz3Z&#10;CNn46lS64+9008q9aTN8+zZfSj09jqs5iEBjuIdv7U+t4DV9h+uZeAT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HodjEAAAA3AAAAA8AAAAAAAAAAAAAAAAAmAIAAGRycy9k&#10;b3ducmV2LnhtbFBLBQYAAAAABAAEAPUAAACJAwAAAAA=&#10;" stroked="f">
                  <v:textbox style="mso-fit-shape-to-text:t">
                    <w:txbxContent>
                      <w:p w:rsidR="009406CD" w:rsidRPr="001E1C8D" w:rsidRDefault="009406CD">
                        <w:pPr>
                          <w:rPr>
                            <w:b/>
                            <w:i/>
                            <w:sz w:val="14"/>
                            <w:szCs w:val="14"/>
                          </w:rPr>
                        </w:pPr>
                        <w:r w:rsidRPr="001E1C8D">
                          <w:rPr>
                            <w:b/>
                            <w:i/>
                            <w:sz w:val="14"/>
                            <w:szCs w:val="14"/>
                          </w:rPr>
                          <w:t>Source: ATSDR Public Health Assessment Guidance Manual (2005 Update)</w:t>
                        </w:r>
                      </w:p>
                    </w:txbxContent>
                  </v:textbox>
                </v:shape>
                <v:rect id="Rectangle 2" o:spid="_x0000_s1028" style="position:absolute;left:10305;width:5007;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SNbcMA&#10;AADaAAAADwAAAGRycy9kb3ducmV2LnhtbESPQWsCMRSE74X+h/AEL6VmFSy6NUopFHqyqL309tg8&#10;N4ublyV5XVd/fSMIPQ4z8w2z2gy+VT3F1AQ2MJ0UoIirYBuuDXwfPp4XoJIgW2wDk4ELJdisHx9W&#10;WNpw5h31e6lVhnAq0YAT6UqtU+XIY5qEjjh7xxA9Spax1jbiOcN9q2dF8aI9NpwXHHb07qg67X+9&#10;geW1+pJF6OZOmp9l7afbY+yfjBmPhrdXUEKD/Ifv7U9rYAa3K/kG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SNbcMAAADaAAAADwAAAAAAAAAAAAAAAACYAgAAZHJzL2Rv&#10;d25yZXYueG1sUEsFBgAAAAAEAAQA9QAAAIgDAAAAAA==&#10;" fillcolor="white [3212]" strokecolor="white [3212]" strokeweight="2pt"/>
              </v:group>
            </w:pict>
          </mc:Fallback>
        </mc:AlternateContent>
      </w:r>
      <w:r w:rsidR="001608A1">
        <w:rPr>
          <w:rFonts w:ascii="Georgia" w:hAnsi="Georgia"/>
          <w:noProof/>
          <w:color w:val="000000"/>
        </w:rPr>
        <w:drawing>
          <wp:inline distT="0" distB="0" distL="0" distR="0" wp14:anchorId="16A5FA57" wp14:editId="78819E70">
            <wp:extent cx="5637623" cy="3309257"/>
            <wp:effectExtent l="19050" t="19050" r="20320" b="24765"/>
            <wp:docPr id="1" name="Picture 1" descr="http://www.atsdr.cdc.gov/hac/PHAManual/images/figure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tsdr.cdc.gov/hac/PHAManual/images/figure1_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8625" cy="3333325"/>
                    </a:xfrm>
                    <a:prstGeom prst="rect">
                      <a:avLst/>
                    </a:prstGeom>
                    <a:noFill/>
                    <a:ln>
                      <a:solidFill>
                        <a:schemeClr val="accent1"/>
                      </a:solidFill>
                    </a:ln>
                  </pic:spPr>
                </pic:pic>
              </a:graphicData>
            </a:graphic>
          </wp:inline>
        </w:drawing>
      </w:r>
    </w:p>
    <w:p w:rsidR="0076675A" w:rsidRPr="0076675A" w:rsidRDefault="0076675A" w:rsidP="007E5790">
      <w:pPr>
        <w:tabs>
          <w:tab w:val="left" w:pos="1545"/>
        </w:tabs>
        <w:rPr>
          <w:b/>
          <w:color w:val="000000"/>
          <w:lang w:val="en"/>
        </w:rPr>
      </w:pPr>
    </w:p>
    <w:p w:rsidR="00EC07F3" w:rsidRDefault="00EC07F3" w:rsidP="00E2469A">
      <w:pPr>
        <w:tabs>
          <w:tab w:val="left" w:pos="1545"/>
        </w:tabs>
        <w:rPr>
          <w:color w:val="000000"/>
          <w:lang w:val="en"/>
        </w:rPr>
      </w:pPr>
    </w:p>
    <w:p w:rsidR="0076675A" w:rsidRPr="0076675A" w:rsidRDefault="0076675A" w:rsidP="00E2469A">
      <w:pPr>
        <w:tabs>
          <w:tab w:val="left" w:pos="1545"/>
        </w:tabs>
        <w:rPr>
          <w:b/>
          <w:color w:val="000000"/>
          <w:lang w:val="en"/>
        </w:rPr>
      </w:pPr>
      <w:r w:rsidRPr="0076675A">
        <w:rPr>
          <w:color w:val="000000"/>
          <w:lang w:val="en"/>
        </w:rPr>
        <w:t>Exposure ass</w:t>
      </w:r>
      <w:r w:rsidR="00E2469A">
        <w:rPr>
          <w:color w:val="000000"/>
          <w:lang w:val="en"/>
        </w:rPr>
        <w:t>essment is the hallmark of the PHA</w:t>
      </w:r>
      <w:r w:rsidRPr="0076675A">
        <w:rPr>
          <w:color w:val="000000"/>
          <w:lang w:val="en"/>
        </w:rPr>
        <w:t xml:space="preserve"> process. ATSDR scientists review environmental data to see how much contamination is at a site, where it is, and how people might come into contact with it. Generally, ATSDR does not collect its own environmental sampling data but reviews information provided by federal and state government agencies and/or their contractors, potentially responsible parties, and the public. When adequate environment</w:t>
      </w:r>
      <w:r w:rsidR="00E71BF8">
        <w:rPr>
          <w:color w:val="000000"/>
          <w:lang w:val="en"/>
        </w:rPr>
        <w:t>al or exposure information does not exist</w:t>
      </w:r>
      <w:r w:rsidR="00E2469A">
        <w:rPr>
          <w:color w:val="000000"/>
          <w:lang w:val="en"/>
        </w:rPr>
        <w:t xml:space="preserve"> to assess human exposures and possible related health effects</w:t>
      </w:r>
      <w:r w:rsidRPr="0076675A">
        <w:rPr>
          <w:color w:val="000000"/>
          <w:lang w:val="en"/>
        </w:rPr>
        <w:t>, ATSDR will indicate what further environmental sampling may be needed and may collect environmental and biologi</w:t>
      </w:r>
      <w:r w:rsidR="006D38F8">
        <w:rPr>
          <w:color w:val="000000"/>
          <w:lang w:val="en"/>
        </w:rPr>
        <w:t>c</w:t>
      </w:r>
      <w:r w:rsidR="0044774C">
        <w:rPr>
          <w:color w:val="000000"/>
          <w:lang w:val="en"/>
        </w:rPr>
        <w:t>al</w:t>
      </w:r>
      <w:r w:rsidR="006D38F8">
        <w:rPr>
          <w:color w:val="000000"/>
          <w:lang w:val="en"/>
        </w:rPr>
        <w:t xml:space="preserve"> samples</w:t>
      </w:r>
      <w:r w:rsidR="00087084">
        <w:rPr>
          <w:color w:val="000000"/>
          <w:lang w:val="en"/>
        </w:rPr>
        <w:t xml:space="preserve">, </w:t>
      </w:r>
      <w:r w:rsidRPr="0076675A">
        <w:rPr>
          <w:color w:val="000000"/>
          <w:lang w:val="en"/>
        </w:rPr>
        <w:t>when appropriate.</w:t>
      </w:r>
    </w:p>
    <w:p w:rsidR="00B86136" w:rsidRDefault="00B86136" w:rsidP="000526A9">
      <w:pPr>
        <w:tabs>
          <w:tab w:val="left" w:pos="1545"/>
        </w:tabs>
      </w:pPr>
    </w:p>
    <w:p w:rsidR="00FC34BA" w:rsidRDefault="005403F3" w:rsidP="00691B3B">
      <w:r>
        <w:t>Therefore, a</w:t>
      </w:r>
      <w:r w:rsidR="00FC34BA">
        <w:t xml:space="preserve">s part of the PHA process, ATSDR uses EIs to fill data gaps that are essential for evaluating whether communities are exposed to contaminants and whether a health hazard is present.  </w:t>
      </w:r>
      <w:r w:rsidR="00187F73" w:rsidRPr="00921644">
        <w:t xml:space="preserve">The </w:t>
      </w:r>
      <w:r w:rsidR="00F34064">
        <w:t>EI</w:t>
      </w:r>
      <w:r w:rsidR="00187F73">
        <w:t xml:space="preserve"> t</w:t>
      </w:r>
      <w:r w:rsidR="00187F73" w:rsidRPr="00921644">
        <w:t xml:space="preserve">eam </w:t>
      </w:r>
      <w:r w:rsidR="00187F73">
        <w:t>conducts point of human-contact</w:t>
      </w:r>
      <w:r w:rsidR="00187F73" w:rsidRPr="00921644">
        <w:t xml:space="preserve"> sampling</w:t>
      </w:r>
      <w:r w:rsidR="00AE3CF2">
        <w:t xml:space="preserve"> </w:t>
      </w:r>
      <w:r w:rsidR="00187F73">
        <w:t>focused</w:t>
      </w:r>
      <w:r w:rsidR="00187F73" w:rsidRPr="00921644">
        <w:t xml:space="preserve"> on </w:t>
      </w:r>
      <w:r w:rsidR="00AE3CF2">
        <w:t xml:space="preserve">geographic </w:t>
      </w:r>
      <w:r w:rsidR="00187F73" w:rsidRPr="00921644">
        <w:t xml:space="preserve">areas where exposures are </w:t>
      </w:r>
      <w:r w:rsidR="00187F73">
        <w:t xml:space="preserve">expected to be high. </w:t>
      </w:r>
      <w:r w:rsidR="00FC34BA">
        <w:t>EIs may include environmental or biologic</w:t>
      </w:r>
      <w:r w:rsidR="0044774C">
        <w:t>al</w:t>
      </w:r>
      <w:r w:rsidR="00F75151">
        <w:t xml:space="preserve"> </w:t>
      </w:r>
      <w:r w:rsidR="00FC34BA">
        <w:t>sampling, or both</w:t>
      </w:r>
      <w:r w:rsidR="009A5B2F">
        <w:t xml:space="preserve"> (ATSDR, 2005)</w:t>
      </w:r>
      <w:r w:rsidR="00FC34BA">
        <w:t>.</w:t>
      </w:r>
      <w:r w:rsidR="00691B3B" w:rsidRPr="00691B3B">
        <w:t xml:space="preserve"> </w:t>
      </w:r>
    </w:p>
    <w:p w:rsidR="00ED49AE" w:rsidRDefault="00ED49AE" w:rsidP="00187F73"/>
    <w:p w:rsidR="00ED49AE" w:rsidRDefault="00187F73" w:rsidP="007F446A">
      <w:pPr>
        <w:pStyle w:val="ListParagraph"/>
        <w:numPr>
          <w:ilvl w:val="0"/>
          <w:numId w:val="41"/>
        </w:numPr>
      </w:pPr>
      <w:r>
        <w:t xml:space="preserve">Environmental </w:t>
      </w:r>
      <w:r w:rsidR="00894DE5">
        <w:t>sampling</w:t>
      </w:r>
      <w:r>
        <w:t xml:space="preserve"> </w:t>
      </w:r>
      <w:r w:rsidR="00894DE5">
        <w:t xml:space="preserve">may </w:t>
      </w:r>
      <w:r>
        <w:t>include ambient air</w:t>
      </w:r>
      <w:r w:rsidRPr="008E0304">
        <w:t>, personal air</w:t>
      </w:r>
      <w:r>
        <w:t>, indoor air, dust, soil, sediment,</w:t>
      </w:r>
      <w:r w:rsidR="008557A0">
        <w:t xml:space="preserve"> </w:t>
      </w:r>
      <w:r>
        <w:t>biota</w:t>
      </w:r>
      <w:r w:rsidR="00AE3CF2">
        <w:t xml:space="preserve"> including food sources</w:t>
      </w:r>
      <w:r>
        <w:t xml:space="preserve">, ground water, </w:t>
      </w:r>
      <w:r w:rsidR="00894DE5">
        <w:t xml:space="preserve">tap water </w:t>
      </w:r>
      <w:r>
        <w:t>and surface water sampling.</w:t>
      </w:r>
      <w:r w:rsidRPr="001F3CB6">
        <w:t xml:space="preserve"> </w:t>
      </w:r>
      <w:r>
        <w:t xml:space="preserve">Depending on individual site characteristics, the sampling period may vary from days to several months. </w:t>
      </w:r>
    </w:p>
    <w:p w:rsidR="00ED49AE" w:rsidRDefault="00187F73" w:rsidP="007F446A">
      <w:pPr>
        <w:pStyle w:val="ListParagraph"/>
        <w:numPr>
          <w:ilvl w:val="0"/>
          <w:numId w:val="41"/>
        </w:numPr>
      </w:pPr>
      <w:r>
        <w:lastRenderedPageBreak/>
        <w:t>Biologic</w:t>
      </w:r>
      <w:r w:rsidR="0044774C">
        <w:t>al</w:t>
      </w:r>
      <w:r>
        <w:t xml:space="preserve"> </w:t>
      </w:r>
      <w:r w:rsidR="00894DE5">
        <w:t>sampling may</w:t>
      </w:r>
      <w:r>
        <w:t xml:space="preserve"> include</w:t>
      </w:r>
      <w:r w:rsidR="00F06A79">
        <w:t>, but not limited to,</w:t>
      </w:r>
      <w:r>
        <w:t xml:space="preserve"> blood and urine sampling for exposure biomarkers.</w:t>
      </w:r>
    </w:p>
    <w:p w:rsidR="00216CF8" w:rsidRDefault="004A1E3D" w:rsidP="007F446A">
      <w:pPr>
        <w:pStyle w:val="ListParagraph"/>
        <w:numPr>
          <w:ilvl w:val="0"/>
          <w:numId w:val="41"/>
        </w:numPr>
      </w:pPr>
      <w:r>
        <w:t>Re</w:t>
      </w:r>
      <w:r w:rsidR="003E4C67">
        <w:t xml:space="preserve">levant </w:t>
      </w:r>
      <w:r w:rsidR="00D90A6B">
        <w:t xml:space="preserve">health symptoms and </w:t>
      </w:r>
      <w:r w:rsidR="00216CF8">
        <w:t>medical information</w:t>
      </w:r>
      <w:r>
        <w:t xml:space="preserve"> </w:t>
      </w:r>
      <w:r w:rsidR="003E4C67">
        <w:t xml:space="preserve">related to </w:t>
      </w:r>
      <w:r w:rsidR="001B330F">
        <w:t xml:space="preserve">site-specific </w:t>
      </w:r>
      <w:r w:rsidR="003E4C67">
        <w:t>exposures</w:t>
      </w:r>
      <w:r w:rsidR="002C33E8">
        <w:t xml:space="preserve"> may be assessed</w:t>
      </w:r>
      <w:r w:rsidR="00216CF8">
        <w:t>.</w:t>
      </w:r>
    </w:p>
    <w:p w:rsidR="00187F73" w:rsidRDefault="00187F73" w:rsidP="007F446A">
      <w:pPr>
        <w:pStyle w:val="ListParagraph"/>
        <w:numPr>
          <w:ilvl w:val="0"/>
          <w:numId w:val="41"/>
        </w:numPr>
      </w:pPr>
      <w:r>
        <w:t xml:space="preserve">Most </w:t>
      </w:r>
      <w:r w:rsidR="0090017A">
        <w:t>EIs</w:t>
      </w:r>
      <w:r>
        <w:t xml:space="preserve"> </w:t>
      </w:r>
      <w:r w:rsidR="00F437C1">
        <w:t xml:space="preserve">sampling events </w:t>
      </w:r>
      <w:r>
        <w:t xml:space="preserve">are completed over a period of </w:t>
      </w:r>
      <w:r w:rsidR="00F437C1">
        <w:t>days to</w:t>
      </w:r>
      <w:r>
        <w:t xml:space="preserve"> months and are a one-time occurrence.</w:t>
      </w:r>
    </w:p>
    <w:p w:rsidR="00187F73" w:rsidRDefault="00187F73" w:rsidP="00187F73"/>
    <w:p w:rsidR="00E80AB1" w:rsidRDefault="00691B3B" w:rsidP="00691B3B">
      <w:r>
        <w:t xml:space="preserve">An EI aims to identify the most highly exposed individuals and measure their exposure. </w:t>
      </w:r>
      <w:r w:rsidR="00577C55" w:rsidRPr="00A471FA">
        <w:rPr>
          <w:color w:val="000000"/>
        </w:rPr>
        <w:t xml:space="preserve">The results of the investigation </w:t>
      </w:r>
      <w:r w:rsidR="00577C55">
        <w:rPr>
          <w:color w:val="000000"/>
        </w:rPr>
        <w:t>are site-specific and apply</w:t>
      </w:r>
      <w:r w:rsidR="00577C55" w:rsidRPr="00A471FA">
        <w:rPr>
          <w:color w:val="000000"/>
        </w:rPr>
        <w:t xml:space="preserve"> only to the p</w:t>
      </w:r>
      <w:r w:rsidR="00577C55">
        <w:rPr>
          <w:color w:val="000000"/>
        </w:rPr>
        <w:t xml:space="preserve">articipants from the site. </w:t>
      </w:r>
      <w:r w:rsidR="00E80AB1">
        <w:rPr>
          <w:color w:val="000000"/>
        </w:rPr>
        <w:t>An EI is</w:t>
      </w:r>
      <w:r w:rsidR="00E80AB1" w:rsidRPr="00A471FA">
        <w:rPr>
          <w:color w:val="000000"/>
        </w:rPr>
        <w:t xml:space="preserve"> not</w:t>
      </w:r>
      <w:r w:rsidR="00E80AB1">
        <w:rPr>
          <w:color w:val="000000"/>
        </w:rPr>
        <w:t xml:space="preserve"> considered</w:t>
      </w:r>
      <w:r w:rsidR="00E80AB1" w:rsidRPr="00A471FA">
        <w:rPr>
          <w:color w:val="000000"/>
        </w:rPr>
        <w:t xml:space="preserve"> a health stu</w:t>
      </w:r>
      <w:r w:rsidR="00E80AB1">
        <w:rPr>
          <w:color w:val="000000"/>
        </w:rPr>
        <w:t xml:space="preserve">dy. </w:t>
      </w:r>
      <w:r w:rsidR="00725D08">
        <w:t>The participants’</w:t>
      </w:r>
      <w:r>
        <w:t xml:space="preserve"> results are not intended to be generaliz</w:t>
      </w:r>
      <w:r w:rsidR="007521E8">
        <w:t>ed</w:t>
      </w:r>
      <w:r>
        <w:t xml:space="preserve"> to other populations and other com</w:t>
      </w:r>
      <w:r w:rsidR="00B4086F">
        <w:t xml:space="preserve">munities.  </w:t>
      </w:r>
      <w:r w:rsidR="00E80AB1" w:rsidRPr="00A471FA">
        <w:rPr>
          <w:color w:val="000000"/>
        </w:rPr>
        <w:t xml:space="preserve">No </w:t>
      </w:r>
      <w:r w:rsidR="00C310E9">
        <w:rPr>
          <w:color w:val="000000"/>
        </w:rPr>
        <w:t xml:space="preserve">participants from </w:t>
      </w:r>
      <w:r w:rsidR="0039668D">
        <w:rPr>
          <w:color w:val="000000"/>
        </w:rPr>
        <w:t xml:space="preserve">external </w:t>
      </w:r>
      <w:r w:rsidR="00E80AB1" w:rsidRPr="00A471FA">
        <w:rPr>
          <w:color w:val="000000"/>
        </w:rPr>
        <w:t>compa</w:t>
      </w:r>
      <w:r w:rsidR="0039668D">
        <w:rPr>
          <w:color w:val="000000"/>
        </w:rPr>
        <w:t>rison groups are included in the data collection</w:t>
      </w:r>
      <w:r w:rsidR="00E80AB1">
        <w:rPr>
          <w:color w:val="000000"/>
        </w:rPr>
        <w:t>.</w:t>
      </w:r>
      <w:r w:rsidR="0039668D">
        <w:rPr>
          <w:color w:val="000000"/>
        </w:rPr>
        <w:t xml:space="preserve"> </w:t>
      </w:r>
      <w:r w:rsidR="00665A27">
        <w:t>As a public service, EIs provide individual exposure information back to the participants.</w:t>
      </w:r>
    </w:p>
    <w:p w:rsidR="00691B3B" w:rsidRDefault="00691B3B" w:rsidP="00691B3B"/>
    <w:p w:rsidR="00691B3B" w:rsidRDefault="00691B3B" w:rsidP="00691B3B">
      <w:r>
        <w:t>EI</w:t>
      </w:r>
      <w:r w:rsidR="00550CE9">
        <w:t xml:space="preserve">s </w:t>
      </w:r>
      <w:r w:rsidR="00632F57">
        <w:t>are</w:t>
      </w:r>
      <w:r>
        <w:t xml:space="preserve"> </w:t>
      </w:r>
      <w:r w:rsidR="00803EDE">
        <w:t>also used as the basis to</w:t>
      </w:r>
      <w:r>
        <w:t xml:space="preserve"> </w:t>
      </w:r>
      <w:r w:rsidR="00803EDE">
        <w:t>implement</w:t>
      </w:r>
      <w:r w:rsidR="00550CE9">
        <w:t xml:space="preserve"> </w:t>
      </w:r>
      <w:r>
        <w:t>appropriate public health actions</w:t>
      </w:r>
      <w:r w:rsidR="00EC5352">
        <w:t xml:space="preserve"> </w:t>
      </w:r>
      <w:r w:rsidR="00550CE9">
        <w:t>that reduce exposure to communities</w:t>
      </w:r>
      <w:r>
        <w:t xml:space="preserve">.  Examples of </w:t>
      </w:r>
      <w:r w:rsidR="00550CE9">
        <w:t xml:space="preserve">the use of EIs in </w:t>
      </w:r>
      <w:r w:rsidR="00876788">
        <w:t xml:space="preserve">informing responsive public health action and in </w:t>
      </w:r>
      <w:r w:rsidR="00550CE9">
        <w:t>reducing exposure of the public include</w:t>
      </w:r>
      <w:r>
        <w:t>:</w:t>
      </w:r>
    </w:p>
    <w:p w:rsidR="007464B5" w:rsidRDefault="007464B5" w:rsidP="007464B5">
      <w:pPr>
        <w:tabs>
          <w:tab w:val="left" w:pos="1545"/>
        </w:tabs>
      </w:pPr>
    </w:p>
    <w:p w:rsidR="007464B5" w:rsidRPr="00647BB2" w:rsidRDefault="007464B5" w:rsidP="007464B5">
      <w:pPr>
        <w:tabs>
          <w:tab w:val="left" w:pos="1545"/>
        </w:tabs>
        <w:rPr>
          <w:b/>
        </w:rPr>
      </w:pPr>
      <w:r>
        <w:rPr>
          <w:b/>
        </w:rPr>
        <w:t xml:space="preserve">Example 1:  </w:t>
      </w:r>
      <w:r w:rsidRPr="00647BB2">
        <w:rPr>
          <w:b/>
        </w:rPr>
        <w:t>Excel Dairy, MN – Concentrated Animal Feed Operation</w:t>
      </w:r>
      <w:r>
        <w:rPr>
          <w:b/>
        </w:rPr>
        <w:t xml:space="preserve"> (CAFO)</w:t>
      </w:r>
    </w:p>
    <w:p w:rsidR="007464B5" w:rsidRDefault="007464B5" w:rsidP="007464B5">
      <w:pPr>
        <w:pStyle w:val="ListParagraph"/>
        <w:numPr>
          <w:ilvl w:val="0"/>
          <w:numId w:val="32"/>
        </w:numPr>
        <w:ind w:left="1080"/>
        <w:contextualSpacing w:val="0"/>
      </w:pPr>
      <w:r>
        <w:t>Nearby residents complained of odor &amp; symptoms (e.g., eye and throat irritation, headache, nausea)</w:t>
      </w:r>
    </w:p>
    <w:p w:rsidR="007464B5" w:rsidRDefault="007464B5" w:rsidP="007464B5">
      <w:pPr>
        <w:pStyle w:val="ListParagraph"/>
        <w:numPr>
          <w:ilvl w:val="0"/>
          <w:numId w:val="32"/>
        </w:numPr>
        <w:ind w:left="1080"/>
        <w:contextualSpacing w:val="0"/>
      </w:pPr>
      <w:r>
        <w:t>Conducted emergency sampling of Hydrogen Sulfide (H</w:t>
      </w:r>
      <w:r w:rsidRPr="00647BB2">
        <w:rPr>
          <w:vertAlign w:val="subscript"/>
        </w:rPr>
        <w:t>2</w:t>
      </w:r>
      <w:r>
        <w:t>S) outdoor air – some H</w:t>
      </w:r>
      <w:r w:rsidRPr="00647BB2">
        <w:rPr>
          <w:vertAlign w:val="subscript"/>
        </w:rPr>
        <w:t>2</w:t>
      </w:r>
      <w:r>
        <w:t>S levels were higher than emergency response guidelines (&gt;400 exceed</w:t>
      </w:r>
      <w:r w:rsidR="00F75151">
        <w:t>a</w:t>
      </w:r>
      <w:r>
        <w:t>nces of MN standard)</w:t>
      </w:r>
    </w:p>
    <w:p w:rsidR="007464B5" w:rsidRDefault="007464B5" w:rsidP="007464B5">
      <w:pPr>
        <w:pStyle w:val="ListParagraph"/>
        <w:numPr>
          <w:ilvl w:val="0"/>
          <w:numId w:val="32"/>
        </w:numPr>
        <w:ind w:left="1080"/>
        <w:contextualSpacing w:val="0"/>
      </w:pPr>
      <w:r>
        <w:t xml:space="preserve">Determined exposure to emissions from the waste lagoons are a </w:t>
      </w:r>
      <w:r w:rsidRPr="00647BB2">
        <w:rPr>
          <w:i/>
        </w:rPr>
        <w:t>Public Health Hazard</w:t>
      </w:r>
      <w:r>
        <w:t xml:space="preserve"> for individuals living nearby (30 to 40 people)</w:t>
      </w:r>
    </w:p>
    <w:p w:rsidR="007464B5" w:rsidRDefault="007464B5" w:rsidP="007464B5">
      <w:pPr>
        <w:pStyle w:val="ListParagraph"/>
        <w:numPr>
          <w:ilvl w:val="0"/>
          <w:numId w:val="32"/>
        </w:numPr>
        <w:ind w:left="1080"/>
        <w:contextualSpacing w:val="0"/>
      </w:pPr>
      <w:r>
        <w:t>State environmental agency continued air monitoring of emissions from the facility</w:t>
      </w:r>
    </w:p>
    <w:p w:rsidR="007464B5" w:rsidRDefault="007464B5" w:rsidP="007464B5">
      <w:pPr>
        <w:pStyle w:val="ListParagraph"/>
        <w:numPr>
          <w:ilvl w:val="0"/>
          <w:numId w:val="32"/>
        </w:numPr>
        <w:ind w:left="1080"/>
        <w:contextualSpacing w:val="0"/>
      </w:pPr>
      <w:r>
        <w:t>The USEPA and the Minnesota Attorney General’s office used ATSDR’s EI data to support enforcement actions against the dairy</w:t>
      </w:r>
    </w:p>
    <w:p w:rsidR="007464B5" w:rsidRDefault="007464B5" w:rsidP="007464B5">
      <w:pPr>
        <w:pStyle w:val="ListParagraph"/>
        <w:numPr>
          <w:ilvl w:val="0"/>
          <w:numId w:val="32"/>
        </w:numPr>
        <w:ind w:left="1080"/>
        <w:contextualSpacing w:val="0"/>
      </w:pPr>
      <w:r>
        <w:t>Those actions results in the dairy’s closure while the dairy operators sought ways to reduce the emissions (e.g., apply permanent covers for manure lagoons and eliminate land manure applications)</w:t>
      </w:r>
    </w:p>
    <w:p w:rsidR="007464B5" w:rsidRDefault="007464B5" w:rsidP="007464B5">
      <w:pPr>
        <w:pStyle w:val="ListParagraph"/>
        <w:numPr>
          <w:ilvl w:val="0"/>
          <w:numId w:val="32"/>
        </w:numPr>
        <w:ind w:left="1080"/>
        <w:contextualSpacing w:val="0"/>
      </w:pPr>
      <w:r>
        <w:t>As a result, MN businesses must comply with ambient air standards for 9 contaminants at their property line</w:t>
      </w:r>
    </w:p>
    <w:p w:rsidR="007464B5" w:rsidRDefault="007464B5" w:rsidP="007464B5">
      <w:pPr>
        <w:pStyle w:val="ListParagraph"/>
        <w:numPr>
          <w:ilvl w:val="0"/>
          <w:numId w:val="32"/>
        </w:numPr>
        <w:ind w:left="1080"/>
        <w:contextualSpacing w:val="0"/>
      </w:pPr>
      <w:r>
        <w:t xml:space="preserve">ATSDR provided congressional briefing on CAFOs </w:t>
      </w:r>
    </w:p>
    <w:p w:rsidR="007464B5" w:rsidRDefault="007464B5" w:rsidP="007464B5">
      <w:pPr>
        <w:pStyle w:val="ListParagraph"/>
      </w:pPr>
    </w:p>
    <w:p w:rsidR="007464B5" w:rsidRPr="009A3140" w:rsidRDefault="009632E5" w:rsidP="007464B5">
      <w:pPr>
        <w:spacing w:before="53" w:line="220" w:lineRule="exact"/>
        <w:ind w:left="547" w:hanging="547"/>
      </w:pPr>
      <w:hyperlink r:id="rId13" w:history="1">
        <w:r w:rsidR="007464B5" w:rsidRPr="009A3140">
          <w:rPr>
            <w:rFonts w:ascii="Calibri" w:hAnsi="Myriad Web Pro"/>
            <w:color w:val="1F497D"/>
            <w:kern w:val="24"/>
            <w:sz w:val="22"/>
            <w:szCs w:val="22"/>
            <w:u w:val="single"/>
          </w:rPr>
          <w:t>http://</w:t>
        </w:r>
      </w:hyperlink>
      <w:hyperlink r:id="rId14" w:history="1">
        <w:r w:rsidR="007464B5" w:rsidRPr="009A3140">
          <w:rPr>
            <w:rFonts w:ascii="Calibri" w:hAnsi="Myriad Web Pro"/>
            <w:color w:val="1F497D"/>
            <w:kern w:val="24"/>
            <w:sz w:val="22"/>
            <w:szCs w:val="22"/>
            <w:u w:val="single"/>
          </w:rPr>
          <w:t>www.health.state.mn.us/divs/eh/hazardous/sites/marshall/exceldairy/exceldairyhcfull.pdf</w:t>
        </w:r>
      </w:hyperlink>
    </w:p>
    <w:p w:rsidR="007464B5" w:rsidRDefault="007464B5" w:rsidP="007464B5">
      <w:pPr>
        <w:tabs>
          <w:tab w:val="left" w:pos="1545"/>
        </w:tabs>
      </w:pPr>
    </w:p>
    <w:p w:rsidR="007464B5" w:rsidRPr="00647BB2" w:rsidRDefault="007464B5" w:rsidP="007464B5">
      <w:pPr>
        <w:tabs>
          <w:tab w:val="left" w:pos="1545"/>
        </w:tabs>
        <w:rPr>
          <w:b/>
        </w:rPr>
      </w:pPr>
      <w:r>
        <w:rPr>
          <w:b/>
        </w:rPr>
        <w:t xml:space="preserve">Example 2:  </w:t>
      </w:r>
      <w:r w:rsidRPr="00647BB2">
        <w:rPr>
          <w:b/>
        </w:rPr>
        <w:t>Penn Tex Resources, IL – Oil Field</w:t>
      </w:r>
    </w:p>
    <w:p w:rsidR="007464B5" w:rsidRDefault="007464B5" w:rsidP="007464B5">
      <w:pPr>
        <w:tabs>
          <w:tab w:val="left" w:pos="1545"/>
        </w:tabs>
      </w:pPr>
    </w:p>
    <w:p w:rsidR="007464B5" w:rsidRPr="00A141D3" w:rsidRDefault="007464B5" w:rsidP="007464B5">
      <w:pPr>
        <w:pStyle w:val="ListParagraph"/>
        <w:numPr>
          <w:ilvl w:val="0"/>
          <w:numId w:val="33"/>
        </w:numPr>
        <w:ind w:left="1080"/>
        <w:contextualSpacing w:val="0"/>
      </w:pPr>
      <w:r w:rsidRPr="00A141D3">
        <w:t xml:space="preserve">Nearby residents complained of </w:t>
      </w:r>
      <w:r>
        <w:t>H</w:t>
      </w:r>
      <w:r w:rsidRPr="00647BB2">
        <w:rPr>
          <w:vertAlign w:val="subscript"/>
        </w:rPr>
        <w:t>2</w:t>
      </w:r>
      <w:r>
        <w:t xml:space="preserve">S </w:t>
      </w:r>
      <w:r w:rsidRPr="00A141D3">
        <w:t>emissions</w:t>
      </w:r>
    </w:p>
    <w:p w:rsidR="007464B5" w:rsidRPr="00A141D3" w:rsidRDefault="007464B5" w:rsidP="007464B5">
      <w:pPr>
        <w:pStyle w:val="ListParagraph"/>
        <w:numPr>
          <w:ilvl w:val="0"/>
          <w:numId w:val="33"/>
        </w:numPr>
        <w:ind w:left="1080"/>
        <w:contextualSpacing w:val="0"/>
      </w:pPr>
      <w:r w:rsidRPr="00A141D3">
        <w:t>Sampled H</w:t>
      </w:r>
      <w:r w:rsidRPr="00A141D3">
        <w:rPr>
          <w:vertAlign w:val="subscript"/>
        </w:rPr>
        <w:t>2</w:t>
      </w:r>
      <w:r w:rsidRPr="00A141D3">
        <w:t xml:space="preserve">S </w:t>
      </w:r>
      <w:r>
        <w:t xml:space="preserve">in </w:t>
      </w:r>
      <w:r w:rsidRPr="00A141D3">
        <w:t>outdoor and indoor air in community</w:t>
      </w:r>
    </w:p>
    <w:p w:rsidR="007464B5" w:rsidRPr="00A141D3" w:rsidRDefault="007464B5" w:rsidP="007464B5">
      <w:pPr>
        <w:pStyle w:val="ListParagraph"/>
        <w:numPr>
          <w:ilvl w:val="0"/>
          <w:numId w:val="33"/>
        </w:numPr>
        <w:ind w:left="1080"/>
        <w:contextualSpacing w:val="0"/>
      </w:pPr>
      <w:r w:rsidRPr="00A141D3">
        <w:t>2,000 – 3,000  people directly affected</w:t>
      </w:r>
    </w:p>
    <w:p w:rsidR="007464B5" w:rsidRPr="00A141D3" w:rsidRDefault="007464B5" w:rsidP="007464B5">
      <w:pPr>
        <w:pStyle w:val="ListParagraph"/>
        <w:numPr>
          <w:ilvl w:val="0"/>
          <w:numId w:val="33"/>
        </w:numPr>
        <w:ind w:left="1080"/>
        <w:contextualSpacing w:val="0"/>
      </w:pPr>
      <w:r w:rsidRPr="00A141D3">
        <w:t>Peak H</w:t>
      </w:r>
      <w:r w:rsidRPr="00A141D3">
        <w:rPr>
          <w:vertAlign w:val="subscript"/>
        </w:rPr>
        <w:t>2</w:t>
      </w:r>
      <w:r w:rsidRPr="00A141D3">
        <w:t>S levels in community ranged from 53 to 1,500 ppb; many were above acute M</w:t>
      </w:r>
      <w:r>
        <w:t>inimum Risk Level (M</w:t>
      </w:r>
      <w:r w:rsidRPr="00A141D3">
        <w:t>RL</w:t>
      </w:r>
      <w:r>
        <w:t>)</w:t>
      </w:r>
      <w:r w:rsidRPr="00A141D3">
        <w:t xml:space="preserve"> of 70 </w:t>
      </w:r>
      <w:r>
        <w:t>parts per billion (</w:t>
      </w:r>
      <w:r w:rsidRPr="00A141D3">
        <w:t>ppb</w:t>
      </w:r>
      <w:r>
        <w:t>)</w:t>
      </w:r>
    </w:p>
    <w:p w:rsidR="007464B5" w:rsidRPr="00A141D3" w:rsidRDefault="007464B5" w:rsidP="007464B5">
      <w:pPr>
        <w:pStyle w:val="ListParagraph"/>
        <w:numPr>
          <w:ilvl w:val="0"/>
          <w:numId w:val="33"/>
        </w:numPr>
        <w:ind w:left="1080"/>
        <w:contextualSpacing w:val="0"/>
      </w:pPr>
      <w:r w:rsidRPr="00A141D3">
        <w:lastRenderedPageBreak/>
        <w:t xml:space="preserve">Determined two large areas were at increased risk of respiratory and neurological health impacts </w:t>
      </w:r>
    </w:p>
    <w:p w:rsidR="007464B5" w:rsidRDefault="007464B5" w:rsidP="007464B5">
      <w:pPr>
        <w:pStyle w:val="ListParagraph"/>
        <w:numPr>
          <w:ilvl w:val="0"/>
          <w:numId w:val="33"/>
        </w:numPr>
        <w:ind w:left="1080"/>
        <w:contextualSpacing w:val="0"/>
      </w:pPr>
      <w:r w:rsidRPr="00A141D3">
        <w:t xml:space="preserve">U.S. Attorney brought civil action pursuant </w:t>
      </w:r>
      <w:r>
        <w:t xml:space="preserve">to the </w:t>
      </w:r>
      <w:r w:rsidRPr="00A141D3">
        <w:t>Clean Air Act</w:t>
      </w:r>
    </w:p>
    <w:p w:rsidR="007464B5" w:rsidRPr="00A141D3" w:rsidRDefault="007464B5" w:rsidP="007464B5">
      <w:pPr>
        <w:pStyle w:val="ListParagraph"/>
        <w:numPr>
          <w:ilvl w:val="0"/>
          <w:numId w:val="33"/>
        </w:numPr>
        <w:ind w:left="1080"/>
        <w:contextualSpacing w:val="0"/>
      </w:pPr>
      <w:r>
        <w:t>A</w:t>
      </w:r>
      <w:r w:rsidRPr="00A141D3">
        <w:t xml:space="preserve"> </w:t>
      </w:r>
      <w:r>
        <w:t>C</w:t>
      </w:r>
      <w:r w:rsidRPr="00A141D3">
        <w:t xml:space="preserve">onsent </w:t>
      </w:r>
      <w:r>
        <w:t>D</w:t>
      </w:r>
      <w:r w:rsidRPr="00A141D3">
        <w:t>ecree was signed in April 2007</w:t>
      </w:r>
    </w:p>
    <w:p w:rsidR="007464B5" w:rsidRPr="00A141D3" w:rsidRDefault="007464B5" w:rsidP="007464B5">
      <w:pPr>
        <w:pStyle w:val="ListParagraph"/>
        <w:numPr>
          <w:ilvl w:val="0"/>
          <w:numId w:val="33"/>
        </w:numPr>
        <w:ind w:left="1080"/>
        <w:contextualSpacing w:val="0"/>
      </w:pPr>
      <w:r w:rsidRPr="00A141D3">
        <w:t xml:space="preserve">Engineering remedies </w:t>
      </w:r>
      <w:r>
        <w:t>were i</w:t>
      </w:r>
      <w:r w:rsidRPr="00A141D3">
        <w:t>mplemented</w:t>
      </w:r>
    </w:p>
    <w:p w:rsidR="007464B5" w:rsidRPr="00A141D3" w:rsidRDefault="007464B5" w:rsidP="007464B5">
      <w:pPr>
        <w:pStyle w:val="ListParagraph"/>
        <w:numPr>
          <w:ilvl w:val="0"/>
          <w:numId w:val="33"/>
        </w:numPr>
        <w:ind w:left="1080"/>
        <w:contextualSpacing w:val="0"/>
      </w:pPr>
      <w:r>
        <w:t xml:space="preserve">The </w:t>
      </w:r>
      <w:r w:rsidRPr="00A141D3">
        <w:t xml:space="preserve">State </w:t>
      </w:r>
      <w:r>
        <w:t xml:space="preserve">of Illinois </w:t>
      </w:r>
      <w:r w:rsidRPr="00A141D3">
        <w:t>changed laws for oil well fields</w:t>
      </w:r>
    </w:p>
    <w:p w:rsidR="007464B5" w:rsidRDefault="007464B5" w:rsidP="007464B5">
      <w:pPr>
        <w:pStyle w:val="ListParagraph"/>
        <w:numPr>
          <w:ilvl w:val="0"/>
          <w:numId w:val="33"/>
        </w:numPr>
        <w:ind w:left="1080"/>
        <w:contextualSpacing w:val="0"/>
      </w:pPr>
      <w:r w:rsidRPr="00A141D3">
        <w:t xml:space="preserve">EPA awarded ATSDR staff </w:t>
      </w:r>
      <w:r>
        <w:t xml:space="preserve">the </w:t>
      </w:r>
      <w:r w:rsidRPr="00A141D3">
        <w:t>Gold Medal</w:t>
      </w:r>
    </w:p>
    <w:p w:rsidR="007464B5" w:rsidRDefault="007464B5" w:rsidP="007464B5">
      <w:pPr>
        <w:pStyle w:val="ListParagraph"/>
      </w:pPr>
    </w:p>
    <w:p w:rsidR="007464B5" w:rsidRPr="00A141D3" w:rsidRDefault="009632E5" w:rsidP="007464B5">
      <w:pPr>
        <w:spacing w:before="53" w:line="220" w:lineRule="exact"/>
        <w:ind w:left="547" w:hanging="547"/>
      </w:pPr>
      <w:hyperlink r:id="rId15" w:history="1">
        <w:r w:rsidR="007464B5" w:rsidRPr="00A141D3">
          <w:rPr>
            <w:rFonts w:ascii="Calibri" w:hAnsi="Myriad Web Pro"/>
            <w:color w:val="1F497D"/>
            <w:kern w:val="24"/>
            <w:sz w:val="22"/>
            <w:szCs w:val="22"/>
            <w:u w:val="single"/>
          </w:rPr>
          <w:t>http://</w:t>
        </w:r>
      </w:hyperlink>
      <w:hyperlink r:id="rId16" w:history="1">
        <w:r w:rsidR="007464B5" w:rsidRPr="00A141D3">
          <w:rPr>
            <w:rFonts w:ascii="Calibri" w:hAnsi="Myriad Web Pro"/>
            <w:color w:val="1F497D"/>
            <w:kern w:val="24"/>
            <w:sz w:val="22"/>
            <w:szCs w:val="22"/>
            <w:u w:val="single"/>
          </w:rPr>
          <w:t>www.atsdr.cdc.gov/HAC/pha/PennTex_HC_3-19-08/PennTex_HC_3-19-08.pdf</w:t>
        </w:r>
      </w:hyperlink>
    </w:p>
    <w:p w:rsidR="007464B5" w:rsidRPr="00A141D3" w:rsidRDefault="009632E5" w:rsidP="007464B5">
      <w:pPr>
        <w:spacing w:before="53" w:line="220" w:lineRule="exact"/>
        <w:ind w:left="547" w:hanging="547"/>
      </w:pPr>
      <w:hyperlink r:id="rId17" w:history="1">
        <w:r w:rsidR="007464B5" w:rsidRPr="00A141D3">
          <w:rPr>
            <w:rFonts w:ascii="Calibri" w:hAnsi="Myriad Web Pro"/>
            <w:color w:val="1F497D"/>
            <w:kern w:val="24"/>
            <w:sz w:val="22"/>
            <w:szCs w:val="22"/>
            <w:u w:val="single"/>
          </w:rPr>
          <w:t>http://regulations.vlex.com/vid/consent-judgments-penntex-illinois-26944001</w:t>
        </w:r>
      </w:hyperlink>
    </w:p>
    <w:p w:rsidR="006966C0" w:rsidRDefault="006966C0" w:rsidP="00187F73"/>
    <w:p w:rsidR="005D3F9C" w:rsidRDefault="005D3F9C" w:rsidP="00187F73">
      <w:pPr>
        <w:rPr>
          <w:rStyle w:val="Strong"/>
          <w:rFonts w:asciiTheme="majorHAnsi" w:hAnsiTheme="majorHAnsi"/>
          <w:color w:val="4F81BD"/>
        </w:rPr>
      </w:pPr>
      <w:r>
        <w:rPr>
          <w:rStyle w:val="Strong"/>
          <w:rFonts w:asciiTheme="majorHAnsi" w:hAnsiTheme="majorHAnsi"/>
          <w:color w:val="4F81BD"/>
        </w:rPr>
        <w:t>The Exposure Investigation Criteria and Recommendation Process</w:t>
      </w:r>
    </w:p>
    <w:p w:rsidR="005D3F9C" w:rsidRDefault="005D3F9C" w:rsidP="00187F73"/>
    <w:p w:rsidR="00187F73" w:rsidRDefault="00F85551" w:rsidP="00187F73">
      <w:r>
        <w:t>Within ATSDR, t</w:t>
      </w:r>
      <w:r w:rsidR="006966C0">
        <w:t xml:space="preserve">he DCHI </w:t>
      </w:r>
      <w:r w:rsidR="005570EF" w:rsidRPr="00A471FA">
        <w:t>Science Support Branch (SSB</w:t>
      </w:r>
      <w:r w:rsidR="005570EF">
        <w:t xml:space="preserve">) </w:t>
      </w:r>
      <w:r w:rsidR="006966C0">
        <w:t xml:space="preserve">EI Team is a multidisciplinary group </w:t>
      </w:r>
      <w:r w:rsidR="006966C0" w:rsidRPr="00A447B7">
        <w:rPr>
          <w:color w:val="000000"/>
        </w:rPr>
        <w:t>of 6-8 scientists</w:t>
      </w:r>
      <w:r w:rsidR="006966C0">
        <w:t xml:space="preserve"> with expertise in environmental health science and engineering, industrial hygiene, epidemiology, toxicology, and medicine.  </w:t>
      </w:r>
      <w:r w:rsidR="00550CE9">
        <w:t xml:space="preserve">In order for an EI to be conducted </w:t>
      </w:r>
      <w:r w:rsidR="00187F73">
        <w:t>four criteria</w:t>
      </w:r>
      <w:r w:rsidR="00CE6A57">
        <w:t xml:space="preserve"> must be met for</w:t>
      </w:r>
      <w:r w:rsidR="00550CE9">
        <w:t xml:space="preserve"> </w:t>
      </w:r>
      <w:r w:rsidR="008557A0">
        <w:t xml:space="preserve">the EI </w:t>
      </w:r>
      <w:r w:rsidR="00CE6A57">
        <w:t>to</w:t>
      </w:r>
      <w:r w:rsidR="00D73B85">
        <w:t xml:space="preserve"> be </w:t>
      </w:r>
      <w:r w:rsidR="00550CE9">
        <w:t>approved.</w:t>
      </w:r>
      <w:r w:rsidR="00187F73">
        <w:t xml:space="preserve"> The</w:t>
      </w:r>
      <w:r w:rsidR="008557A0">
        <w:t xml:space="preserve"> criteria</w:t>
      </w:r>
      <w:r w:rsidR="00187F73">
        <w:t xml:space="preserve"> are</w:t>
      </w:r>
      <w:r w:rsidR="002276C7">
        <w:t>:</w:t>
      </w:r>
    </w:p>
    <w:p w:rsidR="00B937FF" w:rsidRDefault="00B937FF" w:rsidP="00187F73"/>
    <w:p w:rsidR="00187F73" w:rsidRDefault="00187F73" w:rsidP="005D6724">
      <w:pPr>
        <w:numPr>
          <w:ilvl w:val="0"/>
          <w:numId w:val="30"/>
        </w:numPr>
        <w:tabs>
          <w:tab w:val="clear" w:pos="1080"/>
          <w:tab w:val="num" w:pos="720"/>
        </w:tabs>
        <w:ind w:left="720"/>
      </w:pPr>
      <w:r>
        <w:t>Can an exposed population be identified?</w:t>
      </w:r>
    </w:p>
    <w:p w:rsidR="00187F73" w:rsidRDefault="00187F73" w:rsidP="005D6724">
      <w:pPr>
        <w:numPr>
          <w:ilvl w:val="0"/>
          <w:numId w:val="30"/>
        </w:numPr>
        <w:tabs>
          <w:tab w:val="clear" w:pos="1080"/>
          <w:tab w:val="num" w:pos="720"/>
        </w:tabs>
        <w:ind w:left="720"/>
      </w:pPr>
      <w:r>
        <w:t>Does a data gap exist that affects the ability to determine if a health hazard exists?</w:t>
      </w:r>
    </w:p>
    <w:p w:rsidR="00187F73" w:rsidRDefault="00187F73" w:rsidP="005D6724">
      <w:pPr>
        <w:numPr>
          <w:ilvl w:val="0"/>
          <w:numId w:val="30"/>
        </w:numPr>
        <w:tabs>
          <w:tab w:val="clear" w:pos="1080"/>
          <w:tab w:val="num" w:pos="720"/>
        </w:tabs>
        <w:ind w:left="720"/>
      </w:pPr>
      <w:r>
        <w:t xml:space="preserve">Can an </w:t>
      </w:r>
      <w:r w:rsidR="00847060">
        <w:t>EI</w:t>
      </w:r>
      <w:r>
        <w:t xml:space="preserve"> be designed that will address this data gap?</w:t>
      </w:r>
    </w:p>
    <w:p w:rsidR="00187F73" w:rsidRDefault="00187F73" w:rsidP="005D6724">
      <w:pPr>
        <w:numPr>
          <w:ilvl w:val="0"/>
          <w:numId w:val="30"/>
        </w:numPr>
        <w:tabs>
          <w:tab w:val="clear" w:pos="1080"/>
          <w:tab w:val="num" w:pos="720"/>
        </w:tabs>
        <w:ind w:left="720"/>
      </w:pPr>
      <w:r>
        <w:t>Will the EI results impact the public health decision for the site?</w:t>
      </w:r>
    </w:p>
    <w:p w:rsidR="00187F73" w:rsidRDefault="00187F73" w:rsidP="00187F73"/>
    <w:p w:rsidR="00F00722" w:rsidRDefault="00F00722" w:rsidP="00F00722">
      <w:pPr>
        <w:tabs>
          <w:tab w:val="left" w:pos="1545"/>
        </w:tabs>
      </w:pPr>
      <w:r>
        <w:rPr>
          <w:color w:val="000000"/>
        </w:rPr>
        <w:t xml:space="preserve">If the answers to these questions indicate that an EI would allow ATSDR to make a better-informed public health call, </w:t>
      </w:r>
      <w:r w:rsidRPr="00A471FA">
        <w:t>the DCHI</w:t>
      </w:r>
      <w:r>
        <w:t xml:space="preserve"> EI Team</w:t>
      </w:r>
      <w:r w:rsidRPr="00A471FA">
        <w:t xml:space="preserve"> </w:t>
      </w:r>
      <w:r>
        <w:t>may conduct</w:t>
      </w:r>
      <w:r w:rsidRPr="00A471FA">
        <w:t xml:space="preserve"> </w:t>
      </w:r>
      <w:r>
        <w:t>agency-led EIs</w:t>
      </w:r>
      <w:r w:rsidRPr="00A471FA">
        <w:t xml:space="preserve">. </w:t>
      </w:r>
      <w:r>
        <w:t>The SSB also coordinates and lends technical assistance to states, tribal, and territorial health departments that conduct their own EIs. Currently, ATSDR is administering a cooperative agreement program called the “</w:t>
      </w:r>
      <w:r w:rsidRPr="00CF1BF0">
        <w:t>ATSDR’s Partnership to Promote Localized Efforts to Reduce Environmental Exposure (APPLETREE) Program</w:t>
      </w:r>
      <w:r>
        <w:t>” (FY11-FY14 Award No. TS11-1101) which sponsors state-led nonresearch EIs. ATSDR anticipates that future DCHI cooperative agreement programs will also include this long-established PHA process and underlying EI activity under the scope of this generic clearance. If future revisions to the scope of the generic clearance are necessary, ATSDR will request OMB review and approval for changes.</w:t>
      </w:r>
    </w:p>
    <w:p w:rsidR="00F00722" w:rsidRPr="00CF1BF0" w:rsidRDefault="00F00722" w:rsidP="00F00722">
      <w:pPr>
        <w:tabs>
          <w:tab w:val="left" w:pos="1545"/>
        </w:tabs>
      </w:pPr>
    </w:p>
    <w:p w:rsidR="006D1176" w:rsidRDefault="006D1176" w:rsidP="006D1176">
      <w:r>
        <w:t>After the team develo</w:t>
      </w:r>
      <w:r w:rsidR="00562EF3">
        <w:t>ps and conducts an EI</w:t>
      </w:r>
      <w:r>
        <w:t xml:space="preserve">, they evaluate the results and communicate their public health findings and recommendations to the community. </w:t>
      </w:r>
      <w:r w:rsidRPr="00921644">
        <w:t xml:space="preserve">If exposures </w:t>
      </w:r>
      <w:r>
        <w:t xml:space="preserve">are found </w:t>
      </w:r>
      <w:r w:rsidRPr="00921644">
        <w:t>at</w:t>
      </w:r>
      <w:r>
        <w:t xml:space="preserve"> levels that might cause </w:t>
      </w:r>
      <w:r w:rsidRPr="00921644">
        <w:t xml:space="preserve">health concerns, </w:t>
      </w:r>
      <w:r>
        <w:t>the following may be recommended</w:t>
      </w:r>
      <w:r w:rsidRPr="00921644">
        <w:t>:</w:t>
      </w:r>
    </w:p>
    <w:p w:rsidR="00CC30C9" w:rsidRDefault="00CC30C9" w:rsidP="006D1176"/>
    <w:p w:rsidR="006D1176" w:rsidRDefault="00F34064" w:rsidP="006D1176">
      <w:pPr>
        <w:numPr>
          <w:ilvl w:val="0"/>
          <w:numId w:val="31"/>
        </w:numPr>
      </w:pPr>
      <w:r>
        <w:t>R</w:t>
      </w:r>
      <w:r w:rsidR="006D1176" w:rsidRPr="00921644">
        <w:t xml:space="preserve">eduction or elimination of exposure, </w:t>
      </w:r>
    </w:p>
    <w:p w:rsidR="006D1176" w:rsidRDefault="00F34064" w:rsidP="006D1176">
      <w:pPr>
        <w:numPr>
          <w:ilvl w:val="0"/>
          <w:numId w:val="31"/>
        </w:numPr>
      </w:pPr>
      <w:r>
        <w:t>E</w:t>
      </w:r>
      <w:r w:rsidR="006D1176" w:rsidRPr="00921644">
        <w:t xml:space="preserve">xpanded sampling to identify the extent of exposure/contamination, </w:t>
      </w:r>
    </w:p>
    <w:p w:rsidR="006D1176" w:rsidRDefault="00F34064" w:rsidP="006D1176">
      <w:pPr>
        <w:numPr>
          <w:ilvl w:val="0"/>
          <w:numId w:val="31"/>
        </w:numPr>
      </w:pPr>
      <w:r>
        <w:t>P</w:t>
      </w:r>
      <w:r w:rsidR="006D1176" w:rsidRPr="00921644">
        <w:t xml:space="preserve">revention or identification of adverse health effects, and </w:t>
      </w:r>
    </w:p>
    <w:p w:rsidR="006D1176" w:rsidRPr="00921644" w:rsidRDefault="00F86E85" w:rsidP="006D1176">
      <w:pPr>
        <w:numPr>
          <w:ilvl w:val="0"/>
          <w:numId w:val="31"/>
        </w:numPr>
      </w:pPr>
      <w:r>
        <w:t>F</w:t>
      </w:r>
      <w:r w:rsidR="006D1176" w:rsidRPr="00921644">
        <w:t>urther applied research</w:t>
      </w:r>
      <w:r w:rsidR="00AD148E">
        <w:t>.</w:t>
      </w:r>
    </w:p>
    <w:p w:rsidR="00882841" w:rsidRPr="00921644" w:rsidRDefault="00882841" w:rsidP="006D1176"/>
    <w:p w:rsidR="006D1176" w:rsidRDefault="006D1176" w:rsidP="006D1176">
      <w:pPr>
        <w:tabs>
          <w:tab w:val="left" w:pos="1545"/>
        </w:tabs>
      </w:pPr>
      <w:r>
        <w:t xml:space="preserve">In order to continue this necessary public health function, ATSDR is requesting </w:t>
      </w:r>
      <w:r w:rsidR="001828C9">
        <w:t xml:space="preserve">approval of this generic </w:t>
      </w:r>
      <w:r w:rsidR="0090017A">
        <w:t xml:space="preserve">OMB </w:t>
      </w:r>
      <w:r w:rsidR="001828C9">
        <w:t>submission.</w:t>
      </w:r>
      <w:r w:rsidRPr="008E0304">
        <w:t xml:space="preserve"> </w:t>
      </w:r>
      <w:r w:rsidR="00E517AC">
        <w:t xml:space="preserve"> Public health concerns leadin</w:t>
      </w:r>
      <w:r w:rsidR="00525D5A">
        <w:t xml:space="preserve">g to requests for </w:t>
      </w:r>
      <w:r w:rsidR="00E517AC">
        <w:t xml:space="preserve">an EI can be </w:t>
      </w:r>
      <w:r w:rsidR="00896148">
        <w:t>time</w:t>
      </w:r>
      <w:r w:rsidR="00F15CE8">
        <w:t>-</w:t>
      </w:r>
      <w:r w:rsidR="00896148">
        <w:t xml:space="preserve">critical </w:t>
      </w:r>
      <w:r w:rsidR="005D5663">
        <w:t xml:space="preserve">to document </w:t>
      </w:r>
      <w:r w:rsidR="002B651B">
        <w:t xml:space="preserve">that </w:t>
      </w:r>
      <w:r w:rsidR="005D5663">
        <w:t>an exposure exists</w:t>
      </w:r>
      <w:r w:rsidR="00E60F77">
        <w:t xml:space="preserve"> and to address a</w:t>
      </w:r>
      <w:r w:rsidR="004F4FDE">
        <w:t xml:space="preserve"> number of public health hazard </w:t>
      </w:r>
      <w:r w:rsidR="004F4FDE">
        <w:lastRenderedPageBreak/>
        <w:t>categories,</w:t>
      </w:r>
      <w:r w:rsidR="00571985">
        <w:t xml:space="preserve"> such as</w:t>
      </w:r>
      <w:r w:rsidR="00E60F77">
        <w:t xml:space="preserve"> urgent public health hazard</w:t>
      </w:r>
      <w:r w:rsidR="00571985">
        <w:t>s</w:t>
      </w:r>
      <w:r w:rsidR="00896148">
        <w:t>.</w:t>
      </w:r>
      <w:r w:rsidR="000646CA">
        <w:rPr>
          <w:rStyle w:val="FootnoteReference"/>
        </w:rPr>
        <w:footnoteReference w:id="2"/>
      </w:r>
      <w:r w:rsidR="00896148">
        <w:t xml:space="preserve">  The EI team will ensure that </w:t>
      </w:r>
      <w:r w:rsidR="00895514">
        <w:t xml:space="preserve">OMB can perform a timely and </w:t>
      </w:r>
      <w:r w:rsidR="00896148">
        <w:t xml:space="preserve">expedited review </w:t>
      </w:r>
      <w:r w:rsidR="00493735">
        <w:t xml:space="preserve">for individual EIs </w:t>
      </w:r>
      <w:r w:rsidR="00895514">
        <w:t xml:space="preserve">under this generic clearance </w:t>
      </w:r>
      <w:r w:rsidR="00493735">
        <w:t xml:space="preserve">by submitting </w:t>
      </w:r>
      <w:r w:rsidR="00896148">
        <w:t>a standardized review packet that will provide all ne</w:t>
      </w:r>
      <w:r w:rsidR="00551BA1">
        <w:t>cessary</w:t>
      </w:r>
      <w:r w:rsidR="00896148">
        <w:t xml:space="preserve"> </w:t>
      </w:r>
      <w:r w:rsidR="00F15CE8">
        <w:t>information.</w:t>
      </w:r>
    </w:p>
    <w:p w:rsidR="004F0058" w:rsidRDefault="004F0058" w:rsidP="004F0058">
      <w:pPr>
        <w:rPr>
          <w:b/>
        </w:rPr>
      </w:pPr>
      <w:bookmarkStart w:id="25" w:name="_Toc305153413"/>
      <w:bookmarkStart w:id="26" w:name="_Toc305153631"/>
      <w:bookmarkStart w:id="27" w:name="_Toc305154207"/>
      <w:bookmarkStart w:id="28" w:name="_Toc305155361"/>
      <w:bookmarkStart w:id="29" w:name="_Toc306341891"/>
      <w:bookmarkStart w:id="30" w:name="_Toc306344144"/>
      <w:bookmarkStart w:id="31" w:name="_Toc306344785"/>
      <w:bookmarkStart w:id="32" w:name="_Toc306345026"/>
      <w:bookmarkStart w:id="33" w:name="_Toc311445495"/>
    </w:p>
    <w:p w:rsidR="004F0058" w:rsidRPr="00CD6AC5" w:rsidRDefault="000C2177" w:rsidP="007F446A">
      <w:pPr>
        <w:pStyle w:val="Heading2"/>
        <w:rPr>
          <w:b w:val="0"/>
          <w:color w:val="0070C0"/>
        </w:rPr>
      </w:pPr>
      <w:bookmarkStart w:id="34" w:name="_Toc351620194"/>
      <w:r w:rsidRPr="00CD6AC5">
        <w:rPr>
          <w:rFonts w:ascii="Times New Roman" w:hAnsi="Times New Roman"/>
          <w:color w:val="0070C0"/>
          <w:sz w:val="24"/>
        </w:rPr>
        <w:t xml:space="preserve">A.1.1. </w:t>
      </w:r>
      <w:r w:rsidR="004F0058" w:rsidRPr="00CD6AC5">
        <w:rPr>
          <w:rFonts w:ascii="Times New Roman" w:hAnsi="Times New Roman"/>
          <w:color w:val="0070C0"/>
          <w:sz w:val="24"/>
        </w:rPr>
        <w:t>Privacy Impact Assessment</w:t>
      </w:r>
      <w:bookmarkEnd w:id="34"/>
      <w:r w:rsidR="004F0058" w:rsidRPr="00CD6AC5">
        <w:rPr>
          <w:rFonts w:ascii="Times New Roman" w:hAnsi="Times New Roman"/>
          <w:color w:val="0070C0"/>
          <w:sz w:val="24"/>
        </w:rPr>
        <w:t xml:space="preserve"> </w:t>
      </w:r>
    </w:p>
    <w:p w:rsidR="004F0058" w:rsidRDefault="004F0058" w:rsidP="004F0058">
      <w:pPr>
        <w:spacing w:after="120"/>
      </w:pPr>
    </w:p>
    <w:p w:rsidR="00AA75C6" w:rsidRDefault="00AA75C6" w:rsidP="00AA75C6">
      <w:pPr>
        <w:tabs>
          <w:tab w:val="left" w:pos="1545"/>
        </w:tabs>
        <w:rPr>
          <w:bCs/>
          <w:iCs/>
        </w:rPr>
      </w:pPr>
      <w:r>
        <w:rPr>
          <w:bCs/>
          <w:iCs/>
        </w:rPr>
        <w:t>All of ATSDR’s bio</w:t>
      </w:r>
      <w:r w:rsidR="00A32523">
        <w:rPr>
          <w:bCs/>
          <w:iCs/>
        </w:rPr>
        <w:t>logical</w:t>
      </w:r>
      <w:r>
        <w:rPr>
          <w:bCs/>
          <w:iCs/>
        </w:rPr>
        <w:t xml:space="preserve"> assessments and some of the environmental </w:t>
      </w:r>
      <w:r w:rsidR="00A32523">
        <w:rPr>
          <w:bCs/>
          <w:iCs/>
        </w:rPr>
        <w:t>assessment</w:t>
      </w:r>
      <w:r>
        <w:rPr>
          <w:bCs/>
          <w:iCs/>
        </w:rPr>
        <w:t>s involve participants. ATSDR provides the participants with information on the EI process and what it can and cannot determine. After providing the participants this information, ATSDR asks for their consent to participate in the EI. Participation is completely voluntary; par</w:t>
      </w:r>
      <w:r w:rsidR="00E97D2A">
        <w:rPr>
          <w:bCs/>
          <w:iCs/>
        </w:rPr>
        <w:t>ticipants can stop par</w:t>
      </w:r>
      <w:r w:rsidR="00FC3F0F">
        <w:rPr>
          <w:bCs/>
          <w:iCs/>
        </w:rPr>
        <w:t>t</w:t>
      </w:r>
      <w:r w:rsidR="00680197">
        <w:rPr>
          <w:bCs/>
          <w:iCs/>
        </w:rPr>
        <w:t>icipating</w:t>
      </w:r>
      <w:r>
        <w:rPr>
          <w:bCs/>
          <w:iCs/>
        </w:rPr>
        <w:t xml:space="preserve"> in the EI at any time.</w:t>
      </w:r>
      <w:r w:rsidR="008F6F3B">
        <w:rPr>
          <w:bCs/>
          <w:iCs/>
        </w:rPr>
        <w:t xml:space="preserve">  </w:t>
      </w:r>
    </w:p>
    <w:p w:rsidR="007A454F" w:rsidRDefault="007A454F" w:rsidP="004F0058">
      <w:pPr>
        <w:pStyle w:val="Heading3"/>
        <w:spacing w:before="0" w:after="120"/>
        <w:rPr>
          <w:rFonts w:ascii="Times New Roman" w:hAnsi="Times New Roman" w:cs="Times New Roman"/>
          <w:b w:val="0"/>
          <w:u w:val="single"/>
        </w:rPr>
      </w:pPr>
      <w:bookmarkStart w:id="35" w:name="_Toc282617889"/>
    </w:p>
    <w:p w:rsidR="004F0058" w:rsidRPr="0090017A" w:rsidRDefault="004F0058" w:rsidP="004F0058">
      <w:pPr>
        <w:pStyle w:val="Heading3"/>
        <w:spacing w:before="0" w:after="120"/>
        <w:rPr>
          <w:rFonts w:ascii="Times New Roman" w:hAnsi="Times New Roman" w:cs="Times New Roman"/>
          <w:b w:val="0"/>
          <w:color w:val="auto"/>
          <w:u w:val="single"/>
        </w:rPr>
      </w:pPr>
      <w:bookmarkStart w:id="36" w:name="_Toc351620195"/>
      <w:r w:rsidRPr="0090017A">
        <w:rPr>
          <w:rFonts w:ascii="Times New Roman" w:hAnsi="Times New Roman" w:cs="Times New Roman"/>
          <w:b w:val="0"/>
          <w:color w:val="auto"/>
          <w:u w:val="single"/>
        </w:rPr>
        <w:t>Overview of the Data Collection System</w:t>
      </w:r>
      <w:bookmarkEnd w:id="35"/>
      <w:bookmarkEnd w:id="36"/>
    </w:p>
    <w:p w:rsidR="00AB6F2A" w:rsidRDefault="00E87403" w:rsidP="001B71A2">
      <w:pPr>
        <w:tabs>
          <w:tab w:val="left" w:pos="1545"/>
        </w:tabs>
      </w:pPr>
      <w:r w:rsidRPr="00F272FD">
        <w:t>The primary objective</w:t>
      </w:r>
      <w:r>
        <w:t>s</w:t>
      </w:r>
      <w:r w:rsidRPr="00F272FD">
        <w:t xml:space="preserve"> of the</w:t>
      </w:r>
      <w:r>
        <w:t xml:space="preserve"> information collected for EIs under this generic information request are to assess exposures to environmental contaminants. </w:t>
      </w:r>
      <w:r w:rsidR="00CF5D2A">
        <w:t xml:space="preserve">Data obtained during EIs include biological (blood, urine and other biological samples) and environmental (water, air, soil and other environmental media) sampling.  Information obtained from the participants </w:t>
      </w:r>
      <w:r w:rsidR="0090017A">
        <w:t>assists the team in determining</w:t>
      </w:r>
      <w:r w:rsidR="00CF5D2A">
        <w:t xml:space="preserve"> if exposure has </w:t>
      </w:r>
      <w:r w:rsidR="0090017A">
        <w:t>occurred o</w:t>
      </w:r>
      <w:r w:rsidR="00CF5D2A">
        <w:t>r is occurring.</w:t>
      </w:r>
      <w:r w:rsidR="00C14B8B" w:rsidRPr="00C14B8B">
        <w:t xml:space="preserve"> </w:t>
      </w:r>
      <w:r w:rsidR="00C14B8B">
        <w:t xml:space="preserve">For each </w:t>
      </w:r>
      <w:r w:rsidR="0090017A">
        <w:t>EI</w:t>
      </w:r>
      <w:r w:rsidR="00C14B8B">
        <w:t>, a data collection system will include all of the measurements and procedures that are proposed to address data gaps in biological and environmental sampling.</w:t>
      </w:r>
    </w:p>
    <w:p w:rsidR="00DB10B4" w:rsidRDefault="00DB10B4" w:rsidP="001B71A2">
      <w:pPr>
        <w:tabs>
          <w:tab w:val="left" w:pos="1545"/>
        </w:tabs>
      </w:pPr>
    </w:p>
    <w:p w:rsidR="00DB10B4" w:rsidRDefault="00DB10B4" w:rsidP="001B71A2">
      <w:pPr>
        <w:tabs>
          <w:tab w:val="left" w:pos="1545"/>
        </w:tabs>
      </w:pPr>
      <w:r>
        <w:t>The data collection system for EIs will be characterized by the following:</w:t>
      </w:r>
    </w:p>
    <w:p w:rsidR="00DB10B4" w:rsidRDefault="00DB10B4" w:rsidP="001B71A2">
      <w:pPr>
        <w:tabs>
          <w:tab w:val="left" w:pos="1545"/>
        </w:tabs>
      </w:pPr>
    </w:p>
    <w:p w:rsidR="00DB10B4" w:rsidRPr="00DB10B4" w:rsidRDefault="00DB10B4" w:rsidP="00DB10B4">
      <w:pPr>
        <w:pStyle w:val="ListParagraph"/>
        <w:numPr>
          <w:ilvl w:val="0"/>
          <w:numId w:val="45"/>
        </w:numPr>
        <w:tabs>
          <w:tab w:val="left" w:pos="1545"/>
        </w:tabs>
        <w:rPr>
          <w:u w:val="single"/>
        </w:rPr>
      </w:pPr>
      <w:r w:rsidRPr="00DB10B4">
        <w:rPr>
          <w:u w:val="single"/>
        </w:rPr>
        <w:t>Who can use the EI Generic Clearance</w:t>
      </w:r>
      <w:r w:rsidR="009175DC">
        <w:rPr>
          <w:u w:val="single"/>
        </w:rPr>
        <w:t>?</w:t>
      </w:r>
    </w:p>
    <w:p w:rsidR="00D72648" w:rsidRDefault="00DB10B4" w:rsidP="00DB10B4">
      <w:pPr>
        <w:pStyle w:val="ListParagraph"/>
      </w:pPr>
      <w:r w:rsidRPr="00DB10B4">
        <w:t xml:space="preserve">The </w:t>
      </w:r>
      <w:r>
        <w:t xml:space="preserve">DCHI </w:t>
      </w:r>
      <w:r w:rsidR="003376AD">
        <w:t xml:space="preserve">SSB </w:t>
      </w:r>
      <w:r w:rsidRPr="00DB10B4">
        <w:t>EI team</w:t>
      </w:r>
      <w:r w:rsidR="00CE4438">
        <w:t xml:space="preserve"> and the </w:t>
      </w:r>
      <w:r w:rsidR="00A62536">
        <w:t xml:space="preserve">ATSDR </w:t>
      </w:r>
      <w:r w:rsidR="00FC7452">
        <w:t xml:space="preserve">staff and partners in the </w:t>
      </w:r>
      <w:r w:rsidR="00CE4438">
        <w:t>DCHI cooperative agreement program</w:t>
      </w:r>
      <w:r w:rsidRPr="00DB10B4">
        <w:t xml:space="preserve"> will use the EI Generic Clearance for OMB submittals for each E</w:t>
      </w:r>
      <w:r w:rsidR="008D37FC">
        <w:t>I.</w:t>
      </w:r>
    </w:p>
    <w:p w:rsidR="00D72648" w:rsidRDefault="00D72648" w:rsidP="00DB10B4">
      <w:pPr>
        <w:pStyle w:val="ListParagraph"/>
      </w:pPr>
    </w:p>
    <w:p w:rsidR="00DB10B4" w:rsidRDefault="00C865E7" w:rsidP="00D72648">
      <w:pPr>
        <w:pStyle w:val="ListParagraph"/>
      </w:pPr>
      <w:r>
        <w:t xml:space="preserve">The DCHI cooperative agreement operates </w:t>
      </w:r>
      <w:r w:rsidR="00D72648">
        <w:t>across ten ATSDR regions</w:t>
      </w:r>
      <w:r w:rsidR="008B7D44">
        <w:t xml:space="preserve"> across the nation</w:t>
      </w:r>
      <w:r w:rsidR="00D72648">
        <w:t>.</w:t>
      </w:r>
      <w:r w:rsidR="00D46DAE">
        <w:t xml:space="preserve"> In 2012, t</w:t>
      </w:r>
      <w:r w:rsidR="00D72648">
        <w:t>he site work in the ten regions were functionally reorganized</w:t>
      </w:r>
      <w:r w:rsidR="008A3DE4">
        <w:t xml:space="preserve"> (Federal Register, Volume 77 No. 221, 15 Nov 2012, Pages 68125-7</w:t>
      </w:r>
      <w:r w:rsidR="003376AD">
        <w:t xml:space="preserve">; see </w:t>
      </w:r>
      <w:hyperlink r:id="rId18" w:history="1">
        <w:r w:rsidR="003376AD" w:rsidRPr="0058654F">
          <w:rPr>
            <w:rStyle w:val="Hyperlink"/>
          </w:rPr>
          <w:t>https://www.federalregister.gov/articles/2012/11/15/2012-27533/statement-of-organization-functions-and-delegations-of-authority</w:t>
        </w:r>
      </w:hyperlink>
      <w:r w:rsidR="003376AD">
        <w:t>)</w:t>
      </w:r>
      <w:r w:rsidR="00D72648">
        <w:t xml:space="preserve">. </w:t>
      </w:r>
      <w:r w:rsidR="00996090">
        <w:t xml:space="preserve">ATSDR </w:t>
      </w:r>
      <w:r w:rsidR="00C31271">
        <w:t xml:space="preserve">DCHI </w:t>
      </w:r>
      <w:r w:rsidR="00996090">
        <w:t>was divided into three fun</w:t>
      </w:r>
      <w:r w:rsidR="00D71EA8">
        <w:t>ct</w:t>
      </w:r>
      <w:r w:rsidR="00EB0830">
        <w:t xml:space="preserve">ional units that administer </w:t>
      </w:r>
      <w:r w:rsidR="00D72648">
        <w:t xml:space="preserve">its ten regions and its </w:t>
      </w:r>
      <w:r w:rsidR="007E4325">
        <w:t xml:space="preserve">cooperative agreement </w:t>
      </w:r>
      <w:r w:rsidR="00EB0830">
        <w:t>p</w:t>
      </w:r>
      <w:r w:rsidR="00D71EA8">
        <w:t>rog</w:t>
      </w:r>
      <w:r w:rsidR="007E4325">
        <w:t>ram</w:t>
      </w:r>
      <w:r w:rsidR="00996090">
        <w:t>:  Eastern Branch, Central Branch a</w:t>
      </w:r>
      <w:r>
        <w:t xml:space="preserve">nd Western Branch. </w:t>
      </w:r>
      <w:r w:rsidR="00EB0830">
        <w:t>T</w:t>
      </w:r>
      <w:r w:rsidR="00996090">
        <w:t xml:space="preserve">he </w:t>
      </w:r>
      <w:r w:rsidR="00EB0830">
        <w:t xml:space="preserve">DCHI </w:t>
      </w:r>
      <w:r w:rsidR="00996090">
        <w:t>Science Support Branch (</w:t>
      </w:r>
      <w:r w:rsidR="00EB0830">
        <w:t xml:space="preserve">SSB) </w:t>
      </w:r>
      <w:r w:rsidR="00996090">
        <w:t>supp</w:t>
      </w:r>
      <w:r w:rsidR="000B7365">
        <w:t>orts all three DCHI branches</w:t>
      </w:r>
      <w:r w:rsidR="00996090">
        <w:t xml:space="preserve">.  </w:t>
      </w:r>
      <w:r>
        <w:t>It is uncertain at this t</w:t>
      </w:r>
      <w:r w:rsidR="003A313C">
        <w:t xml:space="preserve">ime how many EIs across the states, regions, and branches </w:t>
      </w:r>
      <w:r>
        <w:t xml:space="preserve">will require an expedited approval at the same time. </w:t>
      </w:r>
      <w:r w:rsidR="00996090">
        <w:t>Given that EI</w:t>
      </w:r>
      <w:r w:rsidR="00D71EA8">
        <w:t>s require timely approvals to investigate urgent public healt</w:t>
      </w:r>
      <w:r w:rsidR="003A313C">
        <w:t>h hazards</w:t>
      </w:r>
      <w:r w:rsidR="00996090">
        <w:t>, we a</w:t>
      </w:r>
      <w:r w:rsidR="00D71EA8">
        <w:t>re requesting that OMB allow</w:t>
      </w:r>
      <w:r w:rsidR="00996090">
        <w:t xml:space="preserve"> </w:t>
      </w:r>
      <w:r w:rsidR="00D71EA8">
        <w:t xml:space="preserve">three </w:t>
      </w:r>
      <w:r w:rsidR="008F7BAF">
        <w:t xml:space="preserve">simultaneous </w:t>
      </w:r>
      <w:r w:rsidR="00996090">
        <w:t xml:space="preserve">review </w:t>
      </w:r>
      <w:r w:rsidR="00D71EA8">
        <w:t>tra</w:t>
      </w:r>
      <w:r w:rsidR="00EC1DF0">
        <w:t xml:space="preserve">cks (Eastern, Central, </w:t>
      </w:r>
      <w:r w:rsidR="002C7DD8">
        <w:t>and Western</w:t>
      </w:r>
      <w:r w:rsidR="00EC1DF0">
        <w:t>)</w:t>
      </w:r>
      <w:r w:rsidR="008F7BAF">
        <w:t xml:space="preserve"> to expedite</w:t>
      </w:r>
      <w:r w:rsidR="00996090">
        <w:t xml:space="preserve"> a timely review of t</w:t>
      </w:r>
      <w:r w:rsidR="007E4325">
        <w:t>hese time-sensitive submittals.</w:t>
      </w:r>
      <w:r w:rsidR="007561E0">
        <w:t xml:space="preserve"> </w:t>
      </w:r>
      <w:r w:rsidR="00320114">
        <w:t xml:space="preserve">Attachment </w:t>
      </w:r>
      <w:r w:rsidR="00DD42CA">
        <w:t>4</w:t>
      </w:r>
      <w:r w:rsidR="0048047A">
        <w:t xml:space="preserve"> provides a map of the EPA regions and ATSDR branches.</w:t>
      </w:r>
    </w:p>
    <w:p w:rsidR="006668A4" w:rsidRDefault="006668A4" w:rsidP="00D72648">
      <w:pPr>
        <w:pStyle w:val="ListParagraph"/>
      </w:pPr>
    </w:p>
    <w:p w:rsidR="00DB10B4" w:rsidRPr="00DB10B4" w:rsidRDefault="00DB10B4" w:rsidP="00DB10B4">
      <w:pPr>
        <w:pStyle w:val="ListParagraph"/>
        <w:numPr>
          <w:ilvl w:val="0"/>
          <w:numId w:val="45"/>
        </w:numPr>
        <w:rPr>
          <w:u w:val="single"/>
        </w:rPr>
      </w:pPr>
      <w:r w:rsidRPr="00DB10B4">
        <w:rPr>
          <w:u w:val="single"/>
        </w:rPr>
        <w:t>Who can be included as part of the EI</w:t>
      </w:r>
      <w:r w:rsidR="009175DC">
        <w:rPr>
          <w:u w:val="single"/>
        </w:rPr>
        <w:t xml:space="preserve"> Generic Clearance?</w:t>
      </w:r>
    </w:p>
    <w:p w:rsidR="00DB10B4" w:rsidRDefault="00DB10B4" w:rsidP="00DB10B4">
      <w:pPr>
        <w:ind w:left="720"/>
      </w:pPr>
      <w:r>
        <w:t xml:space="preserve">EI participants will vary based on the nature of the EI but will likely include community members that are concerned about being exposed </w:t>
      </w:r>
      <w:r w:rsidR="007E4325">
        <w:t>to environmental contamination.</w:t>
      </w:r>
      <w:r w:rsidR="00726FEB">
        <w:t xml:space="preserve"> As previously describe</w:t>
      </w:r>
      <w:r w:rsidR="00C34854">
        <w:t>d</w:t>
      </w:r>
      <w:r w:rsidR="00726FEB">
        <w:t>, the EI will</w:t>
      </w:r>
      <w:r w:rsidR="001D789D">
        <w:t xml:space="preserve"> be conducted if the</w:t>
      </w:r>
      <w:r w:rsidR="00726FEB">
        <w:t xml:space="preserve"> expos</w:t>
      </w:r>
      <w:r w:rsidR="00970149">
        <w:t>ed population can be identified at the site.</w:t>
      </w:r>
      <w:r w:rsidR="00736F73">
        <w:t xml:space="preserve"> Investigations tend to focus on the </w:t>
      </w:r>
      <w:r w:rsidR="00582665">
        <w:t>most highly exposed at the site, such as those living in proximity to the site.</w:t>
      </w:r>
      <w:r w:rsidR="0008428C">
        <w:t xml:space="preserve"> On occasion, small businesses may be included as EI </w:t>
      </w:r>
      <w:r w:rsidR="007B5E65">
        <w:t>participants</w:t>
      </w:r>
      <w:r w:rsidR="0008428C">
        <w:t>.</w:t>
      </w:r>
      <w:r w:rsidR="007B5E65">
        <w:t xml:space="preserve">  Based on past experience, we estimate that 2 percent of the EI participants per year may involve small businesses.</w:t>
      </w:r>
    </w:p>
    <w:p w:rsidR="007E4325" w:rsidRDefault="007E4325" w:rsidP="00DB10B4">
      <w:pPr>
        <w:ind w:left="720"/>
      </w:pPr>
    </w:p>
    <w:p w:rsidR="00DB10B4" w:rsidRPr="009175DC" w:rsidRDefault="009175DC" w:rsidP="00DB10B4">
      <w:pPr>
        <w:pStyle w:val="ListParagraph"/>
        <w:numPr>
          <w:ilvl w:val="0"/>
          <w:numId w:val="45"/>
        </w:numPr>
        <w:rPr>
          <w:u w:val="single"/>
        </w:rPr>
      </w:pPr>
      <w:r w:rsidRPr="009175DC">
        <w:rPr>
          <w:u w:val="single"/>
        </w:rPr>
        <w:t>What types of questions may be asked as part of the EI Generic Clearance?</w:t>
      </w:r>
    </w:p>
    <w:p w:rsidR="009175DC" w:rsidRDefault="00F00722" w:rsidP="00874CBF">
      <w:pPr>
        <w:pStyle w:val="ListParagraph"/>
      </w:pPr>
      <w:r>
        <w:t xml:space="preserve">Attachment </w:t>
      </w:r>
      <w:r w:rsidR="00DD42CA">
        <w:t>3</w:t>
      </w:r>
      <w:r>
        <w:t xml:space="preserve"> provides a bank of questions that may be used to evaluate chemical exposure of individuals and communities</w:t>
      </w:r>
      <w:r w:rsidR="001C01C8">
        <w:t xml:space="preserve"> for EIs</w:t>
      </w:r>
      <w:r>
        <w:t xml:space="preserve">.  </w:t>
      </w:r>
      <w:r w:rsidR="001C01C8">
        <w:t>Attachment</w:t>
      </w:r>
      <w:r>
        <w:t xml:space="preserve"> </w:t>
      </w:r>
      <w:r w:rsidR="00DD42CA">
        <w:t>3</w:t>
      </w:r>
      <w:r w:rsidR="001C01C8">
        <w:t xml:space="preserve"> </w:t>
      </w:r>
      <w:r>
        <w:t>provides the type of questions that may be used in the EI process to evaluate and interpret the results of the EI</w:t>
      </w:r>
      <w:r w:rsidR="009175DC">
        <w:t xml:space="preserve">.  It is not required that the questions </w:t>
      </w:r>
      <w:r>
        <w:t xml:space="preserve">in Attachment </w:t>
      </w:r>
      <w:r w:rsidR="00DD42CA">
        <w:t>3</w:t>
      </w:r>
      <w:r w:rsidR="009175DC">
        <w:t xml:space="preserve"> be used in the EI, but </w:t>
      </w:r>
      <w:r>
        <w:t>these questions will be considered</w:t>
      </w:r>
      <w:r w:rsidR="009175DC">
        <w:t xml:space="preserve">.  </w:t>
      </w:r>
      <w:r w:rsidR="001C01C8">
        <w:t>F</w:t>
      </w:r>
      <w:r w:rsidR="009175DC">
        <w:t>urther details regarding the types of questions that may be included as part of the EI</w:t>
      </w:r>
      <w:r w:rsidR="001C01C8">
        <w:t xml:space="preserve"> are discussed in the following sections</w:t>
      </w:r>
      <w:r w:rsidR="009175DC">
        <w:t>.</w:t>
      </w:r>
    </w:p>
    <w:p w:rsidR="007E4325" w:rsidRDefault="007E4325" w:rsidP="009175DC">
      <w:pPr>
        <w:pStyle w:val="ListParagraph"/>
      </w:pPr>
    </w:p>
    <w:p w:rsidR="009175DC" w:rsidRPr="009175DC" w:rsidRDefault="009175DC" w:rsidP="009175DC">
      <w:pPr>
        <w:pStyle w:val="ListParagraph"/>
        <w:numPr>
          <w:ilvl w:val="0"/>
          <w:numId w:val="45"/>
        </w:numPr>
        <w:rPr>
          <w:u w:val="single"/>
        </w:rPr>
      </w:pPr>
      <w:r w:rsidRPr="009175DC">
        <w:rPr>
          <w:u w:val="single"/>
        </w:rPr>
        <w:t>What are the benefits to using the EI Generic Clearance?</w:t>
      </w:r>
    </w:p>
    <w:p w:rsidR="009175DC" w:rsidRPr="009175DC" w:rsidRDefault="009175DC" w:rsidP="009175DC">
      <w:pPr>
        <w:ind w:left="720"/>
      </w:pPr>
      <w:r w:rsidRPr="009175DC">
        <w:t xml:space="preserve">The benefits to using the EI Generic Clearance include providing a </w:t>
      </w:r>
      <w:r w:rsidR="00C53D8E">
        <w:t>standardized review package</w:t>
      </w:r>
      <w:r>
        <w:t xml:space="preserve"> to be used for </w:t>
      </w:r>
      <w:r w:rsidRPr="009175DC">
        <w:t xml:space="preserve">OMB submittal for </w:t>
      </w:r>
      <w:r>
        <w:t xml:space="preserve">each </w:t>
      </w:r>
      <w:r w:rsidRPr="009175DC">
        <w:t xml:space="preserve">EI.  The template will </w:t>
      </w:r>
      <w:r>
        <w:t xml:space="preserve">provide all needed information </w:t>
      </w:r>
      <w:r w:rsidR="00FF7C29">
        <w:t xml:space="preserve">in a clear, concise document </w:t>
      </w:r>
      <w:r w:rsidR="0042698E">
        <w:t>to expedite</w:t>
      </w:r>
      <w:r>
        <w:t xml:space="preserve"> OMB review.</w:t>
      </w:r>
    </w:p>
    <w:p w:rsidR="009175DC" w:rsidRPr="00DB10B4" w:rsidRDefault="009175DC" w:rsidP="009175DC">
      <w:pPr>
        <w:pStyle w:val="ListParagraph"/>
      </w:pPr>
    </w:p>
    <w:p w:rsidR="001116DC" w:rsidRDefault="001116DC" w:rsidP="00874CBF">
      <w:pPr>
        <w:tabs>
          <w:tab w:val="left" w:pos="1545"/>
        </w:tabs>
        <w:rPr>
          <w:bCs/>
        </w:rPr>
      </w:pPr>
      <w:r>
        <w:rPr>
          <w:bCs/>
        </w:rPr>
        <w:t>Information is generally gathered in a face-to-face interview with potentially exposed participants, but could occasionally be administered by phone or mail.  Only those questions pertaining to a specific contaminant exposure route are asked in an investigation. In addition, only questions needed to determine the extent of exposure in a particular situation are asked. With these data, we can assess the presence or absence of a specific exposure and estimate how long and how frequently people have had contact with the chemical(s) of interest. The responses also provide data about exposure to other sources of the chemical(s).</w:t>
      </w:r>
    </w:p>
    <w:p w:rsidR="001116DC" w:rsidRDefault="001116DC" w:rsidP="00874CBF">
      <w:pPr>
        <w:tabs>
          <w:tab w:val="left" w:pos="1545"/>
        </w:tabs>
        <w:rPr>
          <w:bCs/>
          <w:iCs/>
          <w:color w:val="000000"/>
        </w:rPr>
      </w:pPr>
    </w:p>
    <w:p w:rsidR="001116DC" w:rsidRDefault="001116DC" w:rsidP="007521E8">
      <w:pPr>
        <w:tabs>
          <w:tab w:val="left" w:pos="1545"/>
        </w:tabs>
        <w:rPr>
          <w:bCs/>
        </w:rPr>
      </w:pPr>
      <w:r>
        <w:rPr>
          <w:bCs/>
        </w:rPr>
        <w:t xml:space="preserve">General contact information (name, address, phone number, email) and comparison information on physical attributes (height, weight, age, race, gender) can account for approximately 20 questions per investigation. Some of this information is investigation-specific; not all of this data is collected for every investigation. </w:t>
      </w:r>
    </w:p>
    <w:p w:rsidR="001116DC" w:rsidRDefault="001116DC" w:rsidP="007521E8">
      <w:pPr>
        <w:tabs>
          <w:tab w:val="left" w:pos="1545"/>
        </w:tabs>
        <w:rPr>
          <w:bCs/>
          <w:iCs/>
          <w:color w:val="000000"/>
        </w:rPr>
      </w:pPr>
    </w:p>
    <w:p w:rsidR="007A454F" w:rsidRDefault="007A454F" w:rsidP="007521E8">
      <w:pPr>
        <w:tabs>
          <w:tab w:val="left" w:pos="1545"/>
        </w:tabs>
        <w:rPr>
          <w:color w:val="000000"/>
        </w:rPr>
      </w:pPr>
      <w:r>
        <w:rPr>
          <w:color w:val="000000"/>
        </w:rPr>
        <w:lastRenderedPageBreak/>
        <w:t xml:space="preserve">Although some of </w:t>
      </w:r>
      <w:r w:rsidR="00E87403">
        <w:rPr>
          <w:color w:val="000000"/>
        </w:rPr>
        <w:t>the information is</w:t>
      </w:r>
      <w:r>
        <w:rPr>
          <w:color w:val="000000"/>
        </w:rPr>
        <w:t xml:space="preserve"> entered on paper, where practical, we load the </w:t>
      </w:r>
      <w:r w:rsidR="00E87403">
        <w:rPr>
          <w:color w:val="000000"/>
        </w:rPr>
        <w:t>information</w:t>
      </w:r>
      <w:r w:rsidR="0042698E">
        <w:rPr>
          <w:color w:val="000000"/>
        </w:rPr>
        <w:t xml:space="preserve"> collection form</w:t>
      </w:r>
      <w:r w:rsidR="00E87403">
        <w:rPr>
          <w:color w:val="000000"/>
        </w:rPr>
        <w:t xml:space="preserve"> </w:t>
      </w:r>
      <w:r>
        <w:rPr>
          <w:color w:val="000000"/>
        </w:rPr>
        <w:t>onto a laptop and record the answers electronically. ATSDR computers comply with the HHS Standard 2008-0007.001S for encryption. We generally interview people in their homes.</w:t>
      </w:r>
    </w:p>
    <w:p w:rsidR="007A454F" w:rsidRDefault="007A454F" w:rsidP="007521E8">
      <w:pPr>
        <w:tabs>
          <w:tab w:val="left" w:pos="1545"/>
        </w:tabs>
        <w:rPr>
          <w:color w:val="FF0000"/>
        </w:rPr>
      </w:pPr>
    </w:p>
    <w:p w:rsidR="004F0058" w:rsidRPr="00726CAD" w:rsidRDefault="00F22376" w:rsidP="007521E8">
      <w:r>
        <w:t>All</w:t>
      </w:r>
      <w:r w:rsidR="005A5509">
        <w:t xml:space="preserve"> </w:t>
      </w:r>
      <w:r>
        <w:t xml:space="preserve">environmental </w:t>
      </w:r>
      <w:r w:rsidR="005A5509">
        <w:t xml:space="preserve">and biological </w:t>
      </w:r>
      <w:r>
        <w:t xml:space="preserve">sampling </w:t>
      </w:r>
      <w:r w:rsidR="0085216B">
        <w:t xml:space="preserve">will be overseen by the </w:t>
      </w:r>
      <w:r w:rsidR="007B7F3D">
        <w:t xml:space="preserve">federal or state </w:t>
      </w:r>
      <w:r w:rsidR="0085216B">
        <w:t>EI</w:t>
      </w:r>
      <w:r w:rsidR="00C53D8E">
        <w:t xml:space="preserve"> lead</w:t>
      </w:r>
      <w:r>
        <w:t xml:space="preserve">.  </w:t>
      </w:r>
      <w:r w:rsidR="004F0058">
        <w:t xml:space="preserve">Environmental </w:t>
      </w:r>
      <w:r>
        <w:t>samples</w:t>
      </w:r>
      <w:r w:rsidR="004F0058">
        <w:t xml:space="preserve"> will be collected by </w:t>
      </w:r>
      <w:r>
        <w:t>appropriate EI personnel (assistance from state and local partners and contractors may be obtained)</w:t>
      </w:r>
      <w:r w:rsidR="004F0058">
        <w:t xml:space="preserve"> and shipped directly to the appropriate laboratories for analysis.</w:t>
      </w:r>
      <w:r w:rsidR="00347865">
        <w:t xml:space="preserve">  </w:t>
      </w:r>
      <w:r w:rsidR="00793F4F">
        <w:t xml:space="preserve">Biological samples and documentation will be obtained by trained personnel, such as RNs, and shipped directly to qualified laboratories for analysis.  </w:t>
      </w:r>
      <w:r w:rsidR="00347865">
        <w:t>Appropriate Quality Assurance Plans will be prepared and implemented by ATSDR</w:t>
      </w:r>
      <w:r w:rsidR="00FF7853">
        <w:t>, states,</w:t>
      </w:r>
      <w:r w:rsidR="00347865">
        <w:t xml:space="preserve"> and contractors, as appropriate.</w:t>
      </w:r>
    </w:p>
    <w:p w:rsidR="00590EB2" w:rsidRDefault="00590EB2" w:rsidP="001B71A2">
      <w:pPr>
        <w:pStyle w:val="Heading3"/>
        <w:spacing w:before="0"/>
        <w:rPr>
          <w:rFonts w:ascii="Times New Roman" w:hAnsi="Times New Roman" w:cs="Times New Roman"/>
          <w:b w:val="0"/>
          <w:color w:val="auto"/>
          <w:u w:val="single"/>
        </w:rPr>
      </w:pPr>
      <w:bookmarkStart w:id="37" w:name="_Toc282617890"/>
    </w:p>
    <w:p w:rsidR="004F0058" w:rsidRDefault="004F0058" w:rsidP="004F0058">
      <w:pPr>
        <w:pStyle w:val="Heading3"/>
        <w:spacing w:before="0" w:after="120"/>
        <w:rPr>
          <w:rFonts w:ascii="Times New Roman" w:hAnsi="Times New Roman" w:cs="Times New Roman"/>
          <w:b w:val="0"/>
          <w:u w:val="single"/>
        </w:rPr>
      </w:pPr>
      <w:bookmarkStart w:id="38" w:name="_Toc351620196"/>
      <w:r w:rsidRPr="00005117">
        <w:rPr>
          <w:rFonts w:ascii="Times New Roman" w:hAnsi="Times New Roman" w:cs="Times New Roman"/>
          <w:b w:val="0"/>
          <w:color w:val="auto"/>
          <w:u w:val="single"/>
        </w:rPr>
        <w:t>Items of Information to be Collected</w:t>
      </w:r>
      <w:bookmarkEnd w:id="37"/>
      <w:bookmarkEnd w:id="38"/>
    </w:p>
    <w:p w:rsidR="00E35756" w:rsidRDefault="00E35756" w:rsidP="00E35756">
      <w:pPr>
        <w:tabs>
          <w:tab w:val="left" w:pos="1545"/>
        </w:tabs>
      </w:pPr>
      <w:r>
        <w:t>Collecting identifying information is necessary to facilitate personal contact with participants, to obtain their consent to participate</w:t>
      </w:r>
      <w:r w:rsidR="00347865">
        <w:t xml:space="preserve"> and </w:t>
      </w:r>
      <w:r>
        <w:t>to provide them with results</w:t>
      </w:r>
      <w:r w:rsidR="00347865">
        <w:t>.  The information is also used by ATSDR</w:t>
      </w:r>
      <w:r>
        <w:t xml:space="preserve"> to better interpret the results</w:t>
      </w:r>
      <w:r w:rsidR="00347865">
        <w:t xml:space="preserve"> of the sampling</w:t>
      </w:r>
      <w:r w:rsidR="003C221E">
        <w:t xml:space="preserve">. </w:t>
      </w:r>
      <w:r>
        <w:t>ATSDR uses the information only to contact respondents. Data is treated in a private manner, unless otherwise compelled by law.</w:t>
      </w:r>
    </w:p>
    <w:p w:rsidR="00E35756" w:rsidRDefault="00E35756" w:rsidP="00491A63">
      <w:pPr>
        <w:tabs>
          <w:tab w:val="left" w:pos="1545"/>
        </w:tabs>
        <w:rPr>
          <w:bCs/>
          <w:iCs/>
          <w:color w:val="000000"/>
        </w:rPr>
      </w:pPr>
    </w:p>
    <w:p w:rsidR="00491A63" w:rsidRDefault="00491A63" w:rsidP="00491A63">
      <w:pPr>
        <w:tabs>
          <w:tab w:val="left" w:pos="1545"/>
        </w:tabs>
        <w:rPr>
          <w:bCs/>
          <w:iCs/>
          <w:color w:val="000000"/>
        </w:rPr>
      </w:pPr>
      <w:r>
        <w:rPr>
          <w:bCs/>
          <w:iCs/>
          <w:color w:val="000000"/>
        </w:rPr>
        <w:t xml:space="preserve">ATSDR collects contact information (e.g., name, address, phone number, email address) to provide the participant with their individual results. General information, which includes height, weight, age/date of birth, race, gender, etc., may also be collected primarily on </w:t>
      </w:r>
      <w:r w:rsidR="00347865">
        <w:rPr>
          <w:bCs/>
          <w:iCs/>
          <w:color w:val="000000"/>
        </w:rPr>
        <w:t xml:space="preserve">biological </w:t>
      </w:r>
      <w:r>
        <w:rPr>
          <w:bCs/>
          <w:iCs/>
          <w:color w:val="000000"/>
        </w:rPr>
        <w:t>investigations to assist with results interpretation.</w:t>
      </w:r>
    </w:p>
    <w:p w:rsidR="00491A63" w:rsidRDefault="00491A63" w:rsidP="00491A63">
      <w:pPr>
        <w:tabs>
          <w:tab w:val="left" w:pos="1545"/>
        </w:tabs>
        <w:rPr>
          <w:bCs/>
          <w:iCs/>
        </w:rPr>
      </w:pPr>
    </w:p>
    <w:p w:rsidR="00491A63" w:rsidRDefault="00491A63" w:rsidP="00491A63">
      <w:pPr>
        <w:tabs>
          <w:tab w:val="left" w:pos="1545"/>
        </w:tabs>
        <w:rPr>
          <w:bCs/>
          <w:iCs/>
        </w:rPr>
      </w:pPr>
      <w:r>
        <w:rPr>
          <w:bCs/>
          <w:iCs/>
        </w:rPr>
        <w:t xml:space="preserve">ATSDR asks participants questions about recreational or occupational activities that could increase their </w:t>
      </w:r>
      <w:r w:rsidR="00005117">
        <w:rPr>
          <w:bCs/>
          <w:iCs/>
        </w:rPr>
        <w:t xml:space="preserve">potential </w:t>
      </w:r>
      <w:r>
        <w:rPr>
          <w:bCs/>
          <w:iCs/>
        </w:rPr>
        <w:t>exposure to the contaminants</w:t>
      </w:r>
      <w:r>
        <w:t xml:space="preserve"> under investigation. In addition, A</w:t>
      </w:r>
      <w:r>
        <w:rPr>
          <w:bCs/>
          <w:iCs/>
        </w:rPr>
        <w:t>TSDR collects information on other possible sources of chemical(s) exposure such as medicines taken, foods eaten, hobbies and jobs done, etc. That information represents their individual exposure history.</w:t>
      </w:r>
      <w:r w:rsidR="00347865">
        <w:rPr>
          <w:bCs/>
          <w:iCs/>
        </w:rPr>
        <w:t xml:space="preserve">  </w:t>
      </w:r>
      <w:r w:rsidR="00A53295">
        <w:rPr>
          <w:bCs/>
          <w:iCs/>
        </w:rPr>
        <w:t xml:space="preserve">Attachment </w:t>
      </w:r>
      <w:r w:rsidR="00DD42CA">
        <w:rPr>
          <w:bCs/>
          <w:iCs/>
        </w:rPr>
        <w:t>3</w:t>
      </w:r>
      <w:r w:rsidR="00A53295">
        <w:rPr>
          <w:bCs/>
          <w:iCs/>
        </w:rPr>
        <w:t xml:space="preserve"> provides </w:t>
      </w:r>
      <w:r w:rsidR="001C01C8">
        <w:rPr>
          <w:bCs/>
          <w:iCs/>
        </w:rPr>
        <w:t>a</w:t>
      </w:r>
      <w:r w:rsidR="00A53295">
        <w:rPr>
          <w:bCs/>
          <w:iCs/>
        </w:rPr>
        <w:t xml:space="preserve"> bank of questions</w:t>
      </w:r>
      <w:r w:rsidR="001C01C8">
        <w:rPr>
          <w:bCs/>
          <w:iCs/>
        </w:rPr>
        <w:t xml:space="preserve"> that may be used </w:t>
      </w:r>
      <w:r w:rsidR="00A53295">
        <w:rPr>
          <w:bCs/>
          <w:iCs/>
        </w:rPr>
        <w:t xml:space="preserve">to compile the situation-specific EI.  </w:t>
      </w:r>
    </w:p>
    <w:p w:rsidR="005B7A60" w:rsidRDefault="005B7A60" w:rsidP="00CE0CFF">
      <w:pPr>
        <w:tabs>
          <w:tab w:val="left" w:pos="1545"/>
        </w:tabs>
      </w:pPr>
    </w:p>
    <w:p w:rsidR="004F0058" w:rsidRDefault="004F0058" w:rsidP="00CE0CFF">
      <w:pPr>
        <w:rPr>
          <w:b/>
          <w:bCs/>
        </w:rPr>
      </w:pPr>
      <w:r>
        <w:t>Examples of t</w:t>
      </w:r>
      <w:r w:rsidRPr="00422C25">
        <w:t xml:space="preserve">he </w:t>
      </w:r>
      <w:r w:rsidR="00ED7048">
        <w:t>information that may be collected during environmental and biological sampling events are provided in Tables A-1.1 and A-1.2.</w:t>
      </w:r>
      <w:bookmarkStart w:id="39" w:name="_Toc282617891"/>
    </w:p>
    <w:p w:rsidR="00162D9E" w:rsidRDefault="00162D9E" w:rsidP="004F0058">
      <w:pPr>
        <w:spacing w:after="120"/>
        <w:rPr>
          <w:b/>
          <w:bCs/>
        </w:rPr>
      </w:pPr>
    </w:p>
    <w:p w:rsidR="005F578E" w:rsidRDefault="007B5494" w:rsidP="005F578E">
      <w:pPr>
        <w:jc w:val="center"/>
        <w:rPr>
          <w:b/>
          <w:bCs/>
        </w:rPr>
      </w:pPr>
      <w:r>
        <w:rPr>
          <w:b/>
          <w:bCs/>
        </w:rPr>
        <w:t>Table A-1.1</w:t>
      </w:r>
    </w:p>
    <w:p w:rsidR="00246A18" w:rsidRDefault="008B21E9" w:rsidP="005F578E">
      <w:pPr>
        <w:jc w:val="center"/>
        <w:rPr>
          <w:b/>
          <w:bCs/>
        </w:rPr>
      </w:pPr>
      <w:r>
        <w:rPr>
          <w:b/>
          <w:bCs/>
        </w:rPr>
        <w:t xml:space="preserve">EI Activities Requiring </w:t>
      </w:r>
      <w:r w:rsidR="00B921DF">
        <w:rPr>
          <w:b/>
          <w:bCs/>
        </w:rPr>
        <w:t>Information from</w:t>
      </w:r>
      <w:r>
        <w:rPr>
          <w:b/>
          <w:bCs/>
        </w:rPr>
        <w:t xml:space="preserve"> Property Owner or Resident for Environmental Sampling</w:t>
      </w:r>
      <w:bookmarkEnd w:id="39"/>
    </w:p>
    <w:p w:rsidR="005F578E" w:rsidRPr="003070BB" w:rsidRDefault="005F578E" w:rsidP="002D6CB4">
      <w:pPr>
        <w:jc w:val="center"/>
        <w:rPr>
          <w:b/>
          <w:bCs/>
        </w:rPr>
      </w:pPr>
    </w:p>
    <w:tbl>
      <w:tblPr>
        <w:tblW w:w="88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0A0" w:firstRow="1" w:lastRow="0" w:firstColumn="1" w:lastColumn="0" w:noHBand="0" w:noVBand="0"/>
      </w:tblPr>
      <w:tblGrid>
        <w:gridCol w:w="3744"/>
        <w:gridCol w:w="5130"/>
      </w:tblGrid>
      <w:tr w:rsidR="00F37060" w:rsidRPr="00A328CC" w:rsidTr="00081A58">
        <w:trPr>
          <w:trHeight w:val="557"/>
        </w:trPr>
        <w:tc>
          <w:tcPr>
            <w:tcW w:w="3744" w:type="dxa"/>
            <w:shd w:val="clear" w:color="auto" w:fill="F2F2F2" w:themeFill="background1" w:themeFillShade="F2"/>
            <w:tcMar>
              <w:left w:w="72" w:type="dxa"/>
              <w:right w:w="72" w:type="dxa"/>
            </w:tcMar>
            <w:vAlign w:val="center"/>
          </w:tcPr>
          <w:p w:rsidR="00F37060" w:rsidRPr="002257F4" w:rsidRDefault="00F37060" w:rsidP="00F37060">
            <w:pPr>
              <w:jc w:val="center"/>
              <w:rPr>
                <w:b/>
                <w:bCs/>
              </w:rPr>
            </w:pPr>
            <w:r>
              <w:rPr>
                <w:b/>
                <w:bCs/>
              </w:rPr>
              <w:t>Information Collection Methods</w:t>
            </w:r>
          </w:p>
        </w:tc>
        <w:tc>
          <w:tcPr>
            <w:tcW w:w="5130" w:type="dxa"/>
            <w:shd w:val="clear" w:color="auto" w:fill="F2F2F2" w:themeFill="background1" w:themeFillShade="F2"/>
            <w:tcMar>
              <w:left w:w="72" w:type="dxa"/>
              <w:right w:w="72" w:type="dxa"/>
            </w:tcMar>
            <w:vAlign w:val="center"/>
          </w:tcPr>
          <w:p w:rsidR="00F37060" w:rsidRPr="002257F4" w:rsidRDefault="00F37060" w:rsidP="00F37060">
            <w:pPr>
              <w:jc w:val="center"/>
              <w:rPr>
                <w:b/>
                <w:bCs/>
              </w:rPr>
            </w:pPr>
            <w:r>
              <w:rPr>
                <w:b/>
                <w:bCs/>
              </w:rPr>
              <w:t>Examples of Needed Information</w:t>
            </w:r>
          </w:p>
        </w:tc>
      </w:tr>
      <w:tr w:rsidR="00F37060" w:rsidRPr="00A328CC" w:rsidTr="008B3B33">
        <w:tc>
          <w:tcPr>
            <w:tcW w:w="3744" w:type="dxa"/>
            <w:tcMar>
              <w:left w:w="72" w:type="dxa"/>
              <w:right w:w="72" w:type="dxa"/>
            </w:tcMar>
            <w:vAlign w:val="center"/>
          </w:tcPr>
          <w:p w:rsidR="00F37060" w:rsidRPr="00577BBE" w:rsidRDefault="00F37060" w:rsidP="008B3B33">
            <w:pPr>
              <w:spacing w:line="240" w:lineRule="exact"/>
              <w:contextualSpacing/>
              <w:rPr>
                <w:sz w:val="20"/>
                <w:szCs w:val="20"/>
              </w:rPr>
            </w:pPr>
            <w:r>
              <w:rPr>
                <w:sz w:val="20"/>
                <w:szCs w:val="20"/>
              </w:rPr>
              <w:t xml:space="preserve">Demographic questionnaire (see Question Bank provided in </w:t>
            </w:r>
            <w:r w:rsidR="00DD42CA">
              <w:rPr>
                <w:sz w:val="20"/>
                <w:szCs w:val="20"/>
              </w:rPr>
              <w:t>Attachment 3</w:t>
            </w:r>
            <w:r>
              <w:rPr>
                <w:sz w:val="20"/>
                <w:szCs w:val="20"/>
              </w:rPr>
              <w:t xml:space="preserve"> for suggested questions – use of these questions is optional)</w:t>
            </w:r>
            <w:r w:rsidRPr="00577BBE">
              <w:rPr>
                <w:sz w:val="20"/>
                <w:szCs w:val="20"/>
              </w:rPr>
              <w:t xml:space="preserve"> </w:t>
            </w:r>
          </w:p>
        </w:tc>
        <w:tc>
          <w:tcPr>
            <w:tcW w:w="5130" w:type="dxa"/>
            <w:tcMar>
              <w:left w:w="72" w:type="dxa"/>
              <w:right w:w="72" w:type="dxa"/>
            </w:tcMar>
            <w:vAlign w:val="center"/>
          </w:tcPr>
          <w:p w:rsidR="000B6474" w:rsidRDefault="000B6474" w:rsidP="008B3B33">
            <w:pPr>
              <w:pStyle w:val="NoSpacing"/>
              <w:spacing w:line="240" w:lineRule="exact"/>
              <w:ind w:left="198"/>
              <w:contextualSpacing/>
              <w:rPr>
                <w:rFonts w:ascii="Times New Roman" w:hAnsi="Times New Roman" w:cs="Times New Roman"/>
                <w:sz w:val="20"/>
                <w:szCs w:val="20"/>
              </w:rPr>
            </w:pPr>
          </w:p>
          <w:p w:rsidR="00F37060" w:rsidRPr="00726CAD" w:rsidRDefault="00F37060" w:rsidP="008B3B33">
            <w:pPr>
              <w:pStyle w:val="NoSpacing"/>
              <w:numPr>
                <w:ilvl w:val="0"/>
                <w:numId w:val="20"/>
              </w:numPr>
              <w:spacing w:line="240" w:lineRule="exact"/>
              <w:ind w:left="198" w:hanging="180"/>
              <w:contextualSpacing/>
              <w:rPr>
                <w:rFonts w:ascii="Times New Roman" w:hAnsi="Times New Roman" w:cs="Times New Roman"/>
                <w:sz w:val="20"/>
                <w:szCs w:val="20"/>
              </w:rPr>
            </w:pPr>
            <w:r w:rsidRPr="00726CAD">
              <w:rPr>
                <w:rFonts w:ascii="Times New Roman" w:hAnsi="Times New Roman" w:cs="Times New Roman"/>
                <w:sz w:val="20"/>
                <w:szCs w:val="20"/>
              </w:rPr>
              <w:t xml:space="preserve">Demographic data and residential history </w:t>
            </w:r>
          </w:p>
          <w:p w:rsidR="00F37060" w:rsidRDefault="00F37060" w:rsidP="008B3B33">
            <w:pPr>
              <w:pStyle w:val="NoSpacing"/>
              <w:numPr>
                <w:ilvl w:val="0"/>
                <w:numId w:val="14"/>
              </w:numPr>
              <w:spacing w:line="240" w:lineRule="exact"/>
              <w:ind w:left="198" w:hanging="180"/>
              <w:contextualSpacing/>
              <w:rPr>
                <w:rFonts w:ascii="Times New Roman" w:hAnsi="Times New Roman" w:cs="Times New Roman"/>
                <w:sz w:val="20"/>
                <w:szCs w:val="20"/>
              </w:rPr>
            </w:pPr>
            <w:r>
              <w:rPr>
                <w:rFonts w:ascii="Times New Roman" w:hAnsi="Times New Roman" w:cs="Times New Roman"/>
                <w:sz w:val="20"/>
                <w:szCs w:val="20"/>
              </w:rPr>
              <w:t>Daily activities</w:t>
            </w:r>
          </w:p>
          <w:p w:rsidR="00F37060" w:rsidRDefault="00F37060" w:rsidP="008B3B33">
            <w:pPr>
              <w:pStyle w:val="NoSpacing"/>
              <w:numPr>
                <w:ilvl w:val="0"/>
                <w:numId w:val="17"/>
              </w:numPr>
              <w:spacing w:line="240" w:lineRule="exact"/>
              <w:ind w:left="198" w:hanging="180"/>
              <w:contextualSpacing/>
              <w:rPr>
                <w:rFonts w:ascii="Times New Roman" w:hAnsi="Times New Roman" w:cs="Times New Roman"/>
                <w:sz w:val="20"/>
                <w:szCs w:val="20"/>
              </w:rPr>
            </w:pPr>
            <w:r w:rsidRPr="00AF26E9">
              <w:rPr>
                <w:rFonts w:ascii="Times New Roman" w:hAnsi="Times New Roman" w:cs="Times New Roman"/>
                <w:sz w:val="20"/>
                <w:szCs w:val="20"/>
              </w:rPr>
              <w:t>Occupational history</w:t>
            </w:r>
          </w:p>
          <w:p w:rsidR="00F37060" w:rsidRPr="00AF26E9" w:rsidRDefault="00F37060" w:rsidP="008B3B33">
            <w:pPr>
              <w:pStyle w:val="NoSpacing"/>
              <w:spacing w:line="240" w:lineRule="exact"/>
              <w:ind w:left="198"/>
              <w:contextualSpacing/>
              <w:rPr>
                <w:rFonts w:ascii="Times New Roman" w:hAnsi="Times New Roman" w:cs="Times New Roman"/>
                <w:sz w:val="20"/>
                <w:szCs w:val="20"/>
              </w:rPr>
            </w:pPr>
          </w:p>
          <w:p w:rsidR="00F37060" w:rsidRPr="002275A3" w:rsidRDefault="00F37060" w:rsidP="008B3B33">
            <w:pPr>
              <w:pStyle w:val="NoSpacing"/>
              <w:spacing w:line="240" w:lineRule="exact"/>
              <w:ind w:left="198"/>
              <w:contextualSpacing/>
              <w:rPr>
                <w:rFonts w:ascii="Times New Roman" w:hAnsi="Times New Roman" w:cs="Times New Roman"/>
                <w:sz w:val="20"/>
                <w:szCs w:val="20"/>
              </w:rPr>
            </w:pPr>
          </w:p>
        </w:tc>
      </w:tr>
      <w:tr w:rsidR="00F37060" w:rsidRPr="00A328CC" w:rsidTr="008B3B33">
        <w:tc>
          <w:tcPr>
            <w:tcW w:w="3744" w:type="dxa"/>
            <w:tcMar>
              <w:left w:w="72" w:type="dxa"/>
              <w:right w:w="72" w:type="dxa"/>
            </w:tcMar>
            <w:vAlign w:val="center"/>
          </w:tcPr>
          <w:p w:rsidR="000B6474" w:rsidRDefault="000B6474" w:rsidP="008B3B33">
            <w:pPr>
              <w:spacing w:line="240" w:lineRule="exact"/>
              <w:contextualSpacing/>
              <w:rPr>
                <w:sz w:val="20"/>
                <w:szCs w:val="20"/>
              </w:rPr>
            </w:pPr>
          </w:p>
          <w:p w:rsidR="00F37060" w:rsidRDefault="00F37060" w:rsidP="008B3B33">
            <w:pPr>
              <w:spacing w:line="240" w:lineRule="exact"/>
              <w:contextualSpacing/>
              <w:rPr>
                <w:sz w:val="20"/>
                <w:szCs w:val="20"/>
              </w:rPr>
            </w:pPr>
            <w:r>
              <w:rPr>
                <w:sz w:val="20"/>
                <w:szCs w:val="20"/>
              </w:rPr>
              <w:t xml:space="preserve">Household questionnaire (see Question Bank provided in </w:t>
            </w:r>
            <w:r w:rsidR="00DD42CA">
              <w:rPr>
                <w:sz w:val="20"/>
                <w:szCs w:val="20"/>
              </w:rPr>
              <w:t>Attachment 3</w:t>
            </w:r>
            <w:r>
              <w:rPr>
                <w:sz w:val="20"/>
                <w:szCs w:val="20"/>
              </w:rPr>
              <w:t xml:space="preserve"> for suggested questions – use of these questions is optional)</w:t>
            </w:r>
          </w:p>
          <w:p w:rsidR="000B6474" w:rsidRPr="00726CAD" w:rsidRDefault="000B6474" w:rsidP="008B3B33">
            <w:pPr>
              <w:spacing w:line="240" w:lineRule="exact"/>
              <w:contextualSpacing/>
              <w:rPr>
                <w:sz w:val="20"/>
                <w:szCs w:val="20"/>
              </w:rPr>
            </w:pPr>
          </w:p>
        </w:tc>
        <w:tc>
          <w:tcPr>
            <w:tcW w:w="5130" w:type="dxa"/>
            <w:tcMar>
              <w:left w:w="72" w:type="dxa"/>
              <w:right w:w="72" w:type="dxa"/>
            </w:tcMar>
            <w:vAlign w:val="center"/>
          </w:tcPr>
          <w:p w:rsidR="000B6474" w:rsidRDefault="000B6474" w:rsidP="008B3B33">
            <w:pPr>
              <w:pStyle w:val="NoSpacing"/>
              <w:spacing w:line="240" w:lineRule="exact"/>
              <w:ind w:left="198"/>
              <w:contextualSpacing/>
              <w:rPr>
                <w:rFonts w:ascii="Times New Roman" w:hAnsi="Times New Roman" w:cs="Times New Roman"/>
                <w:sz w:val="20"/>
                <w:szCs w:val="20"/>
              </w:rPr>
            </w:pPr>
          </w:p>
          <w:p w:rsidR="00F37060" w:rsidRDefault="000B6474" w:rsidP="008B3B33">
            <w:pPr>
              <w:pStyle w:val="NoSpacing"/>
              <w:numPr>
                <w:ilvl w:val="0"/>
                <w:numId w:val="18"/>
              </w:numPr>
              <w:spacing w:line="240" w:lineRule="exact"/>
              <w:ind w:left="198" w:hanging="180"/>
              <w:contextualSpacing/>
              <w:rPr>
                <w:rFonts w:ascii="Times New Roman" w:hAnsi="Times New Roman" w:cs="Times New Roman"/>
                <w:sz w:val="20"/>
                <w:szCs w:val="20"/>
              </w:rPr>
            </w:pPr>
            <w:r>
              <w:rPr>
                <w:rFonts w:ascii="Times New Roman" w:hAnsi="Times New Roman" w:cs="Times New Roman"/>
                <w:sz w:val="20"/>
                <w:szCs w:val="20"/>
              </w:rPr>
              <w:t>I</w:t>
            </w:r>
            <w:r w:rsidR="00F37060">
              <w:rPr>
                <w:rFonts w:ascii="Times New Roman" w:hAnsi="Times New Roman" w:cs="Times New Roman"/>
                <w:sz w:val="20"/>
                <w:szCs w:val="20"/>
              </w:rPr>
              <w:t>ndoor home heating fuel</w:t>
            </w:r>
          </w:p>
          <w:p w:rsidR="00F37060" w:rsidRDefault="00F37060" w:rsidP="008B3B33">
            <w:pPr>
              <w:pStyle w:val="NoSpacing"/>
              <w:numPr>
                <w:ilvl w:val="0"/>
                <w:numId w:val="18"/>
              </w:numPr>
              <w:spacing w:line="240" w:lineRule="exact"/>
              <w:ind w:left="198" w:hanging="180"/>
              <w:contextualSpacing/>
              <w:rPr>
                <w:rFonts w:ascii="Times New Roman" w:hAnsi="Times New Roman" w:cs="Times New Roman"/>
                <w:sz w:val="20"/>
                <w:szCs w:val="20"/>
              </w:rPr>
            </w:pPr>
            <w:r>
              <w:rPr>
                <w:rFonts w:ascii="Times New Roman" w:hAnsi="Times New Roman" w:cs="Times New Roman"/>
                <w:sz w:val="20"/>
                <w:szCs w:val="20"/>
              </w:rPr>
              <w:t>Water source, and household filtration system</w:t>
            </w:r>
          </w:p>
          <w:p w:rsidR="00F37060" w:rsidRDefault="00F37060" w:rsidP="008B3B33">
            <w:pPr>
              <w:pStyle w:val="NoSpacing"/>
              <w:numPr>
                <w:ilvl w:val="0"/>
                <w:numId w:val="18"/>
              </w:numPr>
              <w:spacing w:line="240" w:lineRule="exact"/>
              <w:ind w:left="198" w:hanging="180"/>
              <w:contextualSpacing/>
              <w:rPr>
                <w:rFonts w:ascii="Times New Roman" w:hAnsi="Times New Roman" w:cs="Times New Roman"/>
                <w:sz w:val="20"/>
                <w:szCs w:val="20"/>
              </w:rPr>
            </w:pPr>
            <w:r>
              <w:rPr>
                <w:rFonts w:ascii="Times New Roman" w:hAnsi="Times New Roman" w:cs="Times New Roman"/>
                <w:sz w:val="20"/>
                <w:szCs w:val="20"/>
              </w:rPr>
              <w:t>VOC storage</w:t>
            </w:r>
          </w:p>
          <w:p w:rsidR="00F37060" w:rsidRPr="00726CAD" w:rsidRDefault="00F37060" w:rsidP="008B3B33">
            <w:pPr>
              <w:pStyle w:val="NoSpacing"/>
              <w:spacing w:line="240" w:lineRule="exact"/>
              <w:ind w:left="198"/>
              <w:contextualSpacing/>
              <w:rPr>
                <w:rFonts w:ascii="Times New Roman" w:hAnsi="Times New Roman" w:cs="Times New Roman"/>
                <w:sz w:val="20"/>
                <w:szCs w:val="20"/>
              </w:rPr>
            </w:pPr>
          </w:p>
        </w:tc>
      </w:tr>
      <w:tr w:rsidR="00F37060" w:rsidRPr="00A328CC" w:rsidTr="008B3B33">
        <w:tc>
          <w:tcPr>
            <w:tcW w:w="3744" w:type="dxa"/>
            <w:tcMar>
              <w:left w:w="72" w:type="dxa"/>
              <w:right w:w="72" w:type="dxa"/>
            </w:tcMar>
            <w:vAlign w:val="center"/>
          </w:tcPr>
          <w:p w:rsidR="00F37060" w:rsidRPr="00726CAD" w:rsidRDefault="00F37060" w:rsidP="008B3B33">
            <w:pPr>
              <w:spacing w:line="240" w:lineRule="exact"/>
              <w:contextualSpacing/>
              <w:rPr>
                <w:sz w:val="20"/>
                <w:szCs w:val="20"/>
              </w:rPr>
            </w:pPr>
            <w:r w:rsidRPr="00726CAD">
              <w:rPr>
                <w:sz w:val="20"/>
                <w:szCs w:val="20"/>
              </w:rPr>
              <w:t>Visual inventory of home by Field Interviewer</w:t>
            </w:r>
          </w:p>
        </w:tc>
        <w:tc>
          <w:tcPr>
            <w:tcW w:w="5130" w:type="dxa"/>
            <w:tcMar>
              <w:left w:w="72" w:type="dxa"/>
              <w:right w:w="72" w:type="dxa"/>
            </w:tcMar>
            <w:vAlign w:val="center"/>
          </w:tcPr>
          <w:p w:rsidR="000B6474" w:rsidRDefault="000B6474" w:rsidP="008B3B33">
            <w:pPr>
              <w:pStyle w:val="NoSpacing"/>
              <w:spacing w:line="240" w:lineRule="exact"/>
              <w:ind w:left="198"/>
              <w:contextualSpacing/>
              <w:rPr>
                <w:rFonts w:ascii="Times New Roman" w:hAnsi="Times New Roman" w:cs="Times New Roman"/>
                <w:sz w:val="20"/>
                <w:szCs w:val="20"/>
              </w:rPr>
            </w:pPr>
          </w:p>
          <w:p w:rsidR="00F37060" w:rsidRDefault="00F37060" w:rsidP="008B3B33">
            <w:pPr>
              <w:pStyle w:val="NoSpacing"/>
              <w:numPr>
                <w:ilvl w:val="0"/>
                <w:numId w:val="18"/>
              </w:numPr>
              <w:spacing w:line="240" w:lineRule="exact"/>
              <w:ind w:left="198" w:hanging="180"/>
              <w:contextualSpacing/>
              <w:rPr>
                <w:rFonts w:ascii="Times New Roman" w:hAnsi="Times New Roman" w:cs="Times New Roman"/>
                <w:sz w:val="20"/>
                <w:szCs w:val="20"/>
              </w:rPr>
            </w:pPr>
            <w:r w:rsidRPr="00726CAD">
              <w:rPr>
                <w:rFonts w:ascii="Times New Roman" w:hAnsi="Times New Roman" w:cs="Times New Roman"/>
                <w:sz w:val="20"/>
                <w:szCs w:val="20"/>
              </w:rPr>
              <w:t xml:space="preserve">Layout </w:t>
            </w:r>
            <w:r>
              <w:rPr>
                <w:rFonts w:ascii="Times New Roman" w:hAnsi="Times New Roman" w:cs="Times New Roman"/>
                <w:sz w:val="20"/>
                <w:szCs w:val="20"/>
              </w:rPr>
              <w:t>of home in relation to environmental surroundings (e.g., proximity to a water sources, location of private well or septic systems)</w:t>
            </w:r>
          </w:p>
          <w:p w:rsidR="00F37060" w:rsidRPr="00726CAD" w:rsidRDefault="00F37060" w:rsidP="008B3B33">
            <w:pPr>
              <w:pStyle w:val="NoSpacing"/>
              <w:spacing w:line="240" w:lineRule="exact"/>
              <w:ind w:left="198"/>
              <w:contextualSpacing/>
              <w:rPr>
                <w:rFonts w:ascii="Times New Roman" w:hAnsi="Times New Roman" w:cs="Times New Roman"/>
                <w:sz w:val="20"/>
                <w:szCs w:val="20"/>
              </w:rPr>
            </w:pPr>
          </w:p>
        </w:tc>
      </w:tr>
    </w:tbl>
    <w:p w:rsidR="004F0058" w:rsidRDefault="004F0058" w:rsidP="004F0058">
      <w:pPr>
        <w:pStyle w:val="Heading3"/>
        <w:spacing w:before="0" w:after="120"/>
        <w:rPr>
          <w:rFonts w:ascii="Calibri" w:hAnsi="Calibri" w:cs="Arial"/>
          <w:sz w:val="22"/>
          <w:szCs w:val="22"/>
        </w:rPr>
      </w:pPr>
      <w:bookmarkStart w:id="40" w:name="_Toc282617892"/>
    </w:p>
    <w:p w:rsidR="004F0058" w:rsidRDefault="004F0058" w:rsidP="004F0058">
      <w:pPr>
        <w:rPr>
          <w:b/>
        </w:rPr>
      </w:pPr>
    </w:p>
    <w:p w:rsidR="005F578E" w:rsidRDefault="007B5494" w:rsidP="005F578E">
      <w:pPr>
        <w:ind w:left="1440" w:hanging="1440"/>
        <w:jc w:val="center"/>
        <w:rPr>
          <w:b/>
        </w:rPr>
      </w:pPr>
      <w:r>
        <w:rPr>
          <w:b/>
        </w:rPr>
        <w:t>Table A-1.2</w:t>
      </w:r>
    </w:p>
    <w:p w:rsidR="004F0058" w:rsidRDefault="00D47211" w:rsidP="000B6474">
      <w:pPr>
        <w:jc w:val="center"/>
        <w:rPr>
          <w:b/>
        </w:rPr>
      </w:pPr>
      <w:r>
        <w:rPr>
          <w:b/>
        </w:rPr>
        <w:t>EI Activities Requiring Information from Property Owner or Resident</w:t>
      </w:r>
      <w:r w:rsidR="002D6CB4">
        <w:rPr>
          <w:b/>
        </w:rPr>
        <w:t xml:space="preserve"> for Biological Sampling</w:t>
      </w:r>
    </w:p>
    <w:p w:rsidR="00246A18" w:rsidRPr="009C6BC6" w:rsidRDefault="00246A18" w:rsidP="00246A18">
      <w:pPr>
        <w:ind w:left="1440" w:hanging="1440"/>
        <w:rPr>
          <w:b/>
        </w:rPr>
      </w:pPr>
    </w:p>
    <w:tbl>
      <w:tblPr>
        <w:tblStyle w:val="TableGrid"/>
        <w:tblW w:w="8910" w:type="dxa"/>
        <w:tblLayout w:type="fixed"/>
        <w:tblLook w:val="04A0" w:firstRow="1" w:lastRow="0" w:firstColumn="1" w:lastColumn="0" w:noHBand="0" w:noVBand="1"/>
      </w:tblPr>
      <w:tblGrid>
        <w:gridCol w:w="3888"/>
        <w:gridCol w:w="5022"/>
      </w:tblGrid>
      <w:tr w:rsidR="00D304A9" w:rsidRPr="002257F4" w:rsidTr="000C641F">
        <w:trPr>
          <w:trHeight w:val="737"/>
        </w:trPr>
        <w:tc>
          <w:tcPr>
            <w:tcW w:w="3888" w:type="dxa"/>
            <w:shd w:val="clear" w:color="auto" w:fill="F2F2F2" w:themeFill="background1" w:themeFillShade="F2"/>
          </w:tcPr>
          <w:p w:rsidR="000B6474" w:rsidRDefault="000B6474" w:rsidP="004F0058">
            <w:pPr>
              <w:jc w:val="center"/>
              <w:rPr>
                <w:b/>
                <w:bCs/>
              </w:rPr>
            </w:pPr>
          </w:p>
          <w:p w:rsidR="00D304A9" w:rsidRPr="002257F4" w:rsidRDefault="00D304A9" w:rsidP="004F0058">
            <w:pPr>
              <w:jc w:val="center"/>
              <w:rPr>
                <w:b/>
                <w:bCs/>
              </w:rPr>
            </w:pPr>
            <w:r>
              <w:rPr>
                <w:b/>
                <w:bCs/>
              </w:rPr>
              <w:t>Information Collection Methods</w:t>
            </w:r>
          </w:p>
        </w:tc>
        <w:tc>
          <w:tcPr>
            <w:tcW w:w="5022" w:type="dxa"/>
            <w:shd w:val="clear" w:color="auto" w:fill="F2F2F2" w:themeFill="background1" w:themeFillShade="F2"/>
          </w:tcPr>
          <w:p w:rsidR="000B6474" w:rsidRDefault="000B6474" w:rsidP="004F0058">
            <w:pPr>
              <w:jc w:val="center"/>
              <w:rPr>
                <w:b/>
                <w:bCs/>
              </w:rPr>
            </w:pPr>
          </w:p>
          <w:p w:rsidR="00D304A9" w:rsidRPr="002257F4" w:rsidRDefault="00D304A9" w:rsidP="004F0058">
            <w:pPr>
              <w:jc w:val="center"/>
              <w:rPr>
                <w:b/>
                <w:bCs/>
              </w:rPr>
            </w:pPr>
            <w:r>
              <w:rPr>
                <w:b/>
                <w:bCs/>
              </w:rPr>
              <w:t>Examples of Needed Information</w:t>
            </w:r>
          </w:p>
        </w:tc>
      </w:tr>
      <w:tr w:rsidR="005F578E" w:rsidRPr="002257F4" w:rsidTr="00C7476C">
        <w:trPr>
          <w:trHeight w:val="674"/>
        </w:trPr>
        <w:tc>
          <w:tcPr>
            <w:tcW w:w="3888" w:type="dxa"/>
            <w:vAlign w:val="center"/>
          </w:tcPr>
          <w:p w:rsidR="005F578E" w:rsidRPr="00577BBE" w:rsidRDefault="005F578E" w:rsidP="00C7476C">
            <w:pPr>
              <w:spacing w:line="240" w:lineRule="exact"/>
              <w:contextualSpacing/>
              <w:rPr>
                <w:sz w:val="20"/>
                <w:szCs w:val="20"/>
              </w:rPr>
            </w:pPr>
            <w:r>
              <w:rPr>
                <w:sz w:val="20"/>
                <w:szCs w:val="20"/>
              </w:rPr>
              <w:t xml:space="preserve">Demographic questionnaire (see Question Bank provided in </w:t>
            </w:r>
            <w:r w:rsidR="00DD42CA">
              <w:rPr>
                <w:sz w:val="20"/>
                <w:szCs w:val="20"/>
              </w:rPr>
              <w:t>Attachment 3</w:t>
            </w:r>
            <w:r>
              <w:rPr>
                <w:sz w:val="20"/>
                <w:szCs w:val="20"/>
              </w:rPr>
              <w:t xml:space="preserve"> for suggested questions – use of these questions is optional)</w:t>
            </w:r>
            <w:r w:rsidRPr="00577BBE">
              <w:rPr>
                <w:sz w:val="20"/>
                <w:szCs w:val="20"/>
              </w:rPr>
              <w:t xml:space="preserve"> </w:t>
            </w:r>
          </w:p>
        </w:tc>
        <w:tc>
          <w:tcPr>
            <w:tcW w:w="5022" w:type="dxa"/>
            <w:vAlign w:val="center"/>
          </w:tcPr>
          <w:p w:rsidR="000B6474" w:rsidRDefault="000B6474" w:rsidP="00C7476C">
            <w:pPr>
              <w:pStyle w:val="NoSpacing"/>
              <w:spacing w:line="240" w:lineRule="exact"/>
              <w:ind w:left="198"/>
              <w:contextualSpacing/>
              <w:rPr>
                <w:rFonts w:ascii="Times New Roman" w:hAnsi="Times New Roman" w:cs="Times New Roman"/>
                <w:sz w:val="20"/>
                <w:szCs w:val="20"/>
              </w:rPr>
            </w:pPr>
          </w:p>
          <w:p w:rsidR="005F578E" w:rsidRPr="00726CAD" w:rsidRDefault="005F578E" w:rsidP="00C7476C">
            <w:pPr>
              <w:pStyle w:val="NoSpacing"/>
              <w:numPr>
                <w:ilvl w:val="0"/>
                <w:numId w:val="20"/>
              </w:numPr>
              <w:spacing w:line="240" w:lineRule="exact"/>
              <w:ind w:left="198" w:hanging="180"/>
              <w:contextualSpacing/>
              <w:rPr>
                <w:rFonts w:ascii="Times New Roman" w:hAnsi="Times New Roman" w:cs="Times New Roman"/>
                <w:sz w:val="20"/>
                <w:szCs w:val="20"/>
              </w:rPr>
            </w:pPr>
            <w:r w:rsidRPr="00726CAD">
              <w:rPr>
                <w:rFonts w:ascii="Times New Roman" w:hAnsi="Times New Roman" w:cs="Times New Roman"/>
                <w:sz w:val="20"/>
                <w:szCs w:val="20"/>
              </w:rPr>
              <w:t xml:space="preserve">Demographic data and residential history </w:t>
            </w:r>
          </w:p>
          <w:p w:rsidR="005F578E" w:rsidRDefault="005F578E" w:rsidP="00C7476C">
            <w:pPr>
              <w:pStyle w:val="NoSpacing"/>
              <w:numPr>
                <w:ilvl w:val="0"/>
                <w:numId w:val="14"/>
              </w:numPr>
              <w:spacing w:line="240" w:lineRule="exact"/>
              <w:ind w:left="198" w:hanging="180"/>
              <w:contextualSpacing/>
              <w:rPr>
                <w:rFonts w:ascii="Times New Roman" w:hAnsi="Times New Roman" w:cs="Times New Roman"/>
                <w:sz w:val="20"/>
                <w:szCs w:val="20"/>
              </w:rPr>
            </w:pPr>
            <w:r>
              <w:rPr>
                <w:rFonts w:ascii="Times New Roman" w:hAnsi="Times New Roman" w:cs="Times New Roman"/>
                <w:sz w:val="20"/>
                <w:szCs w:val="20"/>
              </w:rPr>
              <w:t>Daily activities</w:t>
            </w:r>
          </w:p>
          <w:p w:rsidR="005F578E" w:rsidRDefault="005F578E" w:rsidP="00C7476C">
            <w:pPr>
              <w:pStyle w:val="NoSpacing"/>
              <w:numPr>
                <w:ilvl w:val="0"/>
                <w:numId w:val="17"/>
              </w:numPr>
              <w:spacing w:line="240" w:lineRule="exact"/>
              <w:ind w:left="198" w:hanging="180"/>
              <w:contextualSpacing/>
              <w:rPr>
                <w:rFonts w:ascii="Times New Roman" w:hAnsi="Times New Roman" w:cs="Times New Roman"/>
                <w:sz w:val="20"/>
                <w:szCs w:val="20"/>
              </w:rPr>
            </w:pPr>
            <w:r w:rsidRPr="00AF26E9">
              <w:rPr>
                <w:rFonts w:ascii="Times New Roman" w:hAnsi="Times New Roman" w:cs="Times New Roman"/>
                <w:sz w:val="20"/>
                <w:szCs w:val="20"/>
              </w:rPr>
              <w:t>Occupational history</w:t>
            </w:r>
          </w:p>
          <w:p w:rsidR="005F578E" w:rsidRPr="002275A3" w:rsidRDefault="005F578E" w:rsidP="00BB1C88">
            <w:pPr>
              <w:pStyle w:val="NoSpacing"/>
              <w:spacing w:line="240" w:lineRule="exact"/>
              <w:contextualSpacing/>
              <w:rPr>
                <w:rFonts w:ascii="Times New Roman" w:hAnsi="Times New Roman" w:cs="Times New Roman"/>
                <w:sz w:val="20"/>
                <w:szCs w:val="20"/>
              </w:rPr>
            </w:pPr>
          </w:p>
        </w:tc>
      </w:tr>
      <w:tr w:rsidR="005F578E" w:rsidRPr="002257F4" w:rsidTr="00C7476C">
        <w:trPr>
          <w:trHeight w:val="674"/>
        </w:trPr>
        <w:tc>
          <w:tcPr>
            <w:tcW w:w="3888" w:type="dxa"/>
            <w:vAlign w:val="center"/>
          </w:tcPr>
          <w:p w:rsidR="000B6474" w:rsidRDefault="000B6474" w:rsidP="00C7476C">
            <w:pPr>
              <w:spacing w:line="240" w:lineRule="exact"/>
              <w:contextualSpacing/>
              <w:rPr>
                <w:sz w:val="20"/>
                <w:szCs w:val="20"/>
              </w:rPr>
            </w:pPr>
          </w:p>
          <w:p w:rsidR="005F578E" w:rsidRDefault="005F578E" w:rsidP="00C7476C">
            <w:pPr>
              <w:spacing w:line="240" w:lineRule="exact"/>
              <w:contextualSpacing/>
              <w:rPr>
                <w:sz w:val="20"/>
                <w:szCs w:val="20"/>
              </w:rPr>
            </w:pPr>
            <w:r>
              <w:rPr>
                <w:sz w:val="20"/>
                <w:szCs w:val="20"/>
              </w:rPr>
              <w:t xml:space="preserve">Household questionnaire (see Question Bank provided in </w:t>
            </w:r>
            <w:r w:rsidR="00DD42CA">
              <w:rPr>
                <w:sz w:val="20"/>
                <w:szCs w:val="20"/>
              </w:rPr>
              <w:t>Attachment 3</w:t>
            </w:r>
            <w:r>
              <w:rPr>
                <w:sz w:val="20"/>
                <w:szCs w:val="20"/>
              </w:rPr>
              <w:t xml:space="preserve"> for suggested questions – use of these questions is optional)</w:t>
            </w:r>
          </w:p>
          <w:p w:rsidR="000B6474" w:rsidRPr="00726CAD" w:rsidRDefault="000B6474" w:rsidP="00C7476C">
            <w:pPr>
              <w:spacing w:line="240" w:lineRule="exact"/>
              <w:contextualSpacing/>
              <w:rPr>
                <w:sz w:val="20"/>
                <w:szCs w:val="20"/>
              </w:rPr>
            </w:pPr>
          </w:p>
        </w:tc>
        <w:tc>
          <w:tcPr>
            <w:tcW w:w="5022" w:type="dxa"/>
            <w:vAlign w:val="center"/>
          </w:tcPr>
          <w:p w:rsidR="000B6474" w:rsidRDefault="000B6474" w:rsidP="00C7476C">
            <w:pPr>
              <w:pStyle w:val="NoSpacing"/>
              <w:spacing w:line="240" w:lineRule="exact"/>
              <w:ind w:left="198"/>
              <w:contextualSpacing/>
              <w:rPr>
                <w:rFonts w:ascii="Times New Roman" w:hAnsi="Times New Roman" w:cs="Times New Roman"/>
                <w:sz w:val="20"/>
                <w:szCs w:val="20"/>
              </w:rPr>
            </w:pPr>
          </w:p>
          <w:p w:rsidR="005F578E" w:rsidRDefault="000B6474" w:rsidP="00C7476C">
            <w:pPr>
              <w:pStyle w:val="NoSpacing"/>
              <w:numPr>
                <w:ilvl w:val="0"/>
                <w:numId w:val="18"/>
              </w:numPr>
              <w:spacing w:line="240" w:lineRule="exact"/>
              <w:ind w:left="198" w:hanging="180"/>
              <w:contextualSpacing/>
              <w:rPr>
                <w:rFonts w:ascii="Times New Roman" w:hAnsi="Times New Roman" w:cs="Times New Roman"/>
                <w:sz w:val="20"/>
                <w:szCs w:val="20"/>
              </w:rPr>
            </w:pPr>
            <w:r>
              <w:rPr>
                <w:rFonts w:ascii="Times New Roman" w:hAnsi="Times New Roman" w:cs="Times New Roman"/>
                <w:sz w:val="20"/>
                <w:szCs w:val="20"/>
              </w:rPr>
              <w:t>I</w:t>
            </w:r>
            <w:r w:rsidR="005F578E">
              <w:rPr>
                <w:rFonts w:ascii="Times New Roman" w:hAnsi="Times New Roman" w:cs="Times New Roman"/>
                <w:sz w:val="20"/>
                <w:szCs w:val="20"/>
              </w:rPr>
              <w:t>ndoor home heating fuel</w:t>
            </w:r>
          </w:p>
          <w:p w:rsidR="005F578E" w:rsidRDefault="005F578E" w:rsidP="00C7476C">
            <w:pPr>
              <w:pStyle w:val="NoSpacing"/>
              <w:numPr>
                <w:ilvl w:val="0"/>
                <w:numId w:val="18"/>
              </w:numPr>
              <w:spacing w:line="240" w:lineRule="exact"/>
              <w:ind w:left="198" w:hanging="180"/>
              <w:contextualSpacing/>
              <w:rPr>
                <w:rFonts w:ascii="Times New Roman" w:hAnsi="Times New Roman" w:cs="Times New Roman"/>
                <w:sz w:val="20"/>
                <w:szCs w:val="20"/>
              </w:rPr>
            </w:pPr>
            <w:r>
              <w:rPr>
                <w:rFonts w:ascii="Times New Roman" w:hAnsi="Times New Roman" w:cs="Times New Roman"/>
                <w:sz w:val="20"/>
                <w:szCs w:val="20"/>
              </w:rPr>
              <w:t>Water source, and household filtration system</w:t>
            </w:r>
          </w:p>
          <w:p w:rsidR="005F578E" w:rsidRDefault="005F578E" w:rsidP="00C7476C">
            <w:pPr>
              <w:pStyle w:val="NoSpacing"/>
              <w:numPr>
                <w:ilvl w:val="0"/>
                <w:numId w:val="18"/>
              </w:numPr>
              <w:spacing w:line="240" w:lineRule="exact"/>
              <w:ind w:left="198" w:hanging="180"/>
              <w:contextualSpacing/>
              <w:rPr>
                <w:rFonts w:ascii="Times New Roman" w:hAnsi="Times New Roman" w:cs="Times New Roman"/>
                <w:sz w:val="20"/>
                <w:szCs w:val="20"/>
              </w:rPr>
            </w:pPr>
            <w:r>
              <w:rPr>
                <w:rFonts w:ascii="Times New Roman" w:hAnsi="Times New Roman" w:cs="Times New Roman"/>
                <w:sz w:val="20"/>
                <w:szCs w:val="20"/>
              </w:rPr>
              <w:t>VOC storage</w:t>
            </w:r>
          </w:p>
          <w:p w:rsidR="005F578E" w:rsidRPr="00726CAD" w:rsidRDefault="005F578E" w:rsidP="00C7476C">
            <w:pPr>
              <w:pStyle w:val="NoSpacing"/>
              <w:spacing w:line="240" w:lineRule="exact"/>
              <w:ind w:left="198"/>
              <w:contextualSpacing/>
              <w:rPr>
                <w:rFonts w:ascii="Times New Roman" w:hAnsi="Times New Roman" w:cs="Times New Roman"/>
                <w:sz w:val="20"/>
                <w:szCs w:val="20"/>
              </w:rPr>
            </w:pPr>
          </w:p>
        </w:tc>
      </w:tr>
      <w:tr w:rsidR="005F578E" w:rsidRPr="002257F4" w:rsidTr="00C7476C">
        <w:trPr>
          <w:trHeight w:val="674"/>
        </w:trPr>
        <w:tc>
          <w:tcPr>
            <w:tcW w:w="3888" w:type="dxa"/>
            <w:vAlign w:val="center"/>
          </w:tcPr>
          <w:p w:rsidR="005F578E" w:rsidRPr="00726CAD" w:rsidRDefault="005F578E" w:rsidP="00C7476C">
            <w:pPr>
              <w:spacing w:line="240" w:lineRule="exact"/>
              <w:contextualSpacing/>
              <w:rPr>
                <w:sz w:val="20"/>
                <w:szCs w:val="20"/>
              </w:rPr>
            </w:pPr>
            <w:r w:rsidRPr="00726CAD">
              <w:rPr>
                <w:sz w:val="20"/>
                <w:szCs w:val="20"/>
              </w:rPr>
              <w:t>Visual inventory of home by Field Interviewer</w:t>
            </w:r>
          </w:p>
        </w:tc>
        <w:tc>
          <w:tcPr>
            <w:tcW w:w="5022" w:type="dxa"/>
            <w:vAlign w:val="center"/>
          </w:tcPr>
          <w:p w:rsidR="008B3B33" w:rsidRDefault="008B3B33" w:rsidP="008B3B33">
            <w:pPr>
              <w:pStyle w:val="NoSpacing"/>
              <w:spacing w:line="240" w:lineRule="exact"/>
              <w:ind w:left="198"/>
              <w:contextualSpacing/>
              <w:rPr>
                <w:rFonts w:ascii="Times New Roman" w:hAnsi="Times New Roman" w:cs="Times New Roman"/>
                <w:sz w:val="20"/>
                <w:szCs w:val="20"/>
              </w:rPr>
            </w:pPr>
          </w:p>
          <w:p w:rsidR="005F578E" w:rsidRDefault="005F578E" w:rsidP="008B3B33">
            <w:pPr>
              <w:pStyle w:val="NoSpacing"/>
              <w:numPr>
                <w:ilvl w:val="0"/>
                <w:numId w:val="18"/>
              </w:numPr>
              <w:spacing w:line="240" w:lineRule="exact"/>
              <w:ind w:left="198" w:hanging="180"/>
              <w:contextualSpacing/>
              <w:rPr>
                <w:rFonts w:ascii="Times New Roman" w:hAnsi="Times New Roman" w:cs="Times New Roman"/>
                <w:sz w:val="20"/>
                <w:szCs w:val="20"/>
              </w:rPr>
            </w:pPr>
            <w:r w:rsidRPr="00726CAD">
              <w:rPr>
                <w:rFonts w:ascii="Times New Roman" w:hAnsi="Times New Roman" w:cs="Times New Roman"/>
                <w:sz w:val="20"/>
                <w:szCs w:val="20"/>
              </w:rPr>
              <w:t xml:space="preserve">Layout </w:t>
            </w:r>
            <w:r>
              <w:rPr>
                <w:rFonts w:ascii="Times New Roman" w:hAnsi="Times New Roman" w:cs="Times New Roman"/>
                <w:sz w:val="20"/>
                <w:szCs w:val="20"/>
              </w:rPr>
              <w:t>of home in relation to environmental surroundings (e.g., proximity to a water sources, location of private well or septic systems)</w:t>
            </w:r>
          </w:p>
          <w:p w:rsidR="008B3B33" w:rsidRPr="008B3B33" w:rsidRDefault="008B3B33" w:rsidP="008B3B33">
            <w:pPr>
              <w:pStyle w:val="NoSpacing"/>
              <w:spacing w:line="240" w:lineRule="exact"/>
              <w:ind w:left="198"/>
              <w:contextualSpacing/>
              <w:rPr>
                <w:rFonts w:ascii="Times New Roman" w:hAnsi="Times New Roman" w:cs="Times New Roman"/>
                <w:sz w:val="20"/>
                <w:szCs w:val="20"/>
              </w:rPr>
            </w:pPr>
          </w:p>
        </w:tc>
      </w:tr>
      <w:tr w:rsidR="005F578E" w:rsidRPr="002257F4" w:rsidTr="00C7476C">
        <w:trPr>
          <w:trHeight w:val="674"/>
        </w:trPr>
        <w:tc>
          <w:tcPr>
            <w:tcW w:w="3888" w:type="dxa"/>
            <w:vAlign w:val="center"/>
          </w:tcPr>
          <w:p w:rsidR="005F578E" w:rsidRPr="00CC1289" w:rsidRDefault="00944D45" w:rsidP="00C7476C">
            <w:pPr>
              <w:rPr>
                <w:sz w:val="20"/>
                <w:szCs w:val="20"/>
              </w:rPr>
            </w:pPr>
            <w:r w:rsidRPr="00CC1289">
              <w:rPr>
                <w:sz w:val="20"/>
                <w:szCs w:val="20"/>
              </w:rPr>
              <w:t xml:space="preserve">Biological sampling </w:t>
            </w:r>
            <w:r w:rsidR="005F578E" w:rsidRPr="00CC1289">
              <w:rPr>
                <w:sz w:val="20"/>
                <w:szCs w:val="20"/>
              </w:rPr>
              <w:t>of participant by appropriate health professional</w:t>
            </w:r>
          </w:p>
        </w:tc>
        <w:tc>
          <w:tcPr>
            <w:tcW w:w="5022" w:type="dxa"/>
            <w:vAlign w:val="center"/>
          </w:tcPr>
          <w:p w:rsidR="00944D45" w:rsidRPr="00CC1289" w:rsidRDefault="00944D45" w:rsidP="00C7476C">
            <w:pPr>
              <w:pStyle w:val="NoSpacing"/>
              <w:spacing w:line="240" w:lineRule="exact"/>
              <w:ind w:left="198"/>
              <w:contextualSpacing/>
              <w:rPr>
                <w:rFonts w:ascii="Times New Roman" w:hAnsi="Times New Roman" w:cs="Times New Roman"/>
                <w:sz w:val="20"/>
                <w:szCs w:val="20"/>
              </w:rPr>
            </w:pPr>
          </w:p>
          <w:p w:rsidR="005F578E" w:rsidRPr="00CC1289" w:rsidRDefault="005F578E" w:rsidP="00C7476C">
            <w:pPr>
              <w:pStyle w:val="NoSpacing"/>
              <w:numPr>
                <w:ilvl w:val="0"/>
                <w:numId w:val="15"/>
              </w:numPr>
              <w:spacing w:line="240" w:lineRule="exact"/>
              <w:ind w:left="198" w:hanging="180"/>
              <w:contextualSpacing/>
              <w:rPr>
                <w:rFonts w:ascii="Times New Roman" w:hAnsi="Times New Roman" w:cs="Times New Roman"/>
                <w:sz w:val="20"/>
                <w:szCs w:val="20"/>
              </w:rPr>
            </w:pPr>
            <w:r w:rsidRPr="00CC1289">
              <w:rPr>
                <w:rFonts w:ascii="Times New Roman" w:hAnsi="Times New Roman" w:cs="Times New Roman"/>
                <w:sz w:val="20"/>
                <w:szCs w:val="20"/>
              </w:rPr>
              <w:t>Height and weight</w:t>
            </w:r>
          </w:p>
          <w:p w:rsidR="005F578E" w:rsidRPr="00CC1289" w:rsidRDefault="005F578E" w:rsidP="00C7476C">
            <w:pPr>
              <w:pStyle w:val="NoSpacing"/>
              <w:numPr>
                <w:ilvl w:val="0"/>
                <w:numId w:val="16"/>
              </w:numPr>
              <w:spacing w:line="240" w:lineRule="exact"/>
              <w:ind w:left="198" w:hanging="180"/>
              <w:contextualSpacing/>
              <w:rPr>
                <w:rFonts w:ascii="Times New Roman" w:hAnsi="Times New Roman" w:cs="Times New Roman"/>
                <w:sz w:val="20"/>
                <w:szCs w:val="20"/>
              </w:rPr>
            </w:pPr>
            <w:r w:rsidRPr="00CC1289">
              <w:rPr>
                <w:rFonts w:ascii="Times New Roman" w:hAnsi="Times New Roman" w:cs="Times New Roman"/>
                <w:sz w:val="20"/>
                <w:szCs w:val="20"/>
              </w:rPr>
              <w:t>Urine sample collected for biological indicators or specific environmental contaminants</w:t>
            </w:r>
          </w:p>
          <w:p w:rsidR="00BB1C88" w:rsidRDefault="00BB1C88" w:rsidP="00C7476C">
            <w:pPr>
              <w:numPr>
                <w:ilvl w:val="0"/>
                <w:numId w:val="20"/>
              </w:numPr>
              <w:ind w:left="136" w:hanging="136"/>
              <w:rPr>
                <w:sz w:val="20"/>
                <w:szCs w:val="20"/>
              </w:rPr>
            </w:pPr>
            <w:r>
              <w:rPr>
                <w:sz w:val="20"/>
                <w:szCs w:val="20"/>
              </w:rPr>
              <w:t xml:space="preserve"> </w:t>
            </w:r>
            <w:r w:rsidR="005F578E" w:rsidRPr="00CC1289">
              <w:rPr>
                <w:sz w:val="20"/>
                <w:szCs w:val="20"/>
              </w:rPr>
              <w:t>Blood specimen collecte</w:t>
            </w:r>
            <w:r>
              <w:rPr>
                <w:sz w:val="20"/>
                <w:szCs w:val="20"/>
              </w:rPr>
              <w:t>d for biological indicators or</w:t>
            </w:r>
          </w:p>
          <w:p w:rsidR="005F578E" w:rsidRPr="00CC1289" w:rsidRDefault="005F578E" w:rsidP="00BB1C88">
            <w:pPr>
              <w:ind w:left="162" w:hanging="26"/>
              <w:rPr>
                <w:sz w:val="20"/>
                <w:szCs w:val="20"/>
              </w:rPr>
            </w:pPr>
            <w:r w:rsidRPr="00CC1289">
              <w:rPr>
                <w:sz w:val="20"/>
                <w:szCs w:val="20"/>
              </w:rPr>
              <w:t>specific environmental contaminants</w:t>
            </w:r>
          </w:p>
          <w:p w:rsidR="00944D45" w:rsidRPr="00CC1289" w:rsidRDefault="00944D45" w:rsidP="00C7476C">
            <w:pPr>
              <w:ind w:left="136"/>
              <w:rPr>
                <w:sz w:val="20"/>
                <w:szCs w:val="20"/>
              </w:rPr>
            </w:pPr>
          </w:p>
        </w:tc>
      </w:tr>
      <w:tr w:rsidR="00C7476C" w:rsidRPr="002257F4" w:rsidTr="00C7476C">
        <w:trPr>
          <w:trHeight w:val="674"/>
        </w:trPr>
        <w:tc>
          <w:tcPr>
            <w:tcW w:w="3888" w:type="dxa"/>
            <w:vAlign w:val="center"/>
          </w:tcPr>
          <w:p w:rsidR="00C7476C" w:rsidRPr="00874CBF" w:rsidRDefault="00CC1289" w:rsidP="00C7476C">
            <w:pPr>
              <w:rPr>
                <w:sz w:val="20"/>
                <w:szCs w:val="20"/>
              </w:rPr>
            </w:pPr>
            <w:r w:rsidRPr="00874CBF">
              <w:rPr>
                <w:sz w:val="20"/>
                <w:szCs w:val="20"/>
              </w:rPr>
              <w:t xml:space="preserve">Symptom or medical information questionnaire </w:t>
            </w:r>
            <w:r w:rsidR="002D6888">
              <w:rPr>
                <w:sz w:val="20"/>
                <w:szCs w:val="20"/>
              </w:rPr>
              <w:t xml:space="preserve">(see Question Bank provided in </w:t>
            </w:r>
            <w:r w:rsidR="00DD42CA">
              <w:rPr>
                <w:sz w:val="20"/>
                <w:szCs w:val="20"/>
              </w:rPr>
              <w:t>Attachment 3</w:t>
            </w:r>
            <w:r w:rsidR="002D6888">
              <w:rPr>
                <w:sz w:val="20"/>
                <w:szCs w:val="20"/>
              </w:rPr>
              <w:t xml:space="preserve"> for suggested questions – use of these questions is optional)</w:t>
            </w:r>
          </w:p>
        </w:tc>
        <w:tc>
          <w:tcPr>
            <w:tcW w:w="5022" w:type="dxa"/>
            <w:vAlign w:val="center"/>
          </w:tcPr>
          <w:p w:rsidR="00C7476C" w:rsidRPr="00874CBF" w:rsidRDefault="00CC1289" w:rsidP="006E3A77">
            <w:pPr>
              <w:pStyle w:val="NoSpacing"/>
              <w:spacing w:line="240" w:lineRule="exact"/>
              <w:ind w:left="162" w:hanging="162"/>
              <w:contextualSpacing/>
              <w:rPr>
                <w:rFonts w:ascii="Times New Roman" w:hAnsi="Times New Roman" w:cs="Times New Roman"/>
                <w:sz w:val="20"/>
                <w:szCs w:val="20"/>
              </w:rPr>
            </w:pPr>
            <w:r w:rsidRPr="00874CBF">
              <w:rPr>
                <w:rFonts w:ascii="Times New Roman" w:hAnsi="Times New Roman" w:cs="Times New Roman"/>
                <w:sz w:val="20"/>
                <w:szCs w:val="20"/>
              </w:rPr>
              <w:t xml:space="preserve">- </w:t>
            </w:r>
            <w:r w:rsidR="00050D0E" w:rsidRPr="00874CBF">
              <w:rPr>
                <w:rFonts w:ascii="Times New Roman" w:hAnsi="Times New Roman" w:cs="Times New Roman"/>
                <w:sz w:val="20"/>
                <w:szCs w:val="20"/>
              </w:rPr>
              <w:t xml:space="preserve"> </w:t>
            </w:r>
            <w:r w:rsidRPr="00874CBF">
              <w:rPr>
                <w:rFonts w:ascii="Times New Roman" w:hAnsi="Times New Roman" w:cs="Times New Roman"/>
                <w:sz w:val="20"/>
                <w:szCs w:val="20"/>
              </w:rPr>
              <w:t>Symptom or medical information related to exposure of interest</w:t>
            </w:r>
          </w:p>
        </w:tc>
      </w:tr>
    </w:tbl>
    <w:p w:rsidR="00841619" w:rsidRDefault="00841619" w:rsidP="004F0058">
      <w:pPr>
        <w:pStyle w:val="Heading3"/>
        <w:spacing w:after="120"/>
        <w:rPr>
          <w:rFonts w:ascii="Times New Roman" w:hAnsi="Times New Roman" w:cs="Times New Roman"/>
          <w:color w:val="auto"/>
          <w:sz w:val="22"/>
          <w:szCs w:val="22"/>
        </w:rPr>
      </w:pPr>
    </w:p>
    <w:p w:rsidR="004F0058" w:rsidRPr="00B27C47" w:rsidRDefault="004F0058" w:rsidP="004F0058">
      <w:pPr>
        <w:pStyle w:val="Heading3"/>
        <w:spacing w:after="120"/>
        <w:rPr>
          <w:rFonts w:ascii="Times New Roman" w:hAnsi="Times New Roman" w:cs="Times New Roman"/>
          <w:color w:val="0070C0"/>
          <w:sz w:val="22"/>
          <w:szCs w:val="22"/>
        </w:rPr>
      </w:pPr>
      <w:bookmarkStart w:id="41" w:name="_Toc351620197"/>
      <w:r w:rsidRPr="00B27C47">
        <w:rPr>
          <w:rFonts w:ascii="Times New Roman" w:hAnsi="Times New Roman" w:cs="Times New Roman"/>
          <w:color w:val="0070C0"/>
          <w:sz w:val="22"/>
          <w:szCs w:val="22"/>
        </w:rPr>
        <w:t>Identification of Website(s) and Website Content Directed at Children Under 13 Years of Age</w:t>
      </w:r>
      <w:bookmarkEnd w:id="40"/>
      <w:bookmarkEnd w:id="41"/>
    </w:p>
    <w:p w:rsidR="00CE0CFF" w:rsidRDefault="00CE0CFF" w:rsidP="00CE0CFF">
      <w:pPr>
        <w:tabs>
          <w:tab w:val="left" w:pos="1545"/>
        </w:tabs>
      </w:pPr>
      <w:r>
        <w:t>There are no web sites related to Exposure Investigations for children under 13 years of age.</w:t>
      </w:r>
    </w:p>
    <w:p w:rsidR="00B27C47" w:rsidRDefault="00B27C47" w:rsidP="00186982">
      <w:pPr>
        <w:pStyle w:val="Heading2"/>
      </w:pPr>
    </w:p>
    <w:p w:rsidR="00067EF1" w:rsidRPr="003E4C15" w:rsidRDefault="00067EF1" w:rsidP="00186982">
      <w:pPr>
        <w:pStyle w:val="Heading2"/>
      </w:pPr>
      <w:bookmarkStart w:id="42" w:name="_Toc351620198"/>
      <w:r w:rsidRPr="003E4C15">
        <w:t>A.2 Purpose and Use of Information</w:t>
      </w:r>
      <w:bookmarkEnd w:id="25"/>
      <w:bookmarkEnd w:id="26"/>
      <w:bookmarkEnd w:id="27"/>
      <w:bookmarkEnd w:id="28"/>
      <w:bookmarkEnd w:id="29"/>
      <w:bookmarkEnd w:id="30"/>
      <w:bookmarkEnd w:id="31"/>
      <w:bookmarkEnd w:id="32"/>
      <w:bookmarkEnd w:id="33"/>
      <w:r w:rsidR="00186982">
        <w:t xml:space="preserve"> Collection</w:t>
      </w:r>
      <w:bookmarkEnd w:id="42"/>
    </w:p>
    <w:p w:rsidR="0068197A" w:rsidRPr="002D0805" w:rsidRDefault="0068197A" w:rsidP="002F40AB">
      <w:pPr>
        <w:autoSpaceDE w:val="0"/>
        <w:autoSpaceDN w:val="0"/>
        <w:adjustRightInd w:val="0"/>
      </w:pPr>
    </w:p>
    <w:p w:rsidR="00154C0F" w:rsidRDefault="0075380A" w:rsidP="00154C0F">
      <w:pPr>
        <w:tabs>
          <w:tab w:val="left" w:pos="1545"/>
        </w:tabs>
      </w:pPr>
      <w:r>
        <w:t>Section A.</w:t>
      </w:r>
      <w:r w:rsidR="00F31C3D">
        <w:t>1.1</w:t>
      </w:r>
      <w:r>
        <w:t>, Overview of the</w:t>
      </w:r>
      <w:r w:rsidR="00F31C3D">
        <w:t xml:space="preserve"> Collection System, provides information on the </w:t>
      </w:r>
      <w:r w:rsidR="000A32C4">
        <w:t>data collection procedures that will be used in the EI p</w:t>
      </w:r>
      <w:r w:rsidR="00096C93">
        <w:t xml:space="preserve">rocess. </w:t>
      </w:r>
      <w:r w:rsidR="00F31C3D">
        <w:t>Data</w:t>
      </w:r>
      <w:r>
        <w:t xml:space="preserve"> </w:t>
      </w:r>
      <w:r w:rsidR="0070071C">
        <w:t xml:space="preserve">from </w:t>
      </w:r>
      <w:r w:rsidR="00154C0F" w:rsidRPr="00C91A37">
        <w:t>ATSDR’s EI reports are used by public health professionals, environmental risk managers, and other decision makers to determine if current conditions warrant additional sampling or intervention to minimize or eliminate human exposure. They can also be useful in determining the source and extent of the exposures. After an environmental cleanup or other intervention to reduce exposure is completed, EIs can be useful in assessing the effectiveness of those actions. For past and future exposures, EIs can use exposure-dose reconstruction analysis (environmental sampling information and computer models) to estimate the contaminant levels that people may have been exposed to in the past or may be exposed to in the future.</w:t>
      </w:r>
    </w:p>
    <w:p w:rsidR="00CE0CFF" w:rsidRDefault="00CE0CFF" w:rsidP="00CE0CFF">
      <w:pPr>
        <w:tabs>
          <w:tab w:val="left" w:pos="1545"/>
        </w:tabs>
      </w:pPr>
    </w:p>
    <w:p w:rsidR="00375D68" w:rsidRDefault="00CC797F" w:rsidP="00375D68">
      <w:pPr>
        <w:autoSpaceDE w:val="0"/>
        <w:autoSpaceDN w:val="0"/>
        <w:adjustRightInd w:val="0"/>
      </w:pPr>
      <w:r>
        <w:t>ATSDR</w:t>
      </w:r>
      <w:r w:rsidR="00375D68">
        <w:t xml:space="preserve"> will produce needed information regarding important state and local public health issues to support public health action.  Further, </w:t>
      </w:r>
      <w:r>
        <w:t>ATSDR</w:t>
      </w:r>
      <w:r w:rsidR="00375D68">
        <w:t xml:space="preserve"> expects to use these findings to improve our understanding of the public health impacts posed by environmental contaminants so that public health interventions may be implemented as quickly as possible.  </w:t>
      </w:r>
      <w:r w:rsidR="008553BA">
        <w:t xml:space="preserve">The results of the EI are </w:t>
      </w:r>
      <w:r w:rsidR="00096C93">
        <w:t xml:space="preserve">generally </w:t>
      </w:r>
      <w:r w:rsidR="008553BA">
        <w:t xml:space="preserve">not generalizable and are applicable only to the sampled participants.  </w:t>
      </w:r>
    </w:p>
    <w:p w:rsidR="00A448B8" w:rsidRDefault="00A448B8" w:rsidP="005B4ECC">
      <w:pPr>
        <w:autoSpaceDE w:val="0"/>
        <w:autoSpaceDN w:val="0"/>
        <w:adjustRightInd w:val="0"/>
      </w:pPr>
    </w:p>
    <w:p w:rsidR="0004143B" w:rsidRDefault="00A821CE" w:rsidP="0004143B">
      <w:pPr>
        <w:autoSpaceDE w:val="0"/>
        <w:autoSpaceDN w:val="0"/>
        <w:adjustRightInd w:val="0"/>
      </w:pPr>
      <w:r>
        <w:t xml:space="preserve">EIs </w:t>
      </w:r>
      <w:r w:rsidR="002F6358">
        <w:t xml:space="preserve">can </w:t>
      </w:r>
      <w:r>
        <w:t>involve environmental sampling (e.g., air, water, soil, or food), bio</w:t>
      </w:r>
      <w:r w:rsidR="00340F43">
        <w:t>logical sampling</w:t>
      </w:r>
      <w:r>
        <w:t xml:space="preserve"> (e.g., urine, blood, hair samples)</w:t>
      </w:r>
      <w:r w:rsidR="00895579">
        <w:t xml:space="preserve"> or</w:t>
      </w:r>
      <w:r>
        <w:t xml:space="preserve"> both. Standard air modeling to augment environmental data </w:t>
      </w:r>
      <w:r w:rsidR="00416587">
        <w:t>also been conducted for</w:t>
      </w:r>
      <w:r>
        <w:t xml:space="preserve"> EIs. The number of participants in an individual EI generally ranges from </w:t>
      </w:r>
      <w:r w:rsidRPr="0095303B">
        <w:rPr>
          <w:color w:val="000000"/>
        </w:rPr>
        <w:t>10 to 100.</w:t>
      </w:r>
    </w:p>
    <w:p w:rsidR="00EF550C" w:rsidRDefault="00EF550C" w:rsidP="00A821CE">
      <w:pPr>
        <w:tabs>
          <w:tab w:val="left" w:pos="1545"/>
        </w:tabs>
      </w:pPr>
    </w:p>
    <w:p w:rsidR="00A821CE" w:rsidRDefault="00EF550C" w:rsidP="00A821CE">
      <w:pPr>
        <w:tabs>
          <w:tab w:val="left" w:pos="1545"/>
        </w:tabs>
      </w:pPr>
      <w:r>
        <w:t xml:space="preserve">Where needed, </w:t>
      </w:r>
      <w:r w:rsidR="002F269E">
        <w:t>questions</w:t>
      </w:r>
      <w:r>
        <w:t xml:space="preserve"> will be developed for the purpose of gathering information </w:t>
      </w:r>
      <w:r w:rsidR="002F269E">
        <w:t xml:space="preserve">for the EI </w:t>
      </w:r>
      <w:r>
        <w:t>to assess environmental exposures</w:t>
      </w:r>
      <w:r w:rsidR="003D5009" w:rsidRPr="003D5009">
        <w:t xml:space="preserve"> </w:t>
      </w:r>
      <w:r w:rsidR="003D5009">
        <w:t xml:space="preserve">(Tables A.1-1 and A.1-2). </w:t>
      </w:r>
      <w:r w:rsidR="00A821CE">
        <w:t xml:space="preserve">In deciding where and from whom to gather information, ATSDR considers the following: </w:t>
      </w:r>
    </w:p>
    <w:p w:rsidR="00375D68" w:rsidRDefault="00375D68" w:rsidP="00A821CE">
      <w:pPr>
        <w:tabs>
          <w:tab w:val="left" w:pos="1545"/>
        </w:tabs>
      </w:pPr>
    </w:p>
    <w:p w:rsidR="00A821CE" w:rsidRDefault="00A821CE" w:rsidP="001116DC">
      <w:pPr>
        <w:numPr>
          <w:ilvl w:val="0"/>
          <w:numId w:val="34"/>
        </w:numPr>
        <w:tabs>
          <w:tab w:val="left" w:pos="1545"/>
        </w:tabs>
      </w:pPr>
      <w:r>
        <w:t xml:space="preserve">Can we test the most </w:t>
      </w:r>
      <w:r w:rsidR="008553BA">
        <w:t xml:space="preserve">appropriate and </w:t>
      </w:r>
      <w:r>
        <w:t>highly exposed</w:t>
      </w:r>
      <w:r w:rsidR="008553BA">
        <w:t xml:space="preserve"> population</w:t>
      </w:r>
      <w:r>
        <w:t xml:space="preserve">?  </w:t>
      </w:r>
    </w:p>
    <w:p w:rsidR="005A68D5" w:rsidRDefault="000F3C1B" w:rsidP="00A821CE">
      <w:pPr>
        <w:numPr>
          <w:ilvl w:val="0"/>
          <w:numId w:val="34"/>
        </w:numPr>
        <w:tabs>
          <w:tab w:val="left" w:pos="1545"/>
        </w:tabs>
      </w:pPr>
      <w:r>
        <w:t xml:space="preserve">Can we identify vulnerable </w:t>
      </w:r>
      <w:r w:rsidR="00A821CE">
        <w:t>populations</w:t>
      </w:r>
      <w:r w:rsidR="00C06A2E">
        <w:t>, including children or those more susceptible to specific contaminants</w:t>
      </w:r>
      <w:r w:rsidR="005A68D5">
        <w:t>?</w:t>
      </w:r>
      <w:r w:rsidR="00A821CE">
        <w:t xml:space="preserve"> </w:t>
      </w:r>
    </w:p>
    <w:p w:rsidR="00A821CE" w:rsidRDefault="005A68D5" w:rsidP="00A821CE">
      <w:pPr>
        <w:numPr>
          <w:ilvl w:val="0"/>
          <w:numId w:val="34"/>
        </w:numPr>
        <w:tabs>
          <w:tab w:val="left" w:pos="1545"/>
        </w:tabs>
      </w:pPr>
      <w:r>
        <w:t>S</w:t>
      </w:r>
      <w:r w:rsidR="00A821CE">
        <w:t xml:space="preserve">hould we </w:t>
      </w:r>
      <w:r w:rsidR="00841619">
        <w:t>test</w:t>
      </w:r>
      <w:r w:rsidR="00A821CE">
        <w:t xml:space="preserve"> children and other sensitive populations?   For example, it </w:t>
      </w:r>
      <w:r w:rsidR="00C81483">
        <w:t>may not be appropriate</w:t>
      </w:r>
      <w:r w:rsidR="00A821CE">
        <w:t xml:space="preserve"> to collect the required sample (70</w:t>
      </w:r>
      <w:r w:rsidR="00025B51">
        <w:t>-</w:t>
      </w:r>
      <w:r w:rsidR="00A821CE">
        <w:t xml:space="preserve">ml blood) for dioxins from a small child, pregnant woman, or an anemic </w:t>
      </w:r>
      <w:r w:rsidR="004311D8">
        <w:t xml:space="preserve">or underweight </w:t>
      </w:r>
      <w:r w:rsidR="00A821CE">
        <w:t>person.</w:t>
      </w:r>
    </w:p>
    <w:p w:rsidR="00A821CE" w:rsidRDefault="00A821CE" w:rsidP="00A821CE">
      <w:pPr>
        <w:numPr>
          <w:ilvl w:val="0"/>
          <w:numId w:val="34"/>
        </w:numPr>
        <w:tabs>
          <w:tab w:val="left" w:pos="1545"/>
        </w:tabs>
      </w:pPr>
      <w:r>
        <w:t xml:space="preserve">If we do pre- and post-testing to check intervention </w:t>
      </w:r>
      <w:r w:rsidR="009F3DD8">
        <w:t xml:space="preserve">or environmental remediation </w:t>
      </w:r>
      <w:r>
        <w:t>effectiveness, how will participants be selected if the original participants are not available?</w:t>
      </w:r>
    </w:p>
    <w:p w:rsidR="00A821CE" w:rsidRDefault="00A821CE" w:rsidP="00A821CE">
      <w:pPr>
        <w:tabs>
          <w:tab w:val="left" w:pos="1545"/>
        </w:tabs>
        <w:rPr>
          <w:bCs/>
        </w:rPr>
      </w:pPr>
    </w:p>
    <w:p w:rsidR="000128D8" w:rsidRPr="001E7EE8" w:rsidRDefault="00A821CE" w:rsidP="001E7EE8">
      <w:pPr>
        <w:autoSpaceDE w:val="0"/>
        <w:autoSpaceDN w:val="0"/>
        <w:adjustRightInd w:val="0"/>
        <w:rPr>
          <w:rFonts w:ascii="Arial" w:hAnsi="Arial" w:cs="Arial"/>
          <w:sz w:val="20"/>
          <w:szCs w:val="20"/>
        </w:rPr>
      </w:pPr>
      <w:r>
        <w:rPr>
          <w:bCs/>
        </w:rPr>
        <w:t xml:space="preserve">ATSDR asks approximately 12-20 questions per investigation that are pertinent to environmental exposure. This number can vary depending on the number of chemicals being investigated, the route of exposure (breathing, eating, touching), and number of other sources of the chemical(s) (e.g., products used, jobs done). </w:t>
      </w:r>
      <w:r w:rsidR="001E7EE8">
        <w:rPr>
          <w:rFonts w:ascii="Arial" w:hAnsi="Arial" w:cs="Arial"/>
          <w:sz w:val="20"/>
          <w:szCs w:val="20"/>
        </w:rPr>
        <w:t xml:space="preserve">  </w:t>
      </w:r>
      <w:r w:rsidR="00DD42CA">
        <w:t>Attachment 3</w:t>
      </w:r>
      <w:r w:rsidR="003D5009">
        <w:t xml:space="preserve"> provide</w:t>
      </w:r>
      <w:r w:rsidR="001E7EE8">
        <w:t>s a list of</w:t>
      </w:r>
      <w:r w:rsidR="003D5009">
        <w:t xml:space="preserve"> potential questions that may be used in the EI</w:t>
      </w:r>
      <w:r w:rsidR="001E7EE8">
        <w:t>, although their use is not required</w:t>
      </w:r>
      <w:r w:rsidR="003D5009">
        <w:t>.</w:t>
      </w:r>
      <w:r w:rsidR="005B1DE2">
        <w:rPr>
          <w:bCs/>
        </w:rPr>
        <w:t xml:space="preserve"> </w:t>
      </w:r>
    </w:p>
    <w:p w:rsidR="000128D8" w:rsidRDefault="000128D8" w:rsidP="00A821CE">
      <w:pPr>
        <w:tabs>
          <w:tab w:val="left" w:pos="1545"/>
        </w:tabs>
        <w:rPr>
          <w:bCs/>
        </w:rPr>
      </w:pPr>
    </w:p>
    <w:p w:rsidR="00A821CE" w:rsidRDefault="007F7C8B" w:rsidP="00A821CE">
      <w:pPr>
        <w:tabs>
          <w:tab w:val="left" w:pos="1545"/>
        </w:tabs>
        <w:rPr>
          <w:bCs/>
        </w:rPr>
      </w:pPr>
      <w:r>
        <w:rPr>
          <w:bCs/>
        </w:rPr>
        <w:lastRenderedPageBreak/>
        <w:t>T</w:t>
      </w:r>
      <w:r w:rsidR="00A821CE">
        <w:rPr>
          <w:bCs/>
        </w:rPr>
        <w:t xml:space="preserve">opic areas for the questions </w:t>
      </w:r>
      <w:r w:rsidR="000128D8">
        <w:rPr>
          <w:bCs/>
        </w:rPr>
        <w:t xml:space="preserve">shown in </w:t>
      </w:r>
      <w:r w:rsidR="00DD42CA">
        <w:rPr>
          <w:bCs/>
        </w:rPr>
        <w:t>Attachment 3</w:t>
      </w:r>
      <w:r w:rsidR="000128D8">
        <w:rPr>
          <w:bCs/>
        </w:rPr>
        <w:t xml:space="preserve"> </w:t>
      </w:r>
      <w:r w:rsidR="00A821CE">
        <w:rPr>
          <w:bCs/>
        </w:rPr>
        <w:t>include the following:</w:t>
      </w:r>
    </w:p>
    <w:p w:rsidR="00A821CE" w:rsidRDefault="00A821CE" w:rsidP="00A821CE">
      <w:pPr>
        <w:tabs>
          <w:tab w:val="left" w:pos="1545"/>
        </w:tabs>
        <w:rPr>
          <w:bCs/>
        </w:rPr>
      </w:pPr>
    </w:p>
    <w:p w:rsidR="00A821CE" w:rsidRDefault="00A821CE" w:rsidP="00A821CE">
      <w:pPr>
        <w:rPr>
          <w:b/>
          <w:bCs/>
        </w:rPr>
      </w:pPr>
      <w:r>
        <w:rPr>
          <w:b/>
          <w:bCs/>
        </w:rPr>
        <w:t>General Information:</w:t>
      </w:r>
      <w:r>
        <w:rPr>
          <w:bCs/>
        </w:rPr>
        <w:t xml:space="preserve"> name, address, phone number, email, height, weight, age, race, ethnicity, gender</w:t>
      </w:r>
    </w:p>
    <w:p w:rsidR="00A821CE" w:rsidRDefault="00A821CE" w:rsidP="00A821CE">
      <w:pPr>
        <w:tabs>
          <w:tab w:val="left" w:pos="1545"/>
        </w:tabs>
        <w:rPr>
          <w:b/>
          <w:bCs/>
        </w:rPr>
      </w:pPr>
    </w:p>
    <w:p w:rsidR="00A821CE" w:rsidRDefault="00A821CE" w:rsidP="00A821CE">
      <w:pPr>
        <w:tabs>
          <w:tab w:val="left" w:pos="1545"/>
        </w:tabs>
        <w:rPr>
          <w:bCs/>
          <w:iCs/>
        </w:rPr>
      </w:pPr>
      <w:r>
        <w:rPr>
          <w:b/>
          <w:bCs/>
        </w:rPr>
        <w:t>Media specific:</w:t>
      </w:r>
      <w:r>
        <w:rPr>
          <w:bCs/>
        </w:rPr>
        <w:t xml:space="preserve"> </w:t>
      </w:r>
      <w:r w:rsidR="004D1612">
        <w:rPr>
          <w:bCs/>
        </w:rPr>
        <w:t xml:space="preserve">air </w:t>
      </w:r>
      <w:r>
        <w:rPr>
          <w:bCs/>
        </w:rPr>
        <w:t xml:space="preserve">(indoor/outdoor), </w:t>
      </w:r>
      <w:r w:rsidR="004D1612">
        <w:rPr>
          <w:bCs/>
        </w:rPr>
        <w:t xml:space="preserve">water </w:t>
      </w:r>
      <w:r>
        <w:rPr>
          <w:bCs/>
        </w:rPr>
        <w:t xml:space="preserve">(water source, plumbing), </w:t>
      </w:r>
      <w:r w:rsidR="004D1612">
        <w:rPr>
          <w:bCs/>
        </w:rPr>
        <w:t>soil</w:t>
      </w:r>
      <w:r>
        <w:rPr>
          <w:bCs/>
        </w:rPr>
        <w:t xml:space="preserve">, and </w:t>
      </w:r>
      <w:r w:rsidR="004D1612">
        <w:rPr>
          <w:bCs/>
        </w:rPr>
        <w:t>food</w:t>
      </w:r>
    </w:p>
    <w:p w:rsidR="00A821CE" w:rsidRDefault="00A821CE" w:rsidP="00A821CE">
      <w:pPr>
        <w:tabs>
          <w:tab w:val="left" w:pos="1545"/>
        </w:tabs>
        <w:rPr>
          <w:bCs/>
          <w:iCs/>
        </w:rPr>
      </w:pPr>
    </w:p>
    <w:p w:rsidR="00A821CE" w:rsidRDefault="00A821CE" w:rsidP="00A821CE">
      <w:pPr>
        <w:tabs>
          <w:tab w:val="left" w:pos="1545"/>
        </w:tabs>
        <w:rPr>
          <w:bCs/>
          <w:iCs/>
        </w:rPr>
      </w:pPr>
      <w:r>
        <w:rPr>
          <w:b/>
          <w:bCs/>
        </w:rPr>
        <w:t xml:space="preserve">Other sources: </w:t>
      </w:r>
      <w:r w:rsidR="004D1612">
        <w:rPr>
          <w:bCs/>
        </w:rPr>
        <w:t>occupational</w:t>
      </w:r>
      <w:r>
        <w:rPr>
          <w:bCs/>
        </w:rPr>
        <w:t xml:space="preserve">, </w:t>
      </w:r>
      <w:r w:rsidR="004D1612">
        <w:rPr>
          <w:bCs/>
        </w:rPr>
        <w:t>h</w:t>
      </w:r>
      <w:r w:rsidR="004D1612">
        <w:rPr>
          <w:bCs/>
          <w:iCs/>
        </w:rPr>
        <w:t>obbies</w:t>
      </w:r>
      <w:r>
        <w:rPr>
          <w:bCs/>
          <w:iCs/>
        </w:rPr>
        <w:t xml:space="preserve">, </w:t>
      </w:r>
      <w:r w:rsidR="004D1612">
        <w:rPr>
          <w:bCs/>
          <w:iCs/>
        </w:rPr>
        <w:t xml:space="preserve">household </w:t>
      </w:r>
      <w:r>
        <w:rPr>
          <w:bCs/>
          <w:iCs/>
        </w:rPr>
        <w:t xml:space="preserve">chemical uses and house construction characteristics, </w:t>
      </w:r>
      <w:r w:rsidR="004D1612">
        <w:rPr>
          <w:bCs/>
          <w:iCs/>
        </w:rPr>
        <w:t xml:space="preserve">lifestyle </w:t>
      </w:r>
      <w:r>
        <w:rPr>
          <w:bCs/>
          <w:iCs/>
        </w:rPr>
        <w:t xml:space="preserve">(e.g., smoking), </w:t>
      </w:r>
      <w:r w:rsidR="004D1612">
        <w:rPr>
          <w:bCs/>
          <w:iCs/>
        </w:rPr>
        <w:t>medicines</w:t>
      </w:r>
      <w:r w:rsidR="00D51804">
        <w:rPr>
          <w:bCs/>
          <w:iCs/>
        </w:rPr>
        <w:t>, symptoms,</w:t>
      </w:r>
      <w:r>
        <w:rPr>
          <w:bCs/>
          <w:iCs/>
        </w:rPr>
        <w:t xml:space="preserve"> and/or health conditions, and </w:t>
      </w:r>
      <w:r w:rsidR="004D1612">
        <w:rPr>
          <w:bCs/>
          <w:iCs/>
        </w:rPr>
        <w:t>foods</w:t>
      </w:r>
    </w:p>
    <w:p w:rsidR="00255CE9" w:rsidRPr="004025FF" w:rsidRDefault="00255CE9" w:rsidP="005B4ECC">
      <w:pPr>
        <w:autoSpaceDE w:val="0"/>
        <w:autoSpaceDN w:val="0"/>
        <w:adjustRightInd w:val="0"/>
      </w:pPr>
    </w:p>
    <w:p w:rsidR="000F5AD6" w:rsidRPr="009F4056" w:rsidRDefault="000C2177" w:rsidP="009F4056">
      <w:pPr>
        <w:pStyle w:val="Heading3"/>
        <w:spacing w:after="120"/>
        <w:rPr>
          <w:rFonts w:ascii="Times New Roman" w:hAnsi="Times New Roman"/>
          <w:color w:val="auto"/>
          <w:sz w:val="22"/>
        </w:rPr>
      </w:pPr>
      <w:bookmarkStart w:id="43" w:name="_Toc282617894"/>
      <w:bookmarkStart w:id="44" w:name="_Toc351620199"/>
      <w:bookmarkStart w:id="45" w:name="_Toc305153414"/>
      <w:bookmarkStart w:id="46" w:name="_Toc305153632"/>
      <w:bookmarkStart w:id="47" w:name="_Toc305154208"/>
      <w:bookmarkStart w:id="48" w:name="_Toc305155362"/>
      <w:bookmarkStart w:id="49" w:name="_Toc306341892"/>
      <w:bookmarkStart w:id="50" w:name="_Toc306344145"/>
      <w:bookmarkStart w:id="51" w:name="_Toc306344786"/>
      <w:bookmarkStart w:id="52" w:name="_Toc306345027"/>
      <w:bookmarkStart w:id="53" w:name="_Toc311445496"/>
      <w:r w:rsidRPr="009F4056">
        <w:rPr>
          <w:rFonts w:ascii="Times New Roman" w:hAnsi="Times New Roman"/>
          <w:color w:val="auto"/>
          <w:sz w:val="22"/>
        </w:rPr>
        <w:t xml:space="preserve">A.2.1. </w:t>
      </w:r>
      <w:r w:rsidR="000F5AD6" w:rsidRPr="009F4056">
        <w:rPr>
          <w:rFonts w:ascii="Times New Roman" w:hAnsi="Times New Roman"/>
          <w:color w:val="auto"/>
          <w:sz w:val="22"/>
        </w:rPr>
        <w:t>Privacy Impact Assessment</w:t>
      </w:r>
      <w:bookmarkEnd w:id="43"/>
      <w:bookmarkEnd w:id="44"/>
    </w:p>
    <w:p w:rsidR="002930BD" w:rsidRPr="002930BD" w:rsidRDefault="002930BD" w:rsidP="007F446A"/>
    <w:p w:rsidR="00A821CE" w:rsidRPr="00CB5B30" w:rsidRDefault="009901D9" w:rsidP="00A821CE">
      <w:pPr>
        <w:tabs>
          <w:tab w:val="left" w:pos="1545"/>
        </w:tabs>
      </w:pPr>
      <w:r>
        <w:t xml:space="preserve">ATSDR only collects information that will help us interpret the laboratory data and recognize likely exposure scenarios. </w:t>
      </w:r>
      <w:r w:rsidR="00A821CE">
        <w:t xml:space="preserve">Once we conduct an EI, we match the unique answers given by participants with their laboratory results or environmental samples to determine whether intervention is needed on an individual level. The information collection is therefore </w:t>
      </w:r>
      <w:r w:rsidR="00A821CE">
        <w:rPr>
          <w:i/>
        </w:rPr>
        <w:t>inherently person- or location-specific.</w:t>
      </w:r>
      <w:r w:rsidR="00CB5B30">
        <w:rPr>
          <w:i/>
        </w:rPr>
        <w:t xml:space="preserve">  </w:t>
      </w:r>
      <w:r w:rsidR="00CB5B30">
        <w:t xml:space="preserve">Section A.1 provides two examples of instances where the results of the EI has resulted in </w:t>
      </w:r>
      <w:r w:rsidR="0031417C">
        <w:t xml:space="preserve">changes that have </w:t>
      </w:r>
      <w:r w:rsidR="008D7155">
        <w:t>reduced exposure of communities to environmental contaminants.</w:t>
      </w:r>
    </w:p>
    <w:p w:rsidR="00A821CE" w:rsidRDefault="00A821CE" w:rsidP="00A821CE">
      <w:pPr>
        <w:tabs>
          <w:tab w:val="left" w:pos="1545"/>
        </w:tabs>
        <w:rPr>
          <w:i/>
        </w:rPr>
      </w:pPr>
    </w:p>
    <w:p w:rsidR="00A821CE" w:rsidRDefault="00A821CE" w:rsidP="00A821CE">
      <w:r>
        <w:t xml:space="preserve">Data are treated </w:t>
      </w:r>
      <w:r w:rsidR="003A5B61">
        <w:t>to protect privacy</w:t>
      </w:r>
      <w:r>
        <w:t>; access to computer files is password-protected and access is limited to authorized EI personnel</w:t>
      </w:r>
      <w:r w:rsidR="00167F85">
        <w:t>, including contracto</w:t>
      </w:r>
      <w:r w:rsidR="0039614F">
        <w:t>r</w:t>
      </w:r>
      <w:r w:rsidR="00167F85">
        <w:t>s</w:t>
      </w:r>
      <w:r>
        <w:t>. All staff working on the project agrees to safeguard the data and not to make unauthorized disclosures. Published reports may present responses in aggregate form and no individuals are identified by name.</w:t>
      </w:r>
    </w:p>
    <w:p w:rsidR="00A821CE" w:rsidRDefault="00A821CE" w:rsidP="00A821CE">
      <w:pPr>
        <w:tabs>
          <w:tab w:val="left" w:pos="1545"/>
        </w:tabs>
      </w:pPr>
    </w:p>
    <w:p w:rsidR="00322A9F" w:rsidRPr="00D531DA" w:rsidRDefault="00322A9F" w:rsidP="00186982">
      <w:pPr>
        <w:pStyle w:val="Heading2"/>
      </w:pPr>
      <w:bookmarkStart w:id="54" w:name="_Toc351620200"/>
      <w:r w:rsidRPr="00D531DA">
        <w:t>A.3 Use of Improved Information Technology and Burden Reduction</w:t>
      </w:r>
      <w:bookmarkEnd w:id="45"/>
      <w:bookmarkEnd w:id="46"/>
      <w:bookmarkEnd w:id="47"/>
      <w:bookmarkEnd w:id="48"/>
      <w:bookmarkEnd w:id="49"/>
      <w:bookmarkEnd w:id="50"/>
      <w:bookmarkEnd w:id="51"/>
      <w:bookmarkEnd w:id="52"/>
      <w:bookmarkEnd w:id="53"/>
      <w:bookmarkEnd w:id="54"/>
    </w:p>
    <w:p w:rsidR="00D531DA" w:rsidRPr="00D531DA" w:rsidRDefault="00D531DA" w:rsidP="002F40AB">
      <w:pPr>
        <w:autoSpaceDE w:val="0"/>
        <w:autoSpaceDN w:val="0"/>
        <w:adjustRightInd w:val="0"/>
        <w:rPr>
          <w:b/>
          <w:bCs/>
          <w:color w:val="000000" w:themeColor="text1"/>
        </w:rPr>
      </w:pPr>
    </w:p>
    <w:p w:rsidR="00167F85" w:rsidRDefault="00167F85" w:rsidP="00167F85">
      <w:pPr>
        <w:tabs>
          <w:tab w:val="left" w:pos="1545"/>
        </w:tabs>
      </w:pPr>
      <w:r>
        <w:t xml:space="preserve">Generally, ATSDR interviews people in their homes </w:t>
      </w:r>
      <w:r w:rsidR="00F53B2E">
        <w:t>e</w:t>
      </w:r>
      <w:r>
        <w:t>ither in</w:t>
      </w:r>
      <w:r w:rsidR="00472E96">
        <w:t>-</w:t>
      </w:r>
      <w:r>
        <w:t>person or over the phone</w:t>
      </w:r>
      <w:r w:rsidR="009704E2">
        <w:t>. Where practical, we will record the results of the interview</w:t>
      </w:r>
      <w:r>
        <w:t xml:space="preserve"> electronically as we are interviewing the participants.   The use of electronic data collection as compared to paper collection has steadily increased with time.  Any data on laptops will be encrypted in accordance with information systems security requirements for safeguarding personally identifiable information.  That information is stored in a secure database along with the laboratory and/or modeling results.</w:t>
      </w:r>
    </w:p>
    <w:p w:rsidR="009704E2" w:rsidRDefault="009704E2" w:rsidP="00167F85">
      <w:pPr>
        <w:tabs>
          <w:tab w:val="left" w:pos="1545"/>
        </w:tabs>
      </w:pPr>
    </w:p>
    <w:p w:rsidR="009704E2" w:rsidRDefault="009704E2" w:rsidP="009704E2">
      <w:pPr>
        <w:tabs>
          <w:tab w:val="left" w:pos="1545"/>
        </w:tabs>
      </w:pPr>
      <w:r>
        <w:t>Several procedures may be used to sign up participants for the EI, such as newsletters or recruitment posters.   Usually, the participants are targeted for inclusion in the EI and initial contact is made with potential participants through mail or phone.</w:t>
      </w:r>
    </w:p>
    <w:p w:rsidR="009704E2" w:rsidRDefault="009704E2" w:rsidP="00167F85">
      <w:pPr>
        <w:tabs>
          <w:tab w:val="left" w:pos="1545"/>
        </w:tabs>
      </w:pPr>
    </w:p>
    <w:p w:rsidR="0068197A" w:rsidRDefault="0068197A" w:rsidP="00186982">
      <w:pPr>
        <w:pStyle w:val="Heading2"/>
      </w:pPr>
      <w:bookmarkStart w:id="55" w:name="_Toc305153415"/>
      <w:bookmarkStart w:id="56" w:name="_Toc305153633"/>
      <w:bookmarkStart w:id="57" w:name="_Toc305154209"/>
      <w:bookmarkStart w:id="58" w:name="_Toc305155363"/>
      <w:bookmarkStart w:id="59" w:name="_Toc306341893"/>
      <w:bookmarkStart w:id="60" w:name="_Toc306344146"/>
      <w:bookmarkStart w:id="61" w:name="_Toc306344787"/>
      <w:bookmarkStart w:id="62" w:name="_Toc306345028"/>
      <w:bookmarkStart w:id="63" w:name="_Toc311445497"/>
      <w:bookmarkStart w:id="64" w:name="_Toc351620201"/>
      <w:r w:rsidRPr="004F54A8">
        <w:t xml:space="preserve">A.4 Efforts </w:t>
      </w:r>
      <w:r w:rsidR="00261215">
        <w:t xml:space="preserve">to </w:t>
      </w:r>
      <w:r w:rsidRPr="004F54A8">
        <w:t>Identify Duplication and Use of Similar Information</w:t>
      </w:r>
      <w:bookmarkEnd w:id="55"/>
      <w:bookmarkEnd w:id="56"/>
      <w:bookmarkEnd w:id="57"/>
      <w:bookmarkEnd w:id="58"/>
      <w:bookmarkEnd w:id="59"/>
      <w:bookmarkEnd w:id="60"/>
      <w:bookmarkEnd w:id="61"/>
      <w:bookmarkEnd w:id="62"/>
      <w:bookmarkEnd w:id="63"/>
      <w:bookmarkEnd w:id="64"/>
    </w:p>
    <w:p w:rsidR="004F54A8" w:rsidRPr="004F54A8" w:rsidRDefault="004F54A8" w:rsidP="004F54A8"/>
    <w:p w:rsidR="009704E2" w:rsidRDefault="009704E2" w:rsidP="009704E2">
      <w:pPr>
        <w:tabs>
          <w:tab w:val="left" w:pos="1545"/>
        </w:tabs>
      </w:pPr>
      <w:r>
        <w:t xml:space="preserve">ATSDR determined through literature and internet searches, discussions with other public health and environmental professionals, and attendance at meetings that other agencies are asking or have asked similar questions. </w:t>
      </w:r>
      <w:r>
        <w:rPr>
          <w:i/>
        </w:rPr>
        <w:t xml:space="preserve">However, their questions and resulting data are being used for </w:t>
      </w:r>
      <w:r>
        <w:rPr>
          <w:i/>
        </w:rPr>
        <w:lastRenderedPageBreak/>
        <w:t xml:space="preserve">population-based research and modeling, policy setting, or behavioral change through education. </w:t>
      </w:r>
      <w:r>
        <w:t xml:space="preserve">Since our information collection is </w:t>
      </w:r>
      <w:r>
        <w:rPr>
          <w:i/>
        </w:rPr>
        <w:t>inherently person- or location-specific,</w:t>
      </w:r>
      <w:r>
        <w:t xml:space="preserve"> we cannot use the results of national probability surveys</w:t>
      </w:r>
      <w:r w:rsidR="00087551">
        <w:t xml:space="preserve"> to inform our site-specific work</w:t>
      </w:r>
      <w:r w:rsidR="006F7AFF">
        <w:t>.</w:t>
      </w:r>
      <w:r w:rsidR="004276E7">
        <w:t xml:space="preserve"> </w:t>
      </w:r>
      <w:r>
        <w:t xml:space="preserve">Again, the intent of the EI is </w:t>
      </w:r>
      <w:r>
        <w:rPr>
          <w:u w:val="single"/>
        </w:rPr>
        <w:t>not</w:t>
      </w:r>
      <w:r>
        <w:t xml:space="preserve"> to generalize information to represent population based data, but to match the unique answers given by participants with their laboratory results or environmental samples to determine whether individual intervention is needed. We have, however, found some of the questions from other federal agencies’ surveys useful </w:t>
      </w:r>
      <w:r w:rsidR="001E7EE8">
        <w:t xml:space="preserve">to identify appropriate </w:t>
      </w:r>
      <w:r>
        <w:t>chemical exposure questions.</w:t>
      </w:r>
      <w:r w:rsidR="006F7AFF">
        <w:t xml:space="preserve"> </w:t>
      </w:r>
      <w:r w:rsidR="009A6B06">
        <w:t xml:space="preserve">We have also used reference </w:t>
      </w:r>
      <w:r w:rsidR="006F7AFF">
        <w:t xml:space="preserve">values from the </w:t>
      </w:r>
      <w:r w:rsidR="006F7AFF" w:rsidRPr="009A6B06">
        <w:rPr>
          <w:i/>
        </w:rPr>
        <w:t xml:space="preserve">Fourth National Report </w:t>
      </w:r>
      <w:r w:rsidR="00293159" w:rsidRPr="009A6B06">
        <w:rPr>
          <w:i/>
        </w:rPr>
        <w:t xml:space="preserve">on Human Exposure to Environmental Chemicals </w:t>
      </w:r>
      <w:r w:rsidR="006F7AFF">
        <w:t>as national comparison values</w:t>
      </w:r>
      <w:r w:rsidR="00751DA9">
        <w:t xml:space="preserve"> for EI participant results</w:t>
      </w:r>
      <w:r w:rsidR="00293159">
        <w:t xml:space="preserve"> (see </w:t>
      </w:r>
      <w:hyperlink r:id="rId19" w:history="1">
        <w:r w:rsidR="00293159" w:rsidRPr="0058654F">
          <w:rPr>
            <w:rStyle w:val="Hyperlink"/>
          </w:rPr>
          <w:t>http://www.cdc.gov/exposurereport/</w:t>
        </w:r>
      </w:hyperlink>
      <w:r w:rsidR="00293159">
        <w:t xml:space="preserve">). </w:t>
      </w:r>
    </w:p>
    <w:p w:rsidR="009704E2" w:rsidRDefault="009704E2" w:rsidP="009704E2">
      <w:pPr>
        <w:tabs>
          <w:tab w:val="left" w:pos="1545"/>
        </w:tabs>
      </w:pPr>
    </w:p>
    <w:p w:rsidR="009704E2" w:rsidRDefault="009704E2" w:rsidP="009704E2">
      <w:pPr>
        <w:tabs>
          <w:tab w:val="left" w:pos="1545"/>
        </w:tabs>
      </w:pPr>
      <w:r>
        <w:t>Below is a list of the agencies that we determined are asking similar questions</w:t>
      </w:r>
      <w:r w:rsidR="003C02F1">
        <w:t>; although, these surveys differ from ATSDR EIs as nationally representative</w:t>
      </w:r>
      <w:r>
        <w:t xml:space="preserve">. </w:t>
      </w:r>
    </w:p>
    <w:p w:rsidR="009704E2" w:rsidRPr="00012C7C" w:rsidRDefault="009704E2" w:rsidP="00012C7C">
      <w:pPr>
        <w:pStyle w:val="ListParagraph"/>
        <w:numPr>
          <w:ilvl w:val="0"/>
          <w:numId w:val="49"/>
        </w:numPr>
        <w:rPr>
          <w:szCs w:val="20"/>
        </w:rPr>
      </w:pPr>
      <w:r w:rsidRPr="00012C7C">
        <w:rPr>
          <w:b/>
          <w:i/>
          <w:szCs w:val="20"/>
        </w:rPr>
        <w:t xml:space="preserve">NHAP=EPA National Human Activity Pattern Survey (NHAPS) - </w:t>
      </w:r>
      <w:r w:rsidRPr="00012C7C">
        <w:rPr>
          <w:szCs w:val="20"/>
        </w:rPr>
        <w:t xml:space="preserve">This EPA survey was a two-year probability-based telephone survey (n = 9,386) of exposure-related human activities in the United States. The primary purpose of NHAPS was to provide comprehensive and current exposure information over broad geographical and temporal scales, particularly for use in probabilistic population exposure models. NHAPS was conducted on a virtually daily basis from late September 1992 through September 1994. [ </w:t>
      </w:r>
      <w:hyperlink r:id="rId20" w:history="1">
        <w:r w:rsidRPr="00012C7C">
          <w:rPr>
            <w:rStyle w:val="Hyperlink"/>
            <w:szCs w:val="20"/>
          </w:rPr>
          <w:t>http://eetd.lbl.gov/IED/viaq/pubs/LBNL-47713.pdf</w:t>
        </w:r>
      </w:hyperlink>
      <w:r w:rsidRPr="00012C7C">
        <w:rPr>
          <w:szCs w:val="20"/>
        </w:rPr>
        <w:t>]</w:t>
      </w:r>
    </w:p>
    <w:p w:rsidR="009704E2" w:rsidRDefault="009704E2" w:rsidP="009704E2">
      <w:pPr>
        <w:rPr>
          <w:b/>
          <w:i/>
          <w:szCs w:val="20"/>
        </w:rPr>
      </w:pPr>
    </w:p>
    <w:p w:rsidR="001E7EE8" w:rsidRPr="00012C7C" w:rsidRDefault="009704E2" w:rsidP="001E7EE8">
      <w:pPr>
        <w:pStyle w:val="ListParagraph"/>
        <w:numPr>
          <w:ilvl w:val="0"/>
          <w:numId w:val="49"/>
        </w:numPr>
        <w:rPr>
          <w:szCs w:val="20"/>
        </w:rPr>
      </w:pPr>
      <w:r w:rsidRPr="001E7EE8">
        <w:rPr>
          <w:b/>
          <w:i/>
          <w:szCs w:val="20"/>
        </w:rPr>
        <w:t xml:space="preserve">NHEXAS=EPA National Human Exposure Assessment Survey </w:t>
      </w:r>
      <w:r w:rsidRPr="001E7EE8">
        <w:rPr>
          <w:i/>
          <w:szCs w:val="20"/>
        </w:rPr>
        <w:t xml:space="preserve">– </w:t>
      </w:r>
      <w:r w:rsidRPr="001E7EE8">
        <w:rPr>
          <w:szCs w:val="20"/>
        </w:rPr>
        <w:t xml:space="preserve">In the early 1990's, EPA initiated this population-based pilot study of the exposure of over </w:t>
      </w:r>
      <w:r w:rsidRPr="001E7EE8">
        <w:rPr>
          <w:szCs w:val="20"/>
          <w:u w:val="single"/>
        </w:rPr>
        <w:t>500</w:t>
      </w:r>
      <w:r w:rsidRPr="001E7EE8">
        <w:rPr>
          <w:szCs w:val="20"/>
        </w:rPr>
        <w:t xml:space="preserve"> people in three areas of the U.S. to metals, pesticides, volatile organic compounds, and other toxic chemicals. Measurements were made of the air people breathed, the foods and beverages they consumed, and the soil and dust in/near their home. </w:t>
      </w:r>
      <w:r w:rsidR="001E7EE8" w:rsidRPr="00012C7C">
        <w:rPr>
          <w:szCs w:val="20"/>
        </w:rPr>
        <w:t>Ultimately, the EPA anticipates that the information gained from NHEXAS will help individuals, communities, states, the EPA, and other organizations understand the greatest health risks from various chemicals and decide whether steps to reduce those risks are needed. [</w:t>
      </w:r>
      <w:hyperlink r:id="rId21" w:history="1">
        <w:r w:rsidR="001E7EE8" w:rsidRPr="00012C7C">
          <w:rPr>
            <w:rStyle w:val="Hyperlink"/>
            <w:szCs w:val="20"/>
          </w:rPr>
          <w:t>http://www.epa.gov/heasd/edrb/nhexas.html</w:t>
        </w:r>
      </w:hyperlink>
      <w:r w:rsidR="001E7EE8" w:rsidRPr="00012C7C">
        <w:rPr>
          <w:szCs w:val="20"/>
        </w:rPr>
        <w:t>]</w:t>
      </w:r>
    </w:p>
    <w:p w:rsidR="009704E2" w:rsidRPr="001E7EE8" w:rsidRDefault="009704E2" w:rsidP="001E7EE8">
      <w:pPr>
        <w:pStyle w:val="ListParagraph"/>
        <w:rPr>
          <w:b/>
          <w:i/>
          <w:szCs w:val="20"/>
        </w:rPr>
      </w:pPr>
      <w:r w:rsidRPr="001E7EE8">
        <w:rPr>
          <w:szCs w:val="20"/>
        </w:rPr>
        <w:t xml:space="preserve"> </w:t>
      </w:r>
    </w:p>
    <w:p w:rsidR="001A02F8" w:rsidRPr="001E7EE8" w:rsidRDefault="009704E2" w:rsidP="00186982">
      <w:pPr>
        <w:pStyle w:val="ListParagraph"/>
        <w:numPr>
          <w:ilvl w:val="0"/>
          <w:numId w:val="49"/>
        </w:numPr>
        <w:rPr>
          <w:szCs w:val="20"/>
        </w:rPr>
      </w:pPr>
      <w:r w:rsidRPr="00012C7C">
        <w:rPr>
          <w:b/>
          <w:i/>
          <w:szCs w:val="20"/>
        </w:rPr>
        <w:t>NHANES =</w:t>
      </w:r>
      <w:r w:rsidRPr="00012C7C">
        <w:rPr>
          <w:b/>
          <w:bCs/>
          <w:szCs w:val="20"/>
        </w:rPr>
        <w:t xml:space="preserve"> </w:t>
      </w:r>
      <w:r w:rsidRPr="00012C7C">
        <w:rPr>
          <w:b/>
          <w:i/>
          <w:szCs w:val="20"/>
        </w:rPr>
        <w:t xml:space="preserve">National Health and Nutrition Examination Survey – </w:t>
      </w:r>
      <w:r w:rsidRPr="00012C7C">
        <w:rPr>
          <w:szCs w:val="20"/>
        </w:rPr>
        <w:t>Teams of doctors, dentists, nutritionists, and health technicians go out to communities across the United States for the National Health and Nutrition Examination Survey (NHANES), which is updated annually. Since the early 1990s, CDC has surveyed approximately 5,000 people /year. Data from direct examination, testing, and measurement of national samples of the civilian noninstitutionalized population provide the basis for (1) estimates of the medically defined prevalence of specific diseases in the United States and the distribution of the population with respect to physical, physiological, and psychological characteristics and (2) analysis of relationships among the various measurements without reference to an explicit finite universe of persons</w:t>
      </w:r>
      <w:r w:rsidRPr="004E1D00">
        <w:rPr>
          <w:szCs w:val="20"/>
        </w:rPr>
        <w:t xml:space="preserve"> (OMB approval #0920-0237) [ </w:t>
      </w:r>
      <w:hyperlink r:id="rId22" w:history="1">
        <w:r w:rsidRPr="004E1D00">
          <w:rPr>
            <w:rStyle w:val="Hyperlink"/>
            <w:szCs w:val="20"/>
          </w:rPr>
          <w:t>http://www.cdc.gov/nchs/nhanes/nhanes2009-2010/questexam09_10.htm</w:t>
        </w:r>
      </w:hyperlink>
      <w:r w:rsidRPr="004E1D00">
        <w:rPr>
          <w:szCs w:val="20"/>
        </w:rPr>
        <w:t>]</w:t>
      </w:r>
      <w:r w:rsidR="004E1D00">
        <w:rPr>
          <w:szCs w:val="20"/>
        </w:rPr>
        <w:t>.</w:t>
      </w:r>
      <w:bookmarkStart w:id="65" w:name="_Toc305153416"/>
      <w:bookmarkStart w:id="66" w:name="_Toc305153634"/>
      <w:bookmarkStart w:id="67" w:name="_Toc305154210"/>
      <w:bookmarkStart w:id="68" w:name="_Toc305155364"/>
      <w:bookmarkStart w:id="69" w:name="_Toc306341894"/>
      <w:bookmarkStart w:id="70" w:name="_Toc306344147"/>
      <w:bookmarkStart w:id="71" w:name="_Toc306344788"/>
      <w:bookmarkStart w:id="72" w:name="_Toc306345029"/>
      <w:bookmarkStart w:id="73" w:name="_Toc311445498"/>
    </w:p>
    <w:p w:rsidR="00143AB2" w:rsidRDefault="00143AB2" w:rsidP="00186982">
      <w:pPr>
        <w:pStyle w:val="Heading2"/>
      </w:pPr>
    </w:p>
    <w:p w:rsidR="00322A9F" w:rsidRPr="004F54A8" w:rsidRDefault="00322A9F" w:rsidP="00186982">
      <w:pPr>
        <w:pStyle w:val="Heading2"/>
      </w:pPr>
      <w:bookmarkStart w:id="74" w:name="_Toc351620202"/>
      <w:r w:rsidRPr="004F54A8">
        <w:t>A.5 Impact on Small Business</w:t>
      </w:r>
      <w:r w:rsidR="00261215">
        <w:t>es</w:t>
      </w:r>
      <w:r w:rsidRPr="004F54A8">
        <w:t xml:space="preserve"> or Other Small Entities</w:t>
      </w:r>
      <w:bookmarkEnd w:id="65"/>
      <w:bookmarkEnd w:id="66"/>
      <w:bookmarkEnd w:id="67"/>
      <w:bookmarkEnd w:id="68"/>
      <w:bookmarkEnd w:id="69"/>
      <w:bookmarkEnd w:id="70"/>
      <w:bookmarkEnd w:id="71"/>
      <w:bookmarkEnd w:id="72"/>
      <w:bookmarkEnd w:id="73"/>
      <w:bookmarkEnd w:id="74"/>
    </w:p>
    <w:p w:rsidR="004F54A8" w:rsidRDefault="004F54A8" w:rsidP="002F40AB">
      <w:pPr>
        <w:autoSpaceDE w:val="0"/>
        <w:autoSpaceDN w:val="0"/>
        <w:adjustRightInd w:val="0"/>
        <w:rPr>
          <w:rFonts w:ascii="TimesNewRoman" w:hAnsi="TimesNewRoman" w:cs="TimesNewRoman"/>
        </w:rPr>
      </w:pPr>
    </w:p>
    <w:p w:rsidR="00D55B9B" w:rsidRDefault="00A6396B" w:rsidP="00D55B9B">
      <w:pPr>
        <w:tabs>
          <w:tab w:val="left" w:pos="1545"/>
        </w:tabs>
      </w:pPr>
      <w:r>
        <w:lastRenderedPageBreak/>
        <w:t>Every effort is made to minimize the burden on all participants in EIs. Very few of our EIs</w:t>
      </w:r>
      <w:r w:rsidR="002025B5">
        <w:t xml:space="preserve"> (approximately 2 percent)</w:t>
      </w:r>
      <w:r>
        <w:t xml:space="preserve"> have involved small businesses. On occasion, ATSDR has asked for participation from employees and attendees of daycare facilities and schools. Participation in an EI is voluntary and ATSDR strives to keep our questions to the minimum needed to interpret our results.</w:t>
      </w:r>
      <w:bookmarkStart w:id="75" w:name="_Toc305153417"/>
      <w:bookmarkStart w:id="76" w:name="_Toc305153635"/>
      <w:bookmarkStart w:id="77" w:name="_Toc305154211"/>
      <w:bookmarkStart w:id="78" w:name="_Toc305155365"/>
      <w:bookmarkStart w:id="79" w:name="_Toc306341895"/>
      <w:bookmarkStart w:id="80" w:name="_Toc306344148"/>
      <w:bookmarkStart w:id="81" w:name="_Toc306344789"/>
      <w:bookmarkStart w:id="82" w:name="_Toc306345030"/>
      <w:bookmarkStart w:id="83" w:name="_Toc311445499"/>
      <w:r w:rsidR="00D55B9B">
        <w:t xml:space="preserve"> When such an entity will be involved in an EI, ATSDR will identify these in each request for approval under this generic clearance.</w:t>
      </w:r>
      <w:bookmarkStart w:id="84" w:name="_GoBack"/>
      <w:bookmarkEnd w:id="84"/>
    </w:p>
    <w:p w:rsidR="00D55B9B" w:rsidRDefault="00D55B9B" w:rsidP="00D55B9B">
      <w:pPr>
        <w:tabs>
          <w:tab w:val="left" w:pos="1545"/>
        </w:tabs>
      </w:pPr>
    </w:p>
    <w:p w:rsidR="00322A9F" w:rsidRPr="004F54A8" w:rsidRDefault="00322A9F" w:rsidP="00186982">
      <w:pPr>
        <w:pStyle w:val="Heading2"/>
      </w:pPr>
      <w:bookmarkStart w:id="85" w:name="_Toc351620203"/>
      <w:r w:rsidRPr="004F54A8">
        <w:t>A.6 Consequences of Collecting the Information Less Frequently</w:t>
      </w:r>
      <w:bookmarkEnd w:id="75"/>
      <w:bookmarkEnd w:id="76"/>
      <w:bookmarkEnd w:id="77"/>
      <w:bookmarkEnd w:id="78"/>
      <w:bookmarkEnd w:id="79"/>
      <w:bookmarkEnd w:id="80"/>
      <w:bookmarkEnd w:id="81"/>
      <w:bookmarkEnd w:id="82"/>
      <w:bookmarkEnd w:id="83"/>
      <w:bookmarkEnd w:id="85"/>
    </w:p>
    <w:p w:rsidR="004F54A8" w:rsidRPr="002D0805" w:rsidRDefault="004F54A8" w:rsidP="004F54A8">
      <w:pPr>
        <w:autoSpaceDE w:val="0"/>
        <w:autoSpaceDN w:val="0"/>
        <w:adjustRightInd w:val="0"/>
        <w:rPr>
          <w:b/>
          <w:bCs/>
        </w:rPr>
      </w:pPr>
    </w:p>
    <w:p w:rsidR="00A6396B" w:rsidRDefault="00A6396B" w:rsidP="00A6396B">
      <w:pPr>
        <w:tabs>
          <w:tab w:val="left" w:pos="1545"/>
        </w:tabs>
      </w:pPr>
      <w:r>
        <w:t xml:space="preserve">The vast majority of EIs are a </w:t>
      </w:r>
      <w:r w:rsidR="004E3FE0">
        <w:t>one-time</w:t>
      </w:r>
      <w:r>
        <w:t xml:space="preserve"> sampling or modeling event related to a specific exposure situation. At times, the results of the first sampling event require that we collect additional samples (either environmental or bio</w:t>
      </w:r>
      <w:r w:rsidR="002C5903">
        <w:t>logical</w:t>
      </w:r>
      <w:r>
        <w:t xml:space="preserve">). Participants in EIs are generally asked one set of questions per sampling event. If we need to conduct additional sampling (e.g., to assess the effectiveness of an intervention), we would request that the participants answer another </w:t>
      </w:r>
      <w:r w:rsidR="008D7155">
        <w:t>set of appropriate questions</w:t>
      </w:r>
      <w:r w:rsidR="000A5668">
        <w:t>.</w:t>
      </w:r>
    </w:p>
    <w:p w:rsidR="00A6396B" w:rsidRDefault="00A6396B" w:rsidP="00A6396B">
      <w:pPr>
        <w:tabs>
          <w:tab w:val="left" w:pos="1545"/>
        </w:tabs>
      </w:pPr>
    </w:p>
    <w:p w:rsidR="00A6396B" w:rsidRDefault="00A6396B" w:rsidP="00A6396B">
      <w:pPr>
        <w:tabs>
          <w:tab w:val="left" w:pos="1545"/>
        </w:tabs>
      </w:pPr>
      <w:r>
        <w:t>If ATSDR d</w:t>
      </w:r>
      <w:r w:rsidR="00855412">
        <w:t>etermines that additional</w:t>
      </w:r>
      <w:r w:rsidR="00C41301">
        <w:t xml:space="preserve"> investigation</w:t>
      </w:r>
      <w:r>
        <w:t xml:space="preserve"> is needed, ATSDR would obtain a separate OMB clearance in order to</w:t>
      </w:r>
      <w:r w:rsidR="00C41301">
        <w:t xml:space="preserve"> specifically conduct that investigation</w:t>
      </w:r>
      <w:r>
        <w:t>.</w:t>
      </w:r>
    </w:p>
    <w:p w:rsidR="00A6396B" w:rsidRDefault="00A6396B" w:rsidP="00A6396B">
      <w:pPr>
        <w:tabs>
          <w:tab w:val="left" w:pos="1545"/>
        </w:tabs>
      </w:pPr>
    </w:p>
    <w:p w:rsidR="00062A3F" w:rsidRDefault="00A6396B" w:rsidP="00164F2C">
      <w:pPr>
        <w:tabs>
          <w:tab w:val="left" w:pos="1545"/>
        </w:tabs>
      </w:pPr>
      <w:r>
        <w:t>There are no legal obstacles to reduce the burden.</w:t>
      </w:r>
      <w:bookmarkStart w:id="86" w:name="_Toc305155366"/>
      <w:bookmarkStart w:id="87" w:name="_Toc306341896"/>
      <w:bookmarkStart w:id="88" w:name="_Toc306344149"/>
      <w:bookmarkStart w:id="89" w:name="_Toc306344790"/>
      <w:bookmarkStart w:id="90" w:name="_Toc306345031"/>
      <w:bookmarkStart w:id="91" w:name="_Toc311445500"/>
    </w:p>
    <w:p w:rsidR="00164F2C" w:rsidRDefault="00164F2C" w:rsidP="00164F2C">
      <w:pPr>
        <w:tabs>
          <w:tab w:val="left" w:pos="1545"/>
        </w:tabs>
      </w:pPr>
    </w:p>
    <w:p w:rsidR="00322A9F" w:rsidRPr="00266092" w:rsidRDefault="00322A9F" w:rsidP="00186982">
      <w:pPr>
        <w:pStyle w:val="Heading2"/>
      </w:pPr>
      <w:bookmarkStart w:id="92" w:name="_Toc351620204"/>
      <w:r w:rsidRPr="00266092">
        <w:t>A.7 Special Circumstances Relating to the Guidelines of 5 CFR 1320.5</w:t>
      </w:r>
      <w:bookmarkEnd w:id="86"/>
      <w:bookmarkEnd w:id="87"/>
      <w:bookmarkEnd w:id="88"/>
      <w:bookmarkEnd w:id="89"/>
      <w:bookmarkEnd w:id="90"/>
      <w:bookmarkEnd w:id="91"/>
      <w:bookmarkEnd w:id="92"/>
    </w:p>
    <w:p w:rsidR="004F54A8" w:rsidRDefault="004F54A8" w:rsidP="002F40AB">
      <w:pPr>
        <w:autoSpaceDE w:val="0"/>
        <w:autoSpaceDN w:val="0"/>
        <w:adjustRightInd w:val="0"/>
        <w:rPr>
          <w:rFonts w:ascii="TimesNewRoman" w:hAnsi="TimesNewRoman" w:cs="TimesNewRoman"/>
        </w:rPr>
      </w:pPr>
    </w:p>
    <w:p w:rsidR="00322A9F" w:rsidRPr="002D0805" w:rsidRDefault="00322A9F" w:rsidP="002F40AB">
      <w:pPr>
        <w:autoSpaceDE w:val="0"/>
        <w:autoSpaceDN w:val="0"/>
        <w:adjustRightInd w:val="0"/>
        <w:rPr>
          <w:rFonts w:ascii="TimesNewRoman" w:hAnsi="TimesNewRoman" w:cs="TimesNewRoman"/>
        </w:rPr>
      </w:pPr>
      <w:r w:rsidRPr="002D0805">
        <w:rPr>
          <w:rFonts w:ascii="TimesNewRoman" w:hAnsi="TimesNewRoman" w:cs="TimesNewRoman"/>
        </w:rPr>
        <w:t>There are no special circumstances associated with this data collection. The data</w:t>
      </w:r>
      <w:r w:rsidR="00E34DE4" w:rsidRPr="002D0805">
        <w:rPr>
          <w:rFonts w:ascii="TimesNewRoman" w:hAnsi="TimesNewRoman" w:cs="TimesNewRoman"/>
        </w:rPr>
        <w:t xml:space="preserve"> collection will fully comply</w:t>
      </w:r>
      <w:r w:rsidRPr="002D0805">
        <w:rPr>
          <w:rFonts w:ascii="TimesNewRoman" w:hAnsi="TimesNewRoman" w:cs="TimesNewRoman"/>
        </w:rPr>
        <w:t xml:space="preserve"> with the guidelines of 5 CFR 1320.5.</w:t>
      </w:r>
    </w:p>
    <w:p w:rsidR="0073591C" w:rsidRPr="002D0805" w:rsidRDefault="0073591C" w:rsidP="002F40AB">
      <w:pPr>
        <w:autoSpaceDE w:val="0"/>
        <w:autoSpaceDN w:val="0"/>
        <w:adjustRightInd w:val="0"/>
        <w:rPr>
          <w:b/>
          <w:bCs/>
        </w:rPr>
      </w:pPr>
    </w:p>
    <w:p w:rsidR="007E0E75" w:rsidRPr="003934D6" w:rsidRDefault="00322A9F" w:rsidP="00912517">
      <w:pPr>
        <w:pStyle w:val="Heading2"/>
      </w:pPr>
      <w:bookmarkStart w:id="93" w:name="_Toc305155367"/>
      <w:bookmarkStart w:id="94" w:name="_Toc306341897"/>
      <w:bookmarkStart w:id="95" w:name="_Toc306344150"/>
      <w:bookmarkStart w:id="96" w:name="_Toc306344791"/>
      <w:bookmarkStart w:id="97" w:name="_Toc306345032"/>
      <w:bookmarkStart w:id="98" w:name="_Toc311445501"/>
      <w:bookmarkStart w:id="99" w:name="_Toc351620205"/>
      <w:r w:rsidRPr="003934D6">
        <w:t>A.8 Comments in Response to the Federal Register Notice and Efforts to Consult Outside</w:t>
      </w:r>
      <w:bookmarkEnd w:id="93"/>
      <w:bookmarkEnd w:id="94"/>
      <w:bookmarkEnd w:id="95"/>
      <w:bookmarkEnd w:id="96"/>
      <w:bookmarkEnd w:id="97"/>
      <w:bookmarkEnd w:id="98"/>
      <w:r w:rsidR="00186982" w:rsidRPr="003934D6">
        <w:t xml:space="preserve"> the Agency</w:t>
      </w:r>
      <w:bookmarkEnd w:id="99"/>
      <w:r w:rsidR="00186982" w:rsidRPr="003934D6">
        <w:t xml:space="preserve"> </w:t>
      </w:r>
    </w:p>
    <w:p w:rsidR="003934D6" w:rsidRPr="003934D6" w:rsidRDefault="003934D6" w:rsidP="002F40AB">
      <w:pPr>
        <w:autoSpaceDE w:val="0"/>
        <w:autoSpaceDN w:val="0"/>
        <w:adjustRightInd w:val="0"/>
        <w:rPr>
          <w:rFonts w:asciiTheme="majorHAnsi" w:hAnsiTheme="majorHAnsi"/>
          <w:b/>
          <w:bCs/>
          <w:sz w:val="26"/>
          <w:szCs w:val="26"/>
        </w:rPr>
      </w:pPr>
    </w:p>
    <w:p w:rsidR="00A6396B" w:rsidRPr="0039614F" w:rsidRDefault="00A6396B" w:rsidP="0039614F">
      <w:pPr>
        <w:pStyle w:val="ListParagraph"/>
        <w:numPr>
          <w:ilvl w:val="0"/>
          <w:numId w:val="38"/>
        </w:numPr>
        <w:tabs>
          <w:tab w:val="left" w:pos="1545"/>
        </w:tabs>
        <w:rPr>
          <w:color w:val="000000"/>
        </w:rPr>
      </w:pPr>
      <w:r>
        <w:t xml:space="preserve">A 60-day Federal Register notice was published in the </w:t>
      </w:r>
      <w:r w:rsidRPr="0039614F">
        <w:rPr>
          <w:i/>
        </w:rPr>
        <w:t>Federal Register</w:t>
      </w:r>
      <w:r>
        <w:t>, Vol. 77, No. 61 on Thursday, March 29, 2012</w:t>
      </w:r>
      <w:r w:rsidRPr="008E0304">
        <w:t xml:space="preserve"> </w:t>
      </w:r>
      <w:r w:rsidRPr="0039614F">
        <w:rPr>
          <w:color w:val="000000"/>
        </w:rPr>
        <w:t xml:space="preserve">(Attachment </w:t>
      </w:r>
      <w:r w:rsidR="00D55988">
        <w:rPr>
          <w:color w:val="000000"/>
        </w:rPr>
        <w:t>2</w:t>
      </w:r>
      <w:r w:rsidRPr="0039614F">
        <w:rPr>
          <w:color w:val="000000"/>
        </w:rPr>
        <w:t xml:space="preserve">). </w:t>
      </w:r>
    </w:p>
    <w:p w:rsidR="00A6396B" w:rsidRDefault="00A6396B" w:rsidP="0039614F">
      <w:pPr>
        <w:pStyle w:val="ListParagraph"/>
        <w:numPr>
          <w:ilvl w:val="0"/>
          <w:numId w:val="38"/>
        </w:numPr>
        <w:tabs>
          <w:tab w:val="left" w:pos="1545"/>
        </w:tabs>
      </w:pPr>
      <w:r>
        <w:t>Below is a list of individuals and groups outside of the agency who were consulted to obtain their views on the availability of data, the clarity of instructions and information, and the completeness of the material.</w:t>
      </w:r>
    </w:p>
    <w:p w:rsidR="00A6396B" w:rsidRDefault="00A6396B" w:rsidP="00A6396B">
      <w:pPr>
        <w:tabs>
          <w:tab w:val="left" w:pos="1545"/>
        </w:tabs>
      </w:pPr>
    </w:p>
    <w:p w:rsidR="00A6396B" w:rsidRDefault="00A6396B" w:rsidP="00A6396B">
      <w:pPr>
        <w:tabs>
          <w:tab w:val="left" w:pos="1545"/>
        </w:tabs>
      </w:pPr>
      <w:r>
        <w:rPr>
          <w:i/>
        </w:rPr>
        <w:t>Sharon Lee</w:t>
      </w:r>
      <w:r>
        <w:t xml:space="preserve">, Division of Environmental &amp; Occupational Disease Control, </w:t>
      </w:r>
    </w:p>
    <w:p w:rsidR="00A6396B" w:rsidRDefault="00A6396B" w:rsidP="00A6396B">
      <w:pPr>
        <w:tabs>
          <w:tab w:val="left" w:pos="1545"/>
        </w:tabs>
      </w:pPr>
      <w:r>
        <w:t xml:space="preserve">CA Dept of Health Services </w:t>
      </w:r>
    </w:p>
    <w:p w:rsidR="00A6396B" w:rsidRDefault="00A6396B" w:rsidP="00A6396B">
      <w:pPr>
        <w:tabs>
          <w:tab w:val="left" w:pos="1545"/>
        </w:tabs>
      </w:pPr>
      <w:r>
        <w:t>&amp; Facilitator of the Interstate Chemical Terrorism Workgroup</w:t>
      </w:r>
    </w:p>
    <w:p w:rsidR="00A6396B" w:rsidRDefault="00A6396B" w:rsidP="00A6396B">
      <w:pPr>
        <w:tabs>
          <w:tab w:val="left" w:pos="1545"/>
        </w:tabs>
      </w:pPr>
      <w:smartTag w:uri="urn:schemas-microsoft-com:office:smarttags" w:element="Street">
        <w:smartTag w:uri="urn:schemas-microsoft-com:office:smarttags" w:element="address">
          <w:r>
            <w:t>1515 Clay St., Suite 1901</w:t>
          </w:r>
        </w:smartTag>
      </w:smartTag>
    </w:p>
    <w:p w:rsidR="00A6396B" w:rsidRDefault="00A6396B" w:rsidP="00A6396B">
      <w:pPr>
        <w:tabs>
          <w:tab w:val="left" w:pos="1545"/>
        </w:tabs>
      </w:pPr>
      <w:smartTag w:uri="urn:schemas-microsoft-com:office:smarttags" w:element="place">
        <w:smartTag w:uri="urn:schemas-microsoft-com:office:smarttags" w:element="City">
          <w:r>
            <w:t>Oakland</w:t>
          </w:r>
        </w:smartTag>
        <w:r>
          <w:t xml:space="preserve"> </w:t>
        </w:r>
        <w:smartTag w:uri="urn:schemas-microsoft-com:office:smarttags" w:element="State">
          <w:r>
            <w:t>CA</w:t>
          </w:r>
        </w:smartTag>
        <w:r>
          <w:t xml:space="preserve"> </w:t>
        </w:r>
        <w:smartTag w:uri="urn:schemas-microsoft-com:office:smarttags" w:element="PostalCode">
          <w:r>
            <w:t>94612</w:t>
          </w:r>
        </w:smartTag>
      </w:smartTag>
    </w:p>
    <w:p w:rsidR="00A6396B" w:rsidRDefault="00A6396B" w:rsidP="00A6396B">
      <w:pPr>
        <w:tabs>
          <w:tab w:val="left" w:pos="1545"/>
        </w:tabs>
        <w:rPr>
          <w:color w:val="000000"/>
        </w:rPr>
      </w:pPr>
      <w:r>
        <w:rPr>
          <w:color w:val="000000"/>
        </w:rPr>
        <w:t>Phone (510) 622-4478</w:t>
      </w:r>
    </w:p>
    <w:p w:rsidR="00A6396B" w:rsidRDefault="00A6396B" w:rsidP="00A6396B">
      <w:pPr>
        <w:tabs>
          <w:tab w:val="left" w:pos="1545"/>
        </w:tabs>
        <w:rPr>
          <w:color w:val="000000"/>
        </w:rPr>
      </w:pPr>
      <w:r>
        <w:rPr>
          <w:color w:val="000000"/>
        </w:rPr>
        <w:t xml:space="preserve">Lee, </w:t>
      </w:r>
      <w:smartTag w:uri="urn:schemas-microsoft-com:office:smarttags" w:element="place">
        <w:smartTag w:uri="urn:schemas-microsoft-com:office:smarttags" w:element="City">
          <w:r>
            <w:rPr>
              <w:color w:val="000000"/>
            </w:rPr>
            <w:t>Sharon</w:t>
          </w:r>
        </w:smartTag>
      </w:smartTag>
      <w:r>
        <w:rPr>
          <w:color w:val="000000"/>
        </w:rPr>
        <w:t xml:space="preserve"> (DHS-EHIB) [SSeidel@dhs.ca.gov]</w:t>
      </w:r>
    </w:p>
    <w:p w:rsidR="00A6396B" w:rsidRPr="00C040A5" w:rsidRDefault="00A6396B" w:rsidP="00A6396B">
      <w:pPr>
        <w:tabs>
          <w:tab w:val="left" w:pos="1545"/>
        </w:tabs>
        <w:rPr>
          <w:color w:val="FF0000"/>
        </w:rPr>
      </w:pPr>
      <w:r>
        <w:t xml:space="preserve"> – ATSDR solicited comments through her from the Interstate Chemical Terrorism Workgroup and requested information on other surveys. More than 30 state representatives reviewed the </w:t>
      </w:r>
      <w:r>
        <w:lastRenderedPageBreak/>
        <w:t>chemical exposure questions. ATSDR received oral and written comments from 10 representatives and added questions from other surveys.</w:t>
      </w:r>
      <w:r>
        <w:rPr>
          <w:color w:val="FF0000"/>
        </w:rPr>
        <w:t xml:space="preserve"> </w:t>
      </w:r>
      <w:r w:rsidRPr="008E0304">
        <w:t>(2006)</w:t>
      </w:r>
    </w:p>
    <w:p w:rsidR="00A6396B" w:rsidRDefault="00A6396B" w:rsidP="00A6396B">
      <w:pPr>
        <w:tabs>
          <w:tab w:val="left" w:pos="1545"/>
        </w:tabs>
      </w:pPr>
    </w:p>
    <w:p w:rsidR="00A6396B" w:rsidRDefault="00A6396B" w:rsidP="00A6396B">
      <w:pPr>
        <w:tabs>
          <w:tab w:val="left" w:pos="1545"/>
        </w:tabs>
      </w:pPr>
      <w:r>
        <w:rPr>
          <w:i/>
        </w:rPr>
        <w:t>Laura Fenster</w:t>
      </w:r>
      <w:r>
        <w:t>, PhD., Epidemiologist</w:t>
      </w:r>
    </w:p>
    <w:p w:rsidR="00A6396B" w:rsidRDefault="00A6396B" w:rsidP="00A6396B">
      <w:pPr>
        <w:tabs>
          <w:tab w:val="left" w:pos="1545"/>
        </w:tabs>
      </w:pPr>
      <w:r>
        <w:t>Occupational Health Branch</w:t>
      </w:r>
    </w:p>
    <w:p w:rsidR="00A6396B" w:rsidRDefault="00A6396B" w:rsidP="00A6396B">
      <w:pPr>
        <w:tabs>
          <w:tab w:val="left" w:pos="1545"/>
        </w:tabs>
      </w:pPr>
      <w:r>
        <w:t>CA Dept of Health Services</w:t>
      </w:r>
    </w:p>
    <w:p w:rsidR="00A6396B" w:rsidRDefault="00A6396B" w:rsidP="00A6396B">
      <w:pPr>
        <w:tabs>
          <w:tab w:val="left" w:pos="1545"/>
        </w:tabs>
      </w:pPr>
      <w:smartTag w:uri="urn:schemas-microsoft-com:office:smarttags" w:element="Street">
        <w:smartTag w:uri="urn:schemas-microsoft-com:office:smarttags" w:element="address">
          <w:r>
            <w:t>1515 Clay St., Suite 1901</w:t>
          </w:r>
        </w:smartTag>
      </w:smartTag>
    </w:p>
    <w:p w:rsidR="00A6396B" w:rsidRDefault="00A6396B" w:rsidP="00A6396B">
      <w:pPr>
        <w:tabs>
          <w:tab w:val="left" w:pos="1545"/>
        </w:tabs>
      </w:pPr>
      <w:smartTag w:uri="urn:schemas-microsoft-com:office:smarttags" w:element="place">
        <w:smartTag w:uri="urn:schemas-microsoft-com:office:smarttags" w:element="City">
          <w:r>
            <w:t>Oakland</w:t>
          </w:r>
        </w:smartTag>
        <w:r>
          <w:t xml:space="preserve"> </w:t>
        </w:r>
        <w:smartTag w:uri="urn:schemas-microsoft-com:office:smarttags" w:element="State">
          <w:r>
            <w:t>CA</w:t>
          </w:r>
        </w:smartTag>
        <w:r>
          <w:t xml:space="preserve"> </w:t>
        </w:r>
        <w:smartTag w:uri="urn:schemas-microsoft-com:office:smarttags" w:element="PostalCode">
          <w:r>
            <w:t>94612</w:t>
          </w:r>
        </w:smartTag>
      </w:smartTag>
    </w:p>
    <w:p w:rsidR="00A6396B" w:rsidRDefault="00A6396B" w:rsidP="00A6396B">
      <w:pPr>
        <w:tabs>
          <w:tab w:val="left" w:pos="1545"/>
        </w:tabs>
      </w:pPr>
      <w:r>
        <w:t>Phone (510) 622-4448</w:t>
      </w:r>
    </w:p>
    <w:p w:rsidR="00A6396B" w:rsidRDefault="00A6396B" w:rsidP="00A6396B">
      <w:pPr>
        <w:tabs>
          <w:tab w:val="left" w:pos="1545"/>
        </w:tabs>
      </w:pPr>
      <w:r>
        <w:t xml:space="preserve"> Fenster, Laura (DHS-DEODC-OHB) [LFenster@dhs.ca.gov]</w:t>
      </w:r>
    </w:p>
    <w:p w:rsidR="00A6396B" w:rsidRPr="008E0304" w:rsidRDefault="00A6396B" w:rsidP="00A6396B">
      <w:pPr>
        <w:tabs>
          <w:tab w:val="left" w:pos="1545"/>
        </w:tabs>
      </w:pPr>
      <w:r>
        <w:t>- reviewed the chemical exposure questions and provided comments. She also provided information on other surveys and ATSDR incorporated some of the questions into the chemical exposure questions</w:t>
      </w:r>
      <w:r w:rsidRPr="008E0304">
        <w:t>. (2006)</w:t>
      </w:r>
    </w:p>
    <w:p w:rsidR="00A6396B" w:rsidRDefault="00A6396B" w:rsidP="00A6396B">
      <w:pPr>
        <w:tabs>
          <w:tab w:val="left" w:pos="1545"/>
        </w:tabs>
      </w:pPr>
    </w:p>
    <w:p w:rsidR="00A6396B" w:rsidRDefault="00A6396B" w:rsidP="00A6396B">
      <w:pPr>
        <w:tabs>
          <w:tab w:val="left" w:pos="1545"/>
        </w:tabs>
        <w:rPr>
          <w:i/>
        </w:rPr>
      </w:pPr>
      <w:r>
        <w:rPr>
          <w:i/>
        </w:rPr>
        <w:t>Bruce Bernard, M.D., M.P.H.</w:t>
      </w:r>
    </w:p>
    <w:p w:rsidR="00A6396B" w:rsidRDefault="00A6396B" w:rsidP="00A6396B">
      <w:pPr>
        <w:tabs>
          <w:tab w:val="left" w:pos="1545"/>
        </w:tabs>
      </w:pPr>
      <w:r>
        <w:t>Medical Section Chief</w:t>
      </w:r>
    </w:p>
    <w:p w:rsidR="00A6396B" w:rsidRDefault="00A6396B" w:rsidP="00A6396B">
      <w:pPr>
        <w:tabs>
          <w:tab w:val="left" w:pos="1545"/>
        </w:tabs>
      </w:pPr>
      <w:r>
        <w:t>Hazard Evaluations and Technical Assistance Branch</w:t>
      </w:r>
    </w:p>
    <w:p w:rsidR="00A6396B" w:rsidRDefault="00A6396B" w:rsidP="00A6396B">
      <w:pPr>
        <w:tabs>
          <w:tab w:val="left" w:pos="1545"/>
        </w:tabs>
      </w:pPr>
      <w:r>
        <w:t xml:space="preserve">Div of Surveillance, Hazard Evaluations &amp; Field Studies </w:t>
      </w:r>
    </w:p>
    <w:p w:rsidR="00A6396B" w:rsidRDefault="00A6396B" w:rsidP="00A6396B">
      <w:pPr>
        <w:tabs>
          <w:tab w:val="left" w:pos="1545"/>
        </w:tabs>
      </w:pPr>
      <w:r>
        <w:t>National Institute for Occupational Safety and Health (NIOSH)</w:t>
      </w:r>
    </w:p>
    <w:p w:rsidR="00A6396B" w:rsidRDefault="00A6396B" w:rsidP="00A6396B">
      <w:pPr>
        <w:tabs>
          <w:tab w:val="left" w:pos="1545"/>
        </w:tabs>
      </w:pPr>
      <w:r>
        <w:t>Centers for Disease Control and Prevention (CDC)</w:t>
      </w:r>
    </w:p>
    <w:p w:rsidR="00A6396B" w:rsidRDefault="00A6396B" w:rsidP="00A6396B">
      <w:pPr>
        <w:tabs>
          <w:tab w:val="left" w:pos="1545"/>
        </w:tabs>
      </w:pPr>
      <w:smartTag w:uri="urn:schemas-microsoft-com:office:smarttags" w:element="Street">
        <w:smartTag w:uri="urn:schemas-microsoft-com:office:smarttags" w:element="address">
          <w:r>
            <w:t>4676 Columbia Parkway</w:t>
          </w:r>
        </w:smartTag>
      </w:smartTag>
      <w:r>
        <w:t xml:space="preserve"> R-10</w:t>
      </w:r>
    </w:p>
    <w:p w:rsidR="00A6396B" w:rsidRDefault="00A6396B" w:rsidP="00A6396B">
      <w:pPr>
        <w:tabs>
          <w:tab w:val="left" w:pos="1545"/>
        </w:tabs>
      </w:pPr>
      <w:smartTag w:uri="urn:schemas-microsoft-com:office:smarttags" w:element="place">
        <w:smartTag w:uri="urn:schemas-microsoft-com:office:smarttags" w:element="City">
          <w:r>
            <w:t>Cincinnati</w:t>
          </w:r>
        </w:smartTag>
        <w:r>
          <w:t xml:space="preserve">, </w:t>
        </w:r>
        <w:smartTag w:uri="urn:schemas-microsoft-com:office:smarttags" w:element="State">
          <w:r>
            <w:t>Ohio</w:t>
          </w:r>
        </w:smartTag>
        <w:r>
          <w:t xml:space="preserve">  </w:t>
        </w:r>
        <w:smartTag w:uri="urn:schemas-microsoft-com:office:smarttags" w:element="PostalCode">
          <w:r>
            <w:t>45226</w:t>
          </w:r>
        </w:smartTag>
      </w:smartTag>
    </w:p>
    <w:p w:rsidR="00A6396B" w:rsidRDefault="00A6396B" w:rsidP="00A6396B">
      <w:pPr>
        <w:tabs>
          <w:tab w:val="left" w:pos="1545"/>
        </w:tabs>
      </w:pPr>
      <w:r>
        <w:t>Phone (513) 841-4589</w:t>
      </w:r>
    </w:p>
    <w:p w:rsidR="00A6396B" w:rsidRDefault="009632E5" w:rsidP="00A6396B">
      <w:pPr>
        <w:tabs>
          <w:tab w:val="left" w:pos="1545"/>
        </w:tabs>
      </w:pPr>
      <w:hyperlink r:id="rId23" w:history="1">
        <w:r w:rsidR="00A6396B">
          <w:rPr>
            <w:rStyle w:val="Hyperlink"/>
          </w:rPr>
          <w:t>BPB4@CDC.GOV</w:t>
        </w:r>
      </w:hyperlink>
    </w:p>
    <w:p w:rsidR="00062A3F" w:rsidRDefault="00A6396B" w:rsidP="00BA56FB">
      <w:pPr>
        <w:tabs>
          <w:tab w:val="left" w:pos="1545"/>
        </w:tabs>
      </w:pPr>
      <w:r>
        <w:t>– provided review of portions of the package pertaining to occupational exposure</w:t>
      </w:r>
      <w:r w:rsidRPr="008E0304">
        <w:t>. (2006)</w:t>
      </w:r>
      <w:bookmarkStart w:id="100" w:name="_Toc305155369"/>
      <w:bookmarkStart w:id="101" w:name="_Toc306341899"/>
      <w:bookmarkStart w:id="102" w:name="_Toc306344152"/>
      <w:bookmarkStart w:id="103" w:name="_Toc306344793"/>
      <w:bookmarkStart w:id="104" w:name="_Toc306345034"/>
      <w:bookmarkStart w:id="105" w:name="_Toc311445503"/>
    </w:p>
    <w:p w:rsidR="00BA56FB" w:rsidRPr="00BA56FB" w:rsidRDefault="00BA56FB" w:rsidP="00BA56FB">
      <w:pPr>
        <w:tabs>
          <w:tab w:val="left" w:pos="1545"/>
        </w:tabs>
        <w:rPr>
          <w:color w:val="FF0000"/>
        </w:rPr>
      </w:pPr>
    </w:p>
    <w:p w:rsidR="0068197A" w:rsidRPr="00266092" w:rsidRDefault="0068197A" w:rsidP="00186982">
      <w:pPr>
        <w:pStyle w:val="Heading2"/>
      </w:pPr>
      <w:bookmarkStart w:id="106" w:name="_Toc351620206"/>
      <w:r w:rsidRPr="00266092">
        <w:t xml:space="preserve">A.9 </w:t>
      </w:r>
      <w:r w:rsidRPr="007F446A">
        <w:t>Explanation</w:t>
      </w:r>
      <w:r w:rsidRPr="00266092">
        <w:t xml:space="preserve"> of Any Payment or Gift to </w:t>
      </w:r>
      <w:r w:rsidR="001E683D" w:rsidRPr="00266092">
        <w:t>Respondents</w:t>
      </w:r>
      <w:bookmarkEnd w:id="100"/>
      <w:bookmarkEnd w:id="101"/>
      <w:bookmarkEnd w:id="102"/>
      <w:bookmarkEnd w:id="103"/>
      <w:bookmarkEnd w:id="104"/>
      <w:bookmarkEnd w:id="105"/>
      <w:bookmarkEnd w:id="106"/>
    </w:p>
    <w:p w:rsidR="0068197A" w:rsidRPr="002D0805" w:rsidRDefault="0068197A" w:rsidP="002F40AB">
      <w:pPr>
        <w:autoSpaceDE w:val="0"/>
        <w:autoSpaceDN w:val="0"/>
        <w:adjustRightInd w:val="0"/>
      </w:pPr>
    </w:p>
    <w:p w:rsidR="00C17B04" w:rsidRDefault="009125FC" w:rsidP="00C17B04">
      <w:pPr>
        <w:tabs>
          <w:tab w:val="left" w:pos="1545"/>
        </w:tabs>
      </w:pPr>
      <w:r>
        <w:t>In general, p</w:t>
      </w:r>
      <w:r w:rsidR="00A6396B">
        <w:t xml:space="preserve">articipants will not </w:t>
      </w:r>
      <w:r w:rsidR="006668A4">
        <w:t>be reimbursed for</w:t>
      </w:r>
      <w:r w:rsidR="00A6396B">
        <w:t xml:space="preserve"> their participation in an EI.</w:t>
      </w:r>
      <w:r>
        <w:t xml:space="preserve"> Under some circumstances,</w:t>
      </w:r>
      <w:r w:rsidR="00C17B04">
        <w:t xml:space="preserve"> </w:t>
      </w:r>
      <w:bookmarkStart w:id="107" w:name="_Toc305155370"/>
      <w:bookmarkStart w:id="108" w:name="_Toc306341900"/>
      <w:bookmarkStart w:id="109" w:name="_Toc306344153"/>
      <w:bookmarkStart w:id="110" w:name="_Toc306344794"/>
      <w:bookmarkStart w:id="111" w:name="_Toc306345035"/>
      <w:bookmarkStart w:id="112" w:name="_Toc311445504"/>
      <w:r w:rsidR="006668A4">
        <w:t>there</w:t>
      </w:r>
      <w:r>
        <w:t xml:space="preserve"> may be</w:t>
      </w:r>
      <w:r w:rsidRPr="00C509F6">
        <w:t xml:space="preserve"> exceptions.</w:t>
      </w:r>
      <w:r w:rsidR="00C17B04">
        <w:t xml:space="preserve"> </w:t>
      </w:r>
      <w:r w:rsidRPr="00C509F6">
        <w:t>In the</w:t>
      </w:r>
      <w:r w:rsidR="00C17B04">
        <w:t>se</w:t>
      </w:r>
      <w:r w:rsidRPr="00C509F6">
        <w:t xml:space="preserve"> </w:t>
      </w:r>
      <w:r>
        <w:t>case</w:t>
      </w:r>
      <w:r w:rsidR="00C17B04">
        <w:t>s,</w:t>
      </w:r>
      <w:r w:rsidRPr="00C509F6">
        <w:t xml:space="preserve"> the Agency may provide stipends of up to $75.  </w:t>
      </w:r>
    </w:p>
    <w:p w:rsidR="00C17B04" w:rsidRDefault="00C17B04" w:rsidP="00C17B04">
      <w:pPr>
        <w:tabs>
          <w:tab w:val="left" w:pos="1545"/>
        </w:tabs>
      </w:pPr>
    </w:p>
    <w:p w:rsidR="009125FC" w:rsidRDefault="009125FC" w:rsidP="00C17B04">
      <w:pPr>
        <w:tabs>
          <w:tab w:val="left" w:pos="1545"/>
        </w:tabs>
      </w:pPr>
      <w:r w:rsidRPr="00C509F6">
        <w:t>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BA56FB" w:rsidRDefault="00BA56FB" w:rsidP="00BA56FB">
      <w:pPr>
        <w:tabs>
          <w:tab w:val="left" w:pos="1545"/>
        </w:tabs>
      </w:pPr>
    </w:p>
    <w:p w:rsidR="001E683D" w:rsidRDefault="001E683D" w:rsidP="00186982">
      <w:pPr>
        <w:pStyle w:val="Heading2"/>
      </w:pPr>
      <w:bookmarkStart w:id="113" w:name="_Toc351620207"/>
      <w:r w:rsidRPr="00266092">
        <w:t xml:space="preserve">A.10 Assurance of </w:t>
      </w:r>
      <w:r w:rsidRPr="007F446A">
        <w:t>Confidentiality</w:t>
      </w:r>
      <w:r w:rsidRPr="00266092">
        <w:t xml:space="preserve"> Provided to Respondents</w:t>
      </w:r>
      <w:bookmarkEnd w:id="107"/>
      <w:bookmarkEnd w:id="108"/>
      <w:bookmarkEnd w:id="109"/>
      <w:bookmarkEnd w:id="110"/>
      <w:bookmarkEnd w:id="111"/>
      <w:bookmarkEnd w:id="112"/>
      <w:bookmarkEnd w:id="113"/>
    </w:p>
    <w:p w:rsidR="00A3479A" w:rsidRDefault="00A3479A" w:rsidP="00A3479A"/>
    <w:p w:rsidR="00A6396B" w:rsidRPr="00F676BC" w:rsidRDefault="00A6396B" w:rsidP="00A6396B">
      <w:pPr>
        <w:tabs>
          <w:tab w:val="left" w:pos="1545"/>
        </w:tabs>
        <w:rPr>
          <w:u w:val="single"/>
        </w:rPr>
      </w:pPr>
      <w:r w:rsidRPr="00F676BC">
        <w:rPr>
          <w:u w:val="single"/>
        </w:rPr>
        <w:t>Institutional Review Board</w:t>
      </w:r>
    </w:p>
    <w:p w:rsidR="00A6396B" w:rsidRPr="00647BB2" w:rsidRDefault="00A6396B" w:rsidP="00A6396B">
      <w:pPr>
        <w:tabs>
          <w:tab w:val="left" w:pos="1545"/>
        </w:tabs>
      </w:pPr>
    </w:p>
    <w:p w:rsidR="00A6396B" w:rsidRDefault="00A6396B" w:rsidP="00A6396B">
      <w:pPr>
        <w:tabs>
          <w:tab w:val="left" w:pos="1545"/>
        </w:tabs>
      </w:pPr>
      <w:r>
        <w:t>Federal Regulations for Protection of Human Subjects (45 C</w:t>
      </w:r>
      <w:r w:rsidR="006D784F">
        <w:t>FR 46) state that “</w:t>
      </w:r>
      <w:r w:rsidR="006D784F" w:rsidRPr="006F1ACD">
        <w:rPr>
          <w:i/>
        </w:rPr>
        <w:t>research</w:t>
      </w:r>
      <w:r w:rsidR="006D784F">
        <w:t xml:space="preserve"> mean</w:t>
      </w:r>
      <w:r>
        <w:t xml:space="preserve">s a systematic investigation, including research development, testing, and evaluation, designed to </w:t>
      </w:r>
      <w:r>
        <w:lastRenderedPageBreak/>
        <w:t>develop or contribute to generalizable knowledge</w:t>
      </w:r>
      <w:r w:rsidR="006F1ACD">
        <w:t>.”</w:t>
      </w:r>
      <w:r>
        <w:t xml:space="preserve"> </w:t>
      </w:r>
      <w:r w:rsidR="00815BB8">
        <w:t xml:space="preserve">In contrast, </w:t>
      </w:r>
      <w:r>
        <w:t xml:space="preserve">EIs are </w:t>
      </w:r>
      <w:r w:rsidR="00615C38">
        <w:t xml:space="preserve">generally intended to be </w:t>
      </w:r>
      <w:r>
        <w:t>systematic investigations</w:t>
      </w:r>
      <w:r w:rsidR="00D55988">
        <w:t xml:space="preserve"> but</w:t>
      </w:r>
      <w:r>
        <w:t xml:space="preserve"> are </w:t>
      </w:r>
      <w:r w:rsidR="00D55988">
        <w:t xml:space="preserve">not </w:t>
      </w:r>
      <w:r>
        <w:t>designed to develop or contribute to generalizable knowledge. However</w:t>
      </w:r>
      <w:r w:rsidR="00D55988">
        <w:t>,</w:t>
      </w:r>
      <w:r>
        <w:t xml:space="preserve"> ATSDR does require that participants in EIs be fully informed of the potential risks and benefits of their participation and that the privacy of the participants</w:t>
      </w:r>
      <w:r w:rsidR="00134A2C">
        <w:t>’</w:t>
      </w:r>
      <w:r>
        <w:t xml:space="preserve"> information be protected. </w:t>
      </w:r>
    </w:p>
    <w:p w:rsidR="00D038EA" w:rsidRDefault="00D038EA" w:rsidP="00D038EA"/>
    <w:p w:rsidR="004D735B" w:rsidRDefault="00646241" w:rsidP="004D735B">
      <w:pPr>
        <w:tabs>
          <w:tab w:val="left" w:pos="1545"/>
        </w:tabs>
      </w:pPr>
      <w:r>
        <w:t>Thus,</w:t>
      </w:r>
      <w:r w:rsidR="00B7021C">
        <w:t xml:space="preserve"> EIs are </w:t>
      </w:r>
      <w:r>
        <w:t xml:space="preserve">generally </w:t>
      </w:r>
      <w:r w:rsidR="00B7021C">
        <w:t>a nonresearch activity</w:t>
      </w:r>
      <w:r w:rsidR="00D038EA">
        <w:t xml:space="preserve"> </w:t>
      </w:r>
      <w:r w:rsidR="00B7021C">
        <w:t xml:space="preserve">and </w:t>
      </w:r>
      <w:r w:rsidR="00D038EA">
        <w:t xml:space="preserve">human subjects review by an Institutional Review Board (IRB) will </w:t>
      </w:r>
      <w:r w:rsidR="00AB4F00">
        <w:t xml:space="preserve">not be required. On occasion as indicated in the </w:t>
      </w:r>
      <w:r w:rsidR="00AB4F00">
        <w:rPr>
          <w:i/>
        </w:rPr>
        <w:t>Public Health Assessment Guidance Manual</w:t>
      </w:r>
      <w:r w:rsidR="00AB4F00">
        <w:t xml:space="preserve"> (ATSDR, 2005)</w:t>
      </w:r>
      <w:r w:rsidR="00D038EA">
        <w:t xml:space="preserve">, </w:t>
      </w:r>
      <w:r w:rsidR="00E50DBF">
        <w:t xml:space="preserve">state or CDC </w:t>
      </w:r>
      <w:r w:rsidR="00D038EA">
        <w:t>IRB review will be obtained</w:t>
      </w:r>
      <w:r w:rsidR="00C348B2">
        <w:t xml:space="preserve"> if </w:t>
      </w:r>
      <w:r w:rsidR="00702BDA">
        <w:t xml:space="preserve">required by </w:t>
      </w:r>
      <w:r w:rsidR="00C348B2">
        <w:t xml:space="preserve">the purpose </w:t>
      </w:r>
      <w:r w:rsidR="00702BDA">
        <w:t>or methods of the EI</w:t>
      </w:r>
      <w:r w:rsidR="00D038EA">
        <w:t xml:space="preserve"> </w:t>
      </w:r>
      <w:r w:rsidR="00B91009">
        <w:t xml:space="preserve">(e.g., </w:t>
      </w:r>
      <w:r w:rsidR="00D038EA">
        <w:t>if a potential research question is asked, if vulnerable populations will be involved, or if circumstances would be considered greater than minimal risk in a research setting</w:t>
      </w:r>
      <w:r w:rsidR="00B91009">
        <w:t>)</w:t>
      </w:r>
      <w:r w:rsidR="00D038EA">
        <w:t xml:space="preserve">. </w:t>
      </w:r>
      <w:r w:rsidR="004D7DFC">
        <w:t xml:space="preserve">All </w:t>
      </w:r>
      <w:r w:rsidR="00E50DBF">
        <w:t xml:space="preserve">ATSDR </w:t>
      </w:r>
      <w:r w:rsidR="004D7DFC">
        <w:t>EIs are reviewed by the NCEH/ATSDR Human Subjects Coordina</w:t>
      </w:r>
      <w:r w:rsidR="00702BDA">
        <w:t>tor who is designated to make human subjects research-or-</w:t>
      </w:r>
      <w:r w:rsidR="004D7DFC">
        <w:t>non-research determination</w:t>
      </w:r>
      <w:r w:rsidR="00702BDA">
        <w:t>s</w:t>
      </w:r>
      <w:r w:rsidR="00D038EA">
        <w:t xml:space="preserve"> on a ca</w:t>
      </w:r>
      <w:r w:rsidR="00403254">
        <w:t>se-by-case basis</w:t>
      </w:r>
      <w:r w:rsidR="00041524">
        <w:t xml:space="preserve">. </w:t>
      </w:r>
      <w:r w:rsidR="00621375">
        <w:t>All IRB forms that are submitted for EIs will include all appropriate information from the Privacy Act including authority and purpose for collecting the data, with whom identifiable information will be shared, the voluntary nature of the information collection and the effect upon the r</w:t>
      </w:r>
      <w:r w:rsidR="001E7EE8">
        <w:t>espondent for not participating</w:t>
      </w:r>
      <w:r w:rsidR="00D038EA">
        <w:t>.</w:t>
      </w:r>
      <w:r w:rsidR="00D038EA">
        <w:rPr>
          <w:rStyle w:val="FootnoteReference"/>
        </w:rPr>
        <w:footnoteReference w:id="3"/>
      </w:r>
      <w:r w:rsidR="00EC182F">
        <w:t xml:space="preserve"> </w:t>
      </w:r>
    </w:p>
    <w:p w:rsidR="004D6401" w:rsidRPr="004D735B" w:rsidRDefault="004D6401" w:rsidP="004D735B">
      <w:pPr>
        <w:tabs>
          <w:tab w:val="left" w:pos="1545"/>
        </w:tabs>
      </w:pPr>
    </w:p>
    <w:p w:rsidR="00A6396B" w:rsidRPr="006B4164" w:rsidRDefault="000C2177" w:rsidP="007F446A">
      <w:pPr>
        <w:pStyle w:val="Heading2"/>
      </w:pPr>
      <w:bookmarkStart w:id="114" w:name="_Toc351620208"/>
      <w:r w:rsidRPr="006B4164">
        <w:rPr>
          <w:rFonts w:ascii="Times New Roman" w:hAnsi="Times New Roman"/>
          <w:sz w:val="24"/>
        </w:rPr>
        <w:t xml:space="preserve">A.10.1. </w:t>
      </w:r>
      <w:r w:rsidR="00A6396B" w:rsidRPr="006B4164">
        <w:rPr>
          <w:rFonts w:ascii="Times New Roman" w:hAnsi="Times New Roman"/>
          <w:sz w:val="24"/>
        </w:rPr>
        <w:t>Privacy Impact Assessment Information</w:t>
      </w:r>
      <w:bookmarkEnd w:id="114"/>
    </w:p>
    <w:p w:rsidR="00A6396B" w:rsidRDefault="00A6396B" w:rsidP="00A6396B">
      <w:pPr>
        <w:tabs>
          <w:tab w:val="left" w:pos="1545"/>
        </w:tabs>
      </w:pPr>
    </w:p>
    <w:p w:rsidR="00A6396B" w:rsidRDefault="00A6396B" w:rsidP="00A6396B">
      <w:pPr>
        <w:tabs>
          <w:tab w:val="left" w:pos="1545"/>
        </w:tabs>
      </w:pPr>
      <w:r>
        <w:t xml:space="preserve">A. </w:t>
      </w:r>
      <w:r w:rsidR="00E27F1D">
        <w:t>I</w:t>
      </w:r>
      <w:r>
        <w:t>t has been determined that the Privacy Act is applicable. The applicable System of Records Notice (SORN) is ATSDR’s broad SORN covering the majority of investigations involving personally identifiable information conducted by the Agency, 09-19-0001, “Records of Persons Exposed or Potentially Exposed to Hazardous or Toxic Substances.”</w:t>
      </w:r>
    </w:p>
    <w:p w:rsidR="00A6396B" w:rsidRDefault="00A6396B" w:rsidP="00A6396B">
      <w:pPr>
        <w:tabs>
          <w:tab w:val="left" w:pos="1545"/>
        </w:tabs>
      </w:pPr>
    </w:p>
    <w:p w:rsidR="00723DD6" w:rsidRDefault="00A6396B" w:rsidP="00A6396B">
      <w:pPr>
        <w:tabs>
          <w:tab w:val="left" w:pos="1545"/>
        </w:tabs>
      </w:pPr>
      <w:r>
        <w:t>B.  Identifying information such as name, address, phone numbe</w:t>
      </w:r>
      <w:r w:rsidR="000848A3">
        <w:t xml:space="preserve">r and email are collected. </w:t>
      </w:r>
      <w:r>
        <w:t xml:space="preserve">ATSDR uses the information only to contact respondents. Identifying information is necessary to facilitate the personal contact with respondents to conduct the </w:t>
      </w:r>
      <w:r w:rsidR="000A5668">
        <w:t>survey</w:t>
      </w:r>
      <w:r>
        <w:t>, to obtain con</w:t>
      </w:r>
      <w:r w:rsidR="006D6063">
        <w:t xml:space="preserve">sent to </w:t>
      </w:r>
      <w:r w:rsidR="006D6063" w:rsidRPr="000848A3">
        <w:t>participate</w:t>
      </w:r>
      <w:r w:rsidRPr="000848A3">
        <w:t xml:space="preserve">, and to provide them their results. </w:t>
      </w:r>
    </w:p>
    <w:p w:rsidR="00723DD6" w:rsidRDefault="00723DD6" w:rsidP="00A6396B">
      <w:pPr>
        <w:tabs>
          <w:tab w:val="left" w:pos="1545"/>
        </w:tabs>
      </w:pPr>
    </w:p>
    <w:p w:rsidR="000848A3" w:rsidRDefault="00A6396B" w:rsidP="00723DD6">
      <w:pPr>
        <w:tabs>
          <w:tab w:val="left" w:pos="1545"/>
        </w:tabs>
      </w:pPr>
      <w:r w:rsidRPr="000848A3">
        <w:t>Al</w:t>
      </w:r>
      <w:r w:rsidR="00072511">
        <w:t>l identifying information maintained by the agency will be</w:t>
      </w:r>
      <w:r w:rsidR="00723DD6">
        <w:t xml:space="preserve"> managed by ATSDR and is</w:t>
      </w:r>
      <w:r w:rsidR="000848A3" w:rsidRPr="000848A3">
        <w:t xml:space="preserve"> subject to the ATSDR Comprehensive Record Control Schedule (CRCS), B-371, which contains authorized disposition instructions for ATSDR's administrative an</w:t>
      </w:r>
      <w:r w:rsidR="002415A9">
        <w:t>d program records.</w:t>
      </w:r>
      <w:r w:rsidR="000848A3" w:rsidRPr="000848A3">
        <w:t xml:space="preserve"> </w:t>
      </w:r>
    </w:p>
    <w:p w:rsidR="006668A4" w:rsidRDefault="006668A4" w:rsidP="00723DD6">
      <w:pPr>
        <w:tabs>
          <w:tab w:val="left" w:pos="1545"/>
        </w:tabs>
      </w:pPr>
    </w:p>
    <w:p w:rsidR="006668A4" w:rsidRPr="000848A3" w:rsidRDefault="006668A4" w:rsidP="00723DD6">
      <w:pPr>
        <w:tabs>
          <w:tab w:val="left" w:pos="1545"/>
        </w:tabs>
      </w:pPr>
      <w:r>
        <w:t>For EIs completed by states, Sunshine Laws may apply.  Sunshine Laws require openness in government, which may result in personal identification being accessible by the general public.  For those states with Sunshine Laws, the consent form will include a statement indicating that these laws may apply.</w:t>
      </w:r>
    </w:p>
    <w:p w:rsidR="000848A3" w:rsidRDefault="000848A3" w:rsidP="00A6396B">
      <w:pPr>
        <w:tabs>
          <w:tab w:val="left" w:pos="1545"/>
        </w:tabs>
      </w:pPr>
    </w:p>
    <w:p w:rsidR="00A6396B" w:rsidRDefault="00A6396B" w:rsidP="00A6396B">
      <w:pPr>
        <w:autoSpaceDE w:val="0"/>
        <w:autoSpaceDN w:val="0"/>
        <w:adjustRightInd w:val="0"/>
        <w:rPr>
          <w:rFonts w:ascii="Arial" w:hAnsi="Arial" w:cs="Arial"/>
          <w:sz w:val="20"/>
          <w:szCs w:val="20"/>
        </w:rPr>
      </w:pPr>
      <w:r>
        <w:t>Data are treated in a private manner, unless otherwise compelled by law. The paper document containing personal identifiers are kept</w:t>
      </w:r>
      <w:r w:rsidR="00E979AC">
        <w:t xml:space="preserve"> in locked file cabinets at </w:t>
      </w:r>
      <w:r>
        <w:t xml:space="preserve">ATSDR. Access to computer files is password-protected and access is limited to authorized EI personnel. All staff working on </w:t>
      </w:r>
      <w:r>
        <w:lastRenderedPageBreak/>
        <w:t>the project agree to safeguard the data and not to make unauthorized disclosures. Any data on laptops will be encrypted in accordance with information systems security requirements for safeguarding personally identifiable information.  Data are safeguarded in accordance with applicable statutes. Responses in published reports are presented in aggregate form and no individuals are identified by name.</w:t>
      </w:r>
    </w:p>
    <w:p w:rsidR="00A6396B" w:rsidRDefault="00A6396B" w:rsidP="00A6396B">
      <w:pPr>
        <w:tabs>
          <w:tab w:val="left" w:pos="1545"/>
        </w:tabs>
      </w:pPr>
    </w:p>
    <w:p w:rsidR="00A6396B" w:rsidRDefault="00A6396B" w:rsidP="00A6396B">
      <w:pPr>
        <w:tabs>
          <w:tab w:val="left" w:pos="1545"/>
        </w:tabs>
      </w:pPr>
      <w:r>
        <w:t>C. Respondent Consent</w:t>
      </w:r>
      <w:r w:rsidR="00FE1266">
        <w:t xml:space="preserve"> - </w:t>
      </w:r>
      <w:r>
        <w:t xml:space="preserve">Although EIs are not systematic investigations, all participants will be informed of the potential </w:t>
      </w:r>
      <w:r w:rsidR="005A53DC">
        <w:t>risks and benefits</w:t>
      </w:r>
      <w:r>
        <w:t xml:space="preserve"> and will be asked to consent as participants in an EI</w:t>
      </w:r>
      <w:r w:rsidR="00AB03D8">
        <w:t>.</w:t>
      </w:r>
      <w:r w:rsidR="001E7EE8">
        <w:t xml:space="preserve"> An EI-specific consent form will be prepared with all necessary information.</w:t>
      </w:r>
    </w:p>
    <w:p w:rsidR="00A6396B" w:rsidRDefault="00A6396B" w:rsidP="00A6396B">
      <w:pPr>
        <w:tabs>
          <w:tab w:val="left" w:pos="1545"/>
        </w:tabs>
      </w:pPr>
    </w:p>
    <w:p w:rsidR="00A6396B" w:rsidRDefault="00A6396B" w:rsidP="00A6396B">
      <w:pPr>
        <w:tabs>
          <w:tab w:val="left" w:pos="1545"/>
        </w:tabs>
      </w:pPr>
      <w:r>
        <w:t>D. Voluntary Nature</w:t>
      </w:r>
      <w:r w:rsidR="00FE1266">
        <w:t xml:space="preserve"> - </w:t>
      </w:r>
      <w:r>
        <w:t>Respondents are told that their participation in the EI is voluntary and they may refuse to answer any of the questions.</w:t>
      </w:r>
    </w:p>
    <w:p w:rsidR="00A6396B" w:rsidRDefault="00A6396B" w:rsidP="00A6396B">
      <w:pPr>
        <w:tabs>
          <w:tab w:val="left" w:pos="1545"/>
        </w:tabs>
      </w:pPr>
    </w:p>
    <w:p w:rsidR="001E683D" w:rsidRPr="00266092" w:rsidRDefault="001E683D" w:rsidP="00186982">
      <w:pPr>
        <w:pStyle w:val="Heading2"/>
      </w:pPr>
      <w:bookmarkStart w:id="115" w:name="_Toc305155371"/>
      <w:bookmarkStart w:id="116" w:name="_Toc306341901"/>
      <w:bookmarkStart w:id="117" w:name="_Toc306344154"/>
      <w:bookmarkStart w:id="118" w:name="_Toc306344795"/>
      <w:bookmarkStart w:id="119" w:name="_Toc306345036"/>
      <w:bookmarkStart w:id="120" w:name="_Toc311445505"/>
      <w:bookmarkStart w:id="121" w:name="_Toc351620209"/>
      <w:r w:rsidRPr="00266092">
        <w:t xml:space="preserve">A.11 Justification for </w:t>
      </w:r>
      <w:r w:rsidRPr="007F446A">
        <w:t>Sensitive</w:t>
      </w:r>
      <w:r w:rsidRPr="00266092">
        <w:t xml:space="preserve"> Questions</w:t>
      </w:r>
      <w:bookmarkEnd w:id="115"/>
      <w:bookmarkEnd w:id="116"/>
      <w:bookmarkEnd w:id="117"/>
      <w:bookmarkEnd w:id="118"/>
      <w:bookmarkEnd w:id="119"/>
      <w:bookmarkEnd w:id="120"/>
      <w:bookmarkEnd w:id="121"/>
    </w:p>
    <w:p w:rsidR="00266092" w:rsidRPr="002D0805" w:rsidRDefault="00266092" w:rsidP="002F40AB">
      <w:pPr>
        <w:autoSpaceDE w:val="0"/>
        <w:autoSpaceDN w:val="0"/>
        <w:adjustRightInd w:val="0"/>
        <w:rPr>
          <w:b/>
          <w:bCs/>
        </w:rPr>
      </w:pPr>
    </w:p>
    <w:p w:rsidR="00FE2EAC" w:rsidRDefault="00A6396B" w:rsidP="00A6396B">
      <w:pPr>
        <w:autoSpaceDE w:val="0"/>
        <w:autoSpaceDN w:val="0"/>
        <w:adjustRightInd w:val="0"/>
      </w:pPr>
      <w:r>
        <w:rPr>
          <w:color w:val="000000"/>
        </w:rPr>
        <w:t>ATSDR sometimes gathers information about individual characteristics (e.g., gender, age, weight, ethnicity, and race) to assis</w:t>
      </w:r>
      <w:r w:rsidR="009B760F">
        <w:rPr>
          <w:color w:val="000000"/>
        </w:rPr>
        <w:t>t with interpretation for biolog</w:t>
      </w:r>
      <w:r>
        <w:rPr>
          <w:color w:val="000000"/>
        </w:rPr>
        <w:t xml:space="preserve">ical samples. For example, if ethnicity and race information is collected, the individual’s laboratory results are compared to similar ethnicity and race results in the </w:t>
      </w:r>
      <w:r>
        <w:rPr>
          <w:i/>
          <w:iCs/>
          <w:color w:val="000000"/>
        </w:rPr>
        <w:t xml:space="preserve">National Report on Human Exposure to Environmental Chemicals </w:t>
      </w:r>
      <w:r w:rsidRPr="00F676BC">
        <w:rPr>
          <w:iCs/>
          <w:color w:val="000000"/>
        </w:rPr>
        <w:t xml:space="preserve">(see citation </w:t>
      </w:r>
      <w:r>
        <w:rPr>
          <w:iCs/>
          <w:color w:val="000000"/>
        </w:rPr>
        <w:t>above</w:t>
      </w:r>
      <w:r w:rsidRPr="00F676BC">
        <w:rPr>
          <w:iCs/>
          <w:color w:val="000000"/>
        </w:rPr>
        <w:t>)</w:t>
      </w:r>
      <w:r w:rsidRPr="00FA34A2">
        <w:rPr>
          <w:color w:val="000000"/>
        </w:rPr>
        <w:t>.</w:t>
      </w:r>
      <w:r>
        <w:rPr>
          <w:color w:val="000000"/>
        </w:rPr>
        <w:t xml:space="preserve"> </w:t>
      </w:r>
      <w:r>
        <w:rPr>
          <w:bCs/>
          <w:iCs/>
        </w:rPr>
        <w:t>Beyond that, g</w:t>
      </w:r>
      <w:r>
        <w:t xml:space="preserve">enerally, questions of a sensitive nature are not asked. </w:t>
      </w:r>
    </w:p>
    <w:p w:rsidR="00FE2EAC" w:rsidRDefault="00FE2EAC" w:rsidP="00A6396B">
      <w:pPr>
        <w:autoSpaceDE w:val="0"/>
        <w:autoSpaceDN w:val="0"/>
        <w:adjustRightInd w:val="0"/>
      </w:pPr>
    </w:p>
    <w:p w:rsidR="00A6396B" w:rsidRDefault="00A6396B" w:rsidP="00A6396B">
      <w:pPr>
        <w:autoSpaceDE w:val="0"/>
        <w:autoSpaceDN w:val="0"/>
        <w:adjustRightInd w:val="0"/>
      </w:pPr>
      <w:r>
        <w:t xml:space="preserve">Occasionally, we may need to ask questions on </w:t>
      </w:r>
      <w:r w:rsidR="00876CA0">
        <w:t xml:space="preserve">symptoms, medical outcomes, or </w:t>
      </w:r>
      <w:r>
        <w:t>drug and medication use to assist us in interpreting an individual’s laboratory results. ATSDR may also ask questions pertaining to recent or current pregnancy status for one of two re</w:t>
      </w:r>
      <w:r w:rsidR="00705106">
        <w:t xml:space="preserve">asons: 1) </w:t>
      </w:r>
      <w:r>
        <w:t xml:space="preserve">pregnancy makes a woman and her unborn child more vulnerable to the effects of some chemicals (e.g., lead) or 2) </w:t>
      </w:r>
      <w:r w:rsidR="00705106">
        <w:t>s</w:t>
      </w:r>
      <w:r>
        <w:t>ome blood tests require a large quantity of blood. For exampl</w:t>
      </w:r>
      <w:r w:rsidR="001834A3">
        <w:t>e it is generally difficult</w:t>
      </w:r>
      <w:r>
        <w:t xml:space="preserve"> to collect a 70</w:t>
      </w:r>
      <w:r w:rsidR="00E27F1D">
        <w:t>-</w:t>
      </w:r>
      <w:r>
        <w:t xml:space="preserve">ml blood sample for dioxins from a small child, pregnant woman, or an anemic </w:t>
      </w:r>
      <w:r w:rsidR="001D0AD0">
        <w:t xml:space="preserve">or underweight </w:t>
      </w:r>
      <w:r>
        <w:t xml:space="preserve">person. </w:t>
      </w:r>
    </w:p>
    <w:p w:rsidR="00A6396B" w:rsidRDefault="00A6396B" w:rsidP="00A6396B">
      <w:pPr>
        <w:tabs>
          <w:tab w:val="left" w:pos="1545"/>
        </w:tabs>
      </w:pPr>
    </w:p>
    <w:p w:rsidR="00A6396B" w:rsidRDefault="00A6396B" w:rsidP="00A6396B">
      <w:pPr>
        <w:tabs>
          <w:tab w:val="left" w:pos="1545"/>
        </w:tabs>
      </w:pPr>
      <w:r>
        <w:t>Social se</w:t>
      </w:r>
      <w:r w:rsidR="00646835">
        <w:t>curity numbers are not needed nor will be</w:t>
      </w:r>
      <w:r>
        <w:t xml:space="preserve"> requested.</w:t>
      </w:r>
    </w:p>
    <w:p w:rsidR="00392B58" w:rsidRDefault="00392B58" w:rsidP="00A6396B">
      <w:pPr>
        <w:tabs>
          <w:tab w:val="left" w:pos="1545"/>
        </w:tabs>
      </w:pPr>
    </w:p>
    <w:p w:rsidR="00651981" w:rsidRPr="00392B58" w:rsidRDefault="00651981" w:rsidP="00392B58">
      <w:pPr>
        <w:pStyle w:val="Heading2"/>
      </w:pPr>
      <w:bookmarkStart w:id="122" w:name="_Toc306344155"/>
      <w:bookmarkStart w:id="123" w:name="_Toc306344796"/>
      <w:bookmarkStart w:id="124" w:name="_Toc306345037"/>
      <w:bookmarkStart w:id="125" w:name="_Toc311445506"/>
      <w:bookmarkStart w:id="126" w:name="_Toc351620210"/>
      <w:r w:rsidRPr="00A527F9">
        <w:t>A.12 Estimates of Annualized Burden Hours and Costs</w:t>
      </w:r>
      <w:bookmarkEnd w:id="122"/>
      <w:bookmarkEnd w:id="123"/>
      <w:bookmarkEnd w:id="124"/>
      <w:bookmarkEnd w:id="125"/>
      <w:bookmarkEnd w:id="126"/>
    </w:p>
    <w:p w:rsidR="006653AB" w:rsidRPr="004628E1" w:rsidRDefault="006653AB" w:rsidP="007F446A">
      <w:pPr>
        <w:pStyle w:val="Heading2"/>
        <w:rPr>
          <w:b w:val="0"/>
        </w:rPr>
      </w:pPr>
      <w:bookmarkStart w:id="127" w:name="_Toc351620211"/>
      <w:bookmarkStart w:id="128" w:name="_Toc306344156"/>
      <w:bookmarkStart w:id="129" w:name="_Toc306344797"/>
      <w:bookmarkStart w:id="130" w:name="_Toc306345038"/>
      <w:bookmarkStart w:id="131" w:name="_Toc311445507"/>
      <w:r w:rsidRPr="004628E1">
        <w:rPr>
          <w:rFonts w:ascii="Times New Roman" w:hAnsi="Times New Roman"/>
          <w:sz w:val="24"/>
        </w:rPr>
        <w:t>A. Estimates of Annualized Burden Hours</w:t>
      </w:r>
      <w:bookmarkEnd w:id="127"/>
    </w:p>
    <w:p w:rsidR="006653AB" w:rsidRDefault="006653AB" w:rsidP="006653AB">
      <w:pPr>
        <w:tabs>
          <w:tab w:val="center" w:pos="4680"/>
          <w:tab w:val="left" w:pos="7710"/>
        </w:tabs>
        <w:rPr>
          <w:bCs/>
        </w:rPr>
      </w:pPr>
    </w:p>
    <w:p w:rsidR="006653AB" w:rsidRDefault="006653AB" w:rsidP="006653AB">
      <w:pPr>
        <w:tabs>
          <w:tab w:val="center" w:pos="4680"/>
          <w:tab w:val="left" w:pos="7710"/>
        </w:tabs>
        <w:rPr>
          <w:bCs/>
        </w:rPr>
      </w:pPr>
      <w:r>
        <w:rPr>
          <w:bCs/>
        </w:rPr>
        <w:t xml:space="preserve">Typically, ATSDR conducts </w:t>
      </w:r>
      <w:r w:rsidR="000D6641">
        <w:rPr>
          <w:bCs/>
        </w:rPr>
        <w:t>approximately</w:t>
      </w:r>
      <w:r>
        <w:rPr>
          <w:bCs/>
        </w:rPr>
        <w:t xml:space="preserve"> </w:t>
      </w:r>
      <w:r w:rsidR="00BA194D">
        <w:rPr>
          <w:bCs/>
        </w:rPr>
        <w:t>12</w:t>
      </w:r>
      <w:r>
        <w:rPr>
          <w:bCs/>
        </w:rPr>
        <w:t xml:space="preserve"> EIs nationwide each year requiring a </w:t>
      </w:r>
      <w:r w:rsidR="000A5668">
        <w:rPr>
          <w:bCs/>
        </w:rPr>
        <w:t>survey</w:t>
      </w:r>
      <w:r>
        <w:rPr>
          <w:bCs/>
        </w:rPr>
        <w:t xml:space="preserve">. Generally, the number of participants per investigation ranges from 10 to 100. Therefore, we estimate that the maximum total number of respondents annually is </w:t>
      </w:r>
      <w:r w:rsidR="00BA194D">
        <w:rPr>
          <w:bCs/>
        </w:rPr>
        <w:t>12</w:t>
      </w:r>
      <w:r>
        <w:rPr>
          <w:bCs/>
        </w:rPr>
        <w:t>00 (</w:t>
      </w:r>
      <w:r w:rsidR="00BA194D">
        <w:rPr>
          <w:bCs/>
        </w:rPr>
        <w:t>12</w:t>
      </w:r>
      <w:r>
        <w:rPr>
          <w:bCs/>
        </w:rPr>
        <w:t xml:space="preserve">x100). Generally, we ask the questions once. </w:t>
      </w:r>
    </w:p>
    <w:p w:rsidR="006653AB" w:rsidRDefault="006653AB" w:rsidP="006653AB">
      <w:pPr>
        <w:tabs>
          <w:tab w:val="center" w:pos="4680"/>
          <w:tab w:val="left" w:pos="7710"/>
        </w:tabs>
        <w:rPr>
          <w:bCs/>
        </w:rPr>
      </w:pPr>
    </w:p>
    <w:p w:rsidR="006653AB" w:rsidRDefault="006653AB" w:rsidP="00293340">
      <w:pPr>
        <w:tabs>
          <w:tab w:val="center" w:pos="4680"/>
          <w:tab w:val="left" w:pos="7710"/>
        </w:tabs>
      </w:pPr>
      <w:r>
        <w:rPr>
          <w:bCs/>
        </w:rPr>
        <w:t xml:space="preserve">The time burden per respondent is estimated at 30 minutes. A typical survey may include up to 20 general questions taking less than 30 seconds each to respond and 20 more in-depth exposure specific questions requiring less than one minute each. </w:t>
      </w:r>
      <w:r w:rsidRPr="008E0304">
        <w:rPr>
          <w:bCs/>
        </w:rPr>
        <w:t xml:space="preserve">This estimate is consistent with our </w:t>
      </w:r>
      <w:r w:rsidRPr="008E0304">
        <w:rPr>
          <w:bCs/>
        </w:rPr>
        <w:lastRenderedPageBreak/>
        <w:t xml:space="preserve">results from EIs conducted in the past few years.  </w:t>
      </w:r>
      <w:r w:rsidRPr="00D02DDA">
        <w:t xml:space="preserve">The total estimated annual burden hours are </w:t>
      </w:r>
      <w:r w:rsidR="00CC065A">
        <w:t>6</w:t>
      </w:r>
      <w:r w:rsidR="004E3FE0">
        <w:t>00</w:t>
      </w:r>
      <w:r w:rsidRPr="00D02DDA">
        <w:t>.</w:t>
      </w:r>
    </w:p>
    <w:p w:rsidR="006653AB" w:rsidRPr="00935939" w:rsidRDefault="006653AB" w:rsidP="006653AB">
      <w:pPr>
        <w:tabs>
          <w:tab w:val="left" w:pos="1545"/>
        </w:tabs>
        <w:rPr>
          <w:b/>
        </w:rPr>
      </w:pPr>
    </w:p>
    <w:p w:rsidR="006653AB" w:rsidRPr="003D5701" w:rsidRDefault="006653AB" w:rsidP="006653AB">
      <w:pPr>
        <w:tabs>
          <w:tab w:val="left" w:pos="1545"/>
        </w:tabs>
        <w:rPr>
          <w:u w:val="single"/>
        </w:rPr>
      </w:pPr>
      <w:r w:rsidRPr="003D5701">
        <w:rPr>
          <w:u w:val="single"/>
        </w:rPr>
        <w:t>Estimated Annualized Burden Hours</w:t>
      </w:r>
    </w:p>
    <w:p w:rsidR="006653AB" w:rsidRDefault="006653AB" w:rsidP="006653AB">
      <w:pPr>
        <w:tabs>
          <w:tab w:val="left" w:pos="1545"/>
        </w:tabs>
        <w:rPr>
          <w:b/>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596"/>
        <w:gridCol w:w="2226"/>
        <w:gridCol w:w="2160"/>
        <w:gridCol w:w="1980"/>
      </w:tblGrid>
      <w:tr w:rsidR="006653AB" w:rsidRPr="00136F25" w:rsidTr="006653AB">
        <w:tc>
          <w:tcPr>
            <w:tcW w:w="1596" w:type="dxa"/>
            <w:shd w:val="clear" w:color="auto" w:fill="auto"/>
          </w:tcPr>
          <w:p w:rsidR="006653AB" w:rsidRPr="00136F25" w:rsidRDefault="006653AB" w:rsidP="006653AB">
            <w:pPr>
              <w:tabs>
                <w:tab w:val="left" w:pos="1545"/>
              </w:tabs>
              <w:rPr>
                <w:rFonts w:ascii="Arial" w:hAnsi="Arial" w:cs="Arial"/>
                <w:sz w:val="20"/>
                <w:szCs w:val="20"/>
              </w:rPr>
            </w:pPr>
            <w:r w:rsidRPr="00136F25">
              <w:rPr>
                <w:rFonts w:ascii="Arial" w:hAnsi="Arial" w:cs="Arial"/>
                <w:sz w:val="20"/>
                <w:szCs w:val="20"/>
              </w:rPr>
              <w:t>Type of Respondents</w:t>
            </w:r>
          </w:p>
        </w:tc>
        <w:tc>
          <w:tcPr>
            <w:tcW w:w="1596" w:type="dxa"/>
            <w:shd w:val="clear" w:color="auto" w:fill="auto"/>
          </w:tcPr>
          <w:p w:rsidR="006653AB" w:rsidRPr="00136F25" w:rsidRDefault="006653AB" w:rsidP="006653AB">
            <w:pPr>
              <w:tabs>
                <w:tab w:val="left" w:pos="1545"/>
              </w:tabs>
              <w:rPr>
                <w:rFonts w:ascii="Arial" w:hAnsi="Arial" w:cs="Arial"/>
                <w:sz w:val="20"/>
                <w:szCs w:val="20"/>
              </w:rPr>
            </w:pPr>
            <w:r w:rsidRPr="00136F25">
              <w:rPr>
                <w:rFonts w:ascii="Arial" w:hAnsi="Arial" w:cs="Arial"/>
                <w:sz w:val="20"/>
                <w:szCs w:val="20"/>
              </w:rPr>
              <w:t>No. of Respondents</w:t>
            </w:r>
          </w:p>
        </w:tc>
        <w:tc>
          <w:tcPr>
            <w:tcW w:w="2226" w:type="dxa"/>
            <w:shd w:val="clear" w:color="auto" w:fill="auto"/>
          </w:tcPr>
          <w:p w:rsidR="006653AB" w:rsidRPr="00136F25" w:rsidRDefault="006653AB" w:rsidP="006653AB">
            <w:pPr>
              <w:tabs>
                <w:tab w:val="left" w:pos="1545"/>
              </w:tabs>
              <w:rPr>
                <w:rFonts w:ascii="Arial" w:hAnsi="Arial" w:cs="Arial"/>
                <w:sz w:val="20"/>
                <w:szCs w:val="20"/>
              </w:rPr>
            </w:pPr>
            <w:r w:rsidRPr="00136F25">
              <w:rPr>
                <w:rFonts w:ascii="Arial" w:hAnsi="Arial" w:cs="Arial"/>
                <w:sz w:val="20"/>
                <w:szCs w:val="20"/>
              </w:rPr>
              <w:t>No. of Responses per Respondent</w:t>
            </w:r>
          </w:p>
        </w:tc>
        <w:tc>
          <w:tcPr>
            <w:tcW w:w="2160" w:type="dxa"/>
            <w:shd w:val="clear" w:color="auto" w:fill="auto"/>
          </w:tcPr>
          <w:p w:rsidR="006653AB" w:rsidRPr="00136F25" w:rsidRDefault="006653AB" w:rsidP="006653AB">
            <w:pPr>
              <w:tabs>
                <w:tab w:val="left" w:pos="1545"/>
              </w:tabs>
              <w:rPr>
                <w:rFonts w:ascii="Arial" w:hAnsi="Arial" w:cs="Arial"/>
                <w:sz w:val="20"/>
                <w:szCs w:val="20"/>
              </w:rPr>
            </w:pPr>
            <w:r w:rsidRPr="00136F25">
              <w:rPr>
                <w:rFonts w:ascii="Arial" w:hAnsi="Arial" w:cs="Arial"/>
                <w:sz w:val="20"/>
                <w:szCs w:val="20"/>
              </w:rPr>
              <w:t>Average Burden per Response (in hours)</w:t>
            </w:r>
          </w:p>
        </w:tc>
        <w:tc>
          <w:tcPr>
            <w:tcW w:w="1980" w:type="dxa"/>
            <w:shd w:val="clear" w:color="auto" w:fill="auto"/>
          </w:tcPr>
          <w:p w:rsidR="006653AB" w:rsidRPr="00136F25" w:rsidRDefault="006653AB" w:rsidP="006653AB">
            <w:pPr>
              <w:tabs>
                <w:tab w:val="left" w:pos="1545"/>
              </w:tabs>
              <w:rPr>
                <w:rFonts w:ascii="Arial" w:hAnsi="Arial" w:cs="Arial"/>
                <w:sz w:val="20"/>
                <w:szCs w:val="20"/>
              </w:rPr>
            </w:pPr>
            <w:r w:rsidRPr="00136F25">
              <w:rPr>
                <w:rFonts w:ascii="Arial" w:hAnsi="Arial" w:cs="Arial"/>
                <w:sz w:val="20"/>
                <w:szCs w:val="20"/>
              </w:rPr>
              <w:t>Total Burden (In Hours)</w:t>
            </w:r>
          </w:p>
        </w:tc>
      </w:tr>
      <w:tr w:rsidR="006653AB" w:rsidRPr="00136F25" w:rsidTr="006653AB">
        <w:tc>
          <w:tcPr>
            <w:tcW w:w="1596" w:type="dxa"/>
            <w:shd w:val="clear" w:color="auto" w:fill="auto"/>
          </w:tcPr>
          <w:p w:rsidR="006653AB" w:rsidRPr="00136F25" w:rsidRDefault="006653AB" w:rsidP="006653AB">
            <w:pPr>
              <w:tabs>
                <w:tab w:val="left" w:pos="1545"/>
              </w:tabs>
              <w:rPr>
                <w:rFonts w:ascii="Arial" w:hAnsi="Arial" w:cs="Arial"/>
                <w:sz w:val="20"/>
                <w:szCs w:val="20"/>
              </w:rPr>
            </w:pPr>
            <w:r w:rsidRPr="00136F25">
              <w:rPr>
                <w:rFonts w:ascii="Arial" w:hAnsi="Arial" w:cs="Arial"/>
                <w:sz w:val="20"/>
                <w:szCs w:val="20"/>
              </w:rPr>
              <w:t xml:space="preserve">EI participants </w:t>
            </w:r>
          </w:p>
        </w:tc>
        <w:tc>
          <w:tcPr>
            <w:tcW w:w="1596" w:type="dxa"/>
            <w:shd w:val="clear" w:color="auto" w:fill="auto"/>
          </w:tcPr>
          <w:p w:rsidR="006653AB" w:rsidRPr="00136F25" w:rsidRDefault="00921AC6" w:rsidP="006653AB">
            <w:pPr>
              <w:tabs>
                <w:tab w:val="left" w:pos="1545"/>
              </w:tabs>
              <w:jc w:val="center"/>
              <w:rPr>
                <w:rFonts w:ascii="Arial" w:hAnsi="Arial" w:cs="Arial"/>
                <w:sz w:val="20"/>
                <w:szCs w:val="20"/>
              </w:rPr>
            </w:pPr>
            <w:r>
              <w:rPr>
                <w:rFonts w:ascii="Arial" w:hAnsi="Arial" w:cs="Arial"/>
                <w:sz w:val="20"/>
                <w:szCs w:val="20"/>
              </w:rPr>
              <w:t>12</w:t>
            </w:r>
            <w:r w:rsidR="006653AB" w:rsidRPr="00136F25">
              <w:rPr>
                <w:rFonts w:ascii="Arial" w:hAnsi="Arial" w:cs="Arial"/>
                <w:sz w:val="20"/>
                <w:szCs w:val="20"/>
              </w:rPr>
              <w:t>00</w:t>
            </w:r>
          </w:p>
        </w:tc>
        <w:tc>
          <w:tcPr>
            <w:tcW w:w="2226" w:type="dxa"/>
            <w:shd w:val="clear" w:color="auto" w:fill="auto"/>
          </w:tcPr>
          <w:p w:rsidR="006653AB" w:rsidRPr="00136F25" w:rsidRDefault="006653AB" w:rsidP="006653AB">
            <w:pPr>
              <w:tabs>
                <w:tab w:val="left" w:pos="1545"/>
              </w:tabs>
              <w:jc w:val="center"/>
              <w:rPr>
                <w:rFonts w:ascii="Arial" w:hAnsi="Arial" w:cs="Arial"/>
                <w:sz w:val="20"/>
                <w:szCs w:val="20"/>
              </w:rPr>
            </w:pPr>
            <w:r w:rsidRPr="00136F25">
              <w:rPr>
                <w:rFonts w:ascii="Arial" w:hAnsi="Arial" w:cs="Arial"/>
                <w:sz w:val="20"/>
                <w:szCs w:val="20"/>
              </w:rPr>
              <w:t>1</w:t>
            </w:r>
          </w:p>
        </w:tc>
        <w:tc>
          <w:tcPr>
            <w:tcW w:w="2160" w:type="dxa"/>
            <w:shd w:val="clear" w:color="auto" w:fill="auto"/>
          </w:tcPr>
          <w:p w:rsidR="006653AB" w:rsidRPr="00136F25" w:rsidRDefault="006653AB" w:rsidP="006653AB">
            <w:pPr>
              <w:tabs>
                <w:tab w:val="left" w:pos="1545"/>
              </w:tabs>
              <w:jc w:val="center"/>
              <w:rPr>
                <w:rFonts w:ascii="Arial" w:hAnsi="Arial" w:cs="Arial"/>
                <w:sz w:val="20"/>
                <w:szCs w:val="20"/>
              </w:rPr>
            </w:pPr>
            <w:r w:rsidRPr="00136F25">
              <w:rPr>
                <w:rFonts w:ascii="Arial" w:hAnsi="Arial" w:cs="Arial"/>
                <w:sz w:val="20"/>
                <w:szCs w:val="20"/>
              </w:rPr>
              <w:t>30/60</w:t>
            </w:r>
          </w:p>
        </w:tc>
        <w:tc>
          <w:tcPr>
            <w:tcW w:w="1980" w:type="dxa"/>
            <w:shd w:val="clear" w:color="auto" w:fill="auto"/>
          </w:tcPr>
          <w:p w:rsidR="006653AB" w:rsidRPr="00136F25" w:rsidRDefault="00921AC6" w:rsidP="006653AB">
            <w:pPr>
              <w:tabs>
                <w:tab w:val="left" w:pos="1545"/>
              </w:tabs>
              <w:jc w:val="center"/>
              <w:rPr>
                <w:rFonts w:ascii="Arial" w:hAnsi="Arial" w:cs="Arial"/>
                <w:sz w:val="20"/>
                <w:szCs w:val="20"/>
              </w:rPr>
            </w:pPr>
            <w:r>
              <w:rPr>
                <w:rFonts w:ascii="Arial" w:hAnsi="Arial" w:cs="Arial"/>
                <w:sz w:val="20"/>
                <w:szCs w:val="20"/>
              </w:rPr>
              <w:t>60</w:t>
            </w:r>
            <w:r w:rsidR="006653AB" w:rsidRPr="00136F25">
              <w:rPr>
                <w:rFonts w:ascii="Arial" w:hAnsi="Arial" w:cs="Arial"/>
                <w:sz w:val="20"/>
                <w:szCs w:val="20"/>
              </w:rPr>
              <w:t>0</w:t>
            </w:r>
          </w:p>
        </w:tc>
      </w:tr>
      <w:bookmarkEnd w:id="128"/>
      <w:bookmarkEnd w:id="129"/>
      <w:bookmarkEnd w:id="130"/>
      <w:bookmarkEnd w:id="131"/>
    </w:tbl>
    <w:p w:rsidR="0071388D" w:rsidRPr="002D0805" w:rsidRDefault="0071388D" w:rsidP="002F40AB">
      <w:pPr>
        <w:pStyle w:val="CM80"/>
        <w:spacing w:line="280" w:lineRule="atLeast"/>
        <w:rPr>
          <w:bCs/>
        </w:rPr>
      </w:pPr>
    </w:p>
    <w:p w:rsidR="006653AB" w:rsidRPr="007F446A" w:rsidRDefault="006653AB" w:rsidP="007F446A">
      <w:pPr>
        <w:pStyle w:val="Heading2"/>
        <w:rPr>
          <w:color w:val="000000" w:themeColor="text1"/>
        </w:rPr>
      </w:pPr>
      <w:bookmarkStart w:id="132" w:name="_Toc351620212"/>
      <w:bookmarkStart w:id="133" w:name="_Toc306344157"/>
      <w:bookmarkStart w:id="134" w:name="_Toc306344798"/>
      <w:bookmarkStart w:id="135" w:name="_Toc306345039"/>
      <w:bookmarkStart w:id="136" w:name="_Toc311445508"/>
      <w:r w:rsidRPr="007F446A">
        <w:rPr>
          <w:rFonts w:ascii="Times New Roman" w:hAnsi="Times New Roman"/>
          <w:color w:val="000000" w:themeColor="text1"/>
          <w:sz w:val="24"/>
        </w:rPr>
        <w:t>B. Annualized Cost to Respondents</w:t>
      </w:r>
      <w:bookmarkEnd w:id="132"/>
    </w:p>
    <w:p w:rsidR="006653AB" w:rsidRDefault="006653AB" w:rsidP="006653AB">
      <w:pPr>
        <w:tabs>
          <w:tab w:val="center" w:pos="4680"/>
          <w:tab w:val="left" w:pos="7710"/>
        </w:tabs>
        <w:rPr>
          <w:b/>
        </w:rPr>
      </w:pPr>
    </w:p>
    <w:p w:rsidR="006653AB" w:rsidRDefault="006653AB" w:rsidP="006653AB">
      <w:pPr>
        <w:tabs>
          <w:tab w:val="center" w:pos="4680"/>
          <w:tab w:val="left" w:pos="7710"/>
        </w:tabs>
        <w:rPr>
          <w:color w:val="FF0000"/>
        </w:rPr>
      </w:pPr>
      <w:r>
        <w:t>Using a rate of $21.35</w:t>
      </w:r>
      <w:r>
        <w:rPr>
          <w:color w:val="000000"/>
        </w:rPr>
        <w:t>/hr,</w:t>
      </w:r>
      <w:r>
        <w:t xml:space="preserve"> the annualized cost to respondents for the hour burdens for the collection of information is $</w:t>
      </w:r>
      <w:r w:rsidR="00921AC6">
        <w:t>12,810</w:t>
      </w:r>
      <w:r>
        <w:t>. The hourly wage rate is based on the U.S. Department of Labor, Bureau of Labor Statistics’ most current statistics [May 2010 National Occupational Employment and Wage Estimates United States, last updated April 6, 2011].</w:t>
      </w:r>
    </w:p>
    <w:p w:rsidR="006653AB" w:rsidRDefault="006653AB" w:rsidP="006653AB">
      <w:pPr>
        <w:tabs>
          <w:tab w:val="center" w:pos="4680"/>
          <w:tab w:val="left" w:pos="7710"/>
        </w:tabs>
        <w:rPr>
          <w:color w:val="FF0000"/>
        </w:rPr>
      </w:pPr>
    </w:p>
    <w:p w:rsidR="006653AB" w:rsidRPr="003D5701" w:rsidRDefault="006653AB" w:rsidP="006653AB">
      <w:pPr>
        <w:tabs>
          <w:tab w:val="center" w:pos="4680"/>
          <w:tab w:val="left" w:pos="7710"/>
        </w:tabs>
        <w:rPr>
          <w:u w:val="single"/>
        </w:rPr>
      </w:pPr>
      <w:r w:rsidRPr="003D5701">
        <w:rPr>
          <w:color w:val="000000"/>
          <w:u w:val="single"/>
        </w:rPr>
        <w:t xml:space="preserve">Estimated Annualized </w:t>
      </w:r>
      <w:r w:rsidRPr="003D5701">
        <w:rPr>
          <w:u w:val="single"/>
        </w:rPr>
        <w:t>Burden Costs</w:t>
      </w:r>
    </w:p>
    <w:p w:rsidR="006653AB" w:rsidRDefault="006653AB" w:rsidP="006653AB">
      <w:pPr>
        <w:tabs>
          <w:tab w:val="center" w:pos="4680"/>
          <w:tab w:val="left" w:pos="771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1915"/>
        <w:gridCol w:w="1916"/>
      </w:tblGrid>
      <w:tr w:rsidR="006653AB" w:rsidTr="006653AB">
        <w:tc>
          <w:tcPr>
            <w:tcW w:w="1915" w:type="dxa"/>
            <w:shd w:val="clear" w:color="auto" w:fill="auto"/>
          </w:tcPr>
          <w:p w:rsidR="006653AB" w:rsidRDefault="006653AB" w:rsidP="006653AB">
            <w:pPr>
              <w:tabs>
                <w:tab w:val="center" w:pos="4680"/>
                <w:tab w:val="left" w:pos="7710"/>
              </w:tabs>
            </w:pPr>
            <w:r w:rsidRPr="001F0B82">
              <w:rPr>
                <w:rFonts w:ascii="Arial" w:hAnsi="Arial" w:cs="Arial"/>
                <w:sz w:val="20"/>
                <w:szCs w:val="20"/>
              </w:rPr>
              <w:t>Type of Respondent</w:t>
            </w:r>
          </w:p>
        </w:tc>
        <w:tc>
          <w:tcPr>
            <w:tcW w:w="1915" w:type="dxa"/>
            <w:shd w:val="clear" w:color="auto" w:fill="auto"/>
          </w:tcPr>
          <w:p w:rsidR="006653AB" w:rsidRPr="001F0B82" w:rsidRDefault="006653AB" w:rsidP="006653AB">
            <w:pPr>
              <w:tabs>
                <w:tab w:val="left" w:pos="1545"/>
              </w:tabs>
              <w:rPr>
                <w:rFonts w:ascii="Arial" w:hAnsi="Arial" w:cs="Arial"/>
                <w:sz w:val="20"/>
                <w:szCs w:val="20"/>
              </w:rPr>
            </w:pPr>
            <w:r w:rsidRPr="001F0B82">
              <w:rPr>
                <w:rFonts w:ascii="Arial" w:hAnsi="Arial" w:cs="Arial"/>
                <w:sz w:val="20"/>
                <w:szCs w:val="20"/>
              </w:rPr>
              <w:t>Total Burden Hours</w:t>
            </w:r>
          </w:p>
        </w:tc>
        <w:tc>
          <w:tcPr>
            <w:tcW w:w="1915" w:type="dxa"/>
            <w:shd w:val="clear" w:color="auto" w:fill="auto"/>
          </w:tcPr>
          <w:p w:rsidR="006653AB" w:rsidRDefault="006653AB" w:rsidP="006653AB">
            <w:pPr>
              <w:tabs>
                <w:tab w:val="center" w:pos="4680"/>
                <w:tab w:val="left" w:pos="7710"/>
              </w:tabs>
            </w:pPr>
            <w:r w:rsidRPr="001F0B82">
              <w:rPr>
                <w:rFonts w:ascii="Arial" w:hAnsi="Arial" w:cs="Arial"/>
                <w:sz w:val="20"/>
                <w:szCs w:val="20"/>
              </w:rPr>
              <w:t>No. Responses per Respondent</w:t>
            </w:r>
          </w:p>
        </w:tc>
        <w:tc>
          <w:tcPr>
            <w:tcW w:w="1915" w:type="dxa"/>
            <w:shd w:val="clear" w:color="auto" w:fill="auto"/>
          </w:tcPr>
          <w:p w:rsidR="006653AB" w:rsidRDefault="006653AB" w:rsidP="006653AB">
            <w:pPr>
              <w:tabs>
                <w:tab w:val="center" w:pos="4680"/>
                <w:tab w:val="left" w:pos="7710"/>
              </w:tabs>
            </w:pPr>
            <w:r w:rsidRPr="001F0B82">
              <w:rPr>
                <w:rFonts w:ascii="Arial" w:hAnsi="Arial" w:cs="Arial"/>
                <w:sz w:val="20"/>
                <w:szCs w:val="20"/>
              </w:rPr>
              <w:t>Hourly Wage Rate</w:t>
            </w:r>
          </w:p>
        </w:tc>
        <w:tc>
          <w:tcPr>
            <w:tcW w:w="1916" w:type="dxa"/>
            <w:shd w:val="clear" w:color="auto" w:fill="auto"/>
          </w:tcPr>
          <w:p w:rsidR="006653AB" w:rsidRDefault="006653AB" w:rsidP="006653AB">
            <w:pPr>
              <w:tabs>
                <w:tab w:val="center" w:pos="4680"/>
                <w:tab w:val="left" w:pos="7710"/>
              </w:tabs>
            </w:pPr>
            <w:r w:rsidRPr="001F0B82">
              <w:rPr>
                <w:rFonts w:ascii="Arial" w:hAnsi="Arial" w:cs="Arial"/>
                <w:sz w:val="20"/>
                <w:szCs w:val="20"/>
              </w:rPr>
              <w:t xml:space="preserve">Total Respondent Costs </w:t>
            </w:r>
          </w:p>
        </w:tc>
      </w:tr>
      <w:tr w:rsidR="006653AB" w:rsidTr="006653AB">
        <w:tc>
          <w:tcPr>
            <w:tcW w:w="1915" w:type="dxa"/>
            <w:shd w:val="clear" w:color="auto" w:fill="auto"/>
          </w:tcPr>
          <w:p w:rsidR="006653AB" w:rsidRPr="00275B76" w:rsidRDefault="006653AB" w:rsidP="006653AB">
            <w:pPr>
              <w:tabs>
                <w:tab w:val="center" w:pos="4680"/>
                <w:tab w:val="left" w:pos="7710"/>
              </w:tabs>
              <w:rPr>
                <w:rFonts w:ascii="Arial" w:hAnsi="Arial" w:cs="Arial"/>
                <w:sz w:val="20"/>
                <w:szCs w:val="20"/>
              </w:rPr>
            </w:pPr>
            <w:r w:rsidRPr="00275B76">
              <w:rPr>
                <w:rFonts w:ascii="Arial" w:hAnsi="Arial" w:cs="Arial"/>
                <w:sz w:val="20"/>
                <w:szCs w:val="20"/>
              </w:rPr>
              <w:t>EI participants</w:t>
            </w:r>
          </w:p>
        </w:tc>
        <w:tc>
          <w:tcPr>
            <w:tcW w:w="1915" w:type="dxa"/>
            <w:shd w:val="clear" w:color="auto" w:fill="auto"/>
          </w:tcPr>
          <w:p w:rsidR="006653AB" w:rsidRPr="00275B76" w:rsidRDefault="00921AC6" w:rsidP="006653AB">
            <w:pPr>
              <w:tabs>
                <w:tab w:val="center" w:pos="4680"/>
                <w:tab w:val="left" w:pos="7710"/>
              </w:tabs>
              <w:jc w:val="center"/>
              <w:rPr>
                <w:rFonts w:ascii="Arial" w:hAnsi="Arial" w:cs="Arial"/>
                <w:sz w:val="20"/>
                <w:szCs w:val="20"/>
              </w:rPr>
            </w:pPr>
            <w:r>
              <w:rPr>
                <w:rFonts w:ascii="Arial" w:hAnsi="Arial" w:cs="Arial"/>
                <w:sz w:val="20"/>
                <w:szCs w:val="20"/>
              </w:rPr>
              <w:t>60</w:t>
            </w:r>
            <w:r w:rsidR="006653AB" w:rsidRPr="00275B76">
              <w:rPr>
                <w:rFonts w:ascii="Arial" w:hAnsi="Arial" w:cs="Arial"/>
                <w:sz w:val="20"/>
                <w:szCs w:val="20"/>
              </w:rPr>
              <w:t>0</w:t>
            </w:r>
          </w:p>
        </w:tc>
        <w:tc>
          <w:tcPr>
            <w:tcW w:w="1915" w:type="dxa"/>
            <w:shd w:val="clear" w:color="auto" w:fill="auto"/>
          </w:tcPr>
          <w:p w:rsidR="006653AB" w:rsidRPr="00275B76" w:rsidRDefault="006653AB" w:rsidP="006653AB">
            <w:pPr>
              <w:tabs>
                <w:tab w:val="center" w:pos="4680"/>
                <w:tab w:val="left" w:pos="7710"/>
              </w:tabs>
              <w:jc w:val="center"/>
              <w:rPr>
                <w:rFonts w:ascii="Arial" w:hAnsi="Arial" w:cs="Arial"/>
                <w:sz w:val="20"/>
                <w:szCs w:val="20"/>
              </w:rPr>
            </w:pPr>
            <w:r w:rsidRPr="00275B76">
              <w:rPr>
                <w:rFonts w:ascii="Arial" w:hAnsi="Arial" w:cs="Arial"/>
                <w:sz w:val="20"/>
                <w:szCs w:val="20"/>
              </w:rPr>
              <w:t>1</w:t>
            </w:r>
          </w:p>
        </w:tc>
        <w:tc>
          <w:tcPr>
            <w:tcW w:w="1915" w:type="dxa"/>
            <w:shd w:val="clear" w:color="auto" w:fill="auto"/>
          </w:tcPr>
          <w:p w:rsidR="006653AB" w:rsidRPr="00275B76" w:rsidRDefault="006653AB" w:rsidP="006653AB">
            <w:pPr>
              <w:tabs>
                <w:tab w:val="center" w:pos="4680"/>
                <w:tab w:val="left" w:pos="7710"/>
              </w:tabs>
              <w:rPr>
                <w:rFonts w:ascii="Arial" w:hAnsi="Arial" w:cs="Arial"/>
                <w:sz w:val="20"/>
                <w:szCs w:val="20"/>
              </w:rPr>
            </w:pPr>
            <w:r w:rsidRPr="00275B76">
              <w:rPr>
                <w:rFonts w:ascii="Arial" w:hAnsi="Arial" w:cs="Arial"/>
                <w:sz w:val="20"/>
                <w:szCs w:val="20"/>
              </w:rPr>
              <w:t>$21.35</w:t>
            </w:r>
          </w:p>
        </w:tc>
        <w:tc>
          <w:tcPr>
            <w:tcW w:w="1916" w:type="dxa"/>
            <w:shd w:val="clear" w:color="auto" w:fill="auto"/>
          </w:tcPr>
          <w:p w:rsidR="006653AB" w:rsidRPr="00275B76" w:rsidRDefault="006653AB" w:rsidP="006653AB">
            <w:pPr>
              <w:tabs>
                <w:tab w:val="center" w:pos="4680"/>
                <w:tab w:val="left" w:pos="7710"/>
              </w:tabs>
              <w:rPr>
                <w:rFonts w:ascii="Arial" w:hAnsi="Arial" w:cs="Arial"/>
                <w:sz w:val="20"/>
                <w:szCs w:val="20"/>
              </w:rPr>
            </w:pPr>
            <w:r w:rsidRPr="00275B76">
              <w:rPr>
                <w:rFonts w:ascii="Arial" w:hAnsi="Arial" w:cs="Arial"/>
                <w:sz w:val="20"/>
                <w:szCs w:val="20"/>
              </w:rPr>
              <w:t>$</w:t>
            </w:r>
            <w:r w:rsidR="00921AC6">
              <w:rPr>
                <w:rFonts w:ascii="Arial" w:hAnsi="Arial" w:cs="Arial"/>
                <w:sz w:val="20"/>
                <w:szCs w:val="20"/>
              </w:rPr>
              <w:t>12,810</w:t>
            </w:r>
          </w:p>
        </w:tc>
      </w:tr>
    </w:tbl>
    <w:p w:rsidR="006653AB" w:rsidRDefault="006653AB" w:rsidP="006653AB">
      <w:pPr>
        <w:tabs>
          <w:tab w:val="center" w:pos="4680"/>
          <w:tab w:val="left" w:pos="7710"/>
        </w:tabs>
      </w:pPr>
    </w:p>
    <w:p w:rsidR="006653AB" w:rsidRDefault="006653AB" w:rsidP="006653AB">
      <w:pPr>
        <w:tabs>
          <w:tab w:val="center" w:pos="4680"/>
          <w:tab w:val="left" w:pos="7710"/>
        </w:tabs>
        <w:rPr>
          <w:b/>
        </w:rPr>
      </w:pPr>
    </w:p>
    <w:p w:rsidR="00261215" w:rsidRDefault="00261215" w:rsidP="007F446A">
      <w:pPr>
        <w:pStyle w:val="Heading2"/>
      </w:pPr>
      <w:bookmarkStart w:id="137" w:name="_Toc351620213"/>
      <w:r>
        <w:t xml:space="preserve">A.13 Estimates of Other Total Annual Cost Burden to </w:t>
      </w:r>
      <w:r w:rsidR="009F3DD8">
        <w:t>Respondents</w:t>
      </w:r>
      <w:r>
        <w:t xml:space="preserve"> o</w:t>
      </w:r>
      <w:r w:rsidR="00DD0E31">
        <w:t>r</w:t>
      </w:r>
      <w:r>
        <w:t xml:space="preserve"> Record Keepers</w:t>
      </w:r>
      <w:bookmarkEnd w:id="137"/>
    </w:p>
    <w:p w:rsidR="00DD0E31" w:rsidRPr="000128D8" w:rsidRDefault="00DD0E31" w:rsidP="006653AB">
      <w:pPr>
        <w:tabs>
          <w:tab w:val="center" w:pos="4680"/>
          <w:tab w:val="left" w:pos="7710"/>
        </w:tabs>
      </w:pPr>
    </w:p>
    <w:p w:rsidR="00DD0E31" w:rsidRDefault="00DD0E31" w:rsidP="006653AB">
      <w:pPr>
        <w:tabs>
          <w:tab w:val="center" w:pos="4680"/>
          <w:tab w:val="left" w:pos="7710"/>
        </w:tabs>
        <w:rPr>
          <w:b/>
        </w:rPr>
      </w:pPr>
      <w:r w:rsidRPr="000128D8">
        <w:t>There are no other total annual cost burden to respondents or record keepers.</w:t>
      </w:r>
    </w:p>
    <w:bookmarkEnd w:id="133"/>
    <w:bookmarkEnd w:id="134"/>
    <w:bookmarkEnd w:id="135"/>
    <w:bookmarkEnd w:id="136"/>
    <w:p w:rsidR="00AB0F01" w:rsidRPr="00A527F9" w:rsidRDefault="00AB0F01" w:rsidP="002F40AB">
      <w:pPr>
        <w:autoSpaceDE w:val="0"/>
        <w:autoSpaceDN w:val="0"/>
        <w:adjustRightInd w:val="0"/>
        <w:rPr>
          <w:color w:val="000000" w:themeColor="text1"/>
        </w:rPr>
      </w:pPr>
    </w:p>
    <w:p w:rsidR="006653AB" w:rsidRDefault="00B04CF8" w:rsidP="007F446A">
      <w:pPr>
        <w:pStyle w:val="Heading2"/>
      </w:pPr>
      <w:bookmarkStart w:id="138" w:name="_Toc351620214"/>
      <w:bookmarkStart w:id="139" w:name="_Toc306344159"/>
      <w:bookmarkStart w:id="140" w:name="_Toc306344800"/>
      <w:bookmarkStart w:id="141" w:name="_Toc306345041"/>
      <w:bookmarkStart w:id="142" w:name="_Toc311445510"/>
      <w:r>
        <w:t>A.</w:t>
      </w:r>
      <w:r w:rsidR="006653AB">
        <w:t>14. Annualized Cost to the Federal Government</w:t>
      </w:r>
      <w:bookmarkEnd w:id="138"/>
    </w:p>
    <w:p w:rsidR="006653AB" w:rsidRDefault="006653AB" w:rsidP="006653AB">
      <w:pPr>
        <w:tabs>
          <w:tab w:val="center" w:pos="4680"/>
          <w:tab w:val="left" w:pos="7710"/>
        </w:tabs>
        <w:rPr>
          <w:b/>
        </w:rPr>
      </w:pPr>
    </w:p>
    <w:p w:rsidR="006653AB" w:rsidRDefault="006653AB" w:rsidP="006653AB">
      <w:pPr>
        <w:tabs>
          <w:tab w:val="center" w:pos="4680"/>
          <w:tab w:val="left" w:pos="7710"/>
        </w:tabs>
      </w:pPr>
      <w:r>
        <w:t>Costs for ATSDR personnel and cooperative agreement state personnel were estimated based on experience with previous EI activities.</w:t>
      </w:r>
    </w:p>
    <w:p w:rsidR="006653AB" w:rsidRDefault="006653AB" w:rsidP="006653AB">
      <w:pPr>
        <w:tabs>
          <w:tab w:val="center" w:pos="4680"/>
          <w:tab w:val="left" w:pos="7710"/>
        </w:tabs>
        <w:rPr>
          <w:b/>
        </w:rPr>
      </w:pPr>
      <w:r>
        <w:rPr>
          <w:b/>
        </w:rPr>
        <w:t xml:space="preserve">                                                                                          </w:t>
      </w:r>
    </w:p>
    <w:p w:rsidR="006653AB" w:rsidRDefault="006653AB" w:rsidP="006653AB">
      <w:pPr>
        <w:tabs>
          <w:tab w:val="left" w:pos="1545"/>
        </w:tabs>
      </w:pPr>
      <w:r w:rsidRPr="008E0304">
        <w:t>For the past 3 years, the annual budget for EIs has been $960,000. This includes: FTEs (including benefits), contractors, travel, per diem, and laboratory, supply, and equipment costs. We expect the budget to remain unchanged for the next three years.</w:t>
      </w:r>
    </w:p>
    <w:p w:rsidR="00935939" w:rsidRPr="008E0304" w:rsidRDefault="00935939" w:rsidP="006653AB">
      <w:pPr>
        <w:tabs>
          <w:tab w:val="left" w:pos="1545"/>
        </w:tabs>
      </w:pPr>
    </w:p>
    <w:p w:rsidR="006653AB" w:rsidRDefault="00B04CF8" w:rsidP="007F446A">
      <w:pPr>
        <w:pStyle w:val="Heading2"/>
      </w:pPr>
      <w:bookmarkStart w:id="143" w:name="_Toc351620215"/>
      <w:bookmarkStart w:id="144" w:name="_Toc306344160"/>
      <w:bookmarkStart w:id="145" w:name="_Toc306344801"/>
      <w:bookmarkStart w:id="146" w:name="_Toc306345042"/>
      <w:bookmarkStart w:id="147" w:name="_Toc311445513"/>
      <w:bookmarkEnd w:id="139"/>
      <w:bookmarkEnd w:id="140"/>
      <w:bookmarkEnd w:id="141"/>
      <w:bookmarkEnd w:id="142"/>
      <w:r>
        <w:t>A.</w:t>
      </w:r>
      <w:r w:rsidR="006653AB">
        <w:t>15. Explanation for Program Changes or Adjustments</w:t>
      </w:r>
      <w:bookmarkEnd w:id="143"/>
    </w:p>
    <w:p w:rsidR="006653AB" w:rsidRDefault="006653AB" w:rsidP="006653AB">
      <w:pPr>
        <w:tabs>
          <w:tab w:val="left" w:pos="1545"/>
        </w:tabs>
        <w:rPr>
          <w:b/>
        </w:rPr>
      </w:pPr>
    </w:p>
    <w:p w:rsidR="006653AB" w:rsidRPr="001C7CE2" w:rsidRDefault="006653AB" w:rsidP="006653AB">
      <w:pPr>
        <w:tabs>
          <w:tab w:val="left" w:pos="1545"/>
        </w:tabs>
      </w:pPr>
      <w:r w:rsidRPr="001C7CE2">
        <w:rPr>
          <w:rFonts w:eastAsia="Calibri"/>
        </w:rPr>
        <w:t xml:space="preserve">The burden hours have </w:t>
      </w:r>
      <w:r w:rsidR="00143AB2">
        <w:rPr>
          <w:rFonts w:eastAsia="Calibri"/>
        </w:rPr>
        <w:t>in</w:t>
      </w:r>
      <w:r w:rsidRPr="001C7CE2">
        <w:rPr>
          <w:rFonts w:eastAsia="Calibri"/>
        </w:rPr>
        <w:t xml:space="preserve">creased from 375 hours in the current inventory to </w:t>
      </w:r>
      <w:r w:rsidR="00143AB2">
        <w:rPr>
          <w:rFonts w:eastAsia="Calibri"/>
        </w:rPr>
        <w:t>60</w:t>
      </w:r>
      <w:r w:rsidRPr="001C7CE2">
        <w:rPr>
          <w:rFonts w:eastAsia="Calibri"/>
        </w:rPr>
        <w:t xml:space="preserve">0 hours </w:t>
      </w:r>
      <w:r w:rsidR="00143AB2">
        <w:rPr>
          <w:rFonts w:eastAsia="Calibri"/>
        </w:rPr>
        <w:t>due to the</w:t>
      </w:r>
      <w:r w:rsidRPr="001C7CE2">
        <w:rPr>
          <w:rFonts w:eastAsia="Calibri"/>
        </w:rPr>
        <w:t xml:space="preserve"> a</w:t>
      </w:r>
      <w:r w:rsidR="00143AB2">
        <w:rPr>
          <w:rFonts w:eastAsia="Calibri"/>
        </w:rPr>
        <w:t xml:space="preserve">ddition of </w:t>
      </w:r>
      <w:r w:rsidRPr="001C7CE2">
        <w:rPr>
          <w:rFonts w:eastAsia="Calibri"/>
        </w:rPr>
        <w:t>EIs</w:t>
      </w:r>
      <w:r w:rsidR="00143AB2">
        <w:rPr>
          <w:rFonts w:eastAsia="Calibri"/>
        </w:rPr>
        <w:t xml:space="preserve"> conducted by cooperative agreement states </w:t>
      </w:r>
      <w:r w:rsidRPr="001C7CE2">
        <w:rPr>
          <w:rFonts w:eastAsia="Calibri"/>
        </w:rPr>
        <w:t xml:space="preserve">requiring a </w:t>
      </w:r>
      <w:r w:rsidR="000A5668">
        <w:rPr>
          <w:rFonts w:eastAsia="Calibri"/>
        </w:rPr>
        <w:t>survey</w:t>
      </w:r>
      <w:r w:rsidRPr="001C7CE2">
        <w:rPr>
          <w:rFonts w:eastAsia="Calibri"/>
        </w:rPr>
        <w:t xml:space="preserve"> each year.</w:t>
      </w:r>
      <w:r w:rsidRPr="001C7CE2" w:rsidDel="00DB0FE9">
        <w:t xml:space="preserve"> </w:t>
      </w:r>
    </w:p>
    <w:p w:rsidR="006653AB" w:rsidRDefault="006653AB" w:rsidP="006653AB">
      <w:pPr>
        <w:tabs>
          <w:tab w:val="left" w:pos="1545"/>
        </w:tabs>
      </w:pPr>
    </w:p>
    <w:p w:rsidR="006653AB" w:rsidRDefault="00B04CF8" w:rsidP="007F446A">
      <w:pPr>
        <w:pStyle w:val="Heading2"/>
      </w:pPr>
      <w:bookmarkStart w:id="148" w:name="_Toc351620216"/>
      <w:r>
        <w:lastRenderedPageBreak/>
        <w:t>A.</w:t>
      </w:r>
      <w:r w:rsidR="006653AB">
        <w:t>16. Plans for Tabulation and Publication and Project Time Schedule</w:t>
      </w:r>
      <w:bookmarkEnd w:id="148"/>
    </w:p>
    <w:p w:rsidR="005676F3" w:rsidRPr="007F446A" w:rsidRDefault="005676F3" w:rsidP="00935939">
      <w:pPr>
        <w:tabs>
          <w:tab w:val="left" w:pos="1545"/>
        </w:tabs>
      </w:pPr>
    </w:p>
    <w:p w:rsidR="00935939" w:rsidRDefault="00935939" w:rsidP="00935939">
      <w:pPr>
        <w:tabs>
          <w:tab w:val="left" w:pos="1545"/>
        </w:tabs>
        <w:rPr>
          <w:b/>
        </w:rPr>
      </w:pPr>
      <w:r>
        <w:rPr>
          <w:b/>
        </w:rPr>
        <w:t>A.16-1 Project Time Schedule</w:t>
      </w:r>
    </w:p>
    <w:p w:rsidR="00935939" w:rsidRDefault="00935939" w:rsidP="00935939">
      <w:pPr>
        <w:tabs>
          <w:tab w:val="left" w:pos="1545"/>
        </w:tabs>
        <w:rPr>
          <w:b/>
        </w:rPr>
      </w:pPr>
    </w:p>
    <w:p w:rsidR="00F04621" w:rsidRPr="007F446A" w:rsidRDefault="00F04621" w:rsidP="00F04621">
      <w:pPr>
        <w:tabs>
          <w:tab w:val="left" w:pos="1545"/>
        </w:tabs>
      </w:pPr>
      <w:r w:rsidRPr="007F446A">
        <w:t xml:space="preserve">A project </w:t>
      </w:r>
      <w:r w:rsidR="00DD0E31" w:rsidRPr="007F446A">
        <w:t>T</w:t>
      </w:r>
      <w:r w:rsidRPr="007F446A">
        <w:t>ime</w:t>
      </w:r>
      <w:r w:rsidR="00DD0E31" w:rsidRPr="007F446A">
        <w:t xml:space="preserve"> Schedule</w:t>
      </w:r>
      <w:r w:rsidRPr="007F446A">
        <w:t xml:space="preserve"> will be provided </w:t>
      </w:r>
      <w:r w:rsidR="00DD0E31" w:rsidRPr="007F446A">
        <w:t>for</w:t>
      </w:r>
      <w:r w:rsidRPr="007F446A">
        <w:t xml:space="preserve"> each EI submitt</w:t>
      </w:r>
      <w:r w:rsidR="00DD0E31" w:rsidRPr="007F446A">
        <w:t>ed</w:t>
      </w:r>
      <w:r w:rsidRPr="007F446A">
        <w:t xml:space="preserve"> under the generic clearance.  </w:t>
      </w:r>
      <w:r w:rsidR="00DD0E31" w:rsidRPr="007F446A">
        <w:t>The</w:t>
      </w:r>
      <w:r w:rsidRPr="007F446A">
        <w:t xml:space="preserve"> </w:t>
      </w:r>
      <w:r w:rsidR="00DD0E31" w:rsidRPr="007F446A">
        <w:t>Time Schedule</w:t>
      </w:r>
      <w:r w:rsidRPr="007F446A">
        <w:t xml:space="preserve"> </w:t>
      </w:r>
      <w:r w:rsidR="00DD0E31" w:rsidRPr="007F446A">
        <w:t xml:space="preserve">for the EI will be variable, based on site-specific conditions.  </w:t>
      </w:r>
      <w:r w:rsidR="001E7EE8">
        <w:t xml:space="preserve">The time frame for collecting the environmental and/or biological data for an EI can range from one day to several months, depending on the </w:t>
      </w:r>
      <w:r w:rsidR="00470BAA">
        <w:t xml:space="preserve">sampled medium and complexity of the EI.  </w:t>
      </w:r>
      <w:r w:rsidR="00DD0E31" w:rsidRPr="007F446A">
        <w:t>The following is a general schedule that is anticipated for most EIs.</w:t>
      </w:r>
      <w:r w:rsidRPr="007F446A">
        <w:t xml:space="preserve"> </w:t>
      </w:r>
    </w:p>
    <w:p w:rsidR="00F04621" w:rsidRDefault="00935939" w:rsidP="00935939">
      <w:pPr>
        <w:tabs>
          <w:tab w:val="left" w:pos="1545"/>
        </w:tabs>
        <w:rPr>
          <w:b/>
        </w:rPr>
      </w:pPr>
      <w:r>
        <w:rPr>
          <w:b/>
        </w:rPr>
        <w:t xml:space="preserve"> </w:t>
      </w:r>
    </w:p>
    <w:p w:rsidR="00935939" w:rsidRDefault="00935939" w:rsidP="00935939">
      <w:pPr>
        <w:tabs>
          <w:tab w:val="left" w:pos="1545"/>
        </w:tabs>
        <w:rPr>
          <w:b/>
        </w:rPr>
      </w:pPr>
      <w:r>
        <w:rPr>
          <w:b/>
        </w:rPr>
        <w:t>Activity                                                                                 Time Schedule</w:t>
      </w:r>
    </w:p>
    <w:p w:rsidR="00935939" w:rsidRDefault="00935939" w:rsidP="00935939">
      <w:pPr>
        <w:tabs>
          <w:tab w:val="left" w:pos="1545"/>
        </w:tabs>
        <w:rPr>
          <w:b/>
        </w:rPr>
      </w:pPr>
    </w:p>
    <w:p w:rsidR="00935939" w:rsidRDefault="00935939" w:rsidP="00935939">
      <w:pPr>
        <w:tabs>
          <w:tab w:val="left" w:pos="1545"/>
        </w:tabs>
      </w:pPr>
      <w:r>
        <w:t>Start of data collection……………………………………</w:t>
      </w:r>
      <w:r w:rsidR="002712D8">
        <w:t>…</w:t>
      </w:r>
      <w:r>
        <w:t>1</w:t>
      </w:r>
      <w:r w:rsidR="002712D8">
        <w:t xml:space="preserve"> </w:t>
      </w:r>
      <w:r>
        <w:t>month after OMB approval</w:t>
      </w:r>
    </w:p>
    <w:p w:rsidR="00935939" w:rsidRDefault="00935939" w:rsidP="00935939">
      <w:pPr>
        <w:tabs>
          <w:tab w:val="left" w:pos="1545"/>
        </w:tabs>
      </w:pPr>
      <w:r>
        <w:t>Field work………………………………………………</w:t>
      </w:r>
      <w:r w:rsidR="002712D8">
        <w:t>…...</w:t>
      </w:r>
      <w:r>
        <w:t>1-</w:t>
      </w:r>
      <w:r w:rsidR="00713A02">
        <w:t>8</w:t>
      </w:r>
      <w:r>
        <w:t xml:space="preserve"> months after OMB approval</w:t>
      </w:r>
    </w:p>
    <w:p w:rsidR="00935939" w:rsidRDefault="00935939" w:rsidP="00935939">
      <w:pPr>
        <w:tabs>
          <w:tab w:val="left" w:pos="1545"/>
        </w:tabs>
      </w:pPr>
      <w:r>
        <w:t>Analysis…………………………………………………....</w:t>
      </w:r>
      <w:r w:rsidR="00D37004">
        <w:t>..</w:t>
      </w:r>
      <w:r w:rsidR="00430FC6">
        <w:t xml:space="preserve"> </w:t>
      </w:r>
      <w:r w:rsidR="00713A02">
        <w:t>8</w:t>
      </w:r>
      <w:r>
        <w:t>-</w:t>
      </w:r>
      <w:r w:rsidR="00713A02">
        <w:t>12</w:t>
      </w:r>
      <w:r>
        <w:t xml:space="preserve"> months after OMB approval</w:t>
      </w:r>
    </w:p>
    <w:p w:rsidR="00935939" w:rsidRDefault="00935939" w:rsidP="00935939">
      <w:pPr>
        <w:tabs>
          <w:tab w:val="left" w:pos="1545"/>
        </w:tabs>
      </w:pPr>
      <w:r>
        <w:t>Respond to participants ………………………………....</w:t>
      </w:r>
      <w:r w:rsidR="002712D8">
        <w:t>.....</w:t>
      </w:r>
      <w:r w:rsidR="002712D8">
        <w:tab/>
      </w:r>
      <w:r w:rsidR="00430FC6">
        <w:t xml:space="preserve"> </w:t>
      </w:r>
      <w:r w:rsidR="00713A02">
        <w:t>1</w:t>
      </w:r>
      <w:r>
        <w:t>2-</w:t>
      </w:r>
      <w:r w:rsidR="00713A02">
        <w:t>18</w:t>
      </w:r>
      <w:r>
        <w:t xml:space="preserve"> months after OMB approval</w:t>
      </w:r>
    </w:p>
    <w:p w:rsidR="00935939" w:rsidRDefault="00935939" w:rsidP="00935939">
      <w:pPr>
        <w:tabs>
          <w:tab w:val="left" w:pos="1545"/>
        </w:tabs>
      </w:pPr>
      <w:r>
        <w:t>Written Report………………………………………......</w:t>
      </w:r>
      <w:r w:rsidR="00D37004">
        <w:t xml:space="preserve">..... </w:t>
      </w:r>
      <w:r w:rsidR="00430FC6">
        <w:t xml:space="preserve"> </w:t>
      </w:r>
      <w:r w:rsidR="00713A02">
        <w:t>18</w:t>
      </w:r>
      <w:r>
        <w:t>-36 months after OMB approval</w:t>
      </w:r>
    </w:p>
    <w:p w:rsidR="006653AB" w:rsidRDefault="006653AB" w:rsidP="006653AB">
      <w:pPr>
        <w:tabs>
          <w:tab w:val="left" w:pos="1545"/>
        </w:tabs>
      </w:pPr>
    </w:p>
    <w:p w:rsidR="006653AB" w:rsidRDefault="00B04CF8" w:rsidP="007F446A">
      <w:pPr>
        <w:pStyle w:val="Heading2"/>
      </w:pPr>
      <w:bookmarkStart w:id="149" w:name="_Toc351620217"/>
      <w:r>
        <w:t>A.</w:t>
      </w:r>
      <w:r w:rsidR="006653AB">
        <w:t>17. Reason(s) Display of OMB Expiration Date is Inappropriate</w:t>
      </w:r>
      <w:bookmarkEnd w:id="149"/>
    </w:p>
    <w:p w:rsidR="006653AB" w:rsidRDefault="006653AB" w:rsidP="006653AB">
      <w:pPr>
        <w:tabs>
          <w:tab w:val="left" w:pos="1545"/>
        </w:tabs>
        <w:rPr>
          <w:b/>
        </w:rPr>
      </w:pPr>
    </w:p>
    <w:p w:rsidR="006653AB" w:rsidRDefault="006653AB" w:rsidP="006653AB">
      <w:pPr>
        <w:tabs>
          <w:tab w:val="left" w:pos="1545"/>
        </w:tabs>
      </w:pPr>
      <w:r>
        <w:t>We are not requesting an exemption to the display of the expiration date.</w:t>
      </w:r>
    </w:p>
    <w:p w:rsidR="006653AB" w:rsidRDefault="006653AB" w:rsidP="006653AB">
      <w:pPr>
        <w:tabs>
          <w:tab w:val="left" w:pos="1545"/>
        </w:tabs>
      </w:pPr>
    </w:p>
    <w:p w:rsidR="006653AB" w:rsidRDefault="00B04CF8" w:rsidP="007F446A">
      <w:pPr>
        <w:pStyle w:val="Heading2"/>
      </w:pPr>
      <w:bookmarkStart w:id="150" w:name="_Toc351620218"/>
      <w:r>
        <w:t>A.</w:t>
      </w:r>
      <w:r w:rsidR="006653AB">
        <w:t>18. Exceptions to Certification for Paperwork Reduction Act Submissions</w:t>
      </w:r>
      <w:bookmarkEnd w:id="150"/>
    </w:p>
    <w:p w:rsidR="006653AB" w:rsidRDefault="006653AB" w:rsidP="006653AB">
      <w:pPr>
        <w:tabs>
          <w:tab w:val="left" w:pos="1545"/>
        </w:tabs>
        <w:rPr>
          <w:b/>
        </w:rPr>
      </w:pPr>
    </w:p>
    <w:p w:rsidR="006653AB" w:rsidRDefault="006653AB" w:rsidP="006653AB">
      <w:pPr>
        <w:tabs>
          <w:tab w:val="left" w:pos="1545"/>
        </w:tabs>
      </w:pPr>
      <w:r>
        <w:rPr>
          <w:b/>
        </w:rPr>
        <w:t xml:space="preserve"> </w:t>
      </w:r>
      <w:r>
        <w:t>There are no exceptions to certification for Paperwork Reduction Act.</w:t>
      </w:r>
    </w:p>
    <w:bookmarkEnd w:id="144"/>
    <w:bookmarkEnd w:id="145"/>
    <w:bookmarkEnd w:id="146"/>
    <w:bookmarkEnd w:id="147"/>
    <w:p w:rsidR="00AA78D1" w:rsidRPr="00B36FA1" w:rsidRDefault="00AA78D1" w:rsidP="00AA78D1">
      <w:pPr>
        <w:rPr>
          <w:rFonts w:eastAsia="SimSun"/>
          <w:b/>
          <w:bCs/>
          <w:color w:val="4F81BD" w:themeColor="accent1"/>
          <w:lang w:eastAsia="zh-CN"/>
        </w:rPr>
      </w:pPr>
    </w:p>
    <w:p w:rsidR="00AA78D1" w:rsidRDefault="00AA78D1" w:rsidP="002F40AB">
      <w:pPr>
        <w:rPr>
          <w:rFonts w:eastAsia="SimSun"/>
          <w:b/>
          <w:bCs/>
          <w:lang w:eastAsia="zh-CN"/>
        </w:rPr>
      </w:pPr>
    </w:p>
    <w:sectPr w:rsidR="00AA78D1" w:rsidSect="0067720C">
      <w:headerReference w:type="default" r:id="rId24"/>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6CE" w:rsidRDefault="00B636CE">
      <w:r>
        <w:separator/>
      </w:r>
    </w:p>
  </w:endnote>
  <w:endnote w:type="continuationSeparator" w:id="0">
    <w:p w:rsidR="00B636CE" w:rsidRDefault="00B6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yriad Web Pro">
    <w:altName w:val="Times New Roman"/>
    <w:panose1 w:val="00000000000000000000"/>
    <w:charset w:val="00"/>
    <w:family w:val="roman"/>
    <w:notTrueType/>
    <w:pitch w:val="default"/>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CD" w:rsidRDefault="009406CD"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06CD" w:rsidRDefault="009406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CD" w:rsidRDefault="009406CD"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32E5">
      <w:rPr>
        <w:rStyle w:val="PageNumber"/>
        <w:noProof/>
      </w:rPr>
      <w:t>15</w:t>
    </w:r>
    <w:r>
      <w:rPr>
        <w:rStyle w:val="PageNumber"/>
      </w:rPr>
      <w:fldChar w:fldCharType="end"/>
    </w:r>
  </w:p>
  <w:p w:rsidR="009406CD" w:rsidRDefault="00940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6CE" w:rsidRDefault="00B636CE">
      <w:r>
        <w:separator/>
      </w:r>
    </w:p>
  </w:footnote>
  <w:footnote w:type="continuationSeparator" w:id="0">
    <w:p w:rsidR="00B636CE" w:rsidRDefault="00B636CE">
      <w:r>
        <w:continuationSeparator/>
      </w:r>
    </w:p>
  </w:footnote>
  <w:footnote w:id="1">
    <w:p w:rsidR="009406CD" w:rsidRPr="007F446A" w:rsidRDefault="009406CD" w:rsidP="004F005E">
      <w:pPr>
        <w:rPr>
          <w:sz w:val="20"/>
          <w:szCs w:val="20"/>
        </w:rPr>
      </w:pPr>
      <w:r w:rsidRPr="007F446A">
        <w:rPr>
          <w:rStyle w:val="FootnoteReference"/>
          <w:sz w:val="20"/>
          <w:szCs w:val="20"/>
        </w:rPr>
        <w:footnoteRef/>
      </w:r>
      <w:r w:rsidRPr="007F446A">
        <w:rPr>
          <w:sz w:val="20"/>
          <w:szCs w:val="20"/>
        </w:rPr>
        <w:t xml:space="preserve"> This correction is </w:t>
      </w:r>
      <w:r>
        <w:rPr>
          <w:sz w:val="20"/>
          <w:szCs w:val="20"/>
        </w:rPr>
        <w:t>requested</w:t>
      </w:r>
      <w:r w:rsidRPr="007F446A">
        <w:rPr>
          <w:sz w:val="20"/>
          <w:szCs w:val="20"/>
        </w:rPr>
        <w:t xml:space="preserve"> because NCEH activities are not authorized under CERCLA.</w:t>
      </w:r>
    </w:p>
    <w:p w:rsidR="009406CD" w:rsidRDefault="009406CD">
      <w:pPr>
        <w:pStyle w:val="FootnoteText"/>
      </w:pPr>
    </w:p>
  </w:footnote>
  <w:footnote w:id="2">
    <w:p w:rsidR="009406CD" w:rsidRPr="00010F99" w:rsidRDefault="009406CD" w:rsidP="006A3F75">
      <w:pPr>
        <w:pStyle w:val="NormalWeb"/>
        <w:spacing w:after="60"/>
        <w:rPr>
          <w:color w:val="000000"/>
          <w:sz w:val="20"/>
          <w:szCs w:val="20"/>
          <w:lang w:val="en"/>
        </w:rPr>
      </w:pPr>
      <w:r w:rsidRPr="00010F99">
        <w:rPr>
          <w:rStyle w:val="FootnoteReference"/>
          <w:sz w:val="20"/>
          <w:szCs w:val="20"/>
        </w:rPr>
        <w:footnoteRef/>
      </w:r>
      <w:r w:rsidRPr="00010F99">
        <w:rPr>
          <w:sz w:val="20"/>
          <w:szCs w:val="20"/>
        </w:rPr>
        <w:t xml:space="preserve"> </w:t>
      </w:r>
      <w:r w:rsidRPr="00010F99">
        <w:rPr>
          <w:rStyle w:val="Strong"/>
          <w:b w:val="0"/>
          <w:i/>
          <w:color w:val="000000"/>
          <w:sz w:val="20"/>
          <w:szCs w:val="20"/>
          <w:lang w:val="en"/>
        </w:rPr>
        <w:t>Public health hazard categories</w:t>
      </w:r>
      <w:r w:rsidRPr="00010F99">
        <w:rPr>
          <w:rStyle w:val="Strong"/>
          <w:color w:val="000000"/>
          <w:sz w:val="20"/>
          <w:szCs w:val="20"/>
          <w:lang w:val="en"/>
        </w:rPr>
        <w:t xml:space="preserve"> - </w:t>
      </w:r>
      <w:r w:rsidRPr="00010F99">
        <w:rPr>
          <w:color w:val="000000"/>
          <w:sz w:val="20"/>
          <w:szCs w:val="20"/>
          <w:lang w:val="en"/>
        </w:rPr>
        <w:t xml:space="preserve">Public health hazard categories are statements </w:t>
      </w:r>
      <w:r>
        <w:rPr>
          <w:color w:val="000000"/>
          <w:sz w:val="20"/>
          <w:szCs w:val="20"/>
          <w:lang w:val="en"/>
        </w:rPr>
        <w:t xml:space="preserve">used in PHAs </w:t>
      </w:r>
      <w:r w:rsidRPr="00010F99">
        <w:rPr>
          <w:color w:val="000000"/>
          <w:sz w:val="20"/>
          <w:szCs w:val="20"/>
          <w:lang w:val="en"/>
        </w:rPr>
        <w:t>about whether people could be harmed by conditions present at the site in the past, present, or future. One or more hazard categories might be appropriate for each site. The</w:t>
      </w:r>
      <w:r>
        <w:rPr>
          <w:color w:val="000000"/>
          <w:sz w:val="20"/>
          <w:szCs w:val="20"/>
          <w:lang w:val="en"/>
        </w:rPr>
        <w:t>re are</w:t>
      </w:r>
      <w:r w:rsidRPr="00010F99">
        <w:rPr>
          <w:color w:val="000000"/>
          <w:sz w:val="20"/>
          <w:szCs w:val="20"/>
          <w:lang w:val="en"/>
        </w:rPr>
        <w:t xml:space="preserve"> five public health hazard categ</w:t>
      </w:r>
      <w:r>
        <w:rPr>
          <w:color w:val="000000"/>
          <w:sz w:val="20"/>
          <w:szCs w:val="20"/>
          <w:lang w:val="en"/>
        </w:rPr>
        <w:t xml:space="preserve">ories (ATSDR, 2005). 1) </w:t>
      </w:r>
      <w:r w:rsidRPr="00010F99">
        <w:rPr>
          <w:rStyle w:val="Strong"/>
          <w:b w:val="0"/>
          <w:i/>
          <w:color w:val="000000"/>
          <w:sz w:val="20"/>
          <w:szCs w:val="20"/>
          <w:lang w:val="en"/>
        </w:rPr>
        <w:t>No public health hazard</w:t>
      </w:r>
      <w:r w:rsidRPr="00010F99">
        <w:rPr>
          <w:rStyle w:val="Strong"/>
          <w:color w:val="000000"/>
          <w:sz w:val="20"/>
          <w:szCs w:val="20"/>
          <w:lang w:val="en"/>
        </w:rPr>
        <w:t xml:space="preserve"> </w:t>
      </w:r>
      <w:r>
        <w:rPr>
          <w:color w:val="000000"/>
          <w:sz w:val="20"/>
          <w:szCs w:val="20"/>
          <w:lang w:val="en"/>
        </w:rPr>
        <w:t xml:space="preserve">- </w:t>
      </w:r>
      <w:r w:rsidRPr="00010F99">
        <w:rPr>
          <w:color w:val="000000"/>
          <w:sz w:val="20"/>
          <w:szCs w:val="20"/>
          <w:lang w:val="en"/>
        </w:rPr>
        <w:t>A category used in ATSDR's public health assessment documents for sites where people have never and will never come into contact with harmful amounts of site-related substances.</w:t>
      </w:r>
      <w:r>
        <w:rPr>
          <w:rStyle w:val="Strong"/>
          <w:b w:val="0"/>
          <w:i/>
          <w:color w:val="000000"/>
          <w:sz w:val="20"/>
          <w:szCs w:val="20"/>
          <w:lang w:val="en"/>
        </w:rPr>
        <w:t xml:space="preserve"> </w:t>
      </w:r>
      <w:r>
        <w:rPr>
          <w:rStyle w:val="Strong"/>
          <w:b w:val="0"/>
          <w:color w:val="000000"/>
          <w:sz w:val="20"/>
          <w:szCs w:val="20"/>
          <w:lang w:val="en"/>
        </w:rPr>
        <w:t xml:space="preserve">2) </w:t>
      </w:r>
      <w:r w:rsidRPr="00010F99">
        <w:rPr>
          <w:rStyle w:val="Strong"/>
          <w:b w:val="0"/>
          <w:i/>
          <w:color w:val="000000"/>
          <w:sz w:val="20"/>
          <w:szCs w:val="20"/>
          <w:lang w:val="en"/>
        </w:rPr>
        <w:t xml:space="preserve">No apparent public health hazard </w:t>
      </w:r>
      <w:r>
        <w:rPr>
          <w:b/>
          <w:color w:val="000000"/>
          <w:sz w:val="20"/>
          <w:szCs w:val="20"/>
          <w:lang w:val="en"/>
        </w:rPr>
        <w:t xml:space="preserve">- </w:t>
      </w:r>
      <w:r w:rsidRPr="00010F99">
        <w:rPr>
          <w:color w:val="000000"/>
          <w:sz w:val="20"/>
          <w:szCs w:val="20"/>
          <w:lang w:val="en"/>
        </w:rPr>
        <w:t>A category used in ATSDR's public health assessments for sites where human exposure to contaminated media might be occurring, might have occurred in the past, or might occur in the future, but where the exposure is not expected to cause any harmful health effects.</w:t>
      </w:r>
      <w:r>
        <w:rPr>
          <w:rStyle w:val="Strong"/>
          <w:b w:val="0"/>
          <w:i/>
          <w:color w:val="000000"/>
          <w:sz w:val="20"/>
          <w:szCs w:val="20"/>
          <w:lang w:val="en"/>
        </w:rPr>
        <w:t xml:space="preserve"> </w:t>
      </w:r>
      <w:r>
        <w:rPr>
          <w:rStyle w:val="Strong"/>
          <w:b w:val="0"/>
          <w:color w:val="000000"/>
          <w:sz w:val="20"/>
          <w:szCs w:val="20"/>
          <w:lang w:val="en"/>
        </w:rPr>
        <w:t xml:space="preserve">3) </w:t>
      </w:r>
      <w:r w:rsidRPr="00573A1B">
        <w:rPr>
          <w:rStyle w:val="Strong"/>
          <w:b w:val="0"/>
          <w:i/>
          <w:color w:val="000000"/>
          <w:sz w:val="20"/>
          <w:szCs w:val="20"/>
          <w:lang w:val="en"/>
        </w:rPr>
        <w:t>Indeterminate public health hazard -</w:t>
      </w:r>
      <w:r>
        <w:rPr>
          <w:rStyle w:val="Strong"/>
          <w:color w:val="000000"/>
          <w:sz w:val="20"/>
          <w:szCs w:val="20"/>
          <w:lang w:val="en"/>
        </w:rPr>
        <w:t xml:space="preserve"> </w:t>
      </w:r>
      <w:r w:rsidRPr="00010F99">
        <w:rPr>
          <w:color w:val="000000"/>
          <w:sz w:val="20"/>
          <w:szCs w:val="20"/>
          <w:lang w:val="en"/>
        </w:rPr>
        <w:t xml:space="preserve">The category used in ATSDR's public health assessment documents when a professional judgment about the level of health hazard cannot be made because information critical to such a decision is lacking. </w:t>
      </w:r>
      <w:r>
        <w:rPr>
          <w:color w:val="000000"/>
          <w:sz w:val="20"/>
          <w:szCs w:val="20"/>
          <w:lang w:val="en"/>
        </w:rPr>
        <w:t xml:space="preserve">4) </w:t>
      </w:r>
      <w:r w:rsidRPr="00573A1B">
        <w:rPr>
          <w:rStyle w:val="Strong"/>
          <w:b w:val="0"/>
          <w:i/>
          <w:color w:val="000000"/>
          <w:sz w:val="20"/>
          <w:szCs w:val="20"/>
          <w:lang w:val="en"/>
        </w:rPr>
        <w:t xml:space="preserve">Public health hazard </w:t>
      </w:r>
      <w:r>
        <w:rPr>
          <w:b/>
          <w:color w:val="000000"/>
          <w:sz w:val="20"/>
          <w:szCs w:val="20"/>
          <w:lang w:val="en"/>
        </w:rPr>
        <w:t xml:space="preserve">- </w:t>
      </w:r>
      <w:r w:rsidRPr="00010F99">
        <w:rPr>
          <w:color w:val="000000"/>
          <w:sz w:val="20"/>
          <w:szCs w:val="20"/>
          <w:lang w:val="en"/>
        </w:rPr>
        <w:t xml:space="preserve">A category used in ATSDR's public health assessments for sites that pose a public health hazard because of long-term exposures (greater than 1 year) to sufficiently high levels of hazardous substances or radionuclides that could result in harmful health effects. </w:t>
      </w:r>
      <w:r>
        <w:rPr>
          <w:color w:val="000000"/>
          <w:sz w:val="20"/>
          <w:szCs w:val="20"/>
          <w:lang w:val="en"/>
        </w:rPr>
        <w:t xml:space="preserve">5) </w:t>
      </w:r>
      <w:r w:rsidRPr="00010F99">
        <w:rPr>
          <w:rStyle w:val="Strong"/>
          <w:b w:val="0"/>
          <w:i/>
          <w:color w:val="000000"/>
          <w:sz w:val="20"/>
          <w:szCs w:val="20"/>
          <w:lang w:val="en"/>
        </w:rPr>
        <w:t>Urgent public health hazard -</w:t>
      </w:r>
      <w:r w:rsidRPr="00010F99">
        <w:rPr>
          <w:rStyle w:val="Strong"/>
          <w:color w:val="000000"/>
          <w:sz w:val="20"/>
          <w:szCs w:val="20"/>
          <w:lang w:val="en"/>
        </w:rPr>
        <w:t xml:space="preserve"> </w:t>
      </w:r>
      <w:r w:rsidRPr="00010F99">
        <w:rPr>
          <w:color w:val="000000"/>
          <w:sz w:val="20"/>
          <w:szCs w:val="20"/>
          <w:lang w:val="en"/>
        </w:rPr>
        <w:t xml:space="preserve">A category used in ATSDR's public health assessments for sites where short-term exposures (less than 1 year) to hazardous substances or conditions could result in harmful health effects that require rapid intervention. </w:t>
      </w:r>
    </w:p>
    <w:p w:rsidR="009406CD" w:rsidRDefault="009406CD" w:rsidP="000646CA">
      <w:pPr>
        <w:pStyle w:val="FootnoteText"/>
      </w:pPr>
    </w:p>
  </w:footnote>
  <w:footnote w:id="3">
    <w:p w:rsidR="009406CD" w:rsidRDefault="009406CD" w:rsidP="00D038EA">
      <w:pPr>
        <w:pStyle w:val="FootnoteText"/>
      </w:pPr>
      <w:r>
        <w:rPr>
          <w:rStyle w:val="FootnoteReference"/>
        </w:rPr>
        <w:footnoteRef/>
      </w:r>
      <w:r>
        <w:t xml:space="preserve"> The APPLETREE cooperative agreement program (Award No. TS11-1101) specifies that funded state, tribal, and territorial partners are limited to conducting nonresearch EIs. For these, ATSDR may provide technical assistance. The ATSDR Science Support Branch may lead either research or nonresearch investigations.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9406CD" w:rsidRDefault="009406CD" w:rsidP="0067720C">
        <w:pPr>
          <w:pStyle w:val="Header"/>
          <w:jc w:val="center"/>
          <w:rPr>
            <w:rFonts w:asciiTheme="majorHAnsi" w:eastAsiaTheme="majorEastAsia" w:hAnsiTheme="majorHAnsi" w:cstheme="majorBidi"/>
            <w:sz w:val="32"/>
            <w:szCs w:val="32"/>
          </w:rPr>
        </w:pPr>
        <w:r>
          <w:rPr>
            <w:sz w:val="20"/>
            <w:szCs w:val="20"/>
          </w:rPr>
          <w:t>Exposure Investigations:  Supporting Statement A</w:t>
        </w:r>
      </w:p>
    </w:sdtContent>
  </w:sdt>
  <w:p w:rsidR="009406CD" w:rsidRDefault="009406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685D"/>
    <w:multiLevelType w:val="hybridMultilevel"/>
    <w:tmpl w:val="FE2A35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17062D"/>
    <w:multiLevelType w:val="hybridMultilevel"/>
    <w:tmpl w:val="8ABCB10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90916"/>
    <w:multiLevelType w:val="hybridMultilevel"/>
    <w:tmpl w:val="804ED732"/>
    <w:lvl w:ilvl="0" w:tplc="89C268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020528"/>
    <w:multiLevelType w:val="hybridMultilevel"/>
    <w:tmpl w:val="DD7435D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nsid w:val="0FD20B65"/>
    <w:multiLevelType w:val="hybridMultilevel"/>
    <w:tmpl w:val="BACCC0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964AC9"/>
    <w:multiLevelType w:val="hybridMultilevel"/>
    <w:tmpl w:val="8E560AB8"/>
    <w:lvl w:ilvl="0" w:tplc="B1A224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3057F"/>
    <w:multiLevelType w:val="hybridMultilevel"/>
    <w:tmpl w:val="BB924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8B581B"/>
    <w:multiLevelType w:val="hybridMultilevel"/>
    <w:tmpl w:val="D1566D2A"/>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DBE3D85"/>
    <w:multiLevelType w:val="hybridMultilevel"/>
    <w:tmpl w:val="54B65332"/>
    <w:lvl w:ilvl="0" w:tplc="E40E9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C82217"/>
    <w:multiLevelType w:val="hybridMultilevel"/>
    <w:tmpl w:val="EC10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3E576A"/>
    <w:multiLevelType w:val="hybridMultilevel"/>
    <w:tmpl w:val="AA285524"/>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22CD53F9"/>
    <w:multiLevelType w:val="hybridMultilevel"/>
    <w:tmpl w:val="78D06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59314D"/>
    <w:multiLevelType w:val="hybridMultilevel"/>
    <w:tmpl w:val="5DE0B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801B50"/>
    <w:multiLevelType w:val="hybridMultilevel"/>
    <w:tmpl w:val="F842B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2A8E486C"/>
    <w:multiLevelType w:val="hybridMultilevel"/>
    <w:tmpl w:val="583A36A8"/>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2C503BAF"/>
    <w:multiLevelType w:val="hybridMultilevel"/>
    <w:tmpl w:val="DE2033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48081D"/>
    <w:multiLevelType w:val="hybridMultilevel"/>
    <w:tmpl w:val="BF6068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34AA0F51"/>
    <w:multiLevelType w:val="hybridMultilevel"/>
    <w:tmpl w:val="2CD676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3A0B04C7"/>
    <w:multiLevelType w:val="hybridMultilevel"/>
    <w:tmpl w:val="E198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2678A9"/>
    <w:multiLevelType w:val="hybridMultilevel"/>
    <w:tmpl w:val="5BE03D64"/>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3FDD306F"/>
    <w:multiLevelType w:val="hybridMultilevel"/>
    <w:tmpl w:val="69CAD8BA"/>
    <w:lvl w:ilvl="0" w:tplc="B720FEB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4542DE"/>
    <w:multiLevelType w:val="hybridMultilevel"/>
    <w:tmpl w:val="DDA8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CE3B62"/>
    <w:multiLevelType w:val="hybridMultilevel"/>
    <w:tmpl w:val="B5F2BD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4287D4B"/>
    <w:multiLevelType w:val="hybridMultilevel"/>
    <w:tmpl w:val="FEA24A68"/>
    <w:lvl w:ilvl="0" w:tplc="B1A224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843BB9"/>
    <w:multiLevelType w:val="hybridMultilevel"/>
    <w:tmpl w:val="BFF0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CC6BE9"/>
    <w:multiLevelType w:val="hybridMultilevel"/>
    <w:tmpl w:val="ABB0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4101D1"/>
    <w:multiLevelType w:val="hybridMultilevel"/>
    <w:tmpl w:val="A5BE06F8"/>
    <w:lvl w:ilvl="0" w:tplc="B1A224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9F5706"/>
    <w:multiLevelType w:val="hybridMultilevel"/>
    <w:tmpl w:val="6F50DE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630CB7"/>
    <w:multiLevelType w:val="hybridMultilevel"/>
    <w:tmpl w:val="3BA21A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810A3A"/>
    <w:multiLevelType w:val="hybridMultilevel"/>
    <w:tmpl w:val="3B8AAE9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EC1AE6"/>
    <w:multiLevelType w:val="hybridMultilevel"/>
    <w:tmpl w:val="40D23622"/>
    <w:lvl w:ilvl="0" w:tplc="2D02ECC0">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3D4F14"/>
    <w:multiLevelType w:val="hybridMultilevel"/>
    <w:tmpl w:val="B9F43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CF1908"/>
    <w:multiLevelType w:val="hybridMultilevel"/>
    <w:tmpl w:val="2D266B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5A65D3"/>
    <w:multiLevelType w:val="hybridMultilevel"/>
    <w:tmpl w:val="761A698C"/>
    <w:lvl w:ilvl="0" w:tplc="76B8FDC8">
      <w:start w:val="1"/>
      <w:numFmt w:val="decimal"/>
      <w:lvlText w:val="%1."/>
      <w:lvlJc w:val="left"/>
      <w:pPr>
        <w:tabs>
          <w:tab w:val="num" w:pos="72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892181C"/>
    <w:multiLevelType w:val="hybridMultilevel"/>
    <w:tmpl w:val="2A5A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D4395A"/>
    <w:multiLevelType w:val="hybridMultilevel"/>
    <w:tmpl w:val="7C809C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0174B6"/>
    <w:multiLevelType w:val="hybridMultilevel"/>
    <w:tmpl w:val="5E06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6D64E3"/>
    <w:multiLevelType w:val="multilevel"/>
    <w:tmpl w:val="44F6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7A1778"/>
    <w:multiLevelType w:val="hybridMultilevel"/>
    <w:tmpl w:val="2E20DD88"/>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9">
    <w:nsid w:val="6C327C38"/>
    <w:multiLevelType w:val="hybridMultilevel"/>
    <w:tmpl w:val="B8D8CFEA"/>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0">
    <w:nsid w:val="6D68059C"/>
    <w:multiLevelType w:val="hybridMultilevel"/>
    <w:tmpl w:val="D0C01106"/>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1">
    <w:nsid w:val="6EFE4BFA"/>
    <w:multiLevelType w:val="hybridMultilevel"/>
    <w:tmpl w:val="B986C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524F22"/>
    <w:multiLevelType w:val="hybridMultilevel"/>
    <w:tmpl w:val="1C5092A6"/>
    <w:lvl w:ilvl="0" w:tplc="B1A224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FD3D46"/>
    <w:multiLevelType w:val="hybridMultilevel"/>
    <w:tmpl w:val="6E647882"/>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4">
    <w:nsid w:val="76F56920"/>
    <w:multiLevelType w:val="hybridMultilevel"/>
    <w:tmpl w:val="7408E5FA"/>
    <w:lvl w:ilvl="0" w:tplc="73E6D740">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5">
    <w:nsid w:val="79B60DC8"/>
    <w:multiLevelType w:val="hybridMultilevel"/>
    <w:tmpl w:val="1324C1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AB70F67"/>
    <w:multiLevelType w:val="hybridMultilevel"/>
    <w:tmpl w:val="226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7BB638EC"/>
    <w:multiLevelType w:val="hybridMultilevel"/>
    <w:tmpl w:val="5DE0B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00111A"/>
    <w:multiLevelType w:val="hybridMultilevel"/>
    <w:tmpl w:val="76D2D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0"/>
  </w:num>
  <w:num w:numId="3">
    <w:abstractNumId w:val="3"/>
  </w:num>
  <w:num w:numId="4">
    <w:abstractNumId w:val="8"/>
  </w:num>
  <w:num w:numId="5">
    <w:abstractNumId w:val="33"/>
  </w:num>
  <w:num w:numId="6">
    <w:abstractNumId w:val="13"/>
  </w:num>
  <w:num w:numId="7">
    <w:abstractNumId w:val="36"/>
  </w:num>
  <w:num w:numId="8">
    <w:abstractNumId w:val="18"/>
  </w:num>
  <w:num w:numId="9">
    <w:abstractNumId w:val="16"/>
  </w:num>
  <w:num w:numId="10">
    <w:abstractNumId w:val="9"/>
  </w:num>
  <w:num w:numId="11">
    <w:abstractNumId w:val="44"/>
  </w:num>
  <w:num w:numId="12">
    <w:abstractNumId w:val="17"/>
  </w:num>
  <w:num w:numId="13">
    <w:abstractNumId w:val="39"/>
  </w:num>
  <w:num w:numId="14">
    <w:abstractNumId w:val="7"/>
  </w:num>
  <w:num w:numId="15">
    <w:abstractNumId w:val="40"/>
  </w:num>
  <w:num w:numId="16">
    <w:abstractNumId w:val="19"/>
  </w:num>
  <w:num w:numId="17">
    <w:abstractNumId w:val="14"/>
  </w:num>
  <w:num w:numId="18">
    <w:abstractNumId w:val="38"/>
  </w:num>
  <w:num w:numId="19">
    <w:abstractNumId w:val="10"/>
  </w:num>
  <w:num w:numId="20">
    <w:abstractNumId w:val="43"/>
  </w:num>
  <w:num w:numId="21">
    <w:abstractNumId w:val="23"/>
  </w:num>
  <w:num w:numId="22">
    <w:abstractNumId w:val="5"/>
  </w:num>
  <w:num w:numId="23">
    <w:abstractNumId w:val="42"/>
  </w:num>
  <w:num w:numId="24">
    <w:abstractNumId w:val="26"/>
  </w:num>
  <w:num w:numId="25">
    <w:abstractNumId w:val="46"/>
  </w:num>
  <w:num w:numId="26">
    <w:abstractNumId w:val="28"/>
  </w:num>
  <w:num w:numId="27">
    <w:abstractNumId w:val="48"/>
  </w:num>
  <w:num w:numId="28">
    <w:abstractNumId w:val="29"/>
  </w:num>
  <w:num w:numId="29">
    <w:abstractNumId w:val="1"/>
  </w:num>
  <w:num w:numId="30">
    <w:abstractNumId w:val="2"/>
  </w:num>
  <w:num w:numId="31">
    <w:abstractNumId w:val="15"/>
  </w:num>
  <w:num w:numId="32">
    <w:abstractNumId w:val="31"/>
  </w:num>
  <w:num w:numId="33">
    <w:abstractNumId w:val="11"/>
  </w:num>
  <w:num w:numId="34">
    <w:abstractNumId w:val="22"/>
  </w:num>
  <w:num w:numId="35">
    <w:abstractNumId w:val="6"/>
  </w:num>
  <w:num w:numId="36">
    <w:abstractNumId w:val="45"/>
  </w:num>
  <w:num w:numId="37">
    <w:abstractNumId w:val="4"/>
  </w:num>
  <w:num w:numId="38">
    <w:abstractNumId w:val="20"/>
  </w:num>
  <w:num w:numId="39">
    <w:abstractNumId w:val="35"/>
  </w:num>
  <w:num w:numId="40">
    <w:abstractNumId w:val="32"/>
  </w:num>
  <w:num w:numId="41">
    <w:abstractNumId w:val="21"/>
  </w:num>
  <w:num w:numId="42">
    <w:abstractNumId w:val="12"/>
  </w:num>
  <w:num w:numId="43">
    <w:abstractNumId w:val="47"/>
  </w:num>
  <w:num w:numId="44">
    <w:abstractNumId w:val="34"/>
  </w:num>
  <w:num w:numId="45">
    <w:abstractNumId w:val="41"/>
  </w:num>
  <w:num w:numId="46">
    <w:abstractNumId w:val="37"/>
  </w:num>
  <w:num w:numId="47">
    <w:abstractNumId w:val="24"/>
  </w:num>
  <w:num w:numId="48">
    <w:abstractNumId w:val="3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A8"/>
    <w:rsid w:val="000000D1"/>
    <w:rsid w:val="00000D99"/>
    <w:rsid w:val="00002E14"/>
    <w:rsid w:val="00005117"/>
    <w:rsid w:val="000074F7"/>
    <w:rsid w:val="00010E39"/>
    <w:rsid w:val="00010F99"/>
    <w:rsid w:val="00012804"/>
    <w:rsid w:val="000128D8"/>
    <w:rsid w:val="00012C7C"/>
    <w:rsid w:val="00016C0E"/>
    <w:rsid w:val="00025B51"/>
    <w:rsid w:val="000275B0"/>
    <w:rsid w:val="00030EFC"/>
    <w:rsid w:val="00032922"/>
    <w:rsid w:val="0004143B"/>
    <w:rsid w:val="00041524"/>
    <w:rsid w:val="000472D0"/>
    <w:rsid w:val="00050D0E"/>
    <w:rsid w:val="000526A9"/>
    <w:rsid w:val="00052A85"/>
    <w:rsid w:val="00053166"/>
    <w:rsid w:val="0005797C"/>
    <w:rsid w:val="00061479"/>
    <w:rsid w:val="00062A3F"/>
    <w:rsid w:val="00062BC0"/>
    <w:rsid w:val="000646CA"/>
    <w:rsid w:val="000649C1"/>
    <w:rsid w:val="00065156"/>
    <w:rsid w:val="000663F9"/>
    <w:rsid w:val="000670FA"/>
    <w:rsid w:val="00067EB5"/>
    <w:rsid w:val="00067EF1"/>
    <w:rsid w:val="00072511"/>
    <w:rsid w:val="00073047"/>
    <w:rsid w:val="000773C4"/>
    <w:rsid w:val="00081A58"/>
    <w:rsid w:val="00083406"/>
    <w:rsid w:val="0008428C"/>
    <w:rsid w:val="000848A3"/>
    <w:rsid w:val="00087084"/>
    <w:rsid w:val="0008749C"/>
    <w:rsid w:val="00087551"/>
    <w:rsid w:val="00090754"/>
    <w:rsid w:val="00091F11"/>
    <w:rsid w:val="000930B2"/>
    <w:rsid w:val="00094F19"/>
    <w:rsid w:val="00096B34"/>
    <w:rsid w:val="00096C93"/>
    <w:rsid w:val="00097D89"/>
    <w:rsid w:val="000A0B3D"/>
    <w:rsid w:val="000A2E46"/>
    <w:rsid w:val="000A32C4"/>
    <w:rsid w:val="000A5592"/>
    <w:rsid w:val="000A5668"/>
    <w:rsid w:val="000A65A5"/>
    <w:rsid w:val="000A6D11"/>
    <w:rsid w:val="000B093C"/>
    <w:rsid w:val="000B0BC3"/>
    <w:rsid w:val="000B1254"/>
    <w:rsid w:val="000B283E"/>
    <w:rsid w:val="000B3CA2"/>
    <w:rsid w:val="000B6474"/>
    <w:rsid w:val="000B7365"/>
    <w:rsid w:val="000C2177"/>
    <w:rsid w:val="000C63C7"/>
    <w:rsid w:val="000C641F"/>
    <w:rsid w:val="000D0F5D"/>
    <w:rsid w:val="000D26C5"/>
    <w:rsid w:val="000D43FA"/>
    <w:rsid w:val="000D455D"/>
    <w:rsid w:val="000D6641"/>
    <w:rsid w:val="000D67EE"/>
    <w:rsid w:val="000E17DC"/>
    <w:rsid w:val="000E4314"/>
    <w:rsid w:val="000E6BBC"/>
    <w:rsid w:val="000E7793"/>
    <w:rsid w:val="000F3C1B"/>
    <w:rsid w:val="000F4CCE"/>
    <w:rsid w:val="000F5AD6"/>
    <w:rsid w:val="000F704F"/>
    <w:rsid w:val="00106CD3"/>
    <w:rsid w:val="00107B7A"/>
    <w:rsid w:val="001100C0"/>
    <w:rsid w:val="00110107"/>
    <w:rsid w:val="001116DC"/>
    <w:rsid w:val="00112AB8"/>
    <w:rsid w:val="00114D3E"/>
    <w:rsid w:val="00120226"/>
    <w:rsid w:val="00122D9D"/>
    <w:rsid w:val="00123448"/>
    <w:rsid w:val="00132A7C"/>
    <w:rsid w:val="001337F5"/>
    <w:rsid w:val="00133C79"/>
    <w:rsid w:val="001349FC"/>
    <w:rsid w:val="00134A2C"/>
    <w:rsid w:val="00134F7C"/>
    <w:rsid w:val="00143AB2"/>
    <w:rsid w:val="001458B0"/>
    <w:rsid w:val="00146B56"/>
    <w:rsid w:val="001509BD"/>
    <w:rsid w:val="00153B8B"/>
    <w:rsid w:val="00154C0F"/>
    <w:rsid w:val="00156C1D"/>
    <w:rsid w:val="00156E28"/>
    <w:rsid w:val="001608A1"/>
    <w:rsid w:val="00162D9E"/>
    <w:rsid w:val="00164F2C"/>
    <w:rsid w:val="00165D9D"/>
    <w:rsid w:val="00166980"/>
    <w:rsid w:val="00167843"/>
    <w:rsid w:val="00167F85"/>
    <w:rsid w:val="001716E3"/>
    <w:rsid w:val="001717DF"/>
    <w:rsid w:val="00172B0F"/>
    <w:rsid w:val="00175106"/>
    <w:rsid w:val="00175336"/>
    <w:rsid w:val="001828C9"/>
    <w:rsid w:val="001833B6"/>
    <w:rsid w:val="001834A3"/>
    <w:rsid w:val="00186982"/>
    <w:rsid w:val="00187F73"/>
    <w:rsid w:val="00190128"/>
    <w:rsid w:val="00191562"/>
    <w:rsid w:val="00191BD4"/>
    <w:rsid w:val="00195192"/>
    <w:rsid w:val="001A02F8"/>
    <w:rsid w:val="001A48A4"/>
    <w:rsid w:val="001B2F0F"/>
    <w:rsid w:val="001B330F"/>
    <w:rsid w:val="001B42E6"/>
    <w:rsid w:val="001B6C41"/>
    <w:rsid w:val="001B71A2"/>
    <w:rsid w:val="001C01C8"/>
    <w:rsid w:val="001C579A"/>
    <w:rsid w:val="001C6298"/>
    <w:rsid w:val="001C7136"/>
    <w:rsid w:val="001D0AD0"/>
    <w:rsid w:val="001D4FF9"/>
    <w:rsid w:val="001D558F"/>
    <w:rsid w:val="001D6A64"/>
    <w:rsid w:val="001D7273"/>
    <w:rsid w:val="001D789D"/>
    <w:rsid w:val="001E1C8D"/>
    <w:rsid w:val="001E2294"/>
    <w:rsid w:val="001E683D"/>
    <w:rsid w:val="001E7EE8"/>
    <w:rsid w:val="001F0DE9"/>
    <w:rsid w:val="001F0F12"/>
    <w:rsid w:val="001F671F"/>
    <w:rsid w:val="00201F22"/>
    <w:rsid w:val="002025B5"/>
    <w:rsid w:val="00210F73"/>
    <w:rsid w:val="0021237B"/>
    <w:rsid w:val="002154E3"/>
    <w:rsid w:val="00215E9D"/>
    <w:rsid w:val="00216CF8"/>
    <w:rsid w:val="00221B76"/>
    <w:rsid w:val="00224F03"/>
    <w:rsid w:val="00226789"/>
    <w:rsid w:val="00226F12"/>
    <w:rsid w:val="00227352"/>
    <w:rsid w:val="002275A3"/>
    <w:rsid w:val="002276C7"/>
    <w:rsid w:val="00235605"/>
    <w:rsid w:val="00235E02"/>
    <w:rsid w:val="00240CF0"/>
    <w:rsid w:val="002415A9"/>
    <w:rsid w:val="00241C5C"/>
    <w:rsid w:val="002428A9"/>
    <w:rsid w:val="00246A18"/>
    <w:rsid w:val="00246A47"/>
    <w:rsid w:val="00246B5A"/>
    <w:rsid w:val="002473AB"/>
    <w:rsid w:val="00250E9A"/>
    <w:rsid w:val="002515D0"/>
    <w:rsid w:val="002538AC"/>
    <w:rsid w:val="00255CE9"/>
    <w:rsid w:val="002569E1"/>
    <w:rsid w:val="002570B0"/>
    <w:rsid w:val="00261215"/>
    <w:rsid w:val="002640DF"/>
    <w:rsid w:val="00266092"/>
    <w:rsid w:val="002669CF"/>
    <w:rsid w:val="00270902"/>
    <w:rsid w:val="00270CDE"/>
    <w:rsid w:val="002712D8"/>
    <w:rsid w:val="00277628"/>
    <w:rsid w:val="002812FB"/>
    <w:rsid w:val="002818F3"/>
    <w:rsid w:val="0028483B"/>
    <w:rsid w:val="00284F9D"/>
    <w:rsid w:val="002930BD"/>
    <w:rsid w:val="00293159"/>
    <w:rsid w:val="00293340"/>
    <w:rsid w:val="00295101"/>
    <w:rsid w:val="0029554B"/>
    <w:rsid w:val="00297C51"/>
    <w:rsid w:val="002A04F0"/>
    <w:rsid w:val="002A676A"/>
    <w:rsid w:val="002B1573"/>
    <w:rsid w:val="002B198F"/>
    <w:rsid w:val="002B2744"/>
    <w:rsid w:val="002B3F38"/>
    <w:rsid w:val="002B4079"/>
    <w:rsid w:val="002B651B"/>
    <w:rsid w:val="002B775D"/>
    <w:rsid w:val="002C2492"/>
    <w:rsid w:val="002C33E8"/>
    <w:rsid w:val="002C5903"/>
    <w:rsid w:val="002C7DD8"/>
    <w:rsid w:val="002D0805"/>
    <w:rsid w:val="002D18BD"/>
    <w:rsid w:val="002D21A8"/>
    <w:rsid w:val="002D48E0"/>
    <w:rsid w:val="002D6888"/>
    <w:rsid w:val="002D6CB4"/>
    <w:rsid w:val="002E0CB9"/>
    <w:rsid w:val="002E2057"/>
    <w:rsid w:val="002E24AE"/>
    <w:rsid w:val="002E2A9E"/>
    <w:rsid w:val="002E57EE"/>
    <w:rsid w:val="002F0422"/>
    <w:rsid w:val="002F269E"/>
    <w:rsid w:val="002F38FD"/>
    <w:rsid w:val="002F40AB"/>
    <w:rsid w:val="002F5B1D"/>
    <w:rsid w:val="002F6358"/>
    <w:rsid w:val="002F6507"/>
    <w:rsid w:val="002F7273"/>
    <w:rsid w:val="00307746"/>
    <w:rsid w:val="003108EF"/>
    <w:rsid w:val="00313614"/>
    <w:rsid w:val="0031417C"/>
    <w:rsid w:val="00314B98"/>
    <w:rsid w:val="003169D4"/>
    <w:rsid w:val="00316DF8"/>
    <w:rsid w:val="00317784"/>
    <w:rsid w:val="00320114"/>
    <w:rsid w:val="00322A7D"/>
    <w:rsid w:val="00322A9F"/>
    <w:rsid w:val="00330E89"/>
    <w:rsid w:val="003327B3"/>
    <w:rsid w:val="003376AD"/>
    <w:rsid w:val="00340F43"/>
    <w:rsid w:val="00344150"/>
    <w:rsid w:val="003453F4"/>
    <w:rsid w:val="00347865"/>
    <w:rsid w:val="003530FB"/>
    <w:rsid w:val="0035552F"/>
    <w:rsid w:val="00356195"/>
    <w:rsid w:val="00362A15"/>
    <w:rsid w:val="00362B96"/>
    <w:rsid w:val="003649A9"/>
    <w:rsid w:val="00365505"/>
    <w:rsid w:val="00370214"/>
    <w:rsid w:val="00370EFD"/>
    <w:rsid w:val="00372087"/>
    <w:rsid w:val="00372214"/>
    <w:rsid w:val="00375D68"/>
    <w:rsid w:val="0037652E"/>
    <w:rsid w:val="00380EA1"/>
    <w:rsid w:val="003838E1"/>
    <w:rsid w:val="00384A59"/>
    <w:rsid w:val="0039052A"/>
    <w:rsid w:val="00392B58"/>
    <w:rsid w:val="003934D6"/>
    <w:rsid w:val="00393781"/>
    <w:rsid w:val="0039614F"/>
    <w:rsid w:val="003961A9"/>
    <w:rsid w:val="0039668D"/>
    <w:rsid w:val="0039749A"/>
    <w:rsid w:val="003A313C"/>
    <w:rsid w:val="003A3443"/>
    <w:rsid w:val="003A34E7"/>
    <w:rsid w:val="003A4223"/>
    <w:rsid w:val="003A448A"/>
    <w:rsid w:val="003A5B61"/>
    <w:rsid w:val="003B09D0"/>
    <w:rsid w:val="003B3B72"/>
    <w:rsid w:val="003B574E"/>
    <w:rsid w:val="003B6233"/>
    <w:rsid w:val="003C02F1"/>
    <w:rsid w:val="003C221E"/>
    <w:rsid w:val="003C2B64"/>
    <w:rsid w:val="003C4B87"/>
    <w:rsid w:val="003C6E41"/>
    <w:rsid w:val="003D25F3"/>
    <w:rsid w:val="003D5009"/>
    <w:rsid w:val="003D5701"/>
    <w:rsid w:val="003D6F20"/>
    <w:rsid w:val="003D773E"/>
    <w:rsid w:val="003E010E"/>
    <w:rsid w:val="003E1120"/>
    <w:rsid w:val="003E4C15"/>
    <w:rsid w:val="003E4C67"/>
    <w:rsid w:val="003F3B2E"/>
    <w:rsid w:val="003F3C32"/>
    <w:rsid w:val="003F7A03"/>
    <w:rsid w:val="0040058C"/>
    <w:rsid w:val="004014F8"/>
    <w:rsid w:val="004021A7"/>
    <w:rsid w:val="004025FF"/>
    <w:rsid w:val="00403254"/>
    <w:rsid w:val="00405E33"/>
    <w:rsid w:val="004064CA"/>
    <w:rsid w:val="0041541A"/>
    <w:rsid w:val="00415CEC"/>
    <w:rsid w:val="00416587"/>
    <w:rsid w:val="00416780"/>
    <w:rsid w:val="004204E1"/>
    <w:rsid w:val="0042229C"/>
    <w:rsid w:val="00424699"/>
    <w:rsid w:val="00424FA1"/>
    <w:rsid w:val="0042698E"/>
    <w:rsid w:val="004276E7"/>
    <w:rsid w:val="00430CBD"/>
    <w:rsid w:val="00430EBD"/>
    <w:rsid w:val="00430FC6"/>
    <w:rsid w:val="004311D8"/>
    <w:rsid w:val="004338EC"/>
    <w:rsid w:val="00435BAC"/>
    <w:rsid w:val="0043660F"/>
    <w:rsid w:val="00436698"/>
    <w:rsid w:val="00442BA2"/>
    <w:rsid w:val="00443311"/>
    <w:rsid w:val="00447597"/>
    <w:rsid w:val="0044774C"/>
    <w:rsid w:val="004505C1"/>
    <w:rsid w:val="0045668E"/>
    <w:rsid w:val="004628E1"/>
    <w:rsid w:val="004651C7"/>
    <w:rsid w:val="00470BAA"/>
    <w:rsid w:val="00471684"/>
    <w:rsid w:val="00472E96"/>
    <w:rsid w:val="0048047A"/>
    <w:rsid w:val="00481480"/>
    <w:rsid w:val="004856EE"/>
    <w:rsid w:val="00486659"/>
    <w:rsid w:val="004873AB"/>
    <w:rsid w:val="0049131E"/>
    <w:rsid w:val="004916CD"/>
    <w:rsid w:val="00491741"/>
    <w:rsid w:val="00491A63"/>
    <w:rsid w:val="00493735"/>
    <w:rsid w:val="004959AF"/>
    <w:rsid w:val="004A1E3D"/>
    <w:rsid w:val="004A36EC"/>
    <w:rsid w:val="004B18EA"/>
    <w:rsid w:val="004B1EEE"/>
    <w:rsid w:val="004B3540"/>
    <w:rsid w:val="004B6110"/>
    <w:rsid w:val="004B7A2F"/>
    <w:rsid w:val="004C1DF9"/>
    <w:rsid w:val="004C1E1A"/>
    <w:rsid w:val="004C25B6"/>
    <w:rsid w:val="004C6650"/>
    <w:rsid w:val="004C7309"/>
    <w:rsid w:val="004C7391"/>
    <w:rsid w:val="004C7B15"/>
    <w:rsid w:val="004D0F5A"/>
    <w:rsid w:val="004D1612"/>
    <w:rsid w:val="004D46CB"/>
    <w:rsid w:val="004D5914"/>
    <w:rsid w:val="004D6401"/>
    <w:rsid w:val="004D735B"/>
    <w:rsid w:val="004D7DFC"/>
    <w:rsid w:val="004E050A"/>
    <w:rsid w:val="004E1968"/>
    <w:rsid w:val="004E1D00"/>
    <w:rsid w:val="004E224F"/>
    <w:rsid w:val="004E22E0"/>
    <w:rsid w:val="004E3FE0"/>
    <w:rsid w:val="004E71B9"/>
    <w:rsid w:val="004F0058"/>
    <w:rsid w:val="004F005E"/>
    <w:rsid w:val="004F1A80"/>
    <w:rsid w:val="004F43DE"/>
    <w:rsid w:val="004F4FDE"/>
    <w:rsid w:val="004F5338"/>
    <w:rsid w:val="004F54A8"/>
    <w:rsid w:val="0050045B"/>
    <w:rsid w:val="00500461"/>
    <w:rsid w:val="00502EA3"/>
    <w:rsid w:val="00504E3B"/>
    <w:rsid w:val="0050563D"/>
    <w:rsid w:val="00510653"/>
    <w:rsid w:val="005141ED"/>
    <w:rsid w:val="00515B99"/>
    <w:rsid w:val="0051601C"/>
    <w:rsid w:val="005167C6"/>
    <w:rsid w:val="005229C8"/>
    <w:rsid w:val="00523D3E"/>
    <w:rsid w:val="00524678"/>
    <w:rsid w:val="005246DD"/>
    <w:rsid w:val="005249EE"/>
    <w:rsid w:val="00525D5A"/>
    <w:rsid w:val="005322EC"/>
    <w:rsid w:val="00533F1F"/>
    <w:rsid w:val="0053404A"/>
    <w:rsid w:val="00535D03"/>
    <w:rsid w:val="00537907"/>
    <w:rsid w:val="005403F3"/>
    <w:rsid w:val="005409A9"/>
    <w:rsid w:val="00544321"/>
    <w:rsid w:val="00544956"/>
    <w:rsid w:val="00546017"/>
    <w:rsid w:val="00550A98"/>
    <w:rsid w:val="00550CE9"/>
    <w:rsid w:val="00551AB0"/>
    <w:rsid w:val="00551BA1"/>
    <w:rsid w:val="00551BCA"/>
    <w:rsid w:val="00552A78"/>
    <w:rsid w:val="0055302A"/>
    <w:rsid w:val="00556503"/>
    <w:rsid w:val="005570EF"/>
    <w:rsid w:val="00557FCB"/>
    <w:rsid w:val="00562ECD"/>
    <w:rsid w:val="00562EF3"/>
    <w:rsid w:val="00563588"/>
    <w:rsid w:val="005676F3"/>
    <w:rsid w:val="00567F99"/>
    <w:rsid w:val="00571985"/>
    <w:rsid w:val="00573A1B"/>
    <w:rsid w:val="00576A27"/>
    <w:rsid w:val="00577BBE"/>
    <w:rsid w:val="00577C55"/>
    <w:rsid w:val="0058073B"/>
    <w:rsid w:val="00582665"/>
    <w:rsid w:val="00583F53"/>
    <w:rsid w:val="005856AA"/>
    <w:rsid w:val="00585FC5"/>
    <w:rsid w:val="00587809"/>
    <w:rsid w:val="00590499"/>
    <w:rsid w:val="00590EB2"/>
    <w:rsid w:val="00596E4A"/>
    <w:rsid w:val="00597B47"/>
    <w:rsid w:val="005A53DC"/>
    <w:rsid w:val="005A5509"/>
    <w:rsid w:val="005A57CC"/>
    <w:rsid w:val="005A65F9"/>
    <w:rsid w:val="005A68D5"/>
    <w:rsid w:val="005B0CA9"/>
    <w:rsid w:val="005B17A7"/>
    <w:rsid w:val="005B1CE6"/>
    <w:rsid w:val="005B1DE2"/>
    <w:rsid w:val="005B43F9"/>
    <w:rsid w:val="005B45F4"/>
    <w:rsid w:val="005B4870"/>
    <w:rsid w:val="005B4ECC"/>
    <w:rsid w:val="005B6B9A"/>
    <w:rsid w:val="005B769E"/>
    <w:rsid w:val="005B7A60"/>
    <w:rsid w:val="005C0816"/>
    <w:rsid w:val="005C18BF"/>
    <w:rsid w:val="005C1CDE"/>
    <w:rsid w:val="005C27F5"/>
    <w:rsid w:val="005C5A41"/>
    <w:rsid w:val="005C5AF0"/>
    <w:rsid w:val="005D27AB"/>
    <w:rsid w:val="005D3D80"/>
    <w:rsid w:val="005D3F9C"/>
    <w:rsid w:val="005D4B8D"/>
    <w:rsid w:val="005D5663"/>
    <w:rsid w:val="005D662F"/>
    <w:rsid w:val="005D6724"/>
    <w:rsid w:val="005E1D66"/>
    <w:rsid w:val="005E447E"/>
    <w:rsid w:val="005E6F59"/>
    <w:rsid w:val="005F38BB"/>
    <w:rsid w:val="005F5787"/>
    <w:rsid w:val="005F578E"/>
    <w:rsid w:val="005F7A53"/>
    <w:rsid w:val="006008B4"/>
    <w:rsid w:val="00602106"/>
    <w:rsid w:val="006124CC"/>
    <w:rsid w:val="006135CD"/>
    <w:rsid w:val="00613CB6"/>
    <w:rsid w:val="00615C38"/>
    <w:rsid w:val="00617385"/>
    <w:rsid w:val="0061771E"/>
    <w:rsid w:val="00617FA2"/>
    <w:rsid w:val="006201FF"/>
    <w:rsid w:val="00621375"/>
    <w:rsid w:val="00622E0D"/>
    <w:rsid w:val="00624B68"/>
    <w:rsid w:val="00625E0A"/>
    <w:rsid w:val="006262E9"/>
    <w:rsid w:val="0062653B"/>
    <w:rsid w:val="006300F0"/>
    <w:rsid w:val="00631525"/>
    <w:rsid w:val="00631651"/>
    <w:rsid w:val="00632F57"/>
    <w:rsid w:val="0063375F"/>
    <w:rsid w:val="00642AAC"/>
    <w:rsid w:val="00646241"/>
    <w:rsid w:val="00646835"/>
    <w:rsid w:val="00647428"/>
    <w:rsid w:val="00651981"/>
    <w:rsid w:val="006525AA"/>
    <w:rsid w:val="00656B10"/>
    <w:rsid w:val="00660F0C"/>
    <w:rsid w:val="00663053"/>
    <w:rsid w:val="006653AB"/>
    <w:rsid w:val="00665A27"/>
    <w:rsid w:val="006668A4"/>
    <w:rsid w:val="006739D2"/>
    <w:rsid w:val="0067720C"/>
    <w:rsid w:val="00680197"/>
    <w:rsid w:val="0068197A"/>
    <w:rsid w:val="00681AD2"/>
    <w:rsid w:val="00684BCD"/>
    <w:rsid w:val="00685C2D"/>
    <w:rsid w:val="006871DE"/>
    <w:rsid w:val="00691B3B"/>
    <w:rsid w:val="00692540"/>
    <w:rsid w:val="006925F9"/>
    <w:rsid w:val="00694686"/>
    <w:rsid w:val="0069469D"/>
    <w:rsid w:val="006966C0"/>
    <w:rsid w:val="006A0032"/>
    <w:rsid w:val="006A187C"/>
    <w:rsid w:val="006A2AA7"/>
    <w:rsid w:val="006A3F75"/>
    <w:rsid w:val="006A4220"/>
    <w:rsid w:val="006A44C0"/>
    <w:rsid w:val="006A4EDB"/>
    <w:rsid w:val="006A7661"/>
    <w:rsid w:val="006B044B"/>
    <w:rsid w:val="006B07C5"/>
    <w:rsid w:val="006B0F4C"/>
    <w:rsid w:val="006B4164"/>
    <w:rsid w:val="006B4A7B"/>
    <w:rsid w:val="006B749A"/>
    <w:rsid w:val="006C45FD"/>
    <w:rsid w:val="006C5E99"/>
    <w:rsid w:val="006C7264"/>
    <w:rsid w:val="006D1176"/>
    <w:rsid w:val="006D19A3"/>
    <w:rsid w:val="006D2146"/>
    <w:rsid w:val="006D34D6"/>
    <w:rsid w:val="006D38F8"/>
    <w:rsid w:val="006D3C64"/>
    <w:rsid w:val="006D5FE1"/>
    <w:rsid w:val="006D6063"/>
    <w:rsid w:val="006D784F"/>
    <w:rsid w:val="006D7CB6"/>
    <w:rsid w:val="006E2387"/>
    <w:rsid w:val="006E3A77"/>
    <w:rsid w:val="006E3E43"/>
    <w:rsid w:val="006E4A36"/>
    <w:rsid w:val="006F0135"/>
    <w:rsid w:val="006F0D45"/>
    <w:rsid w:val="006F15B9"/>
    <w:rsid w:val="006F1740"/>
    <w:rsid w:val="006F1ACD"/>
    <w:rsid w:val="006F4BE8"/>
    <w:rsid w:val="006F614B"/>
    <w:rsid w:val="006F6333"/>
    <w:rsid w:val="006F7AFF"/>
    <w:rsid w:val="0070071C"/>
    <w:rsid w:val="00701BE8"/>
    <w:rsid w:val="00702BDA"/>
    <w:rsid w:val="007038B4"/>
    <w:rsid w:val="007049CD"/>
    <w:rsid w:val="00705106"/>
    <w:rsid w:val="00706228"/>
    <w:rsid w:val="0070634B"/>
    <w:rsid w:val="00710CFC"/>
    <w:rsid w:val="0071113A"/>
    <w:rsid w:val="00712A9A"/>
    <w:rsid w:val="0071388D"/>
    <w:rsid w:val="00713A02"/>
    <w:rsid w:val="00715EFC"/>
    <w:rsid w:val="00716010"/>
    <w:rsid w:val="00716202"/>
    <w:rsid w:val="007174AA"/>
    <w:rsid w:val="00723DD6"/>
    <w:rsid w:val="00725D08"/>
    <w:rsid w:val="00726FEB"/>
    <w:rsid w:val="0073591C"/>
    <w:rsid w:val="00736050"/>
    <w:rsid w:val="00736F73"/>
    <w:rsid w:val="00737C4B"/>
    <w:rsid w:val="00741687"/>
    <w:rsid w:val="00741AAF"/>
    <w:rsid w:val="00742C09"/>
    <w:rsid w:val="007464B5"/>
    <w:rsid w:val="00747B23"/>
    <w:rsid w:val="00751DA9"/>
    <w:rsid w:val="007521E8"/>
    <w:rsid w:val="007530C8"/>
    <w:rsid w:val="0075380A"/>
    <w:rsid w:val="007561E0"/>
    <w:rsid w:val="007626DF"/>
    <w:rsid w:val="00763E7C"/>
    <w:rsid w:val="0076515F"/>
    <w:rsid w:val="0076649B"/>
    <w:rsid w:val="0076675A"/>
    <w:rsid w:val="007668BA"/>
    <w:rsid w:val="00767580"/>
    <w:rsid w:val="00770A10"/>
    <w:rsid w:val="007715C9"/>
    <w:rsid w:val="007724FA"/>
    <w:rsid w:val="00773C8D"/>
    <w:rsid w:val="007770D8"/>
    <w:rsid w:val="00786093"/>
    <w:rsid w:val="00793F4F"/>
    <w:rsid w:val="0079581E"/>
    <w:rsid w:val="007A224E"/>
    <w:rsid w:val="007A429D"/>
    <w:rsid w:val="007A454F"/>
    <w:rsid w:val="007B12CE"/>
    <w:rsid w:val="007B3CDB"/>
    <w:rsid w:val="007B4BE9"/>
    <w:rsid w:val="007B5494"/>
    <w:rsid w:val="007B5E65"/>
    <w:rsid w:val="007B7EBA"/>
    <w:rsid w:val="007B7F3D"/>
    <w:rsid w:val="007C0CB8"/>
    <w:rsid w:val="007C3132"/>
    <w:rsid w:val="007C6A1A"/>
    <w:rsid w:val="007C7FBC"/>
    <w:rsid w:val="007D17D3"/>
    <w:rsid w:val="007D31CC"/>
    <w:rsid w:val="007D3384"/>
    <w:rsid w:val="007D3DBD"/>
    <w:rsid w:val="007D6BC6"/>
    <w:rsid w:val="007E0CE7"/>
    <w:rsid w:val="007E0E75"/>
    <w:rsid w:val="007E4325"/>
    <w:rsid w:val="007E4B2D"/>
    <w:rsid w:val="007E5790"/>
    <w:rsid w:val="007E79B5"/>
    <w:rsid w:val="007F21F1"/>
    <w:rsid w:val="007F299C"/>
    <w:rsid w:val="007F29E5"/>
    <w:rsid w:val="007F446A"/>
    <w:rsid w:val="007F5CC7"/>
    <w:rsid w:val="007F6C49"/>
    <w:rsid w:val="007F6C6E"/>
    <w:rsid w:val="007F782D"/>
    <w:rsid w:val="007F7C8B"/>
    <w:rsid w:val="00800B8E"/>
    <w:rsid w:val="008024C8"/>
    <w:rsid w:val="008026B5"/>
    <w:rsid w:val="00803EDE"/>
    <w:rsid w:val="0080540F"/>
    <w:rsid w:val="00807721"/>
    <w:rsid w:val="008103C4"/>
    <w:rsid w:val="00812B06"/>
    <w:rsid w:val="00815BB8"/>
    <w:rsid w:val="008171A9"/>
    <w:rsid w:val="00820320"/>
    <w:rsid w:val="00821907"/>
    <w:rsid w:val="00830317"/>
    <w:rsid w:val="00831D46"/>
    <w:rsid w:val="008327AD"/>
    <w:rsid w:val="008337BA"/>
    <w:rsid w:val="008343E7"/>
    <w:rsid w:val="00837498"/>
    <w:rsid w:val="00840018"/>
    <w:rsid w:val="00840708"/>
    <w:rsid w:val="00841619"/>
    <w:rsid w:val="00843A8A"/>
    <w:rsid w:val="00847060"/>
    <w:rsid w:val="008474D8"/>
    <w:rsid w:val="00851094"/>
    <w:rsid w:val="00851CD5"/>
    <w:rsid w:val="0085216B"/>
    <w:rsid w:val="00852FFD"/>
    <w:rsid w:val="00853DC2"/>
    <w:rsid w:val="008544D1"/>
    <w:rsid w:val="0085451D"/>
    <w:rsid w:val="008553BA"/>
    <w:rsid w:val="00855412"/>
    <w:rsid w:val="008557A0"/>
    <w:rsid w:val="00863529"/>
    <w:rsid w:val="008700C1"/>
    <w:rsid w:val="0087175C"/>
    <w:rsid w:val="008727C6"/>
    <w:rsid w:val="00874CBF"/>
    <w:rsid w:val="00876788"/>
    <w:rsid w:val="00876CA0"/>
    <w:rsid w:val="00877A1D"/>
    <w:rsid w:val="00877FA2"/>
    <w:rsid w:val="00880A8E"/>
    <w:rsid w:val="00881217"/>
    <w:rsid w:val="008823BC"/>
    <w:rsid w:val="00882546"/>
    <w:rsid w:val="00882841"/>
    <w:rsid w:val="00883F9C"/>
    <w:rsid w:val="00885BD4"/>
    <w:rsid w:val="00894DE5"/>
    <w:rsid w:val="00895514"/>
    <w:rsid w:val="00895579"/>
    <w:rsid w:val="00895946"/>
    <w:rsid w:val="00896148"/>
    <w:rsid w:val="008972B9"/>
    <w:rsid w:val="008A19C2"/>
    <w:rsid w:val="008A3B55"/>
    <w:rsid w:val="008A3CCD"/>
    <w:rsid w:val="008A3DE4"/>
    <w:rsid w:val="008A5672"/>
    <w:rsid w:val="008A6840"/>
    <w:rsid w:val="008B21E9"/>
    <w:rsid w:val="008B3931"/>
    <w:rsid w:val="008B3B33"/>
    <w:rsid w:val="008B7D44"/>
    <w:rsid w:val="008D1BFD"/>
    <w:rsid w:val="008D37FC"/>
    <w:rsid w:val="008D66DB"/>
    <w:rsid w:val="008D6CD5"/>
    <w:rsid w:val="008D7155"/>
    <w:rsid w:val="008D78F1"/>
    <w:rsid w:val="008E0BAF"/>
    <w:rsid w:val="008E2E05"/>
    <w:rsid w:val="008E4AFD"/>
    <w:rsid w:val="008E5673"/>
    <w:rsid w:val="008E7880"/>
    <w:rsid w:val="008F0BD8"/>
    <w:rsid w:val="008F1A73"/>
    <w:rsid w:val="008F5B3E"/>
    <w:rsid w:val="008F60D1"/>
    <w:rsid w:val="008F6F3B"/>
    <w:rsid w:val="008F7BAF"/>
    <w:rsid w:val="0090017A"/>
    <w:rsid w:val="0090143B"/>
    <w:rsid w:val="00904B63"/>
    <w:rsid w:val="0091056C"/>
    <w:rsid w:val="00910E12"/>
    <w:rsid w:val="009111F2"/>
    <w:rsid w:val="00912517"/>
    <w:rsid w:val="009125FC"/>
    <w:rsid w:val="009175DC"/>
    <w:rsid w:val="00921AC6"/>
    <w:rsid w:val="009221B6"/>
    <w:rsid w:val="00923C7F"/>
    <w:rsid w:val="009241BC"/>
    <w:rsid w:val="00926D65"/>
    <w:rsid w:val="00931ABC"/>
    <w:rsid w:val="0093242E"/>
    <w:rsid w:val="00933B75"/>
    <w:rsid w:val="00934902"/>
    <w:rsid w:val="009354DC"/>
    <w:rsid w:val="00935939"/>
    <w:rsid w:val="009406CD"/>
    <w:rsid w:val="009439CE"/>
    <w:rsid w:val="00944D45"/>
    <w:rsid w:val="0095152D"/>
    <w:rsid w:val="00954D8D"/>
    <w:rsid w:val="00956AE1"/>
    <w:rsid w:val="009632E5"/>
    <w:rsid w:val="00964CEA"/>
    <w:rsid w:val="00970149"/>
    <w:rsid w:val="009704E2"/>
    <w:rsid w:val="00975A0E"/>
    <w:rsid w:val="00976456"/>
    <w:rsid w:val="00976B21"/>
    <w:rsid w:val="009804CC"/>
    <w:rsid w:val="00982769"/>
    <w:rsid w:val="00986435"/>
    <w:rsid w:val="009876B9"/>
    <w:rsid w:val="00987923"/>
    <w:rsid w:val="009901D9"/>
    <w:rsid w:val="00992266"/>
    <w:rsid w:val="00992380"/>
    <w:rsid w:val="00996090"/>
    <w:rsid w:val="00997496"/>
    <w:rsid w:val="009A5B2F"/>
    <w:rsid w:val="009A6B06"/>
    <w:rsid w:val="009A6D70"/>
    <w:rsid w:val="009A6F5F"/>
    <w:rsid w:val="009A78C3"/>
    <w:rsid w:val="009B0450"/>
    <w:rsid w:val="009B086A"/>
    <w:rsid w:val="009B0CD9"/>
    <w:rsid w:val="009B12B7"/>
    <w:rsid w:val="009B1E31"/>
    <w:rsid w:val="009B2E1F"/>
    <w:rsid w:val="009B5B95"/>
    <w:rsid w:val="009B760F"/>
    <w:rsid w:val="009C0A6E"/>
    <w:rsid w:val="009C0F41"/>
    <w:rsid w:val="009C1D28"/>
    <w:rsid w:val="009C2297"/>
    <w:rsid w:val="009C647D"/>
    <w:rsid w:val="009C7EC5"/>
    <w:rsid w:val="009D0082"/>
    <w:rsid w:val="009D067F"/>
    <w:rsid w:val="009D0A49"/>
    <w:rsid w:val="009D2B96"/>
    <w:rsid w:val="009D47CC"/>
    <w:rsid w:val="009D525A"/>
    <w:rsid w:val="009D5C4B"/>
    <w:rsid w:val="009E398E"/>
    <w:rsid w:val="009E6DA5"/>
    <w:rsid w:val="009E6EFE"/>
    <w:rsid w:val="009E7AC5"/>
    <w:rsid w:val="009E7E5D"/>
    <w:rsid w:val="009F3DD8"/>
    <w:rsid w:val="009F4056"/>
    <w:rsid w:val="009F79A3"/>
    <w:rsid w:val="00A019FE"/>
    <w:rsid w:val="00A0377F"/>
    <w:rsid w:val="00A04208"/>
    <w:rsid w:val="00A05675"/>
    <w:rsid w:val="00A075F5"/>
    <w:rsid w:val="00A122DF"/>
    <w:rsid w:val="00A124FB"/>
    <w:rsid w:val="00A131AA"/>
    <w:rsid w:val="00A21BF9"/>
    <w:rsid w:val="00A25F24"/>
    <w:rsid w:val="00A26CFD"/>
    <w:rsid w:val="00A32523"/>
    <w:rsid w:val="00A328B0"/>
    <w:rsid w:val="00A345B9"/>
    <w:rsid w:val="00A3479A"/>
    <w:rsid w:val="00A34E95"/>
    <w:rsid w:val="00A40160"/>
    <w:rsid w:val="00A448B8"/>
    <w:rsid w:val="00A46ADB"/>
    <w:rsid w:val="00A471FA"/>
    <w:rsid w:val="00A472F6"/>
    <w:rsid w:val="00A51C6D"/>
    <w:rsid w:val="00A527F9"/>
    <w:rsid w:val="00A53295"/>
    <w:rsid w:val="00A61184"/>
    <w:rsid w:val="00A62536"/>
    <w:rsid w:val="00A6396B"/>
    <w:rsid w:val="00A67E98"/>
    <w:rsid w:val="00A67F95"/>
    <w:rsid w:val="00A702BF"/>
    <w:rsid w:val="00A735BD"/>
    <w:rsid w:val="00A7532B"/>
    <w:rsid w:val="00A777F5"/>
    <w:rsid w:val="00A77BB1"/>
    <w:rsid w:val="00A821CE"/>
    <w:rsid w:val="00A826AE"/>
    <w:rsid w:val="00A83B80"/>
    <w:rsid w:val="00A8571E"/>
    <w:rsid w:val="00A870CD"/>
    <w:rsid w:val="00A87855"/>
    <w:rsid w:val="00A87C6C"/>
    <w:rsid w:val="00A9158C"/>
    <w:rsid w:val="00A9376A"/>
    <w:rsid w:val="00A93EE6"/>
    <w:rsid w:val="00AA0385"/>
    <w:rsid w:val="00AA0731"/>
    <w:rsid w:val="00AA09E4"/>
    <w:rsid w:val="00AA4D16"/>
    <w:rsid w:val="00AA6588"/>
    <w:rsid w:val="00AA75C6"/>
    <w:rsid w:val="00AA78D1"/>
    <w:rsid w:val="00AB03D8"/>
    <w:rsid w:val="00AB0F01"/>
    <w:rsid w:val="00AB25C6"/>
    <w:rsid w:val="00AB2C60"/>
    <w:rsid w:val="00AB4F00"/>
    <w:rsid w:val="00AB6F2A"/>
    <w:rsid w:val="00AB7942"/>
    <w:rsid w:val="00AC2CDD"/>
    <w:rsid w:val="00AC2F6F"/>
    <w:rsid w:val="00AC314B"/>
    <w:rsid w:val="00AC5805"/>
    <w:rsid w:val="00AC6600"/>
    <w:rsid w:val="00AC7886"/>
    <w:rsid w:val="00AD148E"/>
    <w:rsid w:val="00AD2511"/>
    <w:rsid w:val="00AD4576"/>
    <w:rsid w:val="00AD602D"/>
    <w:rsid w:val="00AD72ED"/>
    <w:rsid w:val="00AD7F09"/>
    <w:rsid w:val="00AE1610"/>
    <w:rsid w:val="00AE3CF2"/>
    <w:rsid w:val="00AE502B"/>
    <w:rsid w:val="00AE74B5"/>
    <w:rsid w:val="00AF26E9"/>
    <w:rsid w:val="00AF2E12"/>
    <w:rsid w:val="00AF6E17"/>
    <w:rsid w:val="00AF7D67"/>
    <w:rsid w:val="00B0412E"/>
    <w:rsid w:val="00B04CF8"/>
    <w:rsid w:val="00B05A66"/>
    <w:rsid w:val="00B063C5"/>
    <w:rsid w:val="00B066C8"/>
    <w:rsid w:val="00B15930"/>
    <w:rsid w:val="00B1685E"/>
    <w:rsid w:val="00B27C47"/>
    <w:rsid w:val="00B3460A"/>
    <w:rsid w:val="00B36E38"/>
    <w:rsid w:val="00B36FA1"/>
    <w:rsid w:val="00B4086F"/>
    <w:rsid w:val="00B40A7A"/>
    <w:rsid w:val="00B47FC8"/>
    <w:rsid w:val="00B50008"/>
    <w:rsid w:val="00B50E36"/>
    <w:rsid w:val="00B516B5"/>
    <w:rsid w:val="00B546AA"/>
    <w:rsid w:val="00B54903"/>
    <w:rsid w:val="00B57704"/>
    <w:rsid w:val="00B61DF3"/>
    <w:rsid w:val="00B636CE"/>
    <w:rsid w:val="00B664C7"/>
    <w:rsid w:val="00B66C54"/>
    <w:rsid w:val="00B7021C"/>
    <w:rsid w:val="00B71004"/>
    <w:rsid w:val="00B713EF"/>
    <w:rsid w:val="00B722DF"/>
    <w:rsid w:val="00B75B14"/>
    <w:rsid w:val="00B7646F"/>
    <w:rsid w:val="00B779B9"/>
    <w:rsid w:val="00B8156A"/>
    <w:rsid w:val="00B86136"/>
    <w:rsid w:val="00B86366"/>
    <w:rsid w:val="00B91009"/>
    <w:rsid w:val="00B921DF"/>
    <w:rsid w:val="00B937FF"/>
    <w:rsid w:val="00B9643C"/>
    <w:rsid w:val="00B96D7C"/>
    <w:rsid w:val="00BA194D"/>
    <w:rsid w:val="00BA2DB3"/>
    <w:rsid w:val="00BA47CA"/>
    <w:rsid w:val="00BA56FB"/>
    <w:rsid w:val="00BA5875"/>
    <w:rsid w:val="00BA620E"/>
    <w:rsid w:val="00BA66BB"/>
    <w:rsid w:val="00BA6CC3"/>
    <w:rsid w:val="00BA6D28"/>
    <w:rsid w:val="00BA7E87"/>
    <w:rsid w:val="00BB0BBB"/>
    <w:rsid w:val="00BB15B3"/>
    <w:rsid w:val="00BB1C88"/>
    <w:rsid w:val="00BB25EB"/>
    <w:rsid w:val="00BC20CD"/>
    <w:rsid w:val="00BC5479"/>
    <w:rsid w:val="00BC58F2"/>
    <w:rsid w:val="00BC6B74"/>
    <w:rsid w:val="00BD055A"/>
    <w:rsid w:val="00BD3371"/>
    <w:rsid w:val="00BD459D"/>
    <w:rsid w:val="00BD56EA"/>
    <w:rsid w:val="00BD6BA6"/>
    <w:rsid w:val="00BD7CA4"/>
    <w:rsid w:val="00BE1787"/>
    <w:rsid w:val="00BE2D24"/>
    <w:rsid w:val="00BE4476"/>
    <w:rsid w:val="00BF017A"/>
    <w:rsid w:val="00BF7A67"/>
    <w:rsid w:val="00C06A2E"/>
    <w:rsid w:val="00C07301"/>
    <w:rsid w:val="00C13133"/>
    <w:rsid w:val="00C14506"/>
    <w:rsid w:val="00C14B8B"/>
    <w:rsid w:val="00C15C5B"/>
    <w:rsid w:val="00C172FA"/>
    <w:rsid w:val="00C17B04"/>
    <w:rsid w:val="00C310E9"/>
    <w:rsid w:val="00C31271"/>
    <w:rsid w:val="00C31758"/>
    <w:rsid w:val="00C320C2"/>
    <w:rsid w:val="00C32384"/>
    <w:rsid w:val="00C34854"/>
    <w:rsid w:val="00C348B2"/>
    <w:rsid w:val="00C3649B"/>
    <w:rsid w:val="00C41301"/>
    <w:rsid w:val="00C4182D"/>
    <w:rsid w:val="00C439D4"/>
    <w:rsid w:val="00C50DFD"/>
    <w:rsid w:val="00C5118C"/>
    <w:rsid w:val="00C520DE"/>
    <w:rsid w:val="00C5343B"/>
    <w:rsid w:val="00C53688"/>
    <w:rsid w:val="00C53D8E"/>
    <w:rsid w:val="00C54F1F"/>
    <w:rsid w:val="00C666E7"/>
    <w:rsid w:val="00C70199"/>
    <w:rsid w:val="00C71975"/>
    <w:rsid w:val="00C7213D"/>
    <w:rsid w:val="00C73A89"/>
    <w:rsid w:val="00C7476C"/>
    <w:rsid w:val="00C748C7"/>
    <w:rsid w:val="00C81483"/>
    <w:rsid w:val="00C84428"/>
    <w:rsid w:val="00C8586F"/>
    <w:rsid w:val="00C865E7"/>
    <w:rsid w:val="00C86F57"/>
    <w:rsid w:val="00C912A3"/>
    <w:rsid w:val="00C91A37"/>
    <w:rsid w:val="00C9386D"/>
    <w:rsid w:val="00C95965"/>
    <w:rsid w:val="00CA0F1B"/>
    <w:rsid w:val="00CA18B5"/>
    <w:rsid w:val="00CA485A"/>
    <w:rsid w:val="00CA5F04"/>
    <w:rsid w:val="00CB030D"/>
    <w:rsid w:val="00CB3A8C"/>
    <w:rsid w:val="00CB5B30"/>
    <w:rsid w:val="00CC027D"/>
    <w:rsid w:val="00CC065A"/>
    <w:rsid w:val="00CC1289"/>
    <w:rsid w:val="00CC1786"/>
    <w:rsid w:val="00CC2A52"/>
    <w:rsid w:val="00CC30C9"/>
    <w:rsid w:val="00CC456D"/>
    <w:rsid w:val="00CC4EF9"/>
    <w:rsid w:val="00CC5F52"/>
    <w:rsid w:val="00CC6546"/>
    <w:rsid w:val="00CC797F"/>
    <w:rsid w:val="00CD176C"/>
    <w:rsid w:val="00CD2E55"/>
    <w:rsid w:val="00CD49F0"/>
    <w:rsid w:val="00CD53D0"/>
    <w:rsid w:val="00CD6AC5"/>
    <w:rsid w:val="00CD77A4"/>
    <w:rsid w:val="00CE0451"/>
    <w:rsid w:val="00CE0CFF"/>
    <w:rsid w:val="00CE4438"/>
    <w:rsid w:val="00CE6A57"/>
    <w:rsid w:val="00CE7A92"/>
    <w:rsid w:val="00CF0F14"/>
    <w:rsid w:val="00CF1C35"/>
    <w:rsid w:val="00CF45D1"/>
    <w:rsid w:val="00CF5300"/>
    <w:rsid w:val="00CF5D2A"/>
    <w:rsid w:val="00D0117C"/>
    <w:rsid w:val="00D038EA"/>
    <w:rsid w:val="00D03F33"/>
    <w:rsid w:val="00D05E7E"/>
    <w:rsid w:val="00D1094B"/>
    <w:rsid w:val="00D11AF1"/>
    <w:rsid w:val="00D15E81"/>
    <w:rsid w:val="00D169FF"/>
    <w:rsid w:val="00D172E1"/>
    <w:rsid w:val="00D177E1"/>
    <w:rsid w:val="00D20A6C"/>
    <w:rsid w:val="00D22108"/>
    <w:rsid w:val="00D2646E"/>
    <w:rsid w:val="00D27307"/>
    <w:rsid w:val="00D304A9"/>
    <w:rsid w:val="00D34806"/>
    <w:rsid w:val="00D34EA7"/>
    <w:rsid w:val="00D37004"/>
    <w:rsid w:val="00D40E37"/>
    <w:rsid w:val="00D40EF1"/>
    <w:rsid w:val="00D45D67"/>
    <w:rsid w:val="00D46DAE"/>
    <w:rsid w:val="00D47211"/>
    <w:rsid w:val="00D51404"/>
    <w:rsid w:val="00D51804"/>
    <w:rsid w:val="00D522A4"/>
    <w:rsid w:val="00D52887"/>
    <w:rsid w:val="00D531DA"/>
    <w:rsid w:val="00D54ECC"/>
    <w:rsid w:val="00D550A1"/>
    <w:rsid w:val="00D55988"/>
    <w:rsid w:val="00D55B9B"/>
    <w:rsid w:val="00D56C4C"/>
    <w:rsid w:val="00D5729F"/>
    <w:rsid w:val="00D62296"/>
    <w:rsid w:val="00D63163"/>
    <w:rsid w:val="00D636F1"/>
    <w:rsid w:val="00D71EA8"/>
    <w:rsid w:val="00D72648"/>
    <w:rsid w:val="00D72820"/>
    <w:rsid w:val="00D73B85"/>
    <w:rsid w:val="00D745C1"/>
    <w:rsid w:val="00D81A57"/>
    <w:rsid w:val="00D82BA0"/>
    <w:rsid w:val="00D84227"/>
    <w:rsid w:val="00D851A6"/>
    <w:rsid w:val="00D87295"/>
    <w:rsid w:val="00D90A6B"/>
    <w:rsid w:val="00D917D9"/>
    <w:rsid w:val="00D92073"/>
    <w:rsid w:val="00D920BE"/>
    <w:rsid w:val="00D922D9"/>
    <w:rsid w:val="00D927EE"/>
    <w:rsid w:val="00D92D58"/>
    <w:rsid w:val="00D94491"/>
    <w:rsid w:val="00D96573"/>
    <w:rsid w:val="00D96ED3"/>
    <w:rsid w:val="00DA1B5A"/>
    <w:rsid w:val="00DA1D41"/>
    <w:rsid w:val="00DA2728"/>
    <w:rsid w:val="00DA4BF8"/>
    <w:rsid w:val="00DA60CB"/>
    <w:rsid w:val="00DB10B4"/>
    <w:rsid w:val="00DB3894"/>
    <w:rsid w:val="00DB4436"/>
    <w:rsid w:val="00DC12D4"/>
    <w:rsid w:val="00DC44A1"/>
    <w:rsid w:val="00DC4CCD"/>
    <w:rsid w:val="00DD0E31"/>
    <w:rsid w:val="00DD1125"/>
    <w:rsid w:val="00DD27DB"/>
    <w:rsid w:val="00DD36FF"/>
    <w:rsid w:val="00DD42CA"/>
    <w:rsid w:val="00DD7416"/>
    <w:rsid w:val="00DD7B33"/>
    <w:rsid w:val="00DE611E"/>
    <w:rsid w:val="00DF0145"/>
    <w:rsid w:val="00DF2618"/>
    <w:rsid w:val="00DF3DF4"/>
    <w:rsid w:val="00DF4F52"/>
    <w:rsid w:val="00DF7BBB"/>
    <w:rsid w:val="00DF7DAC"/>
    <w:rsid w:val="00E00171"/>
    <w:rsid w:val="00E03572"/>
    <w:rsid w:val="00E0614B"/>
    <w:rsid w:val="00E07DFE"/>
    <w:rsid w:val="00E110E9"/>
    <w:rsid w:val="00E12B50"/>
    <w:rsid w:val="00E15186"/>
    <w:rsid w:val="00E2469A"/>
    <w:rsid w:val="00E26172"/>
    <w:rsid w:val="00E27F1D"/>
    <w:rsid w:val="00E30B4C"/>
    <w:rsid w:val="00E34DE4"/>
    <w:rsid w:val="00E35756"/>
    <w:rsid w:val="00E357F9"/>
    <w:rsid w:val="00E41768"/>
    <w:rsid w:val="00E43C62"/>
    <w:rsid w:val="00E45433"/>
    <w:rsid w:val="00E46AA2"/>
    <w:rsid w:val="00E47144"/>
    <w:rsid w:val="00E50DBF"/>
    <w:rsid w:val="00E5153C"/>
    <w:rsid w:val="00E517AC"/>
    <w:rsid w:val="00E60F77"/>
    <w:rsid w:val="00E6213F"/>
    <w:rsid w:val="00E630B8"/>
    <w:rsid w:val="00E66FE4"/>
    <w:rsid w:val="00E71BF8"/>
    <w:rsid w:val="00E74E9B"/>
    <w:rsid w:val="00E769DD"/>
    <w:rsid w:val="00E805B0"/>
    <w:rsid w:val="00E80AB1"/>
    <w:rsid w:val="00E821B6"/>
    <w:rsid w:val="00E82C8B"/>
    <w:rsid w:val="00E85EC3"/>
    <w:rsid w:val="00E8609B"/>
    <w:rsid w:val="00E86660"/>
    <w:rsid w:val="00E87403"/>
    <w:rsid w:val="00E94BFC"/>
    <w:rsid w:val="00E94D8F"/>
    <w:rsid w:val="00E9522E"/>
    <w:rsid w:val="00E95C0A"/>
    <w:rsid w:val="00E979AC"/>
    <w:rsid w:val="00E97D2A"/>
    <w:rsid w:val="00EB0830"/>
    <w:rsid w:val="00EB2078"/>
    <w:rsid w:val="00EB3FB3"/>
    <w:rsid w:val="00EB5291"/>
    <w:rsid w:val="00EB5387"/>
    <w:rsid w:val="00EC07F3"/>
    <w:rsid w:val="00EC15EB"/>
    <w:rsid w:val="00EC182F"/>
    <w:rsid w:val="00EC1DF0"/>
    <w:rsid w:val="00EC2C5C"/>
    <w:rsid w:val="00EC3C9C"/>
    <w:rsid w:val="00EC5352"/>
    <w:rsid w:val="00ED0227"/>
    <w:rsid w:val="00ED1878"/>
    <w:rsid w:val="00ED28C8"/>
    <w:rsid w:val="00ED360E"/>
    <w:rsid w:val="00ED3B34"/>
    <w:rsid w:val="00ED471C"/>
    <w:rsid w:val="00ED49AE"/>
    <w:rsid w:val="00ED7048"/>
    <w:rsid w:val="00EE0C4C"/>
    <w:rsid w:val="00EE4EF2"/>
    <w:rsid w:val="00EF17A8"/>
    <w:rsid w:val="00EF2746"/>
    <w:rsid w:val="00EF550C"/>
    <w:rsid w:val="00EF64CE"/>
    <w:rsid w:val="00EF712A"/>
    <w:rsid w:val="00F00596"/>
    <w:rsid w:val="00F00722"/>
    <w:rsid w:val="00F01598"/>
    <w:rsid w:val="00F04621"/>
    <w:rsid w:val="00F04E71"/>
    <w:rsid w:val="00F05356"/>
    <w:rsid w:val="00F06A79"/>
    <w:rsid w:val="00F07833"/>
    <w:rsid w:val="00F130AB"/>
    <w:rsid w:val="00F1433C"/>
    <w:rsid w:val="00F15CE8"/>
    <w:rsid w:val="00F16B0B"/>
    <w:rsid w:val="00F22376"/>
    <w:rsid w:val="00F31650"/>
    <w:rsid w:val="00F31C3D"/>
    <w:rsid w:val="00F33515"/>
    <w:rsid w:val="00F34064"/>
    <w:rsid w:val="00F36192"/>
    <w:rsid w:val="00F36CD2"/>
    <w:rsid w:val="00F37060"/>
    <w:rsid w:val="00F3707E"/>
    <w:rsid w:val="00F3741B"/>
    <w:rsid w:val="00F37A9E"/>
    <w:rsid w:val="00F37D85"/>
    <w:rsid w:val="00F41025"/>
    <w:rsid w:val="00F41417"/>
    <w:rsid w:val="00F41522"/>
    <w:rsid w:val="00F437C1"/>
    <w:rsid w:val="00F4464F"/>
    <w:rsid w:val="00F452E2"/>
    <w:rsid w:val="00F45E38"/>
    <w:rsid w:val="00F479E8"/>
    <w:rsid w:val="00F52E21"/>
    <w:rsid w:val="00F53B2E"/>
    <w:rsid w:val="00F57ED0"/>
    <w:rsid w:val="00F6341F"/>
    <w:rsid w:val="00F639B2"/>
    <w:rsid w:val="00F645BB"/>
    <w:rsid w:val="00F67B43"/>
    <w:rsid w:val="00F7064D"/>
    <w:rsid w:val="00F72405"/>
    <w:rsid w:val="00F748B7"/>
    <w:rsid w:val="00F74BFF"/>
    <w:rsid w:val="00F74C6E"/>
    <w:rsid w:val="00F750DD"/>
    <w:rsid w:val="00F75151"/>
    <w:rsid w:val="00F7530C"/>
    <w:rsid w:val="00F77028"/>
    <w:rsid w:val="00F805D6"/>
    <w:rsid w:val="00F85551"/>
    <w:rsid w:val="00F86530"/>
    <w:rsid w:val="00F86E85"/>
    <w:rsid w:val="00F87CEC"/>
    <w:rsid w:val="00F91B28"/>
    <w:rsid w:val="00F92405"/>
    <w:rsid w:val="00F95037"/>
    <w:rsid w:val="00F97BDE"/>
    <w:rsid w:val="00FA40E0"/>
    <w:rsid w:val="00FA53F4"/>
    <w:rsid w:val="00FB4601"/>
    <w:rsid w:val="00FB6641"/>
    <w:rsid w:val="00FC0600"/>
    <w:rsid w:val="00FC2019"/>
    <w:rsid w:val="00FC34BA"/>
    <w:rsid w:val="00FC3F0F"/>
    <w:rsid w:val="00FC427F"/>
    <w:rsid w:val="00FC7452"/>
    <w:rsid w:val="00FD2B98"/>
    <w:rsid w:val="00FD45B8"/>
    <w:rsid w:val="00FE1266"/>
    <w:rsid w:val="00FE2EAC"/>
    <w:rsid w:val="00FE3862"/>
    <w:rsid w:val="00FF2670"/>
    <w:rsid w:val="00FF5E79"/>
    <w:rsid w:val="00FF7853"/>
    <w:rsid w:val="00FF7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semiHidden/>
    <w:rsid w:val="008E2E05"/>
    <w:rPr>
      <w:rFonts w:eastAsia="SimSun"/>
      <w:sz w:val="20"/>
      <w:szCs w:val="20"/>
    </w:rPr>
  </w:style>
  <w:style w:type="character" w:customStyle="1" w:styleId="CommentTextChar">
    <w:name w:val="Comment Text Char"/>
    <w:basedOn w:val="DefaultParagraphFont"/>
    <w:link w:val="CommentText"/>
    <w:semiHidden/>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F1433C"/>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source">
    <w:name w:val="exhibit source"/>
    <w:basedOn w:val="Normal"/>
    <w:uiPriority w:val="99"/>
    <w:rsid w:val="00563588"/>
    <w:pPr>
      <w:keepLines/>
      <w:spacing w:before="40" w:after="40" w:line="200" w:lineRule="exact"/>
      <w:ind w:left="187" w:hanging="187"/>
    </w:pPr>
    <w:rPr>
      <w:rFonts w:ascii="Arial" w:eastAsia="Calibri" w:hAnsi="Arial" w:cs="Arial"/>
      <w:sz w:val="18"/>
      <w:szCs w:val="18"/>
    </w:rPr>
  </w:style>
  <w:style w:type="paragraph" w:customStyle="1" w:styleId="TableHeaders">
    <w:name w:val="Table Headers"/>
    <w:basedOn w:val="Normal"/>
    <w:uiPriority w:val="99"/>
    <w:rsid w:val="00563588"/>
    <w:pPr>
      <w:keepNext/>
      <w:spacing w:before="40" w:after="40"/>
      <w:jc w:val="center"/>
    </w:pPr>
    <w:rPr>
      <w:rFonts w:ascii="Arial" w:eastAsia="Calibri" w:hAnsi="Arial" w:cs="Arial"/>
      <w:b/>
      <w:bCs/>
      <w:color w:val="FFFFFF"/>
      <w:sz w:val="20"/>
      <w:szCs w:val="20"/>
    </w:rPr>
  </w:style>
  <w:style w:type="paragraph" w:customStyle="1" w:styleId="BodyText1">
    <w:name w:val="Body Text1"/>
    <w:aliases w:val="bt,body tx,indent,flush,memo body text,body text"/>
    <w:basedOn w:val="Normal"/>
    <w:link w:val="bodytextChar"/>
    <w:uiPriority w:val="99"/>
    <w:rsid w:val="00563588"/>
    <w:pPr>
      <w:spacing w:before="120" w:after="120"/>
      <w:ind w:firstLine="720"/>
    </w:pPr>
    <w:rPr>
      <w:rFonts w:ascii="Calibri" w:eastAsia="Calibri" w:hAnsi="Calibri" w:cs="Calibri"/>
    </w:rPr>
  </w:style>
  <w:style w:type="character" w:customStyle="1" w:styleId="bodytextChar">
    <w:name w:val="body text Char"/>
    <w:aliases w:val="bt Char,body tx Char,indent Char,flush Char,memo body text Char"/>
    <w:basedOn w:val="DefaultParagraphFont"/>
    <w:link w:val="BodyText1"/>
    <w:uiPriority w:val="99"/>
    <w:locked/>
    <w:rsid w:val="00563588"/>
    <w:rPr>
      <w:rFonts w:ascii="Calibri" w:eastAsia="Calibri" w:hAnsi="Calibri" w:cs="Calibri"/>
      <w:sz w:val="24"/>
      <w:szCs w:val="24"/>
    </w:rPr>
  </w:style>
  <w:style w:type="character" w:styleId="FootnoteReference">
    <w:name w:val="footnote reference"/>
    <w:aliases w:val="fr"/>
    <w:basedOn w:val="DefaultParagraphFont"/>
    <w:uiPriority w:val="99"/>
    <w:rsid w:val="001C7136"/>
    <w:rPr>
      <w:rFonts w:cs="Times New Roman"/>
      <w:vertAlign w:val="superscript"/>
    </w:rPr>
  </w:style>
  <w:style w:type="paragraph" w:styleId="FootnoteText">
    <w:name w:val="footnote text"/>
    <w:basedOn w:val="Normal"/>
    <w:link w:val="FootnoteTextChar"/>
    <w:uiPriority w:val="99"/>
    <w:semiHidden/>
    <w:rsid w:val="001C7136"/>
    <w:rPr>
      <w:sz w:val="20"/>
      <w:szCs w:val="20"/>
    </w:rPr>
  </w:style>
  <w:style w:type="character" w:customStyle="1" w:styleId="FootnoteTextChar">
    <w:name w:val="Footnote Text Char"/>
    <w:basedOn w:val="DefaultParagraphFont"/>
    <w:link w:val="FootnoteText"/>
    <w:uiPriority w:val="99"/>
    <w:semiHidden/>
    <w:rsid w:val="001C7136"/>
  </w:style>
  <w:style w:type="paragraph" w:styleId="NoSpacing">
    <w:name w:val="No Spacing"/>
    <w:uiPriority w:val="1"/>
    <w:qFormat/>
    <w:rsid w:val="001C7136"/>
    <w:rPr>
      <w:rFonts w:ascii="Calibri" w:eastAsia="Calibri" w:hAnsi="Calibri" w:cs="Calibri"/>
      <w:sz w:val="22"/>
      <w:szCs w:val="22"/>
    </w:rPr>
  </w:style>
  <w:style w:type="paragraph" w:styleId="Revision">
    <w:name w:val="Revision"/>
    <w:hidden/>
    <w:uiPriority w:val="99"/>
    <w:semiHidden/>
    <w:rsid w:val="00737C4B"/>
    <w:rPr>
      <w:sz w:val="24"/>
      <w:szCs w:val="24"/>
    </w:rPr>
  </w:style>
  <w:style w:type="paragraph" w:styleId="NormalWeb">
    <w:name w:val="Normal (Web)"/>
    <w:basedOn w:val="Normal"/>
    <w:uiPriority w:val="99"/>
    <w:unhideWhenUsed/>
    <w:rsid w:val="0076675A"/>
    <w:pPr>
      <w:spacing w:after="1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semiHidden/>
    <w:rsid w:val="008E2E05"/>
    <w:rPr>
      <w:rFonts w:eastAsia="SimSun"/>
      <w:sz w:val="20"/>
      <w:szCs w:val="20"/>
    </w:rPr>
  </w:style>
  <w:style w:type="character" w:customStyle="1" w:styleId="CommentTextChar">
    <w:name w:val="Comment Text Char"/>
    <w:basedOn w:val="DefaultParagraphFont"/>
    <w:link w:val="CommentText"/>
    <w:semiHidden/>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F1433C"/>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source">
    <w:name w:val="exhibit source"/>
    <w:basedOn w:val="Normal"/>
    <w:uiPriority w:val="99"/>
    <w:rsid w:val="00563588"/>
    <w:pPr>
      <w:keepLines/>
      <w:spacing w:before="40" w:after="40" w:line="200" w:lineRule="exact"/>
      <w:ind w:left="187" w:hanging="187"/>
    </w:pPr>
    <w:rPr>
      <w:rFonts w:ascii="Arial" w:eastAsia="Calibri" w:hAnsi="Arial" w:cs="Arial"/>
      <w:sz w:val="18"/>
      <w:szCs w:val="18"/>
    </w:rPr>
  </w:style>
  <w:style w:type="paragraph" w:customStyle="1" w:styleId="TableHeaders">
    <w:name w:val="Table Headers"/>
    <w:basedOn w:val="Normal"/>
    <w:uiPriority w:val="99"/>
    <w:rsid w:val="00563588"/>
    <w:pPr>
      <w:keepNext/>
      <w:spacing w:before="40" w:after="40"/>
      <w:jc w:val="center"/>
    </w:pPr>
    <w:rPr>
      <w:rFonts w:ascii="Arial" w:eastAsia="Calibri" w:hAnsi="Arial" w:cs="Arial"/>
      <w:b/>
      <w:bCs/>
      <w:color w:val="FFFFFF"/>
      <w:sz w:val="20"/>
      <w:szCs w:val="20"/>
    </w:rPr>
  </w:style>
  <w:style w:type="paragraph" w:customStyle="1" w:styleId="BodyText1">
    <w:name w:val="Body Text1"/>
    <w:aliases w:val="bt,body tx,indent,flush,memo body text,body text"/>
    <w:basedOn w:val="Normal"/>
    <w:link w:val="bodytextChar"/>
    <w:uiPriority w:val="99"/>
    <w:rsid w:val="00563588"/>
    <w:pPr>
      <w:spacing w:before="120" w:after="120"/>
      <w:ind w:firstLine="720"/>
    </w:pPr>
    <w:rPr>
      <w:rFonts w:ascii="Calibri" w:eastAsia="Calibri" w:hAnsi="Calibri" w:cs="Calibri"/>
    </w:rPr>
  </w:style>
  <w:style w:type="character" w:customStyle="1" w:styleId="bodytextChar">
    <w:name w:val="body text Char"/>
    <w:aliases w:val="bt Char,body tx Char,indent Char,flush Char,memo body text Char"/>
    <w:basedOn w:val="DefaultParagraphFont"/>
    <w:link w:val="BodyText1"/>
    <w:uiPriority w:val="99"/>
    <w:locked/>
    <w:rsid w:val="00563588"/>
    <w:rPr>
      <w:rFonts w:ascii="Calibri" w:eastAsia="Calibri" w:hAnsi="Calibri" w:cs="Calibri"/>
      <w:sz w:val="24"/>
      <w:szCs w:val="24"/>
    </w:rPr>
  </w:style>
  <w:style w:type="character" w:styleId="FootnoteReference">
    <w:name w:val="footnote reference"/>
    <w:aliases w:val="fr"/>
    <w:basedOn w:val="DefaultParagraphFont"/>
    <w:uiPriority w:val="99"/>
    <w:rsid w:val="001C7136"/>
    <w:rPr>
      <w:rFonts w:cs="Times New Roman"/>
      <w:vertAlign w:val="superscript"/>
    </w:rPr>
  </w:style>
  <w:style w:type="paragraph" w:styleId="FootnoteText">
    <w:name w:val="footnote text"/>
    <w:basedOn w:val="Normal"/>
    <w:link w:val="FootnoteTextChar"/>
    <w:uiPriority w:val="99"/>
    <w:semiHidden/>
    <w:rsid w:val="001C7136"/>
    <w:rPr>
      <w:sz w:val="20"/>
      <w:szCs w:val="20"/>
    </w:rPr>
  </w:style>
  <w:style w:type="character" w:customStyle="1" w:styleId="FootnoteTextChar">
    <w:name w:val="Footnote Text Char"/>
    <w:basedOn w:val="DefaultParagraphFont"/>
    <w:link w:val="FootnoteText"/>
    <w:uiPriority w:val="99"/>
    <w:semiHidden/>
    <w:rsid w:val="001C7136"/>
  </w:style>
  <w:style w:type="paragraph" w:styleId="NoSpacing">
    <w:name w:val="No Spacing"/>
    <w:uiPriority w:val="1"/>
    <w:qFormat/>
    <w:rsid w:val="001C7136"/>
    <w:rPr>
      <w:rFonts w:ascii="Calibri" w:eastAsia="Calibri" w:hAnsi="Calibri" w:cs="Calibri"/>
      <w:sz w:val="22"/>
      <w:szCs w:val="22"/>
    </w:rPr>
  </w:style>
  <w:style w:type="paragraph" w:styleId="Revision">
    <w:name w:val="Revision"/>
    <w:hidden/>
    <w:uiPriority w:val="99"/>
    <w:semiHidden/>
    <w:rsid w:val="00737C4B"/>
    <w:rPr>
      <w:sz w:val="24"/>
      <w:szCs w:val="24"/>
    </w:rPr>
  </w:style>
  <w:style w:type="paragraph" w:styleId="NormalWeb">
    <w:name w:val="Normal (Web)"/>
    <w:basedOn w:val="Normal"/>
    <w:uiPriority w:val="99"/>
    <w:unhideWhenUsed/>
    <w:rsid w:val="0076675A"/>
    <w:pPr>
      <w:spacing w:after="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757">
      <w:bodyDiv w:val="1"/>
      <w:marLeft w:val="4"/>
      <w:marRight w:val="4"/>
      <w:marTop w:val="4"/>
      <w:marBottom w:val="4"/>
      <w:divBdr>
        <w:top w:val="none" w:sz="0" w:space="0" w:color="auto"/>
        <w:left w:val="none" w:sz="0" w:space="0" w:color="auto"/>
        <w:bottom w:val="none" w:sz="0" w:space="0" w:color="auto"/>
        <w:right w:val="none" w:sz="0" w:space="0" w:color="auto"/>
      </w:divBdr>
      <w:divsChild>
        <w:div w:id="361322222">
          <w:marLeft w:val="0"/>
          <w:marRight w:val="0"/>
          <w:marTop w:val="0"/>
          <w:marBottom w:val="0"/>
          <w:divBdr>
            <w:top w:val="none" w:sz="0" w:space="0" w:color="auto"/>
            <w:left w:val="none" w:sz="0" w:space="0" w:color="auto"/>
            <w:bottom w:val="none" w:sz="0" w:space="0" w:color="auto"/>
            <w:right w:val="none" w:sz="0" w:space="0" w:color="auto"/>
          </w:divBdr>
          <w:divsChild>
            <w:div w:id="917522548">
              <w:marLeft w:val="0"/>
              <w:marRight w:val="0"/>
              <w:marTop w:val="0"/>
              <w:marBottom w:val="180"/>
              <w:divBdr>
                <w:top w:val="none" w:sz="0" w:space="0" w:color="auto"/>
                <w:left w:val="none" w:sz="0" w:space="0" w:color="auto"/>
                <w:bottom w:val="none" w:sz="0" w:space="0" w:color="auto"/>
                <w:right w:val="none" w:sz="0" w:space="0" w:color="auto"/>
              </w:divBdr>
              <w:divsChild>
                <w:div w:id="1183740811">
                  <w:marLeft w:val="0"/>
                  <w:marRight w:val="0"/>
                  <w:marTop w:val="0"/>
                  <w:marBottom w:val="0"/>
                  <w:divBdr>
                    <w:top w:val="none" w:sz="0" w:space="0" w:color="auto"/>
                    <w:left w:val="none" w:sz="0" w:space="0" w:color="auto"/>
                    <w:bottom w:val="none" w:sz="0" w:space="0" w:color="auto"/>
                    <w:right w:val="none" w:sz="0" w:space="0" w:color="auto"/>
                  </w:divBdr>
                  <w:divsChild>
                    <w:div w:id="1792748479">
                      <w:marLeft w:val="0"/>
                      <w:marRight w:val="0"/>
                      <w:marTop w:val="0"/>
                      <w:marBottom w:val="0"/>
                      <w:divBdr>
                        <w:top w:val="none" w:sz="0" w:space="0" w:color="auto"/>
                        <w:left w:val="none" w:sz="0" w:space="0" w:color="auto"/>
                        <w:bottom w:val="none" w:sz="0" w:space="0" w:color="auto"/>
                        <w:right w:val="none" w:sz="0" w:space="0" w:color="auto"/>
                      </w:divBdr>
                      <w:divsChild>
                        <w:div w:id="11665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5222">
      <w:bodyDiv w:val="1"/>
      <w:marLeft w:val="0"/>
      <w:marRight w:val="0"/>
      <w:marTop w:val="0"/>
      <w:marBottom w:val="0"/>
      <w:divBdr>
        <w:top w:val="none" w:sz="0" w:space="0" w:color="auto"/>
        <w:left w:val="none" w:sz="0" w:space="0" w:color="auto"/>
        <w:bottom w:val="none" w:sz="0" w:space="0" w:color="auto"/>
        <w:right w:val="none" w:sz="0" w:space="0" w:color="auto"/>
      </w:divBdr>
    </w:div>
    <w:div w:id="182984337">
      <w:bodyDiv w:val="1"/>
      <w:marLeft w:val="4"/>
      <w:marRight w:val="4"/>
      <w:marTop w:val="4"/>
      <w:marBottom w:val="4"/>
      <w:divBdr>
        <w:top w:val="none" w:sz="0" w:space="0" w:color="auto"/>
        <w:left w:val="none" w:sz="0" w:space="0" w:color="auto"/>
        <w:bottom w:val="none" w:sz="0" w:space="0" w:color="auto"/>
        <w:right w:val="none" w:sz="0" w:space="0" w:color="auto"/>
      </w:divBdr>
      <w:divsChild>
        <w:div w:id="1207450431">
          <w:marLeft w:val="0"/>
          <w:marRight w:val="0"/>
          <w:marTop w:val="0"/>
          <w:marBottom w:val="0"/>
          <w:divBdr>
            <w:top w:val="none" w:sz="0" w:space="0" w:color="auto"/>
            <w:left w:val="none" w:sz="0" w:space="0" w:color="auto"/>
            <w:bottom w:val="none" w:sz="0" w:space="0" w:color="auto"/>
            <w:right w:val="none" w:sz="0" w:space="0" w:color="auto"/>
          </w:divBdr>
          <w:divsChild>
            <w:div w:id="1750350520">
              <w:marLeft w:val="0"/>
              <w:marRight w:val="0"/>
              <w:marTop w:val="0"/>
              <w:marBottom w:val="180"/>
              <w:divBdr>
                <w:top w:val="none" w:sz="0" w:space="0" w:color="auto"/>
                <w:left w:val="none" w:sz="0" w:space="0" w:color="auto"/>
                <w:bottom w:val="none" w:sz="0" w:space="0" w:color="auto"/>
                <w:right w:val="none" w:sz="0" w:space="0" w:color="auto"/>
              </w:divBdr>
              <w:divsChild>
                <w:div w:id="92290392">
                  <w:marLeft w:val="0"/>
                  <w:marRight w:val="0"/>
                  <w:marTop w:val="0"/>
                  <w:marBottom w:val="0"/>
                  <w:divBdr>
                    <w:top w:val="none" w:sz="0" w:space="0" w:color="auto"/>
                    <w:left w:val="none" w:sz="0" w:space="0" w:color="auto"/>
                    <w:bottom w:val="none" w:sz="0" w:space="0" w:color="auto"/>
                    <w:right w:val="none" w:sz="0" w:space="0" w:color="auto"/>
                  </w:divBdr>
                  <w:divsChild>
                    <w:div w:id="573466871">
                      <w:marLeft w:val="0"/>
                      <w:marRight w:val="0"/>
                      <w:marTop w:val="0"/>
                      <w:marBottom w:val="0"/>
                      <w:divBdr>
                        <w:top w:val="none" w:sz="0" w:space="0" w:color="auto"/>
                        <w:left w:val="none" w:sz="0" w:space="0" w:color="auto"/>
                        <w:bottom w:val="none" w:sz="0" w:space="0" w:color="auto"/>
                        <w:right w:val="none" w:sz="0" w:space="0" w:color="auto"/>
                      </w:divBdr>
                      <w:divsChild>
                        <w:div w:id="207673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085241">
      <w:bodyDiv w:val="1"/>
      <w:marLeft w:val="0"/>
      <w:marRight w:val="0"/>
      <w:marTop w:val="0"/>
      <w:marBottom w:val="0"/>
      <w:divBdr>
        <w:top w:val="none" w:sz="0" w:space="0" w:color="auto"/>
        <w:left w:val="none" w:sz="0" w:space="0" w:color="auto"/>
        <w:bottom w:val="none" w:sz="0" w:space="0" w:color="auto"/>
        <w:right w:val="none" w:sz="0" w:space="0" w:color="auto"/>
      </w:divBdr>
    </w:div>
    <w:div w:id="393746743">
      <w:bodyDiv w:val="1"/>
      <w:marLeft w:val="4"/>
      <w:marRight w:val="4"/>
      <w:marTop w:val="4"/>
      <w:marBottom w:val="4"/>
      <w:divBdr>
        <w:top w:val="none" w:sz="0" w:space="0" w:color="auto"/>
        <w:left w:val="none" w:sz="0" w:space="0" w:color="auto"/>
        <w:bottom w:val="none" w:sz="0" w:space="0" w:color="auto"/>
        <w:right w:val="none" w:sz="0" w:space="0" w:color="auto"/>
      </w:divBdr>
      <w:divsChild>
        <w:div w:id="1613786907">
          <w:marLeft w:val="0"/>
          <w:marRight w:val="0"/>
          <w:marTop w:val="0"/>
          <w:marBottom w:val="0"/>
          <w:divBdr>
            <w:top w:val="none" w:sz="0" w:space="0" w:color="auto"/>
            <w:left w:val="none" w:sz="0" w:space="0" w:color="auto"/>
            <w:bottom w:val="none" w:sz="0" w:space="0" w:color="auto"/>
            <w:right w:val="none" w:sz="0" w:space="0" w:color="auto"/>
          </w:divBdr>
          <w:divsChild>
            <w:div w:id="1302806668">
              <w:marLeft w:val="0"/>
              <w:marRight w:val="0"/>
              <w:marTop w:val="0"/>
              <w:marBottom w:val="180"/>
              <w:divBdr>
                <w:top w:val="none" w:sz="0" w:space="0" w:color="auto"/>
                <w:left w:val="none" w:sz="0" w:space="0" w:color="auto"/>
                <w:bottom w:val="none" w:sz="0" w:space="0" w:color="auto"/>
                <w:right w:val="none" w:sz="0" w:space="0" w:color="auto"/>
              </w:divBdr>
              <w:divsChild>
                <w:div w:id="2091343103">
                  <w:marLeft w:val="0"/>
                  <w:marRight w:val="0"/>
                  <w:marTop w:val="0"/>
                  <w:marBottom w:val="0"/>
                  <w:divBdr>
                    <w:top w:val="none" w:sz="0" w:space="0" w:color="auto"/>
                    <w:left w:val="none" w:sz="0" w:space="0" w:color="auto"/>
                    <w:bottom w:val="none" w:sz="0" w:space="0" w:color="auto"/>
                    <w:right w:val="none" w:sz="0" w:space="0" w:color="auto"/>
                  </w:divBdr>
                  <w:divsChild>
                    <w:div w:id="26223955">
                      <w:marLeft w:val="0"/>
                      <w:marRight w:val="0"/>
                      <w:marTop w:val="0"/>
                      <w:marBottom w:val="0"/>
                      <w:divBdr>
                        <w:top w:val="none" w:sz="0" w:space="0" w:color="auto"/>
                        <w:left w:val="none" w:sz="0" w:space="0" w:color="auto"/>
                        <w:bottom w:val="none" w:sz="0" w:space="0" w:color="auto"/>
                        <w:right w:val="none" w:sz="0" w:space="0" w:color="auto"/>
                      </w:divBdr>
                      <w:divsChild>
                        <w:div w:id="16712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02087">
      <w:bodyDiv w:val="1"/>
      <w:marLeft w:val="0"/>
      <w:marRight w:val="0"/>
      <w:marTop w:val="0"/>
      <w:marBottom w:val="0"/>
      <w:divBdr>
        <w:top w:val="none" w:sz="0" w:space="0" w:color="auto"/>
        <w:left w:val="none" w:sz="0" w:space="0" w:color="auto"/>
        <w:bottom w:val="none" w:sz="0" w:space="0" w:color="auto"/>
        <w:right w:val="none" w:sz="0" w:space="0" w:color="auto"/>
      </w:divBdr>
    </w:div>
    <w:div w:id="881477101">
      <w:bodyDiv w:val="1"/>
      <w:marLeft w:val="4"/>
      <w:marRight w:val="4"/>
      <w:marTop w:val="4"/>
      <w:marBottom w:val="4"/>
      <w:divBdr>
        <w:top w:val="none" w:sz="0" w:space="0" w:color="auto"/>
        <w:left w:val="none" w:sz="0" w:space="0" w:color="auto"/>
        <w:bottom w:val="none" w:sz="0" w:space="0" w:color="auto"/>
        <w:right w:val="none" w:sz="0" w:space="0" w:color="auto"/>
      </w:divBdr>
      <w:divsChild>
        <w:div w:id="1067454350">
          <w:marLeft w:val="0"/>
          <w:marRight w:val="0"/>
          <w:marTop w:val="0"/>
          <w:marBottom w:val="0"/>
          <w:divBdr>
            <w:top w:val="none" w:sz="0" w:space="0" w:color="auto"/>
            <w:left w:val="none" w:sz="0" w:space="0" w:color="auto"/>
            <w:bottom w:val="none" w:sz="0" w:space="0" w:color="auto"/>
            <w:right w:val="none" w:sz="0" w:space="0" w:color="auto"/>
          </w:divBdr>
          <w:divsChild>
            <w:div w:id="1422070567">
              <w:marLeft w:val="0"/>
              <w:marRight w:val="0"/>
              <w:marTop w:val="0"/>
              <w:marBottom w:val="180"/>
              <w:divBdr>
                <w:top w:val="none" w:sz="0" w:space="0" w:color="auto"/>
                <w:left w:val="none" w:sz="0" w:space="0" w:color="auto"/>
                <w:bottom w:val="none" w:sz="0" w:space="0" w:color="auto"/>
                <w:right w:val="none" w:sz="0" w:space="0" w:color="auto"/>
              </w:divBdr>
              <w:divsChild>
                <w:div w:id="247007722">
                  <w:marLeft w:val="0"/>
                  <w:marRight w:val="0"/>
                  <w:marTop w:val="0"/>
                  <w:marBottom w:val="0"/>
                  <w:divBdr>
                    <w:top w:val="none" w:sz="0" w:space="0" w:color="auto"/>
                    <w:left w:val="none" w:sz="0" w:space="0" w:color="auto"/>
                    <w:bottom w:val="none" w:sz="0" w:space="0" w:color="auto"/>
                    <w:right w:val="none" w:sz="0" w:space="0" w:color="auto"/>
                  </w:divBdr>
                  <w:divsChild>
                    <w:div w:id="578290829">
                      <w:marLeft w:val="0"/>
                      <w:marRight w:val="0"/>
                      <w:marTop w:val="0"/>
                      <w:marBottom w:val="0"/>
                      <w:divBdr>
                        <w:top w:val="none" w:sz="0" w:space="0" w:color="auto"/>
                        <w:left w:val="none" w:sz="0" w:space="0" w:color="auto"/>
                        <w:bottom w:val="none" w:sz="0" w:space="0" w:color="auto"/>
                        <w:right w:val="none" w:sz="0" w:space="0" w:color="auto"/>
                      </w:divBdr>
                      <w:divsChild>
                        <w:div w:id="6336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578476">
      <w:bodyDiv w:val="1"/>
      <w:marLeft w:val="4"/>
      <w:marRight w:val="4"/>
      <w:marTop w:val="4"/>
      <w:marBottom w:val="4"/>
      <w:divBdr>
        <w:top w:val="none" w:sz="0" w:space="0" w:color="auto"/>
        <w:left w:val="none" w:sz="0" w:space="0" w:color="auto"/>
        <w:bottom w:val="none" w:sz="0" w:space="0" w:color="auto"/>
        <w:right w:val="none" w:sz="0" w:space="0" w:color="auto"/>
      </w:divBdr>
      <w:divsChild>
        <w:div w:id="1901746093">
          <w:marLeft w:val="0"/>
          <w:marRight w:val="0"/>
          <w:marTop w:val="0"/>
          <w:marBottom w:val="0"/>
          <w:divBdr>
            <w:top w:val="none" w:sz="0" w:space="0" w:color="auto"/>
            <w:left w:val="none" w:sz="0" w:space="0" w:color="auto"/>
            <w:bottom w:val="none" w:sz="0" w:space="0" w:color="auto"/>
            <w:right w:val="none" w:sz="0" w:space="0" w:color="auto"/>
          </w:divBdr>
          <w:divsChild>
            <w:div w:id="1569265822">
              <w:marLeft w:val="0"/>
              <w:marRight w:val="0"/>
              <w:marTop w:val="0"/>
              <w:marBottom w:val="180"/>
              <w:divBdr>
                <w:top w:val="none" w:sz="0" w:space="0" w:color="auto"/>
                <w:left w:val="none" w:sz="0" w:space="0" w:color="auto"/>
                <w:bottom w:val="none" w:sz="0" w:space="0" w:color="auto"/>
                <w:right w:val="none" w:sz="0" w:space="0" w:color="auto"/>
              </w:divBdr>
              <w:divsChild>
                <w:div w:id="386345976">
                  <w:marLeft w:val="0"/>
                  <w:marRight w:val="0"/>
                  <w:marTop w:val="0"/>
                  <w:marBottom w:val="0"/>
                  <w:divBdr>
                    <w:top w:val="none" w:sz="0" w:space="0" w:color="auto"/>
                    <w:left w:val="none" w:sz="0" w:space="0" w:color="auto"/>
                    <w:bottom w:val="none" w:sz="0" w:space="0" w:color="auto"/>
                    <w:right w:val="none" w:sz="0" w:space="0" w:color="auto"/>
                  </w:divBdr>
                  <w:divsChild>
                    <w:div w:id="1994095812">
                      <w:marLeft w:val="0"/>
                      <w:marRight w:val="0"/>
                      <w:marTop w:val="0"/>
                      <w:marBottom w:val="0"/>
                      <w:divBdr>
                        <w:top w:val="none" w:sz="0" w:space="0" w:color="auto"/>
                        <w:left w:val="none" w:sz="0" w:space="0" w:color="auto"/>
                        <w:bottom w:val="none" w:sz="0" w:space="0" w:color="auto"/>
                        <w:right w:val="none" w:sz="0" w:space="0" w:color="auto"/>
                      </w:divBdr>
                      <w:divsChild>
                        <w:div w:id="11904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337783">
      <w:bodyDiv w:val="1"/>
      <w:marLeft w:val="4"/>
      <w:marRight w:val="4"/>
      <w:marTop w:val="4"/>
      <w:marBottom w:val="4"/>
      <w:divBdr>
        <w:top w:val="none" w:sz="0" w:space="0" w:color="auto"/>
        <w:left w:val="none" w:sz="0" w:space="0" w:color="auto"/>
        <w:bottom w:val="none" w:sz="0" w:space="0" w:color="auto"/>
        <w:right w:val="none" w:sz="0" w:space="0" w:color="auto"/>
      </w:divBdr>
      <w:divsChild>
        <w:div w:id="119686677">
          <w:marLeft w:val="0"/>
          <w:marRight w:val="0"/>
          <w:marTop w:val="0"/>
          <w:marBottom w:val="0"/>
          <w:divBdr>
            <w:top w:val="none" w:sz="0" w:space="0" w:color="auto"/>
            <w:left w:val="none" w:sz="0" w:space="0" w:color="auto"/>
            <w:bottom w:val="none" w:sz="0" w:space="0" w:color="auto"/>
            <w:right w:val="none" w:sz="0" w:space="0" w:color="auto"/>
          </w:divBdr>
          <w:divsChild>
            <w:div w:id="1211184068">
              <w:marLeft w:val="0"/>
              <w:marRight w:val="0"/>
              <w:marTop w:val="0"/>
              <w:marBottom w:val="180"/>
              <w:divBdr>
                <w:top w:val="none" w:sz="0" w:space="0" w:color="auto"/>
                <w:left w:val="none" w:sz="0" w:space="0" w:color="auto"/>
                <w:bottom w:val="none" w:sz="0" w:space="0" w:color="auto"/>
                <w:right w:val="none" w:sz="0" w:space="0" w:color="auto"/>
              </w:divBdr>
              <w:divsChild>
                <w:div w:id="1173688973">
                  <w:marLeft w:val="0"/>
                  <w:marRight w:val="0"/>
                  <w:marTop w:val="0"/>
                  <w:marBottom w:val="0"/>
                  <w:divBdr>
                    <w:top w:val="none" w:sz="0" w:space="0" w:color="auto"/>
                    <w:left w:val="none" w:sz="0" w:space="0" w:color="auto"/>
                    <w:bottom w:val="none" w:sz="0" w:space="0" w:color="auto"/>
                    <w:right w:val="none" w:sz="0" w:space="0" w:color="auto"/>
                  </w:divBdr>
                  <w:divsChild>
                    <w:div w:id="1213540653">
                      <w:marLeft w:val="0"/>
                      <w:marRight w:val="0"/>
                      <w:marTop w:val="0"/>
                      <w:marBottom w:val="0"/>
                      <w:divBdr>
                        <w:top w:val="none" w:sz="0" w:space="0" w:color="auto"/>
                        <w:left w:val="none" w:sz="0" w:space="0" w:color="auto"/>
                        <w:bottom w:val="none" w:sz="0" w:space="0" w:color="auto"/>
                        <w:right w:val="none" w:sz="0" w:space="0" w:color="auto"/>
                      </w:divBdr>
                      <w:divsChild>
                        <w:div w:id="10385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674249">
      <w:bodyDiv w:val="1"/>
      <w:marLeft w:val="4"/>
      <w:marRight w:val="4"/>
      <w:marTop w:val="4"/>
      <w:marBottom w:val="4"/>
      <w:divBdr>
        <w:top w:val="none" w:sz="0" w:space="0" w:color="auto"/>
        <w:left w:val="none" w:sz="0" w:space="0" w:color="auto"/>
        <w:bottom w:val="none" w:sz="0" w:space="0" w:color="auto"/>
        <w:right w:val="none" w:sz="0" w:space="0" w:color="auto"/>
      </w:divBdr>
      <w:divsChild>
        <w:div w:id="424421391">
          <w:marLeft w:val="0"/>
          <w:marRight w:val="0"/>
          <w:marTop w:val="0"/>
          <w:marBottom w:val="0"/>
          <w:divBdr>
            <w:top w:val="none" w:sz="0" w:space="0" w:color="auto"/>
            <w:left w:val="none" w:sz="0" w:space="0" w:color="auto"/>
            <w:bottom w:val="none" w:sz="0" w:space="0" w:color="auto"/>
            <w:right w:val="none" w:sz="0" w:space="0" w:color="auto"/>
          </w:divBdr>
          <w:divsChild>
            <w:div w:id="1061945431">
              <w:marLeft w:val="0"/>
              <w:marRight w:val="0"/>
              <w:marTop w:val="0"/>
              <w:marBottom w:val="180"/>
              <w:divBdr>
                <w:top w:val="none" w:sz="0" w:space="0" w:color="auto"/>
                <w:left w:val="none" w:sz="0" w:space="0" w:color="auto"/>
                <w:bottom w:val="none" w:sz="0" w:space="0" w:color="auto"/>
                <w:right w:val="none" w:sz="0" w:space="0" w:color="auto"/>
              </w:divBdr>
              <w:divsChild>
                <w:div w:id="920065964">
                  <w:marLeft w:val="0"/>
                  <w:marRight w:val="0"/>
                  <w:marTop w:val="0"/>
                  <w:marBottom w:val="0"/>
                  <w:divBdr>
                    <w:top w:val="none" w:sz="0" w:space="0" w:color="auto"/>
                    <w:left w:val="none" w:sz="0" w:space="0" w:color="auto"/>
                    <w:bottom w:val="none" w:sz="0" w:space="0" w:color="auto"/>
                    <w:right w:val="none" w:sz="0" w:space="0" w:color="auto"/>
                  </w:divBdr>
                  <w:divsChild>
                    <w:div w:id="1856848465">
                      <w:marLeft w:val="0"/>
                      <w:marRight w:val="0"/>
                      <w:marTop w:val="0"/>
                      <w:marBottom w:val="0"/>
                      <w:divBdr>
                        <w:top w:val="none" w:sz="0" w:space="0" w:color="auto"/>
                        <w:left w:val="none" w:sz="0" w:space="0" w:color="auto"/>
                        <w:bottom w:val="none" w:sz="0" w:space="0" w:color="auto"/>
                        <w:right w:val="none" w:sz="0" w:space="0" w:color="auto"/>
                      </w:divBdr>
                      <w:divsChild>
                        <w:div w:id="2487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101752">
      <w:bodyDiv w:val="1"/>
      <w:marLeft w:val="0"/>
      <w:marRight w:val="0"/>
      <w:marTop w:val="0"/>
      <w:marBottom w:val="0"/>
      <w:divBdr>
        <w:top w:val="none" w:sz="0" w:space="0" w:color="auto"/>
        <w:left w:val="none" w:sz="0" w:space="0" w:color="auto"/>
        <w:bottom w:val="none" w:sz="0" w:space="0" w:color="auto"/>
        <w:right w:val="none" w:sz="0" w:space="0" w:color="auto"/>
      </w:divBdr>
    </w:div>
    <w:div w:id="1529677844">
      <w:bodyDiv w:val="1"/>
      <w:marLeft w:val="4"/>
      <w:marRight w:val="4"/>
      <w:marTop w:val="4"/>
      <w:marBottom w:val="4"/>
      <w:divBdr>
        <w:top w:val="none" w:sz="0" w:space="0" w:color="auto"/>
        <w:left w:val="none" w:sz="0" w:space="0" w:color="auto"/>
        <w:bottom w:val="none" w:sz="0" w:space="0" w:color="auto"/>
        <w:right w:val="none" w:sz="0" w:space="0" w:color="auto"/>
      </w:divBdr>
      <w:divsChild>
        <w:div w:id="430244653">
          <w:marLeft w:val="0"/>
          <w:marRight w:val="0"/>
          <w:marTop w:val="0"/>
          <w:marBottom w:val="0"/>
          <w:divBdr>
            <w:top w:val="none" w:sz="0" w:space="0" w:color="auto"/>
            <w:left w:val="none" w:sz="0" w:space="0" w:color="auto"/>
            <w:bottom w:val="none" w:sz="0" w:space="0" w:color="auto"/>
            <w:right w:val="none" w:sz="0" w:space="0" w:color="auto"/>
          </w:divBdr>
          <w:divsChild>
            <w:div w:id="122575348">
              <w:marLeft w:val="0"/>
              <w:marRight w:val="0"/>
              <w:marTop w:val="0"/>
              <w:marBottom w:val="180"/>
              <w:divBdr>
                <w:top w:val="none" w:sz="0" w:space="0" w:color="auto"/>
                <w:left w:val="none" w:sz="0" w:space="0" w:color="auto"/>
                <w:bottom w:val="none" w:sz="0" w:space="0" w:color="auto"/>
                <w:right w:val="none" w:sz="0" w:space="0" w:color="auto"/>
              </w:divBdr>
              <w:divsChild>
                <w:div w:id="187378174">
                  <w:marLeft w:val="0"/>
                  <w:marRight w:val="0"/>
                  <w:marTop w:val="0"/>
                  <w:marBottom w:val="0"/>
                  <w:divBdr>
                    <w:top w:val="none" w:sz="0" w:space="0" w:color="auto"/>
                    <w:left w:val="none" w:sz="0" w:space="0" w:color="auto"/>
                    <w:bottom w:val="none" w:sz="0" w:space="0" w:color="auto"/>
                    <w:right w:val="none" w:sz="0" w:space="0" w:color="auto"/>
                  </w:divBdr>
                  <w:divsChild>
                    <w:div w:id="1434401576">
                      <w:marLeft w:val="0"/>
                      <w:marRight w:val="0"/>
                      <w:marTop w:val="0"/>
                      <w:marBottom w:val="0"/>
                      <w:divBdr>
                        <w:top w:val="none" w:sz="0" w:space="0" w:color="auto"/>
                        <w:left w:val="none" w:sz="0" w:space="0" w:color="auto"/>
                        <w:bottom w:val="none" w:sz="0" w:space="0" w:color="auto"/>
                        <w:right w:val="none" w:sz="0" w:space="0" w:color="auto"/>
                      </w:divBdr>
                      <w:divsChild>
                        <w:div w:id="16899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state.mn.us/divs/eh/hazardous/sites/marshall/exceldairy/exceldairyhcfull.pdf" TargetMode="External"/><Relationship Id="rId18" Type="http://schemas.openxmlformats.org/officeDocument/2006/relationships/hyperlink" Target="https://www.federalregister.gov/articles/2012/11/15/2012-27533/statement-of-organization-functions-and-delegations-of-authority"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epa.gov/heasd/edrb/nhexas.html" TargetMode="Externa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regulations.vlex.com/vid/consent-judgments-penntex-illinois-2694400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tsdr.cdc.gov/HAC/pha/PennTex_HC_3-19-08/PennTex_HC_3-19-08.pdf" TargetMode="External"/><Relationship Id="rId20" Type="http://schemas.openxmlformats.org/officeDocument/2006/relationships/hyperlink" Target="http://eetd.lbl.gov/IED/viaq/pubs/LBNL-4771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tsdr.cdc.gov/HAC/PHAManual/toc.htm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atsdr.cdc.gov/HAC/pha/PennTex_HC_3-19-08/PennTex_HC_3-19-08.pdf" TargetMode="External"/><Relationship Id="rId23" Type="http://schemas.openxmlformats.org/officeDocument/2006/relationships/hyperlink" Target="mailto:BPB4@CDC.GOV" TargetMode="External"/><Relationship Id="rId28" Type="http://schemas.openxmlformats.org/officeDocument/2006/relationships/theme" Target="theme/theme1.xml"/><Relationship Id="rId10" Type="http://schemas.openxmlformats.org/officeDocument/2006/relationships/hyperlink" Target="mailto:KScruton@cdc.gov" TargetMode="External"/><Relationship Id="rId19" Type="http://schemas.openxmlformats.org/officeDocument/2006/relationships/hyperlink" Target="http://www.cdc.gov/exposurereport/" TargetMode="External"/><Relationship Id="rId4" Type="http://schemas.microsoft.com/office/2007/relationships/stylesWithEffects" Target="stylesWithEffects.xml"/><Relationship Id="rId9" Type="http://schemas.openxmlformats.org/officeDocument/2006/relationships/hyperlink" Target="mailto:PKowalski@cdc.gov" TargetMode="External"/><Relationship Id="rId14" Type="http://schemas.openxmlformats.org/officeDocument/2006/relationships/hyperlink" Target="http://www.health.state.mn.us/divs/eh/hazardous/sites/marshall/exceldairy/exceldairyhcfull.pdf" TargetMode="External"/><Relationship Id="rId22" Type="http://schemas.openxmlformats.org/officeDocument/2006/relationships/hyperlink" Target="http://www.cdc.gov/nchs/nhanes/nhanes2009-2010/questexam09_10.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5B5D0-3BF4-4B37-8709-C9AB4C719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6957</Words>
  <Characters>39661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Exposure Investigations:  Supporting Statement A</vt:lpstr>
    </vt:vector>
  </TitlesOfParts>
  <Company>Centers for Disease Control and Prevention</Company>
  <LinksUpToDate>false</LinksUpToDate>
  <CharactersWithSpaces>46525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Investigations:  Supporting Statement A</dc:title>
  <dc:creator>CDC User</dc:creator>
  <cp:lastModifiedBy>OS Reviewer</cp:lastModifiedBy>
  <cp:revision>2</cp:revision>
  <cp:lastPrinted>2013-01-03T13:52:00Z</cp:lastPrinted>
  <dcterms:created xsi:type="dcterms:W3CDTF">2013-03-26T22:30:00Z</dcterms:created>
  <dcterms:modified xsi:type="dcterms:W3CDTF">2013-03-26T22:30:00Z</dcterms:modified>
</cp:coreProperties>
</file>