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C26" w:rsidRPr="00BD6EE9" w:rsidRDefault="003A1253" w:rsidP="00FA6C26">
      <w:bookmarkStart w:id="0" w:name="_GoBack"/>
      <w:bookmarkEnd w:id="0"/>
      <w:r>
        <w:rPr>
          <w:noProof/>
          <w:lang w:eastAsia="en-US"/>
        </w:rPr>
        <w:drawing>
          <wp:inline distT="0" distB="0" distL="0" distR="0">
            <wp:extent cx="1219200" cy="714375"/>
            <wp:effectExtent l="19050" t="0" r="0" b="0"/>
            <wp:docPr id="1" name="Picture 1" descr="NPC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PCR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6C26" w:rsidRPr="00BD6EE9">
        <w:t xml:space="preserve">                                                                                    </w:t>
      </w:r>
      <w:r>
        <w:rPr>
          <w:noProof/>
          <w:lang w:eastAsia="en-US"/>
        </w:rPr>
        <w:drawing>
          <wp:inline distT="0" distB="0" distL="0" distR="0">
            <wp:extent cx="1257300" cy="933994"/>
            <wp:effectExtent l="19050" t="0" r="0" b="0"/>
            <wp:docPr id="2" name="Picture 2" descr="C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DC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33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C26" w:rsidRPr="00BD6EE9" w:rsidRDefault="00FA6C26" w:rsidP="00FA6C26">
      <w:pPr>
        <w:jc w:val="center"/>
        <w:rPr>
          <w:b/>
          <w:bCs/>
          <w:sz w:val="28"/>
          <w:szCs w:val="28"/>
        </w:rPr>
      </w:pPr>
    </w:p>
    <w:p w:rsidR="00FA6C26" w:rsidRPr="00BD6EE9" w:rsidRDefault="00FA6C26" w:rsidP="00FA6C26">
      <w:pPr>
        <w:jc w:val="center"/>
        <w:rPr>
          <w:b/>
          <w:bCs/>
          <w:sz w:val="28"/>
          <w:szCs w:val="28"/>
        </w:rPr>
      </w:pPr>
      <w:r w:rsidRPr="00BD6EE9">
        <w:rPr>
          <w:b/>
          <w:bCs/>
          <w:sz w:val="28"/>
          <w:szCs w:val="28"/>
        </w:rPr>
        <w:t xml:space="preserve">NATIONAL PROGRAM OF CANCER REGISTRIES </w:t>
      </w:r>
    </w:p>
    <w:p w:rsidR="00FA6C26" w:rsidRPr="00BD6EE9" w:rsidRDefault="00FA6C26" w:rsidP="00FA6C26">
      <w:pPr>
        <w:jc w:val="center"/>
        <w:rPr>
          <w:b/>
          <w:bCs/>
          <w:sz w:val="28"/>
          <w:szCs w:val="28"/>
        </w:rPr>
      </w:pPr>
      <w:r w:rsidRPr="00BD6EE9">
        <w:rPr>
          <w:b/>
          <w:bCs/>
          <w:sz w:val="28"/>
          <w:szCs w:val="28"/>
        </w:rPr>
        <w:t>PROGRAM STANDARDS</w:t>
      </w:r>
      <w:r w:rsidR="00662161">
        <w:rPr>
          <w:b/>
          <w:bCs/>
          <w:sz w:val="28"/>
          <w:szCs w:val="28"/>
        </w:rPr>
        <w:t>, 2012-2017</w:t>
      </w:r>
    </w:p>
    <w:p w:rsidR="00FA6C26" w:rsidRPr="00BD6EE9" w:rsidRDefault="00FA6C26" w:rsidP="00FA6C26">
      <w:pPr>
        <w:jc w:val="center"/>
        <w:rPr>
          <w:b/>
          <w:bCs/>
          <w:sz w:val="28"/>
          <w:szCs w:val="28"/>
        </w:rPr>
      </w:pPr>
    </w:p>
    <w:p w:rsidR="006E09B9" w:rsidRDefault="008E2558" w:rsidP="00941CB6">
      <w:r w:rsidRPr="00941CB6">
        <w:rPr>
          <w:b/>
        </w:rPr>
        <w:t>Performance Measures</w:t>
      </w:r>
      <w:r w:rsidR="006E09B9" w:rsidRPr="00941CB6">
        <w:rPr>
          <w:b/>
        </w:rPr>
        <w:t>:</w:t>
      </w:r>
      <w:r w:rsidR="00941CB6">
        <w:rPr>
          <w:b/>
        </w:rPr>
        <w:t xml:space="preserve">  </w:t>
      </w:r>
      <w:r w:rsidR="006E7227">
        <w:rPr>
          <w:b/>
        </w:rPr>
        <w:t xml:space="preserve">A functional central cancer registry must be able to support and participate in the following activities: </w:t>
      </w:r>
    </w:p>
    <w:p w:rsidR="006E09B9" w:rsidRDefault="006E09B9" w:rsidP="007971B0">
      <w:pPr>
        <w:pStyle w:val="ListParagraph"/>
        <w:numPr>
          <w:ilvl w:val="0"/>
          <w:numId w:val="1"/>
        </w:numPr>
      </w:pPr>
      <w:r>
        <w:t>Report cancer incidence trends by geographic area and provide cancer data in support of cancer control programs</w:t>
      </w:r>
      <w:r w:rsidR="00BB5294">
        <w:t>.</w:t>
      </w:r>
    </w:p>
    <w:p w:rsidR="006E09B9" w:rsidRDefault="006E09B9" w:rsidP="006E7227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 xml:space="preserve">Collect and </w:t>
      </w:r>
      <w:r w:rsidR="006E7227">
        <w:t>report</w:t>
      </w:r>
      <w:r>
        <w:t xml:space="preserve"> incidence, burden, and stage data</w:t>
      </w:r>
      <w:r w:rsidR="006E7227">
        <w:t xml:space="preserve"> that can direct targeted interventions  </w:t>
      </w:r>
      <w:r>
        <w:t xml:space="preserve"> and</w:t>
      </w:r>
      <w:r w:rsidR="006E7227">
        <w:t xml:space="preserve"> be used</w:t>
      </w:r>
      <w:r>
        <w:t xml:space="preserve"> </w:t>
      </w:r>
      <w:r w:rsidR="006E7227">
        <w:t xml:space="preserve">to </w:t>
      </w:r>
      <w:r>
        <w:t>evaluate</w:t>
      </w:r>
      <w:r w:rsidR="006E7227">
        <w:t xml:space="preserve"> the</w:t>
      </w:r>
      <w:r>
        <w:t xml:space="preserve"> success of cancer prevention and screening programs</w:t>
      </w:r>
      <w:r w:rsidR="00BB5294">
        <w:t>.</w:t>
      </w:r>
    </w:p>
    <w:p w:rsidR="006E09B9" w:rsidRDefault="006E09B9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Identify disparities by age, gender, race/ethnicity and geographic areas in cancer incidence, stage at diagnosis, and mortality</w:t>
      </w:r>
      <w:r w:rsidR="00BB5294">
        <w:t>.</w:t>
      </w:r>
    </w:p>
    <w:p w:rsidR="006E09B9" w:rsidRDefault="006E09B9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Create and maintain registry and state policies supportive of research uses of cancer registry data</w:t>
      </w:r>
      <w:r w:rsidR="00BB5294">
        <w:t>.</w:t>
      </w:r>
    </w:p>
    <w:p w:rsidR="006E09B9" w:rsidRDefault="006E09B9" w:rsidP="00FA6C26">
      <w:pPr>
        <w:rPr>
          <w:b/>
        </w:rPr>
      </w:pPr>
    </w:p>
    <w:p w:rsidR="00FA6C26" w:rsidRPr="00BD6EE9" w:rsidRDefault="00FA6C26" w:rsidP="00FA6C26">
      <w:r w:rsidRPr="00BD6EE9">
        <w:rPr>
          <w:b/>
        </w:rPr>
        <w:t>Purpose</w:t>
      </w:r>
      <w:r w:rsidRPr="00BD6EE9">
        <w:t>:  The purpose</w:t>
      </w:r>
      <w:r w:rsidR="00967F98">
        <w:t xml:space="preserve"> </w:t>
      </w:r>
      <w:r w:rsidRPr="00BD6EE9">
        <w:t xml:space="preserve">of these standards </w:t>
      </w:r>
      <w:r w:rsidR="00BB5294">
        <w:t>is</w:t>
      </w:r>
      <w:r w:rsidRPr="00BD6EE9">
        <w:t xml:space="preserve"> to:</w:t>
      </w:r>
    </w:p>
    <w:p w:rsidR="006E09B9" w:rsidRDefault="006E09B9" w:rsidP="00FA6C26">
      <w:pPr>
        <w:numPr>
          <w:ilvl w:val="0"/>
          <w:numId w:val="2"/>
        </w:numPr>
        <w:tabs>
          <w:tab w:val="left" w:pos="1440"/>
          <w:tab w:val="num" w:pos="1800"/>
        </w:tabs>
      </w:pPr>
      <w:r>
        <w:t xml:space="preserve">Ensure that cancer registries </w:t>
      </w:r>
      <w:r w:rsidR="00495200">
        <w:t xml:space="preserve">fulfill </w:t>
      </w:r>
      <w:r>
        <w:t xml:space="preserve">the overarching </w:t>
      </w:r>
      <w:r w:rsidR="008E2558">
        <w:t>performance measures</w:t>
      </w:r>
      <w:r>
        <w:t xml:space="preserve"> </w:t>
      </w:r>
      <w:r w:rsidR="00495200">
        <w:t>listed above</w:t>
      </w:r>
      <w:r w:rsidR="00BB5294">
        <w:t>.</w:t>
      </w:r>
    </w:p>
    <w:p w:rsidR="00FA6C26" w:rsidRPr="00BD6EE9" w:rsidRDefault="00CE4C49" w:rsidP="00FA6C26">
      <w:pPr>
        <w:numPr>
          <w:ilvl w:val="0"/>
          <w:numId w:val="2"/>
        </w:numPr>
        <w:tabs>
          <w:tab w:val="left" w:pos="1440"/>
          <w:tab w:val="num" w:pos="1800"/>
        </w:tabs>
      </w:pPr>
      <w:r>
        <w:t>Establish</w:t>
      </w:r>
      <w:r w:rsidRPr="00BD6EE9">
        <w:t xml:space="preserve"> </w:t>
      </w:r>
      <w:r w:rsidR="00FA6C26" w:rsidRPr="00BD6EE9">
        <w:t xml:space="preserve">priorities and activities </w:t>
      </w:r>
      <w:r>
        <w:t>that</w:t>
      </w:r>
      <w:r w:rsidRPr="00BD6EE9">
        <w:t xml:space="preserve"> </w:t>
      </w:r>
      <w:r w:rsidR="00FA6C26" w:rsidRPr="00BD6EE9">
        <w:t xml:space="preserve">funded programs </w:t>
      </w:r>
      <w:r>
        <w:t>are expected to</w:t>
      </w:r>
      <w:r w:rsidR="00495200">
        <w:t xml:space="preserve"> achieve</w:t>
      </w:r>
      <w:r w:rsidR="00BB5294">
        <w:t>.</w:t>
      </w:r>
      <w:r>
        <w:t xml:space="preserve"> </w:t>
      </w:r>
    </w:p>
    <w:p w:rsidR="00FA6C26" w:rsidRPr="00BD6EE9" w:rsidRDefault="00FA6C26" w:rsidP="00FA6C26">
      <w:pPr>
        <w:numPr>
          <w:ilvl w:val="0"/>
          <w:numId w:val="2"/>
        </w:numPr>
        <w:tabs>
          <w:tab w:val="left" w:pos="1440"/>
          <w:tab w:val="num" w:pos="1800"/>
        </w:tabs>
      </w:pPr>
      <w:r w:rsidRPr="00BD6EE9">
        <w:t>Provide objective measures of program progress</w:t>
      </w:r>
      <w:r w:rsidR="00BB5294">
        <w:t>.</w:t>
      </w:r>
    </w:p>
    <w:p w:rsidR="00FA6C26" w:rsidRPr="00BD6EE9" w:rsidRDefault="00FA6C26" w:rsidP="00FA6C26">
      <w:pPr>
        <w:numPr>
          <w:ilvl w:val="0"/>
          <w:numId w:val="2"/>
        </w:numPr>
        <w:tabs>
          <w:tab w:val="left" w:pos="1440"/>
          <w:tab w:val="num" w:pos="1800"/>
        </w:tabs>
      </w:pPr>
      <w:r w:rsidRPr="00BD6EE9">
        <w:t>Improve program processes that ultimately affect outcomes</w:t>
      </w:r>
      <w:r w:rsidR="00BB5294">
        <w:t>.</w:t>
      </w:r>
    </w:p>
    <w:p w:rsidR="00FA6C26" w:rsidRPr="00BD6EE9" w:rsidRDefault="00FA6C26" w:rsidP="00FA6C26"/>
    <w:p w:rsidR="00FA6C26" w:rsidRDefault="00FA6C26" w:rsidP="00FA6C26">
      <w:r w:rsidRPr="00BD6EE9">
        <w:t xml:space="preserve">The following are </w:t>
      </w:r>
      <w:r w:rsidR="00F03BD4">
        <w:t>CDC’s Program Standards for the</w:t>
      </w:r>
      <w:r w:rsidRPr="00BD6EE9">
        <w:t xml:space="preserve"> National Program of Cancer Registries (NPCR).  These standards are based on authority provided</w:t>
      </w:r>
      <w:r w:rsidR="003A1253">
        <w:t xml:space="preserve"> to</w:t>
      </w:r>
      <w:r w:rsidRPr="00BD6EE9">
        <w:t xml:space="preserve"> the CDC under the Public Health Service Act</w:t>
      </w:r>
      <w:r w:rsidR="00495200">
        <w:t xml:space="preserve"> (Title 42, Chapter 6A, Sub-Chapter II,</w:t>
      </w:r>
      <w:r w:rsidR="00495200" w:rsidRPr="002D0926">
        <w:rPr>
          <w:rFonts w:ascii="Verdana" w:eastAsia="Times New Roman" w:hAnsi="Verdana"/>
          <w:sz w:val="17"/>
          <w:szCs w:val="17"/>
        </w:rPr>
        <w:t xml:space="preserve"> </w:t>
      </w:r>
      <w:r w:rsidR="00495200" w:rsidRPr="002D0926">
        <w:rPr>
          <w:rFonts w:eastAsia="Times New Roman"/>
        </w:rPr>
        <w:t>Part M, § 280e</w:t>
      </w:r>
      <w:r w:rsidR="00495200">
        <w:rPr>
          <w:rFonts w:eastAsia="Times New Roman"/>
        </w:rPr>
        <w:t>)</w:t>
      </w:r>
      <w:r w:rsidR="00495200">
        <w:t xml:space="preserve"> </w:t>
      </w:r>
      <w:r w:rsidRPr="00BD6EE9">
        <w:t xml:space="preserve">and subsequent amendments, and apply to all reportable cancers as defined in the Act and amendments.  The </w:t>
      </w:r>
      <w:r w:rsidR="00F03BD4">
        <w:t xml:space="preserve">CDC </w:t>
      </w:r>
      <w:r w:rsidRPr="00BD6EE9">
        <w:t xml:space="preserve">NPCR Program Standards may change during the project period of the cooperative agreement.  </w:t>
      </w:r>
    </w:p>
    <w:p w:rsidR="000123C0" w:rsidRDefault="000123C0" w:rsidP="00FA6C26"/>
    <w:p w:rsidR="000123C0" w:rsidRPr="00BD6EE9" w:rsidRDefault="000123C0" w:rsidP="00540703">
      <w:pPr>
        <w:widowControl w:val="0"/>
        <w:autoSpaceDE w:val="0"/>
        <w:autoSpaceDN w:val="0"/>
        <w:adjustRightInd w:val="0"/>
      </w:pPr>
      <w:r>
        <w:tab/>
      </w:r>
    </w:p>
    <w:p w:rsidR="00FA6C26" w:rsidRPr="00BD6EE9" w:rsidRDefault="00FA6C26" w:rsidP="00FA6C26">
      <w:pPr>
        <w:rPr>
          <w:b/>
        </w:rPr>
      </w:pPr>
      <w:r w:rsidRPr="00BD6EE9">
        <w:rPr>
          <w:b/>
        </w:rPr>
        <w:t>All funded programs must meet the following standards for:</w:t>
      </w:r>
    </w:p>
    <w:p w:rsidR="00FA6C26" w:rsidRPr="00BD6EE9" w:rsidRDefault="00FA6C26" w:rsidP="00FA6C26">
      <w:pPr>
        <w:widowControl w:val="0"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360"/>
          <w:tab w:val="left" w:pos="1080"/>
        </w:tabs>
        <w:autoSpaceDE w:val="0"/>
        <w:autoSpaceDN w:val="0"/>
        <w:adjustRightInd w:val="0"/>
      </w:pPr>
      <w:r w:rsidRPr="00BD6EE9">
        <w:t>Legislative Authority</w:t>
      </w:r>
    </w:p>
    <w:p w:rsidR="00FA6C26" w:rsidRDefault="00FA6C26" w:rsidP="00FA6C26">
      <w:pPr>
        <w:widowControl w:val="0"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360"/>
          <w:tab w:val="left" w:pos="1080"/>
        </w:tabs>
        <w:autoSpaceDE w:val="0"/>
        <w:autoSpaceDN w:val="0"/>
        <w:adjustRightInd w:val="0"/>
      </w:pPr>
      <w:r w:rsidRPr="00BD6EE9">
        <w:t>Administration</w:t>
      </w:r>
    </w:p>
    <w:p w:rsidR="005644A3" w:rsidRPr="00BD6EE9" w:rsidRDefault="005644A3" w:rsidP="00FA6C26">
      <w:pPr>
        <w:widowControl w:val="0"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360"/>
          <w:tab w:val="left" w:pos="1080"/>
        </w:tabs>
        <w:autoSpaceDE w:val="0"/>
        <w:autoSpaceDN w:val="0"/>
        <w:adjustRightInd w:val="0"/>
      </w:pPr>
      <w:r>
        <w:t>Data Collection</w:t>
      </w:r>
      <w:r w:rsidR="008E2558">
        <w:t>, Content, and Format</w:t>
      </w:r>
    </w:p>
    <w:p w:rsidR="00FA6C26" w:rsidRPr="00BD6EE9" w:rsidRDefault="00FA6C26" w:rsidP="00FA6C26">
      <w:pPr>
        <w:widowControl w:val="0"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360"/>
          <w:tab w:val="left" w:pos="1080"/>
        </w:tabs>
        <w:autoSpaceDE w:val="0"/>
        <w:autoSpaceDN w:val="0"/>
        <w:adjustRightInd w:val="0"/>
      </w:pPr>
      <w:r w:rsidRPr="00BD6EE9">
        <w:t>Electronic Data Exchange</w:t>
      </w:r>
    </w:p>
    <w:p w:rsidR="00FA6C26" w:rsidRDefault="008A3F50" w:rsidP="00FA6C26">
      <w:pPr>
        <w:widowControl w:val="0"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360"/>
          <w:tab w:val="left" w:pos="1080"/>
        </w:tabs>
        <w:autoSpaceDE w:val="0"/>
        <w:autoSpaceDN w:val="0"/>
        <w:adjustRightInd w:val="0"/>
      </w:pPr>
      <w:r>
        <w:t xml:space="preserve">Data </w:t>
      </w:r>
      <w:r w:rsidR="00FA6C26" w:rsidRPr="00BD6EE9">
        <w:t>Completeness/Timeliness/Quality</w:t>
      </w:r>
    </w:p>
    <w:p w:rsidR="00A73BE9" w:rsidRPr="00BD6EE9" w:rsidRDefault="00A73BE9" w:rsidP="00FA6C26">
      <w:pPr>
        <w:widowControl w:val="0"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360"/>
          <w:tab w:val="left" w:pos="1080"/>
        </w:tabs>
        <w:autoSpaceDE w:val="0"/>
        <w:autoSpaceDN w:val="0"/>
        <w:adjustRightInd w:val="0"/>
      </w:pPr>
      <w:r>
        <w:t>Linkages</w:t>
      </w:r>
    </w:p>
    <w:p w:rsidR="00FA6C26" w:rsidRPr="00BD6EE9" w:rsidRDefault="00FB6A46" w:rsidP="00FA6C26">
      <w:pPr>
        <w:widowControl w:val="0"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360"/>
          <w:tab w:val="left" w:pos="1080"/>
        </w:tabs>
        <w:autoSpaceDE w:val="0"/>
        <w:autoSpaceDN w:val="0"/>
        <w:adjustRightInd w:val="0"/>
      </w:pPr>
      <w:r>
        <w:t xml:space="preserve">Data </w:t>
      </w:r>
      <w:r w:rsidR="00FA6C26" w:rsidRPr="00BD6EE9">
        <w:t>Quality Assurance</w:t>
      </w:r>
      <w:r>
        <w:t xml:space="preserve"> and Education</w:t>
      </w:r>
    </w:p>
    <w:p w:rsidR="00FA6C26" w:rsidRPr="00BD6EE9" w:rsidRDefault="00FA6C26" w:rsidP="00FA6C26">
      <w:pPr>
        <w:widowControl w:val="0"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360"/>
          <w:tab w:val="left" w:pos="1080"/>
        </w:tabs>
        <w:autoSpaceDE w:val="0"/>
        <w:autoSpaceDN w:val="0"/>
        <w:adjustRightInd w:val="0"/>
      </w:pPr>
      <w:r w:rsidRPr="00BD6EE9">
        <w:t>Data Use and Data Monitoring</w:t>
      </w:r>
    </w:p>
    <w:p w:rsidR="00FA6C26" w:rsidRPr="00BD6EE9" w:rsidRDefault="00FA6C26" w:rsidP="00FA6C26">
      <w:pPr>
        <w:keepNext/>
        <w:keepLines/>
        <w:numPr>
          <w:ilvl w:val="0"/>
          <w:numId w:val="1"/>
        </w:numPr>
      </w:pPr>
      <w:r w:rsidRPr="00BD6EE9">
        <w:t>Data Submission</w:t>
      </w:r>
    </w:p>
    <w:p w:rsidR="00FB6A46" w:rsidRDefault="00FA6C26" w:rsidP="00FB6A46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BD6EE9">
        <w:t>Collaborative Relationships</w:t>
      </w:r>
    </w:p>
    <w:p w:rsidR="00FA6C26" w:rsidRPr="00BD6EE9" w:rsidRDefault="00FA6C26" w:rsidP="00AF40DB">
      <w:pPr>
        <w:widowControl w:val="0"/>
        <w:numPr>
          <w:ilvl w:val="0"/>
          <w:numId w:val="8"/>
        </w:numPr>
        <w:autoSpaceDE w:val="0"/>
        <w:autoSpaceDN w:val="0"/>
        <w:adjustRightInd w:val="0"/>
      </w:pPr>
      <w:r w:rsidRPr="00BD6EE9">
        <w:rPr>
          <w:b/>
          <w:bCs/>
        </w:rPr>
        <w:lastRenderedPageBreak/>
        <w:t>Legislative Authority</w:t>
      </w:r>
    </w:p>
    <w:p w:rsidR="00FA6C26" w:rsidRPr="00BD6EE9" w:rsidRDefault="00FA6C26" w:rsidP="00AF40DB">
      <w:pPr>
        <w:widowControl w:val="0"/>
        <w:numPr>
          <w:ilvl w:val="1"/>
          <w:numId w:val="8"/>
        </w:numPr>
        <w:tabs>
          <w:tab w:val="left" w:pos="-1440"/>
        </w:tabs>
        <w:autoSpaceDE w:val="0"/>
        <w:autoSpaceDN w:val="0"/>
        <w:adjustRightInd w:val="0"/>
      </w:pPr>
      <w:r w:rsidRPr="00BD6EE9">
        <w:t>The state/territory has a law authorizing a population-based central cancer registry.</w:t>
      </w:r>
    </w:p>
    <w:p w:rsidR="00FA6C26" w:rsidRPr="00BD6EE9" w:rsidRDefault="00FA6C26" w:rsidP="00FA6C26">
      <w:pPr>
        <w:tabs>
          <w:tab w:val="left" w:pos="-1440"/>
        </w:tabs>
        <w:ind w:left="720"/>
      </w:pPr>
    </w:p>
    <w:p w:rsidR="00FA6C26" w:rsidRPr="00BD6EE9" w:rsidRDefault="00FA6C26" w:rsidP="00AF40DB">
      <w:pPr>
        <w:widowControl w:val="0"/>
        <w:numPr>
          <w:ilvl w:val="1"/>
          <w:numId w:val="8"/>
        </w:numPr>
        <w:tabs>
          <w:tab w:val="left" w:pos="-1440"/>
        </w:tabs>
        <w:autoSpaceDE w:val="0"/>
        <w:autoSpaceDN w:val="0"/>
        <w:adjustRightInd w:val="0"/>
        <w:rPr>
          <w:b/>
          <w:u w:val="single"/>
        </w:rPr>
      </w:pPr>
      <w:r w:rsidRPr="00BD6EE9">
        <w:t xml:space="preserve">The state/territory has legislation or regulations in support of </w:t>
      </w:r>
      <w:r w:rsidR="00FB6A46">
        <w:t>Public Health Service Act Title 42, Chapter 6A, Sub-Chapter II,</w:t>
      </w:r>
      <w:r w:rsidR="00FB6A46" w:rsidRPr="002D0926">
        <w:rPr>
          <w:rFonts w:ascii="Verdana" w:eastAsia="Times New Roman" w:hAnsi="Verdana"/>
          <w:sz w:val="17"/>
          <w:szCs w:val="17"/>
        </w:rPr>
        <w:t xml:space="preserve"> </w:t>
      </w:r>
      <w:r w:rsidR="00FB6A46" w:rsidRPr="002D0926">
        <w:rPr>
          <w:rFonts w:eastAsia="Times New Roman"/>
        </w:rPr>
        <w:t>Part M,</w:t>
      </w:r>
      <w:r w:rsidR="00AF40DB" w:rsidRPr="002D0926">
        <w:rPr>
          <w:rFonts w:eastAsia="Times New Roman"/>
        </w:rPr>
        <w:t xml:space="preserve"> </w:t>
      </w:r>
      <w:r w:rsidR="00FB6A46" w:rsidRPr="002D0926">
        <w:rPr>
          <w:rFonts w:eastAsia="Times New Roman"/>
        </w:rPr>
        <w:t>280e</w:t>
      </w:r>
      <w:r w:rsidR="00245318">
        <w:rPr>
          <w:rFonts w:eastAsia="Times New Roman"/>
        </w:rPr>
        <w:t>,</w:t>
      </w:r>
      <w:r w:rsidRPr="00BD6EE9">
        <w:t xml:space="preserve"> authorizing the National Program of Cancer Registrie</w:t>
      </w:r>
      <w:r w:rsidR="00BD3EC5">
        <w:t>s</w:t>
      </w:r>
      <w:r w:rsidRPr="00BD6EE9">
        <w:t>.</w:t>
      </w:r>
    </w:p>
    <w:p w:rsidR="00FA6C26" w:rsidRPr="00BD6EE9" w:rsidRDefault="00FA6C26" w:rsidP="00FA6C26">
      <w:pPr>
        <w:tabs>
          <w:tab w:val="left" w:pos="-1440"/>
          <w:tab w:val="left" w:pos="1080"/>
        </w:tabs>
        <w:ind w:left="360"/>
        <w:rPr>
          <w:b/>
          <w:u w:val="single"/>
        </w:rPr>
      </w:pPr>
    </w:p>
    <w:p w:rsidR="00FA6C26" w:rsidRPr="00BD6EE9" w:rsidRDefault="00FA6C26" w:rsidP="00AF40DB">
      <w:pPr>
        <w:widowControl w:val="0"/>
        <w:numPr>
          <w:ilvl w:val="0"/>
          <w:numId w:val="8"/>
        </w:numPr>
        <w:tabs>
          <w:tab w:val="left" w:pos="-1440"/>
          <w:tab w:val="left" w:pos="1080"/>
        </w:tabs>
        <w:autoSpaceDE w:val="0"/>
        <w:autoSpaceDN w:val="0"/>
        <w:adjustRightInd w:val="0"/>
      </w:pPr>
      <w:r w:rsidRPr="00BD6EE9">
        <w:rPr>
          <w:b/>
        </w:rPr>
        <w:t>Administration</w:t>
      </w:r>
      <w:r w:rsidRPr="00BD6EE9">
        <w:t>:</w:t>
      </w:r>
    </w:p>
    <w:p w:rsidR="00FA6C26" w:rsidRPr="00BD6EE9" w:rsidRDefault="00FA6C26" w:rsidP="00AF40DB">
      <w:pPr>
        <w:numPr>
          <w:ilvl w:val="1"/>
          <w:numId w:val="8"/>
        </w:numPr>
      </w:pPr>
      <w:r w:rsidRPr="00BD6EE9">
        <w:t>The central cancer registry maintains an operation</w:t>
      </w:r>
      <w:r w:rsidR="003A1253">
        <w:t>s</w:t>
      </w:r>
      <w:r w:rsidRPr="00BD6EE9">
        <w:t xml:space="preserve"> manual that describes registry operations, policies and procedures. At a minimum the manual contains the following:</w:t>
      </w:r>
    </w:p>
    <w:p w:rsidR="00FA6C26" w:rsidRPr="00BD6EE9" w:rsidRDefault="00422CEF" w:rsidP="00AF40DB">
      <w:pPr>
        <w:numPr>
          <w:ilvl w:val="2"/>
          <w:numId w:val="8"/>
        </w:numPr>
      </w:pPr>
      <w:r>
        <w:t>Most current r</w:t>
      </w:r>
      <w:r w:rsidR="00FA6C26" w:rsidRPr="00BD6EE9">
        <w:t>eporting laws/regulations</w:t>
      </w:r>
    </w:p>
    <w:p w:rsidR="00FA6C26" w:rsidRPr="00BD6EE9" w:rsidRDefault="00FA6C26" w:rsidP="00AF40DB">
      <w:pPr>
        <w:numPr>
          <w:ilvl w:val="2"/>
          <w:numId w:val="8"/>
        </w:numPr>
      </w:pPr>
      <w:r w:rsidRPr="00BD6EE9">
        <w:t>List of reportable diagnoses</w:t>
      </w:r>
    </w:p>
    <w:p w:rsidR="00FA6C26" w:rsidRPr="00BD6EE9" w:rsidRDefault="00FA6C26" w:rsidP="00AF40DB">
      <w:pPr>
        <w:numPr>
          <w:ilvl w:val="2"/>
          <w:numId w:val="8"/>
        </w:numPr>
      </w:pPr>
      <w:r w:rsidRPr="00BD6EE9">
        <w:t>List of required data items</w:t>
      </w:r>
    </w:p>
    <w:p w:rsidR="00FA6C26" w:rsidRPr="00BD6EE9" w:rsidRDefault="00FA6C26" w:rsidP="00AF40DB">
      <w:pPr>
        <w:numPr>
          <w:ilvl w:val="2"/>
          <w:numId w:val="8"/>
        </w:numPr>
      </w:pPr>
      <w:r w:rsidRPr="00BD6EE9">
        <w:t>Procedures for data processing operations including:</w:t>
      </w:r>
    </w:p>
    <w:p w:rsidR="00FA6C26" w:rsidRPr="00BD6EE9" w:rsidRDefault="00FA6C26" w:rsidP="00AF40DB">
      <w:pPr>
        <w:numPr>
          <w:ilvl w:val="3"/>
          <w:numId w:val="8"/>
        </w:numPr>
      </w:pPr>
      <w:r w:rsidRPr="00BD6EE9">
        <w:t>Procedures for monitoring timeliness of reporting</w:t>
      </w:r>
    </w:p>
    <w:p w:rsidR="00FA6C26" w:rsidRPr="00BD6EE9" w:rsidRDefault="00FA6C26" w:rsidP="00AF40DB">
      <w:pPr>
        <w:numPr>
          <w:ilvl w:val="3"/>
          <w:numId w:val="8"/>
        </w:numPr>
      </w:pPr>
      <w:r w:rsidRPr="00BD6EE9">
        <w:t>Procedures for receipt of data</w:t>
      </w:r>
    </w:p>
    <w:p w:rsidR="00FA6C26" w:rsidRPr="00BD6EE9" w:rsidRDefault="00FA6C26" w:rsidP="00AF40DB">
      <w:pPr>
        <w:numPr>
          <w:ilvl w:val="3"/>
          <w:numId w:val="8"/>
        </w:numPr>
      </w:pPr>
      <w:r w:rsidRPr="00BD6EE9">
        <w:t>Procedures for database management including a description of the Registry Operating System (software).</w:t>
      </w:r>
      <w:r w:rsidR="00AF40DB">
        <w:t xml:space="preserve">  This may be accomplished by citing a software vendor website and available documentation.</w:t>
      </w:r>
      <w:r w:rsidRPr="00BD6EE9">
        <w:t xml:space="preserve"> </w:t>
      </w:r>
    </w:p>
    <w:p w:rsidR="00FA6C26" w:rsidRPr="00BD6EE9" w:rsidRDefault="00FA6C26" w:rsidP="00AF40DB">
      <w:pPr>
        <w:numPr>
          <w:ilvl w:val="3"/>
          <w:numId w:val="8"/>
        </w:numPr>
      </w:pPr>
      <w:r w:rsidRPr="00BD6EE9">
        <w:t>Procedures for conducting death certificate clearance</w:t>
      </w:r>
    </w:p>
    <w:p w:rsidR="00FA6C26" w:rsidRPr="00BD6EE9" w:rsidRDefault="00FA6C26" w:rsidP="00AF40DB">
      <w:pPr>
        <w:numPr>
          <w:ilvl w:val="3"/>
          <w:numId w:val="8"/>
        </w:numPr>
      </w:pPr>
      <w:r w:rsidRPr="00BD6EE9">
        <w:t>Procedures for implementing and maintaining the quality assurance/control program</w:t>
      </w:r>
    </w:p>
    <w:p w:rsidR="00FA6C26" w:rsidRPr="00BD6EE9" w:rsidRDefault="00FA6C26" w:rsidP="00AF40DB">
      <w:pPr>
        <w:numPr>
          <w:ilvl w:val="4"/>
          <w:numId w:val="8"/>
        </w:numPr>
      </w:pPr>
      <w:r w:rsidRPr="00BD6EE9">
        <w:t>Procedures for conducting follow-back to reporting facilities on quality issues. These procedures include rules for identifying when action or further investigation is needed</w:t>
      </w:r>
    </w:p>
    <w:p w:rsidR="00FA6C26" w:rsidRPr="00BD6EE9" w:rsidRDefault="00FA6C26" w:rsidP="00AF40DB">
      <w:pPr>
        <w:numPr>
          <w:ilvl w:val="4"/>
          <w:numId w:val="8"/>
        </w:numPr>
      </w:pPr>
      <w:r w:rsidRPr="00BD6EE9">
        <w:t>Procedures for conducting record consolidation</w:t>
      </w:r>
    </w:p>
    <w:p w:rsidR="00FA6C26" w:rsidRDefault="00FA6C26" w:rsidP="00AF40DB">
      <w:pPr>
        <w:numPr>
          <w:ilvl w:val="4"/>
          <w:numId w:val="8"/>
        </w:numPr>
      </w:pPr>
      <w:r w:rsidRPr="00BD6EE9">
        <w:t>Procedures for maintaining detailed documentation of all quality assurance operations.</w:t>
      </w:r>
    </w:p>
    <w:p w:rsidR="00FB6A46" w:rsidRPr="00BD6EE9" w:rsidRDefault="00FB6A46" w:rsidP="00AF40DB">
      <w:pPr>
        <w:numPr>
          <w:ilvl w:val="4"/>
          <w:numId w:val="8"/>
        </w:numPr>
      </w:pPr>
      <w:r>
        <w:t>Procedures for education and training</w:t>
      </w:r>
    </w:p>
    <w:p w:rsidR="00FA6C26" w:rsidRDefault="00FA6C26" w:rsidP="00AF40DB">
      <w:pPr>
        <w:numPr>
          <w:ilvl w:val="3"/>
          <w:numId w:val="8"/>
        </w:numPr>
      </w:pPr>
      <w:r w:rsidRPr="00BD6EE9">
        <w:t xml:space="preserve">Procedures for conducting data exchange including a list of states with </w:t>
      </w:r>
      <w:r w:rsidR="003A1253">
        <w:t xml:space="preserve"> which</w:t>
      </w:r>
      <w:r w:rsidRPr="00BD6EE9">
        <w:t xml:space="preserve"> case-sharing agreements are in place</w:t>
      </w:r>
    </w:p>
    <w:p w:rsidR="007232EA" w:rsidRPr="00BD6EE9" w:rsidRDefault="007232EA" w:rsidP="00AF40DB">
      <w:pPr>
        <w:numPr>
          <w:ilvl w:val="3"/>
          <w:numId w:val="8"/>
        </w:numPr>
      </w:pPr>
      <w:r>
        <w:t>Procedures for conducting data linkages</w:t>
      </w:r>
    </w:p>
    <w:p w:rsidR="00FA6C26" w:rsidRPr="00BD6EE9" w:rsidRDefault="00FA6C26" w:rsidP="00AF40DB">
      <w:pPr>
        <w:numPr>
          <w:ilvl w:val="2"/>
          <w:numId w:val="8"/>
        </w:numPr>
      </w:pPr>
      <w:r w:rsidRPr="00BD6EE9">
        <w:t>Procedures insuring confidentiality and data security including disaster planning</w:t>
      </w:r>
    </w:p>
    <w:p w:rsidR="00FA6C26" w:rsidRPr="00BD6EE9" w:rsidRDefault="00FA6C26" w:rsidP="00AF40DB">
      <w:pPr>
        <w:numPr>
          <w:ilvl w:val="2"/>
          <w:numId w:val="8"/>
        </w:numPr>
      </w:pPr>
      <w:r w:rsidRPr="00BD6EE9">
        <w:t>Procedures for data release including access to and disclosure of information</w:t>
      </w:r>
    </w:p>
    <w:p w:rsidR="00FA6C26" w:rsidRPr="00BD6EE9" w:rsidRDefault="00FA6C26" w:rsidP="00AF40DB">
      <w:pPr>
        <w:numPr>
          <w:ilvl w:val="2"/>
          <w:numId w:val="8"/>
        </w:numPr>
      </w:pPr>
      <w:r w:rsidRPr="00BD6EE9">
        <w:t>Procedures for maintaining and updating the operational manual</w:t>
      </w:r>
    </w:p>
    <w:p w:rsidR="00FA6C26" w:rsidRPr="00BD6EE9" w:rsidRDefault="00FA6C26" w:rsidP="00FA6C26">
      <w:pPr>
        <w:tabs>
          <w:tab w:val="left" w:pos="1440"/>
        </w:tabs>
        <w:ind w:left="1080"/>
      </w:pPr>
    </w:p>
    <w:p w:rsidR="00FA6C26" w:rsidRPr="00BD6EE9" w:rsidRDefault="00FA6C26" w:rsidP="00AF40DB">
      <w:pPr>
        <w:widowControl w:val="0"/>
        <w:numPr>
          <w:ilvl w:val="1"/>
          <w:numId w:val="8"/>
        </w:numPr>
        <w:autoSpaceDE w:val="0"/>
        <w:autoSpaceDN w:val="0"/>
        <w:adjustRightInd w:val="0"/>
        <w:rPr>
          <w:b/>
        </w:rPr>
      </w:pPr>
      <w:r w:rsidRPr="00BD6EE9">
        <w:t xml:space="preserve">The central cancer registry has management reports </w:t>
      </w:r>
      <w:r w:rsidR="003A1253">
        <w:t>that include</w:t>
      </w:r>
      <w:r w:rsidR="003A1253" w:rsidRPr="00BD6EE9">
        <w:t xml:space="preserve"> processes and activities</w:t>
      </w:r>
      <w:r w:rsidR="00245318">
        <w:t xml:space="preserve"> to </w:t>
      </w:r>
      <w:r w:rsidRPr="00BD6EE9">
        <w:t>monitor the registry operations and database</w:t>
      </w:r>
      <w:r w:rsidR="007B677E">
        <w:t>.</w:t>
      </w:r>
      <w:r w:rsidRPr="00BD6EE9">
        <w:t xml:space="preserve"> </w:t>
      </w:r>
    </w:p>
    <w:p w:rsidR="00FA6C26" w:rsidRPr="00BD6EE9" w:rsidRDefault="00FA6C26" w:rsidP="00FA6C26">
      <w:pPr>
        <w:ind w:left="720"/>
        <w:rPr>
          <w:b/>
        </w:rPr>
      </w:pPr>
    </w:p>
    <w:p w:rsidR="00FA6C26" w:rsidRPr="005644A3" w:rsidRDefault="00FA6C26" w:rsidP="00AF40DB">
      <w:pPr>
        <w:widowControl w:val="0"/>
        <w:numPr>
          <w:ilvl w:val="1"/>
          <w:numId w:val="8"/>
        </w:numPr>
        <w:autoSpaceDE w:val="0"/>
        <w:autoSpaceDN w:val="0"/>
        <w:adjustRightInd w:val="0"/>
        <w:rPr>
          <w:b/>
        </w:rPr>
      </w:pPr>
      <w:r w:rsidRPr="00BD6EE9">
        <w:t xml:space="preserve">The central cancer registry has an abstracting and coding manual </w:t>
      </w:r>
      <w:r w:rsidR="00965604">
        <w:t>that is</w:t>
      </w:r>
      <w:r w:rsidR="00DE4C06">
        <w:t xml:space="preserve"> made available</w:t>
      </w:r>
      <w:r w:rsidRPr="00BD6EE9">
        <w:t xml:space="preserve"> to and used by reporting sources</w:t>
      </w:r>
      <w:r w:rsidR="00DE4C06">
        <w:t xml:space="preserve"> that abstract and report cancer cases</w:t>
      </w:r>
      <w:r w:rsidRPr="00BD6EE9">
        <w:t>.</w:t>
      </w:r>
    </w:p>
    <w:p w:rsidR="005644A3" w:rsidRDefault="005644A3" w:rsidP="005644A3">
      <w:pPr>
        <w:pStyle w:val="ListParagraph"/>
        <w:rPr>
          <w:b/>
        </w:rPr>
      </w:pPr>
    </w:p>
    <w:p w:rsidR="003A3CED" w:rsidRDefault="003A3CED" w:rsidP="005644A3">
      <w:pPr>
        <w:pStyle w:val="ListParagraph"/>
        <w:rPr>
          <w:b/>
        </w:rPr>
      </w:pPr>
    </w:p>
    <w:p w:rsidR="003A3CED" w:rsidRDefault="003A3CED" w:rsidP="005644A3">
      <w:pPr>
        <w:pStyle w:val="ListParagraph"/>
        <w:rPr>
          <w:b/>
        </w:rPr>
      </w:pPr>
    </w:p>
    <w:p w:rsidR="003A3CED" w:rsidRDefault="003A3CED" w:rsidP="005644A3">
      <w:pPr>
        <w:pStyle w:val="ListParagraph"/>
        <w:rPr>
          <w:b/>
        </w:rPr>
      </w:pPr>
    </w:p>
    <w:p w:rsidR="005644A3" w:rsidRDefault="005644A3" w:rsidP="00AF40DB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b/>
        </w:rPr>
      </w:pPr>
      <w:r>
        <w:rPr>
          <w:b/>
        </w:rPr>
        <w:lastRenderedPageBreak/>
        <w:t>Data Collection</w:t>
      </w:r>
      <w:r w:rsidR="008E2558">
        <w:rPr>
          <w:b/>
        </w:rPr>
        <w:t>, Content, and Format</w:t>
      </w:r>
    </w:p>
    <w:p w:rsidR="005644A3" w:rsidRPr="00245318" w:rsidRDefault="00245318" w:rsidP="00AF40DB">
      <w:pPr>
        <w:widowControl w:val="0"/>
        <w:numPr>
          <w:ilvl w:val="1"/>
          <w:numId w:val="8"/>
        </w:numPr>
        <w:autoSpaceDE w:val="0"/>
        <w:autoSpaceDN w:val="0"/>
        <w:adjustRightInd w:val="0"/>
      </w:pPr>
      <w:r>
        <w:t>Central cancer registries</w:t>
      </w:r>
      <w:r w:rsidR="0038149E" w:rsidRPr="00245318">
        <w:t xml:space="preserve"> must collect and </w:t>
      </w:r>
      <w:r>
        <w:t>submit</w:t>
      </w:r>
      <w:r w:rsidR="0038149E" w:rsidRPr="00245318">
        <w:t xml:space="preserve"> </w:t>
      </w:r>
      <w:r w:rsidR="00B950D2" w:rsidRPr="00245318">
        <w:t>data for</w:t>
      </w:r>
      <w:r w:rsidR="0038149E" w:rsidRPr="00245318">
        <w:t xml:space="preserve"> </w:t>
      </w:r>
      <w:r w:rsidR="00F03BD4" w:rsidRPr="00245318">
        <w:t xml:space="preserve">all </w:t>
      </w:r>
      <w:r w:rsidR="007B677E" w:rsidRPr="00245318">
        <w:t xml:space="preserve">reportable </w:t>
      </w:r>
      <w:r w:rsidR="00F03BD4" w:rsidRPr="00245318">
        <w:t xml:space="preserve">cancers </w:t>
      </w:r>
      <w:r w:rsidR="007B677E" w:rsidRPr="00245318">
        <w:t xml:space="preserve">and benign neoplasms, </w:t>
      </w:r>
      <w:r w:rsidR="00F03BD4" w:rsidRPr="00245318">
        <w:t>including</w:t>
      </w:r>
      <w:r w:rsidR="00386020">
        <w:t xml:space="preserve"> at a minimum,</w:t>
      </w:r>
      <w:r w:rsidR="00F03BD4" w:rsidRPr="00245318">
        <w:t xml:space="preserve"> </w:t>
      </w:r>
      <w:r w:rsidR="003A1253" w:rsidRPr="00245318">
        <w:t>p</w:t>
      </w:r>
      <w:r w:rsidR="009830B9" w:rsidRPr="00245318">
        <w:t xml:space="preserve">rimary </w:t>
      </w:r>
      <w:r w:rsidR="003A1253" w:rsidRPr="00245318">
        <w:t>s</w:t>
      </w:r>
      <w:r w:rsidR="009830B9" w:rsidRPr="00245318">
        <w:t xml:space="preserve">ite, </w:t>
      </w:r>
      <w:r w:rsidR="003A1253" w:rsidRPr="00245318">
        <w:t>h</w:t>
      </w:r>
      <w:r w:rsidR="009830B9" w:rsidRPr="00245318">
        <w:t xml:space="preserve">istology, </w:t>
      </w:r>
      <w:r w:rsidR="003A1253" w:rsidRPr="00245318">
        <w:t>b</w:t>
      </w:r>
      <w:r w:rsidR="009830B9" w:rsidRPr="00245318">
        <w:t>ehavior</w:t>
      </w:r>
      <w:r w:rsidR="005051D2" w:rsidRPr="00245318">
        <w:t>,</w:t>
      </w:r>
      <w:r w:rsidR="00F03BD4" w:rsidRPr="00245318">
        <w:t xml:space="preserve"> date of diagnosis,</w:t>
      </w:r>
      <w:r w:rsidR="0038149E" w:rsidRPr="00245318">
        <w:t xml:space="preserve"> race/ethnicity, age</w:t>
      </w:r>
      <w:r w:rsidR="00F03BD4" w:rsidRPr="00245318">
        <w:t xml:space="preserve"> at diagnosis</w:t>
      </w:r>
      <w:r w:rsidR="0038149E" w:rsidRPr="00245318">
        <w:t xml:space="preserve">, gender, </w:t>
      </w:r>
      <w:r w:rsidR="00B950D2" w:rsidRPr="00245318">
        <w:t>stage at diagnosis</w:t>
      </w:r>
      <w:r w:rsidR="007B677E" w:rsidRPr="00245318">
        <w:t xml:space="preserve">, </w:t>
      </w:r>
      <w:r>
        <w:t xml:space="preserve">first course of </w:t>
      </w:r>
      <w:r w:rsidR="007B677E" w:rsidRPr="00245318">
        <w:t>treatment</w:t>
      </w:r>
      <w:r w:rsidR="00956BE4">
        <w:t xml:space="preserve"> according to CDC specifications</w:t>
      </w:r>
      <w:r w:rsidR="00386020">
        <w:t>, and other information</w:t>
      </w:r>
      <w:r w:rsidR="007B677E" w:rsidRPr="00245318">
        <w:t xml:space="preserve"> required by </w:t>
      </w:r>
      <w:r w:rsidR="003A3CED">
        <w:t>C</w:t>
      </w:r>
      <w:r w:rsidR="007B677E" w:rsidRPr="00245318">
        <w:t>DC.</w:t>
      </w:r>
    </w:p>
    <w:p w:rsidR="008E2558" w:rsidRPr="00BD6EE9" w:rsidRDefault="008E2558" w:rsidP="008E2558">
      <w:pPr>
        <w:ind w:left="360"/>
      </w:pPr>
    </w:p>
    <w:p w:rsidR="008E2558" w:rsidRPr="00BD6EE9" w:rsidRDefault="008E2558" w:rsidP="00AF40DB">
      <w:pPr>
        <w:numPr>
          <w:ilvl w:val="1"/>
          <w:numId w:val="8"/>
        </w:numPr>
      </w:pPr>
      <w:r w:rsidRPr="00BD6EE9">
        <w:t xml:space="preserve">For all </w:t>
      </w:r>
      <w:r w:rsidR="00F03BD4">
        <w:t xml:space="preserve">CDC </w:t>
      </w:r>
      <w:r w:rsidRPr="00BD6EE9">
        <w:t xml:space="preserve">required reportable cases, the central cancer registry collects or derives all required data items using standard codes as prescribed by </w:t>
      </w:r>
      <w:r w:rsidR="00F03BD4">
        <w:t>CDC</w:t>
      </w:r>
      <w:r w:rsidRPr="00BD6EE9">
        <w:t xml:space="preserve">. </w:t>
      </w:r>
    </w:p>
    <w:p w:rsidR="008E2558" w:rsidRPr="00BD6EE9" w:rsidRDefault="008E2558" w:rsidP="008E2558">
      <w:pPr>
        <w:ind w:left="720"/>
      </w:pPr>
    </w:p>
    <w:p w:rsidR="005051D2" w:rsidRDefault="005051D2" w:rsidP="00AF40DB">
      <w:pPr>
        <w:numPr>
          <w:ilvl w:val="1"/>
          <w:numId w:val="8"/>
        </w:numPr>
      </w:pPr>
      <w:r>
        <w:t>Regardless of residency, the central cancer registry collects data on patients diagnosed and/or receiving first course of treatment in the registry’s stat</w:t>
      </w:r>
      <w:r w:rsidR="00526F1D">
        <w:t>e</w:t>
      </w:r>
      <w:r>
        <w:t>/territory.</w:t>
      </w:r>
    </w:p>
    <w:p w:rsidR="005051D2" w:rsidRDefault="005051D2" w:rsidP="00245318">
      <w:pPr>
        <w:ind w:left="1170"/>
      </w:pPr>
    </w:p>
    <w:p w:rsidR="005D27A1" w:rsidRDefault="008E2558" w:rsidP="00AF40DB">
      <w:pPr>
        <w:numPr>
          <w:ilvl w:val="1"/>
          <w:numId w:val="8"/>
        </w:numPr>
      </w:pPr>
      <w:r w:rsidRPr="00BD6EE9">
        <w:t>The central cancer registry uses a standardized,</w:t>
      </w:r>
      <w:r w:rsidR="00F03BD4">
        <w:t xml:space="preserve"> CDC</w:t>
      </w:r>
      <w:r w:rsidRPr="00BD6EE9">
        <w:t xml:space="preserve">-recommended data exchange format to transmit data to other central cancer registries and </w:t>
      </w:r>
      <w:r w:rsidR="00F03BD4">
        <w:t>CDC</w:t>
      </w:r>
      <w:r w:rsidRPr="00BD6EE9">
        <w:t xml:space="preserve">. </w:t>
      </w:r>
    </w:p>
    <w:p w:rsidR="005D27A1" w:rsidRDefault="005D27A1" w:rsidP="005D27A1">
      <w:pPr>
        <w:pStyle w:val="ListParagraph"/>
      </w:pPr>
    </w:p>
    <w:p w:rsidR="00FA6C26" w:rsidRPr="00083256" w:rsidRDefault="00FA6C26" w:rsidP="00AF40DB">
      <w:pPr>
        <w:widowControl w:val="0"/>
        <w:numPr>
          <w:ilvl w:val="0"/>
          <w:numId w:val="8"/>
        </w:numPr>
        <w:autoSpaceDE w:val="0"/>
        <w:autoSpaceDN w:val="0"/>
        <w:adjustRightInd w:val="0"/>
      </w:pPr>
      <w:r w:rsidRPr="00083256">
        <w:rPr>
          <w:b/>
        </w:rPr>
        <w:t>Electronic Data Exchange</w:t>
      </w:r>
    </w:p>
    <w:p w:rsidR="00FA6C26" w:rsidRPr="00083256" w:rsidRDefault="00FA6C26" w:rsidP="00AF40DB">
      <w:pPr>
        <w:widowControl w:val="0"/>
        <w:numPr>
          <w:ilvl w:val="1"/>
          <w:numId w:val="8"/>
        </w:numPr>
        <w:autoSpaceDE w:val="0"/>
        <w:autoSpaceDN w:val="0"/>
        <w:adjustRightInd w:val="0"/>
      </w:pPr>
      <w:r w:rsidRPr="00083256">
        <w:t>The central cancer registry</w:t>
      </w:r>
      <w:r w:rsidR="00EC6FE8">
        <w:t xml:space="preserve"> is required to</w:t>
      </w:r>
      <w:r w:rsidR="00DE4C06">
        <w:t xml:space="preserve"> </w:t>
      </w:r>
      <w:r w:rsidR="00EC6FE8">
        <w:t>adopt and utilize</w:t>
      </w:r>
      <w:r w:rsidR="00DE4C06">
        <w:t xml:space="preserve"> </w:t>
      </w:r>
      <w:r w:rsidRPr="00083256">
        <w:t xml:space="preserve">standardized, </w:t>
      </w:r>
      <w:r w:rsidR="00F03BD4">
        <w:t>CDC</w:t>
      </w:r>
      <w:r w:rsidRPr="00083256">
        <w:t xml:space="preserve">-recommended </w:t>
      </w:r>
      <w:r w:rsidR="00864650">
        <w:t xml:space="preserve">data transmission </w:t>
      </w:r>
      <w:r w:rsidR="00DE4C06">
        <w:t>format</w:t>
      </w:r>
      <w:r w:rsidR="00EC6FE8">
        <w:t>s</w:t>
      </w:r>
      <w:r w:rsidRPr="00083256">
        <w:t xml:space="preserve"> for the electronic exchange</w:t>
      </w:r>
      <w:r w:rsidR="00EC6FE8">
        <w:t xml:space="preserve"> </w:t>
      </w:r>
      <w:r w:rsidRPr="00083256">
        <w:t>of cancer data</w:t>
      </w:r>
      <w:r w:rsidR="00DE4C06">
        <w:t xml:space="preserve"> (see CDC NPCR Electronic Reporting and Data Exchange Guidance)</w:t>
      </w:r>
      <w:r w:rsidRPr="00083256">
        <w:t>.</w:t>
      </w:r>
      <w:r w:rsidR="00CA14CE">
        <w:t xml:space="preserve">   </w:t>
      </w:r>
      <w:r w:rsidR="003A3CED">
        <w:t xml:space="preserve">Registries </w:t>
      </w:r>
      <w:r w:rsidR="00CA14CE">
        <w:t>also promote the use of these formats by reporting sources</w:t>
      </w:r>
      <w:r w:rsidR="00272BCE">
        <w:t xml:space="preserve"> that transmit data electronically to the registry</w:t>
      </w:r>
      <w:r w:rsidR="00CA14CE">
        <w:t>.</w:t>
      </w:r>
      <w:r w:rsidRPr="00083256">
        <w:t xml:space="preserve"> </w:t>
      </w:r>
      <w:r w:rsidR="00F03BD4">
        <w:t>CDC</w:t>
      </w:r>
      <w:r w:rsidRPr="00083256">
        <w:t xml:space="preserve">-recommended data exchange </w:t>
      </w:r>
      <w:r w:rsidR="003A3CED">
        <w:t>formats</w:t>
      </w:r>
      <w:r w:rsidRPr="00083256">
        <w:t xml:space="preserve"> include:</w:t>
      </w:r>
    </w:p>
    <w:p w:rsidR="00864650" w:rsidRPr="00864650" w:rsidRDefault="00EE33E4" w:rsidP="00AF40DB">
      <w:pPr>
        <w:numPr>
          <w:ilvl w:val="2"/>
          <w:numId w:val="8"/>
        </w:numPr>
        <w:tabs>
          <w:tab w:val="center" w:pos="1800"/>
        </w:tabs>
        <w:autoSpaceDE w:val="0"/>
        <w:autoSpaceDN w:val="0"/>
        <w:adjustRightInd w:val="0"/>
        <w:rPr>
          <w:rFonts w:ascii="TimesNewRoman" w:hAnsi="TimesNewRoman" w:cs="TimesNewRoman"/>
          <w:i/>
        </w:rPr>
      </w:pPr>
      <w:r>
        <w:t>Hospital reporting</w:t>
      </w:r>
      <w:r w:rsidR="00FA6C26" w:rsidRPr="00083256">
        <w:t xml:space="preserve">: The NAACCR record layout version specified </w:t>
      </w:r>
      <w:r w:rsidR="00FA6C26" w:rsidRPr="00864650">
        <w:t>in year-appropriate</w:t>
      </w:r>
      <w:r w:rsidR="00FA6C26" w:rsidRPr="00083256">
        <w:rPr>
          <w:i/>
        </w:rPr>
        <w:t xml:space="preserve"> </w:t>
      </w:r>
      <w:r w:rsidR="00FA6C26" w:rsidRPr="00083256">
        <w:rPr>
          <w:rFonts w:ascii="TimesNewRoman" w:hAnsi="TimesNewRoman" w:cs="TimesNewRoman"/>
          <w:i/>
        </w:rPr>
        <w:t>Standards for Cancer Registries Volume II: Data Standards and Data Dictionary</w:t>
      </w:r>
      <w:r w:rsidR="00864650">
        <w:rPr>
          <w:rFonts w:ascii="TimesNewRoman" w:hAnsi="TimesNewRoman" w:cs="TimesNewRoman"/>
          <w:i/>
        </w:rPr>
        <w:t>.</w:t>
      </w:r>
    </w:p>
    <w:p w:rsidR="00121241" w:rsidRDefault="00EE33E4" w:rsidP="00864650">
      <w:pPr>
        <w:numPr>
          <w:ilvl w:val="2"/>
          <w:numId w:val="8"/>
        </w:numPr>
        <w:tabs>
          <w:tab w:val="center" w:pos="1800"/>
        </w:tabs>
        <w:autoSpaceDE w:val="0"/>
        <w:autoSpaceDN w:val="0"/>
        <w:adjustRightInd w:val="0"/>
      </w:pPr>
      <w:r>
        <w:t xml:space="preserve">Anatomic Pathology Laboratory Reports: </w:t>
      </w:r>
      <w:r w:rsidR="00FA6C26" w:rsidRPr="00864650">
        <w:rPr>
          <w:i/>
        </w:rPr>
        <w:t>NAACCR Standards for Cancer Registries Volume V: Pathology Laboratory Electronic Reporting</w:t>
      </w:r>
      <w:r w:rsidR="003A3CED">
        <w:rPr>
          <w:i/>
        </w:rPr>
        <w:t xml:space="preserve"> </w:t>
      </w:r>
      <w:r w:rsidR="003A3CED">
        <w:t>(Version 2.2 or higher).</w:t>
      </w:r>
    </w:p>
    <w:p w:rsidR="008E7ED5" w:rsidRPr="00083256" w:rsidRDefault="008E7ED5" w:rsidP="00AF40DB">
      <w:pPr>
        <w:widowControl w:val="0"/>
        <w:numPr>
          <w:ilvl w:val="2"/>
          <w:numId w:val="8"/>
        </w:numPr>
        <w:autoSpaceDE w:val="0"/>
        <w:autoSpaceDN w:val="0"/>
        <w:adjustRightInd w:val="0"/>
        <w:spacing w:after="200" w:line="276" w:lineRule="auto"/>
        <w:contextualSpacing/>
      </w:pPr>
      <w:r>
        <w:t xml:space="preserve">Non-hospital sources using electronic medical records: </w:t>
      </w:r>
      <w:r w:rsidR="00F71C4D" w:rsidRPr="001E5A85">
        <w:rPr>
          <w:i/>
          <w:color w:val="00B050"/>
        </w:rPr>
        <w:t>Implementation Guide for Ambulatory Healthcare Provider Reporting to Central Cancer Registries August 2012</w:t>
      </w:r>
      <w:r w:rsidR="00F71C4D" w:rsidRPr="001E5A85">
        <w:rPr>
          <w:color w:val="00B050"/>
        </w:rPr>
        <w:t xml:space="preserve">, </w:t>
      </w:r>
      <w:hyperlink r:id="rId12" w:history="1">
        <w:r w:rsidR="00F71C4D" w:rsidRPr="001E5A85">
          <w:rPr>
            <w:rStyle w:val="Hyperlink"/>
          </w:rPr>
          <w:t>http://www.cdc.gov/phin/library/guides/Implementation_Guide_for_Ambulatory_Healthcare_Provider_Reporting_to_Central_Cancer_Registries_August_2012.pdf</w:t>
        </w:r>
      </w:hyperlink>
    </w:p>
    <w:p w:rsidR="00FA6C26" w:rsidRPr="00083256" w:rsidRDefault="00FA6C26" w:rsidP="00FA6C26">
      <w:pPr>
        <w:tabs>
          <w:tab w:val="left" w:pos="1080"/>
        </w:tabs>
      </w:pPr>
    </w:p>
    <w:p w:rsidR="006D306F" w:rsidRDefault="002119BC" w:rsidP="00AF40DB">
      <w:pPr>
        <w:widowControl w:val="0"/>
        <w:numPr>
          <w:ilvl w:val="1"/>
          <w:numId w:val="8"/>
        </w:numPr>
        <w:autoSpaceDE w:val="0"/>
        <w:autoSpaceDN w:val="0"/>
        <w:adjustRightInd w:val="0"/>
      </w:pPr>
      <w:r>
        <w:t xml:space="preserve">For hospitals </w:t>
      </w:r>
      <w:r w:rsidR="00864650">
        <w:t xml:space="preserve">reporting </w:t>
      </w:r>
      <w:r>
        <w:t xml:space="preserve">to the central cancer registry, annually increase the percent reporting electronically </w:t>
      </w:r>
      <w:r w:rsidR="00662440">
        <w:t>to meet the standard</w:t>
      </w:r>
      <w:r>
        <w:t xml:space="preserve"> of having all of these facilities reporting electronically by the end of the five year </w:t>
      </w:r>
      <w:r w:rsidR="003A3CED">
        <w:t>project period</w:t>
      </w:r>
      <w:r>
        <w:t>.</w:t>
      </w:r>
      <w:r w:rsidRPr="00083256" w:rsidDel="002119BC">
        <w:t xml:space="preserve"> </w:t>
      </w:r>
    </w:p>
    <w:p w:rsidR="006D306F" w:rsidRDefault="006D306F" w:rsidP="006D306F">
      <w:pPr>
        <w:widowControl w:val="0"/>
        <w:autoSpaceDE w:val="0"/>
        <w:autoSpaceDN w:val="0"/>
        <w:adjustRightInd w:val="0"/>
        <w:ind w:left="1080"/>
      </w:pPr>
    </w:p>
    <w:p w:rsidR="00FA6C26" w:rsidRDefault="00864650" w:rsidP="00864650">
      <w:pPr>
        <w:pStyle w:val="ListParagraph"/>
        <w:numPr>
          <w:ilvl w:val="1"/>
          <w:numId w:val="8"/>
        </w:numPr>
        <w:tabs>
          <w:tab w:val="left" w:pos="1080"/>
        </w:tabs>
      </w:pPr>
      <w:r>
        <w:t xml:space="preserve"> </w:t>
      </w:r>
      <w:r w:rsidR="00D8019D">
        <w:t>For non-hospital facilities reporting to the central cancer registry, a</w:t>
      </w:r>
      <w:r w:rsidR="00F41C61">
        <w:t xml:space="preserve">nnually increase the percent reporting electronically </w:t>
      </w:r>
      <w:r w:rsidR="00662440">
        <w:t>to meet the standard</w:t>
      </w:r>
      <w:r w:rsidR="00956BE4">
        <w:t xml:space="preserve"> of</w:t>
      </w:r>
      <w:r w:rsidR="00D8019D">
        <w:t xml:space="preserve"> having</w:t>
      </w:r>
      <w:r w:rsidR="000E6F07">
        <w:t xml:space="preserve"> at least 8</w:t>
      </w:r>
      <w:r w:rsidR="00D8019D">
        <w:t xml:space="preserve">0% of these facilities reporting electronically by the end of the five year </w:t>
      </w:r>
      <w:r w:rsidR="003A3CED">
        <w:t>project period</w:t>
      </w:r>
    </w:p>
    <w:p w:rsidR="00864650" w:rsidRPr="00083256" w:rsidRDefault="00864650" w:rsidP="00864650">
      <w:pPr>
        <w:pStyle w:val="ListParagraph"/>
        <w:tabs>
          <w:tab w:val="left" w:pos="1080"/>
        </w:tabs>
        <w:ind w:left="1170"/>
      </w:pPr>
    </w:p>
    <w:p w:rsidR="00864650" w:rsidRDefault="00FA6C26" w:rsidP="00864650">
      <w:pPr>
        <w:widowControl w:val="0"/>
        <w:numPr>
          <w:ilvl w:val="1"/>
          <w:numId w:val="8"/>
        </w:numPr>
        <w:tabs>
          <w:tab w:val="left" w:pos="-1440"/>
        </w:tabs>
        <w:autoSpaceDE w:val="0"/>
        <w:autoSpaceDN w:val="0"/>
        <w:adjustRightInd w:val="0"/>
      </w:pPr>
      <w:r w:rsidRPr="00083256">
        <w:t>The central cancer registry uses a secure Internet-based, FTP,</w:t>
      </w:r>
      <w:r w:rsidR="007F3246">
        <w:t xml:space="preserve"> https,</w:t>
      </w:r>
      <w:r w:rsidRPr="00083256">
        <w:t xml:space="preserve"> or encrypted email mechanism to receive</w:t>
      </w:r>
      <w:r w:rsidR="001D049A" w:rsidRPr="00083256">
        <w:t xml:space="preserve"> electronic</w:t>
      </w:r>
      <w:r w:rsidRPr="00083256">
        <w:t xml:space="preserve"> data from reporting sources.  </w:t>
      </w:r>
    </w:p>
    <w:p w:rsidR="00864650" w:rsidRDefault="00864650" w:rsidP="00864650">
      <w:pPr>
        <w:pStyle w:val="ListParagraph"/>
      </w:pPr>
    </w:p>
    <w:p w:rsidR="00FA6C26" w:rsidRDefault="002B4193" w:rsidP="00864650">
      <w:pPr>
        <w:widowControl w:val="0"/>
        <w:numPr>
          <w:ilvl w:val="1"/>
          <w:numId w:val="8"/>
        </w:numPr>
        <w:tabs>
          <w:tab w:val="left" w:pos="-1440"/>
        </w:tabs>
        <w:autoSpaceDE w:val="0"/>
        <w:autoSpaceDN w:val="0"/>
        <w:adjustRightInd w:val="0"/>
      </w:pPr>
      <w:r w:rsidRPr="00083256">
        <w:t xml:space="preserve">The central </w:t>
      </w:r>
      <w:r w:rsidR="009D00A2" w:rsidRPr="00083256">
        <w:t xml:space="preserve">cancer </w:t>
      </w:r>
      <w:r w:rsidRPr="00083256">
        <w:t>registry has a</w:t>
      </w:r>
      <w:r w:rsidR="007F3246">
        <w:t xml:space="preserve"> plan to implement a</w:t>
      </w:r>
      <w:r w:rsidRPr="00083256">
        <w:t xml:space="preserve"> mechanism </w:t>
      </w:r>
      <w:r w:rsidR="007F3246">
        <w:t xml:space="preserve">for </w:t>
      </w:r>
      <w:r w:rsidR="00441D99">
        <w:t>receiving and processing</w:t>
      </w:r>
      <w:r w:rsidR="008A3F50">
        <w:t xml:space="preserve"> </w:t>
      </w:r>
      <w:r w:rsidRPr="00083256">
        <w:t>data</w:t>
      </w:r>
      <w:r w:rsidR="00441D99">
        <w:t xml:space="preserve"> </w:t>
      </w:r>
      <w:r w:rsidRPr="00083256">
        <w:t>from electronic medical records (EMRs)</w:t>
      </w:r>
      <w:r w:rsidR="003B554F">
        <w:t xml:space="preserve"> over the</w:t>
      </w:r>
      <w:r w:rsidR="00864650">
        <w:t xml:space="preserve"> 5 year </w:t>
      </w:r>
      <w:r w:rsidR="003A3CED">
        <w:t xml:space="preserve">project </w:t>
      </w:r>
      <w:r w:rsidR="003A3CED">
        <w:lastRenderedPageBreak/>
        <w:t>period</w:t>
      </w:r>
      <w:r w:rsidR="00BD3EC5">
        <w:t>;</w:t>
      </w:r>
      <w:r w:rsidR="003B554F">
        <w:t xml:space="preserve"> and will coordinate with CDC to develop plans for more rapid implementation </w:t>
      </w:r>
      <w:r w:rsidR="00F71C4D">
        <w:t xml:space="preserve">now that </w:t>
      </w:r>
      <w:r w:rsidR="003B554F">
        <w:t>cancer reporting is included in Stage II of Meaningful Use</w:t>
      </w:r>
      <w:r w:rsidR="00441D99">
        <w:t xml:space="preserve">. </w:t>
      </w:r>
      <w:r w:rsidR="007F3246">
        <w:t xml:space="preserve"> </w:t>
      </w:r>
      <w:r w:rsidR="003B554F">
        <w:t xml:space="preserve"> </w:t>
      </w:r>
    </w:p>
    <w:p w:rsidR="00FA6C26" w:rsidRPr="00B514A6" w:rsidRDefault="00FA6C26" w:rsidP="00AF40DB">
      <w:pPr>
        <w:numPr>
          <w:ilvl w:val="0"/>
          <w:numId w:val="8"/>
        </w:numPr>
        <w:rPr>
          <w:color w:val="FF0000"/>
        </w:rPr>
      </w:pPr>
      <w:r w:rsidRPr="00BD6EE9">
        <w:rPr>
          <w:b/>
          <w:bCs/>
        </w:rPr>
        <w:t>Data Completeness/Timeliness/Quality</w:t>
      </w:r>
    </w:p>
    <w:p w:rsidR="00FA6C26" w:rsidRPr="00BD6EE9" w:rsidRDefault="00791BD9" w:rsidP="00AF40DB">
      <w:pPr>
        <w:keepNext/>
        <w:keepLines/>
        <w:widowControl w:val="0"/>
        <w:numPr>
          <w:ilvl w:val="1"/>
          <w:numId w:val="8"/>
        </w:numPr>
        <w:autoSpaceDE w:val="0"/>
        <w:autoSpaceDN w:val="0"/>
        <w:adjustRightInd w:val="0"/>
      </w:pPr>
      <w:r>
        <w:t xml:space="preserve">Data </w:t>
      </w:r>
      <w:r w:rsidR="00FA6C26">
        <w:t>being evaluated for the National Data Quality Standard (formerly known as the 24-Month Standard)</w:t>
      </w:r>
      <w:r w:rsidR="00FA6C26" w:rsidRPr="00BD6EE9">
        <w:t>,</w:t>
      </w:r>
      <w:r>
        <w:t xml:space="preserve"> must meet </w:t>
      </w:r>
      <w:r w:rsidR="00FA6C26" w:rsidRPr="00BD6EE9">
        <w:t xml:space="preserve"> the following five data quality criteria:</w:t>
      </w:r>
    </w:p>
    <w:p w:rsidR="00FA6C26" w:rsidRPr="00BD6EE9" w:rsidRDefault="00FA6C26" w:rsidP="00AF40DB">
      <w:pPr>
        <w:keepNext/>
        <w:keepLines/>
        <w:widowControl w:val="0"/>
        <w:numPr>
          <w:ilvl w:val="2"/>
          <w:numId w:val="8"/>
        </w:numPr>
        <w:tabs>
          <w:tab w:val="left" w:pos="1080"/>
        </w:tabs>
        <w:autoSpaceDE w:val="0"/>
        <w:autoSpaceDN w:val="0"/>
        <w:adjustRightInd w:val="0"/>
      </w:pPr>
      <w:r w:rsidRPr="00BD6EE9">
        <w:t xml:space="preserve">Data are 95% complete based on observed-to-expected cases as computed by </w:t>
      </w:r>
      <w:r w:rsidR="00201966">
        <w:t>CDC</w:t>
      </w:r>
      <w:r w:rsidRPr="00BD6EE9">
        <w:t>.</w:t>
      </w:r>
    </w:p>
    <w:p w:rsidR="00FA6C26" w:rsidRPr="00BD6EE9" w:rsidRDefault="00FA6C26" w:rsidP="00AF40DB">
      <w:pPr>
        <w:widowControl w:val="0"/>
        <w:numPr>
          <w:ilvl w:val="2"/>
          <w:numId w:val="8"/>
        </w:numPr>
        <w:autoSpaceDE w:val="0"/>
        <w:autoSpaceDN w:val="0"/>
        <w:adjustRightInd w:val="0"/>
      </w:pPr>
      <w:r w:rsidRPr="00BD6EE9">
        <w:t>There are 3% or fewer death-certificate-only cases</w:t>
      </w:r>
      <w:r>
        <w:t>.</w:t>
      </w:r>
    </w:p>
    <w:p w:rsidR="00FA6C26" w:rsidRPr="00BD6EE9" w:rsidRDefault="00FA6C26" w:rsidP="00AF40DB">
      <w:pPr>
        <w:widowControl w:val="0"/>
        <w:numPr>
          <w:ilvl w:val="2"/>
          <w:numId w:val="8"/>
        </w:numPr>
        <w:autoSpaceDE w:val="0"/>
        <w:autoSpaceDN w:val="0"/>
        <w:adjustRightInd w:val="0"/>
      </w:pPr>
      <w:r w:rsidRPr="00BD6EE9">
        <w:t>There is a 1 per 1,000 or fewer unresolved duplicate rate</w:t>
      </w:r>
      <w:r>
        <w:t>.</w:t>
      </w:r>
    </w:p>
    <w:p w:rsidR="00FA6C26" w:rsidRPr="00BD6EE9" w:rsidRDefault="00FA6C26" w:rsidP="00AF40DB">
      <w:pPr>
        <w:widowControl w:val="0"/>
        <w:numPr>
          <w:ilvl w:val="2"/>
          <w:numId w:val="8"/>
        </w:numPr>
        <w:autoSpaceDE w:val="0"/>
        <w:autoSpaceDN w:val="0"/>
        <w:adjustRightInd w:val="0"/>
      </w:pPr>
      <w:r w:rsidRPr="00BD6EE9">
        <w:t xml:space="preserve">The </w:t>
      </w:r>
      <w:r w:rsidR="005051D2">
        <w:t xml:space="preserve">maximum </w:t>
      </w:r>
      <w:r w:rsidRPr="00BD6EE9">
        <w:t>percent missing for critical data elements are:</w:t>
      </w:r>
    </w:p>
    <w:p w:rsidR="001D049A" w:rsidRDefault="00FA6C26" w:rsidP="007F3246">
      <w:pPr>
        <w:widowControl w:val="0"/>
        <w:numPr>
          <w:ilvl w:val="3"/>
          <w:numId w:val="8"/>
        </w:numPr>
        <w:tabs>
          <w:tab w:val="left" w:pos="2520"/>
        </w:tabs>
        <w:autoSpaceDE w:val="0"/>
        <w:autoSpaceDN w:val="0"/>
        <w:adjustRightInd w:val="0"/>
      </w:pPr>
      <w:r w:rsidRPr="00BD6EE9">
        <w:t>2%  age</w:t>
      </w:r>
    </w:p>
    <w:p w:rsidR="00FA6C26" w:rsidRDefault="00FA6C26" w:rsidP="007F3246">
      <w:pPr>
        <w:widowControl w:val="0"/>
        <w:numPr>
          <w:ilvl w:val="3"/>
          <w:numId w:val="8"/>
        </w:numPr>
        <w:tabs>
          <w:tab w:val="left" w:pos="2520"/>
        </w:tabs>
        <w:autoSpaceDE w:val="0"/>
        <w:autoSpaceDN w:val="0"/>
        <w:adjustRightInd w:val="0"/>
      </w:pPr>
      <w:r w:rsidRPr="00BD6EE9">
        <w:t>2%  sex</w:t>
      </w:r>
    </w:p>
    <w:p w:rsidR="00FA6C26" w:rsidRDefault="00FA6C26" w:rsidP="007F3246">
      <w:pPr>
        <w:widowControl w:val="0"/>
        <w:numPr>
          <w:ilvl w:val="3"/>
          <w:numId w:val="8"/>
        </w:numPr>
        <w:tabs>
          <w:tab w:val="left" w:pos="2520"/>
        </w:tabs>
        <w:autoSpaceDE w:val="0"/>
        <w:autoSpaceDN w:val="0"/>
        <w:adjustRightInd w:val="0"/>
      </w:pPr>
      <w:r w:rsidRPr="00BD6EE9">
        <w:t>3%  race</w:t>
      </w:r>
    </w:p>
    <w:p w:rsidR="00FA6C26" w:rsidRPr="00BD6EE9" w:rsidRDefault="00FA6C26" w:rsidP="007F3246">
      <w:pPr>
        <w:widowControl w:val="0"/>
        <w:numPr>
          <w:ilvl w:val="3"/>
          <w:numId w:val="8"/>
        </w:numPr>
        <w:tabs>
          <w:tab w:val="left" w:pos="2520"/>
        </w:tabs>
        <w:autoSpaceDE w:val="0"/>
        <w:autoSpaceDN w:val="0"/>
        <w:adjustRightInd w:val="0"/>
      </w:pPr>
      <w:r w:rsidRPr="00BD6EE9">
        <w:t>2%  county</w:t>
      </w:r>
    </w:p>
    <w:p w:rsidR="00FA6C26" w:rsidRDefault="00FA6C26" w:rsidP="00AF40DB">
      <w:pPr>
        <w:widowControl w:val="0"/>
        <w:numPr>
          <w:ilvl w:val="2"/>
          <w:numId w:val="8"/>
        </w:numPr>
        <w:autoSpaceDE w:val="0"/>
        <w:autoSpaceDN w:val="0"/>
        <w:adjustRightInd w:val="0"/>
      </w:pPr>
      <w:r w:rsidRPr="00BD6EE9">
        <w:t>99% pass a</w:t>
      </w:r>
      <w:r w:rsidR="00897820">
        <w:t xml:space="preserve"> CDC</w:t>
      </w:r>
      <w:r w:rsidRPr="00BD6EE9">
        <w:t>-prescribed set of standard edits</w:t>
      </w:r>
    </w:p>
    <w:p w:rsidR="00FA6C26" w:rsidRPr="00BD6EE9" w:rsidRDefault="00FA6C26" w:rsidP="00FA6C26">
      <w:pPr>
        <w:ind w:left="1080"/>
      </w:pPr>
    </w:p>
    <w:p w:rsidR="00FA6C26" w:rsidRPr="00BD6EE9" w:rsidRDefault="00A96211" w:rsidP="00AF40DB">
      <w:pPr>
        <w:keepNext/>
        <w:keepLines/>
        <w:widowControl w:val="0"/>
        <w:numPr>
          <w:ilvl w:val="1"/>
          <w:numId w:val="8"/>
        </w:numPr>
        <w:autoSpaceDE w:val="0"/>
        <w:autoSpaceDN w:val="0"/>
        <w:adjustRightInd w:val="0"/>
      </w:pPr>
      <w:r>
        <w:t xml:space="preserve">Data </w:t>
      </w:r>
      <w:r w:rsidR="00FA6C26">
        <w:t>being evaluated for the Advanced National Data Quality Standard (formerly known as the 12-Month Standard)</w:t>
      </w:r>
      <w:r w:rsidR="00FA6C26" w:rsidRPr="00BD6EE9">
        <w:t xml:space="preserve">, </w:t>
      </w:r>
      <w:r>
        <w:t xml:space="preserve"> must </w:t>
      </w:r>
      <w:r w:rsidR="00FA6C26" w:rsidRPr="00BD6EE9">
        <w:t>meet the following data quality criteria:</w:t>
      </w:r>
    </w:p>
    <w:p w:rsidR="00FA6C26" w:rsidRPr="00BD6EE9" w:rsidRDefault="00FA6C26" w:rsidP="00AF40DB">
      <w:pPr>
        <w:keepNext/>
        <w:keepLines/>
        <w:widowControl w:val="0"/>
        <w:numPr>
          <w:ilvl w:val="2"/>
          <w:numId w:val="8"/>
        </w:numPr>
        <w:tabs>
          <w:tab w:val="left" w:pos="1080"/>
        </w:tabs>
        <w:autoSpaceDE w:val="0"/>
        <w:autoSpaceDN w:val="0"/>
        <w:adjustRightInd w:val="0"/>
      </w:pPr>
      <w:r w:rsidRPr="00BD6EE9">
        <w:t xml:space="preserve">Data are 90% complete based on observed-to-expected cases as computed by </w:t>
      </w:r>
      <w:r w:rsidR="00766B25">
        <w:t>CDC</w:t>
      </w:r>
      <w:r w:rsidRPr="00BD6EE9">
        <w:t>.</w:t>
      </w:r>
    </w:p>
    <w:p w:rsidR="00FA6C26" w:rsidRPr="00083256" w:rsidRDefault="00FA6C26" w:rsidP="00AF40DB">
      <w:pPr>
        <w:keepNext/>
        <w:keepLines/>
        <w:widowControl w:val="0"/>
        <w:numPr>
          <w:ilvl w:val="2"/>
          <w:numId w:val="8"/>
        </w:numPr>
        <w:tabs>
          <w:tab w:val="left" w:pos="1080"/>
        </w:tabs>
        <w:autoSpaceDE w:val="0"/>
        <w:autoSpaceDN w:val="0"/>
        <w:adjustRightInd w:val="0"/>
      </w:pPr>
      <w:r w:rsidRPr="00083256">
        <w:t>There is a 2 per 1,000 or fewer unresolved duplicate rate</w:t>
      </w:r>
    </w:p>
    <w:p w:rsidR="00FA6C26" w:rsidRPr="00083256" w:rsidRDefault="00FA6C26" w:rsidP="00AF40DB">
      <w:pPr>
        <w:keepNext/>
        <w:keepLines/>
        <w:widowControl w:val="0"/>
        <w:numPr>
          <w:ilvl w:val="2"/>
          <w:numId w:val="8"/>
        </w:numPr>
        <w:tabs>
          <w:tab w:val="left" w:pos="1080"/>
        </w:tabs>
        <w:autoSpaceDE w:val="0"/>
        <w:autoSpaceDN w:val="0"/>
        <w:adjustRightInd w:val="0"/>
      </w:pPr>
      <w:r w:rsidRPr="00083256">
        <w:t xml:space="preserve">The </w:t>
      </w:r>
      <w:r w:rsidR="005051D2">
        <w:t xml:space="preserve">maximum </w:t>
      </w:r>
      <w:r w:rsidRPr="00083256">
        <w:t>percent missing for critical data elements are:</w:t>
      </w:r>
    </w:p>
    <w:p w:rsidR="00FA6C26" w:rsidRPr="00083256" w:rsidRDefault="00FA6C26" w:rsidP="00AF40DB">
      <w:pPr>
        <w:keepNext/>
        <w:keepLines/>
        <w:widowControl w:val="0"/>
        <w:numPr>
          <w:ilvl w:val="3"/>
          <w:numId w:val="8"/>
        </w:numPr>
        <w:tabs>
          <w:tab w:val="left" w:pos="1080"/>
        </w:tabs>
        <w:autoSpaceDE w:val="0"/>
        <w:autoSpaceDN w:val="0"/>
        <w:adjustRightInd w:val="0"/>
      </w:pPr>
      <w:r w:rsidRPr="00083256">
        <w:t>3%  age</w:t>
      </w:r>
    </w:p>
    <w:p w:rsidR="00FA6C26" w:rsidRPr="00083256" w:rsidRDefault="00FA6C26" w:rsidP="00AF40DB">
      <w:pPr>
        <w:keepNext/>
        <w:keepLines/>
        <w:widowControl w:val="0"/>
        <w:numPr>
          <w:ilvl w:val="3"/>
          <w:numId w:val="8"/>
        </w:numPr>
        <w:tabs>
          <w:tab w:val="left" w:pos="1080"/>
        </w:tabs>
        <w:autoSpaceDE w:val="0"/>
        <w:autoSpaceDN w:val="0"/>
        <w:adjustRightInd w:val="0"/>
      </w:pPr>
      <w:r w:rsidRPr="00083256">
        <w:t>3%  sex</w:t>
      </w:r>
    </w:p>
    <w:p w:rsidR="00FA6C26" w:rsidRPr="00083256" w:rsidRDefault="00FA6C26" w:rsidP="00AF40DB">
      <w:pPr>
        <w:keepNext/>
        <w:keepLines/>
        <w:widowControl w:val="0"/>
        <w:numPr>
          <w:ilvl w:val="3"/>
          <w:numId w:val="8"/>
        </w:numPr>
        <w:tabs>
          <w:tab w:val="left" w:pos="1080"/>
        </w:tabs>
        <w:autoSpaceDE w:val="0"/>
        <w:autoSpaceDN w:val="0"/>
        <w:adjustRightInd w:val="0"/>
      </w:pPr>
      <w:r w:rsidRPr="00083256">
        <w:t>5%  race</w:t>
      </w:r>
    </w:p>
    <w:p w:rsidR="001D049A" w:rsidRPr="00083256" w:rsidRDefault="00526F1D" w:rsidP="00AF40DB">
      <w:pPr>
        <w:keepNext/>
        <w:keepLines/>
        <w:widowControl w:val="0"/>
        <w:numPr>
          <w:ilvl w:val="3"/>
          <w:numId w:val="8"/>
        </w:numPr>
        <w:tabs>
          <w:tab w:val="left" w:pos="1080"/>
        </w:tabs>
        <w:autoSpaceDE w:val="0"/>
        <w:autoSpaceDN w:val="0"/>
        <w:adjustRightInd w:val="0"/>
      </w:pPr>
      <w:r>
        <w:t xml:space="preserve">3%  </w:t>
      </w:r>
      <w:r w:rsidR="001D049A" w:rsidRPr="00083256">
        <w:t>county</w:t>
      </w:r>
    </w:p>
    <w:p w:rsidR="00FA6C26" w:rsidRDefault="00FA6C26" w:rsidP="00AF40DB">
      <w:pPr>
        <w:keepNext/>
        <w:keepLines/>
        <w:widowControl w:val="0"/>
        <w:numPr>
          <w:ilvl w:val="2"/>
          <w:numId w:val="8"/>
        </w:numPr>
        <w:tabs>
          <w:tab w:val="left" w:pos="1080"/>
        </w:tabs>
        <w:autoSpaceDE w:val="0"/>
        <w:autoSpaceDN w:val="0"/>
        <w:adjustRightInd w:val="0"/>
      </w:pPr>
      <w:r w:rsidRPr="00BD6EE9">
        <w:t xml:space="preserve">97% pass a </w:t>
      </w:r>
      <w:r w:rsidR="00201966">
        <w:t>CDC</w:t>
      </w:r>
      <w:r w:rsidRPr="00BD6EE9">
        <w:t>-prescribed set of standard edits.</w:t>
      </w:r>
    </w:p>
    <w:p w:rsidR="00FA6C26" w:rsidRPr="00BD6EE9" w:rsidRDefault="00FA6C26" w:rsidP="00FA6C26">
      <w:pPr>
        <w:keepNext/>
        <w:keepLines/>
        <w:tabs>
          <w:tab w:val="left" w:pos="1080"/>
        </w:tabs>
      </w:pPr>
    </w:p>
    <w:p w:rsidR="00083256" w:rsidRDefault="007F3246" w:rsidP="00AF40DB">
      <w:pPr>
        <w:numPr>
          <w:ilvl w:val="1"/>
          <w:numId w:val="8"/>
        </w:numPr>
        <w:autoSpaceDE w:val="0"/>
        <w:autoSpaceDN w:val="0"/>
        <w:adjustRightInd w:val="0"/>
      </w:pPr>
      <w:r>
        <w:t xml:space="preserve">Annually increase the </w:t>
      </w:r>
      <w:r w:rsidR="008D4072">
        <w:t xml:space="preserve">number </w:t>
      </w:r>
      <w:r w:rsidR="00693031">
        <w:t xml:space="preserve">of </w:t>
      </w:r>
      <w:r w:rsidR="001D049A">
        <w:t>urologists, dermatologists,</w:t>
      </w:r>
      <w:r w:rsidR="009674FA">
        <w:t xml:space="preserve"> and</w:t>
      </w:r>
      <w:r w:rsidR="001D049A">
        <w:t xml:space="preserve"> gastroenterologists</w:t>
      </w:r>
      <w:r w:rsidR="00B17D40">
        <w:t xml:space="preserve"> </w:t>
      </w:r>
      <w:r w:rsidR="00693031">
        <w:t>that report to the central cancer registry, as required by state law</w:t>
      </w:r>
      <w:r w:rsidR="008D4072">
        <w:t>.</w:t>
      </w:r>
      <w:r w:rsidR="00693031">
        <w:t xml:space="preserve"> </w:t>
      </w:r>
      <w:r w:rsidR="00F22932">
        <w:t>(see CDC NPCR Physician Reporting Guidance)</w:t>
      </w:r>
      <w:r w:rsidR="00B17D40">
        <w:t>.</w:t>
      </w:r>
    </w:p>
    <w:p w:rsidR="00FA6C26" w:rsidRDefault="00FA6C26" w:rsidP="00AF40DB">
      <w:pPr>
        <w:autoSpaceDE w:val="0"/>
        <w:autoSpaceDN w:val="0"/>
        <w:adjustRightInd w:val="0"/>
        <w:ind w:left="1080" w:firstLine="60"/>
      </w:pPr>
    </w:p>
    <w:p w:rsidR="00766B25" w:rsidRPr="006D306F" w:rsidRDefault="009674FA" w:rsidP="00BD3EC5">
      <w:pPr>
        <w:numPr>
          <w:ilvl w:val="1"/>
          <w:numId w:val="8"/>
        </w:numPr>
        <w:autoSpaceDE w:val="0"/>
        <w:autoSpaceDN w:val="0"/>
        <w:adjustRightInd w:val="0"/>
      </w:pPr>
      <w:r>
        <w:t xml:space="preserve">Annually increase the </w:t>
      </w:r>
      <w:r w:rsidR="008D4072">
        <w:t xml:space="preserve">number </w:t>
      </w:r>
      <w:r>
        <w:t>of medical oncologists, radiation oncologists, and hematologist</w:t>
      </w:r>
      <w:r w:rsidR="00CC6285">
        <w:t>s</w:t>
      </w:r>
      <w:r>
        <w:t xml:space="preserve"> that report to the central cancer registry, as required </w:t>
      </w:r>
      <w:r w:rsidR="003A3CED">
        <w:t>by state law</w:t>
      </w:r>
      <w:r w:rsidR="00BD3EC5">
        <w:t xml:space="preserve"> </w:t>
      </w:r>
      <w:r w:rsidR="00BD3EC5" w:rsidRPr="00BD3EC5">
        <w:t>(see CDC NPCR Physician Reporting Guidance)</w:t>
      </w:r>
      <w:r w:rsidR="00B17D40">
        <w:t xml:space="preserve">. </w:t>
      </w:r>
    </w:p>
    <w:p w:rsidR="00FA6C26" w:rsidRPr="006D306F" w:rsidRDefault="00FA6C26" w:rsidP="00FA6C26">
      <w:pPr>
        <w:ind w:left="720"/>
      </w:pPr>
    </w:p>
    <w:p w:rsidR="00203F5C" w:rsidRPr="006D306F" w:rsidRDefault="00203F5C" w:rsidP="00AF40DB">
      <w:pPr>
        <w:widowControl w:val="0"/>
        <w:numPr>
          <w:ilvl w:val="1"/>
          <w:numId w:val="8"/>
        </w:numPr>
        <w:autoSpaceDE w:val="0"/>
        <w:autoSpaceDN w:val="0"/>
        <w:adjustRightInd w:val="0"/>
      </w:pPr>
      <w:r w:rsidRPr="006D306F">
        <w:t>The cancer registry exchange</w:t>
      </w:r>
      <w:r w:rsidR="00A36700">
        <w:t xml:space="preserve">s data </w:t>
      </w:r>
      <w:r w:rsidRPr="006D306F">
        <w:t>with all bordering central cancer registries and other central registries most likely to yield missed cases</w:t>
      </w:r>
      <w:r w:rsidR="00A36700">
        <w:t xml:space="preserve"> and implements data sharing agreements as needed</w:t>
      </w:r>
      <w:r w:rsidRPr="006D306F">
        <w:t xml:space="preserve">.  Data exchange must meet the following minimum criteria: </w:t>
      </w:r>
    </w:p>
    <w:p w:rsidR="00203F5C" w:rsidRPr="006D306F" w:rsidRDefault="00203F5C" w:rsidP="00AF40DB">
      <w:pPr>
        <w:widowControl w:val="0"/>
        <w:numPr>
          <w:ilvl w:val="2"/>
          <w:numId w:val="8"/>
        </w:numPr>
        <w:autoSpaceDE w:val="0"/>
        <w:autoSpaceDN w:val="0"/>
        <w:adjustRightInd w:val="0"/>
      </w:pPr>
      <w:r w:rsidRPr="006D306F">
        <w:t>Occurs within 12 months of the close of the diagnosis year.</w:t>
      </w:r>
    </w:p>
    <w:p w:rsidR="00203F5C" w:rsidRPr="006D306F" w:rsidRDefault="00203F5C" w:rsidP="00AF40DB">
      <w:pPr>
        <w:widowControl w:val="0"/>
        <w:numPr>
          <w:ilvl w:val="2"/>
          <w:numId w:val="8"/>
        </w:numPr>
        <w:autoSpaceDE w:val="0"/>
        <w:autoSpaceDN w:val="0"/>
        <w:adjustRightInd w:val="0"/>
      </w:pPr>
      <w:r w:rsidRPr="006D306F">
        <w:t xml:space="preserve">Occurs at least twice a year. </w:t>
      </w:r>
    </w:p>
    <w:p w:rsidR="00203F5C" w:rsidRPr="006D306F" w:rsidRDefault="00203F5C" w:rsidP="00AF40DB">
      <w:pPr>
        <w:widowControl w:val="0"/>
        <w:numPr>
          <w:ilvl w:val="2"/>
          <w:numId w:val="8"/>
        </w:numPr>
        <w:autoSpaceDE w:val="0"/>
        <w:autoSpaceDN w:val="0"/>
        <w:adjustRightInd w:val="0"/>
      </w:pPr>
      <w:r w:rsidRPr="006D306F">
        <w:t>Includes all cases not previously exchanged.</w:t>
      </w:r>
    </w:p>
    <w:p w:rsidR="00203F5C" w:rsidRPr="006D306F" w:rsidRDefault="00203F5C" w:rsidP="00AF40DB">
      <w:pPr>
        <w:widowControl w:val="0"/>
        <w:numPr>
          <w:ilvl w:val="2"/>
          <w:numId w:val="8"/>
        </w:numPr>
        <w:autoSpaceDE w:val="0"/>
        <w:autoSpaceDN w:val="0"/>
        <w:adjustRightInd w:val="0"/>
      </w:pPr>
      <w:r w:rsidRPr="006D306F">
        <w:t xml:space="preserve">Includes all </w:t>
      </w:r>
      <w:r w:rsidR="00BD3EC5">
        <w:t>CDC-required</w:t>
      </w:r>
      <w:r w:rsidRPr="006D306F">
        <w:t xml:space="preserve"> data items.</w:t>
      </w:r>
    </w:p>
    <w:p w:rsidR="00203F5C" w:rsidRPr="006D306F" w:rsidRDefault="00BD3EC5" w:rsidP="00AF40DB">
      <w:pPr>
        <w:widowControl w:val="0"/>
        <w:numPr>
          <w:ilvl w:val="2"/>
          <w:numId w:val="8"/>
        </w:numPr>
        <w:autoSpaceDE w:val="0"/>
        <w:autoSpaceDN w:val="0"/>
        <w:adjustRightInd w:val="0"/>
      </w:pPr>
      <w:r>
        <w:t>99% of data pass a CDC</w:t>
      </w:r>
      <w:r w:rsidR="00203F5C" w:rsidRPr="006D306F">
        <w:t>-prescribed set of standard edits.</w:t>
      </w:r>
    </w:p>
    <w:p w:rsidR="00203F5C" w:rsidRDefault="00203F5C" w:rsidP="00203F5C">
      <w:pPr>
        <w:pStyle w:val="ListParagraph"/>
      </w:pPr>
    </w:p>
    <w:p w:rsidR="003A3CED" w:rsidRDefault="003A3CED" w:rsidP="00203F5C">
      <w:pPr>
        <w:pStyle w:val="ListParagraph"/>
      </w:pPr>
    </w:p>
    <w:p w:rsidR="00ED1F44" w:rsidRDefault="005051D2" w:rsidP="00AF40DB">
      <w:pPr>
        <w:numPr>
          <w:ilvl w:val="0"/>
          <w:numId w:val="8"/>
        </w:numPr>
      </w:pPr>
      <w:r w:rsidRPr="002E6D33">
        <w:rPr>
          <w:b/>
          <w:bCs/>
        </w:rPr>
        <w:lastRenderedPageBreak/>
        <w:t>Linkage</w:t>
      </w:r>
    </w:p>
    <w:p w:rsidR="008A3F50" w:rsidRDefault="008A3F50" w:rsidP="00AF40DB">
      <w:pPr>
        <w:widowControl w:val="0"/>
        <w:numPr>
          <w:ilvl w:val="1"/>
          <w:numId w:val="8"/>
        </w:numPr>
        <w:tabs>
          <w:tab w:val="left" w:pos="-1440"/>
        </w:tabs>
        <w:autoSpaceDE w:val="0"/>
        <w:autoSpaceDN w:val="0"/>
        <w:adjustRightInd w:val="0"/>
      </w:pPr>
      <w:r>
        <w:t>The central cancer registry links with state death files at least every year and incorporates results on vital status and cause of death into the registry database.</w:t>
      </w:r>
    </w:p>
    <w:p w:rsidR="00897820" w:rsidRDefault="00897820" w:rsidP="00897820">
      <w:pPr>
        <w:widowControl w:val="0"/>
        <w:tabs>
          <w:tab w:val="left" w:pos="-1440"/>
        </w:tabs>
        <w:autoSpaceDE w:val="0"/>
        <w:autoSpaceDN w:val="0"/>
        <w:adjustRightInd w:val="0"/>
        <w:ind w:left="1170"/>
      </w:pPr>
    </w:p>
    <w:p w:rsidR="00203F5C" w:rsidRDefault="00203F5C" w:rsidP="00AF40DB">
      <w:pPr>
        <w:widowControl w:val="0"/>
        <w:numPr>
          <w:ilvl w:val="1"/>
          <w:numId w:val="8"/>
        </w:numPr>
        <w:tabs>
          <w:tab w:val="left" w:pos="-1440"/>
        </w:tabs>
        <w:autoSpaceDE w:val="0"/>
        <w:autoSpaceDN w:val="0"/>
        <w:adjustRightInd w:val="0"/>
      </w:pPr>
      <w:r w:rsidRPr="00083256">
        <w:t xml:space="preserve">The central cancer registry </w:t>
      </w:r>
      <w:r w:rsidR="00A36700">
        <w:t xml:space="preserve">should </w:t>
      </w:r>
      <w:r w:rsidRPr="00083256">
        <w:t>link with the National Death Index at least every other year and incorporates results</w:t>
      </w:r>
      <w:r w:rsidR="00201966">
        <w:t xml:space="preserve"> on vital status and cause of death</w:t>
      </w:r>
      <w:r w:rsidRPr="00083256">
        <w:t xml:space="preserve"> into the registry database.</w:t>
      </w:r>
    </w:p>
    <w:p w:rsidR="00897820" w:rsidRDefault="00897820" w:rsidP="00897820">
      <w:pPr>
        <w:widowControl w:val="0"/>
        <w:tabs>
          <w:tab w:val="left" w:pos="-1440"/>
        </w:tabs>
        <w:autoSpaceDE w:val="0"/>
        <w:autoSpaceDN w:val="0"/>
        <w:adjustRightInd w:val="0"/>
      </w:pPr>
    </w:p>
    <w:p w:rsidR="00897820" w:rsidRDefault="005051D2" w:rsidP="00AF40DB">
      <w:pPr>
        <w:widowControl w:val="0"/>
        <w:numPr>
          <w:ilvl w:val="1"/>
          <w:numId w:val="8"/>
        </w:numPr>
        <w:tabs>
          <w:tab w:val="left" w:pos="-1440"/>
        </w:tabs>
        <w:autoSpaceDE w:val="0"/>
        <w:autoSpaceDN w:val="0"/>
        <w:adjustRightInd w:val="0"/>
      </w:pPr>
      <w:r>
        <w:t>The central cancer registry links with the state breast and cervical cancer early detection program</w:t>
      </w:r>
      <w:r w:rsidR="00C47404">
        <w:t xml:space="preserve"> and the colorectal cancer program (if funded in the state)</w:t>
      </w:r>
      <w:r>
        <w:t xml:space="preserve"> </w:t>
      </w:r>
      <w:r w:rsidR="008A3F50">
        <w:t>at least once a year</w:t>
      </w:r>
      <w:r w:rsidR="000872BB">
        <w:t xml:space="preserve"> to identify potentially missed cases, reconcile differences between the two systems, and update appropriate data field to capture post-linkage information.</w:t>
      </w:r>
      <w:r w:rsidR="003861FE" w:rsidRPr="003861FE">
        <w:rPr>
          <w:bCs/>
          <w:iCs/>
        </w:rPr>
        <w:t xml:space="preserve"> </w:t>
      </w:r>
    </w:p>
    <w:p w:rsidR="00897820" w:rsidRDefault="00897820" w:rsidP="00897820">
      <w:pPr>
        <w:widowControl w:val="0"/>
        <w:tabs>
          <w:tab w:val="left" w:pos="-1440"/>
        </w:tabs>
        <w:autoSpaceDE w:val="0"/>
        <w:autoSpaceDN w:val="0"/>
        <w:adjustRightInd w:val="0"/>
      </w:pPr>
    </w:p>
    <w:p w:rsidR="00897820" w:rsidRDefault="005051D2" w:rsidP="00AF40DB">
      <w:pPr>
        <w:widowControl w:val="0"/>
        <w:numPr>
          <w:ilvl w:val="1"/>
          <w:numId w:val="8"/>
        </w:numPr>
        <w:tabs>
          <w:tab w:val="left" w:pos="-1440"/>
        </w:tabs>
        <w:autoSpaceDE w:val="0"/>
        <w:autoSpaceDN w:val="0"/>
        <w:adjustRightInd w:val="0"/>
      </w:pPr>
      <w:r>
        <w:t xml:space="preserve">The central cancer registry links </w:t>
      </w:r>
      <w:r w:rsidR="004D66A7">
        <w:t>with IHS at least every five years.</w:t>
      </w:r>
      <w:r w:rsidR="005A7BC4">
        <w:t xml:space="preserve">  </w:t>
      </w:r>
      <w:r w:rsidR="004D66A7">
        <w:t xml:space="preserve">Central cancer registries with IHS Contract Health Service Delivery Area counties link their records with patient registration records from IHS annually.  </w:t>
      </w:r>
    </w:p>
    <w:p w:rsidR="00897820" w:rsidRDefault="00897820" w:rsidP="00897820">
      <w:pPr>
        <w:pStyle w:val="ListParagraph"/>
      </w:pPr>
    </w:p>
    <w:p w:rsidR="00203F5C" w:rsidRPr="00083256" w:rsidRDefault="00203F5C" w:rsidP="00AF40DB">
      <w:pPr>
        <w:widowControl w:val="0"/>
        <w:numPr>
          <w:ilvl w:val="1"/>
          <w:numId w:val="8"/>
        </w:numPr>
        <w:tabs>
          <w:tab w:val="left" w:pos="-1440"/>
        </w:tabs>
        <w:autoSpaceDE w:val="0"/>
        <w:autoSpaceDN w:val="0"/>
        <w:adjustRightInd w:val="0"/>
      </w:pPr>
      <w:r w:rsidRPr="00083256">
        <w:t xml:space="preserve">The central cancer registry </w:t>
      </w:r>
      <w:r w:rsidR="00A36700">
        <w:t>utilize</w:t>
      </w:r>
      <w:r w:rsidR="00662440">
        <w:t>s</w:t>
      </w:r>
      <w:r w:rsidR="00A36700">
        <w:t xml:space="preserve"> linkages to address gaps</w:t>
      </w:r>
      <w:r w:rsidR="003A3CED">
        <w:t xml:space="preserve"> identified</w:t>
      </w:r>
      <w:r w:rsidR="00A36700">
        <w:t xml:space="preserve"> in data quality and completeness</w:t>
      </w:r>
      <w:r w:rsidR="003A3CED">
        <w:t xml:space="preserve"> or to improve the utility of the data</w:t>
      </w:r>
      <w:r w:rsidR="00A36700">
        <w:t>.  Potential sources of info</w:t>
      </w:r>
      <w:r w:rsidR="003A3CED">
        <w:t>rmation include the following:</w:t>
      </w:r>
    </w:p>
    <w:p w:rsidR="00203F5C" w:rsidRPr="00083256" w:rsidRDefault="00203F5C" w:rsidP="00AF40DB">
      <w:pPr>
        <w:widowControl w:val="0"/>
        <w:numPr>
          <w:ilvl w:val="2"/>
          <w:numId w:val="8"/>
        </w:numPr>
        <w:tabs>
          <w:tab w:val="left" w:pos="-1440"/>
        </w:tabs>
        <w:autoSpaceDE w:val="0"/>
        <w:autoSpaceDN w:val="0"/>
        <w:adjustRightInd w:val="0"/>
      </w:pPr>
      <w:r w:rsidRPr="00083256">
        <w:t xml:space="preserve">Statewide electronic health files </w:t>
      </w:r>
      <w:r w:rsidR="00A36700">
        <w:t>for case-finding and completeness of required data items</w:t>
      </w:r>
    </w:p>
    <w:p w:rsidR="00203F5C" w:rsidRPr="00083256" w:rsidRDefault="00203F5C" w:rsidP="00AF40DB">
      <w:pPr>
        <w:widowControl w:val="0"/>
        <w:numPr>
          <w:ilvl w:val="2"/>
          <w:numId w:val="8"/>
        </w:numPr>
        <w:tabs>
          <w:tab w:val="left" w:pos="-1440"/>
        </w:tabs>
        <w:autoSpaceDE w:val="0"/>
        <w:autoSpaceDN w:val="0"/>
        <w:adjustRightInd w:val="0"/>
      </w:pPr>
      <w:r w:rsidRPr="00083256">
        <w:t>Claims data</w:t>
      </w:r>
      <w:r w:rsidR="00A36700">
        <w:t xml:space="preserve"> for case-finding and completeness of required data items</w:t>
      </w:r>
      <w:r w:rsidRPr="00083256">
        <w:t xml:space="preserve"> </w:t>
      </w:r>
    </w:p>
    <w:p w:rsidR="00203F5C" w:rsidRPr="00083256" w:rsidRDefault="00203F5C" w:rsidP="00AF40DB">
      <w:pPr>
        <w:widowControl w:val="0"/>
        <w:numPr>
          <w:ilvl w:val="2"/>
          <w:numId w:val="8"/>
        </w:numPr>
        <w:tabs>
          <w:tab w:val="left" w:pos="-1440"/>
        </w:tabs>
        <w:autoSpaceDE w:val="0"/>
        <w:autoSpaceDN w:val="0"/>
        <w:adjustRightInd w:val="0"/>
      </w:pPr>
      <w:r w:rsidRPr="00083256">
        <w:t>Census data (or similar) for socio-demographic variables</w:t>
      </w:r>
    </w:p>
    <w:p w:rsidR="00203F5C" w:rsidRPr="00083256" w:rsidRDefault="00203F5C" w:rsidP="00AF40DB">
      <w:pPr>
        <w:widowControl w:val="0"/>
        <w:numPr>
          <w:ilvl w:val="2"/>
          <w:numId w:val="8"/>
        </w:numPr>
        <w:tabs>
          <w:tab w:val="left" w:pos="-1440"/>
        </w:tabs>
        <w:autoSpaceDE w:val="0"/>
        <w:autoSpaceDN w:val="0"/>
        <w:adjustRightInd w:val="0"/>
      </w:pPr>
      <w:r w:rsidRPr="00083256">
        <w:t>Birth records</w:t>
      </w:r>
      <w:r w:rsidR="00A36700">
        <w:t xml:space="preserve"> for demographic information</w:t>
      </w:r>
    </w:p>
    <w:p w:rsidR="00203F5C" w:rsidRDefault="00203F5C" w:rsidP="00AF40DB">
      <w:pPr>
        <w:widowControl w:val="0"/>
        <w:numPr>
          <w:ilvl w:val="2"/>
          <w:numId w:val="8"/>
        </w:numPr>
        <w:tabs>
          <w:tab w:val="left" w:pos="-1440"/>
        </w:tabs>
        <w:autoSpaceDE w:val="0"/>
        <w:autoSpaceDN w:val="0"/>
        <w:adjustRightInd w:val="0"/>
      </w:pPr>
      <w:r w:rsidRPr="00083256">
        <w:t>Department of Motor Vehicle records</w:t>
      </w:r>
      <w:r w:rsidR="00A36700">
        <w:t xml:space="preserve"> for demographic information</w:t>
      </w:r>
    </w:p>
    <w:p w:rsidR="00A36700" w:rsidRPr="00083256" w:rsidRDefault="00A36700" w:rsidP="00AF40DB">
      <w:pPr>
        <w:widowControl w:val="0"/>
        <w:numPr>
          <w:ilvl w:val="2"/>
          <w:numId w:val="8"/>
        </w:numPr>
        <w:tabs>
          <w:tab w:val="left" w:pos="-1440"/>
        </w:tabs>
        <w:autoSpaceDE w:val="0"/>
        <w:autoSpaceDN w:val="0"/>
        <w:adjustRightInd w:val="0"/>
      </w:pPr>
      <w:r>
        <w:t>Voter registration files for demographic information</w:t>
      </w:r>
    </w:p>
    <w:p w:rsidR="00203F5C" w:rsidRDefault="00203F5C" w:rsidP="00203F5C">
      <w:pPr>
        <w:widowControl w:val="0"/>
        <w:autoSpaceDE w:val="0"/>
        <w:autoSpaceDN w:val="0"/>
        <w:adjustRightInd w:val="0"/>
        <w:ind w:left="1080"/>
      </w:pPr>
    </w:p>
    <w:p w:rsidR="00FA6C26" w:rsidRPr="006D306F" w:rsidRDefault="00FA6C26" w:rsidP="00AF40DB">
      <w:pPr>
        <w:keepNext/>
        <w:keepLines/>
        <w:widowControl w:val="0"/>
        <w:numPr>
          <w:ilvl w:val="0"/>
          <w:numId w:val="8"/>
        </w:numPr>
        <w:autoSpaceDE w:val="0"/>
        <w:autoSpaceDN w:val="0"/>
        <w:adjustRightInd w:val="0"/>
        <w:rPr>
          <w:b/>
        </w:rPr>
      </w:pPr>
      <w:r w:rsidRPr="006D306F">
        <w:rPr>
          <w:b/>
        </w:rPr>
        <w:t>Data Quality Assurance</w:t>
      </w:r>
      <w:r w:rsidR="00383F13">
        <w:rPr>
          <w:b/>
        </w:rPr>
        <w:t xml:space="preserve"> and Education</w:t>
      </w:r>
    </w:p>
    <w:p w:rsidR="00FA6C26" w:rsidRPr="006D306F" w:rsidRDefault="00FA6C26" w:rsidP="00AF40DB">
      <w:pPr>
        <w:keepNext/>
        <w:keepLines/>
        <w:widowControl w:val="0"/>
        <w:numPr>
          <w:ilvl w:val="1"/>
          <w:numId w:val="8"/>
        </w:numPr>
        <w:autoSpaceDE w:val="0"/>
        <w:autoSpaceDN w:val="0"/>
        <w:adjustRightInd w:val="0"/>
      </w:pPr>
      <w:r w:rsidRPr="006D306F">
        <w:t xml:space="preserve">The central cancer registry has an overall program of quality assurance that is defined in the registry operations manual. The quality assurance program consists of, but is not limited to: </w:t>
      </w:r>
    </w:p>
    <w:p w:rsidR="00FA6C26" w:rsidRPr="006D306F" w:rsidRDefault="00FA6C26" w:rsidP="00AF40DB">
      <w:pPr>
        <w:keepNext/>
        <w:keepLines/>
        <w:widowControl w:val="0"/>
        <w:numPr>
          <w:ilvl w:val="2"/>
          <w:numId w:val="8"/>
        </w:numPr>
        <w:tabs>
          <w:tab w:val="left" w:pos="1800"/>
        </w:tabs>
        <w:autoSpaceDE w:val="0"/>
        <w:autoSpaceDN w:val="0"/>
        <w:adjustRightInd w:val="0"/>
      </w:pPr>
      <w:r w:rsidRPr="006D306F">
        <w:t>A designated certified tumor registrar (CTR) responsible for the quality assurance program.</w:t>
      </w:r>
    </w:p>
    <w:p w:rsidR="00FA6C26" w:rsidRPr="00D96413" w:rsidRDefault="00383F13" w:rsidP="00AF40DB">
      <w:pPr>
        <w:widowControl w:val="0"/>
        <w:numPr>
          <w:ilvl w:val="2"/>
          <w:numId w:val="8"/>
        </w:numPr>
        <w:tabs>
          <w:tab w:val="left" w:pos="1800"/>
        </w:tabs>
        <w:autoSpaceDE w:val="0"/>
        <w:autoSpaceDN w:val="0"/>
        <w:adjustRightInd w:val="0"/>
      </w:pPr>
      <w:r w:rsidRPr="00D96413">
        <w:t>Quality assurance activities should be conducted by qualified experienced CTR(s) or CTR-eligible staff</w:t>
      </w:r>
      <w:r w:rsidR="00FA6C26" w:rsidRPr="00D96413">
        <w:t>.</w:t>
      </w:r>
    </w:p>
    <w:p w:rsidR="00FA6C26" w:rsidRPr="006D306F" w:rsidRDefault="00FA6C26" w:rsidP="00AF40DB">
      <w:pPr>
        <w:widowControl w:val="0"/>
        <w:numPr>
          <w:ilvl w:val="2"/>
          <w:numId w:val="8"/>
        </w:numPr>
        <w:tabs>
          <w:tab w:val="left" w:pos="1800"/>
        </w:tabs>
        <w:autoSpaceDE w:val="0"/>
        <w:autoSpaceDN w:val="0"/>
        <w:adjustRightInd w:val="0"/>
      </w:pPr>
      <w:r w:rsidRPr="006D306F">
        <w:t xml:space="preserve">At least once every 5 years, </w:t>
      </w:r>
      <w:r w:rsidR="00F025C7" w:rsidRPr="006D306F">
        <w:t xml:space="preserve">a combination of </w:t>
      </w:r>
      <w:r w:rsidRPr="006D306F">
        <w:t xml:space="preserve">case-finding and re-abstracting audits from a sampling of source documents are conducted for each hospital-based reporting facility, and may include external audits </w:t>
      </w:r>
      <w:r w:rsidR="001116FE">
        <w:t xml:space="preserve">by </w:t>
      </w:r>
      <w:r w:rsidR="00947F8A">
        <w:t>CDC</w:t>
      </w:r>
      <w:r w:rsidR="00BD3EC5">
        <w:t xml:space="preserve"> or SEER</w:t>
      </w:r>
      <w:r w:rsidR="001116FE">
        <w:t>.</w:t>
      </w:r>
    </w:p>
    <w:p w:rsidR="00FA6C26" w:rsidRPr="006D306F" w:rsidRDefault="00FA6C26" w:rsidP="00AF40DB">
      <w:pPr>
        <w:widowControl w:val="0"/>
        <w:numPr>
          <w:ilvl w:val="2"/>
          <w:numId w:val="8"/>
        </w:numPr>
        <w:tabs>
          <w:tab w:val="left" w:pos="1800"/>
        </w:tabs>
        <w:autoSpaceDE w:val="0"/>
        <w:autoSpaceDN w:val="0"/>
        <w:adjustRightInd w:val="0"/>
      </w:pPr>
      <w:r w:rsidRPr="006D306F">
        <w:t xml:space="preserve">Data consolidation procedures are performed according to </w:t>
      </w:r>
      <w:r w:rsidR="005A7BC4">
        <w:t>the central cancer registry protocol and</w:t>
      </w:r>
      <w:r w:rsidR="005A7BC4" w:rsidRPr="006D306F">
        <w:t xml:space="preserve"> </w:t>
      </w:r>
      <w:r w:rsidR="00383F13">
        <w:t xml:space="preserve">nationally </w:t>
      </w:r>
      <w:r w:rsidRPr="006D306F">
        <w:t>accepted</w:t>
      </w:r>
      <w:r w:rsidR="00383F13">
        <w:t xml:space="preserve"> abstracting and coding standards</w:t>
      </w:r>
      <w:r w:rsidR="001116FE">
        <w:t xml:space="preserve"> as available</w:t>
      </w:r>
      <w:r w:rsidRPr="006D306F">
        <w:t>.</w:t>
      </w:r>
    </w:p>
    <w:p w:rsidR="00422CEF" w:rsidRPr="006D306F" w:rsidRDefault="00422CEF" w:rsidP="00AF40DB">
      <w:pPr>
        <w:widowControl w:val="0"/>
        <w:numPr>
          <w:ilvl w:val="2"/>
          <w:numId w:val="8"/>
        </w:numPr>
        <w:tabs>
          <w:tab w:val="left" w:pos="1800"/>
        </w:tabs>
        <w:autoSpaceDE w:val="0"/>
        <w:autoSpaceDN w:val="0"/>
        <w:adjustRightInd w:val="0"/>
      </w:pPr>
      <w:r w:rsidRPr="006D306F">
        <w:t>Audits of a routine sample of consolidated cases at the central cancer registry.</w:t>
      </w:r>
    </w:p>
    <w:p w:rsidR="00FA6C26" w:rsidRPr="006D306F" w:rsidRDefault="009E443F" w:rsidP="00AF40DB">
      <w:pPr>
        <w:widowControl w:val="0"/>
        <w:numPr>
          <w:ilvl w:val="2"/>
          <w:numId w:val="8"/>
        </w:numPr>
        <w:tabs>
          <w:tab w:val="left" w:pos="1800"/>
        </w:tabs>
        <w:autoSpaceDE w:val="0"/>
        <w:autoSpaceDN w:val="0"/>
        <w:adjustRightInd w:val="0"/>
      </w:pPr>
      <w:r>
        <w:t xml:space="preserve">Feedback is provided </w:t>
      </w:r>
      <w:r w:rsidR="00FA6C26" w:rsidRPr="006D306F">
        <w:t xml:space="preserve">to reporting </w:t>
      </w:r>
      <w:r w:rsidR="00422CEF" w:rsidRPr="006D306F">
        <w:t xml:space="preserve">sources </w:t>
      </w:r>
      <w:r w:rsidR="00FA6C26" w:rsidRPr="006D306F">
        <w:t xml:space="preserve">on </w:t>
      </w:r>
      <w:r w:rsidR="00422CEF" w:rsidRPr="006D306F">
        <w:t xml:space="preserve">data </w:t>
      </w:r>
      <w:r w:rsidR="00FA6C26" w:rsidRPr="006D306F">
        <w:t>quality</w:t>
      </w:r>
      <w:r w:rsidR="00422CEF" w:rsidRPr="006D306F">
        <w:t xml:space="preserve"> and completeness</w:t>
      </w:r>
      <w:r w:rsidR="00FA6C26" w:rsidRPr="006D306F">
        <w:t xml:space="preserve">. </w:t>
      </w:r>
    </w:p>
    <w:p w:rsidR="00FA6C26" w:rsidRDefault="00FA6C26" w:rsidP="00FA6C26">
      <w:pPr>
        <w:tabs>
          <w:tab w:val="left" w:pos="1440"/>
          <w:tab w:val="left" w:pos="1800"/>
        </w:tabs>
        <w:ind w:left="1080"/>
      </w:pPr>
    </w:p>
    <w:p w:rsidR="003A3CED" w:rsidRPr="006D306F" w:rsidRDefault="003A3CED" w:rsidP="00FA6C26">
      <w:pPr>
        <w:tabs>
          <w:tab w:val="left" w:pos="1440"/>
          <w:tab w:val="left" w:pos="1800"/>
        </w:tabs>
        <w:ind w:left="1080"/>
      </w:pPr>
    </w:p>
    <w:p w:rsidR="009E443F" w:rsidRDefault="00FA6C26" w:rsidP="00AF40DB">
      <w:pPr>
        <w:widowControl w:val="0"/>
        <w:numPr>
          <w:ilvl w:val="1"/>
          <w:numId w:val="8"/>
        </w:numPr>
        <w:tabs>
          <w:tab w:val="left" w:pos="1440"/>
          <w:tab w:val="left" w:pos="1800"/>
        </w:tabs>
        <w:autoSpaceDE w:val="0"/>
        <w:autoSpaceDN w:val="0"/>
        <w:adjustRightInd w:val="0"/>
      </w:pPr>
      <w:r w:rsidRPr="006D306F">
        <w:lastRenderedPageBreak/>
        <w:t>The central cancer registry has a</w:t>
      </w:r>
      <w:r w:rsidR="009E443F">
        <w:t xml:space="preserve">n overall education program that is defined in the registry operations manual. </w:t>
      </w:r>
      <w:r w:rsidR="0033132A">
        <w:t>Ideally, t</w:t>
      </w:r>
      <w:r w:rsidR="009E443F">
        <w:t>he education program consists of, but is not limited to:</w:t>
      </w:r>
    </w:p>
    <w:p w:rsidR="003861FE" w:rsidRDefault="003861FE" w:rsidP="00AF40DB">
      <w:pPr>
        <w:pStyle w:val="ListParagraph"/>
        <w:widowControl w:val="0"/>
        <w:numPr>
          <w:ilvl w:val="2"/>
          <w:numId w:val="8"/>
        </w:numPr>
        <w:tabs>
          <w:tab w:val="left" w:pos="1800"/>
        </w:tabs>
        <w:autoSpaceDE w:val="0"/>
        <w:autoSpaceDN w:val="0"/>
        <w:adjustRightInd w:val="0"/>
      </w:pPr>
      <w:r>
        <w:t xml:space="preserve">Training for </w:t>
      </w:r>
      <w:r w:rsidRPr="006D306F">
        <w:t>central cancer registry staff and reporting sources to assure high quality data.</w:t>
      </w:r>
    </w:p>
    <w:p w:rsidR="003861FE" w:rsidRPr="003861FE" w:rsidRDefault="009E443F" w:rsidP="00AF40DB">
      <w:pPr>
        <w:pStyle w:val="ListParagraph"/>
        <w:widowControl w:val="0"/>
        <w:numPr>
          <w:ilvl w:val="2"/>
          <w:numId w:val="8"/>
        </w:numPr>
        <w:tabs>
          <w:tab w:val="left" w:pos="1800"/>
        </w:tabs>
        <w:autoSpaceDE w:val="0"/>
        <w:autoSpaceDN w:val="0"/>
        <w:adjustRightInd w:val="0"/>
      </w:pPr>
      <w:r>
        <w:t>A</w:t>
      </w:r>
      <w:r w:rsidR="00FA6C26" w:rsidRPr="006D306F">
        <w:t xml:space="preserve"> designated education/training coordinator who is a </w:t>
      </w:r>
      <w:r w:rsidR="003861FE">
        <w:t xml:space="preserve">qualified, experienced </w:t>
      </w:r>
      <w:r w:rsidR="00FA6C26" w:rsidRPr="006D306F">
        <w:t>CTR</w:t>
      </w:r>
      <w:r>
        <w:t>.</w:t>
      </w:r>
      <w:r w:rsidR="003861FE" w:rsidRPr="003861FE">
        <w:rPr>
          <w:bCs/>
          <w:iCs/>
        </w:rPr>
        <w:t xml:space="preserve"> </w:t>
      </w:r>
    </w:p>
    <w:p w:rsidR="00D96413" w:rsidRPr="000872BB" w:rsidRDefault="003861FE" w:rsidP="00AF40DB">
      <w:pPr>
        <w:pStyle w:val="ListParagraph"/>
        <w:widowControl w:val="0"/>
        <w:numPr>
          <w:ilvl w:val="2"/>
          <w:numId w:val="8"/>
        </w:numPr>
        <w:tabs>
          <w:tab w:val="left" w:pos="1800"/>
        </w:tabs>
        <w:autoSpaceDE w:val="0"/>
        <w:autoSpaceDN w:val="0"/>
        <w:adjustRightInd w:val="0"/>
      </w:pPr>
      <w:r>
        <w:rPr>
          <w:bCs/>
          <w:iCs/>
        </w:rPr>
        <w:t xml:space="preserve">Where feasible, </w:t>
      </w:r>
      <w:r w:rsidR="000872BB">
        <w:rPr>
          <w:bCs/>
          <w:iCs/>
        </w:rPr>
        <w:t xml:space="preserve">the education/training coordinator </w:t>
      </w:r>
      <w:r w:rsidR="00F27BE3">
        <w:rPr>
          <w:bCs/>
          <w:iCs/>
        </w:rPr>
        <w:t>may</w:t>
      </w:r>
      <w:r>
        <w:rPr>
          <w:bCs/>
          <w:iCs/>
        </w:rPr>
        <w:t xml:space="preserve"> be </w:t>
      </w:r>
      <w:r w:rsidR="0033132A">
        <w:rPr>
          <w:bCs/>
          <w:iCs/>
        </w:rPr>
        <w:t>shared between CDC-funded programs</w:t>
      </w:r>
      <w:r w:rsidR="000872BB">
        <w:rPr>
          <w:bCs/>
          <w:iCs/>
        </w:rPr>
        <w:t>, such that</w:t>
      </w:r>
      <w:r>
        <w:rPr>
          <w:bCs/>
          <w:iCs/>
        </w:rPr>
        <w:t xml:space="preserve"> CDC-NPCR applicants </w:t>
      </w:r>
      <w:r w:rsidR="000872BB">
        <w:rPr>
          <w:bCs/>
          <w:iCs/>
        </w:rPr>
        <w:t xml:space="preserve">collaborate to identify </w:t>
      </w:r>
      <w:r>
        <w:rPr>
          <w:bCs/>
          <w:iCs/>
        </w:rPr>
        <w:t xml:space="preserve">one applicant </w:t>
      </w:r>
      <w:r w:rsidR="00463D0B">
        <w:rPr>
          <w:bCs/>
          <w:iCs/>
        </w:rPr>
        <w:t>to provide</w:t>
      </w:r>
      <w:r>
        <w:rPr>
          <w:bCs/>
          <w:iCs/>
        </w:rPr>
        <w:t xml:space="preserve"> the education/training coordinator for activities to be carried out </w:t>
      </w:r>
      <w:r w:rsidR="0033132A">
        <w:rPr>
          <w:bCs/>
          <w:iCs/>
        </w:rPr>
        <w:t>among the states</w:t>
      </w:r>
      <w:r>
        <w:rPr>
          <w:bCs/>
          <w:iCs/>
        </w:rPr>
        <w:t>.</w:t>
      </w:r>
    </w:p>
    <w:p w:rsidR="000872BB" w:rsidRDefault="000872BB" w:rsidP="000872BB">
      <w:pPr>
        <w:pStyle w:val="ListParagraph"/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ind w:left="1440"/>
      </w:pPr>
    </w:p>
    <w:p w:rsidR="00FA6C26" w:rsidRPr="006D306F" w:rsidRDefault="00FA6C26" w:rsidP="00AF40DB">
      <w:pPr>
        <w:keepNext/>
        <w:keepLines/>
        <w:widowControl w:val="0"/>
        <w:numPr>
          <w:ilvl w:val="0"/>
          <w:numId w:val="8"/>
        </w:numPr>
        <w:autoSpaceDE w:val="0"/>
        <w:autoSpaceDN w:val="0"/>
        <w:adjustRightInd w:val="0"/>
      </w:pPr>
      <w:r w:rsidRPr="001F3D3E">
        <w:rPr>
          <w:b/>
        </w:rPr>
        <w:t>Data Use</w:t>
      </w:r>
      <w:r w:rsidR="00BB5294" w:rsidRPr="001F3D3E">
        <w:rPr>
          <w:b/>
        </w:rPr>
        <w:t xml:space="preserve"> and Data Monitoring</w:t>
      </w:r>
    </w:p>
    <w:p w:rsidR="00FA6C26" w:rsidRPr="006D306F" w:rsidRDefault="00FA6C26" w:rsidP="00AF40DB">
      <w:pPr>
        <w:keepNext/>
        <w:keepLines/>
        <w:widowControl w:val="0"/>
        <w:numPr>
          <w:ilvl w:val="1"/>
          <w:numId w:val="8"/>
        </w:numPr>
        <w:autoSpaceDE w:val="0"/>
        <w:autoSpaceDN w:val="0"/>
        <w:adjustRightInd w:val="0"/>
      </w:pPr>
      <w:r w:rsidRPr="006D306F">
        <w:t xml:space="preserve">Within 12 months of the end of the diagnosis year with data that are 90% complete, the central cancer registry produces preliminary pre-calculated data tables in an electronic data file or report of incidence rates, counts or proportions for the diagnosis year by Surveillance Epidemiology and End Results (SEER) site groups </w:t>
      </w:r>
      <w:r w:rsidR="001116FE">
        <w:t>to</w:t>
      </w:r>
      <w:r w:rsidRPr="006D306F">
        <w:t xml:space="preserve"> monitor the top cancer sites within the state/territory.</w:t>
      </w:r>
    </w:p>
    <w:p w:rsidR="00FA6C26" w:rsidRPr="006D306F" w:rsidRDefault="00FA6C26" w:rsidP="00FA6C26">
      <w:pPr>
        <w:keepNext/>
        <w:keepLines/>
        <w:tabs>
          <w:tab w:val="left" w:pos="1080"/>
        </w:tabs>
        <w:ind w:left="720"/>
      </w:pPr>
    </w:p>
    <w:p w:rsidR="0012100B" w:rsidRPr="006D306F" w:rsidRDefault="00FA6C26" w:rsidP="00AF40DB">
      <w:pPr>
        <w:keepNext/>
        <w:keepLines/>
        <w:widowControl w:val="0"/>
        <w:numPr>
          <w:ilvl w:val="1"/>
          <w:numId w:val="8"/>
        </w:numPr>
        <w:autoSpaceDE w:val="0"/>
        <w:autoSpaceDN w:val="0"/>
        <w:adjustRightInd w:val="0"/>
      </w:pPr>
      <w:r w:rsidRPr="006D306F">
        <w:t>Within 24 months of the end of the diagnosis year with data that are 95% complete, the central cancer registry</w:t>
      </w:r>
      <w:r w:rsidR="00B51F94" w:rsidRPr="006D306F">
        <w:t>,</w:t>
      </w:r>
      <w:r w:rsidR="00F67633" w:rsidRPr="006D306F">
        <w:t xml:space="preserve"> in collaboration with local cancer control programs</w:t>
      </w:r>
      <w:r w:rsidR="00B51F94" w:rsidRPr="006D306F">
        <w:t>,</w:t>
      </w:r>
      <w:r w:rsidRPr="006D306F">
        <w:t xml:space="preserve"> produces electronic </w:t>
      </w:r>
      <w:r w:rsidR="00B51F94" w:rsidRPr="006D306F">
        <w:t>reports to include the following:</w:t>
      </w:r>
      <w:r w:rsidRPr="006D306F">
        <w:t xml:space="preserve">  </w:t>
      </w:r>
    </w:p>
    <w:p w:rsidR="006D306F" w:rsidRPr="006D306F" w:rsidRDefault="001D466B" w:rsidP="00AF40DB">
      <w:pPr>
        <w:keepNext/>
        <w:keepLines/>
        <w:widowControl w:val="0"/>
        <w:numPr>
          <w:ilvl w:val="2"/>
          <w:numId w:val="8"/>
        </w:numPr>
        <w:autoSpaceDE w:val="0"/>
        <w:autoSpaceDN w:val="0"/>
        <w:adjustRightInd w:val="0"/>
      </w:pPr>
      <w:r>
        <w:t>Reports on a</w:t>
      </w:r>
      <w:r w:rsidR="00FA6C26" w:rsidRPr="006D306F">
        <w:t>ge-adjusted incidence rates</w:t>
      </w:r>
      <w:r>
        <w:t>, stage at diagnosis,</w:t>
      </w:r>
      <w:r w:rsidR="00FA6C26" w:rsidRPr="006D306F">
        <w:t xml:space="preserve"> and age-adjusted mortality rates for the diagnosis year </w:t>
      </w:r>
      <w:r w:rsidR="00D96413">
        <w:t>using</w:t>
      </w:r>
      <w:r w:rsidR="00FA6C26" w:rsidRPr="006D306F">
        <w:t xml:space="preserve"> SEER site groups and, where applicable, </w:t>
      </w:r>
      <w:r w:rsidR="00D96413">
        <w:t xml:space="preserve">stratifying </w:t>
      </w:r>
      <w:r w:rsidR="00FA6C26" w:rsidRPr="006D306F">
        <w:t>by sex, race, ethnicity</w:t>
      </w:r>
      <w:r w:rsidR="007971B0">
        <w:t>,</w:t>
      </w:r>
      <w:r w:rsidR="00DD365A">
        <w:t xml:space="preserve"> and ge</w:t>
      </w:r>
      <w:r>
        <w:t xml:space="preserve">ographic </w:t>
      </w:r>
      <w:r w:rsidR="007971B0">
        <w:t>area</w:t>
      </w:r>
      <w:r w:rsidR="00FA6C26" w:rsidRPr="006D306F">
        <w:t>.</w:t>
      </w:r>
      <w:r w:rsidR="0012100B" w:rsidRPr="006D306F">
        <w:t xml:space="preserve"> </w:t>
      </w:r>
    </w:p>
    <w:p w:rsidR="00FA6C26" w:rsidRPr="006D306F" w:rsidRDefault="001D466B" w:rsidP="00AF40DB">
      <w:pPr>
        <w:keepNext/>
        <w:keepLines/>
        <w:widowControl w:val="0"/>
        <w:numPr>
          <w:ilvl w:val="2"/>
          <w:numId w:val="8"/>
        </w:numPr>
        <w:autoSpaceDE w:val="0"/>
        <w:autoSpaceDN w:val="0"/>
        <w:adjustRightInd w:val="0"/>
      </w:pPr>
      <w:r>
        <w:t>Biennial reports providing data</w:t>
      </w:r>
      <w:r w:rsidR="007971B0">
        <w:t xml:space="preserve"> </w:t>
      </w:r>
      <w:r w:rsidR="0012100B" w:rsidRPr="006D306F">
        <w:t xml:space="preserve">on stage and </w:t>
      </w:r>
      <w:r>
        <w:t xml:space="preserve">incidence by </w:t>
      </w:r>
      <w:r w:rsidR="0012100B" w:rsidRPr="006D306F">
        <w:t>geographic area with an emphasis on screening-amenable cancers and cancers associated with modifiable risk factors (e.g., tobacco, obesity</w:t>
      </w:r>
      <w:r w:rsidR="00F67633" w:rsidRPr="006D306F">
        <w:t>, HPV</w:t>
      </w:r>
      <w:r w:rsidR="0012100B" w:rsidRPr="006D306F">
        <w:t>).</w:t>
      </w:r>
    </w:p>
    <w:p w:rsidR="00FA6C26" w:rsidRPr="006D306F" w:rsidRDefault="00FA6C26" w:rsidP="00FA6C26">
      <w:pPr>
        <w:tabs>
          <w:tab w:val="left" w:pos="1080"/>
        </w:tabs>
      </w:pPr>
    </w:p>
    <w:p w:rsidR="00831ED1" w:rsidRPr="006D306F" w:rsidRDefault="00831ED1" w:rsidP="00AF40DB">
      <w:pPr>
        <w:widowControl w:val="0"/>
        <w:numPr>
          <w:ilvl w:val="1"/>
          <w:numId w:val="8"/>
        </w:numPr>
        <w:autoSpaceDE w:val="0"/>
        <w:autoSpaceDN w:val="0"/>
        <w:adjustRightInd w:val="0"/>
      </w:pPr>
      <w:r w:rsidRPr="006D306F">
        <w:t xml:space="preserve">The central cancer registry ensures annual use of cancer registry data  for public health and surveillance research purposes in at least five of the following ways:  </w:t>
      </w:r>
    </w:p>
    <w:p w:rsidR="00831ED1" w:rsidRPr="001F3D3E" w:rsidRDefault="00831ED1" w:rsidP="00AF40DB">
      <w:pPr>
        <w:widowControl w:val="0"/>
        <w:numPr>
          <w:ilvl w:val="2"/>
          <w:numId w:val="8"/>
        </w:numPr>
        <w:autoSpaceDE w:val="0"/>
        <w:autoSpaceDN w:val="0"/>
        <w:adjustRightInd w:val="0"/>
      </w:pPr>
      <w:r w:rsidRPr="001F3D3E">
        <w:t xml:space="preserve">Comprehensive </w:t>
      </w:r>
      <w:r w:rsidR="006A6C53">
        <w:t>C</w:t>
      </w:r>
      <w:r w:rsidRPr="001F3D3E">
        <w:t xml:space="preserve">ancer </w:t>
      </w:r>
      <w:r w:rsidR="006A6C53">
        <w:t>C</w:t>
      </w:r>
      <w:r w:rsidRPr="001F3D3E">
        <w:t>ontrol.</w:t>
      </w:r>
    </w:p>
    <w:p w:rsidR="00831ED1" w:rsidRPr="001F3D3E" w:rsidRDefault="00831ED1" w:rsidP="00AF40DB">
      <w:pPr>
        <w:widowControl w:val="0"/>
        <w:numPr>
          <w:ilvl w:val="2"/>
          <w:numId w:val="8"/>
        </w:numPr>
        <w:autoSpaceDE w:val="0"/>
        <w:autoSpaceDN w:val="0"/>
        <w:adjustRightInd w:val="0"/>
      </w:pPr>
      <w:r w:rsidRPr="001F3D3E">
        <w:t>Detailed incidence/mortality by stage and geographic area.</w:t>
      </w:r>
    </w:p>
    <w:p w:rsidR="00831ED1" w:rsidRPr="001F3D3E" w:rsidRDefault="00831ED1" w:rsidP="00AF40DB">
      <w:pPr>
        <w:widowControl w:val="0"/>
        <w:numPr>
          <w:ilvl w:val="2"/>
          <w:numId w:val="8"/>
        </w:numPr>
        <w:autoSpaceDE w:val="0"/>
        <w:autoSpaceDN w:val="0"/>
        <w:adjustRightInd w:val="0"/>
      </w:pPr>
      <w:r w:rsidRPr="001F3D3E">
        <w:t>Collaboration with cancer screening program</w:t>
      </w:r>
      <w:r w:rsidR="007971B0">
        <w:t>s</w:t>
      </w:r>
      <w:r w:rsidR="006A6C53">
        <w:t xml:space="preserve"> for breast, colorectal, or cervical cancer</w:t>
      </w:r>
      <w:r w:rsidRPr="001F3D3E">
        <w:t xml:space="preserve">. </w:t>
      </w:r>
    </w:p>
    <w:p w:rsidR="00831ED1" w:rsidRPr="001F3D3E" w:rsidRDefault="00831ED1" w:rsidP="00AF40DB">
      <w:pPr>
        <w:widowControl w:val="0"/>
        <w:numPr>
          <w:ilvl w:val="2"/>
          <w:numId w:val="8"/>
        </w:numPr>
        <w:autoSpaceDE w:val="0"/>
        <w:autoSpaceDN w:val="0"/>
        <w:adjustRightInd w:val="0"/>
      </w:pPr>
      <w:r w:rsidRPr="001F3D3E">
        <w:t>Health event investigation(s).</w:t>
      </w:r>
    </w:p>
    <w:p w:rsidR="00831ED1" w:rsidRPr="00831ED1" w:rsidRDefault="00831ED1" w:rsidP="00AF40DB">
      <w:pPr>
        <w:widowControl w:val="0"/>
        <w:numPr>
          <w:ilvl w:val="2"/>
          <w:numId w:val="8"/>
        </w:numPr>
        <w:autoSpaceDE w:val="0"/>
        <w:autoSpaceDN w:val="0"/>
        <w:adjustRightInd w:val="0"/>
      </w:pPr>
      <w:r w:rsidRPr="00831ED1">
        <w:t>Needs assessment/program planning (e.g., Community Cancer Profiles).</w:t>
      </w:r>
    </w:p>
    <w:p w:rsidR="00831ED1" w:rsidRPr="00831ED1" w:rsidRDefault="00831ED1" w:rsidP="00AF40DB">
      <w:pPr>
        <w:widowControl w:val="0"/>
        <w:numPr>
          <w:ilvl w:val="2"/>
          <w:numId w:val="8"/>
        </w:numPr>
        <w:autoSpaceDE w:val="0"/>
        <w:autoSpaceDN w:val="0"/>
        <w:adjustRightInd w:val="0"/>
      </w:pPr>
      <w:r w:rsidRPr="00831ED1">
        <w:t>Program evaluation.</w:t>
      </w:r>
    </w:p>
    <w:p w:rsidR="00831ED1" w:rsidRPr="00831ED1" w:rsidRDefault="00831ED1" w:rsidP="00AF40DB">
      <w:pPr>
        <w:numPr>
          <w:ilvl w:val="2"/>
          <w:numId w:val="8"/>
        </w:numPr>
      </w:pPr>
      <w:r w:rsidRPr="00831ED1">
        <w:t xml:space="preserve">Epidemiologic studies. </w:t>
      </w:r>
    </w:p>
    <w:p w:rsidR="00831ED1" w:rsidRDefault="00831ED1" w:rsidP="00831ED1">
      <w:pPr>
        <w:widowControl w:val="0"/>
        <w:autoSpaceDE w:val="0"/>
        <w:autoSpaceDN w:val="0"/>
        <w:adjustRightInd w:val="0"/>
        <w:ind w:left="1170"/>
      </w:pPr>
    </w:p>
    <w:p w:rsidR="00831ED1" w:rsidRDefault="00831ED1" w:rsidP="00AF40DB">
      <w:pPr>
        <w:widowControl w:val="0"/>
        <w:numPr>
          <w:ilvl w:val="1"/>
          <w:numId w:val="8"/>
        </w:numPr>
        <w:autoSpaceDE w:val="0"/>
        <w:autoSpaceDN w:val="0"/>
        <w:adjustRightInd w:val="0"/>
      </w:pPr>
      <w:r>
        <w:t>The central cancer registry submits a success story to CDC at least annually detailing how registry data have been used to impact public health.</w:t>
      </w:r>
    </w:p>
    <w:p w:rsidR="00831ED1" w:rsidRDefault="00831ED1" w:rsidP="00831ED1">
      <w:pPr>
        <w:widowControl w:val="0"/>
        <w:autoSpaceDE w:val="0"/>
        <w:autoSpaceDN w:val="0"/>
        <w:adjustRightInd w:val="0"/>
        <w:ind w:left="1170"/>
      </w:pPr>
    </w:p>
    <w:p w:rsidR="00FA6C26" w:rsidRPr="001F3D3E" w:rsidRDefault="00FA6C26" w:rsidP="00AF40DB">
      <w:pPr>
        <w:keepNext/>
        <w:keepLines/>
        <w:numPr>
          <w:ilvl w:val="0"/>
          <w:numId w:val="8"/>
        </w:numPr>
        <w:rPr>
          <w:b/>
        </w:rPr>
      </w:pPr>
      <w:r w:rsidRPr="001F3D3E">
        <w:rPr>
          <w:b/>
        </w:rPr>
        <w:lastRenderedPageBreak/>
        <w:t>Data Submission</w:t>
      </w:r>
    </w:p>
    <w:p w:rsidR="00E66D99" w:rsidRDefault="00FA6C26" w:rsidP="00E66D99">
      <w:pPr>
        <w:keepNext/>
        <w:keepLines/>
        <w:widowControl w:val="0"/>
        <w:autoSpaceDE w:val="0"/>
        <w:autoSpaceDN w:val="0"/>
        <w:adjustRightInd w:val="0"/>
        <w:ind w:firstLine="720"/>
      </w:pPr>
      <w:r w:rsidRPr="006D306F">
        <w:t>The central cancer registry annually submits data file</w:t>
      </w:r>
      <w:r w:rsidR="00695946" w:rsidRPr="006D306F">
        <w:t>s</w:t>
      </w:r>
      <w:r w:rsidR="001F3D3E">
        <w:t xml:space="preserve"> </w:t>
      </w:r>
      <w:r w:rsidRPr="006D306F">
        <w:t xml:space="preserve">to the NPCR-Cancer Surveillance </w:t>
      </w:r>
    </w:p>
    <w:p w:rsidR="00E66D99" w:rsidRDefault="00FA6C26" w:rsidP="00E66D99">
      <w:pPr>
        <w:keepNext/>
        <w:keepLines/>
        <w:widowControl w:val="0"/>
        <w:autoSpaceDE w:val="0"/>
        <w:autoSpaceDN w:val="0"/>
        <w:adjustRightInd w:val="0"/>
        <w:ind w:firstLine="720"/>
      </w:pPr>
      <w:r w:rsidRPr="006D306F">
        <w:t xml:space="preserve">System (CSS) that meet the reporting requirements outlined in the NPCR-CSS </w:t>
      </w:r>
    </w:p>
    <w:p w:rsidR="00E66D99" w:rsidRDefault="00FA6C26" w:rsidP="00E66D99">
      <w:pPr>
        <w:keepNext/>
        <w:keepLines/>
        <w:widowControl w:val="0"/>
        <w:autoSpaceDE w:val="0"/>
        <w:autoSpaceDN w:val="0"/>
        <w:adjustRightInd w:val="0"/>
        <w:ind w:firstLine="720"/>
        <w:rPr>
          <w:i/>
        </w:rPr>
      </w:pPr>
      <w:r w:rsidRPr="006D306F">
        <w:t xml:space="preserve">Submission Specifications document and meet criteria for publication in </w:t>
      </w:r>
      <w:r w:rsidRPr="006D306F">
        <w:rPr>
          <w:i/>
        </w:rPr>
        <w:t xml:space="preserve">United States </w:t>
      </w:r>
    </w:p>
    <w:p w:rsidR="00E66D99" w:rsidRDefault="00FA6C26" w:rsidP="00E66D99">
      <w:pPr>
        <w:keepNext/>
        <w:keepLines/>
        <w:widowControl w:val="0"/>
        <w:autoSpaceDE w:val="0"/>
        <w:autoSpaceDN w:val="0"/>
        <w:adjustRightInd w:val="0"/>
        <w:ind w:firstLine="720"/>
      </w:pPr>
      <w:r w:rsidRPr="006D306F">
        <w:rPr>
          <w:i/>
        </w:rPr>
        <w:t>Cancer</w:t>
      </w:r>
      <w:r w:rsidR="00E66D99">
        <w:rPr>
          <w:i/>
        </w:rPr>
        <w:t xml:space="preserve"> </w:t>
      </w:r>
      <w:r w:rsidRPr="006D306F">
        <w:rPr>
          <w:i/>
        </w:rPr>
        <w:t>Statistics</w:t>
      </w:r>
      <w:r w:rsidRPr="006D306F">
        <w:t>.</w:t>
      </w:r>
    </w:p>
    <w:p w:rsidR="00FA6C26" w:rsidRPr="00E66D99" w:rsidRDefault="00FA6C26" w:rsidP="00E66D99">
      <w:pPr>
        <w:pStyle w:val="ListParagraph"/>
        <w:keepNext/>
        <w:keepLines/>
        <w:widowControl w:val="0"/>
        <w:numPr>
          <w:ilvl w:val="0"/>
          <w:numId w:val="9"/>
        </w:numPr>
        <w:autoSpaceDE w:val="0"/>
        <w:autoSpaceDN w:val="0"/>
        <w:adjustRightInd w:val="0"/>
      </w:pPr>
      <w:r w:rsidRPr="006D306F">
        <w:t xml:space="preserve">In appropriate data submission years, where the central cancer registry data file meets specified data completeness and quality standards, the central cancer data </w:t>
      </w:r>
      <w:r w:rsidR="002221AD" w:rsidRPr="006D306F">
        <w:t>are</w:t>
      </w:r>
      <w:r w:rsidR="00AF7E7F" w:rsidRPr="006D306F">
        <w:t xml:space="preserve"> included</w:t>
      </w:r>
      <w:r w:rsidRPr="006D306F">
        <w:t xml:space="preserve"> in the </w:t>
      </w:r>
      <w:r w:rsidRPr="00E66D99">
        <w:rPr>
          <w:i/>
        </w:rPr>
        <w:t>Cancer in Five Continents</w:t>
      </w:r>
      <w:r w:rsidRPr="006D306F">
        <w:t xml:space="preserve"> publication.</w:t>
      </w:r>
    </w:p>
    <w:p w:rsidR="00FA6C26" w:rsidRPr="00BD6EE9" w:rsidRDefault="00FA6C26" w:rsidP="00FA6C26"/>
    <w:p w:rsidR="00FA6C26" w:rsidRPr="00BD6EE9" w:rsidRDefault="00FA6C26" w:rsidP="00AF40DB">
      <w:pPr>
        <w:widowControl w:val="0"/>
        <w:numPr>
          <w:ilvl w:val="0"/>
          <w:numId w:val="8"/>
        </w:numPr>
        <w:autoSpaceDE w:val="0"/>
        <w:autoSpaceDN w:val="0"/>
        <w:adjustRightInd w:val="0"/>
      </w:pPr>
      <w:r w:rsidRPr="001F3D3E">
        <w:rPr>
          <w:b/>
        </w:rPr>
        <w:t>Collaborative Relationships</w:t>
      </w:r>
    </w:p>
    <w:p w:rsidR="00FA6C26" w:rsidRPr="00BD6EE9" w:rsidRDefault="00FA6C26" w:rsidP="00AF40DB">
      <w:pPr>
        <w:widowControl w:val="0"/>
        <w:numPr>
          <w:ilvl w:val="1"/>
          <w:numId w:val="8"/>
        </w:numPr>
        <w:autoSpaceDE w:val="0"/>
        <w:autoSpaceDN w:val="0"/>
        <w:adjustRightInd w:val="0"/>
      </w:pPr>
      <w:r w:rsidRPr="00BD6EE9">
        <w:t xml:space="preserve">The central cancer registry actively collaborates in the state’s comprehensive cancer control planning efforts. </w:t>
      </w:r>
    </w:p>
    <w:p w:rsidR="00FA6C26" w:rsidRPr="00BD6EE9" w:rsidRDefault="00FA6C26" w:rsidP="00FA6C26">
      <w:pPr>
        <w:tabs>
          <w:tab w:val="center" w:pos="1080"/>
        </w:tabs>
        <w:ind w:left="720"/>
      </w:pPr>
    </w:p>
    <w:p w:rsidR="00FA6C26" w:rsidRDefault="00FA6C26" w:rsidP="00AF40DB">
      <w:pPr>
        <w:widowControl w:val="0"/>
        <w:numPr>
          <w:ilvl w:val="1"/>
          <w:numId w:val="8"/>
        </w:numPr>
        <w:autoSpaceDE w:val="0"/>
        <w:autoSpaceDN w:val="0"/>
        <w:adjustRightInd w:val="0"/>
      </w:pPr>
      <w:r w:rsidRPr="00BD6EE9">
        <w:t xml:space="preserve">The central cancer registry establishes a working relationship with </w:t>
      </w:r>
      <w:r w:rsidR="00695946">
        <w:t xml:space="preserve">other cancer control programs, including screening programs and tobacco control programs, to </w:t>
      </w:r>
      <w:r w:rsidRPr="00BD6EE9">
        <w:t>assess and implement cancer control activities.</w:t>
      </w:r>
    </w:p>
    <w:p w:rsidR="00FA6C26" w:rsidRDefault="00FA6C26" w:rsidP="00FA6C26">
      <w:pPr>
        <w:pStyle w:val="ListParagraph"/>
      </w:pPr>
    </w:p>
    <w:p w:rsidR="00FA6C26" w:rsidRDefault="00FA6C26" w:rsidP="00AF40DB">
      <w:pPr>
        <w:widowControl w:val="0"/>
        <w:numPr>
          <w:ilvl w:val="1"/>
          <w:numId w:val="8"/>
        </w:numPr>
        <w:autoSpaceDE w:val="0"/>
        <w:autoSpaceDN w:val="0"/>
        <w:adjustRightInd w:val="0"/>
      </w:pPr>
      <w:r w:rsidRPr="00BD6EE9">
        <w:t>The central cancer registry establishes and regularly convenes an advisory committee to assist in building consensus, cooperation, and planning for the registry</w:t>
      </w:r>
      <w:r w:rsidR="00737BB6">
        <w:t xml:space="preserve"> and to enhance chronic disease program coordination and collaboration</w:t>
      </w:r>
      <w:r w:rsidRPr="00BD6EE9">
        <w:t>.  Representation should include key organizations and individuals both within (such as representatives from all cancer prevention and control components</w:t>
      </w:r>
      <w:r w:rsidR="00737BB6">
        <w:t xml:space="preserve"> and chronic disease program</w:t>
      </w:r>
      <w:r w:rsidRPr="00BD6EE9">
        <w:t xml:space="preserve">) and outside the program (such as hospital cancer registrars, the American Cancer Society, </w:t>
      </w:r>
      <w:r w:rsidR="004D66A7">
        <w:t xml:space="preserve">American College of Surgeons liaison, </w:t>
      </w:r>
      <w:r w:rsidRPr="00BD6EE9">
        <w:t>clinical-laboratory personnel, pathologists, and clinicians). Advisory committees may be structured to meet the needs of the state/territory such as the Comprehensive Cancer Control Program committee structure, an advocacy group, or a focus group</w:t>
      </w:r>
      <w:r>
        <w:t>.</w:t>
      </w:r>
    </w:p>
    <w:p w:rsidR="003A373F" w:rsidRDefault="003A373F" w:rsidP="003A373F">
      <w:pPr>
        <w:pStyle w:val="ListParagraph"/>
      </w:pPr>
    </w:p>
    <w:p w:rsidR="003F2667" w:rsidRDefault="003F2667" w:rsidP="003F2667">
      <w:pPr>
        <w:pStyle w:val="ListParagraph"/>
      </w:pPr>
    </w:p>
    <w:p w:rsidR="00093E6F" w:rsidRDefault="00093E6F" w:rsidP="00FA6C26"/>
    <w:sectPr w:rsidR="00093E6F" w:rsidSect="007E5CD5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B87" w:rsidRDefault="00CA3B87" w:rsidP="00806178">
      <w:r>
        <w:separator/>
      </w:r>
    </w:p>
  </w:endnote>
  <w:endnote w:type="continuationSeparator" w:id="0">
    <w:p w:rsidR="00CA3B87" w:rsidRDefault="00CA3B87" w:rsidP="0080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0816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132A" w:rsidRDefault="0033132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5A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3132A" w:rsidRDefault="003313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B87" w:rsidRDefault="00CA3B87" w:rsidP="00806178">
      <w:r>
        <w:separator/>
      </w:r>
    </w:p>
  </w:footnote>
  <w:footnote w:type="continuationSeparator" w:id="0">
    <w:p w:rsidR="00CA3B87" w:rsidRDefault="00CA3B87" w:rsidP="00806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F57D3"/>
    <w:multiLevelType w:val="multilevel"/>
    <w:tmpl w:val="F30CD5D2"/>
    <w:numStyleLink w:val="Style1"/>
  </w:abstractNum>
  <w:abstractNum w:abstractNumId="1">
    <w:nsid w:val="1A2B0EF1"/>
    <w:multiLevelType w:val="hybridMultilevel"/>
    <w:tmpl w:val="C78830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7C031A"/>
    <w:multiLevelType w:val="hybridMultilevel"/>
    <w:tmpl w:val="703C238A"/>
    <w:lvl w:ilvl="0" w:tplc="2F86A71C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D67D1B"/>
    <w:multiLevelType w:val="multilevel"/>
    <w:tmpl w:val="F30CD5D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>
    <w:nsid w:val="340D220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6ED5A88"/>
    <w:multiLevelType w:val="multilevel"/>
    <w:tmpl w:val="F30CD5D2"/>
    <w:styleLink w:val="Style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>
    <w:nsid w:val="552D5BD4"/>
    <w:multiLevelType w:val="hybridMultilevel"/>
    <w:tmpl w:val="23561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A6389D"/>
    <w:multiLevelType w:val="hybridMultilevel"/>
    <w:tmpl w:val="4D285F18"/>
    <w:lvl w:ilvl="0" w:tplc="39DE7A74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E90278E"/>
    <w:multiLevelType w:val="hybridMultilevel"/>
    <w:tmpl w:val="B802B2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9B00CA6">
      <w:start w:val="2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26"/>
    <w:rsid w:val="0000259A"/>
    <w:rsid w:val="000123C0"/>
    <w:rsid w:val="0004758C"/>
    <w:rsid w:val="00052D91"/>
    <w:rsid w:val="00077E1A"/>
    <w:rsid w:val="00083256"/>
    <w:rsid w:val="0008554B"/>
    <w:rsid w:val="000872BB"/>
    <w:rsid w:val="00093E6F"/>
    <w:rsid w:val="000C2D40"/>
    <w:rsid w:val="000E6F07"/>
    <w:rsid w:val="001116FE"/>
    <w:rsid w:val="0012100B"/>
    <w:rsid w:val="00121241"/>
    <w:rsid w:val="00161082"/>
    <w:rsid w:val="001B743D"/>
    <w:rsid w:val="001D049A"/>
    <w:rsid w:val="001D466B"/>
    <w:rsid w:val="001D5173"/>
    <w:rsid w:val="001D691E"/>
    <w:rsid w:val="001E5A85"/>
    <w:rsid w:val="001F3D3E"/>
    <w:rsid w:val="00201966"/>
    <w:rsid w:val="00203F5C"/>
    <w:rsid w:val="002119BC"/>
    <w:rsid w:val="002221AD"/>
    <w:rsid w:val="00245318"/>
    <w:rsid w:val="0026331A"/>
    <w:rsid w:val="00272BCE"/>
    <w:rsid w:val="002B4193"/>
    <w:rsid w:val="002B771F"/>
    <w:rsid w:val="002D0FE9"/>
    <w:rsid w:val="002E6D33"/>
    <w:rsid w:val="0032781C"/>
    <w:rsid w:val="0033132A"/>
    <w:rsid w:val="0034267E"/>
    <w:rsid w:val="00350B2E"/>
    <w:rsid w:val="0036585B"/>
    <w:rsid w:val="0037037E"/>
    <w:rsid w:val="0038149E"/>
    <w:rsid w:val="00383F13"/>
    <w:rsid w:val="00386020"/>
    <w:rsid w:val="003861FE"/>
    <w:rsid w:val="003A1253"/>
    <w:rsid w:val="003A373F"/>
    <w:rsid w:val="003A3CED"/>
    <w:rsid w:val="003A5B41"/>
    <w:rsid w:val="003B554F"/>
    <w:rsid w:val="003C4FC5"/>
    <w:rsid w:val="003D17F9"/>
    <w:rsid w:val="003F2667"/>
    <w:rsid w:val="00422CEF"/>
    <w:rsid w:val="004345A1"/>
    <w:rsid w:val="00441D99"/>
    <w:rsid w:val="00445C0B"/>
    <w:rsid w:val="00447B38"/>
    <w:rsid w:val="00453144"/>
    <w:rsid w:val="00463D0B"/>
    <w:rsid w:val="00492998"/>
    <w:rsid w:val="00495200"/>
    <w:rsid w:val="004C0F77"/>
    <w:rsid w:val="004D66A7"/>
    <w:rsid w:val="004E0B93"/>
    <w:rsid w:val="005051D2"/>
    <w:rsid w:val="005134E5"/>
    <w:rsid w:val="00526F1D"/>
    <w:rsid w:val="00531800"/>
    <w:rsid w:val="00540703"/>
    <w:rsid w:val="005644A3"/>
    <w:rsid w:val="00582000"/>
    <w:rsid w:val="00586988"/>
    <w:rsid w:val="005A7BC4"/>
    <w:rsid w:val="005D27A1"/>
    <w:rsid w:val="005D30F5"/>
    <w:rsid w:val="005F4F7E"/>
    <w:rsid w:val="00655E35"/>
    <w:rsid w:val="00662161"/>
    <w:rsid w:val="00662440"/>
    <w:rsid w:val="00667AEC"/>
    <w:rsid w:val="00693031"/>
    <w:rsid w:val="00694E3B"/>
    <w:rsid w:val="00694EFA"/>
    <w:rsid w:val="00695946"/>
    <w:rsid w:val="006A6C53"/>
    <w:rsid w:val="006C22A2"/>
    <w:rsid w:val="006C79DD"/>
    <w:rsid w:val="006D1614"/>
    <w:rsid w:val="006D2205"/>
    <w:rsid w:val="006D306F"/>
    <w:rsid w:val="006E09B9"/>
    <w:rsid w:val="006E7227"/>
    <w:rsid w:val="007232EA"/>
    <w:rsid w:val="00737BB6"/>
    <w:rsid w:val="0075308D"/>
    <w:rsid w:val="00766B25"/>
    <w:rsid w:val="00791BD9"/>
    <w:rsid w:val="007971B0"/>
    <w:rsid w:val="007B677E"/>
    <w:rsid w:val="007D73BB"/>
    <w:rsid w:val="007D7BE1"/>
    <w:rsid w:val="007E5CD5"/>
    <w:rsid w:val="007E77EE"/>
    <w:rsid w:val="007F3246"/>
    <w:rsid w:val="00801A0D"/>
    <w:rsid w:val="00806178"/>
    <w:rsid w:val="0081540C"/>
    <w:rsid w:val="00815ABD"/>
    <w:rsid w:val="0081709F"/>
    <w:rsid w:val="0082289D"/>
    <w:rsid w:val="00831ED1"/>
    <w:rsid w:val="00834D6E"/>
    <w:rsid w:val="00864650"/>
    <w:rsid w:val="00872DAB"/>
    <w:rsid w:val="0087782D"/>
    <w:rsid w:val="008877FC"/>
    <w:rsid w:val="00897820"/>
    <w:rsid w:val="008A3F50"/>
    <w:rsid w:val="008B1514"/>
    <w:rsid w:val="008C14CA"/>
    <w:rsid w:val="008D4072"/>
    <w:rsid w:val="008E2558"/>
    <w:rsid w:val="008E7ED5"/>
    <w:rsid w:val="008F3F18"/>
    <w:rsid w:val="00901895"/>
    <w:rsid w:val="00941CB6"/>
    <w:rsid w:val="0094414C"/>
    <w:rsid w:val="00947F8A"/>
    <w:rsid w:val="00956BE4"/>
    <w:rsid w:val="00965604"/>
    <w:rsid w:val="009674FA"/>
    <w:rsid w:val="00967F98"/>
    <w:rsid w:val="00970E79"/>
    <w:rsid w:val="009828E4"/>
    <w:rsid w:val="009830B9"/>
    <w:rsid w:val="009A5688"/>
    <w:rsid w:val="009A5E24"/>
    <w:rsid w:val="009B415A"/>
    <w:rsid w:val="009D00A2"/>
    <w:rsid w:val="009E443F"/>
    <w:rsid w:val="00A07A40"/>
    <w:rsid w:val="00A131BE"/>
    <w:rsid w:val="00A23ED1"/>
    <w:rsid w:val="00A36700"/>
    <w:rsid w:val="00A73BE9"/>
    <w:rsid w:val="00A96211"/>
    <w:rsid w:val="00AB33E4"/>
    <w:rsid w:val="00AF40DB"/>
    <w:rsid w:val="00AF7E7F"/>
    <w:rsid w:val="00B11385"/>
    <w:rsid w:val="00B17D40"/>
    <w:rsid w:val="00B37297"/>
    <w:rsid w:val="00B45588"/>
    <w:rsid w:val="00B51F94"/>
    <w:rsid w:val="00B850CF"/>
    <w:rsid w:val="00B91CFA"/>
    <w:rsid w:val="00B950D2"/>
    <w:rsid w:val="00BA60D6"/>
    <w:rsid w:val="00BB5294"/>
    <w:rsid w:val="00BC15C7"/>
    <w:rsid w:val="00BC617B"/>
    <w:rsid w:val="00BD3EC5"/>
    <w:rsid w:val="00BE5634"/>
    <w:rsid w:val="00C02788"/>
    <w:rsid w:val="00C47404"/>
    <w:rsid w:val="00C762EB"/>
    <w:rsid w:val="00CA14CE"/>
    <w:rsid w:val="00CA3B87"/>
    <w:rsid w:val="00CC6285"/>
    <w:rsid w:val="00CE4C49"/>
    <w:rsid w:val="00CF70D6"/>
    <w:rsid w:val="00D5183F"/>
    <w:rsid w:val="00D60F05"/>
    <w:rsid w:val="00D64629"/>
    <w:rsid w:val="00D8019D"/>
    <w:rsid w:val="00D96413"/>
    <w:rsid w:val="00DB6BC7"/>
    <w:rsid w:val="00DC5008"/>
    <w:rsid w:val="00DD365A"/>
    <w:rsid w:val="00DD79A5"/>
    <w:rsid w:val="00DE4C06"/>
    <w:rsid w:val="00DF6E57"/>
    <w:rsid w:val="00E02B49"/>
    <w:rsid w:val="00E34574"/>
    <w:rsid w:val="00E66D99"/>
    <w:rsid w:val="00E86470"/>
    <w:rsid w:val="00E907A5"/>
    <w:rsid w:val="00EC1DF0"/>
    <w:rsid w:val="00EC6FE8"/>
    <w:rsid w:val="00ED1F44"/>
    <w:rsid w:val="00EE2D8A"/>
    <w:rsid w:val="00EE2DBA"/>
    <w:rsid w:val="00EE33E4"/>
    <w:rsid w:val="00EF37BD"/>
    <w:rsid w:val="00F025C7"/>
    <w:rsid w:val="00F03BD4"/>
    <w:rsid w:val="00F0531A"/>
    <w:rsid w:val="00F22932"/>
    <w:rsid w:val="00F27BE3"/>
    <w:rsid w:val="00F41C61"/>
    <w:rsid w:val="00F47C88"/>
    <w:rsid w:val="00F54F14"/>
    <w:rsid w:val="00F552B3"/>
    <w:rsid w:val="00F639D0"/>
    <w:rsid w:val="00F67633"/>
    <w:rsid w:val="00F71C4D"/>
    <w:rsid w:val="00F742B5"/>
    <w:rsid w:val="00F76F91"/>
    <w:rsid w:val="00F916B5"/>
    <w:rsid w:val="00FA1D5E"/>
    <w:rsid w:val="00FA6C26"/>
    <w:rsid w:val="00FB6A46"/>
    <w:rsid w:val="00FB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C26"/>
    <w:rPr>
      <w:rFonts w:ascii="Times New Roman" w:eastAsia="SimSu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A6C26"/>
    <w:pPr>
      <w:ind w:left="720"/>
    </w:pPr>
  </w:style>
  <w:style w:type="character" w:styleId="CommentReference">
    <w:name w:val="annotation reference"/>
    <w:basedOn w:val="DefaultParagraphFont"/>
    <w:rsid w:val="00FA6C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6C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A6C26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C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C26"/>
    <w:rPr>
      <w:rFonts w:ascii="Tahoma" w:eastAsia="SimSun" w:hAnsi="Tahoma" w:cs="Tahoma"/>
      <w:sz w:val="16"/>
      <w:szCs w:val="16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4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49A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8061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178"/>
    <w:rPr>
      <w:rFonts w:ascii="Times New Roman" w:eastAsia="SimSun" w:hAnsi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061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178"/>
    <w:rPr>
      <w:rFonts w:ascii="Times New Roman" w:eastAsia="SimSun" w:hAnsi="Times New Roman"/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DB6BC7"/>
    <w:rPr>
      <w:rFonts w:ascii="Times New Roman" w:eastAsia="SimSun" w:hAnsi="Times New Roman"/>
      <w:sz w:val="24"/>
      <w:szCs w:val="24"/>
      <w:lang w:eastAsia="zh-CN"/>
    </w:rPr>
  </w:style>
  <w:style w:type="numbering" w:customStyle="1" w:styleId="Style1">
    <w:name w:val="Style1"/>
    <w:uiPriority w:val="99"/>
    <w:rsid w:val="00AF40DB"/>
    <w:pPr>
      <w:numPr>
        <w:numId w:val="7"/>
      </w:numPr>
    </w:pPr>
  </w:style>
  <w:style w:type="character" w:styleId="Hyperlink">
    <w:name w:val="Hyperlink"/>
    <w:basedOn w:val="DefaultParagraphFont"/>
    <w:uiPriority w:val="99"/>
    <w:semiHidden/>
    <w:unhideWhenUsed/>
    <w:rsid w:val="00F71C4D"/>
    <w:rPr>
      <w:rFonts w:ascii="Times New Roman" w:hAnsi="Times New Roman" w:cs="Times New Roman" w:hint="default"/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C26"/>
    <w:rPr>
      <w:rFonts w:ascii="Times New Roman" w:eastAsia="SimSu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A6C26"/>
    <w:pPr>
      <w:ind w:left="720"/>
    </w:pPr>
  </w:style>
  <w:style w:type="character" w:styleId="CommentReference">
    <w:name w:val="annotation reference"/>
    <w:basedOn w:val="DefaultParagraphFont"/>
    <w:rsid w:val="00FA6C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6C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A6C26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C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C26"/>
    <w:rPr>
      <w:rFonts w:ascii="Tahoma" w:eastAsia="SimSun" w:hAnsi="Tahoma" w:cs="Tahoma"/>
      <w:sz w:val="16"/>
      <w:szCs w:val="16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4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49A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8061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178"/>
    <w:rPr>
      <w:rFonts w:ascii="Times New Roman" w:eastAsia="SimSun" w:hAnsi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061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178"/>
    <w:rPr>
      <w:rFonts w:ascii="Times New Roman" w:eastAsia="SimSun" w:hAnsi="Times New Roman"/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DB6BC7"/>
    <w:rPr>
      <w:rFonts w:ascii="Times New Roman" w:eastAsia="SimSun" w:hAnsi="Times New Roman"/>
      <w:sz w:val="24"/>
      <w:szCs w:val="24"/>
      <w:lang w:eastAsia="zh-CN"/>
    </w:rPr>
  </w:style>
  <w:style w:type="numbering" w:customStyle="1" w:styleId="Style1">
    <w:name w:val="Style1"/>
    <w:uiPriority w:val="99"/>
    <w:rsid w:val="00AF40DB"/>
    <w:pPr>
      <w:numPr>
        <w:numId w:val="7"/>
      </w:numPr>
    </w:pPr>
  </w:style>
  <w:style w:type="character" w:styleId="Hyperlink">
    <w:name w:val="Hyperlink"/>
    <w:basedOn w:val="DefaultParagraphFont"/>
    <w:uiPriority w:val="99"/>
    <w:semiHidden/>
    <w:unhideWhenUsed/>
    <w:rsid w:val="00F71C4D"/>
    <w:rPr>
      <w:rFonts w:ascii="Times New Roman" w:hAnsi="Times New Roman" w:cs="Times New Roman" w:hint="default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9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cdc.gov/phin/library/guides/Implementation_Guide_for_Ambulatory_Healthcare_Provider_Reporting_to_Central_Cancer_Registries_August_2012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45E08-F6EF-44A7-8672-0DC6EA1A84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F326E6-5C7D-43F2-B128-C05D47101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2288</Words>
  <Characters>13045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dfo8</dc:creator>
  <cp:lastModifiedBy>CDC User</cp:lastModifiedBy>
  <cp:revision>3</cp:revision>
  <cp:lastPrinted>2011-11-09T19:10:00Z</cp:lastPrinted>
  <dcterms:created xsi:type="dcterms:W3CDTF">2013-03-22T18:18:00Z</dcterms:created>
  <dcterms:modified xsi:type="dcterms:W3CDTF">2013-03-26T17:59:00Z</dcterms:modified>
</cp:coreProperties>
</file>