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9C" w:rsidRDefault="0036139C" w:rsidP="0036139C">
      <w:pPr>
        <w:pStyle w:val="Cov-Title"/>
        <w:jc w:val="center"/>
        <w:rPr>
          <w:rFonts w:ascii="Times New Roman" w:hAnsi="Times New Roman"/>
        </w:rPr>
      </w:pPr>
    </w:p>
    <w:p w:rsidR="0036139C" w:rsidRDefault="0036139C" w:rsidP="0036139C">
      <w:pPr>
        <w:pStyle w:val="Cov-Title"/>
        <w:jc w:val="center"/>
        <w:rPr>
          <w:rFonts w:ascii="Times New Roman" w:hAnsi="Times New Roman"/>
        </w:rPr>
      </w:pPr>
    </w:p>
    <w:p w:rsidR="0036139C" w:rsidRDefault="0036139C" w:rsidP="0036139C">
      <w:pPr>
        <w:pStyle w:val="Cov-Title"/>
        <w:jc w:val="center"/>
        <w:rPr>
          <w:rFonts w:ascii="Times New Roman" w:hAnsi="Times New Roman"/>
        </w:rPr>
      </w:pPr>
    </w:p>
    <w:p w:rsidR="0036139C" w:rsidRPr="00EF75A2" w:rsidRDefault="0036139C" w:rsidP="0036139C">
      <w:pPr>
        <w:pStyle w:val="Cov-Title"/>
        <w:jc w:val="center"/>
        <w:rPr>
          <w:rFonts w:ascii="Times New Roman" w:hAnsi="Times New Roman"/>
          <w:b/>
        </w:rPr>
      </w:pPr>
      <w:r w:rsidRPr="00EF75A2">
        <w:rPr>
          <w:rFonts w:ascii="Times New Roman" w:hAnsi="Times New Roman"/>
        </w:rPr>
        <w:t>Colorectal Cancer Screening Program</w:t>
      </w:r>
    </w:p>
    <w:p w:rsidR="0036139C" w:rsidRPr="00EF75A2" w:rsidRDefault="0036139C" w:rsidP="0036139C">
      <w:pPr>
        <w:pStyle w:val="Cov-Date"/>
        <w:jc w:val="center"/>
        <w:rPr>
          <w:rFonts w:ascii="Times New Roman" w:hAnsi="Times New Roman"/>
        </w:rPr>
      </w:pPr>
    </w:p>
    <w:p w:rsidR="0036139C" w:rsidRPr="00EF75A2" w:rsidRDefault="0036139C" w:rsidP="0036139C">
      <w:pPr>
        <w:pStyle w:val="Cov-Date"/>
        <w:jc w:val="center"/>
        <w:rPr>
          <w:rFonts w:ascii="Times New Roman" w:hAnsi="Times New Roman"/>
        </w:rPr>
      </w:pPr>
    </w:p>
    <w:p w:rsidR="0036139C" w:rsidRPr="00EF75A2" w:rsidRDefault="0036139C" w:rsidP="0036139C">
      <w:pPr>
        <w:pStyle w:val="Cov-Date"/>
        <w:jc w:val="center"/>
        <w:rPr>
          <w:rFonts w:ascii="Times New Roman" w:hAnsi="Times New Roman"/>
        </w:rPr>
      </w:pPr>
    </w:p>
    <w:p w:rsidR="0036139C" w:rsidRPr="00EF75A2" w:rsidRDefault="0036139C" w:rsidP="0036139C">
      <w:pPr>
        <w:pStyle w:val="Cov-Date"/>
        <w:jc w:val="center"/>
        <w:rPr>
          <w:rFonts w:ascii="Times New Roman" w:hAnsi="Times New Roman"/>
          <w:sz w:val="32"/>
        </w:rPr>
      </w:pPr>
      <w:r w:rsidRPr="00EF75A2">
        <w:rPr>
          <w:rFonts w:ascii="Times New Roman" w:hAnsi="Times New Roman"/>
          <w:sz w:val="32"/>
        </w:rPr>
        <w:t>OMB No. 0920-0745</w:t>
      </w:r>
    </w:p>
    <w:p w:rsidR="0036139C" w:rsidRPr="00EF75A2" w:rsidRDefault="00EA51C8" w:rsidP="0036139C">
      <w:pPr>
        <w:pStyle w:val="Cov-Date"/>
        <w:jc w:val="center"/>
        <w:rPr>
          <w:rFonts w:ascii="Times New Roman" w:hAnsi="Times New Roman"/>
          <w:sz w:val="32"/>
        </w:rPr>
      </w:pPr>
      <w:r>
        <w:rPr>
          <w:rFonts w:ascii="Times New Roman" w:hAnsi="Times New Roman"/>
          <w:sz w:val="32"/>
        </w:rPr>
        <w:t>Exten</w:t>
      </w:r>
      <w:r w:rsidR="0036139C" w:rsidRPr="00EF75A2">
        <w:rPr>
          <w:rFonts w:ascii="Times New Roman" w:hAnsi="Times New Roman"/>
          <w:sz w:val="32"/>
        </w:rPr>
        <w:t>sion Request</w:t>
      </w:r>
    </w:p>
    <w:p w:rsidR="0036139C" w:rsidRPr="00EF75A2" w:rsidRDefault="0036139C" w:rsidP="0036139C">
      <w:pPr>
        <w:pStyle w:val="Cov-Date"/>
        <w:jc w:val="center"/>
        <w:rPr>
          <w:rFonts w:ascii="Times New Roman" w:hAnsi="Times New Roman"/>
          <w:sz w:val="32"/>
        </w:rPr>
      </w:pPr>
    </w:p>
    <w:p w:rsidR="0036139C" w:rsidRPr="00EF75A2" w:rsidRDefault="0036139C" w:rsidP="0036139C">
      <w:pPr>
        <w:pStyle w:val="Cov-Date"/>
        <w:jc w:val="center"/>
        <w:rPr>
          <w:rFonts w:ascii="Times New Roman" w:hAnsi="Times New Roman"/>
          <w:sz w:val="32"/>
        </w:rPr>
      </w:pPr>
    </w:p>
    <w:p w:rsidR="0036139C" w:rsidRPr="00EF75A2" w:rsidRDefault="0036139C" w:rsidP="0036139C">
      <w:pPr>
        <w:pStyle w:val="Cov-Date"/>
        <w:jc w:val="center"/>
        <w:rPr>
          <w:rFonts w:ascii="Times New Roman" w:hAnsi="Times New Roman"/>
          <w:sz w:val="32"/>
        </w:rPr>
      </w:pPr>
    </w:p>
    <w:p w:rsidR="0036139C" w:rsidRPr="00EF75A2" w:rsidRDefault="0036139C" w:rsidP="0036139C">
      <w:pPr>
        <w:pStyle w:val="Cov-Date"/>
        <w:jc w:val="center"/>
        <w:rPr>
          <w:rFonts w:ascii="Times New Roman" w:hAnsi="Times New Roman"/>
          <w:sz w:val="32"/>
        </w:rPr>
      </w:pPr>
      <w:r>
        <w:rPr>
          <w:rFonts w:ascii="Times New Roman" w:hAnsi="Times New Roman"/>
          <w:sz w:val="32"/>
        </w:rPr>
        <w:t>Supporting Statement Part B</w:t>
      </w:r>
    </w:p>
    <w:p w:rsidR="0036139C" w:rsidRPr="00EF75A2" w:rsidRDefault="0036139C" w:rsidP="0036139C">
      <w:pPr>
        <w:jc w:val="center"/>
        <w:rPr>
          <w:b/>
          <w:caps/>
          <w:sz w:val="24"/>
          <w:szCs w:val="24"/>
        </w:rPr>
      </w:pPr>
    </w:p>
    <w:p w:rsidR="0036139C" w:rsidRPr="00EF75A2" w:rsidRDefault="0036139C" w:rsidP="0036139C">
      <w:pPr>
        <w:jc w:val="center"/>
        <w:rPr>
          <w:b/>
          <w:caps/>
          <w:sz w:val="24"/>
          <w:szCs w:val="24"/>
        </w:rPr>
      </w:pPr>
    </w:p>
    <w:p w:rsidR="0036139C" w:rsidRPr="00EF75A2" w:rsidRDefault="0036139C" w:rsidP="0036139C">
      <w:pPr>
        <w:jc w:val="center"/>
        <w:rPr>
          <w:b/>
          <w:caps/>
          <w:sz w:val="24"/>
          <w:szCs w:val="24"/>
        </w:rPr>
      </w:pPr>
    </w:p>
    <w:p w:rsidR="0036139C" w:rsidRPr="00EF75A2" w:rsidRDefault="0036139C" w:rsidP="0036139C">
      <w:pPr>
        <w:jc w:val="center"/>
        <w:rPr>
          <w:b/>
          <w:caps/>
          <w:sz w:val="24"/>
          <w:szCs w:val="24"/>
        </w:rPr>
      </w:pPr>
    </w:p>
    <w:p w:rsidR="0036139C" w:rsidRDefault="0036139C" w:rsidP="0036139C">
      <w:pPr>
        <w:jc w:val="center"/>
        <w:rPr>
          <w:b/>
          <w:caps/>
          <w:sz w:val="24"/>
          <w:szCs w:val="24"/>
        </w:rPr>
      </w:pPr>
    </w:p>
    <w:p w:rsidR="0036139C" w:rsidRDefault="0036139C" w:rsidP="0036139C">
      <w:pPr>
        <w:rPr>
          <w:b/>
          <w:caps/>
          <w:sz w:val="24"/>
          <w:szCs w:val="24"/>
        </w:rPr>
      </w:pPr>
    </w:p>
    <w:p w:rsidR="0036139C" w:rsidRDefault="0036139C" w:rsidP="0036139C">
      <w:pPr>
        <w:jc w:val="center"/>
        <w:rPr>
          <w:b/>
          <w:caps/>
          <w:sz w:val="24"/>
          <w:szCs w:val="24"/>
        </w:rPr>
      </w:pPr>
    </w:p>
    <w:p w:rsidR="0036139C" w:rsidRDefault="0036139C" w:rsidP="0036139C">
      <w:pPr>
        <w:rPr>
          <w:b/>
          <w:caps/>
          <w:sz w:val="24"/>
          <w:szCs w:val="24"/>
        </w:rPr>
      </w:pPr>
    </w:p>
    <w:p w:rsidR="0036139C" w:rsidRPr="00EF75A2" w:rsidRDefault="0036139C" w:rsidP="0036139C">
      <w:pPr>
        <w:jc w:val="center"/>
        <w:rPr>
          <w:b/>
          <w:caps/>
          <w:sz w:val="24"/>
          <w:szCs w:val="24"/>
        </w:rPr>
      </w:pPr>
    </w:p>
    <w:p w:rsidR="0036139C" w:rsidRDefault="0036139C" w:rsidP="0036139C">
      <w:pPr>
        <w:jc w:val="center"/>
        <w:rPr>
          <w:b/>
          <w:caps/>
          <w:sz w:val="24"/>
          <w:szCs w:val="24"/>
        </w:rPr>
      </w:pPr>
    </w:p>
    <w:p w:rsidR="0036139C" w:rsidRPr="00EF75A2" w:rsidRDefault="0036139C" w:rsidP="0036139C">
      <w:pPr>
        <w:jc w:val="center"/>
        <w:rPr>
          <w:b/>
          <w:caps/>
          <w:sz w:val="24"/>
          <w:szCs w:val="24"/>
        </w:rPr>
      </w:pPr>
    </w:p>
    <w:p w:rsidR="0036139C" w:rsidRPr="00EF75A2" w:rsidRDefault="0036139C" w:rsidP="0036139C">
      <w:pPr>
        <w:jc w:val="center"/>
        <w:rPr>
          <w:b/>
          <w:caps/>
          <w:sz w:val="24"/>
          <w:szCs w:val="24"/>
        </w:rPr>
      </w:pPr>
    </w:p>
    <w:p w:rsidR="0036139C" w:rsidRPr="00EF75A2" w:rsidRDefault="0036139C" w:rsidP="0036139C">
      <w:pPr>
        <w:pStyle w:val="Cov-Date"/>
        <w:rPr>
          <w:rFonts w:ascii="Times New Roman" w:hAnsi="Times New Roman"/>
          <w:sz w:val="24"/>
          <w:szCs w:val="24"/>
        </w:rPr>
      </w:pPr>
      <w:r>
        <w:rPr>
          <w:rFonts w:ascii="Times New Roman" w:hAnsi="Times New Roman"/>
          <w:sz w:val="24"/>
          <w:szCs w:val="24"/>
        </w:rPr>
        <w:t xml:space="preserve">Contact: </w:t>
      </w:r>
      <w:r w:rsidRPr="00EF75A2">
        <w:rPr>
          <w:rFonts w:ascii="Times New Roman" w:hAnsi="Times New Roman"/>
          <w:sz w:val="24"/>
          <w:szCs w:val="24"/>
        </w:rPr>
        <w:t xml:space="preserve"> Janet Royalty</w:t>
      </w:r>
    </w:p>
    <w:p w:rsidR="0036139C" w:rsidRPr="00EF75A2" w:rsidRDefault="0036139C" w:rsidP="0036139C">
      <w:pPr>
        <w:pStyle w:val="Cov-Date"/>
        <w:rPr>
          <w:rFonts w:ascii="Times New Roman" w:hAnsi="Times New Roman"/>
          <w:sz w:val="24"/>
          <w:szCs w:val="24"/>
        </w:rPr>
      </w:pPr>
      <w:r w:rsidRPr="00EF75A2">
        <w:rPr>
          <w:rFonts w:ascii="Times New Roman" w:hAnsi="Times New Roman"/>
          <w:sz w:val="24"/>
          <w:szCs w:val="24"/>
        </w:rPr>
        <w:t>Centers for Disease Control and Prevention</w:t>
      </w:r>
    </w:p>
    <w:p w:rsidR="0036139C" w:rsidRDefault="0036139C" w:rsidP="0036139C">
      <w:pPr>
        <w:pStyle w:val="Cov-Date"/>
        <w:rPr>
          <w:rFonts w:ascii="Times New Roman" w:hAnsi="Times New Roman"/>
          <w:sz w:val="24"/>
          <w:szCs w:val="24"/>
        </w:rPr>
      </w:pPr>
      <w:r w:rsidRPr="00EF75A2">
        <w:rPr>
          <w:rFonts w:ascii="Times New Roman" w:hAnsi="Times New Roman"/>
          <w:sz w:val="24"/>
          <w:szCs w:val="24"/>
        </w:rPr>
        <w:t>National Center for Chronic Disease Prevention</w:t>
      </w:r>
    </w:p>
    <w:p w:rsidR="0036139C" w:rsidRPr="00EF75A2" w:rsidRDefault="0036139C" w:rsidP="0036139C">
      <w:pPr>
        <w:pStyle w:val="Cov-Date"/>
        <w:rPr>
          <w:rFonts w:ascii="Times New Roman" w:hAnsi="Times New Roman"/>
          <w:sz w:val="24"/>
          <w:szCs w:val="24"/>
        </w:rPr>
      </w:pPr>
      <w:r>
        <w:rPr>
          <w:rFonts w:ascii="Times New Roman" w:hAnsi="Times New Roman"/>
          <w:sz w:val="24"/>
          <w:szCs w:val="24"/>
        </w:rPr>
        <w:t>and</w:t>
      </w:r>
      <w:r w:rsidRPr="00EF75A2">
        <w:rPr>
          <w:rFonts w:ascii="Times New Roman" w:hAnsi="Times New Roman"/>
          <w:sz w:val="24"/>
          <w:szCs w:val="24"/>
        </w:rPr>
        <w:t xml:space="preserve"> Health Promotion</w:t>
      </w:r>
    </w:p>
    <w:p w:rsidR="0036139C" w:rsidRPr="00EF75A2" w:rsidRDefault="0036139C" w:rsidP="0036139C">
      <w:pPr>
        <w:pStyle w:val="Cov-Date"/>
        <w:rPr>
          <w:rFonts w:ascii="Times New Roman" w:hAnsi="Times New Roman"/>
          <w:sz w:val="24"/>
          <w:szCs w:val="24"/>
        </w:rPr>
      </w:pPr>
      <w:r w:rsidRPr="00EF75A2">
        <w:rPr>
          <w:rFonts w:ascii="Times New Roman" w:hAnsi="Times New Roman"/>
          <w:sz w:val="24"/>
          <w:szCs w:val="24"/>
        </w:rPr>
        <w:t>Division of Cancer Prevention and Control</w:t>
      </w:r>
    </w:p>
    <w:p w:rsidR="0036139C" w:rsidRPr="00EF75A2" w:rsidRDefault="0036139C" w:rsidP="0036139C">
      <w:pPr>
        <w:pStyle w:val="Cov-Date"/>
        <w:rPr>
          <w:rFonts w:ascii="Times New Roman" w:hAnsi="Times New Roman"/>
          <w:sz w:val="24"/>
          <w:szCs w:val="24"/>
        </w:rPr>
      </w:pPr>
      <w:r w:rsidRPr="00EF75A2">
        <w:rPr>
          <w:rFonts w:ascii="Times New Roman" w:hAnsi="Times New Roman"/>
          <w:sz w:val="24"/>
          <w:szCs w:val="24"/>
        </w:rPr>
        <w:t>4770 Buford Highway NE, Mail Stop K-57</w:t>
      </w:r>
    </w:p>
    <w:p w:rsidR="0036139C" w:rsidRPr="00EF75A2" w:rsidRDefault="0036139C" w:rsidP="0036139C">
      <w:pPr>
        <w:pStyle w:val="Cov-Date"/>
        <w:rPr>
          <w:rFonts w:ascii="Times New Roman" w:hAnsi="Times New Roman"/>
          <w:sz w:val="24"/>
          <w:szCs w:val="24"/>
          <w:lang w:val="pt-BR"/>
        </w:rPr>
      </w:pPr>
      <w:r w:rsidRPr="00EF75A2">
        <w:rPr>
          <w:rFonts w:ascii="Times New Roman" w:hAnsi="Times New Roman"/>
          <w:sz w:val="24"/>
          <w:szCs w:val="24"/>
          <w:lang w:val="pt-BR"/>
        </w:rPr>
        <w:t>Atlanta, GA 30341-3724</w:t>
      </w:r>
    </w:p>
    <w:p w:rsidR="0036139C" w:rsidRPr="00EF75A2" w:rsidRDefault="0036139C" w:rsidP="0036139C">
      <w:pPr>
        <w:pStyle w:val="Cov-Date"/>
        <w:rPr>
          <w:rFonts w:ascii="Times New Roman" w:hAnsi="Times New Roman"/>
          <w:sz w:val="24"/>
          <w:szCs w:val="24"/>
          <w:lang w:val="pt-BR"/>
        </w:rPr>
      </w:pPr>
      <w:r w:rsidRPr="00EF75A2">
        <w:rPr>
          <w:rFonts w:ascii="Times New Roman" w:hAnsi="Times New Roman"/>
          <w:sz w:val="24"/>
          <w:szCs w:val="24"/>
          <w:lang w:val="pt-BR"/>
        </w:rPr>
        <w:t>(770) 488-3085</w:t>
      </w:r>
    </w:p>
    <w:p w:rsidR="0036139C" w:rsidRPr="00EF75A2" w:rsidRDefault="0036139C" w:rsidP="0036139C">
      <w:pPr>
        <w:pStyle w:val="Cov-Date"/>
        <w:rPr>
          <w:rFonts w:ascii="Times New Roman" w:hAnsi="Times New Roman"/>
          <w:sz w:val="24"/>
          <w:szCs w:val="24"/>
          <w:lang w:val="pt-BR"/>
        </w:rPr>
      </w:pPr>
      <w:r w:rsidRPr="00EF75A2">
        <w:rPr>
          <w:rFonts w:ascii="Times New Roman" w:hAnsi="Times New Roman"/>
          <w:sz w:val="24"/>
          <w:szCs w:val="24"/>
          <w:lang w:val="pt-BR"/>
        </w:rPr>
        <w:t>FAX (770) 488-3230</w:t>
      </w:r>
    </w:p>
    <w:p w:rsidR="0036139C" w:rsidRPr="00EF75A2" w:rsidRDefault="0036139C" w:rsidP="0036139C">
      <w:pPr>
        <w:pStyle w:val="Cov-Date"/>
        <w:rPr>
          <w:rFonts w:ascii="Times New Roman" w:hAnsi="Times New Roman"/>
          <w:lang w:val="pt-BR"/>
        </w:rPr>
      </w:pPr>
      <w:r w:rsidRPr="00EF75A2">
        <w:rPr>
          <w:rFonts w:ascii="Times New Roman" w:hAnsi="Times New Roman"/>
          <w:sz w:val="24"/>
          <w:szCs w:val="24"/>
          <w:lang w:val="pt-BR"/>
        </w:rPr>
        <w:t>JRoyalty@cdc.gov</w:t>
      </w:r>
    </w:p>
    <w:p w:rsidR="0036139C" w:rsidRPr="00EF75A2" w:rsidRDefault="0036139C" w:rsidP="0036139C">
      <w:pPr>
        <w:pStyle w:val="Cov-Date"/>
        <w:rPr>
          <w:rFonts w:ascii="Times New Roman" w:hAnsi="Times New Roman"/>
          <w:lang w:val="pt-BR"/>
        </w:rPr>
      </w:pPr>
    </w:p>
    <w:p w:rsidR="0036139C" w:rsidRPr="00EF75A2" w:rsidRDefault="0036139C" w:rsidP="0036139C">
      <w:pPr>
        <w:pStyle w:val="Cov-Address"/>
        <w:jc w:val="left"/>
        <w:rPr>
          <w:rFonts w:ascii="Times New Roman" w:hAnsi="Times New Roman"/>
          <w:lang w:val="pt-BR"/>
        </w:rPr>
      </w:pPr>
    </w:p>
    <w:p w:rsidR="0036139C" w:rsidRPr="00EF75A2" w:rsidRDefault="008C28E9" w:rsidP="0036139C">
      <w:pPr>
        <w:pStyle w:val="Cov-Date"/>
        <w:rPr>
          <w:rFonts w:ascii="Times New Roman" w:hAnsi="Times New Roman"/>
        </w:rPr>
      </w:pPr>
      <w:r>
        <w:rPr>
          <w:rFonts w:ascii="Times New Roman" w:hAnsi="Times New Roman"/>
        </w:rPr>
        <w:t>February 25</w:t>
      </w:r>
      <w:bookmarkStart w:id="0" w:name="_GoBack"/>
      <w:bookmarkEnd w:id="0"/>
      <w:r w:rsidR="00870EE6">
        <w:rPr>
          <w:rFonts w:ascii="Times New Roman" w:hAnsi="Times New Roman"/>
        </w:rPr>
        <w:t>, 2013</w:t>
      </w:r>
    </w:p>
    <w:p w:rsidR="0036139C" w:rsidRPr="00EF75A2" w:rsidRDefault="0036139C" w:rsidP="0036139C">
      <w:pPr>
        <w:jc w:val="center"/>
        <w:rPr>
          <w:b/>
          <w:caps/>
          <w:sz w:val="24"/>
          <w:szCs w:val="24"/>
        </w:rPr>
        <w:sectPr w:rsidR="0036139C" w:rsidRPr="00EF75A2" w:rsidSect="0036139C">
          <w:headerReference w:type="default" r:id="rId9"/>
          <w:footerReference w:type="even" r:id="rId10"/>
          <w:footerReference w:type="default" r:id="rId11"/>
          <w:headerReference w:type="first" r:id="rId12"/>
          <w:pgSz w:w="12240" w:h="15840" w:code="1"/>
          <w:pgMar w:top="1440" w:right="1440" w:bottom="1440" w:left="1440" w:header="720" w:footer="720" w:gutter="0"/>
          <w:pgNumType w:start="1" w:chapStyle="1"/>
          <w:cols w:space="720"/>
          <w:titlePg/>
          <w:docGrid w:linePitch="360"/>
        </w:sectPr>
      </w:pPr>
    </w:p>
    <w:p w:rsidR="0036139C" w:rsidRPr="00EF75A2" w:rsidRDefault="0036139C" w:rsidP="0036139C">
      <w:pPr>
        <w:pBdr>
          <w:top w:val="single" w:sz="4" w:space="1" w:color="auto"/>
          <w:bottom w:val="single" w:sz="4" w:space="1" w:color="auto"/>
        </w:pBdr>
        <w:jc w:val="center"/>
        <w:rPr>
          <w:b/>
          <w:caps/>
          <w:sz w:val="28"/>
          <w:szCs w:val="28"/>
        </w:rPr>
      </w:pPr>
    </w:p>
    <w:p w:rsidR="0036139C" w:rsidRPr="00EF75A2" w:rsidRDefault="0036139C" w:rsidP="0036139C">
      <w:pPr>
        <w:pBdr>
          <w:top w:val="single" w:sz="4" w:space="1" w:color="auto"/>
          <w:bottom w:val="single" w:sz="4" w:space="1" w:color="auto"/>
        </w:pBdr>
        <w:jc w:val="center"/>
        <w:rPr>
          <w:b/>
          <w:caps/>
          <w:sz w:val="28"/>
          <w:szCs w:val="28"/>
        </w:rPr>
      </w:pPr>
      <w:r w:rsidRPr="00EF75A2">
        <w:rPr>
          <w:b/>
          <w:caps/>
          <w:sz w:val="28"/>
          <w:szCs w:val="28"/>
        </w:rPr>
        <w:t>TABLE OF Contents</w:t>
      </w:r>
    </w:p>
    <w:p w:rsidR="0036139C" w:rsidRPr="00EF75A2" w:rsidRDefault="0036139C" w:rsidP="0036139C">
      <w:pPr>
        <w:pBdr>
          <w:top w:val="single" w:sz="4" w:space="1" w:color="auto"/>
          <w:bottom w:val="single" w:sz="4" w:space="1" w:color="auto"/>
        </w:pBdr>
        <w:jc w:val="center"/>
        <w:rPr>
          <w:b/>
          <w:caps/>
          <w:sz w:val="28"/>
          <w:szCs w:val="28"/>
        </w:rPr>
      </w:pPr>
    </w:p>
    <w:p w:rsidR="0036139C" w:rsidRPr="00EF75A2" w:rsidRDefault="0036139C" w:rsidP="0036139C">
      <w:pPr>
        <w:rPr>
          <w:sz w:val="24"/>
          <w:szCs w:val="24"/>
        </w:rPr>
      </w:pPr>
    </w:p>
    <w:p w:rsidR="0036139C" w:rsidRPr="00270482" w:rsidRDefault="0036139C" w:rsidP="0036139C">
      <w:pPr>
        <w:tabs>
          <w:tab w:val="right" w:pos="9270"/>
        </w:tabs>
        <w:rPr>
          <w:b/>
          <w:sz w:val="24"/>
          <w:szCs w:val="24"/>
        </w:rPr>
      </w:pPr>
      <w:r w:rsidRPr="00270482">
        <w:rPr>
          <w:b/>
          <w:sz w:val="24"/>
          <w:szCs w:val="24"/>
        </w:rPr>
        <w:t xml:space="preserve">Section </w:t>
      </w:r>
    </w:p>
    <w:p w:rsidR="0036139C" w:rsidRPr="00270482" w:rsidRDefault="0036139C" w:rsidP="0036139C">
      <w:pPr>
        <w:pStyle w:val="BodyText1"/>
        <w:tabs>
          <w:tab w:val="left" w:pos="720"/>
        </w:tabs>
        <w:ind w:firstLine="0"/>
        <w:rPr>
          <w:sz w:val="24"/>
          <w:szCs w:val="24"/>
        </w:rPr>
      </w:pPr>
    </w:p>
    <w:p w:rsidR="00687486" w:rsidRPr="00270482" w:rsidRDefault="00076D75" w:rsidP="00270482">
      <w:pPr>
        <w:pStyle w:val="TOC5"/>
        <w:rPr>
          <w:sz w:val="24"/>
          <w:szCs w:val="24"/>
        </w:rPr>
      </w:pPr>
      <w:r>
        <w:rPr>
          <w:sz w:val="24"/>
          <w:szCs w:val="24"/>
        </w:rPr>
        <w:t xml:space="preserve">B.  </w:t>
      </w:r>
      <w:r w:rsidR="00687486" w:rsidRPr="00270482">
        <w:rPr>
          <w:sz w:val="24"/>
          <w:szCs w:val="24"/>
        </w:rPr>
        <w:t>Collections of Information Employing Statistical Methods</w:t>
      </w:r>
    </w:p>
    <w:p w:rsidR="00687486" w:rsidRPr="00270482" w:rsidRDefault="00687486" w:rsidP="00270482">
      <w:pPr>
        <w:pStyle w:val="TOC5"/>
        <w:rPr>
          <w:sz w:val="24"/>
          <w:szCs w:val="24"/>
        </w:rPr>
      </w:pPr>
    </w:p>
    <w:p w:rsidR="00687486" w:rsidRPr="00270482" w:rsidRDefault="00687486" w:rsidP="00270482">
      <w:pPr>
        <w:pStyle w:val="TOC5"/>
        <w:rPr>
          <w:sz w:val="24"/>
          <w:szCs w:val="24"/>
        </w:rPr>
      </w:pPr>
      <w:r w:rsidRPr="00270482">
        <w:rPr>
          <w:sz w:val="24"/>
          <w:szCs w:val="24"/>
        </w:rPr>
        <w:t>B.1</w:t>
      </w:r>
      <w:r w:rsidRPr="00270482">
        <w:rPr>
          <w:sz w:val="24"/>
          <w:szCs w:val="24"/>
        </w:rPr>
        <w:tab/>
        <w:t>Respondent Universe and Sampling Methods</w:t>
      </w:r>
    </w:p>
    <w:p w:rsidR="00687486" w:rsidRPr="00270482" w:rsidRDefault="00687486" w:rsidP="00270482">
      <w:pPr>
        <w:pStyle w:val="TOC5"/>
        <w:rPr>
          <w:sz w:val="24"/>
          <w:szCs w:val="24"/>
        </w:rPr>
      </w:pPr>
      <w:r w:rsidRPr="00270482">
        <w:rPr>
          <w:sz w:val="24"/>
          <w:szCs w:val="24"/>
        </w:rPr>
        <w:t>B.2</w:t>
      </w:r>
      <w:r w:rsidRPr="00270482">
        <w:rPr>
          <w:sz w:val="24"/>
          <w:szCs w:val="24"/>
        </w:rPr>
        <w:tab/>
        <w:t>Procedures for the Collection of Information</w:t>
      </w:r>
    </w:p>
    <w:p w:rsidR="00687486" w:rsidRPr="00270482" w:rsidRDefault="00687486" w:rsidP="00270482">
      <w:pPr>
        <w:pStyle w:val="TOC5"/>
        <w:rPr>
          <w:sz w:val="24"/>
          <w:szCs w:val="24"/>
        </w:rPr>
      </w:pPr>
      <w:r w:rsidRPr="00270482">
        <w:rPr>
          <w:sz w:val="24"/>
          <w:szCs w:val="24"/>
        </w:rPr>
        <w:t>B.3</w:t>
      </w:r>
      <w:r w:rsidRPr="00270482">
        <w:rPr>
          <w:sz w:val="24"/>
          <w:szCs w:val="24"/>
        </w:rPr>
        <w:tab/>
        <w:t>Methods to Maximize Response Rates and Deal with Nonresponse</w:t>
      </w:r>
    </w:p>
    <w:p w:rsidR="00687486" w:rsidRPr="00270482" w:rsidRDefault="00687486" w:rsidP="00270482">
      <w:pPr>
        <w:pStyle w:val="TOC5"/>
        <w:rPr>
          <w:sz w:val="24"/>
          <w:szCs w:val="24"/>
        </w:rPr>
      </w:pPr>
      <w:r w:rsidRPr="00270482">
        <w:rPr>
          <w:sz w:val="24"/>
          <w:szCs w:val="24"/>
        </w:rPr>
        <w:t>B.4</w:t>
      </w:r>
      <w:r w:rsidRPr="00270482">
        <w:rPr>
          <w:sz w:val="24"/>
          <w:szCs w:val="24"/>
        </w:rPr>
        <w:tab/>
        <w:t>Tests of Procedures or Methods to be Undertaken</w:t>
      </w:r>
    </w:p>
    <w:p w:rsidR="0036139C" w:rsidRDefault="00687486" w:rsidP="00270482">
      <w:pPr>
        <w:pStyle w:val="TOC5"/>
      </w:pPr>
      <w:r w:rsidRPr="00270482">
        <w:rPr>
          <w:sz w:val="24"/>
          <w:szCs w:val="24"/>
        </w:rPr>
        <w:t>B.5</w:t>
      </w:r>
      <w:r w:rsidRPr="00270482">
        <w:rPr>
          <w:sz w:val="24"/>
          <w:szCs w:val="24"/>
        </w:rPr>
        <w:tab/>
        <w:t>Individuals Consulted on Statistical Aspects and Individuals Collecting and/or Analyzing Data</w:t>
      </w:r>
      <w:r w:rsidR="0036139C" w:rsidRPr="00270482">
        <w:rPr>
          <w:caps/>
          <w:sz w:val="24"/>
          <w:szCs w:val="24"/>
        </w:rPr>
        <w:br w:type="page"/>
      </w:r>
      <w:r w:rsidR="0036139C" w:rsidRPr="00955168">
        <w:lastRenderedPageBreak/>
        <w:t xml:space="preserve"> </w:t>
      </w:r>
    </w:p>
    <w:p w:rsidR="0036139C" w:rsidRPr="00A209FC" w:rsidRDefault="0036139C" w:rsidP="00270482">
      <w:pPr>
        <w:pStyle w:val="TOC5"/>
      </w:pPr>
      <w:r w:rsidRPr="00B87DAF">
        <w:t>LIST OF ATTACHMENTS</w:t>
      </w:r>
    </w:p>
    <w:p w:rsidR="0036139C" w:rsidRPr="00A209FC" w:rsidRDefault="0036139C" w:rsidP="0036139C">
      <w:pPr>
        <w:tabs>
          <w:tab w:val="left" w:pos="2160"/>
        </w:tabs>
        <w:spacing w:line="480" w:lineRule="auto"/>
        <w:rPr>
          <w:sz w:val="24"/>
        </w:rPr>
      </w:pPr>
    </w:p>
    <w:p w:rsidR="00207D8B" w:rsidRPr="00207D8B" w:rsidRDefault="00207D8B" w:rsidP="00207D8B">
      <w:pPr>
        <w:spacing w:line="480" w:lineRule="auto"/>
        <w:rPr>
          <w:sz w:val="24"/>
        </w:rPr>
      </w:pPr>
      <w:r w:rsidRPr="00207D8B">
        <w:rPr>
          <w:sz w:val="24"/>
        </w:rPr>
        <w:t>Attachment 1.</w:t>
      </w:r>
      <w:r w:rsidRPr="00207D8B">
        <w:rPr>
          <w:sz w:val="24"/>
        </w:rPr>
        <w:tab/>
      </w:r>
      <w:r w:rsidRPr="00207D8B">
        <w:rPr>
          <w:sz w:val="24"/>
        </w:rPr>
        <w:tab/>
        <w:t>Authorizing Legislation:  PHSA</w:t>
      </w:r>
    </w:p>
    <w:p w:rsidR="00207D8B" w:rsidRPr="00207D8B" w:rsidRDefault="00207D8B" w:rsidP="00207D8B">
      <w:pPr>
        <w:spacing w:line="480" w:lineRule="auto"/>
        <w:rPr>
          <w:sz w:val="24"/>
        </w:rPr>
      </w:pPr>
      <w:r w:rsidRPr="00207D8B">
        <w:rPr>
          <w:sz w:val="24"/>
        </w:rPr>
        <w:t>Attachment 2a.</w:t>
      </w:r>
      <w:r w:rsidRPr="00207D8B">
        <w:rPr>
          <w:sz w:val="24"/>
        </w:rPr>
        <w:tab/>
      </w:r>
      <w:r w:rsidRPr="00207D8B">
        <w:rPr>
          <w:i/>
          <w:iCs/>
          <w:sz w:val="24"/>
        </w:rPr>
        <w:t>Federal Register</w:t>
      </w:r>
      <w:r w:rsidRPr="00207D8B">
        <w:rPr>
          <w:sz w:val="24"/>
        </w:rPr>
        <w:t xml:space="preserve"> Notice to the Public</w:t>
      </w:r>
    </w:p>
    <w:p w:rsidR="00207D8B" w:rsidRPr="00207D8B" w:rsidRDefault="00207D8B" w:rsidP="00207D8B">
      <w:pPr>
        <w:spacing w:line="480" w:lineRule="auto"/>
        <w:rPr>
          <w:sz w:val="24"/>
        </w:rPr>
      </w:pPr>
      <w:r w:rsidRPr="00207D8B">
        <w:rPr>
          <w:sz w:val="24"/>
        </w:rPr>
        <w:t>Attachment 2b.</w:t>
      </w:r>
      <w:r w:rsidRPr="00207D8B">
        <w:rPr>
          <w:sz w:val="24"/>
        </w:rPr>
        <w:tab/>
        <w:t>Public Comment and CDC Response</w:t>
      </w:r>
    </w:p>
    <w:p w:rsidR="00207D8B" w:rsidRPr="00207D8B" w:rsidRDefault="00207D8B" w:rsidP="00207D8B">
      <w:pPr>
        <w:spacing w:line="480" w:lineRule="auto"/>
        <w:rPr>
          <w:sz w:val="24"/>
        </w:rPr>
      </w:pPr>
      <w:r w:rsidRPr="00207D8B">
        <w:rPr>
          <w:sz w:val="24"/>
        </w:rPr>
        <w:t>Attachment 3a.</w:t>
      </w:r>
      <w:r w:rsidRPr="00207D8B">
        <w:rPr>
          <w:sz w:val="24"/>
        </w:rPr>
        <w:tab/>
        <w:t>CCDE Submission</w:t>
      </w:r>
      <w:r>
        <w:rPr>
          <w:sz w:val="24"/>
        </w:rPr>
        <w:t xml:space="preserve"> Web Portal</w:t>
      </w:r>
    </w:p>
    <w:p w:rsidR="00207D8B" w:rsidRPr="00207D8B" w:rsidRDefault="00207D8B" w:rsidP="00207D8B">
      <w:pPr>
        <w:spacing w:line="480" w:lineRule="auto"/>
        <w:rPr>
          <w:sz w:val="24"/>
        </w:rPr>
      </w:pPr>
      <w:r w:rsidRPr="00207D8B">
        <w:rPr>
          <w:sz w:val="24"/>
        </w:rPr>
        <w:t>Attachment 3b.</w:t>
      </w:r>
      <w:r w:rsidRPr="00207D8B">
        <w:rPr>
          <w:sz w:val="24"/>
        </w:rPr>
        <w:tab/>
        <w:t>CCDE Data Definition Table</w:t>
      </w:r>
    </w:p>
    <w:p w:rsidR="00207D8B" w:rsidRPr="00207D8B" w:rsidRDefault="00207D8B" w:rsidP="00207D8B">
      <w:pPr>
        <w:spacing w:line="480" w:lineRule="auto"/>
        <w:rPr>
          <w:sz w:val="24"/>
        </w:rPr>
      </w:pPr>
      <w:r w:rsidRPr="00207D8B">
        <w:rPr>
          <w:sz w:val="24"/>
        </w:rPr>
        <w:t>Attachment 3c.</w:t>
      </w:r>
      <w:r w:rsidRPr="00207D8B">
        <w:rPr>
          <w:sz w:val="24"/>
        </w:rPr>
        <w:tab/>
        <w:t>CCDE Data Users Manual</w:t>
      </w:r>
    </w:p>
    <w:p w:rsidR="00207D8B" w:rsidRPr="00207D8B" w:rsidRDefault="00207D8B" w:rsidP="00207D8B">
      <w:pPr>
        <w:spacing w:line="480" w:lineRule="auto"/>
        <w:rPr>
          <w:sz w:val="24"/>
        </w:rPr>
      </w:pPr>
      <w:r w:rsidRPr="00207D8B">
        <w:rPr>
          <w:sz w:val="24"/>
        </w:rPr>
        <w:t>Attachment 4abc.</w:t>
      </w:r>
      <w:r w:rsidRPr="00207D8B">
        <w:rPr>
          <w:sz w:val="24"/>
        </w:rPr>
        <w:tab/>
        <w:t xml:space="preserve">Sample Feedback </w:t>
      </w:r>
    </w:p>
    <w:p w:rsidR="00207D8B" w:rsidRPr="00207D8B" w:rsidRDefault="00207D8B" w:rsidP="00207D8B">
      <w:pPr>
        <w:spacing w:line="480" w:lineRule="auto"/>
        <w:rPr>
          <w:sz w:val="24"/>
        </w:rPr>
      </w:pPr>
      <w:r w:rsidRPr="00207D8B">
        <w:rPr>
          <w:sz w:val="24"/>
        </w:rPr>
        <w:t>Attachment 5a.</w:t>
      </w:r>
      <w:r w:rsidRPr="00207D8B">
        <w:rPr>
          <w:sz w:val="24"/>
        </w:rPr>
        <w:tab/>
        <w:t xml:space="preserve">Cost Assessment Tool </w:t>
      </w:r>
      <w:r>
        <w:rPr>
          <w:sz w:val="24"/>
        </w:rPr>
        <w:t>Web Portal</w:t>
      </w:r>
    </w:p>
    <w:p w:rsidR="00207D8B" w:rsidRPr="00207D8B" w:rsidRDefault="00207D8B" w:rsidP="00207D8B">
      <w:pPr>
        <w:spacing w:line="480" w:lineRule="auto"/>
        <w:rPr>
          <w:sz w:val="24"/>
        </w:rPr>
      </w:pPr>
      <w:r w:rsidRPr="00207D8B">
        <w:rPr>
          <w:sz w:val="24"/>
        </w:rPr>
        <w:t>Attachment 5b.</w:t>
      </w:r>
      <w:r w:rsidRPr="00207D8B">
        <w:rPr>
          <w:sz w:val="24"/>
        </w:rPr>
        <w:tab/>
        <w:t>Cost Assessment Tool Users Manual</w:t>
      </w:r>
    </w:p>
    <w:p w:rsidR="0036139C" w:rsidRPr="008C722A" w:rsidRDefault="00207D8B" w:rsidP="00207D8B">
      <w:pPr>
        <w:pStyle w:val="Heading1"/>
        <w:numPr>
          <w:ilvl w:val="0"/>
          <w:numId w:val="0"/>
        </w:numPr>
        <w:rPr>
          <w:rFonts w:ascii="Times New Roman" w:hAnsi="Times New Roman"/>
          <w:sz w:val="24"/>
          <w:szCs w:val="24"/>
        </w:rPr>
      </w:pPr>
      <w:r w:rsidRPr="00207D8B">
        <w:rPr>
          <w:rFonts w:ascii="Times New Roman" w:hAnsi="Times New Roman"/>
          <w:b w:val="0"/>
          <w:sz w:val="24"/>
          <w:szCs w:val="20"/>
        </w:rPr>
        <w:t xml:space="preserve">Attachment 6.        </w:t>
      </w:r>
      <w:r w:rsidRPr="00207D8B">
        <w:rPr>
          <w:rFonts w:ascii="Times New Roman" w:hAnsi="Times New Roman"/>
          <w:b w:val="0"/>
          <w:sz w:val="24"/>
          <w:szCs w:val="20"/>
        </w:rPr>
        <w:tab/>
        <w:t>Data Consultants</w:t>
      </w:r>
    </w:p>
    <w:p w:rsidR="0036139C" w:rsidRDefault="00D92293">
      <w:r>
        <w:br w:type="page"/>
      </w:r>
    </w:p>
    <w:p w:rsidR="00D92293" w:rsidRPr="008127D7" w:rsidRDefault="00D92293">
      <w:pPr>
        <w:rPr>
          <w:b/>
          <w:sz w:val="24"/>
          <w:szCs w:val="24"/>
        </w:rPr>
      </w:pPr>
      <w:r w:rsidRPr="008127D7">
        <w:rPr>
          <w:b/>
          <w:sz w:val="24"/>
          <w:szCs w:val="24"/>
        </w:rPr>
        <w:lastRenderedPageBreak/>
        <w:t>B.</w:t>
      </w:r>
      <w:r w:rsidRPr="008127D7">
        <w:rPr>
          <w:b/>
          <w:sz w:val="24"/>
          <w:szCs w:val="24"/>
        </w:rPr>
        <w:tab/>
        <w:t>Collections of Information Employing Statistical Methods</w:t>
      </w:r>
    </w:p>
    <w:p w:rsidR="00D92293" w:rsidRPr="008127D7" w:rsidRDefault="00D92293">
      <w:pPr>
        <w:rPr>
          <w:sz w:val="24"/>
          <w:szCs w:val="24"/>
        </w:rPr>
      </w:pPr>
    </w:p>
    <w:p w:rsidR="00D92293" w:rsidRPr="008127D7" w:rsidRDefault="00D92293">
      <w:pPr>
        <w:rPr>
          <w:sz w:val="24"/>
          <w:szCs w:val="24"/>
        </w:rPr>
      </w:pPr>
    </w:p>
    <w:p w:rsidR="00D92293" w:rsidRPr="008127D7" w:rsidRDefault="00D92293" w:rsidP="008127D7">
      <w:pPr>
        <w:spacing w:line="360" w:lineRule="auto"/>
        <w:rPr>
          <w:b/>
          <w:sz w:val="24"/>
          <w:szCs w:val="24"/>
        </w:rPr>
      </w:pPr>
      <w:r w:rsidRPr="008127D7">
        <w:rPr>
          <w:b/>
          <w:sz w:val="24"/>
          <w:szCs w:val="24"/>
        </w:rPr>
        <w:t>B.1</w:t>
      </w:r>
      <w:r w:rsidRPr="008127D7">
        <w:rPr>
          <w:b/>
          <w:sz w:val="24"/>
          <w:szCs w:val="24"/>
        </w:rPr>
        <w:tab/>
        <w:t>Respondent Universe and Sampling Methods</w:t>
      </w:r>
    </w:p>
    <w:p w:rsidR="00D92293" w:rsidRPr="008127D7" w:rsidRDefault="00D92293" w:rsidP="008127D7">
      <w:pPr>
        <w:spacing w:line="360" w:lineRule="auto"/>
        <w:rPr>
          <w:sz w:val="24"/>
          <w:szCs w:val="24"/>
        </w:rPr>
      </w:pPr>
    </w:p>
    <w:p w:rsidR="003005F9" w:rsidRPr="008127D7" w:rsidRDefault="003005F9" w:rsidP="008127D7">
      <w:pPr>
        <w:spacing w:line="360" w:lineRule="auto"/>
        <w:rPr>
          <w:sz w:val="24"/>
          <w:szCs w:val="24"/>
        </w:rPr>
      </w:pPr>
      <w:r w:rsidRPr="008127D7">
        <w:rPr>
          <w:sz w:val="24"/>
          <w:szCs w:val="24"/>
        </w:rPr>
        <w:t xml:space="preserve">Respondents are the </w:t>
      </w:r>
      <w:r w:rsidR="003657D1">
        <w:rPr>
          <w:sz w:val="24"/>
          <w:szCs w:val="24"/>
        </w:rPr>
        <w:t>29</w:t>
      </w:r>
      <w:r w:rsidRPr="008127D7">
        <w:rPr>
          <w:sz w:val="24"/>
          <w:szCs w:val="24"/>
        </w:rPr>
        <w:t xml:space="preserve"> grantees funded through CDC’s Colorectal Cancer Control Program (CRCCP</w:t>
      </w:r>
      <w:r w:rsidR="0093345E" w:rsidRPr="008127D7">
        <w:rPr>
          <w:sz w:val="24"/>
          <w:szCs w:val="24"/>
        </w:rPr>
        <w:t>)</w:t>
      </w:r>
      <w:r w:rsidRPr="008127D7">
        <w:rPr>
          <w:sz w:val="24"/>
          <w:szCs w:val="24"/>
        </w:rPr>
        <w:t xml:space="preserve">.  Statistical sampling methods are not applicable. </w:t>
      </w:r>
    </w:p>
    <w:p w:rsidR="00D92293" w:rsidRPr="008127D7" w:rsidRDefault="00D92293" w:rsidP="008127D7">
      <w:pPr>
        <w:spacing w:line="360" w:lineRule="auto"/>
        <w:rPr>
          <w:sz w:val="24"/>
          <w:szCs w:val="24"/>
        </w:rPr>
      </w:pPr>
    </w:p>
    <w:p w:rsidR="00D92293" w:rsidRPr="008127D7" w:rsidRDefault="00D92293" w:rsidP="008127D7">
      <w:pPr>
        <w:spacing w:line="360" w:lineRule="auto"/>
        <w:rPr>
          <w:b/>
          <w:sz w:val="24"/>
          <w:szCs w:val="24"/>
        </w:rPr>
      </w:pPr>
      <w:r w:rsidRPr="008127D7">
        <w:rPr>
          <w:b/>
          <w:sz w:val="24"/>
          <w:szCs w:val="24"/>
        </w:rPr>
        <w:t>B.2</w:t>
      </w:r>
      <w:r w:rsidRPr="008127D7">
        <w:rPr>
          <w:b/>
          <w:sz w:val="24"/>
          <w:szCs w:val="24"/>
        </w:rPr>
        <w:tab/>
        <w:t>Procedures for the Collection of Information</w:t>
      </w:r>
    </w:p>
    <w:p w:rsidR="00D92293" w:rsidRPr="008127D7" w:rsidRDefault="00D92293" w:rsidP="008127D7">
      <w:pPr>
        <w:spacing w:line="360" w:lineRule="auto"/>
        <w:rPr>
          <w:sz w:val="24"/>
          <w:szCs w:val="24"/>
        </w:rPr>
      </w:pPr>
    </w:p>
    <w:p w:rsidR="00DB5D24" w:rsidRDefault="00DB5D24" w:rsidP="008127D7">
      <w:pPr>
        <w:widowControl w:val="0"/>
        <w:spacing w:line="360" w:lineRule="auto"/>
        <w:rPr>
          <w:color w:val="000000"/>
          <w:sz w:val="24"/>
          <w:szCs w:val="24"/>
        </w:rPr>
      </w:pPr>
      <w:r w:rsidRPr="008127D7">
        <w:rPr>
          <w:sz w:val="24"/>
          <w:szCs w:val="24"/>
        </w:rPr>
        <w:t>In order to assess the quality, effectiveness, and appropriateness of the services delivered</w:t>
      </w:r>
      <w:r w:rsidRPr="008127D7">
        <w:rPr>
          <w:bCs/>
          <w:sz w:val="24"/>
          <w:szCs w:val="24"/>
        </w:rPr>
        <w:t xml:space="preserve"> by the cooperative agreement recipients of the </w:t>
      </w:r>
      <w:r w:rsidRPr="008127D7">
        <w:rPr>
          <w:bCs/>
          <w:iCs/>
          <w:sz w:val="24"/>
          <w:szCs w:val="24"/>
        </w:rPr>
        <w:t>colorectal cancer screening program</w:t>
      </w:r>
      <w:r w:rsidRPr="008127D7">
        <w:rPr>
          <w:b/>
          <w:bCs/>
          <w:i/>
          <w:iCs/>
          <w:sz w:val="24"/>
          <w:szCs w:val="24"/>
        </w:rPr>
        <w:t xml:space="preserve"> </w:t>
      </w:r>
      <w:r w:rsidRPr="008127D7">
        <w:rPr>
          <w:bCs/>
          <w:iCs/>
          <w:sz w:val="24"/>
          <w:szCs w:val="24"/>
        </w:rPr>
        <w:t>and</w:t>
      </w:r>
      <w:r w:rsidRPr="008127D7">
        <w:rPr>
          <w:b/>
          <w:bCs/>
          <w:i/>
          <w:iCs/>
          <w:sz w:val="24"/>
          <w:szCs w:val="24"/>
        </w:rPr>
        <w:t xml:space="preserve"> </w:t>
      </w:r>
      <w:r w:rsidRPr="008127D7">
        <w:rPr>
          <w:bCs/>
          <w:iCs/>
          <w:sz w:val="24"/>
          <w:szCs w:val="24"/>
        </w:rPr>
        <w:t xml:space="preserve">to monitor program effectiveness, grantee programs will submit standardized data </w:t>
      </w:r>
      <w:r w:rsidRPr="008127D7">
        <w:rPr>
          <w:bCs/>
          <w:sz w:val="24"/>
          <w:szCs w:val="24"/>
        </w:rPr>
        <w:t xml:space="preserve">to CDC related to CRC screening, diagnostic follow-up, and treatment services that are part of the program.  </w:t>
      </w:r>
      <w:r w:rsidR="003005F9" w:rsidRPr="008127D7">
        <w:rPr>
          <w:bCs/>
          <w:sz w:val="24"/>
          <w:szCs w:val="24"/>
        </w:rPr>
        <w:t>Development of t</w:t>
      </w:r>
      <w:r w:rsidRPr="008127D7">
        <w:rPr>
          <w:bCs/>
          <w:sz w:val="24"/>
          <w:szCs w:val="24"/>
        </w:rPr>
        <w:t xml:space="preserve">he set of key Colorectal Cancer Clinical Data Elements (CCDEs), described in </w:t>
      </w:r>
      <w:r w:rsidRPr="008127D7">
        <w:rPr>
          <w:b/>
          <w:bCs/>
          <w:sz w:val="24"/>
          <w:szCs w:val="24"/>
        </w:rPr>
        <w:t>Attachment 3</w:t>
      </w:r>
      <w:r w:rsidR="00FD066B">
        <w:rPr>
          <w:b/>
          <w:bCs/>
          <w:sz w:val="24"/>
          <w:szCs w:val="24"/>
        </w:rPr>
        <w:t>b</w:t>
      </w:r>
      <w:r w:rsidRPr="008127D7">
        <w:rPr>
          <w:bCs/>
          <w:sz w:val="24"/>
          <w:szCs w:val="24"/>
        </w:rPr>
        <w:t xml:space="preserve">, was informed through </w:t>
      </w:r>
      <w:r w:rsidR="003005F9" w:rsidRPr="008127D7">
        <w:rPr>
          <w:bCs/>
          <w:sz w:val="24"/>
          <w:szCs w:val="24"/>
        </w:rPr>
        <w:t xml:space="preserve">interactions involving </w:t>
      </w:r>
      <w:r w:rsidRPr="008127D7">
        <w:rPr>
          <w:bCs/>
          <w:sz w:val="24"/>
          <w:szCs w:val="24"/>
        </w:rPr>
        <w:t>CDC, grantees and the demonstration program</w:t>
      </w:r>
      <w:r w:rsidR="00FB29D4">
        <w:rPr>
          <w:bCs/>
          <w:sz w:val="24"/>
          <w:szCs w:val="24"/>
        </w:rPr>
        <w:t xml:space="preserve"> with the assistance of outside experts providing consultation on data</w:t>
      </w:r>
      <w:r w:rsidR="00294510">
        <w:rPr>
          <w:bCs/>
          <w:sz w:val="24"/>
          <w:szCs w:val="24"/>
        </w:rPr>
        <w:t>-related</w:t>
      </w:r>
      <w:r w:rsidR="00FB29D4">
        <w:rPr>
          <w:bCs/>
          <w:sz w:val="24"/>
          <w:szCs w:val="24"/>
        </w:rPr>
        <w:t xml:space="preserve"> issues (</w:t>
      </w:r>
      <w:r w:rsidR="00FB29D4" w:rsidRPr="00FB29D4">
        <w:rPr>
          <w:b/>
          <w:bCs/>
          <w:sz w:val="24"/>
          <w:szCs w:val="24"/>
        </w:rPr>
        <w:t>Attachment 6</w:t>
      </w:r>
      <w:r w:rsidR="00FB29D4">
        <w:rPr>
          <w:bCs/>
          <w:sz w:val="24"/>
          <w:szCs w:val="24"/>
        </w:rPr>
        <w:t>).</w:t>
      </w:r>
      <w:r w:rsidRPr="008127D7">
        <w:rPr>
          <w:bCs/>
          <w:sz w:val="24"/>
          <w:szCs w:val="24"/>
        </w:rPr>
        <w:t xml:space="preserve">   Grantees</w:t>
      </w:r>
      <w:r w:rsidRPr="008127D7">
        <w:rPr>
          <w:color w:val="000000"/>
          <w:sz w:val="24"/>
          <w:szCs w:val="24"/>
        </w:rPr>
        <w:t xml:space="preserve"> will also receive a Data User’s Manual </w:t>
      </w:r>
      <w:r w:rsidRPr="008127D7">
        <w:rPr>
          <w:b/>
          <w:color w:val="000000"/>
          <w:sz w:val="24"/>
          <w:szCs w:val="24"/>
        </w:rPr>
        <w:t>(Attachment 3</w:t>
      </w:r>
      <w:r w:rsidR="00FD066B">
        <w:rPr>
          <w:b/>
          <w:color w:val="000000"/>
          <w:sz w:val="24"/>
          <w:szCs w:val="24"/>
        </w:rPr>
        <w:t>c</w:t>
      </w:r>
      <w:r w:rsidRPr="008127D7">
        <w:rPr>
          <w:b/>
          <w:color w:val="000000"/>
          <w:sz w:val="24"/>
          <w:szCs w:val="24"/>
        </w:rPr>
        <w:t>)</w:t>
      </w:r>
      <w:r w:rsidRPr="008127D7">
        <w:rPr>
          <w:color w:val="000000"/>
          <w:sz w:val="24"/>
          <w:szCs w:val="24"/>
        </w:rPr>
        <w:t xml:space="preserve"> developed by CDC and the data contractor</w:t>
      </w:r>
      <w:r w:rsidRPr="00865ECD">
        <w:rPr>
          <w:color w:val="000000"/>
          <w:sz w:val="24"/>
          <w:szCs w:val="24"/>
        </w:rPr>
        <w:t xml:space="preserve"> that provide</w:t>
      </w:r>
      <w:r>
        <w:rPr>
          <w:color w:val="000000"/>
          <w:sz w:val="24"/>
          <w:szCs w:val="24"/>
        </w:rPr>
        <w:t>s</w:t>
      </w:r>
      <w:r w:rsidRPr="00865ECD">
        <w:rPr>
          <w:color w:val="000000"/>
          <w:sz w:val="24"/>
          <w:szCs w:val="24"/>
        </w:rPr>
        <w:t xml:space="preserve"> complete written instruction regarding </w:t>
      </w:r>
      <w:r>
        <w:rPr>
          <w:color w:val="000000"/>
          <w:sz w:val="24"/>
          <w:szCs w:val="24"/>
        </w:rPr>
        <w:t xml:space="preserve">CCDE </w:t>
      </w:r>
      <w:r w:rsidRPr="00865ECD">
        <w:rPr>
          <w:color w:val="000000"/>
          <w:sz w:val="24"/>
          <w:szCs w:val="24"/>
        </w:rPr>
        <w:t>data submission requirements, data variables, data field descriptions, report descriptions, etc.  Th</w:t>
      </w:r>
      <w:r>
        <w:rPr>
          <w:color w:val="000000"/>
          <w:sz w:val="24"/>
          <w:szCs w:val="24"/>
        </w:rPr>
        <w:t>is</w:t>
      </w:r>
      <w:r w:rsidRPr="00865ECD">
        <w:rPr>
          <w:color w:val="000000"/>
          <w:sz w:val="24"/>
          <w:szCs w:val="24"/>
        </w:rPr>
        <w:t xml:space="preserve"> document will support consistent submissions across </w:t>
      </w:r>
      <w:r>
        <w:rPr>
          <w:color w:val="000000"/>
          <w:sz w:val="24"/>
          <w:szCs w:val="24"/>
        </w:rPr>
        <w:t>grantee</w:t>
      </w:r>
      <w:r w:rsidRPr="00865ECD">
        <w:rPr>
          <w:color w:val="000000"/>
          <w:sz w:val="24"/>
          <w:szCs w:val="24"/>
        </w:rPr>
        <w:t xml:space="preserve"> programs.  The manual</w:t>
      </w:r>
      <w:r>
        <w:rPr>
          <w:color w:val="000000"/>
          <w:sz w:val="24"/>
          <w:szCs w:val="24"/>
        </w:rPr>
        <w:t xml:space="preserve"> is</w:t>
      </w:r>
      <w:r w:rsidRPr="00865ECD">
        <w:rPr>
          <w:color w:val="000000"/>
          <w:sz w:val="24"/>
          <w:szCs w:val="24"/>
        </w:rPr>
        <w:t xml:space="preserve"> accessible through a </w:t>
      </w:r>
      <w:r>
        <w:rPr>
          <w:color w:val="000000"/>
          <w:sz w:val="24"/>
          <w:szCs w:val="24"/>
        </w:rPr>
        <w:t>w</w:t>
      </w:r>
      <w:r w:rsidRPr="00865ECD">
        <w:rPr>
          <w:color w:val="000000"/>
          <w:sz w:val="24"/>
          <w:szCs w:val="24"/>
        </w:rPr>
        <w:t xml:space="preserve">eb-site for </w:t>
      </w:r>
      <w:r>
        <w:rPr>
          <w:color w:val="000000"/>
          <w:sz w:val="24"/>
          <w:szCs w:val="24"/>
        </w:rPr>
        <w:t>CRC screening program</w:t>
      </w:r>
      <w:r w:rsidRPr="00865ECD">
        <w:rPr>
          <w:color w:val="000000"/>
          <w:sz w:val="24"/>
          <w:szCs w:val="24"/>
        </w:rPr>
        <w:t xml:space="preserve"> Data Managers and Program Directors maintained by the </w:t>
      </w:r>
      <w:r>
        <w:rPr>
          <w:color w:val="000000"/>
          <w:sz w:val="24"/>
          <w:szCs w:val="24"/>
        </w:rPr>
        <w:t>d</w:t>
      </w:r>
      <w:r w:rsidRPr="00865ECD">
        <w:rPr>
          <w:color w:val="000000"/>
          <w:sz w:val="24"/>
          <w:szCs w:val="24"/>
        </w:rPr>
        <w:t xml:space="preserve">ata </w:t>
      </w:r>
      <w:r>
        <w:rPr>
          <w:color w:val="000000"/>
          <w:sz w:val="24"/>
          <w:szCs w:val="24"/>
        </w:rPr>
        <w:t>c</w:t>
      </w:r>
      <w:r w:rsidRPr="00865ECD">
        <w:rPr>
          <w:color w:val="000000"/>
          <w:sz w:val="24"/>
          <w:szCs w:val="24"/>
        </w:rPr>
        <w:t>ontractor.</w:t>
      </w:r>
      <w:r w:rsidR="007E3635">
        <w:rPr>
          <w:color w:val="000000"/>
          <w:sz w:val="24"/>
          <w:szCs w:val="24"/>
        </w:rPr>
        <w:t xml:space="preserve">  </w:t>
      </w:r>
    </w:p>
    <w:p w:rsidR="00DB5D24" w:rsidRDefault="00DB5D24" w:rsidP="008127D7">
      <w:pPr>
        <w:spacing w:line="360" w:lineRule="auto"/>
        <w:rPr>
          <w:bCs/>
          <w:sz w:val="24"/>
          <w:szCs w:val="24"/>
        </w:rPr>
      </w:pPr>
    </w:p>
    <w:p w:rsidR="00DB5D24" w:rsidRPr="00EE2B33" w:rsidRDefault="00DB5D24" w:rsidP="008127D7">
      <w:pPr>
        <w:spacing w:line="360" w:lineRule="auto"/>
        <w:rPr>
          <w:sz w:val="24"/>
          <w:szCs w:val="24"/>
        </w:rPr>
      </w:pPr>
      <w:r w:rsidRPr="00087923">
        <w:rPr>
          <w:sz w:val="24"/>
          <w:szCs w:val="24"/>
        </w:rPr>
        <w:t xml:space="preserve">Individual patient-level data will be collected on a continuous basis, but prepared for </w:t>
      </w:r>
      <w:r>
        <w:rPr>
          <w:sz w:val="24"/>
          <w:szCs w:val="24"/>
        </w:rPr>
        <w:t>semi-annual</w:t>
      </w:r>
      <w:r w:rsidRPr="00087923">
        <w:rPr>
          <w:sz w:val="24"/>
          <w:szCs w:val="24"/>
        </w:rPr>
        <w:t xml:space="preserve"> submission</w:t>
      </w:r>
      <w:r>
        <w:rPr>
          <w:sz w:val="24"/>
          <w:szCs w:val="24"/>
        </w:rPr>
        <w:t xml:space="preserve"> to CDC. Briefly, d</w:t>
      </w:r>
      <w:r w:rsidRPr="00087923">
        <w:rPr>
          <w:sz w:val="24"/>
          <w:szCs w:val="24"/>
        </w:rPr>
        <w:t xml:space="preserve">ata will be entered </w:t>
      </w:r>
      <w:r w:rsidRPr="000B0581">
        <w:rPr>
          <w:color w:val="000000"/>
          <w:sz w:val="24"/>
          <w:szCs w:val="24"/>
        </w:rPr>
        <w:t xml:space="preserve">into the </w:t>
      </w:r>
      <w:r>
        <w:rPr>
          <w:color w:val="000000"/>
          <w:sz w:val="24"/>
          <w:szCs w:val="24"/>
        </w:rPr>
        <w:t>grantee</w:t>
      </w:r>
      <w:r w:rsidRPr="000B0581">
        <w:rPr>
          <w:color w:val="000000"/>
          <w:sz w:val="24"/>
          <w:szCs w:val="24"/>
        </w:rPr>
        <w:t xml:space="preserve">'s </w:t>
      </w:r>
      <w:r>
        <w:rPr>
          <w:color w:val="000000"/>
          <w:sz w:val="24"/>
          <w:szCs w:val="24"/>
        </w:rPr>
        <w:t xml:space="preserve">electronic database and </w:t>
      </w:r>
      <w:r w:rsidR="00164DD6">
        <w:rPr>
          <w:color w:val="000000"/>
          <w:sz w:val="24"/>
          <w:szCs w:val="24"/>
        </w:rPr>
        <w:t xml:space="preserve">de-identified data will be </w:t>
      </w:r>
      <w:r>
        <w:rPr>
          <w:color w:val="000000"/>
          <w:sz w:val="24"/>
          <w:szCs w:val="24"/>
        </w:rPr>
        <w:t xml:space="preserve">exported to CDC </w:t>
      </w:r>
      <w:r w:rsidRPr="000B0581">
        <w:rPr>
          <w:color w:val="000000"/>
          <w:sz w:val="24"/>
          <w:szCs w:val="24"/>
        </w:rPr>
        <w:t xml:space="preserve">on </w:t>
      </w:r>
      <w:r w:rsidRPr="00087923">
        <w:rPr>
          <w:sz w:val="24"/>
          <w:szCs w:val="24"/>
        </w:rPr>
        <w:t xml:space="preserve">a </w:t>
      </w:r>
      <w:r>
        <w:rPr>
          <w:sz w:val="24"/>
          <w:szCs w:val="24"/>
        </w:rPr>
        <w:t>semi-annual</w:t>
      </w:r>
      <w:r w:rsidRPr="00087923">
        <w:rPr>
          <w:sz w:val="24"/>
          <w:szCs w:val="24"/>
        </w:rPr>
        <w:t xml:space="preserve"> basis</w:t>
      </w:r>
      <w:r>
        <w:rPr>
          <w:sz w:val="24"/>
          <w:szCs w:val="24"/>
        </w:rPr>
        <w:t xml:space="preserve">. </w:t>
      </w:r>
    </w:p>
    <w:p w:rsidR="00DB5D24" w:rsidRDefault="00DB5D24" w:rsidP="008127D7">
      <w:pPr>
        <w:spacing w:line="360" w:lineRule="auto"/>
        <w:rPr>
          <w:bCs/>
          <w:sz w:val="24"/>
          <w:szCs w:val="24"/>
        </w:rPr>
      </w:pPr>
    </w:p>
    <w:p w:rsidR="00DB5D24" w:rsidRPr="00087923" w:rsidRDefault="00DB5D24" w:rsidP="008127D7">
      <w:pPr>
        <w:spacing w:line="360" w:lineRule="auto"/>
        <w:rPr>
          <w:sz w:val="24"/>
          <w:szCs w:val="24"/>
        </w:rPr>
      </w:pPr>
      <w:r w:rsidRPr="00087923">
        <w:rPr>
          <w:bCs/>
          <w:sz w:val="24"/>
          <w:szCs w:val="24"/>
        </w:rPr>
        <w:t xml:space="preserve">CDC has retained </w:t>
      </w:r>
      <w:r>
        <w:rPr>
          <w:bCs/>
          <w:sz w:val="24"/>
          <w:szCs w:val="24"/>
        </w:rPr>
        <w:t xml:space="preserve">a </w:t>
      </w:r>
      <w:r w:rsidRPr="00087923">
        <w:rPr>
          <w:bCs/>
          <w:sz w:val="24"/>
          <w:szCs w:val="24"/>
        </w:rPr>
        <w:t>contractor</w:t>
      </w:r>
      <w:r>
        <w:rPr>
          <w:bCs/>
          <w:sz w:val="24"/>
          <w:szCs w:val="24"/>
        </w:rPr>
        <w:t xml:space="preserve"> </w:t>
      </w:r>
      <w:r w:rsidRPr="00087923">
        <w:rPr>
          <w:bCs/>
          <w:sz w:val="24"/>
          <w:szCs w:val="24"/>
        </w:rPr>
        <w:t xml:space="preserve">to assist CDC and programs with collection, management and analysis of clinical data. All data received from </w:t>
      </w:r>
      <w:r>
        <w:rPr>
          <w:bCs/>
          <w:sz w:val="24"/>
          <w:szCs w:val="24"/>
        </w:rPr>
        <w:t xml:space="preserve">grantee </w:t>
      </w:r>
      <w:r w:rsidRPr="00087923">
        <w:rPr>
          <w:bCs/>
          <w:sz w:val="24"/>
          <w:szCs w:val="24"/>
        </w:rPr>
        <w:t xml:space="preserve">programs will be submitted first to the data contractor, who will </w:t>
      </w:r>
      <w:r>
        <w:rPr>
          <w:bCs/>
          <w:sz w:val="24"/>
          <w:szCs w:val="24"/>
        </w:rPr>
        <w:t xml:space="preserve">work with the each grantee to identify and address data questions, </w:t>
      </w:r>
      <w:r w:rsidRPr="00087923">
        <w:rPr>
          <w:bCs/>
          <w:sz w:val="24"/>
          <w:szCs w:val="24"/>
        </w:rPr>
        <w:lastRenderedPageBreak/>
        <w:t>provide data checks</w:t>
      </w:r>
      <w:r>
        <w:rPr>
          <w:bCs/>
          <w:sz w:val="24"/>
          <w:szCs w:val="24"/>
        </w:rPr>
        <w:t>,</w:t>
      </w:r>
      <w:r w:rsidRPr="00087923">
        <w:rPr>
          <w:bCs/>
          <w:sz w:val="24"/>
          <w:szCs w:val="24"/>
        </w:rPr>
        <w:t xml:space="preserve"> and review the data </w:t>
      </w:r>
      <w:r w:rsidRPr="00087923">
        <w:rPr>
          <w:sz w:val="24"/>
          <w:szCs w:val="24"/>
        </w:rPr>
        <w:t xml:space="preserve">for completeness, and if necessary, request clarification from </w:t>
      </w:r>
      <w:r>
        <w:rPr>
          <w:sz w:val="24"/>
          <w:szCs w:val="24"/>
        </w:rPr>
        <w:t>grantee</w:t>
      </w:r>
      <w:r w:rsidRPr="00087923">
        <w:rPr>
          <w:sz w:val="24"/>
          <w:szCs w:val="24"/>
        </w:rPr>
        <w:t xml:space="preserve">s.  </w:t>
      </w:r>
    </w:p>
    <w:p w:rsidR="00DB5D24" w:rsidRPr="00087923" w:rsidRDefault="00DB5D24" w:rsidP="00DB5D24">
      <w:pPr>
        <w:widowControl w:val="0"/>
        <w:spacing w:line="360" w:lineRule="auto"/>
        <w:ind w:firstLine="720"/>
        <w:rPr>
          <w:bCs/>
          <w:sz w:val="24"/>
          <w:szCs w:val="24"/>
        </w:rPr>
      </w:pPr>
    </w:p>
    <w:p w:rsidR="00DB5D24" w:rsidRDefault="00DB5D24" w:rsidP="0093345E">
      <w:pPr>
        <w:widowControl w:val="0"/>
        <w:spacing w:line="360" w:lineRule="auto"/>
        <w:rPr>
          <w:sz w:val="24"/>
          <w:szCs w:val="24"/>
        </w:rPr>
      </w:pPr>
      <w:r>
        <w:rPr>
          <w:color w:val="000000"/>
          <w:sz w:val="24"/>
          <w:szCs w:val="24"/>
        </w:rPr>
        <w:t>An analysis file will be created from the data, and will be used to produce three types of feedback reports: 1) an Error Summary Report, 2) a Data Quality Indicator Guide Report and 3) a Service Quality Indicator Guide Report (</w:t>
      </w:r>
      <w:r w:rsidRPr="00F93B12">
        <w:rPr>
          <w:b/>
          <w:sz w:val="24"/>
          <w:szCs w:val="24"/>
        </w:rPr>
        <w:t>Attachment</w:t>
      </w:r>
      <w:r>
        <w:rPr>
          <w:b/>
          <w:sz w:val="24"/>
          <w:szCs w:val="24"/>
        </w:rPr>
        <w:t>s 4</w:t>
      </w:r>
      <w:r w:rsidRPr="00F93B12">
        <w:rPr>
          <w:b/>
          <w:sz w:val="24"/>
          <w:szCs w:val="24"/>
        </w:rPr>
        <w:t>a, b, and c</w:t>
      </w:r>
      <w:r>
        <w:rPr>
          <w:color w:val="000000"/>
          <w:sz w:val="24"/>
          <w:szCs w:val="24"/>
        </w:rPr>
        <w:t xml:space="preserve">). </w:t>
      </w:r>
      <w:r w:rsidR="00164DD6">
        <w:rPr>
          <w:color w:val="000000"/>
          <w:sz w:val="24"/>
          <w:szCs w:val="24"/>
        </w:rPr>
        <w:t xml:space="preserve"> </w:t>
      </w:r>
      <w:r>
        <w:rPr>
          <w:color w:val="000000"/>
          <w:sz w:val="24"/>
          <w:szCs w:val="24"/>
        </w:rPr>
        <w:t>Program site</w:t>
      </w:r>
      <w:r w:rsidRPr="000B0581">
        <w:rPr>
          <w:color w:val="000000"/>
          <w:sz w:val="24"/>
          <w:szCs w:val="24"/>
        </w:rPr>
        <w:t xml:space="preserve">-specific Error Summary Reports will contain counts and associated percentages for blank field errors, inter-field relationship errors and inter-record relationship errors in each data set.  </w:t>
      </w:r>
      <w:r>
        <w:rPr>
          <w:color w:val="000000"/>
          <w:sz w:val="24"/>
          <w:szCs w:val="24"/>
        </w:rPr>
        <w:t>Program site-</w:t>
      </w:r>
      <w:r w:rsidRPr="000B0581">
        <w:rPr>
          <w:color w:val="000000"/>
          <w:sz w:val="24"/>
          <w:szCs w:val="24"/>
        </w:rPr>
        <w:t xml:space="preserve">specific </w:t>
      </w:r>
      <w:r>
        <w:rPr>
          <w:color w:val="000000"/>
          <w:sz w:val="24"/>
          <w:szCs w:val="24"/>
        </w:rPr>
        <w:t>Data Quality Indicator Guide Reports</w:t>
      </w:r>
      <w:r w:rsidRPr="000B0581">
        <w:rPr>
          <w:color w:val="000000"/>
          <w:sz w:val="24"/>
          <w:szCs w:val="24"/>
        </w:rPr>
        <w:t xml:space="preserve"> </w:t>
      </w:r>
      <w:r>
        <w:rPr>
          <w:color w:val="000000"/>
          <w:sz w:val="24"/>
          <w:szCs w:val="24"/>
        </w:rPr>
        <w:t xml:space="preserve">will be used to provide </w:t>
      </w:r>
      <w:r w:rsidRPr="000B0581">
        <w:rPr>
          <w:color w:val="000000"/>
          <w:sz w:val="24"/>
          <w:szCs w:val="24"/>
        </w:rPr>
        <w:t xml:space="preserve">feedback to </w:t>
      </w:r>
      <w:r>
        <w:rPr>
          <w:color w:val="000000"/>
          <w:sz w:val="24"/>
          <w:szCs w:val="24"/>
        </w:rPr>
        <w:t>grantee</w:t>
      </w:r>
      <w:r w:rsidRPr="000B0581">
        <w:rPr>
          <w:color w:val="000000"/>
          <w:sz w:val="24"/>
          <w:szCs w:val="24"/>
        </w:rPr>
        <w:t>s about the quality, completeness and timeliness of their data within the most recent 18 months of data reporting</w:t>
      </w:r>
      <w:r>
        <w:rPr>
          <w:color w:val="000000"/>
          <w:sz w:val="24"/>
          <w:szCs w:val="24"/>
        </w:rPr>
        <w:t>,</w:t>
      </w:r>
      <w:r w:rsidRPr="000B0581">
        <w:rPr>
          <w:color w:val="000000"/>
          <w:sz w:val="24"/>
          <w:szCs w:val="24"/>
        </w:rPr>
        <w:t xml:space="preserve"> using tables and record audits.  </w:t>
      </w:r>
      <w:r>
        <w:rPr>
          <w:color w:val="000000"/>
          <w:sz w:val="24"/>
          <w:szCs w:val="24"/>
        </w:rPr>
        <w:t>Finally, the contractor</w:t>
      </w:r>
      <w:r w:rsidRPr="000B0581">
        <w:rPr>
          <w:color w:val="000000"/>
          <w:sz w:val="24"/>
          <w:szCs w:val="24"/>
        </w:rPr>
        <w:t xml:space="preserve"> will create an aggregated analysis file </w:t>
      </w:r>
      <w:r>
        <w:rPr>
          <w:color w:val="000000"/>
          <w:sz w:val="24"/>
          <w:szCs w:val="24"/>
        </w:rPr>
        <w:t>to generate</w:t>
      </w:r>
      <w:r w:rsidRPr="000B0581">
        <w:rPr>
          <w:color w:val="000000"/>
          <w:sz w:val="24"/>
          <w:szCs w:val="24"/>
        </w:rPr>
        <w:t xml:space="preserve"> standardized, </w:t>
      </w:r>
      <w:r>
        <w:rPr>
          <w:color w:val="000000"/>
          <w:sz w:val="24"/>
          <w:szCs w:val="24"/>
        </w:rPr>
        <w:t>CRC screening program</w:t>
      </w:r>
      <w:r w:rsidRPr="000B0581">
        <w:rPr>
          <w:color w:val="000000"/>
          <w:sz w:val="24"/>
          <w:szCs w:val="24"/>
        </w:rPr>
        <w:t xml:space="preserve"> surveillance reports </w:t>
      </w:r>
      <w:r>
        <w:rPr>
          <w:color w:val="000000"/>
          <w:sz w:val="24"/>
          <w:szCs w:val="24"/>
        </w:rPr>
        <w:t xml:space="preserve">(Service Quality Indicator Guide Reports) </w:t>
      </w:r>
      <w:r w:rsidRPr="000B0581">
        <w:rPr>
          <w:color w:val="000000"/>
          <w:sz w:val="24"/>
          <w:szCs w:val="24"/>
        </w:rPr>
        <w:t xml:space="preserve">and </w:t>
      </w:r>
      <w:r>
        <w:rPr>
          <w:color w:val="000000"/>
          <w:sz w:val="24"/>
          <w:szCs w:val="24"/>
        </w:rPr>
        <w:t xml:space="preserve">any additional </w:t>
      </w:r>
      <w:r w:rsidRPr="000B0581">
        <w:rPr>
          <w:color w:val="000000"/>
          <w:sz w:val="24"/>
          <w:szCs w:val="24"/>
        </w:rPr>
        <w:t xml:space="preserve">special CDC requests.  Plots or graphs will be generated to provide fiscal year data for age and race demographics, counts of persons served, procedures performed and cancer incidence. </w:t>
      </w:r>
      <w:r>
        <w:rPr>
          <w:color w:val="000000"/>
          <w:sz w:val="24"/>
          <w:szCs w:val="24"/>
        </w:rPr>
        <w:t xml:space="preserve"> </w:t>
      </w:r>
      <w:r w:rsidRPr="00087923">
        <w:rPr>
          <w:sz w:val="24"/>
          <w:szCs w:val="24"/>
        </w:rPr>
        <w:t xml:space="preserve">Once the feedback reports are distributed to CDC, they will be shared with </w:t>
      </w:r>
      <w:r>
        <w:rPr>
          <w:sz w:val="24"/>
          <w:szCs w:val="24"/>
        </w:rPr>
        <w:t>grantees</w:t>
      </w:r>
      <w:r w:rsidRPr="00087923">
        <w:rPr>
          <w:sz w:val="24"/>
          <w:szCs w:val="24"/>
        </w:rPr>
        <w:t xml:space="preserve"> and used for quality improvement of the delivery of services</w:t>
      </w:r>
      <w:r>
        <w:rPr>
          <w:sz w:val="24"/>
          <w:szCs w:val="24"/>
        </w:rPr>
        <w:t xml:space="preserve">. </w:t>
      </w:r>
      <w:r w:rsidRPr="00B25486">
        <w:rPr>
          <w:sz w:val="24"/>
          <w:szCs w:val="24"/>
        </w:rPr>
        <w:t xml:space="preserve">These data and reports will also be used as part of the overall evaluation of the </w:t>
      </w:r>
      <w:r w:rsidRPr="00087923">
        <w:rPr>
          <w:sz w:val="24"/>
          <w:szCs w:val="24"/>
        </w:rPr>
        <w:t>screening program</w:t>
      </w:r>
      <w:r>
        <w:rPr>
          <w:sz w:val="24"/>
          <w:szCs w:val="24"/>
        </w:rPr>
        <w:t>, which will include the development of evaluation reports</w:t>
      </w:r>
      <w:r w:rsidRPr="00087923">
        <w:rPr>
          <w:sz w:val="24"/>
          <w:szCs w:val="24"/>
        </w:rPr>
        <w:t xml:space="preserve">. </w:t>
      </w:r>
      <w:r w:rsidRPr="00732CB8">
        <w:rPr>
          <w:sz w:val="24"/>
          <w:szCs w:val="24"/>
        </w:rPr>
        <w:t xml:space="preserve">The feedback reports </w:t>
      </w:r>
      <w:r>
        <w:rPr>
          <w:sz w:val="24"/>
          <w:szCs w:val="24"/>
        </w:rPr>
        <w:t>will be</w:t>
      </w:r>
      <w:r w:rsidRPr="00732CB8">
        <w:rPr>
          <w:sz w:val="24"/>
          <w:szCs w:val="24"/>
        </w:rPr>
        <w:t xml:space="preserve"> used for quality assurance in the short term, and as program evaluation tools in the long term</w:t>
      </w:r>
      <w:r>
        <w:rPr>
          <w:sz w:val="24"/>
          <w:szCs w:val="24"/>
        </w:rPr>
        <w:t>.</w:t>
      </w:r>
    </w:p>
    <w:p w:rsidR="00DB5D24" w:rsidRPr="00F15C02" w:rsidRDefault="00DB5D24" w:rsidP="00DB5D24">
      <w:pPr>
        <w:spacing w:line="360" w:lineRule="auto"/>
        <w:rPr>
          <w:sz w:val="24"/>
          <w:szCs w:val="24"/>
        </w:rPr>
      </w:pPr>
    </w:p>
    <w:p w:rsidR="00DB5D24" w:rsidRPr="00F15C02" w:rsidRDefault="00DB5D24" w:rsidP="001B5C96">
      <w:pPr>
        <w:autoSpaceDE w:val="0"/>
        <w:autoSpaceDN w:val="0"/>
        <w:adjustRightInd w:val="0"/>
        <w:spacing w:line="360" w:lineRule="auto"/>
        <w:rPr>
          <w:sz w:val="24"/>
          <w:szCs w:val="24"/>
        </w:rPr>
      </w:pPr>
      <w:r w:rsidRPr="00F15C02">
        <w:rPr>
          <w:sz w:val="24"/>
          <w:szCs w:val="24"/>
        </w:rPr>
        <w:t>Additionally, we are undertaking an economic analysis of this program</w:t>
      </w:r>
      <w:r>
        <w:rPr>
          <w:sz w:val="24"/>
          <w:szCs w:val="24"/>
        </w:rPr>
        <w:t>, supported through a contractor</w:t>
      </w:r>
      <w:r w:rsidRPr="00F15C02">
        <w:rPr>
          <w:sz w:val="24"/>
          <w:szCs w:val="24"/>
        </w:rPr>
        <w:t xml:space="preserve">. </w:t>
      </w:r>
      <w:r w:rsidR="003005F9">
        <w:rPr>
          <w:sz w:val="24"/>
          <w:szCs w:val="24"/>
        </w:rPr>
        <w:t xml:space="preserve"> </w:t>
      </w:r>
      <w:r>
        <w:rPr>
          <w:sz w:val="24"/>
          <w:szCs w:val="24"/>
        </w:rPr>
        <w:t>Program-level activity-based cost data will be collected to identify resources expended on the different activities and components of the program.  In addition to direct service provision, grantees are required to engage in activities to support a public health approach to increase screening, including client recruitment, patient support services, professional education, partnerships, program management and evaluation.  The cost information will be collected via</w:t>
      </w:r>
      <w:r w:rsidR="003657D1">
        <w:rPr>
          <w:sz w:val="24"/>
          <w:szCs w:val="24"/>
        </w:rPr>
        <w:t xml:space="preserve"> a web-based</w:t>
      </w:r>
      <w:r>
        <w:rPr>
          <w:sz w:val="24"/>
          <w:szCs w:val="24"/>
        </w:rPr>
        <w:t xml:space="preserve"> tool (see </w:t>
      </w:r>
      <w:r w:rsidRPr="00284944">
        <w:rPr>
          <w:b/>
          <w:sz w:val="24"/>
          <w:szCs w:val="24"/>
        </w:rPr>
        <w:t>Attachment</w:t>
      </w:r>
      <w:r w:rsidR="005F17B6" w:rsidRPr="00284944">
        <w:rPr>
          <w:b/>
          <w:sz w:val="24"/>
          <w:szCs w:val="24"/>
        </w:rPr>
        <w:t>s</w:t>
      </w:r>
      <w:r w:rsidRPr="00284944">
        <w:rPr>
          <w:b/>
          <w:sz w:val="24"/>
          <w:szCs w:val="24"/>
        </w:rPr>
        <w:t xml:space="preserve"> 5</w:t>
      </w:r>
      <w:r w:rsidR="005F17B6" w:rsidRPr="00284944">
        <w:rPr>
          <w:b/>
          <w:sz w:val="24"/>
          <w:szCs w:val="24"/>
        </w:rPr>
        <w:t xml:space="preserve"> and 5a</w:t>
      </w:r>
      <w:r>
        <w:rPr>
          <w:sz w:val="24"/>
          <w:szCs w:val="24"/>
        </w:rPr>
        <w:t>, CAT data collection).  Cost data will be collected</w:t>
      </w:r>
      <w:r w:rsidR="001B5C96">
        <w:rPr>
          <w:sz w:val="24"/>
          <w:szCs w:val="24"/>
        </w:rPr>
        <w:t xml:space="preserve"> annually. </w:t>
      </w:r>
    </w:p>
    <w:p w:rsidR="00DB5D24" w:rsidRPr="00C60FF5" w:rsidRDefault="00DB5D24" w:rsidP="00C60FF5">
      <w:pPr>
        <w:spacing w:line="360" w:lineRule="auto"/>
        <w:rPr>
          <w:sz w:val="24"/>
          <w:szCs w:val="24"/>
        </w:rPr>
      </w:pPr>
      <w:r w:rsidRPr="00C60FF5">
        <w:rPr>
          <w:sz w:val="24"/>
          <w:szCs w:val="24"/>
        </w:rPr>
        <w:t>Upon submission of the data the evaluation contractor will analyze the CAT.   The evaluation contractor will calculate the cost by activities and the cost by budget categories for each grantee’s review and approval.</w:t>
      </w:r>
    </w:p>
    <w:p w:rsidR="00D92293" w:rsidRPr="00C60FF5" w:rsidRDefault="00D92293" w:rsidP="00C60FF5">
      <w:pPr>
        <w:spacing w:line="360" w:lineRule="auto"/>
        <w:rPr>
          <w:sz w:val="24"/>
          <w:szCs w:val="24"/>
        </w:rPr>
      </w:pPr>
    </w:p>
    <w:p w:rsidR="00D92293" w:rsidRPr="00C60FF5" w:rsidRDefault="00D92293" w:rsidP="00C60FF5">
      <w:pPr>
        <w:spacing w:line="360" w:lineRule="auto"/>
        <w:rPr>
          <w:b/>
          <w:sz w:val="24"/>
          <w:szCs w:val="24"/>
        </w:rPr>
      </w:pPr>
      <w:r w:rsidRPr="00C60FF5">
        <w:rPr>
          <w:b/>
          <w:sz w:val="24"/>
          <w:szCs w:val="24"/>
        </w:rPr>
        <w:t>B.3</w:t>
      </w:r>
      <w:r w:rsidRPr="00C60FF5">
        <w:rPr>
          <w:b/>
          <w:sz w:val="24"/>
          <w:szCs w:val="24"/>
        </w:rPr>
        <w:tab/>
        <w:t>Methods to Maximize Response Rates and Deal with Nonresponse</w:t>
      </w:r>
    </w:p>
    <w:p w:rsidR="00D92293" w:rsidRPr="00C60FF5" w:rsidRDefault="00D92293" w:rsidP="00C60FF5">
      <w:pPr>
        <w:spacing w:line="360" w:lineRule="auto"/>
        <w:rPr>
          <w:sz w:val="24"/>
          <w:szCs w:val="24"/>
        </w:rPr>
      </w:pPr>
    </w:p>
    <w:p w:rsidR="007F69BE" w:rsidRPr="00C60FF5" w:rsidRDefault="000D4769" w:rsidP="00C60FF5">
      <w:pPr>
        <w:spacing w:line="360" w:lineRule="auto"/>
        <w:rPr>
          <w:sz w:val="24"/>
          <w:szCs w:val="24"/>
        </w:rPr>
      </w:pPr>
      <w:r w:rsidRPr="00C60FF5">
        <w:rPr>
          <w:sz w:val="24"/>
          <w:szCs w:val="24"/>
        </w:rPr>
        <w:t>Grantees are required to participate in the information collection as described in the Funding Opportunity Announcement.</w:t>
      </w:r>
    </w:p>
    <w:p w:rsidR="00D92293" w:rsidRPr="00C60FF5" w:rsidRDefault="00D92293" w:rsidP="00C60FF5">
      <w:pPr>
        <w:spacing w:line="360" w:lineRule="auto"/>
        <w:rPr>
          <w:sz w:val="24"/>
          <w:szCs w:val="24"/>
        </w:rPr>
      </w:pPr>
    </w:p>
    <w:p w:rsidR="00D92293" w:rsidRPr="00C60FF5" w:rsidRDefault="00D92293" w:rsidP="00C60FF5">
      <w:pPr>
        <w:spacing w:line="360" w:lineRule="auto"/>
        <w:rPr>
          <w:b/>
          <w:sz w:val="24"/>
          <w:szCs w:val="24"/>
        </w:rPr>
      </w:pPr>
      <w:r w:rsidRPr="00C60FF5">
        <w:rPr>
          <w:b/>
          <w:sz w:val="24"/>
          <w:szCs w:val="24"/>
        </w:rPr>
        <w:t>B.4</w:t>
      </w:r>
      <w:r w:rsidRPr="00C60FF5">
        <w:rPr>
          <w:b/>
          <w:sz w:val="24"/>
          <w:szCs w:val="24"/>
        </w:rPr>
        <w:tab/>
        <w:t>Tests of Procedures or Methods to be Undertaken</w:t>
      </w:r>
    </w:p>
    <w:p w:rsidR="00D92293" w:rsidRPr="00C60FF5" w:rsidRDefault="00D92293" w:rsidP="00C95935">
      <w:pPr>
        <w:spacing w:line="360" w:lineRule="auto"/>
        <w:rPr>
          <w:sz w:val="24"/>
          <w:szCs w:val="24"/>
        </w:rPr>
      </w:pPr>
    </w:p>
    <w:p w:rsidR="00166240" w:rsidRPr="00166240" w:rsidRDefault="00166240" w:rsidP="003F1B48">
      <w:pPr>
        <w:pStyle w:val="BodyText"/>
        <w:spacing w:line="360" w:lineRule="auto"/>
        <w:rPr>
          <w:rFonts w:cs="Courier New"/>
          <w:color w:val="000000"/>
          <w:sz w:val="24"/>
          <w:szCs w:val="24"/>
        </w:rPr>
      </w:pPr>
      <w:r>
        <w:rPr>
          <w:sz w:val="24"/>
          <w:szCs w:val="24"/>
        </w:rPr>
        <w:t xml:space="preserve">The data management and reporting systems developed and maintained by the CDC have been internally tested by CRC screening program funded site staff and the data contractor.  Following the demonstration phase of the project, </w:t>
      </w:r>
      <w:r w:rsidR="009F17C8">
        <w:rPr>
          <w:sz w:val="24"/>
          <w:szCs w:val="24"/>
        </w:rPr>
        <w:t xml:space="preserve">changes </w:t>
      </w:r>
      <w:r>
        <w:rPr>
          <w:sz w:val="24"/>
          <w:szCs w:val="24"/>
        </w:rPr>
        <w:t>were made to streamline the collection</w:t>
      </w:r>
      <w:r w:rsidR="00244D0D">
        <w:rPr>
          <w:sz w:val="24"/>
          <w:szCs w:val="24"/>
        </w:rPr>
        <w:t xml:space="preserve"> </w:t>
      </w:r>
      <w:r w:rsidR="009F17C8">
        <w:rPr>
          <w:sz w:val="24"/>
          <w:szCs w:val="24"/>
        </w:rPr>
        <w:t xml:space="preserve">and </w:t>
      </w:r>
      <w:r w:rsidR="00244D0D">
        <w:rPr>
          <w:sz w:val="24"/>
          <w:szCs w:val="24"/>
        </w:rPr>
        <w:t>approved by OMB on 6/30/2010.</w:t>
      </w:r>
      <w:r w:rsidR="00B65198" w:rsidRPr="00C60FF5">
        <w:rPr>
          <w:sz w:val="24"/>
          <w:szCs w:val="24"/>
        </w:rPr>
        <w:t xml:space="preserve">.  </w:t>
      </w:r>
      <w:r w:rsidR="000D4769" w:rsidRPr="00C60FF5">
        <w:rPr>
          <w:sz w:val="24"/>
          <w:szCs w:val="24"/>
        </w:rPr>
        <w:t>The</w:t>
      </w:r>
      <w:r w:rsidR="00DA0CDB" w:rsidRPr="00C60FF5">
        <w:rPr>
          <w:sz w:val="24"/>
          <w:szCs w:val="24"/>
        </w:rPr>
        <w:t xml:space="preserve"> web-based </w:t>
      </w:r>
      <w:r w:rsidR="000D4769" w:rsidRPr="00C60FF5">
        <w:rPr>
          <w:sz w:val="24"/>
          <w:szCs w:val="24"/>
        </w:rPr>
        <w:t>tool</w:t>
      </w:r>
      <w:r w:rsidR="00DA0CDB" w:rsidRPr="00C60FF5">
        <w:rPr>
          <w:sz w:val="24"/>
          <w:szCs w:val="24"/>
        </w:rPr>
        <w:t xml:space="preserve"> </w:t>
      </w:r>
      <w:r w:rsidR="00B65198" w:rsidRPr="00C60FF5">
        <w:rPr>
          <w:sz w:val="24"/>
          <w:szCs w:val="24"/>
        </w:rPr>
        <w:t>for activity</w:t>
      </w:r>
      <w:r w:rsidR="00B65198">
        <w:rPr>
          <w:sz w:val="24"/>
          <w:szCs w:val="24"/>
        </w:rPr>
        <w:t xml:space="preserve">-based cost assessment </w:t>
      </w:r>
      <w:r w:rsidR="00DA0CDB">
        <w:rPr>
          <w:sz w:val="24"/>
          <w:szCs w:val="24"/>
        </w:rPr>
        <w:t>was developed by the evaluation contractor and</w:t>
      </w:r>
      <w:r w:rsidR="000D4769">
        <w:rPr>
          <w:sz w:val="24"/>
          <w:szCs w:val="24"/>
        </w:rPr>
        <w:t xml:space="preserve"> was</w:t>
      </w:r>
      <w:r w:rsidR="00DA0CDB">
        <w:rPr>
          <w:sz w:val="24"/>
          <w:szCs w:val="24"/>
        </w:rPr>
        <w:t xml:space="preserve"> tes</w:t>
      </w:r>
      <w:r w:rsidR="00B65198">
        <w:rPr>
          <w:sz w:val="24"/>
          <w:szCs w:val="24"/>
        </w:rPr>
        <w:t>ted with 5 grantees during the D</w:t>
      </w:r>
      <w:r w:rsidR="00DA0CDB">
        <w:rPr>
          <w:sz w:val="24"/>
          <w:szCs w:val="24"/>
        </w:rPr>
        <w:t>emonstration</w:t>
      </w:r>
      <w:r w:rsidR="000D4769">
        <w:rPr>
          <w:sz w:val="24"/>
          <w:szCs w:val="24"/>
        </w:rPr>
        <w:t xml:space="preserve"> phase of the CRC screening program</w:t>
      </w:r>
      <w:r w:rsidR="00394821">
        <w:rPr>
          <w:sz w:val="24"/>
          <w:szCs w:val="24"/>
        </w:rPr>
        <w:t xml:space="preserve"> and</w:t>
      </w:r>
      <w:r w:rsidR="00DA0CDB">
        <w:rPr>
          <w:sz w:val="24"/>
          <w:szCs w:val="24"/>
        </w:rPr>
        <w:t>.</w:t>
      </w:r>
      <w:r w:rsidR="005767C5">
        <w:rPr>
          <w:sz w:val="24"/>
          <w:szCs w:val="24"/>
        </w:rPr>
        <w:t xml:space="preserve">informed by CDC’s experience with the instrument in the data collection entitled “Economic Analysis of the National Program of Cancer Registries </w:t>
      </w:r>
      <w:r w:rsidR="005767C5" w:rsidRPr="00394821">
        <w:rPr>
          <w:sz w:val="24"/>
          <w:szCs w:val="24"/>
        </w:rPr>
        <w:t>(NPCR)” (</w:t>
      </w:r>
      <w:r w:rsidR="005767C5">
        <w:rPr>
          <w:sz w:val="24"/>
          <w:szCs w:val="24"/>
        </w:rPr>
        <w:t>OMB No. 0920-0812, exp</w:t>
      </w:r>
      <w:r w:rsidR="003F1B48">
        <w:rPr>
          <w:sz w:val="24"/>
          <w:szCs w:val="24"/>
        </w:rPr>
        <w:t>.</w:t>
      </w:r>
      <w:r w:rsidR="005767C5">
        <w:rPr>
          <w:sz w:val="24"/>
          <w:szCs w:val="24"/>
        </w:rPr>
        <w:t xml:space="preserve"> 6/30/2012). </w:t>
      </w:r>
      <w:r w:rsidR="00DA0CDB">
        <w:rPr>
          <w:sz w:val="24"/>
          <w:szCs w:val="24"/>
        </w:rPr>
        <w:t xml:space="preserve"> </w:t>
      </w:r>
      <w:r w:rsidRPr="00166240">
        <w:rPr>
          <w:rFonts w:cs="Courier New"/>
          <w:color w:val="000000"/>
          <w:sz w:val="24"/>
          <w:szCs w:val="24"/>
        </w:rPr>
        <w:t xml:space="preserve">  </w:t>
      </w:r>
    </w:p>
    <w:p w:rsidR="007F69BE" w:rsidRDefault="007F69BE" w:rsidP="00C95935">
      <w:pPr>
        <w:spacing w:line="360" w:lineRule="auto"/>
      </w:pPr>
    </w:p>
    <w:p w:rsidR="00D92293" w:rsidRPr="00C60FF5" w:rsidRDefault="00D92293" w:rsidP="000D4769">
      <w:pPr>
        <w:spacing w:line="360" w:lineRule="auto"/>
        <w:rPr>
          <w:b/>
          <w:sz w:val="24"/>
          <w:szCs w:val="24"/>
        </w:rPr>
      </w:pPr>
      <w:r w:rsidRPr="00C60FF5">
        <w:rPr>
          <w:b/>
          <w:sz w:val="24"/>
          <w:szCs w:val="24"/>
        </w:rPr>
        <w:t>B.5</w:t>
      </w:r>
      <w:r w:rsidRPr="00C60FF5">
        <w:rPr>
          <w:b/>
          <w:sz w:val="24"/>
          <w:szCs w:val="24"/>
        </w:rPr>
        <w:tab/>
        <w:t>Individuals Consulted on Statistical Aspects and Individuals Collecting and/or Analyzing Data</w:t>
      </w:r>
    </w:p>
    <w:p w:rsidR="007F69BE" w:rsidRPr="00C60FF5" w:rsidRDefault="007F69BE" w:rsidP="00164DD6">
      <w:pPr>
        <w:spacing w:line="360" w:lineRule="auto"/>
        <w:rPr>
          <w:b/>
          <w:sz w:val="24"/>
          <w:szCs w:val="24"/>
        </w:rPr>
      </w:pPr>
    </w:p>
    <w:p w:rsidR="007B7817" w:rsidRPr="00982337" w:rsidRDefault="007B7817" w:rsidP="00164DD6">
      <w:pPr>
        <w:widowControl w:val="0"/>
        <w:spacing w:line="360" w:lineRule="auto"/>
        <w:rPr>
          <w:color w:val="000000"/>
          <w:sz w:val="24"/>
          <w:szCs w:val="24"/>
        </w:rPr>
      </w:pPr>
      <w:r w:rsidRPr="00C60FF5">
        <w:rPr>
          <w:color w:val="000000"/>
          <w:sz w:val="24"/>
          <w:szCs w:val="24"/>
        </w:rPr>
        <w:t>The data collection</w:t>
      </w:r>
      <w:r w:rsidRPr="00982337">
        <w:rPr>
          <w:color w:val="000000"/>
          <w:sz w:val="24"/>
          <w:szCs w:val="24"/>
        </w:rPr>
        <w:t xml:space="preserve"> was designed by the Division of Cancer Prevention and Control, National Center for Chronic Disease Prevention and Health Promotion, Centers for Disease Control and Prevention, 4770 Buford Highway NE, Mail Stop K-52, Atlanta, GA 30341-3717, with assistance from </w:t>
      </w:r>
      <w:r w:rsidR="00D829B3">
        <w:rPr>
          <w:color w:val="000000"/>
          <w:sz w:val="24"/>
          <w:szCs w:val="24"/>
        </w:rPr>
        <w:t xml:space="preserve">staff of CDC and </w:t>
      </w:r>
      <w:r w:rsidR="0082191D">
        <w:rPr>
          <w:color w:val="000000"/>
          <w:sz w:val="24"/>
          <w:szCs w:val="24"/>
        </w:rPr>
        <w:t>data contractor</w:t>
      </w:r>
      <w:r w:rsidR="00D829B3">
        <w:rPr>
          <w:color w:val="000000"/>
          <w:sz w:val="24"/>
          <w:szCs w:val="24"/>
        </w:rPr>
        <w:t>s</w:t>
      </w:r>
      <w:r w:rsidR="0082191D">
        <w:rPr>
          <w:color w:val="000000"/>
          <w:sz w:val="24"/>
          <w:szCs w:val="24"/>
        </w:rPr>
        <w:t xml:space="preserve"> Information Management Services, Inc.</w:t>
      </w:r>
      <w:r w:rsidR="00DC0108">
        <w:rPr>
          <w:color w:val="000000"/>
          <w:sz w:val="24"/>
          <w:szCs w:val="24"/>
        </w:rPr>
        <w:t>,</w:t>
      </w:r>
      <w:r w:rsidR="0082191D">
        <w:rPr>
          <w:color w:val="000000"/>
          <w:sz w:val="24"/>
          <w:szCs w:val="24"/>
        </w:rPr>
        <w:t xml:space="preserve"> (IMS) and RTI International (</w:t>
      </w:r>
      <w:r w:rsidRPr="00982337">
        <w:rPr>
          <w:color w:val="000000"/>
          <w:sz w:val="24"/>
          <w:szCs w:val="24"/>
        </w:rPr>
        <w:t xml:space="preserve"> RTI</w:t>
      </w:r>
      <w:r w:rsidR="0082191D">
        <w:rPr>
          <w:color w:val="000000"/>
          <w:sz w:val="24"/>
          <w:szCs w:val="24"/>
        </w:rPr>
        <w:t>)</w:t>
      </w:r>
      <w:r w:rsidRPr="00982337">
        <w:rPr>
          <w:color w:val="000000"/>
          <w:sz w:val="24"/>
          <w:szCs w:val="24"/>
        </w:rPr>
        <w:t>, including from CDC: Laura Seeff MD, Marion Nadel PhD, Blythe Ryerson MPH, Florence Tangka Ph</w:t>
      </w:r>
      <w:r>
        <w:rPr>
          <w:color w:val="000000"/>
          <w:sz w:val="24"/>
          <w:szCs w:val="24"/>
        </w:rPr>
        <w:t>D, Djenaba Joseph MD</w:t>
      </w:r>
      <w:r w:rsidR="00E65FC1">
        <w:rPr>
          <w:color w:val="000000"/>
          <w:sz w:val="24"/>
          <w:szCs w:val="24"/>
        </w:rPr>
        <w:t>, Amy DeGroff</w:t>
      </w:r>
      <w:r w:rsidR="00C5213A">
        <w:rPr>
          <w:color w:val="000000"/>
          <w:sz w:val="24"/>
          <w:szCs w:val="24"/>
        </w:rPr>
        <w:t xml:space="preserve"> PhD, Janet Royalty MS</w:t>
      </w:r>
      <w:r w:rsidRPr="00982337">
        <w:rPr>
          <w:color w:val="000000"/>
          <w:sz w:val="24"/>
          <w:szCs w:val="24"/>
        </w:rPr>
        <w:t xml:space="preserve">; from IMS: Bill Helsel, Bill Kammerer, Cindy Mattingly and Steve Marroulis; and from RTI: Sujha Subramanian PhD and </w:t>
      </w:r>
      <w:r w:rsidR="00E65FC1">
        <w:rPr>
          <w:color w:val="000000"/>
          <w:sz w:val="24"/>
          <w:szCs w:val="24"/>
        </w:rPr>
        <w:t>Son</w:t>
      </w:r>
      <w:r w:rsidR="001B5C96">
        <w:rPr>
          <w:color w:val="000000"/>
          <w:sz w:val="24"/>
          <w:szCs w:val="24"/>
        </w:rPr>
        <w:t>j</w:t>
      </w:r>
      <w:r w:rsidR="00E65FC1">
        <w:rPr>
          <w:color w:val="000000"/>
          <w:sz w:val="24"/>
          <w:szCs w:val="24"/>
        </w:rPr>
        <w:t xml:space="preserve">a </w:t>
      </w:r>
      <w:r w:rsidR="002A7AB4">
        <w:rPr>
          <w:color w:val="000000"/>
          <w:sz w:val="24"/>
          <w:szCs w:val="24"/>
        </w:rPr>
        <w:t xml:space="preserve">Hoover MPP.  </w:t>
      </w:r>
      <w:r w:rsidRPr="00982337">
        <w:rPr>
          <w:color w:val="000000"/>
          <w:sz w:val="24"/>
          <w:szCs w:val="24"/>
        </w:rPr>
        <w:t xml:space="preserve"> All CDC staff listed w</w:t>
      </w:r>
      <w:r>
        <w:rPr>
          <w:color w:val="000000"/>
          <w:sz w:val="24"/>
          <w:szCs w:val="24"/>
        </w:rPr>
        <w:t>ere</w:t>
      </w:r>
      <w:r w:rsidRPr="00982337">
        <w:rPr>
          <w:color w:val="000000"/>
          <w:sz w:val="24"/>
          <w:szCs w:val="24"/>
        </w:rPr>
        <w:t xml:space="preserve"> involved in the design of the data collection and will be involved </w:t>
      </w:r>
      <w:r w:rsidR="00250646">
        <w:rPr>
          <w:color w:val="000000"/>
          <w:sz w:val="24"/>
          <w:szCs w:val="24"/>
        </w:rPr>
        <w:t>in</w:t>
      </w:r>
      <w:r w:rsidRPr="00982337">
        <w:rPr>
          <w:color w:val="000000"/>
          <w:sz w:val="24"/>
          <w:szCs w:val="24"/>
        </w:rPr>
        <w:t xml:space="preserve"> analysis of the data for evaluation purposes.  </w:t>
      </w:r>
    </w:p>
    <w:p w:rsidR="007B7817" w:rsidRPr="00A844E6" w:rsidRDefault="007B7817" w:rsidP="00164DD6">
      <w:pPr>
        <w:widowControl w:val="0"/>
        <w:spacing w:line="360" w:lineRule="auto"/>
        <w:rPr>
          <w:color w:val="000000"/>
          <w:sz w:val="24"/>
          <w:szCs w:val="24"/>
        </w:rPr>
      </w:pPr>
    </w:p>
    <w:p w:rsidR="007B7817" w:rsidRPr="00982337" w:rsidRDefault="007B7817" w:rsidP="00164DD6">
      <w:pPr>
        <w:widowControl w:val="0"/>
        <w:spacing w:line="360" w:lineRule="auto"/>
        <w:rPr>
          <w:color w:val="000000"/>
          <w:sz w:val="24"/>
          <w:szCs w:val="24"/>
        </w:rPr>
      </w:pPr>
      <w:r w:rsidRPr="00982337">
        <w:rPr>
          <w:color w:val="000000"/>
          <w:sz w:val="24"/>
          <w:szCs w:val="24"/>
        </w:rPr>
        <w:lastRenderedPageBreak/>
        <w:t xml:space="preserve">The CDC Project Officer for the </w:t>
      </w:r>
      <w:r>
        <w:rPr>
          <w:color w:val="000000"/>
          <w:sz w:val="24"/>
          <w:szCs w:val="24"/>
        </w:rPr>
        <w:t xml:space="preserve">IMS </w:t>
      </w:r>
      <w:r w:rsidRPr="00982337">
        <w:rPr>
          <w:color w:val="000000"/>
          <w:sz w:val="24"/>
          <w:szCs w:val="24"/>
        </w:rPr>
        <w:t xml:space="preserve">data management contract is Janet Royalty, MS (770-488-3085), Data Manager at the Program Services Branch, Division of Cancer Prevention and Control, National Center for Chronic Disease Prevention and Health Promotion, Centers for Disease Control and Prevention, 4770 Buford Highway NE, Mail Stop K-57, Atlanta, GA 30341-3717.  </w:t>
      </w:r>
    </w:p>
    <w:p w:rsidR="007B7817" w:rsidRDefault="007B7817" w:rsidP="00164DD6">
      <w:pPr>
        <w:spacing w:line="360" w:lineRule="auto"/>
        <w:rPr>
          <w:sz w:val="24"/>
          <w:szCs w:val="24"/>
        </w:rPr>
      </w:pPr>
    </w:p>
    <w:p w:rsidR="007B7817" w:rsidRPr="00C60FF5" w:rsidRDefault="007B7817" w:rsidP="000D4769">
      <w:pPr>
        <w:spacing w:line="360" w:lineRule="auto"/>
        <w:rPr>
          <w:b/>
          <w:sz w:val="24"/>
          <w:szCs w:val="24"/>
        </w:rPr>
      </w:pPr>
      <w:r w:rsidRPr="00065954">
        <w:rPr>
          <w:sz w:val="24"/>
          <w:szCs w:val="24"/>
        </w:rPr>
        <w:t xml:space="preserve">The CDC Project Officer for the </w:t>
      </w:r>
      <w:r>
        <w:rPr>
          <w:sz w:val="24"/>
          <w:szCs w:val="24"/>
        </w:rPr>
        <w:t xml:space="preserve">RTI </w:t>
      </w:r>
      <w:r w:rsidR="00A37EC7">
        <w:rPr>
          <w:sz w:val="24"/>
          <w:szCs w:val="24"/>
        </w:rPr>
        <w:t xml:space="preserve">economic </w:t>
      </w:r>
      <w:r w:rsidRPr="00065954">
        <w:rPr>
          <w:sz w:val="24"/>
          <w:szCs w:val="24"/>
        </w:rPr>
        <w:t xml:space="preserve">evaluation contract is </w:t>
      </w:r>
      <w:r w:rsidR="00A37EC7">
        <w:rPr>
          <w:sz w:val="24"/>
          <w:szCs w:val="24"/>
        </w:rPr>
        <w:t>Florence Tangka, PhD</w:t>
      </w:r>
      <w:r w:rsidRPr="00065954">
        <w:rPr>
          <w:sz w:val="24"/>
          <w:szCs w:val="24"/>
        </w:rPr>
        <w:t xml:space="preserve"> (770-488-</w:t>
      </w:r>
      <w:r w:rsidR="00A37EC7">
        <w:rPr>
          <w:sz w:val="24"/>
          <w:szCs w:val="24"/>
        </w:rPr>
        <w:t>1183</w:t>
      </w:r>
      <w:r w:rsidRPr="00065954">
        <w:rPr>
          <w:sz w:val="24"/>
          <w:szCs w:val="24"/>
        </w:rPr>
        <w:t xml:space="preserve">), </w:t>
      </w:r>
      <w:r w:rsidR="00E264E7">
        <w:rPr>
          <w:sz w:val="24"/>
          <w:szCs w:val="24"/>
        </w:rPr>
        <w:t xml:space="preserve">Senior </w:t>
      </w:r>
      <w:r w:rsidRPr="00065954">
        <w:rPr>
          <w:sz w:val="24"/>
          <w:szCs w:val="24"/>
        </w:rPr>
        <w:t>Health E</w:t>
      </w:r>
      <w:r w:rsidR="00A37EC7">
        <w:rPr>
          <w:sz w:val="24"/>
          <w:szCs w:val="24"/>
        </w:rPr>
        <w:t>conomist</w:t>
      </w:r>
      <w:r w:rsidRPr="00065954">
        <w:rPr>
          <w:sz w:val="24"/>
          <w:szCs w:val="24"/>
        </w:rPr>
        <w:t xml:space="preserve"> at the </w:t>
      </w:r>
      <w:r w:rsidR="00E264E7">
        <w:rPr>
          <w:sz w:val="24"/>
          <w:szCs w:val="24"/>
        </w:rPr>
        <w:t xml:space="preserve">Epidemiology and Applied Statistics </w:t>
      </w:r>
      <w:r w:rsidRPr="00065954">
        <w:rPr>
          <w:sz w:val="24"/>
          <w:szCs w:val="24"/>
        </w:rPr>
        <w:t xml:space="preserve">Branch, Division of Cancer Prevention and Control, National Center for Chronic Disease Prevention and Health Promotion, Centers for Disease Control and Prevention, 4770 Buford Highway NE, Mail Stop K-57, Atlanta, GA 30341-3717.  </w:t>
      </w:r>
      <w:r>
        <w:rPr>
          <w:sz w:val="24"/>
          <w:szCs w:val="24"/>
        </w:rPr>
        <w:t xml:space="preserve">Evaluation activities performed by RTI are </w:t>
      </w:r>
      <w:r w:rsidR="00164DD6">
        <w:rPr>
          <w:sz w:val="24"/>
          <w:szCs w:val="24"/>
        </w:rPr>
        <w:t>conducted</w:t>
      </w:r>
      <w:r>
        <w:rPr>
          <w:sz w:val="24"/>
          <w:szCs w:val="24"/>
        </w:rPr>
        <w:t xml:space="preserve"> </w:t>
      </w:r>
      <w:r w:rsidRPr="00C60FF5">
        <w:rPr>
          <w:sz w:val="24"/>
          <w:szCs w:val="24"/>
        </w:rPr>
        <w:t xml:space="preserve">under the direction of </w:t>
      </w:r>
      <w:r w:rsidR="00E264E7" w:rsidRPr="00C60FF5">
        <w:rPr>
          <w:color w:val="000000"/>
          <w:sz w:val="24"/>
          <w:szCs w:val="24"/>
        </w:rPr>
        <w:t>Sujha Subramanian PhD</w:t>
      </w:r>
      <w:r w:rsidRPr="00C60FF5">
        <w:rPr>
          <w:sz w:val="24"/>
          <w:szCs w:val="24"/>
        </w:rPr>
        <w:t xml:space="preserve"> (</w:t>
      </w:r>
      <w:r w:rsidR="00184432" w:rsidRPr="00C60FF5">
        <w:rPr>
          <w:sz w:val="24"/>
          <w:szCs w:val="24"/>
        </w:rPr>
        <w:t>781-434-1722</w:t>
      </w:r>
      <w:r w:rsidRPr="00C60FF5">
        <w:rPr>
          <w:sz w:val="24"/>
          <w:szCs w:val="24"/>
        </w:rPr>
        <w:t xml:space="preserve">), </w:t>
      </w:r>
      <w:r w:rsidR="00576F64" w:rsidRPr="00C60FF5">
        <w:rPr>
          <w:sz w:val="24"/>
          <w:szCs w:val="24"/>
        </w:rPr>
        <w:t xml:space="preserve">Senior </w:t>
      </w:r>
      <w:r w:rsidRPr="00C60FF5">
        <w:rPr>
          <w:iCs/>
          <w:sz w:val="24"/>
          <w:szCs w:val="24"/>
        </w:rPr>
        <w:t xml:space="preserve">Health </w:t>
      </w:r>
      <w:r w:rsidR="00184432" w:rsidRPr="00C60FF5">
        <w:rPr>
          <w:iCs/>
          <w:sz w:val="24"/>
          <w:szCs w:val="24"/>
        </w:rPr>
        <w:t>Economist</w:t>
      </w:r>
      <w:r w:rsidRPr="00C60FF5">
        <w:rPr>
          <w:bCs/>
          <w:sz w:val="24"/>
          <w:szCs w:val="24"/>
        </w:rPr>
        <w:t>,</w:t>
      </w:r>
      <w:r w:rsidRPr="00C60FF5">
        <w:rPr>
          <w:sz w:val="24"/>
          <w:szCs w:val="24"/>
        </w:rPr>
        <w:t xml:space="preserve"> RTI International, 3040 Cornwallis Road RTP, NC  27709. </w:t>
      </w:r>
      <w:r w:rsidRPr="00C60FF5">
        <w:rPr>
          <w:sz w:val="24"/>
          <w:szCs w:val="24"/>
        </w:rPr>
        <w:br/>
      </w:r>
    </w:p>
    <w:p w:rsidR="000C094E" w:rsidRPr="00C60FF5" w:rsidRDefault="000C094E" w:rsidP="000D4769">
      <w:pPr>
        <w:spacing w:line="360" w:lineRule="auto"/>
        <w:rPr>
          <w:b/>
          <w:sz w:val="24"/>
          <w:szCs w:val="24"/>
        </w:rPr>
      </w:pPr>
      <w:r w:rsidRPr="00C60FF5">
        <w:rPr>
          <w:b/>
          <w:sz w:val="24"/>
          <w:szCs w:val="24"/>
        </w:rPr>
        <w:t>Person(s) responsible for Designing the Data Collection:</w:t>
      </w:r>
    </w:p>
    <w:p w:rsidR="00C60FF5" w:rsidRDefault="000C094E" w:rsidP="00C60FF5">
      <w:pPr>
        <w:rPr>
          <w:sz w:val="24"/>
          <w:szCs w:val="24"/>
        </w:rPr>
      </w:pPr>
      <w:r w:rsidRPr="00C60FF5">
        <w:rPr>
          <w:sz w:val="24"/>
          <w:szCs w:val="24"/>
        </w:rPr>
        <w:t>Janet Royalty</w:t>
      </w:r>
      <w:r w:rsidR="00C60FF5">
        <w:rPr>
          <w:sz w:val="24"/>
          <w:szCs w:val="24"/>
        </w:rPr>
        <w:tab/>
      </w:r>
      <w:r w:rsidR="00C60FF5">
        <w:rPr>
          <w:sz w:val="24"/>
          <w:szCs w:val="24"/>
        </w:rPr>
        <w:tab/>
      </w:r>
      <w:r w:rsidR="00C60FF5">
        <w:rPr>
          <w:sz w:val="24"/>
          <w:szCs w:val="24"/>
        </w:rPr>
        <w:tab/>
      </w:r>
      <w:r w:rsidR="00C60FF5">
        <w:rPr>
          <w:sz w:val="24"/>
          <w:szCs w:val="24"/>
        </w:rPr>
        <w:tab/>
      </w:r>
      <w:r w:rsidR="00C60FF5" w:rsidRPr="00C60FF5">
        <w:rPr>
          <w:sz w:val="24"/>
          <w:szCs w:val="24"/>
        </w:rPr>
        <w:t>Florence Tangka</w:t>
      </w:r>
    </w:p>
    <w:p w:rsidR="00C60FF5" w:rsidRPr="00C60FF5" w:rsidRDefault="000C094E" w:rsidP="00C60FF5">
      <w:pPr>
        <w:rPr>
          <w:sz w:val="24"/>
          <w:szCs w:val="24"/>
        </w:rPr>
      </w:pPr>
      <w:r w:rsidRPr="00C60FF5">
        <w:rPr>
          <w:sz w:val="24"/>
          <w:szCs w:val="24"/>
        </w:rPr>
        <w:t>CDC/DCPC</w:t>
      </w:r>
      <w:r w:rsidR="00C60FF5">
        <w:rPr>
          <w:sz w:val="24"/>
          <w:szCs w:val="24"/>
        </w:rPr>
        <w:tab/>
      </w:r>
      <w:r w:rsidR="00C60FF5">
        <w:rPr>
          <w:sz w:val="24"/>
          <w:szCs w:val="24"/>
        </w:rPr>
        <w:tab/>
      </w:r>
      <w:r w:rsidR="00C60FF5">
        <w:rPr>
          <w:sz w:val="24"/>
          <w:szCs w:val="24"/>
        </w:rPr>
        <w:tab/>
      </w:r>
      <w:r w:rsidR="00C60FF5">
        <w:rPr>
          <w:sz w:val="24"/>
          <w:szCs w:val="24"/>
        </w:rPr>
        <w:tab/>
      </w:r>
      <w:r w:rsidR="00C60FF5" w:rsidRPr="00C60FF5">
        <w:rPr>
          <w:sz w:val="24"/>
          <w:szCs w:val="24"/>
        </w:rPr>
        <w:t>CDC/DCPC</w:t>
      </w:r>
    </w:p>
    <w:p w:rsidR="000C094E" w:rsidRPr="00C60FF5" w:rsidRDefault="000C094E" w:rsidP="000C094E">
      <w:pPr>
        <w:rPr>
          <w:sz w:val="24"/>
          <w:szCs w:val="24"/>
        </w:rPr>
      </w:pPr>
      <w:r w:rsidRPr="00C60FF5">
        <w:rPr>
          <w:sz w:val="24"/>
          <w:szCs w:val="24"/>
        </w:rPr>
        <w:t>770-488-3085</w:t>
      </w:r>
      <w:r w:rsidR="00C60FF5">
        <w:rPr>
          <w:sz w:val="24"/>
          <w:szCs w:val="24"/>
        </w:rPr>
        <w:tab/>
      </w:r>
      <w:r w:rsidR="00C60FF5">
        <w:rPr>
          <w:sz w:val="24"/>
          <w:szCs w:val="24"/>
        </w:rPr>
        <w:tab/>
      </w:r>
      <w:r w:rsidR="00C60FF5">
        <w:rPr>
          <w:sz w:val="24"/>
          <w:szCs w:val="24"/>
        </w:rPr>
        <w:tab/>
      </w:r>
      <w:r w:rsidR="00C60FF5">
        <w:rPr>
          <w:sz w:val="24"/>
          <w:szCs w:val="24"/>
        </w:rPr>
        <w:tab/>
      </w:r>
      <w:r w:rsidR="00C60FF5" w:rsidRPr="00C60FF5">
        <w:rPr>
          <w:sz w:val="24"/>
          <w:szCs w:val="24"/>
        </w:rPr>
        <w:t>770-488-1183</w:t>
      </w:r>
    </w:p>
    <w:p w:rsidR="00C60FF5" w:rsidRPr="00C60FF5" w:rsidRDefault="008C28E9" w:rsidP="00C60FF5">
      <w:pPr>
        <w:rPr>
          <w:sz w:val="24"/>
          <w:szCs w:val="24"/>
        </w:rPr>
      </w:pPr>
      <w:hyperlink r:id="rId13" w:history="1">
        <w:r w:rsidR="000C094E" w:rsidRPr="00C60FF5">
          <w:rPr>
            <w:rStyle w:val="Hyperlink"/>
            <w:sz w:val="24"/>
            <w:szCs w:val="24"/>
          </w:rPr>
          <w:t>JRoyalty@cdc.gov</w:t>
        </w:r>
      </w:hyperlink>
      <w:r w:rsidR="00C60FF5" w:rsidRPr="00C60FF5">
        <w:rPr>
          <w:sz w:val="24"/>
          <w:szCs w:val="24"/>
        </w:rPr>
        <w:t xml:space="preserve"> </w:t>
      </w:r>
      <w:r w:rsidR="00C60FF5">
        <w:rPr>
          <w:sz w:val="24"/>
          <w:szCs w:val="24"/>
        </w:rPr>
        <w:tab/>
      </w:r>
      <w:r w:rsidR="00C60FF5">
        <w:rPr>
          <w:sz w:val="24"/>
          <w:szCs w:val="24"/>
        </w:rPr>
        <w:tab/>
      </w:r>
      <w:r w:rsidR="00C60FF5">
        <w:rPr>
          <w:sz w:val="24"/>
          <w:szCs w:val="24"/>
        </w:rPr>
        <w:tab/>
      </w:r>
      <w:r w:rsidR="00C60FF5" w:rsidRPr="00C60FF5">
        <w:rPr>
          <w:sz w:val="24"/>
          <w:szCs w:val="24"/>
        </w:rPr>
        <w:t>FTangka@cdc.gov</w:t>
      </w:r>
    </w:p>
    <w:p w:rsidR="000C094E" w:rsidRPr="00C60FF5" w:rsidRDefault="000C094E" w:rsidP="000C094E">
      <w:pPr>
        <w:rPr>
          <w:sz w:val="24"/>
          <w:szCs w:val="24"/>
        </w:rPr>
      </w:pPr>
    </w:p>
    <w:p w:rsidR="000C094E" w:rsidRPr="00C60FF5" w:rsidRDefault="000C094E" w:rsidP="000C094E">
      <w:pPr>
        <w:rPr>
          <w:b/>
          <w:sz w:val="24"/>
          <w:szCs w:val="24"/>
        </w:rPr>
      </w:pPr>
    </w:p>
    <w:p w:rsidR="000C094E" w:rsidRPr="00C60FF5" w:rsidRDefault="000C094E" w:rsidP="000C094E">
      <w:pPr>
        <w:rPr>
          <w:b/>
          <w:sz w:val="24"/>
          <w:szCs w:val="24"/>
        </w:rPr>
      </w:pPr>
      <w:r w:rsidRPr="00C60FF5">
        <w:rPr>
          <w:b/>
          <w:sz w:val="24"/>
          <w:szCs w:val="24"/>
        </w:rPr>
        <w:t xml:space="preserve">Person(s) responsible for Collecting </w:t>
      </w:r>
      <w:r w:rsidR="006C6C20" w:rsidRPr="00C60FF5">
        <w:rPr>
          <w:b/>
          <w:sz w:val="24"/>
          <w:szCs w:val="24"/>
        </w:rPr>
        <w:t xml:space="preserve">and Analyzing </w:t>
      </w:r>
      <w:r w:rsidRPr="00C60FF5">
        <w:rPr>
          <w:b/>
          <w:sz w:val="24"/>
          <w:szCs w:val="24"/>
        </w:rPr>
        <w:t>Information:</w:t>
      </w:r>
    </w:p>
    <w:p w:rsidR="000C094E" w:rsidRPr="00C60FF5" w:rsidRDefault="000C094E" w:rsidP="000C094E">
      <w:pPr>
        <w:rPr>
          <w:b/>
          <w:sz w:val="24"/>
          <w:szCs w:val="24"/>
        </w:rPr>
      </w:pPr>
    </w:p>
    <w:p w:rsidR="000C094E" w:rsidRPr="00967852" w:rsidRDefault="009544C8" w:rsidP="000C094E">
      <w:pPr>
        <w:rPr>
          <w:sz w:val="24"/>
          <w:szCs w:val="24"/>
        </w:rPr>
      </w:pPr>
      <w:r w:rsidRPr="00967852">
        <w:rPr>
          <w:sz w:val="24"/>
          <w:szCs w:val="24"/>
        </w:rPr>
        <w:t>Bill Helsel</w:t>
      </w:r>
    </w:p>
    <w:p w:rsidR="009544C8" w:rsidRPr="00067A42" w:rsidRDefault="009544C8" w:rsidP="009544C8">
      <w:pPr>
        <w:autoSpaceDE w:val="0"/>
        <w:autoSpaceDN w:val="0"/>
        <w:adjustRightInd w:val="0"/>
        <w:rPr>
          <w:sz w:val="24"/>
          <w:szCs w:val="24"/>
        </w:rPr>
      </w:pPr>
      <w:r w:rsidRPr="00067A42">
        <w:rPr>
          <w:sz w:val="24"/>
          <w:szCs w:val="24"/>
        </w:rPr>
        <w:t>Information Management Services, Inc.</w:t>
      </w:r>
    </w:p>
    <w:p w:rsidR="009544C8" w:rsidRPr="00067A42" w:rsidRDefault="009544C8" w:rsidP="009544C8">
      <w:pPr>
        <w:rPr>
          <w:sz w:val="24"/>
          <w:szCs w:val="24"/>
        </w:rPr>
      </w:pPr>
      <w:r w:rsidRPr="00067A42">
        <w:rPr>
          <w:sz w:val="24"/>
          <w:szCs w:val="24"/>
        </w:rPr>
        <w:t>301-680-9770</w:t>
      </w:r>
    </w:p>
    <w:p w:rsidR="009544C8" w:rsidRPr="00967852" w:rsidRDefault="008C28E9" w:rsidP="009544C8">
      <w:pPr>
        <w:rPr>
          <w:color w:val="0000FF"/>
          <w:sz w:val="24"/>
          <w:szCs w:val="24"/>
        </w:rPr>
      </w:pPr>
      <w:hyperlink r:id="rId14" w:history="1">
        <w:r w:rsidR="009544C8" w:rsidRPr="00967852">
          <w:rPr>
            <w:rStyle w:val="Hyperlink"/>
            <w:sz w:val="24"/>
            <w:szCs w:val="24"/>
          </w:rPr>
          <w:t>helselb@imsweb.com</w:t>
        </w:r>
      </w:hyperlink>
    </w:p>
    <w:p w:rsidR="009544C8" w:rsidRPr="00967852" w:rsidRDefault="009544C8" w:rsidP="009544C8">
      <w:pPr>
        <w:rPr>
          <w:color w:val="0000FF"/>
          <w:sz w:val="24"/>
          <w:szCs w:val="24"/>
        </w:rPr>
      </w:pPr>
    </w:p>
    <w:p w:rsidR="00C60FF5" w:rsidRPr="00967852" w:rsidRDefault="00A52D86" w:rsidP="00C60FF5">
      <w:pPr>
        <w:rPr>
          <w:sz w:val="24"/>
          <w:szCs w:val="24"/>
        </w:rPr>
      </w:pPr>
      <w:r w:rsidRPr="00967852">
        <w:rPr>
          <w:color w:val="000000"/>
          <w:sz w:val="24"/>
          <w:szCs w:val="24"/>
        </w:rPr>
        <w:t>Sujha Subramanian PhD</w:t>
      </w:r>
      <w:r w:rsidR="00C60FF5" w:rsidRPr="00967852">
        <w:rPr>
          <w:color w:val="000000"/>
          <w:sz w:val="24"/>
          <w:szCs w:val="24"/>
        </w:rPr>
        <w:tab/>
      </w:r>
      <w:r w:rsidR="00C60FF5" w:rsidRPr="00967852">
        <w:rPr>
          <w:color w:val="000000"/>
          <w:sz w:val="24"/>
          <w:szCs w:val="24"/>
        </w:rPr>
        <w:tab/>
      </w:r>
      <w:r w:rsidR="00C60FF5" w:rsidRPr="00967852">
        <w:rPr>
          <w:sz w:val="24"/>
          <w:szCs w:val="24"/>
        </w:rPr>
        <w:t>Son</w:t>
      </w:r>
      <w:r w:rsidR="001B5C96">
        <w:rPr>
          <w:sz w:val="24"/>
          <w:szCs w:val="24"/>
        </w:rPr>
        <w:t>j</w:t>
      </w:r>
      <w:r w:rsidR="00C60FF5" w:rsidRPr="00967852">
        <w:rPr>
          <w:sz w:val="24"/>
          <w:szCs w:val="24"/>
        </w:rPr>
        <w:t>a Hoover</w:t>
      </w:r>
    </w:p>
    <w:p w:rsidR="00A52D86" w:rsidRPr="00967852" w:rsidRDefault="00A52D86" w:rsidP="009544C8">
      <w:pPr>
        <w:rPr>
          <w:color w:val="000000"/>
          <w:sz w:val="24"/>
          <w:szCs w:val="24"/>
        </w:rPr>
      </w:pPr>
      <w:r w:rsidRPr="00967852">
        <w:rPr>
          <w:color w:val="000000"/>
          <w:sz w:val="24"/>
          <w:szCs w:val="24"/>
        </w:rPr>
        <w:t>RTI</w:t>
      </w:r>
      <w:r w:rsidR="00C60FF5" w:rsidRPr="00967852">
        <w:rPr>
          <w:color w:val="000000"/>
          <w:sz w:val="24"/>
          <w:szCs w:val="24"/>
        </w:rPr>
        <w:tab/>
      </w:r>
      <w:r w:rsidR="00C60FF5" w:rsidRPr="00967852">
        <w:rPr>
          <w:color w:val="000000"/>
          <w:sz w:val="24"/>
          <w:szCs w:val="24"/>
        </w:rPr>
        <w:tab/>
      </w:r>
      <w:r w:rsidR="00C60FF5" w:rsidRPr="00967852">
        <w:rPr>
          <w:color w:val="000000"/>
          <w:sz w:val="24"/>
          <w:szCs w:val="24"/>
        </w:rPr>
        <w:tab/>
      </w:r>
      <w:r w:rsidR="00C60FF5" w:rsidRPr="00967852">
        <w:rPr>
          <w:color w:val="000000"/>
          <w:sz w:val="24"/>
          <w:szCs w:val="24"/>
        </w:rPr>
        <w:tab/>
      </w:r>
      <w:r w:rsidR="00C60FF5" w:rsidRPr="00967852">
        <w:rPr>
          <w:color w:val="000000"/>
          <w:sz w:val="24"/>
          <w:szCs w:val="24"/>
        </w:rPr>
        <w:tab/>
        <w:t>RTI</w:t>
      </w:r>
    </w:p>
    <w:p w:rsidR="00A52D86" w:rsidRPr="00967852" w:rsidRDefault="00C60FF5" w:rsidP="009544C8">
      <w:pPr>
        <w:rPr>
          <w:sz w:val="24"/>
          <w:szCs w:val="24"/>
        </w:rPr>
      </w:pPr>
      <w:r w:rsidRPr="00967852">
        <w:rPr>
          <w:sz w:val="24"/>
          <w:szCs w:val="24"/>
        </w:rPr>
        <w:t>781-434-1722</w:t>
      </w:r>
      <w:r w:rsidRPr="00967852">
        <w:rPr>
          <w:sz w:val="24"/>
          <w:szCs w:val="24"/>
        </w:rPr>
        <w:tab/>
      </w:r>
      <w:r w:rsidRPr="00967852">
        <w:rPr>
          <w:sz w:val="24"/>
          <w:szCs w:val="24"/>
        </w:rPr>
        <w:tab/>
      </w:r>
      <w:r w:rsidRPr="00967852">
        <w:rPr>
          <w:sz w:val="24"/>
          <w:szCs w:val="24"/>
        </w:rPr>
        <w:tab/>
      </w:r>
      <w:r w:rsidRPr="00967852">
        <w:rPr>
          <w:sz w:val="24"/>
          <w:szCs w:val="24"/>
        </w:rPr>
        <w:tab/>
        <w:t xml:space="preserve">781.434.1722 </w:t>
      </w:r>
    </w:p>
    <w:p w:rsidR="00C60FF5" w:rsidRPr="00967852" w:rsidRDefault="008C28E9" w:rsidP="00C60FF5">
      <w:pPr>
        <w:rPr>
          <w:sz w:val="24"/>
          <w:szCs w:val="24"/>
        </w:rPr>
      </w:pPr>
      <w:hyperlink r:id="rId15" w:history="1">
        <w:r w:rsidR="00A52D86" w:rsidRPr="00967852">
          <w:rPr>
            <w:rStyle w:val="Hyperlink"/>
            <w:sz w:val="24"/>
            <w:szCs w:val="24"/>
          </w:rPr>
          <w:t>ssubramanian@rti.org</w:t>
        </w:r>
      </w:hyperlink>
      <w:r w:rsidR="00C60FF5" w:rsidRPr="00967852">
        <w:rPr>
          <w:sz w:val="24"/>
          <w:szCs w:val="24"/>
        </w:rPr>
        <w:t xml:space="preserve"> </w:t>
      </w:r>
      <w:r w:rsidR="00C60FF5" w:rsidRPr="00967852">
        <w:rPr>
          <w:sz w:val="24"/>
          <w:szCs w:val="24"/>
        </w:rPr>
        <w:tab/>
      </w:r>
      <w:r w:rsidR="00C60FF5" w:rsidRPr="00967852">
        <w:rPr>
          <w:sz w:val="24"/>
          <w:szCs w:val="24"/>
        </w:rPr>
        <w:tab/>
      </w:r>
      <w:hyperlink r:id="rId16" w:history="1">
        <w:r w:rsidR="00C60FF5" w:rsidRPr="00967852">
          <w:rPr>
            <w:rStyle w:val="Hyperlink"/>
            <w:sz w:val="24"/>
            <w:szCs w:val="24"/>
          </w:rPr>
          <w:t>shoover@rti.org</w:t>
        </w:r>
      </w:hyperlink>
    </w:p>
    <w:p w:rsidR="00C60FF5" w:rsidRPr="00967852" w:rsidRDefault="00C60FF5" w:rsidP="00C60FF5">
      <w:pPr>
        <w:rPr>
          <w:sz w:val="24"/>
          <w:szCs w:val="24"/>
        </w:rPr>
      </w:pPr>
    </w:p>
    <w:p w:rsidR="00A52D86" w:rsidRPr="00C60FF5" w:rsidRDefault="00A52D86" w:rsidP="009544C8">
      <w:pPr>
        <w:rPr>
          <w:sz w:val="24"/>
          <w:szCs w:val="24"/>
        </w:rPr>
      </w:pPr>
    </w:p>
    <w:p w:rsidR="007F69BE" w:rsidRPr="007F69BE" w:rsidRDefault="007F69BE" w:rsidP="000C094E"/>
    <w:sectPr w:rsidR="007F69BE" w:rsidRPr="007F69BE" w:rsidSect="0036139C">
      <w:pgSz w:w="12240" w:h="15840" w:code="1"/>
      <w:pgMar w:top="1440" w:right="1296"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FCF" w:rsidRDefault="004B6FCF">
      <w:r>
        <w:separator/>
      </w:r>
    </w:p>
  </w:endnote>
  <w:endnote w:type="continuationSeparator" w:id="0">
    <w:p w:rsidR="004B6FCF" w:rsidRDefault="004B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Arial Bold">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A2" w:rsidRDefault="00B607A2" w:rsidP="003613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07A2" w:rsidRDefault="00B607A2" w:rsidP="003613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A2" w:rsidRDefault="00B607A2" w:rsidP="0036139C">
    <w:pPr>
      <w:pStyle w:val="Footer"/>
      <w:ind w:right="360"/>
    </w:pPr>
  </w:p>
  <w:p w:rsidR="00B607A2" w:rsidRPr="00076D75" w:rsidRDefault="00B607A2" w:rsidP="0036139C">
    <w:pPr>
      <w:pStyle w:val="Footer"/>
      <w:ind w:right="360"/>
      <w:jc w:val="center"/>
      <w:rPr>
        <w:b/>
        <w:sz w:val="24"/>
        <w:szCs w:val="24"/>
      </w:rPr>
    </w:pPr>
    <w:r w:rsidRPr="00076D75">
      <w:rPr>
        <w:b/>
        <w:sz w:val="24"/>
        <w:szCs w:val="24"/>
      </w:rPr>
      <w:t xml:space="preserve">- </w:t>
    </w:r>
    <w:r w:rsidRPr="00076D75">
      <w:rPr>
        <w:rStyle w:val="PageNumber"/>
        <w:rFonts w:ascii="Times New Roman" w:hAnsi="Times New Roman"/>
        <w:b w:val="0"/>
        <w:sz w:val="24"/>
        <w:szCs w:val="24"/>
      </w:rPr>
      <w:fldChar w:fldCharType="begin"/>
    </w:r>
    <w:r w:rsidRPr="00076D75">
      <w:rPr>
        <w:rStyle w:val="PageNumber"/>
        <w:rFonts w:ascii="Times New Roman" w:hAnsi="Times New Roman"/>
        <w:b w:val="0"/>
        <w:sz w:val="24"/>
        <w:szCs w:val="24"/>
      </w:rPr>
      <w:instrText xml:space="preserve"> PAGE </w:instrText>
    </w:r>
    <w:r w:rsidRPr="00076D75">
      <w:rPr>
        <w:rStyle w:val="PageNumber"/>
        <w:rFonts w:ascii="Times New Roman" w:hAnsi="Times New Roman"/>
        <w:b w:val="0"/>
        <w:sz w:val="24"/>
        <w:szCs w:val="24"/>
      </w:rPr>
      <w:fldChar w:fldCharType="separate"/>
    </w:r>
    <w:r w:rsidR="00EA51C8">
      <w:rPr>
        <w:rStyle w:val="PageNumber"/>
        <w:rFonts w:ascii="Times New Roman" w:hAnsi="Times New Roman"/>
        <w:b w:val="0"/>
        <w:noProof/>
        <w:sz w:val="24"/>
        <w:szCs w:val="24"/>
      </w:rPr>
      <w:t>7</w:t>
    </w:r>
    <w:r w:rsidRPr="00076D75">
      <w:rPr>
        <w:rStyle w:val="PageNumber"/>
        <w:rFonts w:ascii="Times New Roman" w:hAnsi="Times New Roman"/>
        <w:b w:val="0"/>
        <w:sz w:val="24"/>
        <w:szCs w:val="24"/>
      </w:rPr>
      <w:fldChar w:fldCharType="end"/>
    </w:r>
    <w:r w:rsidRPr="00076D75">
      <w:rPr>
        <w:rStyle w:val="PageNumber"/>
        <w:rFonts w:ascii="Times New Roman" w:hAnsi="Times New Roman"/>
        <w:b w:val="0"/>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FCF" w:rsidRDefault="004B6FCF">
      <w:r>
        <w:separator/>
      </w:r>
    </w:p>
  </w:footnote>
  <w:footnote w:type="continuationSeparator" w:id="0">
    <w:p w:rsidR="004B6FCF" w:rsidRDefault="004B6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A2" w:rsidRDefault="00B607A2" w:rsidP="0036139C">
    <w:pPr>
      <w:pStyle w:val="Header"/>
      <w:jc w:val="center"/>
    </w:pPr>
  </w:p>
  <w:p w:rsidR="00B607A2" w:rsidRDefault="00B607A2" w:rsidP="0036139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7A2" w:rsidRDefault="00B607A2">
    <w:pPr>
      <w:pStyle w:val="Header"/>
    </w:pPr>
  </w:p>
  <w:p w:rsidR="00B607A2" w:rsidRDefault="00B607A2">
    <w:pPr>
      <w:pStyle w:val="Header"/>
    </w:pPr>
  </w:p>
  <w:p w:rsidR="00B607A2" w:rsidRDefault="00B607A2">
    <w:pPr>
      <w:pStyle w:val="Header"/>
    </w:pPr>
  </w:p>
  <w:p w:rsidR="00B607A2" w:rsidRDefault="00B607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68C"/>
    <w:multiLevelType w:val="hybridMultilevel"/>
    <w:tmpl w:val="196EE3EA"/>
    <w:lvl w:ilvl="0" w:tplc="B0B0C9B0">
      <w:start w:val="2"/>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46601ED3"/>
    <w:multiLevelType w:val="multilevel"/>
    <w:tmpl w:val="90DEFFCE"/>
    <w:lvl w:ilvl="0">
      <w:start w:val="1"/>
      <w:numFmt w:val="upperLetter"/>
      <w:pStyle w:val="Heading1"/>
      <w:lvlText w:val="%1."/>
      <w:lvlJc w:val="left"/>
      <w:pPr>
        <w:tabs>
          <w:tab w:val="num" w:pos="864"/>
        </w:tabs>
        <w:ind w:left="864" w:hanging="864"/>
      </w:pPr>
      <w:rPr>
        <w:rFonts w:ascii="Times New Roman Bold" w:hAnsi="Times New Roman Bold" w:cs="Times New Roman" w:hint="default"/>
        <w:b/>
        <w:bCs w:val="0"/>
        <w:i w:val="0"/>
        <w:iCs w:val="0"/>
        <w:caps w:val="0"/>
        <w:smallCaps w:val="0"/>
        <w:strike w:val="0"/>
        <w:dstrike w:val="0"/>
        <w:outline w:val="0"/>
        <w:shadow w:val="0"/>
        <w:emboss w:val="0"/>
        <w:imprint w:val="0"/>
        <w:noProof w:val="0"/>
        <w:snapToGrid w:val="0"/>
        <w:vanish w:val="0"/>
        <w:color w:val="auto"/>
        <w:spacing w:val="0"/>
        <w:w w:val="0"/>
        <w:kern w:val="0"/>
        <w:position w:val="0"/>
        <w:sz w:val="24"/>
        <w:szCs w:val="24"/>
        <w:u w:val="none"/>
        <w:vertAlign w:val="baseline"/>
        <w:em w:val="none"/>
      </w:rPr>
    </w:lvl>
    <w:lvl w:ilvl="1">
      <w:start w:val="1"/>
      <w:numFmt w:val="decimal"/>
      <w:pStyle w:val="Heading2"/>
      <w:lvlText w:val="%1.%2"/>
      <w:lvlJc w:val="left"/>
      <w:pPr>
        <w:tabs>
          <w:tab w:val="num" w:pos="1224"/>
        </w:tabs>
        <w:ind w:left="1224" w:hanging="864"/>
      </w:pPr>
      <w:rPr>
        <w:rFonts w:ascii="Times New Roman Bold" w:hAnsi="Times New Roman Bold" w:hint="default"/>
        <w:b/>
        <w:i w:val="0"/>
        <w:sz w:val="24"/>
        <w:szCs w:val="24"/>
      </w:rPr>
    </w:lvl>
    <w:lvl w:ilvl="2">
      <w:start w:val="1"/>
      <w:numFmt w:val="decimal"/>
      <w:pStyle w:val="Heading3"/>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139C"/>
    <w:rsid w:val="0000184D"/>
    <w:rsid w:val="00016AD2"/>
    <w:rsid w:val="00044C97"/>
    <w:rsid w:val="00045343"/>
    <w:rsid w:val="00067A42"/>
    <w:rsid w:val="00076D75"/>
    <w:rsid w:val="00080EFB"/>
    <w:rsid w:val="000811C2"/>
    <w:rsid w:val="000C094E"/>
    <w:rsid w:val="000D4769"/>
    <w:rsid w:val="000D7B36"/>
    <w:rsid w:val="000F495B"/>
    <w:rsid w:val="0010233C"/>
    <w:rsid w:val="00141D36"/>
    <w:rsid w:val="00164DD6"/>
    <w:rsid w:val="00166240"/>
    <w:rsid w:val="00184432"/>
    <w:rsid w:val="001B5C96"/>
    <w:rsid w:val="00207D8B"/>
    <w:rsid w:val="002109B9"/>
    <w:rsid w:val="00244D0D"/>
    <w:rsid w:val="00250646"/>
    <w:rsid w:val="0026436A"/>
    <w:rsid w:val="00270482"/>
    <w:rsid w:val="00284944"/>
    <w:rsid w:val="00294510"/>
    <w:rsid w:val="002A7AB4"/>
    <w:rsid w:val="003005F9"/>
    <w:rsid w:val="003075CC"/>
    <w:rsid w:val="00334E3B"/>
    <w:rsid w:val="00347A9E"/>
    <w:rsid w:val="0036139C"/>
    <w:rsid w:val="003657D1"/>
    <w:rsid w:val="00376B7C"/>
    <w:rsid w:val="00390F70"/>
    <w:rsid w:val="00394821"/>
    <w:rsid w:val="00394F90"/>
    <w:rsid w:val="003C3B04"/>
    <w:rsid w:val="003C5DC7"/>
    <w:rsid w:val="003F1B48"/>
    <w:rsid w:val="004750DD"/>
    <w:rsid w:val="004A2911"/>
    <w:rsid w:val="004B6FCF"/>
    <w:rsid w:val="004C5F23"/>
    <w:rsid w:val="00502779"/>
    <w:rsid w:val="005767C5"/>
    <w:rsid w:val="00576F64"/>
    <w:rsid w:val="005B6E75"/>
    <w:rsid w:val="005F17B6"/>
    <w:rsid w:val="006231C8"/>
    <w:rsid w:val="00646058"/>
    <w:rsid w:val="00687486"/>
    <w:rsid w:val="006B5459"/>
    <w:rsid w:val="006C6C20"/>
    <w:rsid w:val="006D3D34"/>
    <w:rsid w:val="006E1E89"/>
    <w:rsid w:val="006F763B"/>
    <w:rsid w:val="00727E5B"/>
    <w:rsid w:val="00736635"/>
    <w:rsid w:val="00766F7A"/>
    <w:rsid w:val="00776097"/>
    <w:rsid w:val="00783AA4"/>
    <w:rsid w:val="007B7817"/>
    <w:rsid w:val="007E00A1"/>
    <w:rsid w:val="007E3635"/>
    <w:rsid w:val="007F69BE"/>
    <w:rsid w:val="0080548C"/>
    <w:rsid w:val="008127D7"/>
    <w:rsid w:val="0082191D"/>
    <w:rsid w:val="00863E82"/>
    <w:rsid w:val="00870EE6"/>
    <w:rsid w:val="008C28E9"/>
    <w:rsid w:val="008D01E9"/>
    <w:rsid w:val="008F2A86"/>
    <w:rsid w:val="0093345E"/>
    <w:rsid w:val="00945163"/>
    <w:rsid w:val="00950D8E"/>
    <w:rsid w:val="009544C8"/>
    <w:rsid w:val="00967852"/>
    <w:rsid w:val="009958EC"/>
    <w:rsid w:val="009C645C"/>
    <w:rsid w:val="009D2500"/>
    <w:rsid w:val="009D5260"/>
    <w:rsid w:val="009F17C8"/>
    <w:rsid w:val="00A37EC7"/>
    <w:rsid w:val="00A517BC"/>
    <w:rsid w:val="00A52D86"/>
    <w:rsid w:val="00AA1F6A"/>
    <w:rsid w:val="00AC1FEF"/>
    <w:rsid w:val="00AF1B49"/>
    <w:rsid w:val="00AF45BE"/>
    <w:rsid w:val="00B03656"/>
    <w:rsid w:val="00B607A2"/>
    <w:rsid w:val="00B61441"/>
    <w:rsid w:val="00B65198"/>
    <w:rsid w:val="00B87DAF"/>
    <w:rsid w:val="00C5213A"/>
    <w:rsid w:val="00C60FF5"/>
    <w:rsid w:val="00C6324B"/>
    <w:rsid w:val="00C9554B"/>
    <w:rsid w:val="00C95935"/>
    <w:rsid w:val="00CD2DCC"/>
    <w:rsid w:val="00D3358B"/>
    <w:rsid w:val="00D829B3"/>
    <w:rsid w:val="00D92293"/>
    <w:rsid w:val="00DA0CDB"/>
    <w:rsid w:val="00DB5D24"/>
    <w:rsid w:val="00DC0108"/>
    <w:rsid w:val="00DD26A2"/>
    <w:rsid w:val="00DF1828"/>
    <w:rsid w:val="00E264E7"/>
    <w:rsid w:val="00E30217"/>
    <w:rsid w:val="00E65FC1"/>
    <w:rsid w:val="00EA51C8"/>
    <w:rsid w:val="00EB2050"/>
    <w:rsid w:val="00EB35E9"/>
    <w:rsid w:val="00EF6C6F"/>
    <w:rsid w:val="00F56725"/>
    <w:rsid w:val="00F913E4"/>
    <w:rsid w:val="00F937BB"/>
    <w:rsid w:val="00FA2E8C"/>
    <w:rsid w:val="00FB29D4"/>
    <w:rsid w:val="00FB4EAE"/>
    <w:rsid w:val="00FD066B"/>
    <w:rsid w:val="00FD41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39C"/>
    <w:rPr>
      <w:sz w:val="22"/>
    </w:rPr>
  </w:style>
  <w:style w:type="paragraph" w:styleId="Heading1">
    <w:name w:val="heading 1"/>
    <w:aliases w:val=" Char"/>
    <w:basedOn w:val="Normal"/>
    <w:next w:val="Normal"/>
    <w:link w:val="Heading1Char"/>
    <w:qFormat/>
    <w:rsid w:val="0036139C"/>
    <w:pPr>
      <w:keepNext/>
      <w:numPr>
        <w:numId w:val="1"/>
      </w:numPr>
      <w:spacing w:after="240"/>
      <w:outlineLvl w:val="0"/>
    </w:pPr>
    <w:rPr>
      <w:rFonts w:ascii="Arial" w:hAnsi="Arial"/>
      <w:b/>
      <w:sz w:val="28"/>
      <w:szCs w:val="32"/>
    </w:rPr>
  </w:style>
  <w:style w:type="paragraph" w:styleId="Heading2">
    <w:name w:val="heading 2"/>
    <w:basedOn w:val="Normal"/>
    <w:next w:val="Normal"/>
    <w:qFormat/>
    <w:rsid w:val="0036139C"/>
    <w:pPr>
      <w:keepNext/>
      <w:keepLines/>
      <w:numPr>
        <w:ilvl w:val="1"/>
        <w:numId w:val="1"/>
      </w:numPr>
      <w:spacing w:after="240"/>
      <w:outlineLvl w:val="1"/>
    </w:pPr>
    <w:rPr>
      <w:rFonts w:ascii="Arial" w:hAnsi="Arial" w:cs="Arial"/>
      <w:b/>
      <w:bCs/>
      <w:sz w:val="28"/>
      <w:szCs w:val="24"/>
      <w:lang w:val="en-CA"/>
    </w:rPr>
  </w:style>
  <w:style w:type="paragraph" w:styleId="Heading3">
    <w:name w:val="heading 3"/>
    <w:basedOn w:val="Normal"/>
    <w:next w:val="Normal"/>
    <w:qFormat/>
    <w:rsid w:val="0036139C"/>
    <w:pPr>
      <w:keepNext/>
      <w:numPr>
        <w:ilvl w:val="2"/>
        <w:numId w:val="1"/>
      </w:numPr>
      <w:spacing w:after="120"/>
      <w:outlineLvl w:val="2"/>
    </w:pPr>
    <w:rPr>
      <w:rFonts w:ascii="Arial" w:hAnsi="Arial"/>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Date">
    <w:name w:val="Cov-Date"/>
    <w:basedOn w:val="Normal"/>
    <w:rsid w:val="0036139C"/>
    <w:pPr>
      <w:jc w:val="right"/>
    </w:pPr>
    <w:rPr>
      <w:rFonts w:ascii="Arial" w:hAnsi="Arial"/>
      <w:b/>
      <w:sz w:val="28"/>
    </w:rPr>
  </w:style>
  <w:style w:type="paragraph" w:customStyle="1" w:styleId="Cov-Title">
    <w:name w:val="Cov-Title"/>
    <w:basedOn w:val="Normal"/>
    <w:rsid w:val="0036139C"/>
    <w:pPr>
      <w:jc w:val="right"/>
    </w:pPr>
    <w:rPr>
      <w:rFonts w:ascii="Arial Black" w:hAnsi="Arial Black"/>
      <w:sz w:val="48"/>
    </w:rPr>
  </w:style>
  <w:style w:type="paragraph" w:customStyle="1" w:styleId="BodyText1">
    <w:name w:val="Body Text1"/>
    <w:aliases w:val="bt,body tx,indent,flush,memo body text"/>
    <w:basedOn w:val="Normal"/>
    <w:link w:val="bodytextChar"/>
    <w:rsid w:val="0036139C"/>
    <w:pPr>
      <w:spacing w:after="240"/>
      <w:ind w:firstLine="360"/>
    </w:pPr>
  </w:style>
  <w:style w:type="paragraph" w:styleId="Footer">
    <w:name w:val="footer"/>
    <w:basedOn w:val="Normal"/>
    <w:rsid w:val="0036139C"/>
    <w:pPr>
      <w:tabs>
        <w:tab w:val="center" w:pos="4320"/>
        <w:tab w:val="right" w:pos="8640"/>
      </w:tabs>
    </w:pPr>
  </w:style>
  <w:style w:type="character" w:styleId="Hyperlink">
    <w:name w:val="Hyperlink"/>
    <w:rsid w:val="0036139C"/>
    <w:rPr>
      <w:color w:val="0000FF"/>
      <w:u w:val="single"/>
    </w:rPr>
  </w:style>
  <w:style w:type="character" w:styleId="PageNumber">
    <w:name w:val="page number"/>
    <w:rsid w:val="0036139C"/>
    <w:rPr>
      <w:rFonts w:ascii="Arial" w:hAnsi="Arial"/>
      <w:b/>
      <w:sz w:val="22"/>
    </w:rPr>
  </w:style>
  <w:style w:type="paragraph" w:styleId="TOC1">
    <w:name w:val="toc 1"/>
    <w:basedOn w:val="Normal"/>
    <w:next w:val="Normal"/>
    <w:semiHidden/>
    <w:rsid w:val="0036139C"/>
    <w:pPr>
      <w:tabs>
        <w:tab w:val="right" w:leader="dot" w:pos="9360"/>
      </w:tabs>
      <w:spacing w:before="240"/>
      <w:ind w:left="720" w:right="720" w:hanging="450"/>
    </w:pPr>
    <w:rPr>
      <w:noProof/>
    </w:rPr>
  </w:style>
  <w:style w:type="paragraph" w:styleId="TOC2">
    <w:name w:val="toc 2"/>
    <w:basedOn w:val="Normal"/>
    <w:next w:val="Normal"/>
    <w:autoRedefine/>
    <w:semiHidden/>
    <w:rsid w:val="0036139C"/>
    <w:pPr>
      <w:tabs>
        <w:tab w:val="right" w:leader="dot" w:pos="9360"/>
      </w:tabs>
      <w:ind w:left="1440" w:right="720" w:hanging="720"/>
    </w:pPr>
    <w:rPr>
      <w:noProof/>
      <w:sz w:val="24"/>
      <w:szCs w:val="24"/>
      <w:u w:color="FFFFFF"/>
    </w:rPr>
  </w:style>
  <w:style w:type="character" w:customStyle="1" w:styleId="Heading1Char">
    <w:name w:val="Heading 1 Char"/>
    <w:aliases w:val=" Char Char"/>
    <w:link w:val="Heading1"/>
    <w:rsid w:val="0036139C"/>
    <w:rPr>
      <w:rFonts w:ascii="Arial" w:hAnsi="Arial"/>
      <w:b/>
      <w:sz w:val="28"/>
      <w:szCs w:val="32"/>
      <w:lang w:val="en-US" w:eastAsia="en-US" w:bidi="ar-SA"/>
    </w:rPr>
  </w:style>
  <w:style w:type="paragraph" w:styleId="Header">
    <w:name w:val="header"/>
    <w:basedOn w:val="Normal"/>
    <w:rsid w:val="0036139C"/>
    <w:pPr>
      <w:tabs>
        <w:tab w:val="center" w:pos="4320"/>
        <w:tab w:val="right" w:pos="8640"/>
      </w:tabs>
    </w:pPr>
  </w:style>
  <w:style w:type="paragraph" w:styleId="TOC5">
    <w:name w:val="toc 5"/>
    <w:basedOn w:val="Normal"/>
    <w:next w:val="Normal"/>
    <w:autoRedefine/>
    <w:semiHidden/>
    <w:rsid w:val="00270482"/>
    <w:pPr>
      <w:tabs>
        <w:tab w:val="left" w:pos="720"/>
      </w:tabs>
      <w:spacing w:line="360" w:lineRule="auto"/>
      <w:ind w:left="720" w:hanging="533"/>
    </w:pPr>
  </w:style>
  <w:style w:type="character" w:customStyle="1" w:styleId="bodytextChar">
    <w:name w:val="body text Char"/>
    <w:link w:val="BodyText1"/>
    <w:rsid w:val="0036139C"/>
    <w:rPr>
      <w:sz w:val="22"/>
      <w:lang w:val="en-US" w:eastAsia="en-US" w:bidi="ar-SA"/>
    </w:rPr>
  </w:style>
  <w:style w:type="paragraph" w:customStyle="1" w:styleId="Cov-Address">
    <w:name w:val="Cov-Address"/>
    <w:basedOn w:val="Normal"/>
    <w:rsid w:val="0036139C"/>
    <w:pPr>
      <w:jc w:val="right"/>
    </w:pPr>
    <w:rPr>
      <w:rFonts w:ascii="Verdana" w:eastAsia="MS Mincho" w:hAnsi="Verdana"/>
    </w:rPr>
  </w:style>
  <w:style w:type="paragraph" w:styleId="BalloonText">
    <w:name w:val="Balloon Text"/>
    <w:basedOn w:val="Normal"/>
    <w:semiHidden/>
    <w:rsid w:val="00F913E4"/>
    <w:rPr>
      <w:rFonts w:ascii="Tahoma" w:hAnsi="Tahoma" w:cs="Tahoma"/>
      <w:sz w:val="16"/>
      <w:szCs w:val="16"/>
    </w:rPr>
  </w:style>
  <w:style w:type="character" w:styleId="CommentReference">
    <w:name w:val="annotation reference"/>
    <w:semiHidden/>
    <w:rsid w:val="0093345E"/>
    <w:rPr>
      <w:sz w:val="16"/>
      <w:szCs w:val="16"/>
    </w:rPr>
  </w:style>
  <w:style w:type="paragraph" w:styleId="CommentText">
    <w:name w:val="annotation text"/>
    <w:basedOn w:val="Normal"/>
    <w:semiHidden/>
    <w:rsid w:val="0093345E"/>
    <w:rPr>
      <w:sz w:val="20"/>
    </w:rPr>
  </w:style>
  <w:style w:type="paragraph" w:styleId="CommentSubject">
    <w:name w:val="annotation subject"/>
    <w:basedOn w:val="CommentText"/>
    <w:next w:val="CommentText"/>
    <w:semiHidden/>
    <w:rsid w:val="0093345E"/>
    <w:rPr>
      <w:b/>
      <w:bCs/>
    </w:rPr>
  </w:style>
  <w:style w:type="paragraph" w:styleId="BodyText">
    <w:name w:val="Body Text"/>
    <w:basedOn w:val="Normal"/>
    <w:link w:val="BodyTextChar0"/>
    <w:rsid w:val="00166240"/>
    <w:pPr>
      <w:spacing w:after="120"/>
    </w:pPr>
  </w:style>
  <w:style w:type="character" w:customStyle="1" w:styleId="BodyTextChar0">
    <w:name w:val="Body Text Char"/>
    <w:link w:val="BodyText"/>
    <w:rsid w:val="0016624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Royalty@cdc.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hoover@rt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ssubramanian@rti.org"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helselb@imswe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8C307-94BA-4165-8554-79939AE2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Colorectal Cancer Screening Program</vt:lpstr>
    </vt:vector>
  </TitlesOfParts>
  <Company>ITSO</Company>
  <LinksUpToDate>false</LinksUpToDate>
  <CharactersWithSpaces>9234</CharactersWithSpaces>
  <SharedDoc>false</SharedDoc>
  <HLinks>
    <vt:vector size="24" baseType="variant">
      <vt:variant>
        <vt:i4>6881344</vt:i4>
      </vt:variant>
      <vt:variant>
        <vt:i4>9</vt:i4>
      </vt:variant>
      <vt:variant>
        <vt:i4>0</vt:i4>
      </vt:variant>
      <vt:variant>
        <vt:i4>5</vt:i4>
      </vt:variant>
      <vt:variant>
        <vt:lpwstr>mailto:shoover@rti.org</vt:lpwstr>
      </vt:variant>
      <vt:variant>
        <vt:lpwstr/>
      </vt:variant>
      <vt:variant>
        <vt:i4>1835048</vt:i4>
      </vt:variant>
      <vt:variant>
        <vt:i4>6</vt:i4>
      </vt:variant>
      <vt:variant>
        <vt:i4>0</vt:i4>
      </vt:variant>
      <vt:variant>
        <vt:i4>5</vt:i4>
      </vt:variant>
      <vt:variant>
        <vt:lpwstr>mailto:ssubramanian@rti.org</vt:lpwstr>
      </vt:variant>
      <vt:variant>
        <vt:lpwstr/>
      </vt:variant>
      <vt:variant>
        <vt:i4>6226027</vt:i4>
      </vt:variant>
      <vt:variant>
        <vt:i4>3</vt:i4>
      </vt:variant>
      <vt:variant>
        <vt:i4>0</vt:i4>
      </vt:variant>
      <vt:variant>
        <vt:i4>5</vt:i4>
      </vt:variant>
      <vt:variant>
        <vt:lpwstr>mailto:helselb@imsweb.com</vt:lpwstr>
      </vt:variant>
      <vt:variant>
        <vt:lpwstr/>
      </vt:variant>
      <vt:variant>
        <vt:i4>1507379</vt:i4>
      </vt:variant>
      <vt:variant>
        <vt:i4>0</vt:i4>
      </vt:variant>
      <vt:variant>
        <vt:i4>0</vt:i4>
      </vt:variant>
      <vt:variant>
        <vt:i4>5</vt:i4>
      </vt:variant>
      <vt:variant>
        <vt:lpwstr>mailto:JRoyalty@cdc.gov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Colorectal Cancer Screening Program</dc:title>
  <dc:subject/>
  <dc:creator>arp5</dc:creator>
  <cp:keywords/>
  <dc:description/>
  <cp:lastModifiedBy>CDC User</cp:lastModifiedBy>
  <cp:revision>15</cp:revision>
  <dcterms:created xsi:type="dcterms:W3CDTF">2012-12-12T19:38:00Z</dcterms:created>
  <dcterms:modified xsi:type="dcterms:W3CDTF">2013-02-25T15:13:00Z</dcterms:modified>
</cp:coreProperties>
</file>