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6B" w:rsidRPr="0043450D" w:rsidRDefault="00534B6B" w:rsidP="00534B6B">
      <w:pPr>
        <w:suppressAutoHyphens/>
        <w:jc w:val="center"/>
        <w:rPr>
          <w:rFonts w:ascii="Times New Roman" w:hAnsi="Times New Roman"/>
          <w:b/>
        </w:rPr>
      </w:pPr>
      <w:r w:rsidRPr="0043450D">
        <w:rPr>
          <w:rFonts w:ascii="Times New Roman" w:hAnsi="Times New Roman"/>
          <w:b/>
        </w:rPr>
        <w:t>SUPPORTING STATEMENT FOR NEW AND</w:t>
      </w:r>
    </w:p>
    <w:p w:rsidR="00534B6B" w:rsidRPr="0043450D" w:rsidRDefault="00534B6B" w:rsidP="00534B6B">
      <w:pPr>
        <w:suppressAutoHyphens/>
        <w:spacing w:after="240"/>
        <w:jc w:val="center"/>
        <w:rPr>
          <w:rFonts w:ascii="Times New Roman" w:hAnsi="Times New Roman"/>
          <w:b/>
        </w:rPr>
      </w:pPr>
      <w:r w:rsidRPr="0043450D">
        <w:rPr>
          <w:rFonts w:ascii="Times New Roman" w:hAnsi="Times New Roman"/>
          <w:b/>
        </w:rPr>
        <w:t>REVISED INFORMATION COLLECTIONS</w:t>
      </w:r>
    </w:p>
    <w:p w:rsidR="00534B6B" w:rsidRPr="0043450D" w:rsidRDefault="00534B6B" w:rsidP="00534B6B">
      <w:pPr>
        <w:tabs>
          <w:tab w:val="center" w:pos="4680"/>
        </w:tabs>
        <w:suppressAutoHyphens/>
        <w:spacing w:after="240"/>
        <w:jc w:val="center"/>
        <w:rPr>
          <w:rFonts w:ascii="Times New Roman" w:hAnsi="Times New Roman"/>
          <w:b/>
        </w:rPr>
      </w:pPr>
      <w:r w:rsidRPr="0043450D">
        <w:rPr>
          <w:rFonts w:ascii="Times New Roman" w:hAnsi="Times New Roman"/>
          <w:b/>
        </w:rPr>
        <w:t>OMB CONTROL NUMBER 3038-</w:t>
      </w:r>
      <w:r w:rsidR="00F53604">
        <w:rPr>
          <w:rFonts w:ascii="Times New Roman" w:hAnsi="Times New Roman"/>
          <w:b/>
        </w:rPr>
        <w:t>NEW</w:t>
      </w:r>
    </w:p>
    <w:p w:rsidR="00534B6B" w:rsidRPr="003E1569" w:rsidRDefault="00534B6B" w:rsidP="00534B6B">
      <w:pPr>
        <w:pStyle w:val="Heading1"/>
        <w:keepNext w:val="0"/>
        <w:spacing w:after="240"/>
        <w:rPr>
          <w:rFonts w:ascii="Times New Roman" w:hAnsi="Times New Roman"/>
          <w:szCs w:val="24"/>
        </w:rPr>
      </w:pPr>
      <w:r w:rsidRPr="003E1569">
        <w:rPr>
          <w:rFonts w:ascii="Times New Roman" w:hAnsi="Times New Roman"/>
          <w:szCs w:val="24"/>
        </w:rPr>
        <w:t>Justification</w:t>
      </w:r>
    </w:p>
    <w:p w:rsidR="00534B6B" w:rsidRPr="003E1569" w:rsidRDefault="00534B6B" w:rsidP="00534B6B">
      <w:pPr>
        <w:tabs>
          <w:tab w:val="left" w:pos="-720"/>
          <w:tab w:val="left" w:pos="0"/>
        </w:tabs>
        <w:spacing w:after="240"/>
        <w:rPr>
          <w:rFonts w:ascii="Times New Roman" w:hAnsi="Times New Roman"/>
        </w:rPr>
      </w:pPr>
      <w:r w:rsidRPr="003E1569">
        <w:rPr>
          <w:rFonts w:ascii="Times New Roman" w:hAnsi="Times New Roman"/>
          <w:b/>
        </w:rPr>
        <w:t>1.</w:t>
      </w:r>
      <w:r w:rsidRPr="003E156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3CC2" w:rsidRDefault="00534B6B" w:rsidP="00534B6B">
      <w:pPr>
        <w:tabs>
          <w:tab w:val="left" w:pos="-720"/>
        </w:tabs>
        <w:spacing w:after="240"/>
        <w:rPr>
          <w:rFonts w:ascii="Times New Roman" w:hAnsi="Times New Roman"/>
        </w:rPr>
      </w:pPr>
      <w:r w:rsidRPr="003E1569">
        <w:rPr>
          <w:rFonts w:ascii="Times New Roman" w:hAnsi="Times New Roman"/>
        </w:rPr>
        <w:t xml:space="preserve">Section </w:t>
      </w:r>
      <w:r w:rsidR="00050D06">
        <w:rPr>
          <w:rFonts w:ascii="Times New Roman" w:hAnsi="Times New Roman"/>
        </w:rPr>
        <w:t xml:space="preserve">721 of the Dodd-Frank Act </w:t>
      </w:r>
      <w:r w:rsidR="00E7242A">
        <w:rPr>
          <w:rFonts w:ascii="Times New Roman" w:hAnsi="Times New Roman"/>
        </w:rPr>
        <w:t xml:space="preserve">(“Dodd-Frank”) </w:t>
      </w:r>
      <w:r w:rsidR="00050D06">
        <w:rPr>
          <w:rFonts w:ascii="Times New Roman" w:hAnsi="Times New Roman"/>
        </w:rPr>
        <w:t>added new section 1a(47) to the Commodity Exchange Act</w:t>
      </w:r>
      <w:r w:rsidR="004864CF">
        <w:rPr>
          <w:rFonts w:ascii="Times New Roman" w:hAnsi="Times New Roman"/>
        </w:rPr>
        <w:t xml:space="preserve"> (CEA)</w:t>
      </w:r>
      <w:r w:rsidR="00050D06">
        <w:rPr>
          <w:rFonts w:ascii="Times New Roman" w:hAnsi="Times New Roman"/>
        </w:rPr>
        <w:t xml:space="preserve">, defining “swap” to include “[an] option of any kind that is for the purchase or sale, or based on the value, of 1 or more … commodities….”  Consistent with Dodd-Frank, the Commission adopted new regulation 32.2 </w:t>
      </w:r>
      <w:r w:rsidR="001F0D10">
        <w:rPr>
          <w:rFonts w:ascii="Times New Roman" w:hAnsi="Times New Roman"/>
        </w:rPr>
        <w:t>directing that commodity option transactions be regulated in the same manner as other swaps (77 FR 25320, at 25338, April 27, 2012).  At the same time, the Commission adopted an interim final rule</w:t>
      </w:r>
      <w:r w:rsidR="00023501">
        <w:rPr>
          <w:rFonts w:ascii="Times New Roman" w:hAnsi="Times New Roman"/>
        </w:rPr>
        <w:t>, regula</w:t>
      </w:r>
      <w:r w:rsidR="00BA68AC">
        <w:rPr>
          <w:rFonts w:ascii="Times New Roman" w:hAnsi="Times New Roman"/>
        </w:rPr>
        <w:t xml:space="preserve">tion 32.3, </w:t>
      </w:r>
      <w:r w:rsidR="00023501">
        <w:rPr>
          <w:rFonts w:ascii="Times New Roman" w:hAnsi="Times New Roman"/>
        </w:rPr>
        <w:t>gran</w:t>
      </w:r>
      <w:r w:rsidR="00BA68AC">
        <w:rPr>
          <w:rFonts w:ascii="Times New Roman" w:hAnsi="Times New Roman"/>
        </w:rPr>
        <w:t>t</w:t>
      </w:r>
      <w:r w:rsidR="00023501">
        <w:rPr>
          <w:rFonts w:ascii="Times New Roman" w:hAnsi="Times New Roman"/>
        </w:rPr>
        <w:t>i</w:t>
      </w:r>
      <w:r w:rsidR="00BA68AC">
        <w:rPr>
          <w:rFonts w:ascii="Times New Roman" w:hAnsi="Times New Roman"/>
        </w:rPr>
        <w:t xml:space="preserve">ng an exemption from most of the swaps rules to “trade options.”  A trade option is a commodity option purchased by a commercial party that, upon exercise, results in the sale of a physical commodity for immediate (spot) or deferred (forward) delivery.  </w:t>
      </w:r>
      <w:r w:rsidR="00023501">
        <w:rPr>
          <w:rFonts w:ascii="Times New Roman" w:hAnsi="Times New Roman"/>
        </w:rPr>
        <w:t>Regulation 32.3(b)(2) requires counterparties to “unreported trade options” (i.e., trade options that are not otherwise reported to a swap data repository pursuant to part 45 of the Commission’s rules) to file an annual report with the Commission on Form TO</w:t>
      </w:r>
      <w:r w:rsidRPr="003E1569">
        <w:rPr>
          <w:rFonts w:ascii="Times New Roman" w:hAnsi="Times New Roman"/>
        </w:rPr>
        <w:t>.</w:t>
      </w:r>
      <w:r w:rsidR="00CA1B6D">
        <w:rPr>
          <w:rFonts w:ascii="Times New Roman" w:hAnsi="Times New Roman"/>
        </w:rPr>
        <w:t xml:space="preserve"> </w:t>
      </w:r>
      <w:r w:rsidR="00CB60C7">
        <w:rPr>
          <w:rFonts w:ascii="Times New Roman" w:hAnsi="Times New Roman"/>
        </w:rPr>
        <w:t xml:space="preserve">The Commission believes </w:t>
      </w:r>
      <w:r w:rsidR="00CA1B6D" w:rsidRPr="00CA1B6D">
        <w:rPr>
          <w:rFonts w:ascii="Times New Roman" w:hAnsi="Times New Roman"/>
        </w:rPr>
        <w:t xml:space="preserve">that </w:t>
      </w:r>
      <w:r w:rsidR="00F53604">
        <w:rPr>
          <w:rFonts w:ascii="Times New Roman" w:hAnsi="Times New Roman"/>
        </w:rPr>
        <w:t xml:space="preserve">the </w:t>
      </w:r>
      <w:r w:rsidR="001D0F77">
        <w:rPr>
          <w:rFonts w:ascii="Times New Roman" w:hAnsi="Times New Roman"/>
        </w:rPr>
        <w:t xml:space="preserve">proposed collection would </w:t>
      </w:r>
      <w:r w:rsidR="00F53604">
        <w:rPr>
          <w:rFonts w:ascii="Times New Roman" w:hAnsi="Times New Roman"/>
        </w:rPr>
        <w:t>provide</w:t>
      </w:r>
      <w:r w:rsidR="001D0F77">
        <w:rPr>
          <w:rFonts w:ascii="Times New Roman" w:hAnsi="Times New Roman"/>
        </w:rPr>
        <w:t xml:space="preserve"> </w:t>
      </w:r>
      <w:r w:rsidR="00CA1B6D" w:rsidRPr="00CA1B6D">
        <w:rPr>
          <w:rFonts w:ascii="Times New Roman" w:hAnsi="Times New Roman"/>
        </w:rPr>
        <w:t>greater transparency regarding the trade options market</w:t>
      </w:r>
      <w:r w:rsidR="006423E7">
        <w:rPr>
          <w:rFonts w:ascii="Times New Roman" w:hAnsi="Times New Roman"/>
        </w:rPr>
        <w:t xml:space="preserve"> and </w:t>
      </w:r>
      <w:r w:rsidR="006423E7" w:rsidRPr="006423E7">
        <w:rPr>
          <w:rFonts w:ascii="Times New Roman" w:hAnsi="Times New Roman"/>
        </w:rPr>
        <w:t>improved oversight of the swaps markets</w:t>
      </w:r>
      <w:r w:rsidR="006423E7">
        <w:rPr>
          <w:rFonts w:ascii="Times New Roman" w:hAnsi="Times New Roman"/>
        </w:rPr>
        <w:t>,</w:t>
      </w:r>
      <w:r w:rsidR="006423E7" w:rsidRPr="006423E7">
        <w:rPr>
          <w:rFonts w:ascii="Times New Roman" w:eastAsia="Calibri" w:hAnsi="Times New Roman"/>
          <w:szCs w:val="22"/>
        </w:rPr>
        <w:t xml:space="preserve"> </w:t>
      </w:r>
      <w:r w:rsidR="006423E7" w:rsidRPr="006423E7">
        <w:rPr>
          <w:rFonts w:ascii="Times New Roman" w:hAnsi="Times New Roman"/>
        </w:rPr>
        <w:t>both of which are primary statutory objectives of Title VII of the Dodd-Frank Act.</w:t>
      </w:r>
    </w:p>
    <w:p w:rsidR="00534B6B" w:rsidRPr="003E1569" w:rsidRDefault="00534B6B" w:rsidP="00534B6B">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 xml:space="preserve">Indicate how, by whom, and for what purpose the </w:t>
      </w:r>
      <w:r w:rsidR="001D0F77" w:rsidRPr="003E1569">
        <w:rPr>
          <w:rFonts w:ascii="Times New Roman" w:hAnsi="Times New Roman"/>
          <w:b/>
        </w:rPr>
        <w:t>dat</w:t>
      </w:r>
      <w:r w:rsidR="001D0F77">
        <w:rPr>
          <w:rFonts w:ascii="Times New Roman" w:hAnsi="Times New Roman"/>
          <w:b/>
        </w:rPr>
        <w:t>a</w:t>
      </w:r>
      <w:r w:rsidR="001D0F77" w:rsidRPr="003E1569">
        <w:rPr>
          <w:rFonts w:ascii="Times New Roman" w:hAnsi="Times New Roman"/>
          <w:b/>
        </w:rPr>
        <w:t xml:space="preserve"> </w:t>
      </w:r>
      <w:r w:rsidRPr="003E1569">
        <w:rPr>
          <w:rFonts w:ascii="Times New Roman" w:hAnsi="Times New Roman"/>
          <w:b/>
        </w:rPr>
        <w:t>would be used.  Except for a new collection, indicate the actual use the agency has made of the information received from the current collection.</w:t>
      </w:r>
    </w:p>
    <w:p w:rsidR="00534B6B" w:rsidRPr="003E1569" w:rsidRDefault="00534B6B" w:rsidP="00534B6B">
      <w:pPr>
        <w:spacing w:after="240"/>
        <w:rPr>
          <w:rFonts w:ascii="Times New Roman" w:hAnsi="Times New Roman"/>
        </w:rPr>
      </w:pPr>
      <w:r w:rsidRPr="003E1569">
        <w:rPr>
          <w:rFonts w:ascii="Times New Roman" w:hAnsi="Times New Roman"/>
        </w:rPr>
        <w:t xml:space="preserve">The </w:t>
      </w:r>
      <w:r w:rsidR="00875D3B">
        <w:rPr>
          <w:rFonts w:ascii="Times New Roman" w:hAnsi="Times New Roman"/>
        </w:rPr>
        <w:t xml:space="preserve">Commission would use the information generated by Form TO to </w:t>
      </w:r>
      <w:r w:rsidR="00E7242A">
        <w:rPr>
          <w:rFonts w:ascii="Times New Roman" w:hAnsi="Times New Roman"/>
        </w:rPr>
        <w:t>determine</w:t>
      </w:r>
      <w:r w:rsidR="00875D3B">
        <w:rPr>
          <w:rFonts w:ascii="Times New Roman" w:hAnsi="Times New Roman"/>
        </w:rPr>
        <w:t xml:space="preserve"> the parties </w:t>
      </w:r>
      <w:r w:rsidR="00E7242A">
        <w:rPr>
          <w:rFonts w:ascii="Times New Roman" w:hAnsi="Times New Roman"/>
        </w:rPr>
        <w:t xml:space="preserve">entering </w:t>
      </w:r>
      <w:r w:rsidR="00875D3B">
        <w:rPr>
          <w:rFonts w:ascii="Times New Roman" w:hAnsi="Times New Roman"/>
        </w:rPr>
        <w:t>in</w:t>
      </w:r>
      <w:r w:rsidR="00E7242A">
        <w:rPr>
          <w:rFonts w:ascii="Times New Roman" w:hAnsi="Times New Roman"/>
        </w:rPr>
        <w:t>to</w:t>
      </w:r>
      <w:r w:rsidR="00875D3B">
        <w:rPr>
          <w:rFonts w:ascii="Times New Roman" w:hAnsi="Times New Roman"/>
        </w:rPr>
        <w:t xml:space="preserve"> unreported trade options</w:t>
      </w:r>
      <w:r w:rsidR="00E7242A">
        <w:rPr>
          <w:rFonts w:ascii="Times New Roman" w:hAnsi="Times New Roman"/>
        </w:rPr>
        <w:t>,</w:t>
      </w:r>
      <w:r w:rsidR="00875D3B">
        <w:rPr>
          <w:rFonts w:ascii="Times New Roman" w:hAnsi="Times New Roman"/>
        </w:rPr>
        <w:t xml:space="preserve"> </w:t>
      </w:r>
      <w:r w:rsidR="005F0AD3">
        <w:rPr>
          <w:rFonts w:ascii="Times New Roman" w:hAnsi="Times New Roman"/>
        </w:rPr>
        <w:t xml:space="preserve">to </w:t>
      </w:r>
      <w:r w:rsidR="00E7242A">
        <w:rPr>
          <w:rFonts w:ascii="Times New Roman" w:hAnsi="Times New Roman"/>
        </w:rPr>
        <w:t xml:space="preserve">determine </w:t>
      </w:r>
      <w:r w:rsidR="00875D3B">
        <w:rPr>
          <w:rFonts w:ascii="Times New Roman" w:hAnsi="Times New Roman"/>
        </w:rPr>
        <w:t>the approximate volume of</w:t>
      </w:r>
      <w:r w:rsidR="00E7242A">
        <w:rPr>
          <w:rFonts w:ascii="Times New Roman" w:hAnsi="Times New Roman"/>
        </w:rPr>
        <w:t>, and commodities underlying,</w:t>
      </w:r>
      <w:r w:rsidR="00875D3B">
        <w:rPr>
          <w:rFonts w:ascii="Times New Roman" w:hAnsi="Times New Roman"/>
        </w:rPr>
        <w:t xml:space="preserve"> </w:t>
      </w:r>
      <w:r w:rsidR="00E7242A">
        <w:rPr>
          <w:rFonts w:ascii="Times New Roman" w:hAnsi="Times New Roman"/>
        </w:rPr>
        <w:t xml:space="preserve">such trade </w:t>
      </w:r>
      <w:r w:rsidR="00875D3B">
        <w:rPr>
          <w:rFonts w:ascii="Times New Roman" w:hAnsi="Times New Roman"/>
        </w:rPr>
        <w:t>option</w:t>
      </w:r>
      <w:r w:rsidR="00E7242A">
        <w:rPr>
          <w:rFonts w:ascii="Times New Roman" w:hAnsi="Times New Roman"/>
        </w:rPr>
        <w:t>s, and, if warranted, to conduct</w:t>
      </w:r>
      <w:r w:rsidR="005F0AD3">
        <w:rPr>
          <w:rFonts w:ascii="Times New Roman" w:hAnsi="Times New Roman"/>
        </w:rPr>
        <w:t xml:space="preserve"> market analysis and</w:t>
      </w:r>
      <w:r w:rsidR="00E7242A">
        <w:rPr>
          <w:rFonts w:ascii="Times New Roman" w:hAnsi="Times New Roman"/>
        </w:rPr>
        <w:t xml:space="preserve"> investigations and in connection with litigation</w:t>
      </w:r>
      <w:r w:rsidR="00875D3B">
        <w:rPr>
          <w:rFonts w:ascii="Times New Roman" w:hAnsi="Times New Roman"/>
        </w:rPr>
        <w:t>.  That data would, in turn, guide the Commission’s efforts</w:t>
      </w:r>
      <w:r w:rsidR="002E26B4">
        <w:rPr>
          <w:rFonts w:ascii="Times New Roman" w:hAnsi="Times New Roman"/>
        </w:rPr>
        <w:t xml:space="preserve"> to collect more detailed information, through its authority to inspect books and records, </w:t>
      </w:r>
      <w:r w:rsidR="00E7242A">
        <w:rPr>
          <w:rFonts w:ascii="Times New Roman" w:hAnsi="Times New Roman"/>
        </w:rPr>
        <w:t>when warranted</w:t>
      </w:r>
      <w:r w:rsidR="002E26B4">
        <w:rPr>
          <w:rFonts w:ascii="Times New Roman" w:hAnsi="Times New Roman"/>
        </w:rPr>
        <w:t xml:space="preserve"> (e.g., threatened or actual market disruption).  The Form TO information would also enable the Commission to determine whether these counterparties should be subject to more frequent and comprehensive reporting obligations in the future</w:t>
      </w:r>
      <w:r>
        <w:rPr>
          <w:rFonts w:ascii="Times New Roman" w:hAnsi="Times New Roman"/>
        </w:rPr>
        <w:t>.</w:t>
      </w:r>
    </w:p>
    <w:p w:rsidR="00534B6B" w:rsidRPr="003E1569" w:rsidRDefault="00534B6B" w:rsidP="00534B6B">
      <w:pPr>
        <w:keepNext/>
        <w:tabs>
          <w:tab w:val="left" w:pos="-720"/>
          <w:tab w:val="left" w:pos="0"/>
        </w:tabs>
        <w:spacing w:after="240"/>
        <w:rPr>
          <w:rFonts w:ascii="Times New Roman" w:hAnsi="Times New Roman"/>
          <w:b/>
        </w:rPr>
      </w:pPr>
      <w:r>
        <w:rPr>
          <w:rFonts w:ascii="Times New Roman" w:hAnsi="Times New Roman"/>
          <w:b/>
        </w:rPr>
        <w:lastRenderedPageBreak/>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4B6B" w:rsidRPr="003E1569" w:rsidRDefault="00534B6B" w:rsidP="00534B6B">
      <w:pPr>
        <w:tabs>
          <w:tab w:val="left" w:pos="-720"/>
          <w:tab w:val="left" w:pos="0"/>
        </w:tabs>
        <w:spacing w:after="240"/>
        <w:rPr>
          <w:rFonts w:ascii="Times New Roman" w:hAnsi="Times New Roman"/>
        </w:rPr>
      </w:pPr>
      <w:r w:rsidRPr="003E1569">
        <w:rPr>
          <w:rFonts w:ascii="Times New Roman" w:hAnsi="Times New Roman"/>
        </w:rPr>
        <w:tab/>
        <w:t xml:space="preserve">Information </w:t>
      </w:r>
      <w:r w:rsidR="00D05785">
        <w:rPr>
          <w:rFonts w:ascii="Times New Roman" w:hAnsi="Times New Roman"/>
        </w:rPr>
        <w:t>generally must</w:t>
      </w:r>
      <w:r w:rsidR="00D05785" w:rsidRPr="003E1569">
        <w:rPr>
          <w:rFonts w:ascii="Times New Roman" w:hAnsi="Times New Roman"/>
        </w:rPr>
        <w:t xml:space="preserve"> </w:t>
      </w:r>
      <w:r w:rsidRPr="003E1569">
        <w:rPr>
          <w:rFonts w:ascii="Times New Roman" w:hAnsi="Times New Roman"/>
        </w:rPr>
        <w:t>be submitted electronically</w:t>
      </w:r>
      <w:r w:rsidR="00D05785">
        <w:rPr>
          <w:rFonts w:ascii="Times New Roman" w:hAnsi="Times New Roman"/>
        </w:rPr>
        <w:t xml:space="preserve"> unless reporting via the Commission’s web site is impossible</w:t>
      </w:r>
      <w:r w:rsidRPr="003E1569">
        <w:rPr>
          <w:rFonts w:ascii="Times New Roman" w:hAnsi="Times New Roman"/>
        </w:rPr>
        <w:t>.</w:t>
      </w:r>
      <w:r w:rsidR="005F0AD3">
        <w:rPr>
          <w:rFonts w:ascii="Times New Roman" w:hAnsi="Times New Roman"/>
        </w:rPr>
        <w:t xml:space="preserve">  The Commission chose this approach due to its belief that </w:t>
      </w:r>
      <w:r w:rsidR="00DC4E38">
        <w:rPr>
          <w:rFonts w:ascii="Times New Roman" w:hAnsi="Times New Roman"/>
        </w:rPr>
        <w:t>data is</w:t>
      </w:r>
      <w:r w:rsidR="005F0AD3">
        <w:rPr>
          <w:rFonts w:ascii="Times New Roman" w:hAnsi="Times New Roman"/>
        </w:rPr>
        <w:t xml:space="preserve"> more useful in electronic form and less burdensome to submit electronically.</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The required information is not available from any other source</w:t>
      </w:r>
      <w:r w:rsidR="00D05785">
        <w:rPr>
          <w:rFonts w:ascii="Times New Roman" w:hAnsi="Times New Roman"/>
        </w:rPr>
        <w:t xml:space="preserve"> because Form TO was designed to capture information not reported to the Commission pursuant to other Commission reporting regulations</w:t>
      </w:r>
      <w:r w:rsidRPr="003E1569">
        <w:rPr>
          <w:rFonts w:ascii="Times New Roman" w:hAnsi="Times New Roman"/>
        </w:rPr>
        <w:t>.</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5.</w:t>
      </w:r>
      <w:r w:rsidRPr="0019376E">
        <w:rPr>
          <w:rFonts w:ascii="Times New Roman" w:hAnsi="Times New Roman"/>
          <w:b/>
        </w:rPr>
        <w:tab/>
        <w:t>If the collection of information involves small business or other small entities (Item 5 of OMB F</w:t>
      </w:r>
      <w:r w:rsidR="00CC009F">
        <w:rPr>
          <w:rFonts w:ascii="Times New Roman" w:hAnsi="Times New Roman"/>
          <w:b/>
        </w:rPr>
        <w:t>or</w:t>
      </w:r>
      <w:r w:rsidRPr="0019376E">
        <w:rPr>
          <w:rFonts w:ascii="Times New Roman" w:hAnsi="Times New Roman"/>
          <w:b/>
        </w:rPr>
        <w:t>m 83-I), describe the methods used to minimize burden.</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E25077">
        <w:rPr>
          <w:rFonts w:ascii="Times New Roman" w:hAnsi="Times New Roman"/>
        </w:rPr>
        <w:t xml:space="preserve">Participants in unreported trade options, although they must be commercials, may include some small entities.  The Commission has sought to minimize any burdens associated with Form TO by: (1) limiting </w:t>
      </w:r>
      <w:r w:rsidR="00EE03B3">
        <w:rPr>
          <w:rFonts w:ascii="Times New Roman" w:hAnsi="Times New Roman"/>
        </w:rPr>
        <w:t xml:space="preserve">the </w:t>
      </w:r>
      <w:r w:rsidR="00E25077">
        <w:rPr>
          <w:rFonts w:ascii="Times New Roman" w:hAnsi="Times New Roman"/>
        </w:rPr>
        <w:t>filing of the form to once ann</w:t>
      </w:r>
      <w:r w:rsidR="002A3CC2">
        <w:rPr>
          <w:rFonts w:ascii="Times New Roman" w:hAnsi="Times New Roman"/>
        </w:rPr>
        <w:t>u</w:t>
      </w:r>
      <w:r w:rsidR="00E25077">
        <w:rPr>
          <w:rFonts w:ascii="Times New Roman" w:hAnsi="Times New Roman"/>
        </w:rPr>
        <w:t xml:space="preserve">ally; (2) limiting the information regarding commodities involved to four general categories (agricultural, metals, energy and other); (3) </w:t>
      </w:r>
      <w:r w:rsidR="00EE03B3">
        <w:rPr>
          <w:rFonts w:ascii="Times New Roman" w:hAnsi="Times New Roman"/>
        </w:rPr>
        <w:t>limiting the information collected to options actually exercised (i.e., they must report commodities actually bought or sold pursuant to options, but not options that remained open at year’s end or that expired unexercised during the year); (4) asking for the value of the commodities received or delivered only within three very broad categories (under $10 million, $10 million to $100 million, and over $100 million)</w:t>
      </w:r>
      <w:r w:rsidR="00F654DB">
        <w:rPr>
          <w:rFonts w:ascii="Times New Roman" w:hAnsi="Times New Roman"/>
        </w:rPr>
        <w:t>; and (5) requiring very little additional information (i.e., just the name</w:t>
      </w:r>
      <w:r w:rsidR="005F0AD3">
        <w:rPr>
          <w:rFonts w:ascii="Times New Roman" w:hAnsi="Times New Roman"/>
        </w:rPr>
        <w:t xml:space="preserve"> and title</w:t>
      </w:r>
      <w:r w:rsidR="00F654DB">
        <w:rPr>
          <w:rFonts w:ascii="Times New Roman" w:hAnsi="Times New Roman"/>
        </w:rPr>
        <w:t xml:space="preserve"> of the reporting party, identifying information and contact information)</w:t>
      </w:r>
      <w:r w:rsidRPr="003E1569">
        <w:rPr>
          <w:rFonts w:ascii="Times New Roman" w:hAnsi="Times New Roman"/>
        </w:rPr>
        <w:t>.</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F63EC3">
        <w:rPr>
          <w:rFonts w:ascii="Times New Roman" w:hAnsi="Times New Roman"/>
        </w:rPr>
        <w:t xml:space="preserve">Failure to collect the information annually </w:t>
      </w:r>
      <w:r w:rsidR="00F63EC3" w:rsidRPr="00F63EC3">
        <w:rPr>
          <w:rFonts w:ascii="Times New Roman" w:hAnsi="Times New Roman"/>
        </w:rPr>
        <w:t>would adversely affect the Commission’s ability to</w:t>
      </w:r>
      <w:r w:rsidR="00F654DB">
        <w:rPr>
          <w:rFonts w:ascii="Times New Roman" w:hAnsi="Times New Roman"/>
        </w:rPr>
        <w:t xml:space="preserve"> oversee swap</w:t>
      </w:r>
      <w:r w:rsidR="00F63EC3" w:rsidRPr="00F63EC3">
        <w:rPr>
          <w:rFonts w:ascii="Times New Roman" w:hAnsi="Times New Roman"/>
        </w:rPr>
        <w:t xml:space="preserve"> </w:t>
      </w:r>
      <w:r w:rsidR="00B24358">
        <w:rPr>
          <w:rFonts w:ascii="Times New Roman" w:hAnsi="Times New Roman"/>
        </w:rPr>
        <w:t>market</w:t>
      </w:r>
      <w:r w:rsidR="00F654DB">
        <w:rPr>
          <w:rFonts w:ascii="Times New Roman" w:hAnsi="Times New Roman"/>
        </w:rPr>
        <w:t xml:space="preserve">s by significantly delaying its ability to investigate suspected market misconduct or other </w:t>
      </w:r>
      <w:r w:rsidR="005F0AD3">
        <w:rPr>
          <w:rFonts w:ascii="Times New Roman" w:hAnsi="Times New Roman"/>
        </w:rPr>
        <w:t xml:space="preserve">relevant </w:t>
      </w:r>
      <w:r w:rsidR="00F654DB">
        <w:rPr>
          <w:rFonts w:ascii="Times New Roman" w:hAnsi="Times New Roman"/>
        </w:rPr>
        <w:t>market events</w:t>
      </w:r>
      <w:r w:rsidR="00B24358">
        <w:rPr>
          <w:rFonts w:ascii="Times New Roman" w:hAnsi="Times New Roman"/>
        </w:rPr>
        <w:t xml:space="preserve">.  </w:t>
      </w:r>
      <w:r w:rsidR="00F654DB">
        <w:rPr>
          <w:rFonts w:ascii="Times New Roman" w:hAnsi="Times New Roman"/>
        </w:rPr>
        <w:t>C</w:t>
      </w:r>
      <w:r w:rsidR="00B24358">
        <w:rPr>
          <w:rFonts w:ascii="Times New Roman" w:hAnsi="Times New Roman"/>
        </w:rPr>
        <w:t>ollect</w:t>
      </w:r>
      <w:r w:rsidR="00F654DB">
        <w:rPr>
          <w:rFonts w:ascii="Times New Roman" w:hAnsi="Times New Roman"/>
        </w:rPr>
        <w:t>ing</w:t>
      </w:r>
      <w:r w:rsidR="00B24358">
        <w:rPr>
          <w:rFonts w:ascii="Times New Roman" w:hAnsi="Times New Roman"/>
        </w:rPr>
        <w:t xml:space="preserve"> </w:t>
      </w:r>
      <w:r w:rsidR="00F654DB">
        <w:rPr>
          <w:rFonts w:ascii="Times New Roman" w:hAnsi="Times New Roman"/>
        </w:rPr>
        <w:t xml:space="preserve">information </w:t>
      </w:r>
      <w:r w:rsidR="00B24358">
        <w:rPr>
          <w:rFonts w:ascii="Times New Roman" w:hAnsi="Times New Roman"/>
        </w:rPr>
        <w:t xml:space="preserve">less frequently would </w:t>
      </w:r>
      <w:r w:rsidR="00F63EC3">
        <w:rPr>
          <w:rFonts w:ascii="Times New Roman" w:hAnsi="Times New Roman"/>
        </w:rPr>
        <w:t xml:space="preserve">limit the </w:t>
      </w:r>
      <w:r w:rsidRPr="003E1569">
        <w:rPr>
          <w:rFonts w:ascii="Times New Roman" w:hAnsi="Times New Roman"/>
        </w:rPr>
        <w:t xml:space="preserve">enforcement of Commission rules </w:t>
      </w:r>
      <w:r w:rsidR="00B24358">
        <w:rPr>
          <w:rFonts w:ascii="Times New Roman" w:hAnsi="Times New Roman"/>
        </w:rPr>
        <w:t>intended to protect market integrity</w:t>
      </w:r>
      <w:r w:rsidRPr="003E1569">
        <w:rPr>
          <w:rFonts w:ascii="Times New Roman" w:hAnsi="Times New Roman"/>
        </w:rPr>
        <w:t>.</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rsidR="002102C2" w:rsidRDefault="00534B6B" w:rsidP="002102C2">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002102C2" w:rsidRPr="00BF5F7A" w:rsidRDefault="00CA12F8" w:rsidP="00BF5F7A">
      <w:pPr>
        <w:tabs>
          <w:tab w:val="left" w:pos="-720"/>
          <w:tab w:val="left" w:pos="0"/>
          <w:tab w:val="left" w:pos="720"/>
        </w:tabs>
        <w:spacing w:after="240"/>
        <w:rPr>
          <w:rFonts w:ascii="Times New Roman" w:hAnsi="Times New Roman"/>
        </w:rPr>
      </w:pPr>
      <w:r>
        <w:rPr>
          <w:rFonts w:ascii="Times New Roman" w:hAnsi="Times New Roman"/>
        </w:rPr>
        <w:lastRenderedPageBreak/>
        <w:tab/>
      </w:r>
      <w:r w:rsidR="002102C2" w:rsidRPr="00BF5F7A">
        <w:rPr>
          <w:rFonts w:ascii="Times New Roman" w:hAnsi="Times New Roman"/>
        </w:rPr>
        <w:t>This question does not apply</w:t>
      </w:r>
      <w:r w:rsidR="002102C2" w:rsidRPr="002102C2">
        <w:rPr>
          <w:rFonts w:ascii="Times New Roman" w:hAnsi="Times New Roman"/>
          <w:b/>
        </w:rPr>
        <w:t>.</w:t>
      </w:r>
      <w:r w:rsidR="002102C2">
        <w:rPr>
          <w:rFonts w:ascii="Times New Roman" w:hAnsi="Times New Roman"/>
          <w:b/>
        </w:rPr>
        <w:t xml:space="preserve">  </w:t>
      </w:r>
      <w:r w:rsidR="002102C2">
        <w:rPr>
          <w:rFonts w:ascii="Times New Roman" w:hAnsi="Times New Roman"/>
        </w:rPr>
        <w:t>The information would be collected annually.</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002102C2" w:rsidRPr="00BF5F7A" w:rsidRDefault="00CA12F8" w:rsidP="00BF5F7A">
      <w:pPr>
        <w:tabs>
          <w:tab w:val="left" w:pos="-720"/>
          <w:tab w:val="left" w:pos="0"/>
          <w:tab w:val="left" w:pos="720"/>
        </w:tabs>
        <w:spacing w:after="240"/>
        <w:jc w:val="both"/>
        <w:rPr>
          <w:rFonts w:ascii="Times New Roman" w:hAnsi="Times New Roman"/>
        </w:rPr>
      </w:pPr>
      <w:r>
        <w:rPr>
          <w:rFonts w:ascii="Times New Roman" w:hAnsi="Times New Roman"/>
        </w:rPr>
        <w:tab/>
      </w:r>
      <w:r w:rsidR="002102C2">
        <w:rPr>
          <w:rFonts w:ascii="Times New Roman" w:hAnsi="Times New Roman"/>
        </w:rPr>
        <w:t>This question does not apply.</w:t>
      </w:r>
      <w:r w:rsidR="00F654DB">
        <w:rPr>
          <w:rFonts w:ascii="Times New Roman" w:hAnsi="Times New Roman"/>
        </w:rPr>
        <w:t xml:space="preserve">  Those required to report on Form TO have </w:t>
      </w:r>
      <w:r w:rsidR="005F0AD3">
        <w:rPr>
          <w:rFonts w:ascii="Times New Roman" w:hAnsi="Times New Roman"/>
        </w:rPr>
        <w:t>6</w:t>
      </w:r>
      <w:r w:rsidR="00F654DB">
        <w:rPr>
          <w:rFonts w:ascii="Times New Roman" w:hAnsi="Times New Roman"/>
        </w:rPr>
        <w:t xml:space="preserve">0 days from the end of the year covered by the Form TO. </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more that an original and two copies of any document;</w:t>
      </w:r>
    </w:p>
    <w:p w:rsidR="00473EEC" w:rsidRPr="00BF5F7A" w:rsidRDefault="00CA12F8" w:rsidP="00F654DB">
      <w:pPr>
        <w:tabs>
          <w:tab w:val="left" w:pos="-720"/>
        </w:tabs>
        <w:spacing w:after="240"/>
        <w:jc w:val="both"/>
        <w:rPr>
          <w:rFonts w:ascii="Times New Roman" w:hAnsi="Times New Roman"/>
        </w:rPr>
      </w:pPr>
      <w:r>
        <w:rPr>
          <w:rFonts w:ascii="Times New Roman" w:hAnsi="Times New Roman"/>
        </w:rPr>
        <w:tab/>
      </w:r>
      <w:r w:rsidR="00473EEC">
        <w:rPr>
          <w:rFonts w:ascii="Times New Roman" w:hAnsi="Times New Roman"/>
        </w:rPr>
        <w:t>This question does not apply.  Form TO does not impose any requirements that would obligate a respondent to submit more than an original and two copies of any document.</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00640D5B" w:rsidRDefault="00CA12F8" w:rsidP="00640D5B">
      <w:pPr>
        <w:tabs>
          <w:tab w:val="left" w:pos="-720"/>
        </w:tabs>
        <w:spacing w:after="240"/>
        <w:rPr>
          <w:rFonts w:ascii="Times New Roman" w:hAnsi="Times New Roman"/>
        </w:rPr>
      </w:pPr>
      <w:r>
        <w:rPr>
          <w:rFonts w:ascii="Times New Roman" w:hAnsi="Times New Roman"/>
        </w:rPr>
        <w:tab/>
      </w:r>
      <w:r w:rsidR="006D224C">
        <w:rPr>
          <w:rFonts w:ascii="Times New Roman" w:hAnsi="Times New Roman"/>
        </w:rPr>
        <w:t>Form TO does not im</w:t>
      </w:r>
      <w:r w:rsidR="005768BA">
        <w:rPr>
          <w:rFonts w:ascii="Times New Roman" w:hAnsi="Times New Roman"/>
        </w:rPr>
        <w:t>p</w:t>
      </w:r>
      <w:r w:rsidR="006D224C">
        <w:rPr>
          <w:rFonts w:ascii="Times New Roman" w:hAnsi="Times New Roman"/>
        </w:rPr>
        <w:t xml:space="preserve">ose any requirements requiring respondents to retain records other than </w:t>
      </w:r>
      <w:r w:rsidR="00640D5B">
        <w:rPr>
          <w:rFonts w:ascii="Times New Roman" w:hAnsi="Times New Roman"/>
        </w:rPr>
        <w:t>health, medical, government contract, grant-in-aid or tax records for more than three years.</w:t>
      </w:r>
      <w:r w:rsidR="00640D5B" w:rsidRPr="003E1569" w:rsidDel="00640D5B">
        <w:rPr>
          <w:rFonts w:ascii="Times New Roman" w:hAnsi="Times New Roman"/>
        </w:rPr>
        <w:t xml:space="preserve"> </w:t>
      </w:r>
    </w:p>
    <w:p w:rsidR="00534B6B" w:rsidRPr="00640D5B" w:rsidRDefault="00534B6B" w:rsidP="00640D5B">
      <w:pPr>
        <w:pStyle w:val="ListParagraph"/>
        <w:numPr>
          <w:ilvl w:val="0"/>
          <w:numId w:val="3"/>
        </w:numPr>
        <w:tabs>
          <w:tab w:val="left" w:pos="-720"/>
        </w:tabs>
        <w:spacing w:after="240"/>
        <w:rPr>
          <w:rFonts w:ascii="Times New Roman" w:hAnsi="Times New Roman"/>
          <w:b/>
        </w:rPr>
      </w:pPr>
      <w:r w:rsidRPr="00640D5B">
        <w:rPr>
          <w:rFonts w:ascii="Times New Roman" w:hAnsi="Times New Roman"/>
          <w:b/>
        </w:rPr>
        <w:t xml:space="preserve">in connection with a statistical survey, that is not designed to produce valid and reliable results that can be generalized to the universe of study; </w:t>
      </w:r>
    </w:p>
    <w:p w:rsidR="00473EEC" w:rsidRPr="00640D5B" w:rsidRDefault="00CA12F8" w:rsidP="00640D5B">
      <w:pPr>
        <w:tabs>
          <w:tab w:val="left" w:pos="-720"/>
          <w:tab w:val="left" w:pos="0"/>
          <w:tab w:val="left" w:pos="720"/>
        </w:tabs>
        <w:spacing w:after="240"/>
        <w:rPr>
          <w:rFonts w:ascii="Times New Roman" w:hAnsi="Times New Roman"/>
        </w:rPr>
      </w:pPr>
      <w:r>
        <w:rPr>
          <w:rFonts w:ascii="Times New Roman" w:hAnsi="Times New Roman"/>
        </w:rPr>
        <w:tab/>
      </w:r>
      <w:r w:rsidR="00473EEC" w:rsidRPr="00640D5B">
        <w:rPr>
          <w:rFonts w:ascii="Times New Roman" w:hAnsi="Times New Roman"/>
        </w:rPr>
        <w:t xml:space="preserve">This question does not apply.  </w:t>
      </w:r>
      <w:r w:rsidR="00473EEC">
        <w:rPr>
          <w:rFonts w:ascii="Times New Roman" w:hAnsi="Times New Roman"/>
        </w:rPr>
        <w:t>Form TO</w:t>
      </w:r>
      <w:r w:rsidR="00473EEC" w:rsidRPr="00640D5B">
        <w:rPr>
          <w:rFonts w:ascii="Times New Roman" w:hAnsi="Times New Roman"/>
        </w:rPr>
        <w:t xml:space="preserve"> do</w:t>
      </w:r>
      <w:r w:rsidR="00473EEC">
        <w:rPr>
          <w:rFonts w:ascii="Times New Roman" w:hAnsi="Times New Roman"/>
        </w:rPr>
        <w:t>es</w:t>
      </w:r>
      <w:r w:rsidR="00473EEC" w:rsidRPr="00640D5B">
        <w:rPr>
          <w:rFonts w:ascii="Times New Roman" w:hAnsi="Times New Roman"/>
        </w:rPr>
        <w:t xml:space="preserve"> not require nor involve any statistical surveys.</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00473EEC" w:rsidRPr="00640D5B" w:rsidRDefault="00CA12F8" w:rsidP="00640D5B">
      <w:pPr>
        <w:tabs>
          <w:tab w:val="left" w:pos="-720"/>
          <w:tab w:val="left" w:pos="0"/>
          <w:tab w:val="left" w:pos="720"/>
        </w:tabs>
        <w:spacing w:after="240"/>
        <w:rPr>
          <w:rFonts w:ascii="Times New Roman" w:hAnsi="Times New Roman"/>
        </w:rPr>
      </w:pPr>
      <w:r>
        <w:rPr>
          <w:rFonts w:ascii="Times New Roman" w:hAnsi="Times New Roman"/>
        </w:rPr>
        <w:tab/>
      </w:r>
      <w:r w:rsidR="00473EEC" w:rsidRPr="00640D5B">
        <w:rPr>
          <w:rFonts w:ascii="Times New Roman" w:hAnsi="Times New Roman"/>
        </w:rPr>
        <w:t xml:space="preserve">This question does not apply. </w:t>
      </w:r>
      <w:r w:rsidR="00473EEC">
        <w:rPr>
          <w:rFonts w:ascii="Times New Roman" w:hAnsi="Times New Roman"/>
        </w:rPr>
        <w:t>Form TO</w:t>
      </w:r>
      <w:r w:rsidR="00473EEC" w:rsidRPr="00640D5B">
        <w:rPr>
          <w:rFonts w:ascii="Times New Roman" w:hAnsi="Times New Roman"/>
        </w:rPr>
        <w:t xml:space="preserve"> do</w:t>
      </w:r>
      <w:r w:rsidR="00473EEC">
        <w:rPr>
          <w:rFonts w:ascii="Times New Roman" w:hAnsi="Times New Roman"/>
        </w:rPr>
        <w:t>es</w:t>
      </w:r>
      <w:r w:rsidR="00473EEC" w:rsidRPr="00640D5B">
        <w:rPr>
          <w:rFonts w:ascii="Times New Roman" w:hAnsi="Times New Roman"/>
        </w:rPr>
        <w:t xml:space="preserve"> not require nor involve the use of any statistical data classification.</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73EEC" w:rsidRPr="00640D5B" w:rsidRDefault="00CA12F8" w:rsidP="00640D5B">
      <w:pPr>
        <w:tabs>
          <w:tab w:val="left" w:pos="-720"/>
          <w:tab w:val="left" w:pos="0"/>
          <w:tab w:val="left" w:pos="720"/>
        </w:tabs>
        <w:spacing w:after="240"/>
        <w:rPr>
          <w:rFonts w:ascii="Times New Roman" w:hAnsi="Times New Roman"/>
        </w:rPr>
      </w:pPr>
      <w:r>
        <w:rPr>
          <w:rFonts w:ascii="Times New Roman" w:hAnsi="Times New Roman"/>
        </w:rPr>
        <w:tab/>
      </w:r>
      <w:r w:rsidR="00473EEC" w:rsidRPr="00640D5B">
        <w:rPr>
          <w:rFonts w:ascii="Times New Roman" w:hAnsi="Times New Roman"/>
        </w:rPr>
        <w:t xml:space="preserve">This question does not apply.  </w:t>
      </w:r>
      <w:r w:rsidR="005768BA">
        <w:rPr>
          <w:rFonts w:ascii="Times New Roman" w:hAnsi="Times New Roman"/>
        </w:rPr>
        <w:t>The final regulations do not make a pledge of confidentiality, let alone an unsupported confidentiality pledge.</w:t>
      </w:r>
    </w:p>
    <w:p w:rsidR="00896177" w:rsidRDefault="00534B6B" w:rsidP="005768BA">
      <w:pPr>
        <w:pStyle w:val="ListParagraph"/>
        <w:numPr>
          <w:ilvl w:val="0"/>
          <w:numId w:val="4"/>
        </w:numPr>
        <w:tabs>
          <w:tab w:val="left" w:pos="-720"/>
          <w:tab w:val="left" w:pos="0"/>
          <w:tab w:val="left" w:pos="720"/>
        </w:tabs>
        <w:spacing w:after="240"/>
        <w:rPr>
          <w:rFonts w:ascii="Times New Roman" w:hAnsi="Times New Roman"/>
        </w:rPr>
      </w:pPr>
      <w:r w:rsidRPr="005768BA">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r w:rsidRPr="005768BA">
        <w:rPr>
          <w:rFonts w:ascii="Times New Roman" w:hAnsi="Times New Roman"/>
        </w:rPr>
        <w:tab/>
      </w:r>
    </w:p>
    <w:p w:rsidR="00473EEC" w:rsidRPr="005768BA" w:rsidRDefault="00CA12F8" w:rsidP="00896177">
      <w:pPr>
        <w:tabs>
          <w:tab w:val="left" w:pos="-720"/>
          <w:tab w:val="left" w:pos="0"/>
          <w:tab w:val="left" w:pos="720"/>
        </w:tabs>
        <w:spacing w:after="240"/>
        <w:rPr>
          <w:rFonts w:ascii="Times New Roman" w:hAnsi="Times New Roman"/>
        </w:rPr>
      </w:pPr>
      <w:r>
        <w:rPr>
          <w:rFonts w:ascii="Times New Roman" w:hAnsi="Times New Roman"/>
        </w:rPr>
        <w:tab/>
      </w:r>
      <w:r w:rsidR="005768BA">
        <w:rPr>
          <w:rFonts w:ascii="Times New Roman" w:hAnsi="Times New Roman"/>
        </w:rPr>
        <w:t>T</w:t>
      </w:r>
      <w:r w:rsidR="00473EEC" w:rsidRPr="005768BA">
        <w:rPr>
          <w:rFonts w:ascii="Times New Roman" w:hAnsi="Times New Roman"/>
        </w:rPr>
        <w:t xml:space="preserve">he Commission has promulgated regulations to protect the confidentiality of any information collected from respondents.  Such regulations are set forth in 17 CFR Part 145.  The protection of such information also is governed by section 8 of the Commodity Exchange Act, by </w:t>
      </w:r>
      <w:r w:rsidR="00473EEC" w:rsidRPr="005768BA">
        <w:rPr>
          <w:rFonts w:ascii="Times New Roman" w:hAnsi="Times New Roman"/>
        </w:rPr>
        <w:lastRenderedPageBreak/>
        <w:t>the Trade Secrets Act, and by the Privacy Act of 1974.</w:t>
      </w:r>
      <w:r w:rsidR="005768BA">
        <w:rPr>
          <w:rFonts w:ascii="Times New Roman" w:hAnsi="Times New Roman"/>
        </w:rPr>
        <w:t xml:space="preserve">  Form TO includes a Privacy Act Notice on page 1.</w:t>
      </w:r>
    </w:p>
    <w:p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8.</w:t>
      </w:r>
      <w:r w:rsidRPr="0019376E">
        <w:rPr>
          <w:rFonts w:ascii="Times New Roman" w:hAnsi="Times New Roman"/>
          <w:b/>
        </w:rPr>
        <w:tab/>
        <w:t xml:space="preserve">If applicable, provide a copy and identify the date and page number of publication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B94AFA">
        <w:rPr>
          <w:rFonts w:ascii="Times New Roman" w:hAnsi="Times New Roman"/>
          <w:b/>
        </w:rPr>
        <w:t>Specifically address comments received on cost and hour burden.</w:t>
      </w:r>
    </w:p>
    <w:p w:rsidR="00654BB3" w:rsidRDefault="00534B6B" w:rsidP="00D338DC">
      <w:pPr>
        <w:pStyle w:val="TOC6"/>
        <w:tabs>
          <w:tab w:val="clear" w:pos="9360"/>
          <w:tab w:val="left" w:pos="-720"/>
          <w:tab w:val="left" w:pos="0"/>
        </w:tabs>
        <w:suppressAutoHyphens w:val="0"/>
        <w:spacing w:after="240"/>
        <w:ind w:left="0" w:firstLine="0"/>
      </w:pPr>
      <w:r w:rsidRPr="003E1569">
        <w:rPr>
          <w:rFonts w:ascii="Times New Roman" w:hAnsi="Times New Roman"/>
          <w:szCs w:val="24"/>
        </w:rPr>
        <w:tab/>
        <w:t>A copy of the notice soliciting comments on this collection is attached</w:t>
      </w:r>
      <w:r w:rsidR="00D0206D">
        <w:rPr>
          <w:rFonts w:ascii="Times New Roman" w:hAnsi="Times New Roman"/>
          <w:szCs w:val="24"/>
        </w:rPr>
        <w:t xml:space="preserve">, </w:t>
      </w:r>
      <w:r w:rsidR="00896177">
        <w:rPr>
          <w:rFonts w:ascii="Times New Roman" w:hAnsi="Times New Roman"/>
          <w:szCs w:val="24"/>
        </w:rPr>
        <w:t xml:space="preserve">as </w:t>
      </w:r>
      <w:r w:rsidR="00D0206D">
        <w:rPr>
          <w:rFonts w:ascii="Times New Roman" w:hAnsi="Times New Roman"/>
          <w:szCs w:val="24"/>
        </w:rPr>
        <w:t xml:space="preserve">published in </w:t>
      </w:r>
      <w:r w:rsidR="00896177">
        <w:rPr>
          <w:rFonts w:ascii="Times New Roman" w:hAnsi="Times New Roman"/>
          <w:szCs w:val="24"/>
        </w:rPr>
        <w:t xml:space="preserve">the </w:t>
      </w:r>
      <w:r w:rsidR="00D0206D" w:rsidRPr="00BD553D">
        <w:rPr>
          <w:rFonts w:ascii="Times New Roman" w:hAnsi="Times New Roman"/>
          <w:u w:val="single"/>
        </w:rPr>
        <w:t>Federal Register</w:t>
      </w:r>
      <w:r w:rsidRPr="003E1569">
        <w:rPr>
          <w:rFonts w:ascii="Times New Roman" w:hAnsi="Times New Roman"/>
          <w:szCs w:val="24"/>
        </w:rPr>
        <w:t>.</w:t>
      </w:r>
      <w:r w:rsidR="005F0AD3">
        <w:rPr>
          <w:rStyle w:val="FootnoteReference"/>
        </w:rPr>
        <w:footnoteReference w:id="1"/>
      </w:r>
      <w:r w:rsidRPr="003E1569">
        <w:rPr>
          <w:rFonts w:ascii="Times New Roman" w:hAnsi="Times New Roman"/>
          <w:szCs w:val="24"/>
        </w:rPr>
        <w:t xml:space="preserve">  </w:t>
      </w:r>
      <w:r w:rsidR="002B386D">
        <w:rPr>
          <w:rFonts w:ascii="Times New Roman" w:hAnsi="Times New Roman"/>
          <w:szCs w:val="24"/>
        </w:rPr>
        <w:t>Also, t</w:t>
      </w:r>
      <w:r w:rsidR="002B386D" w:rsidRPr="002B386D">
        <w:rPr>
          <w:rFonts w:ascii="Times New Roman" w:hAnsi="Times New Roman"/>
          <w:szCs w:val="24"/>
        </w:rPr>
        <w:t>he Commission sought comment</w:t>
      </w:r>
      <w:r w:rsidR="002B386D">
        <w:rPr>
          <w:rFonts w:ascii="Times New Roman" w:hAnsi="Times New Roman"/>
          <w:szCs w:val="24"/>
        </w:rPr>
        <w:t>s</w:t>
      </w:r>
      <w:r w:rsidR="002B386D" w:rsidRPr="002B386D">
        <w:rPr>
          <w:rFonts w:ascii="Times New Roman" w:hAnsi="Times New Roman"/>
          <w:szCs w:val="24"/>
        </w:rPr>
        <w:t xml:space="preserve"> from the public and Federal agencies on the </w:t>
      </w:r>
      <w:r w:rsidR="002B386D">
        <w:rPr>
          <w:rFonts w:ascii="Times New Roman" w:hAnsi="Times New Roman"/>
          <w:szCs w:val="24"/>
        </w:rPr>
        <w:t xml:space="preserve">subject </w:t>
      </w:r>
      <w:r w:rsidR="002B386D" w:rsidRPr="002B386D">
        <w:rPr>
          <w:rFonts w:ascii="Times New Roman" w:hAnsi="Times New Roman"/>
          <w:szCs w:val="24"/>
        </w:rPr>
        <w:t>information collections</w:t>
      </w:r>
      <w:r w:rsidR="002B386D">
        <w:rPr>
          <w:rFonts w:ascii="Times New Roman" w:hAnsi="Times New Roman"/>
          <w:szCs w:val="24"/>
        </w:rPr>
        <w:t xml:space="preserve"> in the Commodity Options Final Rule and Interim Final Rule (Trade Option IFR), published in the </w:t>
      </w:r>
      <w:r w:rsidR="002B386D">
        <w:rPr>
          <w:rFonts w:ascii="Times New Roman" w:hAnsi="Times New Roman"/>
          <w:szCs w:val="24"/>
          <w:u w:val="single"/>
        </w:rPr>
        <w:t xml:space="preserve">Federal </w:t>
      </w:r>
      <w:r w:rsidR="002B386D" w:rsidRPr="00640D5B">
        <w:rPr>
          <w:rFonts w:ascii="Times New Roman" w:hAnsi="Times New Roman"/>
          <w:szCs w:val="24"/>
          <w:u w:val="single"/>
        </w:rPr>
        <w:t>Register</w:t>
      </w:r>
      <w:r w:rsidR="002B386D">
        <w:rPr>
          <w:rFonts w:ascii="Times New Roman" w:hAnsi="Times New Roman"/>
          <w:szCs w:val="24"/>
        </w:rPr>
        <w:t>.</w:t>
      </w:r>
      <w:r w:rsidR="00D338DC">
        <w:rPr>
          <w:rStyle w:val="FootnoteReference"/>
        </w:rPr>
        <w:footnoteReference w:id="2"/>
      </w:r>
      <w:r w:rsidR="002B386D" w:rsidRPr="002B386D">
        <w:rPr>
          <w:rFonts w:ascii="Times New Roman" w:hAnsi="Times New Roman"/>
          <w:szCs w:val="24"/>
        </w:rPr>
        <w:t xml:space="preserve">  </w:t>
      </w:r>
      <w:r w:rsidR="00BA0CF6">
        <w:rPr>
          <w:rFonts w:ascii="Times New Roman" w:hAnsi="Times New Roman"/>
          <w:szCs w:val="24"/>
        </w:rPr>
        <w:t xml:space="preserve">Generally, the five comments </w:t>
      </w:r>
      <w:r w:rsidR="00DC4E38">
        <w:rPr>
          <w:rFonts w:ascii="Times New Roman" w:hAnsi="Times New Roman"/>
          <w:szCs w:val="24"/>
        </w:rPr>
        <w:t>received</w:t>
      </w:r>
      <w:r w:rsidR="00BA0CF6">
        <w:rPr>
          <w:rFonts w:ascii="Times New Roman" w:hAnsi="Times New Roman"/>
          <w:szCs w:val="24"/>
        </w:rPr>
        <w:t xml:space="preserve"> in response to the notice of new information collection argued that</w:t>
      </w:r>
      <w:r w:rsidR="00896177">
        <w:rPr>
          <w:rFonts w:ascii="Times New Roman" w:hAnsi="Times New Roman"/>
          <w:szCs w:val="24"/>
        </w:rPr>
        <w:t xml:space="preserve"> the Commission should allow for the expanded use of Form TO for reporting</w:t>
      </w:r>
      <w:r w:rsidR="00BA0CF6">
        <w:rPr>
          <w:rFonts w:ascii="Times New Roman" w:hAnsi="Times New Roman"/>
          <w:szCs w:val="24"/>
        </w:rPr>
        <w:t xml:space="preserve"> trade options, </w:t>
      </w:r>
      <w:r w:rsidR="00B51F4A">
        <w:rPr>
          <w:rFonts w:ascii="Times New Roman" w:hAnsi="Times New Roman"/>
          <w:szCs w:val="24"/>
        </w:rPr>
        <w:t>at the very least</w:t>
      </w:r>
      <w:r w:rsidR="00BA0CF6">
        <w:rPr>
          <w:rFonts w:ascii="Times New Roman" w:hAnsi="Times New Roman"/>
          <w:szCs w:val="24"/>
        </w:rPr>
        <w:t xml:space="preserve"> when</w:t>
      </w:r>
      <w:r w:rsidR="00896177">
        <w:rPr>
          <w:rFonts w:ascii="Times New Roman" w:hAnsi="Times New Roman"/>
          <w:szCs w:val="24"/>
        </w:rPr>
        <w:t xml:space="preserve"> between non-SDs/MSPs</w:t>
      </w:r>
      <w:r w:rsidR="00BA0CF6">
        <w:rPr>
          <w:rFonts w:ascii="Times New Roman" w:hAnsi="Times New Roman"/>
          <w:szCs w:val="24"/>
        </w:rPr>
        <w:t xml:space="preserve">.  </w:t>
      </w:r>
      <w:r w:rsidR="00B51F4A">
        <w:rPr>
          <w:rFonts w:ascii="Times New Roman" w:hAnsi="Times New Roman"/>
          <w:szCs w:val="24"/>
        </w:rPr>
        <w:t xml:space="preserve">All five commenters argued that </w:t>
      </w:r>
      <w:r w:rsidR="00BA0CF6">
        <w:rPr>
          <w:rFonts w:ascii="Times New Roman" w:hAnsi="Times New Roman"/>
          <w:szCs w:val="24"/>
        </w:rPr>
        <w:t>it is impractical to report trade option</w:t>
      </w:r>
      <w:r w:rsidR="00B51F4A">
        <w:rPr>
          <w:rFonts w:ascii="Times New Roman" w:hAnsi="Times New Roman"/>
          <w:szCs w:val="24"/>
        </w:rPr>
        <w:t>s</w:t>
      </w:r>
      <w:r w:rsidR="00BA0CF6">
        <w:rPr>
          <w:rFonts w:ascii="Times New Roman" w:hAnsi="Times New Roman"/>
          <w:szCs w:val="24"/>
        </w:rPr>
        <w:t xml:space="preserve"> under Part 45 because the data elements associated with trade options are not compatible with the data element structure required by Part 45 reporting</w:t>
      </w:r>
      <w:r w:rsidR="00B51F4A">
        <w:rPr>
          <w:rFonts w:ascii="Times New Roman" w:hAnsi="Times New Roman"/>
          <w:szCs w:val="24"/>
        </w:rPr>
        <w:t xml:space="preserve">.  Additionally, commenters </w:t>
      </w:r>
      <w:r w:rsidR="009C5CF2">
        <w:rPr>
          <w:rFonts w:ascii="Times New Roman" w:hAnsi="Times New Roman"/>
          <w:szCs w:val="24"/>
        </w:rPr>
        <w:t xml:space="preserve">generally believed that </w:t>
      </w:r>
      <w:r w:rsidR="00896177">
        <w:rPr>
          <w:rFonts w:ascii="Times New Roman" w:hAnsi="Times New Roman"/>
          <w:szCs w:val="24"/>
        </w:rPr>
        <w:t>fewer</w:t>
      </w:r>
      <w:r w:rsidR="00B51F4A">
        <w:rPr>
          <w:rFonts w:ascii="Times New Roman" w:hAnsi="Times New Roman"/>
          <w:szCs w:val="24"/>
        </w:rPr>
        <w:t xml:space="preserve"> counterparties to trade options </w:t>
      </w:r>
      <w:r w:rsidR="00896177">
        <w:rPr>
          <w:rFonts w:ascii="Times New Roman" w:hAnsi="Times New Roman"/>
          <w:szCs w:val="24"/>
        </w:rPr>
        <w:t xml:space="preserve">than originally expected </w:t>
      </w:r>
      <w:r w:rsidR="00B51F4A">
        <w:rPr>
          <w:rFonts w:ascii="Times New Roman" w:hAnsi="Times New Roman"/>
          <w:szCs w:val="24"/>
        </w:rPr>
        <w:t xml:space="preserve">would be able to utilize </w:t>
      </w:r>
      <w:r w:rsidR="009C5CF2">
        <w:rPr>
          <w:rFonts w:ascii="Times New Roman" w:hAnsi="Times New Roman"/>
          <w:szCs w:val="24"/>
        </w:rPr>
        <w:t>Form TO</w:t>
      </w:r>
      <w:r w:rsidR="00402BC8">
        <w:rPr>
          <w:rFonts w:ascii="Times New Roman" w:hAnsi="Times New Roman"/>
          <w:szCs w:val="24"/>
        </w:rPr>
        <w:t xml:space="preserve"> in lieu of Part 45 reporting</w:t>
      </w:r>
      <w:r w:rsidR="009C5CF2">
        <w:rPr>
          <w:rFonts w:ascii="Times New Roman" w:hAnsi="Times New Roman"/>
          <w:szCs w:val="24"/>
        </w:rPr>
        <w:t>, due to the likelihood</w:t>
      </w:r>
      <w:r w:rsidR="00896177">
        <w:rPr>
          <w:rFonts w:ascii="Times New Roman" w:hAnsi="Times New Roman"/>
          <w:szCs w:val="24"/>
        </w:rPr>
        <w:t xml:space="preserve"> </w:t>
      </w:r>
      <w:r w:rsidR="009C5CF2">
        <w:rPr>
          <w:rFonts w:ascii="Times New Roman" w:hAnsi="Times New Roman"/>
          <w:szCs w:val="24"/>
        </w:rPr>
        <w:t xml:space="preserve">that a non-SD/MSP counterparty would </w:t>
      </w:r>
      <w:r w:rsidR="00896177">
        <w:rPr>
          <w:rFonts w:ascii="Times New Roman" w:hAnsi="Times New Roman"/>
          <w:szCs w:val="24"/>
        </w:rPr>
        <w:t xml:space="preserve">inevitably </w:t>
      </w:r>
      <w:r w:rsidR="009C5CF2">
        <w:rPr>
          <w:rFonts w:ascii="Times New Roman" w:hAnsi="Times New Roman"/>
          <w:szCs w:val="24"/>
        </w:rPr>
        <w:t>become a</w:t>
      </w:r>
      <w:r w:rsidR="00402BC8">
        <w:rPr>
          <w:rFonts w:ascii="Times New Roman" w:hAnsi="Times New Roman"/>
          <w:szCs w:val="24"/>
        </w:rPr>
        <w:t xml:space="preserve"> Part 45</w:t>
      </w:r>
      <w:r w:rsidR="009C5CF2">
        <w:rPr>
          <w:rFonts w:ascii="Times New Roman" w:hAnsi="Times New Roman"/>
          <w:szCs w:val="24"/>
        </w:rPr>
        <w:t xml:space="preserve"> reporting counterparty </w:t>
      </w:r>
      <w:r w:rsidR="00402BC8">
        <w:rPr>
          <w:rFonts w:ascii="Times New Roman" w:hAnsi="Times New Roman"/>
          <w:szCs w:val="24"/>
        </w:rPr>
        <w:t xml:space="preserve">under the Commission’s current rules </w:t>
      </w:r>
      <w:r w:rsidR="009C5CF2">
        <w:rPr>
          <w:rFonts w:ascii="Times New Roman" w:hAnsi="Times New Roman"/>
          <w:szCs w:val="24"/>
        </w:rPr>
        <w:t xml:space="preserve">for </w:t>
      </w:r>
      <w:r w:rsidR="00896177">
        <w:rPr>
          <w:rFonts w:ascii="Times New Roman" w:hAnsi="Times New Roman"/>
          <w:szCs w:val="24"/>
        </w:rPr>
        <w:t>at least</w:t>
      </w:r>
      <w:r w:rsidR="009C5CF2">
        <w:rPr>
          <w:rFonts w:ascii="Times New Roman" w:hAnsi="Times New Roman"/>
          <w:szCs w:val="24"/>
        </w:rPr>
        <w:t xml:space="preserve"> one swap during the previous calendar year. </w:t>
      </w:r>
      <w:r w:rsidR="00BA0CF6">
        <w:rPr>
          <w:rFonts w:ascii="Times New Roman" w:hAnsi="Times New Roman"/>
          <w:szCs w:val="24"/>
        </w:rPr>
        <w:t xml:space="preserve"> </w:t>
      </w:r>
      <w:r w:rsidR="00CC009F">
        <w:rPr>
          <w:rFonts w:ascii="Times New Roman" w:hAnsi="Times New Roman"/>
          <w:szCs w:val="24"/>
        </w:rPr>
        <w:t xml:space="preserve"> </w:t>
      </w:r>
    </w:p>
    <w:p w:rsidR="00654BB3" w:rsidRDefault="00654BB3" w:rsidP="00534B6B">
      <w:pPr>
        <w:tabs>
          <w:tab w:val="left" w:pos="-720"/>
          <w:tab w:val="left" w:pos="0"/>
        </w:tabs>
        <w:spacing w:after="240"/>
        <w:rPr>
          <w:rFonts w:ascii="Times New Roman" w:hAnsi="Times New Roman"/>
        </w:rPr>
      </w:pPr>
      <w:r>
        <w:rPr>
          <w:rFonts w:ascii="Times New Roman" w:hAnsi="Times New Roman"/>
          <w:b/>
        </w:rPr>
        <w:tab/>
      </w:r>
      <w:r>
        <w:rPr>
          <w:rFonts w:ascii="Times New Roman" w:hAnsi="Times New Roman"/>
        </w:rPr>
        <w:t>Two commenters</w:t>
      </w:r>
      <w:r w:rsidR="00BA0CF6">
        <w:rPr>
          <w:rFonts w:ascii="Times New Roman" w:hAnsi="Times New Roman"/>
        </w:rPr>
        <w:t>, however, specifically opined on the Form TO information collection, stating that</w:t>
      </w:r>
      <w:r>
        <w:rPr>
          <w:rFonts w:ascii="Times New Roman" w:hAnsi="Times New Roman"/>
        </w:rPr>
        <w:t xml:space="preserve"> both the Commission’s estimate of annual number of respondents to Form TO and burden hours to complete Form TO were understated.  The American Power Association, National Rural Electric Cooperative Association, Edison Electric Institute, and Electric Power Supply Association, writing together (“Joint Electric Associations”), noted that there are over 3,000 electric utilities in the United States, most of whom use trade options, and even more non-utility</w:t>
      </w:r>
      <w:r w:rsidR="00DA691A">
        <w:rPr>
          <w:rFonts w:ascii="Times New Roman" w:hAnsi="Times New Roman"/>
        </w:rPr>
        <w:t xml:space="preserve"> </w:t>
      </w:r>
      <w:r>
        <w:rPr>
          <w:rFonts w:ascii="Times New Roman" w:hAnsi="Times New Roman"/>
        </w:rPr>
        <w:t xml:space="preserve">market participants </w:t>
      </w:r>
      <w:r w:rsidR="005159C1">
        <w:rPr>
          <w:rFonts w:ascii="Times New Roman" w:hAnsi="Times New Roman"/>
        </w:rPr>
        <w:t xml:space="preserve">in the electric industry </w:t>
      </w:r>
      <w:r>
        <w:rPr>
          <w:rFonts w:ascii="Times New Roman" w:hAnsi="Times New Roman"/>
        </w:rPr>
        <w:t>that may use trade options.  The International Energy Credit Association (“IECA”) noted that there could be hundreds of respondents in the energy industry alone submitting Form TO annually.  As for the Commission’</w:t>
      </w:r>
      <w:r w:rsidR="00A213BD">
        <w:rPr>
          <w:rFonts w:ascii="Times New Roman" w:hAnsi="Times New Roman"/>
        </w:rPr>
        <w:t>s burden hour estimate, t</w:t>
      </w:r>
      <w:r>
        <w:rPr>
          <w:rFonts w:ascii="Times New Roman" w:hAnsi="Times New Roman"/>
        </w:rPr>
        <w:t>he Joint Electric Associations</w:t>
      </w:r>
      <w:r w:rsidR="00A213BD">
        <w:rPr>
          <w:rFonts w:ascii="Times New Roman" w:hAnsi="Times New Roman"/>
        </w:rPr>
        <w:t xml:space="preserve"> believed two hours to be “unreasonably low,” noting that </w:t>
      </w:r>
      <w:r w:rsidR="00DA691A">
        <w:rPr>
          <w:rFonts w:ascii="Times New Roman" w:hAnsi="Times New Roman"/>
        </w:rPr>
        <w:t>“most potential filers of Form TO will be unlikely to have staff familiar with the Commission and its new jurisdiction over swaps,” which will require such filers “to review the relevant provisions of the Commodity Exchange Act and the Commission’s rules, amend relevant trade option documentation to validate that the commodity options meet the conditions in Rule 32.3, and keep track of which trade options are unreported</w:t>
      </w:r>
      <w:r w:rsidR="00A213BD">
        <w:rPr>
          <w:rFonts w:ascii="Times New Roman" w:hAnsi="Times New Roman"/>
        </w:rPr>
        <w:t>.</w:t>
      </w:r>
      <w:r w:rsidR="00DA691A">
        <w:rPr>
          <w:rFonts w:ascii="Times New Roman" w:hAnsi="Times New Roman"/>
        </w:rPr>
        <w:t>”</w:t>
      </w:r>
      <w:r>
        <w:rPr>
          <w:rFonts w:ascii="Times New Roman" w:hAnsi="Times New Roman"/>
        </w:rPr>
        <w:t xml:space="preserve"> </w:t>
      </w:r>
      <w:r w:rsidR="00A213BD">
        <w:rPr>
          <w:rFonts w:ascii="Times New Roman" w:hAnsi="Times New Roman"/>
        </w:rPr>
        <w:t xml:space="preserve"> IECA </w:t>
      </w:r>
      <w:r>
        <w:rPr>
          <w:rFonts w:ascii="Times New Roman" w:hAnsi="Times New Roman"/>
        </w:rPr>
        <w:t xml:space="preserve">estimated that it would take “much longer than two hours” to </w:t>
      </w:r>
      <w:r w:rsidR="00A213BD">
        <w:rPr>
          <w:rFonts w:ascii="Times New Roman" w:hAnsi="Times New Roman"/>
        </w:rPr>
        <w:t>capture all unreported trade options for a year, particularly</w:t>
      </w:r>
      <w:r w:rsidR="00DA691A">
        <w:rPr>
          <w:rFonts w:ascii="Times New Roman" w:hAnsi="Times New Roman"/>
        </w:rPr>
        <w:t xml:space="preserve"> when</w:t>
      </w:r>
      <w:r w:rsidR="00A213BD">
        <w:rPr>
          <w:rFonts w:ascii="Times New Roman" w:hAnsi="Times New Roman"/>
        </w:rPr>
        <w:t xml:space="preserve"> separating unreported trade options entered into with non-SDs/MSPs from reported trade options entered into with SDs/MSPs.</w:t>
      </w:r>
    </w:p>
    <w:p w:rsidR="00D338DC" w:rsidRDefault="00D338DC" w:rsidP="00534B6B">
      <w:pPr>
        <w:tabs>
          <w:tab w:val="left" w:pos="-720"/>
          <w:tab w:val="left" w:pos="0"/>
        </w:tabs>
        <w:spacing w:after="240"/>
        <w:rPr>
          <w:rFonts w:ascii="Times New Roman" w:hAnsi="Times New Roman"/>
        </w:rPr>
      </w:pPr>
    </w:p>
    <w:p w:rsidR="00D338DC" w:rsidRPr="00D338DC" w:rsidRDefault="00D338DC" w:rsidP="00D338DC">
      <w:pPr>
        <w:tabs>
          <w:tab w:val="left" w:pos="-720"/>
          <w:tab w:val="left" w:pos="0"/>
        </w:tabs>
        <w:spacing w:after="240"/>
        <w:ind w:firstLine="720"/>
        <w:rPr>
          <w:rFonts w:ascii="Times New Roman" w:hAnsi="Times New Roman"/>
        </w:rPr>
      </w:pPr>
      <w:r w:rsidRPr="00D338DC">
        <w:rPr>
          <w:rFonts w:ascii="Times New Roman" w:hAnsi="Times New Roman"/>
        </w:rPr>
        <w:t>In response to two comments received</w:t>
      </w:r>
      <w:r w:rsidRPr="00EA6B86">
        <w:rPr>
          <w:rFonts w:ascii="Times New Roman" w:hAnsi="Times New Roman"/>
        </w:rPr>
        <w:t xml:space="preserve">, </w:t>
      </w:r>
      <w:r w:rsidR="00C07BDA" w:rsidRPr="00EA6B86">
        <w:rPr>
          <w:rFonts w:ascii="Times New Roman" w:hAnsi="Times New Roman"/>
        </w:rPr>
        <w:t>the Commission has revised its estimated number of annual respondents to Form TO from 100 to 3,000</w:t>
      </w:r>
      <w:r w:rsidRPr="00EA6B86">
        <w:rPr>
          <w:rFonts w:ascii="Times New Roman" w:hAnsi="Times New Roman"/>
        </w:rPr>
        <w:t xml:space="preserve"> </w:t>
      </w:r>
      <w:r w:rsidR="00C07BDA" w:rsidRPr="00EA6B86">
        <w:rPr>
          <w:rFonts w:ascii="Times New Roman" w:hAnsi="Times New Roman"/>
        </w:rPr>
        <w:t xml:space="preserve">based </w:t>
      </w:r>
      <w:r w:rsidRPr="00EA6B86">
        <w:rPr>
          <w:rFonts w:ascii="Times New Roman" w:hAnsi="Times New Roman"/>
        </w:rPr>
        <w:t>on commenters’ estimates—particularly, that of the Join Electric Associations.</w:t>
      </w:r>
      <w:r w:rsidRPr="00D338DC">
        <w:rPr>
          <w:rFonts w:ascii="Times New Roman" w:hAnsi="Times New Roman"/>
        </w:rPr>
        <w:t xml:space="preserve">  Accordingly, the Commission has recalculated its estimated total cost of compliance with the Form TO reporting requirement.</w:t>
      </w:r>
    </w:p>
    <w:p w:rsidR="00D338DC" w:rsidRDefault="00D338DC" w:rsidP="00D338DC">
      <w:pPr>
        <w:tabs>
          <w:tab w:val="left" w:pos="-720"/>
          <w:tab w:val="left" w:pos="0"/>
        </w:tabs>
        <w:spacing w:after="240"/>
        <w:ind w:firstLine="720"/>
        <w:rPr>
          <w:rFonts w:ascii="Times New Roman" w:hAnsi="Times New Roman"/>
        </w:rPr>
      </w:pPr>
      <w:r w:rsidRPr="00D338DC">
        <w:rPr>
          <w:rFonts w:ascii="Times New Roman" w:hAnsi="Times New Roman"/>
        </w:rPr>
        <w:t xml:space="preserve">The Commission disagrees, however, with the view as expressed by commenters that it would take much longer than two hours each year to prepare and submit Form TO.  The Commission does not believe that an intricate knowledge of the Commodity Exchange Act </w:t>
      </w:r>
      <w:r>
        <w:rPr>
          <w:rFonts w:ascii="Times New Roman" w:hAnsi="Times New Roman"/>
        </w:rPr>
        <w:t xml:space="preserve">or the </w:t>
      </w:r>
      <w:r w:rsidRPr="00D338DC">
        <w:rPr>
          <w:rFonts w:ascii="Times New Roman" w:hAnsi="Times New Roman"/>
        </w:rPr>
        <w:t>agency’s procedures, personnel, and implementing regulations is necessary in order to accurately prepare and submit a Form TO in approximately two hours to the Commission, as required under Regulation 32.3(b)(2) and explained in the instructions attached to the document.</w:t>
      </w:r>
    </w:p>
    <w:p w:rsidR="00534B6B" w:rsidRPr="00674558" w:rsidRDefault="00654BB3" w:rsidP="00534B6B">
      <w:pPr>
        <w:tabs>
          <w:tab w:val="left" w:pos="-720"/>
          <w:tab w:val="left" w:pos="0"/>
        </w:tabs>
        <w:spacing w:after="240"/>
        <w:rPr>
          <w:rFonts w:ascii="Times New Roman" w:hAnsi="Times New Roman"/>
          <w:b/>
        </w:rPr>
      </w:pPr>
      <w:r>
        <w:rPr>
          <w:rFonts w:ascii="Times New Roman" w:hAnsi="Times New Roman"/>
          <w:b/>
        </w:rPr>
        <w:tab/>
      </w:r>
      <w:r w:rsidR="00534B6B" w:rsidRPr="0067455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w:t>
      </w:r>
      <w:r w:rsidR="004864CF">
        <w:rPr>
          <w:rFonts w:ascii="Times New Roman" w:hAnsi="Times New Roman"/>
          <w:b/>
        </w:rPr>
        <w:t>)</w:t>
      </w:r>
      <w:r w:rsidR="00534B6B" w:rsidRPr="00674558">
        <w:rPr>
          <w:rFonts w:ascii="Times New Roman" w:hAnsi="Times New Roman"/>
          <w:b/>
        </w:rPr>
        <w:t>, and on the data elements to be recorded, disclosed, or reported.</w:t>
      </w:r>
    </w:p>
    <w:p w:rsidR="004864CF" w:rsidRDefault="00534B6B" w:rsidP="00534B6B">
      <w:pPr>
        <w:tabs>
          <w:tab w:val="left" w:pos="-720"/>
          <w:tab w:val="left" w:pos="0"/>
        </w:tabs>
        <w:spacing w:after="240"/>
        <w:rPr>
          <w:rFonts w:ascii="Times New Roman" w:hAnsi="Times New Roman"/>
        </w:rPr>
      </w:pPr>
      <w:r w:rsidRPr="003E1569">
        <w:rPr>
          <w:rFonts w:ascii="Times New Roman" w:hAnsi="Times New Roman"/>
        </w:rPr>
        <w:tab/>
        <w:t xml:space="preserve">The Commission </w:t>
      </w:r>
      <w:r w:rsidR="00493781">
        <w:rPr>
          <w:rFonts w:ascii="Times New Roman" w:hAnsi="Times New Roman"/>
        </w:rPr>
        <w:t>sought</w:t>
      </w:r>
      <w:r w:rsidRPr="003E1569">
        <w:rPr>
          <w:rFonts w:ascii="Times New Roman" w:hAnsi="Times New Roman"/>
        </w:rPr>
        <w:t xml:space="preserve"> public comments on the collection of information</w:t>
      </w:r>
      <w:r w:rsidR="002B386D">
        <w:rPr>
          <w:rFonts w:ascii="Times New Roman" w:hAnsi="Times New Roman"/>
        </w:rPr>
        <w:t xml:space="preserve">, through publication of a notice in the </w:t>
      </w:r>
      <w:r w:rsidR="002B386D" w:rsidRPr="004864CF">
        <w:rPr>
          <w:rFonts w:ascii="Times New Roman" w:hAnsi="Times New Roman"/>
          <w:u w:val="single"/>
        </w:rPr>
        <w:t>Federal Registe</w:t>
      </w:r>
      <w:r w:rsidR="002B386D" w:rsidRPr="002B386D">
        <w:rPr>
          <w:rFonts w:ascii="Times New Roman" w:hAnsi="Times New Roman"/>
          <w:u w:val="single"/>
        </w:rPr>
        <w:t>r</w:t>
      </w:r>
      <w:r w:rsidR="002B386D">
        <w:rPr>
          <w:rFonts w:ascii="Times New Roman" w:hAnsi="Times New Roman"/>
        </w:rPr>
        <w:t>.</w:t>
      </w:r>
      <w:r w:rsidR="00235DD2">
        <w:rPr>
          <w:rStyle w:val="FootnoteReference"/>
        </w:rPr>
        <w:footnoteReference w:id="3"/>
      </w:r>
      <w:r w:rsidR="002B386D">
        <w:rPr>
          <w:rFonts w:ascii="Times New Roman" w:hAnsi="Times New Roman"/>
        </w:rPr>
        <w:t xml:space="preserve">  </w:t>
      </w:r>
      <w:r w:rsidR="002B386D" w:rsidRPr="002B386D">
        <w:rPr>
          <w:rFonts w:ascii="Times New Roman" w:hAnsi="Times New Roman"/>
        </w:rPr>
        <w:t xml:space="preserve">Also, the Commission sought comments from the public and </w:t>
      </w:r>
      <w:r w:rsidR="004864CF">
        <w:rPr>
          <w:rFonts w:ascii="Times New Roman" w:hAnsi="Times New Roman"/>
        </w:rPr>
        <w:t>f</w:t>
      </w:r>
      <w:r w:rsidR="002B386D" w:rsidRPr="002B386D">
        <w:rPr>
          <w:rFonts w:ascii="Times New Roman" w:hAnsi="Times New Roman"/>
        </w:rPr>
        <w:t xml:space="preserve">ederal agencies on the subject information collections in the Commodity Options Final Rule and Interim Final Rule, published in the </w:t>
      </w:r>
      <w:r w:rsidR="002B386D" w:rsidRPr="002B386D">
        <w:rPr>
          <w:rFonts w:ascii="Times New Roman" w:hAnsi="Times New Roman"/>
          <w:u w:val="single"/>
        </w:rPr>
        <w:t xml:space="preserve">Federal </w:t>
      </w:r>
      <w:r w:rsidR="002B386D" w:rsidRPr="004864CF">
        <w:rPr>
          <w:rFonts w:ascii="Times New Roman" w:hAnsi="Times New Roman"/>
          <w:u w:val="single"/>
        </w:rPr>
        <w:t>Register</w:t>
      </w:r>
      <w:r w:rsidR="002B386D" w:rsidRPr="002B386D">
        <w:rPr>
          <w:rFonts w:ascii="Times New Roman" w:hAnsi="Times New Roman"/>
        </w:rPr>
        <w:t xml:space="preserve">, 77 FR 25320, April 27, 2012.  </w:t>
      </w:r>
    </w:p>
    <w:p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864CF" w:rsidRDefault="00534B6B" w:rsidP="008547ED">
      <w:pPr>
        <w:tabs>
          <w:tab w:val="left" w:pos="-720"/>
        </w:tabs>
        <w:spacing w:after="240"/>
        <w:rPr>
          <w:rFonts w:ascii="Times New Roman" w:hAnsi="Times New Roman"/>
        </w:rPr>
      </w:pPr>
      <w:r>
        <w:rPr>
          <w:rFonts w:ascii="Times New Roman" w:hAnsi="Times New Roman"/>
        </w:rPr>
        <w:tab/>
      </w:r>
      <w:r w:rsidR="00B94AFA">
        <w:rPr>
          <w:rFonts w:ascii="Times New Roman" w:hAnsi="Times New Roman"/>
        </w:rPr>
        <w:t>No consultation has occurred because this is a new information collection.</w:t>
      </w:r>
    </w:p>
    <w:p w:rsidR="00534B6B" w:rsidRPr="00674558" w:rsidRDefault="00534B6B" w:rsidP="008547ED">
      <w:pPr>
        <w:tabs>
          <w:tab w:val="left" w:pos="-72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Explain any decision to provide any payment or gift to respondents, other than renumeration of contractors or grantees.</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8547ED">
        <w:rPr>
          <w:rFonts w:ascii="Times New Roman" w:hAnsi="Times New Roman"/>
        </w:rPr>
        <w:t>This question d</w:t>
      </w:r>
      <w:r w:rsidRPr="003E1569">
        <w:rPr>
          <w:rFonts w:ascii="Times New Roman" w:hAnsi="Times New Roman"/>
        </w:rPr>
        <w:t>oes not apply.</w:t>
      </w:r>
      <w:r w:rsidR="00493781">
        <w:rPr>
          <w:rFonts w:ascii="Times New Roman" w:hAnsi="Times New Roman"/>
        </w:rPr>
        <w:t xml:space="preserve">  The Commission has neither considered not made any payment or gift to a respondent.</w:t>
      </w:r>
    </w:p>
    <w:p w:rsidR="008547ED" w:rsidRPr="008547ED" w:rsidRDefault="00534B6B" w:rsidP="008547ED">
      <w:pPr>
        <w:tabs>
          <w:tab w:val="left" w:pos="-720"/>
        </w:tabs>
        <w:spacing w:after="240"/>
        <w:rPr>
          <w:rFonts w:ascii="Times New Roman" w:hAnsi="Times New Roman"/>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r w:rsidRPr="003E1569">
        <w:rPr>
          <w:rFonts w:ascii="Times New Roman" w:hAnsi="Times New Roman"/>
        </w:rPr>
        <w:tab/>
      </w:r>
    </w:p>
    <w:p w:rsidR="008547ED" w:rsidRPr="008547ED" w:rsidRDefault="00C70013" w:rsidP="008547ED">
      <w:pPr>
        <w:tabs>
          <w:tab w:val="left" w:pos="-720"/>
        </w:tabs>
        <w:spacing w:after="240"/>
        <w:rPr>
          <w:rFonts w:ascii="Times New Roman" w:hAnsi="Times New Roman"/>
        </w:rPr>
      </w:pPr>
      <w:r>
        <w:rPr>
          <w:rFonts w:ascii="Times New Roman" w:hAnsi="Times New Roman"/>
        </w:rPr>
        <w:tab/>
      </w:r>
      <w:r w:rsidR="008547ED" w:rsidRPr="008547ED">
        <w:rPr>
          <w:rFonts w:ascii="Times New Roman" w:hAnsi="Times New Roman"/>
        </w:rPr>
        <w:t>The Commission does not provide respondents with an</w:t>
      </w:r>
      <w:r w:rsidR="004864CF">
        <w:rPr>
          <w:rFonts w:ascii="Times New Roman" w:hAnsi="Times New Roman"/>
        </w:rPr>
        <w:t>y</w:t>
      </w:r>
      <w:r w:rsidR="008547ED" w:rsidRPr="008547ED">
        <w:rPr>
          <w:rFonts w:ascii="Times New Roman" w:hAnsi="Times New Roman"/>
        </w:rPr>
        <w:t xml:space="preserve"> assurance of confidentiality</w:t>
      </w:r>
      <w:r w:rsidR="004864CF">
        <w:rPr>
          <w:rFonts w:ascii="Times New Roman" w:hAnsi="Times New Roman"/>
        </w:rPr>
        <w:t xml:space="preserve"> beyond the confidentiality assured by the CEA</w:t>
      </w:r>
      <w:r w:rsidR="008547ED" w:rsidRPr="008547ED">
        <w:rPr>
          <w:rFonts w:ascii="Times New Roman" w:hAnsi="Times New Roman"/>
        </w:rPr>
        <w:t xml:space="preserve">.  </w:t>
      </w:r>
      <w:r w:rsidR="002E06B0">
        <w:rPr>
          <w:rFonts w:ascii="Times New Roman" w:hAnsi="Times New Roman"/>
        </w:rPr>
        <w:t>T</w:t>
      </w:r>
      <w:r w:rsidR="002E06B0" w:rsidRPr="005768BA">
        <w:rPr>
          <w:rFonts w:ascii="Times New Roman" w:hAnsi="Times New Roman"/>
        </w:rPr>
        <w:t xml:space="preserve">he Commission has promulgated regulations to protect the confidentiality of any information collected from respondents.  Such regulations are </w:t>
      </w:r>
      <w:r w:rsidR="002E06B0" w:rsidRPr="005768BA">
        <w:rPr>
          <w:rFonts w:ascii="Times New Roman" w:hAnsi="Times New Roman"/>
        </w:rPr>
        <w:lastRenderedPageBreak/>
        <w:t>set forth in 17 CFR Part 145.  The protection of such information also is governed by section 8 of the Commodity Exchange Act, by the Trade Secrets Act, and by the Privacy Act of 1974.</w:t>
      </w:r>
      <w:r w:rsidR="002E06B0">
        <w:rPr>
          <w:rFonts w:ascii="Times New Roman" w:hAnsi="Times New Roman"/>
        </w:rPr>
        <w:t xml:space="preserve">  Form TO includes a Privacy Act Notice on page 1.</w:t>
      </w:r>
    </w:p>
    <w:p w:rsidR="00534B6B" w:rsidRPr="00674558" w:rsidRDefault="00534B6B" w:rsidP="00534B6B">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8547ED" w:rsidRPr="008547ED">
        <w:rPr>
          <w:rFonts w:ascii="Times New Roman" w:hAnsi="Times New Roman"/>
        </w:rPr>
        <w:t xml:space="preserve">This question does not apply.  </w:t>
      </w:r>
      <w:r w:rsidR="006C6EF4">
        <w:rPr>
          <w:rFonts w:ascii="Times New Roman" w:hAnsi="Times New Roman"/>
        </w:rPr>
        <w:t>Form TO does not</w:t>
      </w:r>
      <w:r w:rsidRPr="003E1569">
        <w:rPr>
          <w:rFonts w:ascii="Times New Roman" w:hAnsi="Times New Roman"/>
        </w:rPr>
        <w:t xml:space="preserve"> require the giving of </w:t>
      </w:r>
      <w:r w:rsidR="00C70013">
        <w:rPr>
          <w:rFonts w:ascii="Times New Roman" w:hAnsi="Times New Roman"/>
        </w:rPr>
        <w:t>“</w:t>
      </w:r>
      <w:r w:rsidRPr="003E1569">
        <w:rPr>
          <w:rFonts w:ascii="Times New Roman" w:hAnsi="Times New Roman"/>
        </w:rPr>
        <w:t>sensitive</w:t>
      </w:r>
      <w:r w:rsidR="00C70013">
        <w:rPr>
          <w:rFonts w:ascii="Times New Roman" w:hAnsi="Times New Roman"/>
        </w:rPr>
        <w:t>”</w:t>
      </w:r>
      <w:r w:rsidRPr="003E1569">
        <w:rPr>
          <w:rFonts w:ascii="Times New Roman" w:hAnsi="Times New Roman"/>
        </w:rPr>
        <w:t xml:space="preserve"> information, as that term is used in Question 11.</w:t>
      </w:r>
    </w:p>
    <w:p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 xml:space="preserve">See Attachment A.  The Commission estimates that </w:t>
      </w:r>
      <w:r w:rsidR="002E06B0">
        <w:rPr>
          <w:rFonts w:ascii="Times New Roman" w:hAnsi="Times New Roman"/>
        </w:rPr>
        <w:t>3,0</w:t>
      </w:r>
      <w:r w:rsidR="006C6EF4">
        <w:rPr>
          <w:rFonts w:ascii="Times New Roman" w:hAnsi="Times New Roman"/>
        </w:rPr>
        <w:t>00</w:t>
      </w:r>
      <w:r w:rsidRPr="003E1569">
        <w:rPr>
          <w:rFonts w:ascii="Times New Roman" w:hAnsi="Times New Roman"/>
        </w:rPr>
        <w:t xml:space="preserve"> respondents will file a total of </w:t>
      </w:r>
      <w:r w:rsidR="006C6EF4">
        <w:rPr>
          <w:rFonts w:ascii="Times New Roman" w:hAnsi="Times New Roman"/>
        </w:rPr>
        <w:t>one response each</w:t>
      </w:r>
      <w:r w:rsidRPr="003E1569">
        <w:rPr>
          <w:rFonts w:ascii="Times New Roman" w:hAnsi="Times New Roman"/>
        </w:rPr>
        <w:t xml:space="preserve"> annually.  The estimated average number of hours per response is 2.  The cost of the hourly burden is estimated to be</w:t>
      </w:r>
      <w:r>
        <w:rPr>
          <w:rFonts w:ascii="Times New Roman" w:hAnsi="Times New Roman"/>
        </w:rPr>
        <w:t xml:space="preserve"> </w:t>
      </w:r>
      <w:r w:rsidR="006C6EF4">
        <w:rPr>
          <w:rFonts w:ascii="Times New Roman" w:hAnsi="Times New Roman"/>
        </w:rPr>
        <w:t>$100</w:t>
      </w:r>
      <w:r>
        <w:rPr>
          <w:rFonts w:ascii="Times New Roman" w:hAnsi="Times New Roman"/>
        </w:rPr>
        <w:t xml:space="preserve"> per hour.</w:t>
      </w:r>
      <w:r w:rsidR="00E3672D">
        <w:rPr>
          <w:rFonts w:ascii="Times New Roman" w:hAnsi="Times New Roman"/>
        </w:rPr>
        <w:t xml:space="preserve">  Thus, the total annual cost burden is $</w:t>
      </w:r>
      <w:r w:rsidR="002E06B0">
        <w:rPr>
          <w:rFonts w:ascii="Times New Roman" w:hAnsi="Times New Roman"/>
        </w:rPr>
        <w:t>60</w:t>
      </w:r>
      <w:r w:rsidR="00E3672D">
        <w:rPr>
          <w:rFonts w:ascii="Times New Roman" w:hAnsi="Times New Roman"/>
        </w:rPr>
        <w:t>0,000.</w:t>
      </w:r>
    </w:p>
    <w:p w:rsidR="00534B6B" w:rsidRPr="00674558" w:rsidRDefault="00534B6B" w:rsidP="00534B6B">
      <w:pPr>
        <w:keepNext/>
        <w:tabs>
          <w:tab w:val="left" w:pos="-720"/>
          <w:tab w:val="left" w:pos="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Provide an estimate of the total annual cost burden to respondents or recordkeepers resulting fr</w:t>
      </w:r>
      <w:r w:rsidR="00493781" w:rsidRPr="00674558">
        <w:rPr>
          <w:rFonts w:ascii="Times New Roman" w:hAnsi="Times New Roman"/>
          <w:b/>
        </w:rPr>
        <w:t>o</w:t>
      </w:r>
      <w:r w:rsidRPr="00674558">
        <w:rPr>
          <w:rFonts w:ascii="Times New Roman" w:hAnsi="Times New Roman"/>
          <w:b/>
        </w:rPr>
        <w:t>m the collection of information.  (Do not include the cost of any hour burden shown in Items 12 and 14).</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 xml:space="preserve">The cost estimate should be split into two components; (a) a total capital and start-up cost component (annualized over its expected useful life) and (b) a total </w:t>
      </w:r>
      <w:r w:rsidRPr="00674558">
        <w:rPr>
          <w:rFonts w:ascii="Times New Roman" w:hAnsi="Times New Roman"/>
          <w:b/>
        </w:rPr>
        <w:lastRenderedPageBreak/>
        <w:t>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353F98" w:rsidRPr="00353F98">
        <w:rPr>
          <w:rFonts w:ascii="Times New Roman" w:hAnsi="Times New Roman"/>
        </w:rPr>
        <w:t>There are no capital costs or operating and maintenance costs associated with this collection. The Commission believes that, as part of customary and usual business practices, all respondents already create and store basic information on what they purchased or received and how much it cost.</w:t>
      </w:r>
    </w:p>
    <w:p w:rsidR="00353F98" w:rsidRPr="00353F98" w:rsidRDefault="00534B6B" w:rsidP="00353F98">
      <w:pPr>
        <w:tabs>
          <w:tab w:val="left" w:pos="-720"/>
        </w:tabs>
        <w:spacing w:after="240"/>
        <w:rPr>
          <w:rFonts w:ascii="Times New Roman" w:hAnsi="Times New Roman"/>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34B6B" w:rsidRPr="003E1569" w:rsidRDefault="00387BF2" w:rsidP="00353F98">
      <w:pPr>
        <w:tabs>
          <w:tab w:val="left" w:pos="-720"/>
        </w:tabs>
        <w:spacing w:after="240"/>
        <w:rPr>
          <w:rFonts w:ascii="Times New Roman" w:hAnsi="Times New Roman"/>
        </w:rPr>
      </w:pPr>
      <w:r>
        <w:rPr>
          <w:rFonts w:ascii="Times New Roman" w:hAnsi="Times New Roman"/>
        </w:rPr>
        <w:tab/>
      </w:r>
      <w:r w:rsidR="00353F98">
        <w:rPr>
          <w:rFonts w:ascii="Times New Roman" w:hAnsi="Times New Roman"/>
        </w:rPr>
        <w:t>Annualized costs to the Commission would include t</w:t>
      </w:r>
      <w:r w:rsidR="00353F98" w:rsidRPr="00353F98">
        <w:rPr>
          <w:rFonts w:ascii="Times New Roman" w:hAnsi="Times New Roman"/>
        </w:rPr>
        <w:t>he costs for reviewing and analyzing the</w:t>
      </w:r>
      <w:r w:rsidR="00353F98">
        <w:rPr>
          <w:rFonts w:ascii="Times New Roman" w:hAnsi="Times New Roman"/>
        </w:rPr>
        <w:t xml:space="preserve"> information provided in Form TO, incurred by Commission </w:t>
      </w:r>
      <w:r w:rsidR="00353F98" w:rsidRPr="00353F98">
        <w:rPr>
          <w:rFonts w:ascii="Times New Roman" w:hAnsi="Times New Roman"/>
        </w:rPr>
        <w:t xml:space="preserve">staff.  The Commission estimates </w:t>
      </w:r>
      <w:r w:rsidR="00353F98">
        <w:rPr>
          <w:rFonts w:ascii="Times New Roman" w:hAnsi="Times New Roman"/>
        </w:rPr>
        <w:t xml:space="preserve">that </w:t>
      </w:r>
      <w:r w:rsidR="00353F98" w:rsidRPr="00353F98">
        <w:rPr>
          <w:rFonts w:ascii="Times New Roman" w:hAnsi="Times New Roman"/>
        </w:rPr>
        <w:t>on aver</w:t>
      </w:r>
      <w:r w:rsidR="00327429">
        <w:rPr>
          <w:rFonts w:ascii="Times New Roman" w:hAnsi="Times New Roman"/>
        </w:rPr>
        <w:t>age it will take approximately 2</w:t>
      </w:r>
      <w:r w:rsidR="00353F98" w:rsidRPr="00353F98">
        <w:rPr>
          <w:rFonts w:ascii="Times New Roman" w:hAnsi="Times New Roman"/>
        </w:rPr>
        <w:t xml:space="preserve"> hours of </w:t>
      </w:r>
      <w:r w:rsidR="00327429">
        <w:rPr>
          <w:rFonts w:ascii="Times New Roman" w:hAnsi="Times New Roman"/>
        </w:rPr>
        <w:t xml:space="preserve">staff </w:t>
      </w:r>
      <w:r w:rsidR="00353F98" w:rsidRPr="00353F98">
        <w:rPr>
          <w:rFonts w:ascii="Times New Roman" w:hAnsi="Times New Roman"/>
        </w:rPr>
        <w:t xml:space="preserve">time to review the </w:t>
      </w:r>
      <w:r w:rsidR="00327429">
        <w:rPr>
          <w:rFonts w:ascii="Times New Roman" w:hAnsi="Times New Roman"/>
        </w:rPr>
        <w:t>Form TO.  B</w:t>
      </w:r>
      <w:r w:rsidR="00353F98" w:rsidRPr="00353F98">
        <w:rPr>
          <w:rFonts w:ascii="Times New Roman" w:hAnsi="Times New Roman"/>
        </w:rPr>
        <w:t xml:space="preserve">ased on the staff estimate that </w:t>
      </w:r>
      <w:r w:rsidR="00327429">
        <w:rPr>
          <w:rFonts w:ascii="Times New Roman" w:hAnsi="Times New Roman"/>
        </w:rPr>
        <w:t>there will be</w:t>
      </w:r>
      <w:r w:rsidR="00F44C0A">
        <w:rPr>
          <w:rFonts w:ascii="Times New Roman" w:hAnsi="Times New Roman"/>
        </w:rPr>
        <w:t xml:space="preserve"> one</w:t>
      </w:r>
      <w:r w:rsidR="00327429">
        <w:rPr>
          <w:rFonts w:ascii="Times New Roman" w:hAnsi="Times New Roman"/>
        </w:rPr>
        <w:t xml:space="preserve"> Form TO submitted annually</w:t>
      </w:r>
      <w:r w:rsidR="00353F98" w:rsidRPr="00353F98">
        <w:rPr>
          <w:rFonts w:ascii="Times New Roman" w:hAnsi="Times New Roman"/>
        </w:rPr>
        <w:t xml:space="preserve">, the </w:t>
      </w:r>
      <w:r w:rsidR="00327429">
        <w:rPr>
          <w:rFonts w:ascii="Times New Roman" w:hAnsi="Times New Roman"/>
        </w:rPr>
        <w:t xml:space="preserve">average </w:t>
      </w:r>
      <w:r w:rsidR="00353F98" w:rsidRPr="00353F98">
        <w:rPr>
          <w:rFonts w:ascii="Times New Roman" w:hAnsi="Times New Roman"/>
        </w:rPr>
        <w:t xml:space="preserve">aggregate hourly burden to review and analyze </w:t>
      </w:r>
      <w:r w:rsidR="00327429">
        <w:rPr>
          <w:rFonts w:ascii="Times New Roman" w:hAnsi="Times New Roman"/>
        </w:rPr>
        <w:t xml:space="preserve">the information </w:t>
      </w:r>
      <w:r w:rsidR="00224F8A">
        <w:rPr>
          <w:rFonts w:ascii="Times New Roman" w:hAnsi="Times New Roman"/>
        </w:rPr>
        <w:t>for all</w:t>
      </w:r>
      <w:r w:rsidR="00327429">
        <w:rPr>
          <w:rFonts w:ascii="Times New Roman" w:hAnsi="Times New Roman"/>
        </w:rPr>
        <w:t xml:space="preserve"> Form</w:t>
      </w:r>
      <w:r w:rsidR="00224F8A">
        <w:rPr>
          <w:rFonts w:ascii="Times New Roman" w:hAnsi="Times New Roman"/>
        </w:rPr>
        <w:t>s</w:t>
      </w:r>
      <w:r w:rsidR="00327429">
        <w:rPr>
          <w:rFonts w:ascii="Times New Roman" w:hAnsi="Times New Roman"/>
        </w:rPr>
        <w:t xml:space="preserve"> TO </w:t>
      </w:r>
      <w:r w:rsidR="00224F8A">
        <w:rPr>
          <w:rFonts w:ascii="Times New Roman" w:hAnsi="Times New Roman"/>
        </w:rPr>
        <w:t xml:space="preserve">submitted </w:t>
      </w:r>
      <w:r w:rsidR="00353F98" w:rsidRPr="00353F98">
        <w:rPr>
          <w:rFonts w:ascii="Times New Roman" w:hAnsi="Times New Roman"/>
        </w:rPr>
        <w:t xml:space="preserve">would be </w:t>
      </w:r>
      <w:r w:rsidR="00BC5765">
        <w:rPr>
          <w:rFonts w:ascii="Times New Roman" w:hAnsi="Times New Roman"/>
        </w:rPr>
        <w:t>approximately 6,0</w:t>
      </w:r>
      <w:r w:rsidR="00327429">
        <w:rPr>
          <w:rFonts w:ascii="Times New Roman" w:hAnsi="Times New Roman"/>
        </w:rPr>
        <w:t xml:space="preserve">00 hours </w:t>
      </w:r>
      <w:r w:rsidR="00353F98" w:rsidRPr="00353F98">
        <w:rPr>
          <w:rFonts w:ascii="Times New Roman" w:hAnsi="Times New Roman"/>
        </w:rPr>
        <w:t>at the CT-14 level</w:t>
      </w:r>
      <w:r w:rsidR="003E6A92">
        <w:rPr>
          <w:rFonts w:ascii="Times New Roman" w:hAnsi="Times New Roman"/>
        </w:rPr>
        <w:t xml:space="preserve"> of $91 an hour, </w:t>
      </w:r>
      <w:r w:rsidR="00224F8A">
        <w:rPr>
          <w:rFonts w:ascii="Times New Roman" w:hAnsi="Times New Roman"/>
        </w:rPr>
        <w:t xml:space="preserve">for </w:t>
      </w:r>
      <w:r w:rsidR="003E6A92">
        <w:rPr>
          <w:rFonts w:ascii="Times New Roman" w:hAnsi="Times New Roman"/>
        </w:rPr>
        <w:t>t</w:t>
      </w:r>
      <w:r w:rsidR="00353F98" w:rsidRPr="00353F98">
        <w:rPr>
          <w:rFonts w:ascii="Times New Roman" w:hAnsi="Times New Roman"/>
        </w:rPr>
        <w:t xml:space="preserve">he total </w:t>
      </w:r>
      <w:r w:rsidR="00224F8A">
        <w:rPr>
          <w:rFonts w:ascii="Times New Roman" w:hAnsi="Times New Roman"/>
        </w:rPr>
        <w:t xml:space="preserve">estimated </w:t>
      </w:r>
      <w:r w:rsidR="00353F98" w:rsidRPr="00353F98">
        <w:rPr>
          <w:rFonts w:ascii="Times New Roman" w:hAnsi="Times New Roman"/>
        </w:rPr>
        <w:t xml:space="preserve">aggregate cost </w:t>
      </w:r>
      <w:r w:rsidR="00224F8A">
        <w:rPr>
          <w:rFonts w:ascii="Times New Roman" w:hAnsi="Times New Roman"/>
        </w:rPr>
        <w:t>of</w:t>
      </w:r>
      <w:r w:rsidR="003E6A92">
        <w:rPr>
          <w:rFonts w:ascii="Times New Roman" w:hAnsi="Times New Roman"/>
        </w:rPr>
        <w:t xml:space="preserve"> </w:t>
      </w:r>
      <w:r w:rsidR="00353F98" w:rsidRPr="00353F98">
        <w:rPr>
          <w:rFonts w:ascii="Times New Roman" w:hAnsi="Times New Roman"/>
        </w:rPr>
        <w:t>$</w:t>
      </w:r>
      <w:r w:rsidR="00BC5765">
        <w:rPr>
          <w:rFonts w:ascii="Times New Roman" w:hAnsi="Times New Roman"/>
        </w:rPr>
        <w:t>546</w:t>
      </w:r>
      <w:r w:rsidR="00353F98" w:rsidRPr="00353F98">
        <w:rPr>
          <w:rFonts w:ascii="Times New Roman" w:hAnsi="Times New Roman"/>
        </w:rPr>
        <w:t>,</w:t>
      </w:r>
      <w:r w:rsidR="00BC5765">
        <w:rPr>
          <w:rFonts w:ascii="Times New Roman" w:hAnsi="Times New Roman"/>
        </w:rPr>
        <w:t>0</w:t>
      </w:r>
      <w:r w:rsidR="003E6A92">
        <w:rPr>
          <w:rFonts w:ascii="Times New Roman" w:hAnsi="Times New Roman"/>
        </w:rPr>
        <w:t>00</w:t>
      </w:r>
      <w:r w:rsidR="00353F98" w:rsidRPr="00353F98">
        <w:rPr>
          <w:rFonts w:ascii="Times New Roman" w:hAnsi="Times New Roman"/>
        </w:rPr>
        <w:t>.</w:t>
      </w:r>
      <w:r w:rsidR="003E6A92">
        <w:rPr>
          <w:rStyle w:val="FootnoteReference"/>
        </w:rPr>
        <w:footnoteReference w:id="4"/>
      </w:r>
    </w:p>
    <w:p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lastRenderedPageBreak/>
        <w:t>15.</w:t>
      </w:r>
      <w:r w:rsidRPr="00674558">
        <w:rPr>
          <w:rFonts w:ascii="Times New Roman" w:hAnsi="Times New Roman"/>
          <w:b/>
        </w:rPr>
        <w:tab/>
        <w:t>Explain the reasons for any program changes or adjustments reported in Items 13 or 14 of the OMB Form 83-I.</w:t>
      </w:r>
    </w:p>
    <w:p w:rsidR="00BC5765" w:rsidRPr="00D338DC" w:rsidRDefault="00534B6B" w:rsidP="00F44C0A">
      <w:pPr>
        <w:tabs>
          <w:tab w:val="left" w:pos="-720"/>
          <w:tab w:val="left" w:pos="0"/>
        </w:tabs>
        <w:spacing w:after="240"/>
        <w:rPr>
          <w:rFonts w:ascii="Times New Roman" w:hAnsi="Times New Roman"/>
        </w:rPr>
      </w:pPr>
      <w:r w:rsidRPr="003E1569">
        <w:rPr>
          <w:rFonts w:ascii="Times New Roman" w:hAnsi="Times New Roman"/>
        </w:rPr>
        <w:tab/>
      </w:r>
      <w:r w:rsidR="00BC5765">
        <w:rPr>
          <w:rFonts w:ascii="Times New Roman" w:hAnsi="Times New Roman"/>
        </w:rPr>
        <w:t>As noted above in our answer to question 8, i</w:t>
      </w:r>
      <w:r w:rsidR="00BC5765" w:rsidRPr="00D338DC">
        <w:rPr>
          <w:rFonts w:ascii="Times New Roman" w:hAnsi="Times New Roman"/>
        </w:rPr>
        <w:t>n response to two comments received, the Commission has revised its estimated number of annual respondents to Form TO</w:t>
      </w:r>
      <w:r w:rsidR="00C07BDA">
        <w:rPr>
          <w:rFonts w:ascii="Times New Roman" w:hAnsi="Times New Roman"/>
        </w:rPr>
        <w:t xml:space="preserve"> </w:t>
      </w:r>
      <w:r w:rsidR="00C07BDA" w:rsidRPr="00EA6B86">
        <w:rPr>
          <w:rFonts w:ascii="Times New Roman" w:hAnsi="Times New Roman"/>
        </w:rPr>
        <w:t>from 100 to 3,000, b</w:t>
      </w:r>
      <w:r w:rsidR="00BC5765" w:rsidRPr="00EA6B86">
        <w:rPr>
          <w:rFonts w:ascii="Times New Roman" w:hAnsi="Times New Roman"/>
        </w:rPr>
        <w:t>ased on commenters’ estimates—particularly, that of the Join</w:t>
      </w:r>
      <w:r w:rsidR="00C07BDA" w:rsidRPr="00EA6B86">
        <w:rPr>
          <w:rFonts w:ascii="Times New Roman" w:hAnsi="Times New Roman"/>
        </w:rPr>
        <w:t>t</w:t>
      </w:r>
      <w:r w:rsidR="00BC5765" w:rsidRPr="00EA6B86">
        <w:rPr>
          <w:rFonts w:ascii="Times New Roman" w:hAnsi="Times New Roman"/>
        </w:rPr>
        <w:t xml:space="preserve"> Electric Associations.  Accordingly, the</w:t>
      </w:r>
      <w:r w:rsidR="00BC5765" w:rsidRPr="00D338DC">
        <w:rPr>
          <w:rFonts w:ascii="Times New Roman" w:hAnsi="Times New Roman"/>
        </w:rPr>
        <w:t xml:space="preserve"> Commission has recalculated its estimated total cost of compliance with the Form TO reporting requirement.</w:t>
      </w:r>
    </w:p>
    <w:p w:rsidR="00C74A20" w:rsidRDefault="00F44C0A" w:rsidP="00BC5765">
      <w:pPr>
        <w:tabs>
          <w:tab w:val="left" w:pos="-720"/>
        </w:tabs>
        <w:spacing w:after="240"/>
        <w:rPr>
          <w:rFonts w:ascii="Times New Roman" w:hAnsi="Times New Roman"/>
        </w:rPr>
      </w:pPr>
      <w:r>
        <w:rPr>
          <w:rFonts w:ascii="Times New Roman" w:hAnsi="Times New Roman"/>
        </w:rPr>
        <w:tab/>
      </w:r>
      <w:bookmarkStart w:id="0" w:name="_GoBack"/>
      <w:bookmarkEnd w:id="0"/>
      <w:r w:rsidR="00BC5765" w:rsidRPr="00D338DC">
        <w:rPr>
          <w:rFonts w:ascii="Times New Roman" w:hAnsi="Times New Roman"/>
        </w:rPr>
        <w:t xml:space="preserve">The Commission disagrees, however, with the view as expressed by commenters that it would take much longer than two hours each year to prepare and submit Form TO.  The Commission does not believe that an intricate knowledge of the Commodity Exchange Act </w:t>
      </w:r>
      <w:r w:rsidR="00BC5765">
        <w:rPr>
          <w:rFonts w:ascii="Times New Roman" w:hAnsi="Times New Roman"/>
        </w:rPr>
        <w:t xml:space="preserve">or the </w:t>
      </w:r>
      <w:r w:rsidR="00BC5765" w:rsidRPr="00D338DC">
        <w:rPr>
          <w:rFonts w:ascii="Times New Roman" w:hAnsi="Times New Roman"/>
        </w:rPr>
        <w:t>agency’s procedures, personnel, and implementing regulations is necessary in order to accurately prepare and submit a Form TO in approximately two hours to the Commission, as required under Regulation 32.3(b)(2) and explained in the instructions attached to the document.</w:t>
      </w:r>
    </w:p>
    <w:p w:rsidR="00534B6B" w:rsidRPr="00674558" w:rsidRDefault="00534B6B" w:rsidP="00353F98">
      <w:pPr>
        <w:tabs>
          <w:tab w:val="left" w:pos="-72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w:t>
      </w:r>
      <w:r w:rsidR="00493781">
        <w:rPr>
          <w:rFonts w:ascii="Times New Roman" w:hAnsi="Times New Roman"/>
          <w:b/>
        </w:rPr>
        <w:t>, p</w:t>
      </w:r>
      <w:r w:rsidRPr="00674558">
        <w:rPr>
          <w:rFonts w:ascii="Times New Roman" w:hAnsi="Times New Roman"/>
          <w:b/>
        </w:rPr>
        <w:t>rovide the time schedule for the entire project, including beginning and ending dates of the collection of information, completion of report, publication dates, and other actions.</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rsidR="00534B6B" w:rsidRPr="00674558" w:rsidRDefault="00534B6B" w:rsidP="00534B6B">
      <w:pPr>
        <w:keepNext/>
        <w:tabs>
          <w:tab w:val="left" w:pos="-720"/>
          <w:tab w:val="left" w:pos="0"/>
        </w:tabs>
        <w:spacing w:after="240"/>
        <w:rPr>
          <w:rFonts w:ascii="Times New Roman" w:hAnsi="Times New Roman"/>
          <w:b/>
        </w:rPr>
      </w:pPr>
      <w:r w:rsidRPr="00674558">
        <w:rPr>
          <w:rFonts w:ascii="Times New Roman" w:hAnsi="Times New Roman"/>
          <w:b/>
        </w:rPr>
        <w:t>18.</w:t>
      </w:r>
      <w:r w:rsidRPr="00674558">
        <w:rPr>
          <w:rFonts w:ascii="Times New Roman" w:hAnsi="Times New Roman"/>
          <w:b/>
        </w:rPr>
        <w:tab/>
        <w:t>Explain each exception to the certification statement identified in Item 19, "Certification for Paperwork Reduction Act Submissions," of OMB Form 83-I.</w:t>
      </w:r>
    </w:p>
    <w:p w:rsidR="00534B6B"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rsidR="00AF4A73" w:rsidRPr="004864CF" w:rsidRDefault="004864CF">
      <w:pPr>
        <w:rPr>
          <w:b/>
        </w:rPr>
      </w:pPr>
      <w:r w:rsidRPr="004864CF">
        <w:rPr>
          <w:b/>
        </w:rPr>
        <w:t>Attachment A</w:t>
      </w:r>
    </w:p>
    <w:p w:rsidR="004864CF" w:rsidRDefault="004864CF"/>
    <w:p w:rsidR="00C74A20" w:rsidRPr="00FE4F8C" w:rsidRDefault="00C74A20" w:rsidP="00C74A20">
      <w:pPr>
        <w:spacing w:line="480" w:lineRule="auto"/>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530"/>
        <w:gridCol w:w="1710"/>
        <w:gridCol w:w="1260"/>
        <w:gridCol w:w="1350"/>
        <w:gridCol w:w="1980"/>
      </w:tblGrid>
      <w:tr w:rsidR="00C74A20" w:rsidRPr="000227AB" w:rsidTr="004A33BA">
        <w:trPr>
          <w:cantSplit/>
          <w:trHeight w:val="520"/>
        </w:trPr>
        <w:tc>
          <w:tcPr>
            <w:tcW w:w="8838" w:type="dxa"/>
            <w:gridSpan w:val="6"/>
          </w:tcPr>
          <w:p w:rsidR="00C74A20" w:rsidRPr="000227AB" w:rsidRDefault="00C74A20" w:rsidP="004A33BA">
            <w:pPr>
              <w:spacing w:line="480" w:lineRule="auto"/>
            </w:pPr>
            <w:r w:rsidRPr="000227AB">
              <w:t xml:space="preserve">Estimated </w:t>
            </w:r>
            <w:r>
              <w:t xml:space="preserve">Annual </w:t>
            </w:r>
            <w:r w:rsidRPr="000227AB">
              <w:t>Reporting Burden</w:t>
            </w:r>
            <w:r>
              <w:t xml:space="preserve"> Hours and Burden Hour Costs</w:t>
            </w:r>
          </w:p>
        </w:tc>
      </w:tr>
      <w:tr w:rsidR="00C74A20" w:rsidRPr="000227AB" w:rsidTr="004A33BA">
        <w:trPr>
          <w:cantSplit/>
          <w:trHeight w:val="2134"/>
        </w:trPr>
        <w:tc>
          <w:tcPr>
            <w:tcW w:w="1008" w:type="dxa"/>
          </w:tcPr>
          <w:p w:rsidR="00C74A20" w:rsidRPr="000227AB" w:rsidRDefault="00C74A20" w:rsidP="004A33BA">
            <w:pPr>
              <w:spacing w:line="480" w:lineRule="auto"/>
            </w:pPr>
            <w:r w:rsidRPr="000227AB">
              <w:lastRenderedPageBreak/>
              <w:t xml:space="preserve">17 C.F.R. </w:t>
            </w:r>
          </w:p>
        </w:tc>
        <w:tc>
          <w:tcPr>
            <w:tcW w:w="1530" w:type="dxa"/>
          </w:tcPr>
          <w:p w:rsidR="00C74A20" w:rsidRPr="000227AB" w:rsidRDefault="00C74A20" w:rsidP="004A33BA">
            <w:pPr>
              <w:spacing w:line="480" w:lineRule="auto"/>
            </w:pPr>
            <w:r w:rsidRPr="000227AB">
              <w:t>Annual Number of Respondents</w:t>
            </w:r>
          </w:p>
        </w:tc>
        <w:tc>
          <w:tcPr>
            <w:tcW w:w="1710" w:type="dxa"/>
          </w:tcPr>
          <w:p w:rsidR="00C74A20" w:rsidRPr="000227AB" w:rsidRDefault="00C74A20" w:rsidP="004A33BA">
            <w:pPr>
              <w:spacing w:line="480" w:lineRule="auto"/>
            </w:pPr>
            <w:r w:rsidRPr="000227AB">
              <w:t>Frequency of Response</w:t>
            </w:r>
            <w:r>
              <w:t xml:space="preserve"> per Respondent</w:t>
            </w:r>
          </w:p>
        </w:tc>
        <w:tc>
          <w:tcPr>
            <w:tcW w:w="1260" w:type="dxa"/>
          </w:tcPr>
          <w:p w:rsidR="00C74A20" w:rsidRPr="000227AB" w:rsidRDefault="00C74A20" w:rsidP="004A33BA">
            <w:pPr>
              <w:spacing w:line="480" w:lineRule="auto"/>
            </w:pPr>
            <w:r w:rsidRPr="000227AB">
              <w:t>Hours per Response</w:t>
            </w:r>
            <w:r>
              <w:t xml:space="preserve">  and cost</w:t>
            </w:r>
          </w:p>
        </w:tc>
        <w:tc>
          <w:tcPr>
            <w:tcW w:w="1350" w:type="dxa"/>
          </w:tcPr>
          <w:p w:rsidR="00C74A20" w:rsidRPr="000227AB" w:rsidRDefault="00C74A20" w:rsidP="004A33BA">
            <w:pPr>
              <w:spacing w:line="480" w:lineRule="auto"/>
            </w:pPr>
            <w:r w:rsidRPr="000227AB">
              <w:t>Total Annual Responses</w:t>
            </w:r>
          </w:p>
        </w:tc>
        <w:tc>
          <w:tcPr>
            <w:tcW w:w="1980" w:type="dxa"/>
          </w:tcPr>
          <w:p w:rsidR="00C74A20" w:rsidRPr="000227AB" w:rsidRDefault="00C74A20" w:rsidP="004A33BA">
            <w:pPr>
              <w:spacing w:line="480" w:lineRule="auto"/>
            </w:pPr>
            <w:r w:rsidRPr="000227AB">
              <w:t>Total Hours</w:t>
            </w:r>
            <w:r>
              <w:t xml:space="preserve"> Cost</w:t>
            </w:r>
          </w:p>
        </w:tc>
      </w:tr>
      <w:tr w:rsidR="00C74A20" w:rsidRPr="000227AB" w:rsidTr="004A33BA">
        <w:trPr>
          <w:cantSplit/>
          <w:trHeight w:val="3228"/>
        </w:trPr>
        <w:tc>
          <w:tcPr>
            <w:tcW w:w="1008" w:type="dxa"/>
          </w:tcPr>
          <w:p w:rsidR="00C74A20" w:rsidRPr="000227AB" w:rsidRDefault="00C74A20" w:rsidP="004A33BA">
            <w:pPr>
              <w:spacing w:line="480" w:lineRule="auto"/>
            </w:pPr>
            <w:r>
              <w:t>Part 32, Appen-dix A, Form TO</w:t>
            </w:r>
          </w:p>
        </w:tc>
        <w:tc>
          <w:tcPr>
            <w:tcW w:w="1530" w:type="dxa"/>
          </w:tcPr>
          <w:p w:rsidR="00C74A20" w:rsidRPr="000227AB" w:rsidRDefault="00BC5765" w:rsidP="004A33BA">
            <w:pPr>
              <w:spacing w:line="480" w:lineRule="auto"/>
            </w:pPr>
            <w:r>
              <w:t>3,0</w:t>
            </w:r>
            <w:r w:rsidR="00C74A20">
              <w:t>00</w:t>
            </w:r>
          </w:p>
        </w:tc>
        <w:tc>
          <w:tcPr>
            <w:tcW w:w="1710" w:type="dxa"/>
          </w:tcPr>
          <w:p w:rsidR="00C74A20" w:rsidRPr="000227AB" w:rsidRDefault="00C74A20" w:rsidP="004A33BA">
            <w:pPr>
              <w:spacing w:line="480" w:lineRule="auto"/>
            </w:pPr>
            <w:r>
              <w:t>Annually</w:t>
            </w:r>
          </w:p>
        </w:tc>
        <w:tc>
          <w:tcPr>
            <w:tcW w:w="1260" w:type="dxa"/>
          </w:tcPr>
          <w:p w:rsidR="00C74A20" w:rsidRDefault="00C74A20" w:rsidP="004A33BA">
            <w:pPr>
              <w:spacing w:line="480" w:lineRule="auto"/>
            </w:pPr>
            <w:r>
              <w:t>2 hours at $200 per response.</w:t>
            </w:r>
            <w:r>
              <w:rPr>
                <w:rStyle w:val="FootnoteReference"/>
              </w:rPr>
              <w:footnoteReference w:id="5"/>
            </w:r>
          </w:p>
          <w:p w:rsidR="00C74A20" w:rsidRDefault="00C74A20" w:rsidP="004A33BA">
            <w:pPr>
              <w:spacing w:line="480" w:lineRule="auto"/>
            </w:pPr>
          </w:p>
        </w:tc>
        <w:tc>
          <w:tcPr>
            <w:tcW w:w="1350" w:type="dxa"/>
          </w:tcPr>
          <w:p w:rsidR="00C74A20" w:rsidRPr="000227AB" w:rsidRDefault="00BC5765" w:rsidP="004A33BA">
            <w:pPr>
              <w:spacing w:line="480" w:lineRule="auto"/>
            </w:pPr>
            <w:r>
              <w:t>3,0</w:t>
            </w:r>
            <w:r w:rsidR="00C74A20">
              <w:t>00 (one form per otherwise unreported trade option participant)</w:t>
            </w:r>
          </w:p>
        </w:tc>
        <w:tc>
          <w:tcPr>
            <w:tcW w:w="1980" w:type="dxa"/>
          </w:tcPr>
          <w:p w:rsidR="00C74A20" w:rsidRPr="000227AB" w:rsidRDefault="00BC5765" w:rsidP="004A33BA">
            <w:pPr>
              <w:spacing w:line="480" w:lineRule="auto"/>
            </w:pPr>
            <w:r>
              <w:t>$600,000 (3,0</w:t>
            </w:r>
            <w:r w:rsidR="00C74A20">
              <w:t xml:space="preserve">00 responses times 2 hours per response, </w:t>
            </w:r>
            <w:r w:rsidR="00C74A20" w:rsidRPr="00135C34">
              <w:t>based on $100/hour</w:t>
            </w:r>
            <w:r w:rsidR="00C74A20">
              <w:t>.)</w:t>
            </w:r>
          </w:p>
        </w:tc>
      </w:tr>
    </w:tbl>
    <w:p w:rsidR="00C74A20" w:rsidRDefault="00C74A20" w:rsidP="00C74A20">
      <w:pPr>
        <w:spacing w:line="480" w:lineRule="auto"/>
      </w:pPr>
    </w:p>
    <w:p w:rsidR="00C74A20" w:rsidRPr="00FE4F8C" w:rsidRDefault="00C74A20" w:rsidP="00C74A20">
      <w:pPr>
        <w:spacing w:line="480" w:lineRule="auto"/>
      </w:pPr>
      <w:r w:rsidRPr="00FE4F8C">
        <w:lastRenderedPageBreak/>
        <w:t xml:space="preserve">Respondents/Affected Entities: </w:t>
      </w:r>
      <w:r w:rsidR="00BC5765">
        <w:t>3,000</w:t>
      </w:r>
      <w:r w:rsidRPr="00FE4F8C">
        <w:t>.</w:t>
      </w:r>
    </w:p>
    <w:p w:rsidR="00C74A20" w:rsidRPr="00FE4F8C" w:rsidRDefault="00C74A20" w:rsidP="00C74A20">
      <w:r w:rsidRPr="00FE4F8C">
        <w:t>E</w:t>
      </w:r>
      <w:r>
        <w:t>stimated average number of responses</w:t>
      </w:r>
      <w:r w:rsidRPr="00FE4F8C">
        <w:t xml:space="preserve">:  </w:t>
      </w:r>
      <w:r w:rsidR="00BC5765">
        <w:t>3,</w:t>
      </w:r>
      <w:r>
        <w:t>00</w:t>
      </w:r>
      <w:r w:rsidR="00DC4E38">
        <w:t>0</w:t>
      </w:r>
      <w:r>
        <w:t xml:space="preserve"> </w:t>
      </w:r>
      <w:r w:rsidR="00BC5765">
        <w:t>(one form per year per respondent).</w:t>
      </w:r>
    </w:p>
    <w:p w:rsidR="00C74A20" w:rsidRPr="00FE4F8C" w:rsidRDefault="00C74A20" w:rsidP="00C74A20"/>
    <w:p w:rsidR="00C74A20" w:rsidRPr="00FE4F8C" w:rsidRDefault="00C74A20" w:rsidP="00C74A20">
      <w:r w:rsidRPr="00FE4F8C">
        <w:t xml:space="preserve">Estimated total </w:t>
      </w:r>
      <w:r>
        <w:t xml:space="preserve">average </w:t>
      </w:r>
      <w:r w:rsidRPr="00FE4F8C">
        <w:t xml:space="preserve">annual burden on respondents:  </w:t>
      </w:r>
      <w:r>
        <w:t xml:space="preserve">2 </w:t>
      </w:r>
      <w:r w:rsidRPr="00FE4F8C">
        <w:t>hours</w:t>
      </w:r>
    </w:p>
    <w:p w:rsidR="00C74A20" w:rsidRPr="00FE4F8C" w:rsidRDefault="00C74A20" w:rsidP="00C74A20"/>
    <w:p w:rsidR="00C74A20" w:rsidRDefault="00C74A20" w:rsidP="00C74A20">
      <w:r w:rsidRPr="00FE4F8C">
        <w:t xml:space="preserve">Frequency of collection:  </w:t>
      </w:r>
      <w:r w:rsidRPr="00476CFB">
        <w:t>annually</w:t>
      </w:r>
    </w:p>
    <w:p w:rsidR="00C74A20" w:rsidRDefault="00C74A20" w:rsidP="00C74A20"/>
    <w:p w:rsidR="00C74A20" w:rsidRDefault="00BC5765" w:rsidP="00C74A20">
      <w:r>
        <w:t>Average total cost: $4</w:t>
      </w:r>
      <w:r w:rsidR="00C74A20">
        <w:t>0</w:t>
      </w:r>
      <w:r>
        <w:t>0</w:t>
      </w:r>
    </w:p>
    <w:p w:rsidR="00C74A20" w:rsidRDefault="00C74A20" w:rsidP="00C74A20"/>
    <w:p w:rsidR="00C74A20" w:rsidRPr="0027356E" w:rsidRDefault="00C74A20" w:rsidP="00C74A20">
      <w:r w:rsidRPr="000D7E80">
        <w:t>There are no capital costs or operating and maintenance costs associated with this collection.</w:t>
      </w:r>
      <w:r w:rsidRPr="0027356E">
        <w:t xml:space="preserve"> The Commission believes that, as part of customary an</w:t>
      </w:r>
      <w:r>
        <w:t>d usual business practices, all</w:t>
      </w:r>
      <w:r w:rsidRPr="0027356E">
        <w:t xml:space="preserve"> respondents already create and store </w:t>
      </w:r>
      <w:r>
        <w:t>basic information on what they purchased or received and how much it cost</w:t>
      </w:r>
      <w:r w:rsidRPr="0027356E">
        <w:t>.</w:t>
      </w:r>
    </w:p>
    <w:p w:rsidR="004864CF" w:rsidRDefault="004864CF"/>
    <w:sectPr w:rsidR="004864CF" w:rsidSect="00AD72C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F8" w:rsidRDefault="00202AF8" w:rsidP="00CB60C7">
      <w:r>
        <w:separator/>
      </w:r>
    </w:p>
  </w:endnote>
  <w:endnote w:type="continuationSeparator" w:id="0">
    <w:p w:rsidR="00202AF8" w:rsidRDefault="00202AF8" w:rsidP="00CB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F8" w:rsidRDefault="00202AF8" w:rsidP="00CB60C7">
      <w:r>
        <w:separator/>
      </w:r>
    </w:p>
  </w:footnote>
  <w:footnote w:type="continuationSeparator" w:id="0">
    <w:p w:rsidR="00202AF8" w:rsidRDefault="00202AF8" w:rsidP="00CB60C7">
      <w:r>
        <w:continuationSeparator/>
      </w:r>
    </w:p>
  </w:footnote>
  <w:footnote w:id="1">
    <w:p w:rsidR="005F0AD3" w:rsidRDefault="005F0AD3">
      <w:pPr>
        <w:pStyle w:val="FootnoteText"/>
      </w:pPr>
      <w:r>
        <w:rPr>
          <w:rStyle w:val="FootnoteReference"/>
        </w:rPr>
        <w:footnoteRef/>
      </w:r>
      <w:r>
        <w:t xml:space="preserve"> </w:t>
      </w:r>
      <w:r w:rsidRPr="005F0AD3">
        <w:rPr>
          <w:u w:val="single"/>
        </w:rPr>
        <w:t>See</w:t>
      </w:r>
      <w:r>
        <w:t xml:space="preserve"> </w:t>
      </w:r>
      <w:r w:rsidRPr="005F0AD3">
        <w:rPr>
          <w:szCs w:val="24"/>
        </w:rPr>
        <w:t>Agency Information Collection Activities: Proposed Collection, Comment Request: Form TO, Annual Notice Filing for Counterparties to Unreported Trade Options</w:t>
      </w:r>
      <w:r>
        <w:t xml:space="preserve">, </w:t>
      </w:r>
      <w:r>
        <w:rPr>
          <w:szCs w:val="24"/>
        </w:rPr>
        <w:t>77 FR 74647 (Dec. 17, 2012).</w:t>
      </w:r>
    </w:p>
  </w:footnote>
  <w:footnote w:id="2">
    <w:p w:rsidR="00D338DC" w:rsidRDefault="00D338DC">
      <w:pPr>
        <w:pStyle w:val="FootnoteText"/>
      </w:pPr>
      <w:r>
        <w:rPr>
          <w:rStyle w:val="FootnoteReference"/>
        </w:rPr>
        <w:footnoteRef/>
      </w:r>
      <w:r>
        <w:t xml:space="preserve"> </w:t>
      </w:r>
      <w:r w:rsidRPr="00D338DC">
        <w:rPr>
          <w:u w:val="single"/>
        </w:rPr>
        <w:t>See</w:t>
      </w:r>
      <w:r>
        <w:t xml:space="preserve"> </w:t>
      </w:r>
      <w:r w:rsidRPr="002B386D">
        <w:rPr>
          <w:szCs w:val="24"/>
        </w:rPr>
        <w:t>77</w:t>
      </w:r>
      <w:r>
        <w:rPr>
          <w:szCs w:val="24"/>
        </w:rPr>
        <w:t xml:space="preserve"> FR 25320 (Apr. 27, 2012).</w:t>
      </w:r>
    </w:p>
  </w:footnote>
  <w:footnote w:id="3">
    <w:p w:rsidR="00235DD2" w:rsidRDefault="00235DD2">
      <w:pPr>
        <w:pStyle w:val="FootnoteText"/>
      </w:pPr>
      <w:r>
        <w:rPr>
          <w:rStyle w:val="FootnoteReference"/>
        </w:rPr>
        <w:footnoteRef/>
      </w:r>
      <w:r>
        <w:t xml:space="preserve"> </w:t>
      </w:r>
      <w:r w:rsidRPr="005F0AD3">
        <w:rPr>
          <w:u w:val="single"/>
        </w:rPr>
        <w:t>See</w:t>
      </w:r>
      <w:r>
        <w:t xml:space="preserve"> </w:t>
      </w:r>
      <w:r w:rsidRPr="005F0AD3">
        <w:rPr>
          <w:szCs w:val="24"/>
        </w:rPr>
        <w:t>Agency Information Collection Activities: Proposed Collection, Comment Request: Form TO, Annual Notice Filing for Counterparties to Unreported Trade Options</w:t>
      </w:r>
      <w:r>
        <w:t xml:space="preserve">, </w:t>
      </w:r>
      <w:r>
        <w:rPr>
          <w:szCs w:val="24"/>
        </w:rPr>
        <w:t>77 FR 74647 (Dec. 17, 2012).</w:t>
      </w:r>
    </w:p>
  </w:footnote>
  <w:footnote w:id="4">
    <w:p w:rsidR="004864CF" w:rsidRDefault="004864CF">
      <w:pPr>
        <w:pStyle w:val="FootnoteText"/>
      </w:pPr>
      <w:r>
        <w:rPr>
          <w:rStyle w:val="FootnoteReference"/>
        </w:rPr>
        <w:footnoteRef/>
      </w:r>
      <w:r>
        <w:t xml:space="preserve"> </w:t>
      </w:r>
      <w:r w:rsidRPr="003E6A92">
        <w:t xml:space="preserve">Using the average salary (base plus locality pay) for the CT-14 pay grade for Commission employees in Washington, D.C. as of June 15, 2012, or $149,438, multiplied by 1.271 to account for benefits, the annual cost to the Commission for each GS-14 employee would be $189,936.  Based on a work year for all Federal employees of 2,087 hours, </w:t>
      </w:r>
      <w:r>
        <w:t xml:space="preserve">the </w:t>
      </w:r>
      <w:r w:rsidRPr="003E6A92">
        <w:t xml:space="preserve">average hourly wage rate </w:t>
      </w:r>
      <w:r>
        <w:t xml:space="preserve"> is</w:t>
      </w:r>
      <w:r w:rsidRPr="003E6A92">
        <w:t xml:space="preserve"> $91.00</w:t>
      </w:r>
      <w:r>
        <w:t>.  It will therefore cost the Commission $180 (2 hours x $90) per Form TO, and a total of $18,200 ($180 x 200 hours) to analyze all Forms TO submitted annually.</w:t>
      </w:r>
    </w:p>
  </w:footnote>
  <w:footnote w:id="5">
    <w:p w:rsidR="00BC5765" w:rsidRDefault="00C74A20" w:rsidP="00BC5765">
      <w:pPr>
        <w:pStyle w:val="CommentText"/>
      </w:pPr>
      <w:r>
        <w:rPr>
          <w:rStyle w:val="FootnoteReference"/>
        </w:rPr>
        <w:footnoteRef/>
      </w:r>
      <w:r>
        <w:t xml:space="preserve"> The Commission estimates that entities will spend $100 per hour.  The $100 per hour estimate was used as the average hourly wage rate in the PRA section of the Internal Business Conduct Standards for Swap Dealers and Major Swap Participants final rule (</w:t>
      </w:r>
      <w:r w:rsidRPr="00A959B5">
        <w:rPr>
          <w:u w:val="single"/>
        </w:rPr>
        <w:t>See</w:t>
      </w:r>
      <w:r>
        <w:t xml:space="preserve"> </w:t>
      </w:r>
      <w:r w:rsidR="00BC5765">
        <w:t xml:space="preserve">Swap Dealer and Major Swap Participant Recordkeeping, Reporting, and Duties Rules; Futures Commission Merchant and Introducing Broker </w:t>
      </w:r>
    </w:p>
    <w:p w:rsidR="00C74A20" w:rsidRDefault="00BC5765" w:rsidP="00BC5765">
      <w:pPr>
        <w:pStyle w:val="CommentText"/>
      </w:pPr>
      <w:r>
        <w:t xml:space="preserve">Conflicts of Interest Rules; and Chief Compliance Officer Rules for Swap Dealers, Major Swap Participants, and Futures Commission Merchants, </w:t>
      </w:r>
      <w:r w:rsidR="00C74A20">
        <w:t>77 FR 20128, 20194</w:t>
      </w:r>
      <w:r>
        <w:t xml:space="preserve"> (Apr.</w:t>
      </w:r>
      <w:r w:rsidRPr="00BC5765">
        <w:t xml:space="preserve"> 3, 2012</w:t>
      </w:r>
      <w:r>
        <w:t>)</w:t>
      </w:r>
      <w:r w:rsidR="00C74A20">
        <w:t xml:space="preserve">) and the wage rate </w:t>
      </w:r>
      <w:r w:rsidR="00C74A20" w:rsidRPr="00547258">
        <w:t>for</w:t>
      </w:r>
      <w:r w:rsidR="00C74A20">
        <w:t xml:space="preserve"> CCOs under the DCO final rules (</w:t>
      </w:r>
      <w:r w:rsidR="00C74A20" w:rsidRPr="00A959B5">
        <w:rPr>
          <w:u w:val="single"/>
        </w:rPr>
        <w:t>See</w:t>
      </w:r>
      <w:r>
        <w:t xml:space="preserve"> Derivatives Clearing Organization General Provisions and Core Principles</w:t>
      </w:r>
      <w:r w:rsidR="0018176A">
        <w:t xml:space="preserve">, </w:t>
      </w:r>
      <w:r w:rsidR="00C74A20">
        <w:t>76 FR 69344, 69428</w:t>
      </w:r>
      <w:r>
        <w:t xml:space="preserve"> (Nov. 8, 2011)</w:t>
      </w:r>
      <w:r w:rsidR="00C74A20">
        <w:t>).  As the Commission explained in the Internal Business Conduct Standards final rule, the estimate of $100 per hour was based on recent Bureau of Labor Statistics findings, including the mean hourly wage of an employee under occupation code 23-1011, “Lawyers,” that is employed by the “Securities and Commodity Contracts Intermediation and Brokerage Industry,” which is $82.22.  The mean hourly wage of an employee under occupation code 11-3031, “Financial Manager,” in the same industry is $74.41.  Additionally, SIFMA’s “Report on Management &amp; Professional Earnings in the Securities Industry – 2010” estimates the average wage of a compliance attorney and a compliance staffer in the U.S. at only $46.31 per hour.  As in those rules, the Commission is using a $100 per hour wage rate in calculating the cost burdens imposed by this collection of information and requests comment on the accuracy of its estimate.</w:t>
      </w:r>
      <w:r w:rsidR="00C74A20" w:rsidRPr="00E041F1">
        <w:t xml:space="preserve"> </w:t>
      </w:r>
    </w:p>
    <w:p w:rsidR="00C74A20" w:rsidRDefault="00C74A20" w:rsidP="00C74A2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D2044"/>
    <w:multiLevelType w:val="hybridMultilevel"/>
    <w:tmpl w:val="FDA6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9C23C6"/>
    <w:multiLevelType w:val="hybridMultilevel"/>
    <w:tmpl w:val="51CC5150"/>
    <w:lvl w:ilvl="0" w:tplc="D390C0BC">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3C92E85"/>
    <w:multiLevelType w:val="hybridMultilevel"/>
    <w:tmpl w:val="9C4C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175EB"/>
    <w:rsid w:val="000232F0"/>
    <w:rsid w:val="00023501"/>
    <w:rsid w:val="0002390B"/>
    <w:rsid w:val="000277A5"/>
    <w:rsid w:val="00030EBB"/>
    <w:rsid w:val="000341C4"/>
    <w:rsid w:val="00050D06"/>
    <w:rsid w:val="00057324"/>
    <w:rsid w:val="000600B6"/>
    <w:rsid w:val="000605D8"/>
    <w:rsid w:val="00063FBB"/>
    <w:rsid w:val="00065329"/>
    <w:rsid w:val="00081341"/>
    <w:rsid w:val="000835F6"/>
    <w:rsid w:val="0008745D"/>
    <w:rsid w:val="000939F0"/>
    <w:rsid w:val="000A4158"/>
    <w:rsid w:val="000B26DF"/>
    <w:rsid w:val="000B37A1"/>
    <w:rsid w:val="000C30AD"/>
    <w:rsid w:val="000E216C"/>
    <w:rsid w:val="000F16B8"/>
    <w:rsid w:val="000F413A"/>
    <w:rsid w:val="000F43CF"/>
    <w:rsid w:val="000F7C4A"/>
    <w:rsid w:val="00124A68"/>
    <w:rsid w:val="00132FB8"/>
    <w:rsid w:val="0015194E"/>
    <w:rsid w:val="001570FA"/>
    <w:rsid w:val="0016662F"/>
    <w:rsid w:val="0016738E"/>
    <w:rsid w:val="00171C64"/>
    <w:rsid w:val="001737C1"/>
    <w:rsid w:val="00173E2B"/>
    <w:rsid w:val="0017723B"/>
    <w:rsid w:val="0018176A"/>
    <w:rsid w:val="00182FBB"/>
    <w:rsid w:val="00184A5F"/>
    <w:rsid w:val="00190146"/>
    <w:rsid w:val="00193363"/>
    <w:rsid w:val="00196D55"/>
    <w:rsid w:val="001A1542"/>
    <w:rsid w:val="001A21D2"/>
    <w:rsid w:val="001A315C"/>
    <w:rsid w:val="001B1D9B"/>
    <w:rsid w:val="001C06D6"/>
    <w:rsid w:val="001D0F77"/>
    <w:rsid w:val="001D0FB2"/>
    <w:rsid w:val="001D1FAF"/>
    <w:rsid w:val="001E0D04"/>
    <w:rsid w:val="001F0D10"/>
    <w:rsid w:val="001F4DED"/>
    <w:rsid w:val="00202AF8"/>
    <w:rsid w:val="002037F6"/>
    <w:rsid w:val="00206095"/>
    <w:rsid w:val="002102C2"/>
    <w:rsid w:val="00224F8A"/>
    <w:rsid w:val="002331B0"/>
    <w:rsid w:val="00235DD2"/>
    <w:rsid w:val="00241951"/>
    <w:rsid w:val="002469B1"/>
    <w:rsid w:val="00247D20"/>
    <w:rsid w:val="00256058"/>
    <w:rsid w:val="0026473C"/>
    <w:rsid w:val="002658B3"/>
    <w:rsid w:val="00266723"/>
    <w:rsid w:val="00280090"/>
    <w:rsid w:val="00296AC1"/>
    <w:rsid w:val="002A3CC2"/>
    <w:rsid w:val="002A3DCA"/>
    <w:rsid w:val="002B386D"/>
    <w:rsid w:val="002C013D"/>
    <w:rsid w:val="002C52D2"/>
    <w:rsid w:val="002D3E29"/>
    <w:rsid w:val="002D50DC"/>
    <w:rsid w:val="002D69B6"/>
    <w:rsid w:val="002E06B0"/>
    <w:rsid w:val="002E1502"/>
    <w:rsid w:val="002E26B4"/>
    <w:rsid w:val="002F1336"/>
    <w:rsid w:val="002F2092"/>
    <w:rsid w:val="002F498B"/>
    <w:rsid w:val="002F7400"/>
    <w:rsid w:val="0030293E"/>
    <w:rsid w:val="00315A5F"/>
    <w:rsid w:val="00315A79"/>
    <w:rsid w:val="003168A3"/>
    <w:rsid w:val="00327429"/>
    <w:rsid w:val="00346CCF"/>
    <w:rsid w:val="00353F98"/>
    <w:rsid w:val="00355CD8"/>
    <w:rsid w:val="00371B63"/>
    <w:rsid w:val="00372F94"/>
    <w:rsid w:val="003742D1"/>
    <w:rsid w:val="00380D74"/>
    <w:rsid w:val="00383EE8"/>
    <w:rsid w:val="00386BD9"/>
    <w:rsid w:val="00387BF2"/>
    <w:rsid w:val="00387DE0"/>
    <w:rsid w:val="00390223"/>
    <w:rsid w:val="003A04C2"/>
    <w:rsid w:val="003A65CB"/>
    <w:rsid w:val="003B60A5"/>
    <w:rsid w:val="003D4314"/>
    <w:rsid w:val="003D49DE"/>
    <w:rsid w:val="003D597E"/>
    <w:rsid w:val="003E256B"/>
    <w:rsid w:val="003E6A92"/>
    <w:rsid w:val="003F0037"/>
    <w:rsid w:val="003F308D"/>
    <w:rsid w:val="003F4662"/>
    <w:rsid w:val="003F7037"/>
    <w:rsid w:val="004024C0"/>
    <w:rsid w:val="00402BC8"/>
    <w:rsid w:val="004056E1"/>
    <w:rsid w:val="00410397"/>
    <w:rsid w:val="00415146"/>
    <w:rsid w:val="00420535"/>
    <w:rsid w:val="00427241"/>
    <w:rsid w:val="004309D9"/>
    <w:rsid w:val="004435EB"/>
    <w:rsid w:val="0044398D"/>
    <w:rsid w:val="00453576"/>
    <w:rsid w:val="00457CD5"/>
    <w:rsid w:val="00461BE7"/>
    <w:rsid w:val="00473EEC"/>
    <w:rsid w:val="00484030"/>
    <w:rsid w:val="00484368"/>
    <w:rsid w:val="004864CF"/>
    <w:rsid w:val="00493781"/>
    <w:rsid w:val="0049540F"/>
    <w:rsid w:val="004A282C"/>
    <w:rsid w:val="004B7C1F"/>
    <w:rsid w:val="004D2594"/>
    <w:rsid w:val="004D36F7"/>
    <w:rsid w:val="004E77DC"/>
    <w:rsid w:val="004F5BCC"/>
    <w:rsid w:val="00503C27"/>
    <w:rsid w:val="005159C1"/>
    <w:rsid w:val="00517B58"/>
    <w:rsid w:val="00524271"/>
    <w:rsid w:val="00525E95"/>
    <w:rsid w:val="0052625D"/>
    <w:rsid w:val="00526447"/>
    <w:rsid w:val="0053053A"/>
    <w:rsid w:val="00534983"/>
    <w:rsid w:val="00534B6B"/>
    <w:rsid w:val="00542723"/>
    <w:rsid w:val="005652AC"/>
    <w:rsid w:val="00565921"/>
    <w:rsid w:val="00574C2F"/>
    <w:rsid w:val="00576890"/>
    <w:rsid w:val="005768BA"/>
    <w:rsid w:val="00583E5B"/>
    <w:rsid w:val="00586F7E"/>
    <w:rsid w:val="00591252"/>
    <w:rsid w:val="00592165"/>
    <w:rsid w:val="0059221E"/>
    <w:rsid w:val="00596D53"/>
    <w:rsid w:val="005A1669"/>
    <w:rsid w:val="005A4D99"/>
    <w:rsid w:val="005A56CC"/>
    <w:rsid w:val="005B0BE6"/>
    <w:rsid w:val="005B27BA"/>
    <w:rsid w:val="005C0DD3"/>
    <w:rsid w:val="005C479A"/>
    <w:rsid w:val="005D0314"/>
    <w:rsid w:val="005E536C"/>
    <w:rsid w:val="005F0AD3"/>
    <w:rsid w:val="005F4138"/>
    <w:rsid w:val="005F449F"/>
    <w:rsid w:val="005F6628"/>
    <w:rsid w:val="0060418F"/>
    <w:rsid w:val="006046B6"/>
    <w:rsid w:val="006101E5"/>
    <w:rsid w:val="0062259E"/>
    <w:rsid w:val="00625474"/>
    <w:rsid w:val="00634796"/>
    <w:rsid w:val="006371A5"/>
    <w:rsid w:val="00640D5B"/>
    <w:rsid w:val="006423E7"/>
    <w:rsid w:val="006500E8"/>
    <w:rsid w:val="00654BB3"/>
    <w:rsid w:val="00664257"/>
    <w:rsid w:val="00675296"/>
    <w:rsid w:val="00677F55"/>
    <w:rsid w:val="00682E2C"/>
    <w:rsid w:val="00692A25"/>
    <w:rsid w:val="006A05A1"/>
    <w:rsid w:val="006A3336"/>
    <w:rsid w:val="006A6FCF"/>
    <w:rsid w:val="006C1D44"/>
    <w:rsid w:val="006C6EF4"/>
    <w:rsid w:val="006D0492"/>
    <w:rsid w:val="006D224C"/>
    <w:rsid w:val="006D38A6"/>
    <w:rsid w:val="006D4EA5"/>
    <w:rsid w:val="006D759D"/>
    <w:rsid w:val="006E3F07"/>
    <w:rsid w:val="006F2C4E"/>
    <w:rsid w:val="006F4F75"/>
    <w:rsid w:val="006F6771"/>
    <w:rsid w:val="006F7274"/>
    <w:rsid w:val="007003B8"/>
    <w:rsid w:val="00701D5C"/>
    <w:rsid w:val="0074513D"/>
    <w:rsid w:val="007536D5"/>
    <w:rsid w:val="00753B6E"/>
    <w:rsid w:val="00754164"/>
    <w:rsid w:val="007602AC"/>
    <w:rsid w:val="007616A9"/>
    <w:rsid w:val="00773F48"/>
    <w:rsid w:val="00775781"/>
    <w:rsid w:val="00793467"/>
    <w:rsid w:val="00794BD7"/>
    <w:rsid w:val="00796330"/>
    <w:rsid w:val="007A49AE"/>
    <w:rsid w:val="007B2CE3"/>
    <w:rsid w:val="007D270C"/>
    <w:rsid w:val="007E7868"/>
    <w:rsid w:val="007F2D28"/>
    <w:rsid w:val="007F5475"/>
    <w:rsid w:val="00803774"/>
    <w:rsid w:val="00807DB0"/>
    <w:rsid w:val="00810F14"/>
    <w:rsid w:val="008159FE"/>
    <w:rsid w:val="008207B9"/>
    <w:rsid w:val="00834DD7"/>
    <w:rsid w:val="00847761"/>
    <w:rsid w:val="008519D2"/>
    <w:rsid w:val="0085370C"/>
    <w:rsid w:val="008547ED"/>
    <w:rsid w:val="00860CE6"/>
    <w:rsid w:val="00863A6C"/>
    <w:rsid w:val="00864576"/>
    <w:rsid w:val="00875D3B"/>
    <w:rsid w:val="0087790C"/>
    <w:rsid w:val="008827E0"/>
    <w:rsid w:val="0088767B"/>
    <w:rsid w:val="00896177"/>
    <w:rsid w:val="008A1115"/>
    <w:rsid w:val="008B4817"/>
    <w:rsid w:val="008C1109"/>
    <w:rsid w:val="008C3257"/>
    <w:rsid w:val="008C3CA7"/>
    <w:rsid w:val="008D0546"/>
    <w:rsid w:val="008D761A"/>
    <w:rsid w:val="008E3461"/>
    <w:rsid w:val="008E7AF8"/>
    <w:rsid w:val="008F1930"/>
    <w:rsid w:val="008F7E0C"/>
    <w:rsid w:val="009025A4"/>
    <w:rsid w:val="0090417E"/>
    <w:rsid w:val="00911EE7"/>
    <w:rsid w:val="0092012D"/>
    <w:rsid w:val="009220A1"/>
    <w:rsid w:val="0092581A"/>
    <w:rsid w:val="00925FF4"/>
    <w:rsid w:val="00932277"/>
    <w:rsid w:val="009367E2"/>
    <w:rsid w:val="00943BB2"/>
    <w:rsid w:val="00944106"/>
    <w:rsid w:val="00945C50"/>
    <w:rsid w:val="0095732F"/>
    <w:rsid w:val="00995D04"/>
    <w:rsid w:val="009A24BB"/>
    <w:rsid w:val="009B5165"/>
    <w:rsid w:val="009C0842"/>
    <w:rsid w:val="009C5CF2"/>
    <w:rsid w:val="009D187B"/>
    <w:rsid w:val="009D3A33"/>
    <w:rsid w:val="009E20E0"/>
    <w:rsid w:val="009E2CE2"/>
    <w:rsid w:val="009F4570"/>
    <w:rsid w:val="009F5BE2"/>
    <w:rsid w:val="00A0346E"/>
    <w:rsid w:val="00A05E23"/>
    <w:rsid w:val="00A06CDC"/>
    <w:rsid w:val="00A11B9C"/>
    <w:rsid w:val="00A20639"/>
    <w:rsid w:val="00A213BD"/>
    <w:rsid w:val="00A31CC4"/>
    <w:rsid w:val="00A50199"/>
    <w:rsid w:val="00A61170"/>
    <w:rsid w:val="00A61F7A"/>
    <w:rsid w:val="00A80D36"/>
    <w:rsid w:val="00A8414C"/>
    <w:rsid w:val="00A8752C"/>
    <w:rsid w:val="00A87E91"/>
    <w:rsid w:val="00A938FE"/>
    <w:rsid w:val="00A95253"/>
    <w:rsid w:val="00AA0461"/>
    <w:rsid w:val="00AB0BBC"/>
    <w:rsid w:val="00AC00CC"/>
    <w:rsid w:val="00AC5FA8"/>
    <w:rsid w:val="00AD1B32"/>
    <w:rsid w:val="00AD716A"/>
    <w:rsid w:val="00AD72CD"/>
    <w:rsid w:val="00AE4C42"/>
    <w:rsid w:val="00AF4A73"/>
    <w:rsid w:val="00B05FA4"/>
    <w:rsid w:val="00B1019A"/>
    <w:rsid w:val="00B22DD7"/>
    <w:rsid w:val="00B22FB7"/>
    <w:rsid w:val="00B24358"/>
    <w:rsid w:val="00B24F98"/>
    <w:rsid w:val="00B31D59"/>
    <w:rsid w:val="00B36E33"/>
    <w:rsid w:val="00B50EEE"/>
    <w:rsid w:val="00B51F4A"/>
    <w:rsid w:val="00B66F38"/>
    <w:rsid w:val="00B800F8"/>
    <w:rsid w:val="00B90175"/>
    <w:rsid w:val="00B94AFA"/>
    <w:rsid w:val="00BA0CF6"/>
    <w:rsid w:val="00BA68AC"/>
    <w:rsid w:val="00BA7889"/>
    <w:rsid w:val="00BB4C1A"/>
    <w:rsid w:val="00BC4975"/>
    <w:rsid w:val="00BC5447"/>
    <w:rsid w:val="00BC5765"/>
    <w:rsid w:val="00BD4837"/>
    <w:rsid w:val="00BD553D"/>
    <w:rsid w:val="00BE1714"/>
    <w:rsid w:val="00BF20CC"/>
    <w:rsid w:val="00BF54BE"/>
    <w:rsid w:val="00BF5F7A"/>
    <w:rsid w:val="00C07BDA"/>
    <w:rsid w:val="00C2325B"/>
    <w:rsid w:val="00C23889"/>
    <w:rsid w:val="00C33FC9"/>
    <w:rsid w:val="00C37E53"/>
    <w:rsid w:val="00C424BC"/>
    <w:rsid w:val="00C4280C"/>
    <w:rsid w:val="00C4606F"/>
    <w:rsid w:val="00C50F6D"/>
    <w:rsid w:val="00C50FAC"/>
    <w:rsid w:val="00C60B24"/>
    <w:rsid w:val="00C6498B"/>
    <w:rsid w:val="00C649BE"/>
    <w:rsid w:val="00C70013"/>
    <w:rsid w:val="00C74A20"/>
    <w:rsid w:val="00C77DFA"/>
    <w:rsid w:val="00C83F82"/>
    <w:rsid w:val="00C902A1"/>
    <w:rsid w:val="00CA12F8"/>
    <w:rsid w:val="00CA1B6D"/>
    <w:rsid w:val="00CB24FF"/>
    <w:rsid w:val="00CB60C7"/>
    <w:rsid w:val="00CB7148"/>
    <w:rsid w:val="00CC009F"/>
    <w:rsid w:val="00CD542F"/>
    <w:rsid w:val="00CE0382"/>
    <w:rsid w:val="00CF7673"/>
    <w:rsid w:val="00D0206D"/>
    <w:rsid w:val="00D03F7B"/>
    <w:rsid w:val="00D04857"/>
    <w:rsid w:val="00D05785"/>
    <w:rsid w:val="00D05B93"/>
    <w:rsid w:val="00D14348"/>
    <w:rsid w:val="00D20989"/>
    <w:rsid w:val="00D21740"/>
    <w:rsid w:val="00D24617"/>
    <w:rsid w:val="00D338DC"/>
    <w:rsid w:val="00D40FE0"/>
    <w:rsid w:val="00D41450"/>
    <w:rsid w:val="00D4197D"/>
    <w:rsid w:val="00D443F5"/>
    <w:rsid w:val="00D52101"/>
    <w:rsid w:val="00D55CAE"/>
    <w:rsid w:val="00D56D12"/>
    <w:rsid w:val="00D67916"/>
    <w:rsid w:val="00D77105"/>
    <w:rsid w:val="00D8025D"/>
    <w:rsid w:val="00D9298D"/>
    <w:rsid w:val="00D93BA9"/>
    <w:rsid w:val="00DA691A"/>
    <w:rsid w:val="00DB03AA"/>
    <w:rsid w:val="00DB2157"/>
    <w:rsid w:val="00DC2B99"/>
    <w:rsid w:val="00DC4E38"/>
    <w:rsid w:val="00DC522E"/>
    <w:rsid w:val="00DE297F"/>
    <w:rsid w:val="00E013D8"/>
    <w:rsid w:val="00E05D75"/>
    <w:rsid w:val="00E11EED"/>
    <w:rsid w:val="00E1421F"/>
    <w:rsid w:val="00E17DE8"/>
    <w:rsid w:val="00E22E82"/>
    <w:rsid w:val="00E2335E"/>
    <w:rsid w:val="00E236E5"/>
    <w:rsid w:val="00E240FB"/>
    <w:rsid w:val="00E25077"/>
    <w:rsid w:val="00E25F97"/>
    <w:rsid w:val="00E268D0"/>
    <w:rsid w:val="00E313D8"/>
    <w:rsid w:val="00E3672D"/>
    <w:rsid w:val="00E36FCD"/>
    <w:rsid w:val="00E42631"/>
    <w:rsid w:val="00E54A26"/>
    <w:rsid w:val="00E55422"/>
    <w:rsid w:val="00E605B7"/>
    <w:rsid w:val="00E639DE"/>
    <w:rsid w:val="00E7242A"/>
    <w:rsid w:val="00E90F3F"/>
    <w:rsid w:val="00E93DA6"/>
    <w:rsid w:val="00E944C1"/>
    <w:rsid w:val="00EA260E"/>
    <w:rsid w:val="00EA6B86"/>
    <w:rsid w:val="00EB4997"/>
    <w:rsid w:val="00EB7F98"/>
    <w:rsid w:val="00EC0E5E"/>
    <w:rsid w:val="00EC0E78"/>
    <w:rsid w:val="00EC2551"/>
    <w:rsid w:val="00EC7005"/>
    <w:rsid w:val="00ED0361"/>
    <w:rsid w:val="00ED609B"/>
    <w:rsid w:val="00EE03B3"/>
    <w:rsid w:val="00EE2608"/>
    <w:rsid w:val="00EE44CA"/>
    <w:rsid w:val="00EE4E0D"/>
    <w:rsid w:val="00EE677F"/>
    <w:rsid w:val="00EE7872"/>
    <w:rsid w:val="00EE7D31"/>
    <w:rsid w:val="00F12BA6"/>
    <w:rsid w:val="00F24E01"/>
    <w:rsid w:val="00F264B6"/>
    <w:rsid w:val="00F36F82"/>
    <w:rsid w:val="00F437AA"/>
    <w:rsid w:val="00F44C0A"/>
    <w:rsid w:val="00F45CC6"/>
    <w:rsid w:val="00F50479"/>
    <w:rsid w:val="00F52D41"/>
    <w:rsid w:val="00F53604"/>
    <w:rsid w:val="00F570E2"/>
    <w:rsid w:val="00F62252"/>
    <w:rsid w:val="00F63EC3"/>
    <w:rsid w:val="00F654DB"/>
    <w:rsid w:val="00F706E4"/>
    <w:rsid w:val="00F80680"/>
    <w:rsid w:val="00F85FEA"/>
    <w:rsid w:val="00F86BB6"/>
    <w:rsid w:val="00F86F2A"/>
    <w:rsid w:val="00F91BB4"/>
    <w:rsid w:val="00F940C0"/>
    <w:rsid w:val="00F955CA"/>
    <w:rsid w:val="00F978BB"/>
    <w:rsid w:val="00FA241F"/>
    <w:rsid w:val="00FB404A"/>
    <w:rsid w:val="00FC5158"/>
    <w:rsid w:val="00FC59D7"/>
    <w:rsid w:val="00FC64FD"/>
    <w:rsid w:val="00FD0FBE"/>
    <w:rsid w:val="00FF01C2"/>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CommentReference">
    <w:name w:val="annotation reference"/>
    <w:basedOn w:val="DefaultParagraphFont"/>
    <w:rsid w:val="0087790C"/>
    <w:rPr>
      <w:sz w:val="16"/>
      <w:szCs w:val="16"/>
    </w:rPr>
  </w:style>
  <w:style w:type="paragraph" w:styleId="CommentText">
    <w:name w:val="annotation text"/>
    <w:basedOn w:val="Normal"/>
    <w:link w:val="CommentTextChar"/>
    <w:rsid w:val="0087790C"/>
    <w:rPr>
      <w:sz w:val="20"/>
      <w:szCs w:val="20"/>
    </w:rPr>
  </w:style>
  <w:style w:type="character" w:customStyle="1" w:styleId="CommentTextChar">
    <w:name w:val="Comment Text Char"/>
    <w:basedOn w:val="DefaultParagraphFont"/>
    <w:link w:val="CommentText"/>
    <w:rsid w:val="0087790C"/>
    <w:rPr>
      <w:rFonts w:ascii="Arial" w:hAnsi="Arial"/>
    </w:rPr>
  </w:style>
  <w:style w:type="paragraph" w:styleId="CommentSubject">
    <w:name w:val="annotation subject"/>
    <w:basedOn w:val="CommentText"/>
    <w:next w:val="CommentText"/>
    <w:link w:val="CommentSubjectChar"/>
    <w:rsid w:val="0087790C"/>
    <w:rPr>
      <w:b/>
      <w:bCs/>
    </w:rPr>
  </w:style>
  <w:style w:type="character" w:customStyle="1" w:styleId="CommentSubjectChar">
    <w:name w:val="Comment Subject Char"/>
    <w:basedOn w:val="CommentTextChar"/>
    <w:link w:val="CommentSubject"/>
    <w:rsid w:val="0087790C"/>
    <w:rPr>
      <w:rFonts w:ascii="Arial" w:hAnsi="Arial"/>
      <w:b/>
      <w:bCs/>
    </w:rPr>
  </w:style>
  <w:style w:type="paragraph" w:styleId="BalloonText">
    <w:name w:val="Balloon Text"/>
    <w:basedOn w:val="Normal"/>
    <w:link w:val="BalloonTextChar"/>
    <w:rsid w:val="0087790C"/>
    <w:rPr>
      <w:rFonts w:ascii="Tahoma" w:hAnsi="Tahoma" w:cs="Tahoma"/>
      <w:sz w:val="16"/>
      <w:szCs w:val="16"/>
    </w:rPr>
  </w:style>
  <w:style w:type="character" w:customStyle="1" w:styleId="BalloonTextChar">
    <w:name w:val="Balloon Text Char"/>
    <w:basedOn w:val="DefaultParagraphFont"/>
    <w:link w:val="BalloonText"/>
    <w:rsid w:val="0087790C"/>
    <w:rPr>
      <w:rFonts w:ascii="Tahoma" w:hAnsi="Tahoma" w:cs="Tahoma"/>
      <w:sz w:val="16"/>
      <w:szCs w:val="16"/>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rsid w:val="00CB60C7"/>
    <w:rPr>
      <w:rFonts w:ascii="Times New Roman" w:hAnsi="Times New Roman"/>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CB60C7"/>
  </w:style>
  <w:style w:type="character" w:styleId="FootnoteReference">
    <w:name w:val="footnote reference"/>
    <w:aliases w:val="fr,Style 19,Style 16,Style 35"/>
    <w:uiPriority w:val="99"/>
    <w:unhideWhenUsed/>
    <w:rsid w:val="00CB60C7"/>
    <w:rPr>
      <w:rFonts w:ascii="Times New Roman" w:hAnsi="Times New Roman" w:cs="Times New Roman" w:hint="default"/>
      <w:vertAlign w:val="superscript"/>
    </w:rPr>
  </w:style>
  <w:style w:type="paragraph" w:styleId="ListParagraph">
    <w:name w:val="List Paragraph"/>
    <w:basedOn w:val="Normal"/>
    <w:uiPriority w:val="34"/>
    <w:qFormat/>
    <w:rsid w:val="00640D5B"/>
    <w:pPr>
      <w:ind w:left="720"/>
      <w:contextualSpacing/>
    </w:pPr>
  </w:style>
  <w:style w:type="character" w:styleId="Hyperlink">
    <w:name w:val="Hyperlink"/>
    <w:uiPriority w:val="99"/>
    <w:unhideWhenUsed/>
    <w:rsid w:val="00C74A20"/>
    <w:rPr>
      <w:color w:val="0000FF"/>
      <w:u w:val="single"/>
    </w:rPr>
  </w:style>
  <w:style w:type="character" w:styleId="FollowedHyperlink">
    <w:name w:val="FollowedHyperlink"/>
    <w:basedOn w:val="DefaultParagraphFont"/>
    <w:rsid w:val="00C74A20"/>
    <w:rPr>
      <w:color w:val="800080" w:themeColor="followedHyperlink"/>
      <w:u w:val="single"/>
    </w:rPr>
  </w:style>
  <w:style w:type="paragraph" w:styleId="Revision">
    <w:name w:val="Revision"/>
    <w:hidden/>
    <w:uiPriority w:val="99"/>
    <w:semiHidden/>
    <w:rsid w:val="002C52D2"/>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CommentReference">
    <w:name w:val="annotation reference"/>
    <w:basedOn w:val="DefaultParagraphFont"/>
    <w:rsid w:val="0087790C"/>
    <w:rPr>
      <w:sz w:val="16"/>
      <w:szCs w:val="16"/>
    </w:rPr>
  </w:style>
  <w:style w:type="paragraph" w:styleId="CommentText">
    <w:name w:val="annotation text"/>
    <w:basedOn w:val="Normal"/>
    <w:link w:val="CommentTextChar"/>
    <w:rsid w:val="0087790C"/>
    <w:rPr>
      <w:sz w:val="20"/>
      <w:szCs w:val="20"/>
    </w:rPr>
  </w:style>
  <w:style w:type="character" w:customStyle="1" w:styleId="CommentTextChar">
    <w:name w:val="Comment Text Char"/>
    <w:basedOn w:val="DefaultParagraphFont"/>
    <w:link w:val="CommentText"/>
    <w:rsid w:val="0087790C"/>
    <w:rPr>
      <w:rFonts w:ascii="Arial" w:hAnsi="Arial"/>
    </w:rPr>
  </w:style>
  <w:style w:type="paragraph" w:styleId="CommentSubject">
    <w:name w:val="annotation subject"/>
    <w:basedOn w:val="CommentText"/>
    <w:next w:val="CommentText"/>
    <w:link w:val="CommentSubjectChar"/>
    <w:rsid w:val="0087790C"/>
    <w:rPr>
      <w:b/>
      <w:bCs/>
    </w:rPr>
  </w:style>
  <w:style w:type="character" w:customStyle="1" w:styleId="CommentSubjectChar">
    <w:name w:val="Comment Subject Char"/>
    <w:basedOn w:val="CommentTextChar"/>
    <w:link w:val="CommentSubject"/>
    <w:rsid w:val="0087790C"/>
    <w:rPr>
      <w:rFonts w:ascii="Arial" w:hAnsi="Arial"/>
      <w:b/>
      <w:bCs/>
    </w:rPr>
  </w:style>
  <w:style w:type="paragraph" w:styleId="BalloonText">
    <w:name w:val="Balloon Text"/>
    <w:basedOn w:val="Normal"/>
    <w:link w:val="BalloonTextChar"/>
    <w:rsid w:val="0087790C"/>
    <w:rPr>
      <w:rFonts w:ascii="Tahoma" w:hAnsi="Tahoma" w:cs="Tahoma"/>
      <w:sz w:val="16"/>
      <w:szCs w:val="16"/>
    </w:rPr>
  </w:style>
  <w:style w:type="character" w:customStyle="1" w:styleId="BalloonTextChar">
    <w:name w:val="Balloon Text Char"/>
    <w:basedOn w:val="DefaultParagraphFont"/>
    <w:link w:val="BalloonText"/>
    <w:rsid w:val="0087790C"/>
    <w:rPr>
      <w:rFonts w:ascii="Tahoma" w:hAnsi="Tahoma" w:cs="Tahoma"/>
      <w:sz w:val="16"/>
      <w:szCs w:val="16"/>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rsid w:val="00CB60C7"/>
    <w:rPr>
      <w:rFonts w:ascii="Times New Roman" w:hAnsi="Times New Roman"/>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rsid w:val="00CB60C7"/>
  </w:style>
  <w:style w:type="character" w:styleId="FootnoteReference">
    <w:name w:val="footnote reference"/>
    <w:aliases w:val="fr,Style 19,Style 16,Style 35"/>
    <w:uiPriority w:val="99"/>
    <w:unhideWhenUsed/>
    <w:rsid w:val="00CB60C7"/>
    <w:rPr>
      <w:rFonts w:ascii="Times New Roman" w:hAnsi="Times New Roman" w:cs="Times New Roman" w:hint="default"/>
      <w:vertAlign w:val="superscript"/>
    </w:rPr>
  </w:style>
  <w:style w:type="paragraph" w:styleId="ListParagraph">
    <w:name w:val="List Paragraph"/>
    <w:basedOn w:val="Normal"/>
    <w:uiPriority w:val="34"/>
    <w:qFormat/>
    <w:rsid w:val="00640D5B"/>
    <w:pPr>
      <w:ind w:left="720"/>
      <w:contextualSpacing/>
    </w:pPr>
  </w:style>
  <w:style w:type="character" w:styleId="Hyperlink">
    <w:name w:val="Hyperlink"/>
    <w:uiPriority w:val="99"/>
    <w:unhideWhenUsed/>
    <w:rsid w:val="00C74A20"/>
    <w:rPr>
      <w:color w:val="0000FF"/>
      <w:u w:val="single"/>
    </w:rPr>
  </w:style>
  <w:style w:type="character" w:styleId="FollowedHyperlink">
    <w:name w:val="FollowedHyperlink"/>
    <w:basedOn w:val="DefaultParagraphFont"/>
    <w:rsid w:val="00C74A20"/>
    <w:rPr>
      <w:color w:val="800080" w:themeColor="followedHyperlink"/>
      <w:u w:val="single"/>
    </w:rPr>
  </w:style>
  <w:style w:type="paragraph" w:styleId="Revision">
    <w:name w:val="Revision"/>
    <w:hidden/>
    <w:uiPriority w:val="99"/>
    <w:semiHidden/>
    <w:rsid w:val="002C52D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98887">
      <w:bodyDiv w:val="1"/>
      <w:marLeft w:val="0"/>
      <w:marRight w:val="0"/>
      <w:marTop w:val="0"/>
      <w:marBottom w:val="0"/>
      <w:divBdr>
        <w:top w:val="none" w:sz="0" w:space="0" w:color="auto"/>
        <w:left w:val="none" w:sz="0" w:space="0" w:color="auto"/>
        <w:bottom w:val="none" w:sz="0" w:space="0" w:color="auto"/>
        <w:right w:val="none" w:sz="0" w:space="0" w:color="auto"/>
      </w:divBdr>
      <w:divsChild>
        <w:div w:id="1464692170">
          <w:marLeft w:val="0"/>
          <w:marRight w:val="0"/>
          <w:marTop w:val="0"/>
          <w:marBottom w:val="0"/>
          <w:divBdr>
            <w:top w:val="none" w:sz="0" w:space="0" w:color="auto"/>
            <w:left w:val="none" w:sz="0" w:space="0" w:color="auto"/>
            <w:bottom w:val="none" w:sz="0" w:space="0" w:color="auto"/>
            <w:right w:val="none" w:sz="0" w:space="0" w:color="auto"/>
          </w:divBdr>
          <w:divsChild>
            <w:div w:id="1141189844">
              <w:marLeft w:val="0"/>
              <w:marRight w:val="0"/>
              <w:marTop w:val="100"/>
              <w:marBottom w:val="100"/>
              <w:divBdr>
                <w:top w:val="none" w:sz="0" w:space="0" w:color="auto"/>
                <w:left w:val="none" w:sz="0" w:space="0" w:color="auto"/>
                <w:bottom w:val="none" w:sz="0" w:space="0" w:color="auto"/>
                <w:right w:val="none" w:sz="0" w:space="0" w:color="auto"/>
              </w:divBdr>
              <w:divsChild>
                <w:div w:id="625694431">
                  <w:marLeft w:val="0"/>
                  <w:marRight w:val="0"/>
                  <w:marTop w:val="0"/>
                  <w:marBottom w:val="0"/>
                  <w:divBdr>
                    <w:top w:val="none" w:sz="0" w:space="0" w:color="auto"/>
                    <w:left w:val="none" w:sz="0" w:space="0" w:color="auto"/>
                    <w:bottom w:val="none" w:sz="0" w:space="0" w:color="auto"/>
                    <w:right w:val="none" w:sz="0" w:space="0" w:color="auto"/>
                  </w:divBdr>
                  <w:divsChild>
                    <w:div w:id="613250034">
                      <w:marLeft w:val="0"/>
                      <w:marRight w:val="0"/>
                      <w:marTop w:val="0"/>
                      <w:marBottom w:val="0"/>
                      <w:divBdr>
                        <w:top w:val="none" w:sz="0" w:space="0" w:color="auto"/>
                        <w:left w:val="none" w:sz="0" w:space="0" w:color="auto"/>
                        <w:bottom w:val="none" w:sz="0" w:space="0" w:color="auto"/>
                        <w:right w:val="none" w:sz="0" w:space="0" w:color="auto"/>
                      </w:divBdr>
                      <w:divsChild>
                        <w:div w:id="1456410109">
                          <w:marLeft w:val="0"/>
                          <w:marRight w:val="0"/>
                          <w:marTop w:val="0"/>
                          <w:marBottom w:val="0"/>
                          <w:divBdr>
                            <w:top w:val="none" w:sz="0" w:space="0" w:color="auto"/>
                            <w:left w:val="none" w:sz="0" w:space="0" w:color="auto"/>
                            <w:bottom w:val="none" w:sz="0" w:space="0" w:color="auto"/>
                            <w:right w:val="none" w:sz="0" w:space="0" w:color="auto"/>
                          </w:divBdr>
                          <w:divsChild>
                            <w:div w:id="14037625">
                              <w:marLeft w:val="0"/>
                              <w:marRight w:val="0"/>
                              <w:marTop w:val="0"/>
                              <w:marBottom w:val="0"/>
                              <w:divBdr>
                                <w:top w:val="none" w:sz="0" w:space="0" w:color="auto"/>
                                <w:left w:val="none" w:sz="0" w:space="0" w:color="auto"/>
                                <w:bottom w:val="none" w:sz="0" w:space="0" w:color="auto"/>
                                <w:right w:val="none" w:sz="0" w:space="0" w:color="auto"/>
                              </w:divBdr>
                              <w:divsChild>
                                <w:div w:id="8825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816649">
      <w:bodyDiv w:val="1"/>
      <w:marLeft w:val="0"/>
      <w:marRight w:val="0"/>
      <w:marTop w:val="0"/>
      <w:marBottom w:val="0"/>
      <w:divBdr>
        <w:top w:val="none" w:sz="0" w:space="0" w:color="auto"/>
        <w:left w:val="none" w:sz="0" w:space="0" w:color="auto"/>
        <w:bottom w:val="none" w:sz="0" w:space="0" w:color="auto"/>
        <w:right w:val="none" w:sz="0" w:space="0" w:color="auto"/>
      </w:divBdr>
    </w:div>
    <w:div w:id="2089501812">
      <w:bodyDiv w:val="1"/>
      <w:marLeft w:val="0"/>
      <w:marRight w:val="0"/>
      <w:marTop w:val="0"/>
      <w:marBottom w:val="0"/>
      <w:divBdr>
        <w:top w:val="none" w:sz="0" w:space="0" w:color="auto"/>
        <w:left w:val="none" w:sz="0" w:space="0" w:color="auto"/>
        <w:bottom w:val="none" w:sz="0" w:space="0" w:color="auto"/>
        <w:right w:val="none" w:sz="0" w:space="0" w:color="auto"/>
      </w:divBdr>
      <w:divsChild>
        <w:div w:id="1408725297">
          <w:marLeft w:val="0"/>
          <w:marRight w:val="0"/>
          <w:marTop w:val="0"/>
          <w:marBottom w:val="0"/>
          <w:divBdr>
            <w:top w:val="none" w:sz="0" w:space="0" w:color="auto"/>
            <w:left w:val="none" w:sz="0" w:space="0" w:color="auto"/>
            <w:bottom w:val="none" w:sz="0" w:space="0" w:color="auto"/>
            <w:right w:val="none" w:sz="0" w:space="0" w:color="auto"/>
          </w:divBdr>
          <w:divsChild>
            <w:div w:id="476424">
              <w:marLeft w:val="0"/>
              <w:marRight w:val="0"/>
              <w:marTop w:val="100"/>
              <w:marBottom w:val="100"/>
              <w:divBdr>
                <w:top w:val="none" w:sz="0" w:space="0" w:color="auto"/>
                <w:left w:val="none" w:sz="0" w:space="0" w:color="auto"/>
                <w:bottom w:val="none" w:sz="0" w:space="0" w:color="auto"/>
                <w:right w:val="none" w:sz="0" w:space="0" w:color="auto"/>
              </w:divBdr>
              <w:divsChild>
                <w:div w:id="84812892">
                  <w:marLeft w:val="0"/>
                  <w:marRight w:val="0"/>
                  <w:marTop w:val="0"/>
                  <w:marBottom w:val="0"/>
                  <w:divBdr>
                    <w:top w:val="none" w:sz="0" w:space="0" w:color="auto"/>
                    <w:left w:val="none" w:sz="0" w:space="0" w:color="auto"/>
                    <w:bottom w:val="none" w:sz="0" w:space="0" w:color="auto"/>
                    <w:right w:val="none" w:sz="0" w:space="0" w:color="auto"/>
                  </w:divBdr>
                  <w:divsChild>
                    <w:div w:id="2136368549">
                      <w:marLeft w:val="0"/>
                      <w:marRight w:val="0"/>
                      <w:marTop w:val="0"/>
                      <w:marBottom w:val="0"/>
                      <w:divBdr>
                        <w:top w:val="none" w:sz="0" w:space="0" w:color="auto"/>
                        <w:left w:val="none" w:sz="0" w:space="0" w:color="auto"/>
                        <w:bottom w:val="none" w:sz="0" w:space="0" w:color="auto"/>
                        <w:right w:val="none" w:sz="0" w:space="0" w:color="auto"/>
                      </w:divBdr>
                      <w:divsChild>
                        <w:div w:id="940265327">
                          <w:marLeft w:val="0"/>
                          <w:marRight w:val="0"/>
                          <w:marTop w:val="0"/>
                          <w:marBottom w:val="0"/>
                          <w:divBdr>
                            <w:top w:val="none" w:sz="0" w:space="0" w:color="auto"/>
                            <w:left w:val="none" w:sz="0" w:space="0" w:color="auto"/>
                            <w:bottom w:val="none" w:sz="0" w:space="0" w:color="auto"/>
                            <w:right w:val="none" w:sz="0" w:space="0" w:color="auto"/>
                          </w:divBdr>
                          <w:divsChild>
                            <w:div w:id="511992714">
                              <w:marLeft w:val="0"/>
                              <w:marRight w:val="0"/>
                              <w:marTop w:val="0"/>
                              <w:marBottom w:val="0"/>
                              <w:divBdr>
                                <w:top w:val="none" w:sz="0" w:space="0" w:color="auto"/>
                                <w:left w:val="none" w:sz="0" w:space="0" w:color="auto"/>
                                <w:bottom w:val="none" w:sz="0" w:space="0" w:color="auto"/>
                                <w:right w:val="none" w:sz="0" w:space="0" w:color="auto"/>
                              </w:divBdr>
                              <w:divsChild>
                                <w:div w:id="21396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2FA435B106243B587CD00A38FF32A" ma:contentTypeVersion="1" ma:contentTypeDescription="Create a new document." ma:contentTypeScope="" ma:versionID="9ca1f96f0de7228e8fbc8cafcc99467a">
  <xsd:schema xmlns:xsd="http://www.w3.org/2001/XMLSchema" xmlns:xs="http://www.w3.org/2001/XMLSchema" xmlns:p="http://schemas.microsoft.com/office/2006/metadata/properties" xmlns:ns2="519a324c-c87a-4454-928d-3b5a2f2a1d3c" xmlns:ns3="37f5a773-bf7c-4c4b-ace6-6d62900f0b29" targetNamespace="http://schemas.microsoft.com/office/2006/metadata/properties" ma:root="true" ma:fieldsID="2bff8e9bdb42cae5db1c1e22225d206f" ns2:_="" ns3:_="">
    <xsd:import namespace="519a324c-c87a-4454-928d-3b5a2f2a1d3c"/>
    <xsd:import namespace="37f5a773-bf7c-4c4b-ace6-6d62900f0b29"/>
    <xsd:element name="properties">
      <xsd:complexType>
        <xsd:sequence>
          <xsd:element name="documentManagement">
            <xsd:complexType>
              <xsd:all>
                <xsd:element ref="ns2:Office" minOccurs="0"/>
                <xsd:element ref="ns2:OI_x0020_Category" minOccurs="0"/>
                <xsd:element ref="ns2:Policy_x0020_Type" minOccurs="0"/>
                <xsd:element ref="ns3:Short_x0020_Title" minOccurs="0"/>
                <xsd:element ref="ns2:External"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a324c-c87a-4454-928d-3b5a2f2a1d3c" elementFormDefault="qualified">
    <xsd:import namespace="http://schemas.microsoft.com/office/2006/documentManagement/types"/>
    <xsd:import namespace="http://schemas.microsoft.com/office/infopath/2007/PartnerControls"/>
    <xsd:element name="Office" ma:index="8" nillable="true" ma:displayName="Office" ma:default="ODT" ma:internalName="Office">
      <xsd:complexType>
        <xsd:complexContent>
          <xsd:extension base="dms:MultiChoice">
            <xsd:sequence>
              <xsd:element name="Value" maxOccurs="unbounded" minOccurs="0" nillable="true">
                <xsd:simpleType>
                  <xsd:restriction base="dms:Choice">
                    <xsd:enumeration value="ODT"/>
                    <xsd:enumeration value="LO"/>
                    <xsd:enumeration value="OED"/>
                    <xsd:enumeration value="HR"/>
                    <xsd:enumeration value="CED"/>
                    <xsd:enumeration value="FM"/>
                  </xsd:restriction>
                </xsd:simpleType>
              </xsd:element>
            </xsd:sequence>
          </xsd:extension>
        </xsd:complexContent>
      </xsd:complexType>
    </xsd:element>
    <xsd:element name="OI_x0020_Category" ma:index="9" nillable="true" ma:displayName="Topic" ma:internalName="OI_x0020_Category">
      <xsd:complexType>
        <xsd:complexContent>
          <xsd:extension base="dms:MultiChoiceFillIn">
            <xsd:sequence>
              <xsd:element name="Value" maxOccurs="unbounded" minOccurs="0" nillable="true">
                <xsd:simpleType>
                  <xsd:union memberTypes="dms:Text">
                    <xsd:simpleType>
                      <xsd:restriction base="dms:Choice">
                        <xsd:enumeration value="Administrative Matters"/>
                        <xsd:enumeration value="Administrative Guidance"/>
                        <xsd:enumeration value="Computer Security"/>
                        <xsd:enumeration value="Email"/>
                        <xsd:enumeration value="Ethics &amp; Financial Reporting"/>
                        <xsd:enumeration value="Employee Rights &amp; Protections"/>
                        <xsd:enumeration value="Health &amp; Safety"/>
                        <xsd:enumeration value="Information Technology Resources"/>
                        <xsd:enumeration value="Leave &amp; Work Schedules"/>
                        <xsd:enumeration value="Mobile Computing"/>
                        <xsd:enumeration value="Pay &amp; Performance"/>
                        <xsd:enumeration value="Privacy and Data Management"/>
                        <xsd:enumeration value="Procurement"/>
                        <xsd:enumeration value="Records"/>
                        <xsd:enumeration value="Rulemaking"/>
                        <xsd:enumeration value="Security"/>
                        <xsd:enumeration value="Travel"/>
                        <xsd:enumeration value="Websites: Internal, External, and Public"/>
                      </xsd:restriction>
                    </xsd:simpleType>
                  </xsd:union>
                </xsd:simpleType>
              </xsd:element>
            </xsd:sequence>
          </xsd:extension>
        </xsd:complexContent>
      </xsd:complexType>
    </xsd:element>
    <xsd:element name="Policy_x0020_Type" ma:index="10" nillable="true" ma:displayName="Policy Type" ma:default="Policy" ma:format="Dropdown" ma:internalName="Policy_x0020_Type">
      <xsd:simpleType>
        <xsd:union memberTypes="dms:Text">
          <xsd:simpleType>
            <xsd:restriction base="dms:Choice">
              <xsd:enumeration value="Policy"/>
              <xsd:enumeration value="Guideline"/>
              <xsd:enumeration value="__Guidelines"/>
              <xsd:enumeration value="__Procedures"/>
              <xsd:enumeration value="Procedures"/>
            </xsd:restriction>
          </xsd:simpleType>
        </xsd:union>
      </xsd:simpleType>
    </xsd:element>
    <xsd:element name="External" ma:index="12" nillable="true" ma:displayName="External" ma:format="Hyperlink" ma:internalName="External">
      <xsd:complexType>
        <xsd:complexContent>
          <xsd:extension base="dms:URL">
            <xsd:sequence>
              <xsd:element name="Url" type="dms:ValidUrl" minOccurs="0" nillable="true"/>
              <xsd:element name="Description" type="xsd:string" nillable="true"/>
            </xsd:sequence>
          </xsd:extension>
        </xsd:complexContent>
      </xsd:complexType>
    </xsd:element>
    <xsd:element name="ShortDescription" ma:index="13" nillable="true" ma:displayName="ShortDescription" ma:internalName="Shor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5a773-bf7c-4c4b-ace6-6d62900f0b29" elementFormDefault="qualified">
    <xsd:import namespace="http://schemas.microsoft.com/office/2006/documentManagement/types"/>
    <xsd:import namespace="http://schemas.microsoft.com/office/infopath/2007/PartnerControls"/>
    <xsd:element name="Short_x0020_Title" ma:index="11" nillable="true" ma:displayName="Short Title" ma:description="short version of title for display in lists, etc. Maximum of 40 characters." ma:internalName="Short_x0020_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21;#Office of the Executive Director|44b51e04-d645-4c0b-aade-f0cf9ba119f7;#773;#information collection;#60;#Information Technology;#59;#Office of Data and Technology;#14;#All CFTC Locations|07b51532-ca12-475e-8433-c139a58bc2c8;#13;#All CFTC Staff;#771;#supporting statement;#769;#Paperwork Reduction Act;#598;#Guideline|acccf278-929a-4c72-8ad6-6437fa71ecc4]]></LongProp>
</LongProperties>
</file>

<file path=customXml/item4.xml><?xml version="1.0" encoding="utf-8"?>
<p:properties xmlns:p="http://schemas.microsoft.com/office/2006/metadata/properties" xmlns:xsi="http://www.w3.org/2001/XMLSchema-instance" xmlns:pc="http://schemas.microsoft.com/office/infopath/2007/PartnerControls">
  <documentManagement>
    <Office xmlns="519a324c-c87a-4454-928d-3b5a2f2a1d3c">
      <Value>ODT</Value>
    </Office>
    <Policy_x0020_Type xmlns="519a324c-c87a-4454-928d-3b5a2f2a1d3c">Guidelines</Policy_x0020_Type>
    <OI_x0020_Category xmlns="519a324c-c87a-4454-928d-3b5a2f2a1d3c">
      <Value>Rulemaking</Value>
    </OI_x0020_Category>
    <ShortDescription xmlns="519a324c-c87a-4454-928d-3b5a2f2a1d3c">Sample of the Supporting Statement required by OMB justifying any proposed collection of information subject to the Paperwork Reduction Act. 
</ShortDescription>
    <Short_x0020_Title xmlns="37f5a773-bf7c-4c4b-ace6-6d62900f0b29" xsi:nil="true"/>
    <External xmlns="519a324c-c87a-4454-928d-3b5a2f2a1d3c">
      <Url>http://cftcnet/Commission/Divisions-and-Offices/OGC/Documents/sample_pra-supportstatement.doc</Url>
      <Description>Supporting Statement for New and Revised Information Collections</Description>
    </Externa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2A4F4-25FF-4C38-B9B3-B317E38D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a324c-c87a-4454-928d-3b5a2f2a1d3c"/>
    <ds:schemaRef ds:uri="37f5a773-bf7c-4c4b-ace6-6d62900f0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7B520-7C19-4F1E-8F6D-3FC9C558FE4A}">
  <ds:schemaRefs>
    <ds:schemaRef ds:uri="http://schemas.microsoft.com/sharepoint/v3/contenttype/forms"/>
  </ds:schemaRefs>
</ds:datastoreItem>
</file>

<file path=customXml/itemProps3.xml><?xml version="1.0" encoding="utf-8"?>
<ds:datastoreItem xmlns:ds="http://schemas.openxmlformats.org/officeDocument/2006/customXml" ds:itemID="{B2C7AE76-4EAA-4DEC-94ED-B6F80488BBFE}">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E2A9D30-3D28-40BB-94E5-3E25073F6585}">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37f5a773-bf7c-4c4b-ace6-6d62900f0b29"/>
    <ds:schemaRef ds:uri="519a324c-c87a-4454-928d-3b5a2f2a1d3c"/>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D8F39D96-AA28-4D4E-A526-2EF4B473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3392</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22252</CharactersWithSpaces>
  <SharedDoc>false</SharedDoc>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supporting statement; information collection</cp:keywords>
  <cp:lastModifiedBy>GScott</cp:lastModifiedBy>
  <cp:revision>2</cp:revision>
  <dcterms:created xsi:type="dcterms:W3CDTF">2013-04-08T16:24:00Z</dcterms:created>
  <dcterms:modified xsi:type="dcterms:W3CDTF">2013-04-08T16:24:00Z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Paperwork Reduction Act|dcfe938f-281b-4329-b85e-6c1086beb829;information collection|966a1cd8-e91d-4f69-abce-162e324c6836;supporting statement|193f742d-a5ff-43e3-8bf9-ed025f07987e</vt:lpwstr>
  </property>
  <property fmtid="{D5CDD505-2E9C-101B-9397-08002B2CF9AE}" pid="3" name="TaxKeyword">
    <vt:lpwstr>769;#Paperwork Reduction Act|dcfe938f-281b-4329-b85e-6c1086beb829;#773;#information collection|966a1cd8-e91d-4f69-abce-162e324c6836;#771;#supporting statement|193f742d-a5ff-43e3-8bf9-ed025f07987e</vt:lpwstr>
  </property>
  <property fmtid="{D5CDD505-2E9C-101B-9397-08002B2CF9AE}" pid="4" name="TaxCatchAll">
    <vt:lpwstr>21;#Office of the Executive Director|44b51e04-d645-4c0b-aade-f0cf9ba119f7;#773;#information collection;#60;#Information Technology;#59;#Office of Data and Technology;#14;#All CFTC Locations|07b51532-ca12-475e-8433-c139a58bc2c8;#13;#All CFTC Staff;#771;#su</vt:lpwstr>
  </property>
  <property fmtid="{D5CDD505-2E9C-101B-9397-08002B2CF9AE}" pid="5" name="CFTC Location">
    <vt:lpwstr>14;#All CFTC Locations|07b51532-ca12-475e-8433-c139a58bc2c8</vt:lpwstr>
  </property>
  <property fmtid="{D5CDD505-2E9C-101B-9397-08002B2CF9AE}" pid="6" name="PublishingPageContent">
    <vt:lpwstr/>
  </property>
  <property fmtid="{D5CDD505-2E9C-101B-9397-08002B2CF9AE}" pid="7" name="ShowTabs">
    <vt:lpwstr>0</vt:lpwstr>
  </property>
  <property fmtid="{D5CDD505-2E9C-101B-9397-08002B2CF9AE}" pid="8" name="PublishingRollupImage">
    <vt:lpwstr/>
  </property>
  <property fmtid="{D5CDD505-2E9C-101B-9397-08002B2CF9AE}" pid="9" name="ShowAbout">
    <vt:lpwstr>0</vt:lpwstr>
  </property>
  <property fmtid="{D5CDD505-2E9C-101B-9397-08002B2CF9AE}" pid="10" name="Page Contacts">
    <vt:lpwstr/>
  </property>
  <property fmtid="{D5CDD505-2E9C-101B-9397-08002B2CF9AE}" pid="11" name="Language">
    <vt:lpwstr/>
  </property>
  <property fmtid="{D5CDD505-2E9C-101B-9397-08002B2CF9AE}" pid="12" name="Topic">
    <vt:lpwstr>Rulemaking</vt:lpwstr>
  </property>
  <property fmtid="{D5CDD505-2E9C-101B-9397-08002B2CF9AE}" pid="13" name="PublishingImageCaption">
    <vt:lpwstr/>
  </property>
  <property fmtid="{D5CDD505-2E9C-101B-9397-08002B2CF9AE}" pid="14" name="Located">
    <vt:lpwstr>14;#All CFTC Locations|07b51532-ca12-475e-8433-c139a58bc2c8</vt:lpwstr>
  </property>
  <property fmtid="{D5CDD505-2E9C-101B-9397-08002B2CF9AE}" pid="15" name="b4bb4b986e0a44a0a9411b2abc57f916">
    <vt:lpwstr>Guideline|acccf278-929a-4c72-8ad6-6437fa71ecc4</vt:lpwstr>
  </property>
  <property fmtid="{D5CDD505-2E9C-101B-9397-08002B2CF9AE}" pid="16" name="ShowRatings">
    <vt:lpwstr>0</vt:lpwstr>
  </property>
  <property fmtid="{D5CDD505-2E9C-101B-9397-08002B2CF9AE}" pid="17" name="ShowResources">
    <vt:lpwstr>0</vt:lpwstr>
  </property>
  <property fmtid="{D5CDD505-2E9C-101B-9397-08002B2CF9AE}" pid="18" name="From1">
    <vt:lpwstr>21;#Office of the Executive Director|44b51e04-d645-4c0b-aade-f0cf9ba119f7</vt:lpwstr>
  </property>
  <property fmtid="{D5CDD505-2E9C-101B-9397-08002B2CF9AE}" pid="19" name="p7ecdebd02384e98be869253b89d4fb0">
    <vt:lpwstr>All CFTC Locations|07b51532-ca12-475e-8433-c139a58bc2c8</vt:lpwstr>
  </property>
  <property fmtid="{D5CDD505-2E9C-101B-9397-08002B2CF9AE}" pid="20" name="PublishingPageImage">
    <vt:lpwstr/>
  </property>
  <property fmtid="{D5CDD505-2E9C-101B-9397-08002B2CF9AE}" pid="21" name="CFTC Type">
    <vt:lpwstr>598;#Guideline|acccf278-929a-4c72-8ad6-6437fa71ecc4</vt:lpwstr>
  </property>
  <property fmtid="{D5CDD505-2E9C-101B-9397-08002B2CF9AE}" pid="22" name="k3c9ad76739644c1894bbc499279e545">
    <vt:lpwstr>Information Technology|0a261eeb-60a5-4ca2-be5f-83cc10c8f22c</vt:lpwstr>
  </property>
  <property fmtid="{D5CDD505-2E9C-101B-9397-08002B2CF9AE}" pid="23" name="ee72ba57bc5643e9a5519ea43925ba2f">
    <vt:lpwstr>14;#All CFTC Locations|07b51532-ca12-475e-8433-c139a58bc2c8</vt:lpwstr>
  </property>
  <property fmtid="{D5CDD505-2E9C-101B-9397-08002B2CF9AE}" pid="24" name="jf3d9360dbf847029cb44cf2a7cc8e5c">
    <vt:lpwstr>21;#Office of the Executive Director|44b51e04-d645-4c0b-aade-f0cf9ba119f7</vt:lpwstr>
  </property>
  <property fmtid="{D5CDD505-2E9C-101B-9397-08002B2CF9AE}" pid="25" name="nbdc0facc3f6481f91140e086e98764d">
    <vt:lpwstr>Office of Data and Technology|f6d399d8-0f86-43fc-9265-d39a7c1275d1</vt:lpwstr>
  </property>
  <property fmtid="{D5CDD505-2E9C-101B-9397-08002B2CF9AE}" pid="26" name="b3a4ddb808af4c59b570ff7c833dee0f">
    <vt:lpwstr>All CFTC Staff|4f9c852f-d497-40c4-b357-3897abf65c10</vt:lpwstr>
  </property>
  <property fmtid="{D5CDD505-2E9C-101B-9397-08002B2CF9AE}" pid="27" name="Order">
    <vt:lpwstr>7300.00000000000</vt:lpwstr>
  </property>
  <property fmtid="{D5CDD505-2E9C-101B-9397-08002B2CF9AE}" pid="28" name="xd_Signature">
    <vt:lpwstr/>
  </property>
  <property fmtid="{D5CDD505-2E9C-101B-9397-08002B2CF9AE}" pid="29" name="xd_ProgID">
    <vt:lpwstr/>
  </property>
  <property fmtid="{D5CDD505-2E9C-101B-9397-08002B2CF9AE}" pid="30" name="TemplateUrl">
    <vt:lpwstr/>
  </property>
  <property fmtid="{D5CDD505-2E9C-101B-9397-08002B2CF9AE}" pid="31" name="ContentTypeId">
    <vt:lpwstr>0x010100B5B2FA435B106243B587CD00A38FF32A</vt:lpwstr>
  </property>
  <property fmtid="{D5CDD505-2E9C-101B-9397-08002B2CF9AE}" pid="32" name="PublishingStartDate">
    <vt:lpwstr/>
  </property>
  <property fmtid="{D5CDD505-2E9C-101B-9397-08002B2CF9AE}" pid="33" name="PublishingExpirationDate">
    <vt:lpwstr/>
  </property>
</Properties>
</file>