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</w:rPr>
      </w:pPr>
      <w:r>
        <w:rPr>
          <w:rFonts w:ascii="NewCenturySchlbk-Roman" w:hAnsi="NewCenturySchlbk-Roman" w:cs="NewCenturySchlbk-Roman"/>
        </w:rPr>
        <w:t>PUBLIC LAW 109–148—DEC. 30, 2005 119 STAT. 2781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Italic" w:hAnsi="NewCenturySchlbk-Italic" w:cs="NewCenturySchlbk-Italic"/>
          <w:i/>
          <w:iCs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heading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no later than 5 days before such waiver is made: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Italic" w:hAnsi="NewCenturySchlbk-Italic" w:cs="NewCenturySchlbk-Italic"/>
          <w:i/>
          <w:iCs/>
          <w:sz w:val="20"/>
          <w:szCs w:val="20"/>
        </w:rPr>
        <w:t>further</w:t>
      </w:r>
      <w:proofErr w:type="gramEnd"/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, </w:t>
      </w:r>
      <w:r>
        <w:rPr>
          <w:rFonts w:ascii="NewCenturySchlbk-Roman" w:hAnsi="NewCenturySchlbk-Roman" w:cs="NewCenturySchlbk-Roman"/>
          <w:sz w:val="20"/>
          <w:szCs w:val="20"/>
        </w:rPr>
        <w:t>That the Secretary shall establish procedures to prevent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recipients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from receiving any duplication of benefits and report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quarterly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the Committees on Appropriations with regard to all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steps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taken to prevent fraud and abuse of funds made available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Italic" w:hAnsi="NewCenturySchlbk-Italic" w:cs="NewCenturySchlbk-Italic"/>
          <w:i/>
          <w:iCs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heading including duplication of benefits: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further,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 the amounts provided under this heading are designated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 emergency requirement pursuant to section 402 of H. Con.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Res. 95 (109th Congress), the concurrent resolution on the budget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fiscal year 2006.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  <w:highlight w:val="lightGray"/>
        </w:rPr>
      </w:pP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A</w:t>
      </w:r>
      <w:r w:rsidRPr="00996ED2">
        <w:rPr>
          <w:rFonts w:ascii="NewCenturySchlbk-Roman" w:hAnsi="NewCenturySchlbk-Roman" w:cs="NewCenturySchlbk-Roman"/>
          <w:sz w:val="15"/>
          <w:szCs w:val="15"/>
          <w:highlight w:val="lightGray"/>
        </w:rPr>
        <w:t xml:space="preserve">DMINISTRATIVE </w:t>
      </w: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P</w:t>
      </w:r>
      <w:r w:rsidRPr="00996ED2">
        <w:rPr>
          <w:rFonts w:ascii="NewCenturySchlbk-Roman" w:hAnsi="NewCenturySchlbk-Roman" w:cs="NewCenturySchlbk-Roman"/>
          <w:sz w:val="15"/>
          <w:szCs w:val="15"/>
          <w:highlight w:val="lightGray"/>
        </w:rPr>
        <w:t>ROVISIONS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S</w:t>
      </w:r>
      <w:r w:rsidRPr="00996ED2">
        <w:rPr>
          <w:rFonts w:ascii="NewCenturySchlbk-Roman" w:hAnsi="NewCenturySchlbk-Roman" w:cs="NewCenturySchlbk-Roman"/>
          <w:sz w:val="15"/>
          <w:szCs w:val="15"/>
          <w:highlight w:val="lightGray"/>
        </w:rPr>
        <w:t>EC</w:t>
      </w: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. 901.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Notwithstanding provisions of the United States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Housing Act of 1937 (Public Law 93–383), in order to assist public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housing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agencies located within the most heavily impacted areas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of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Louisiana and Mississippi that are subject to a declaration by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the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President of a major disaster under the Robert T. Stafford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Disaster Relief and Emergency Assistance Act (42 U.S.C. 5121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et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seq.) </w:t>
      </w: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in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connection with Hurricane Katrina or Rita, the Secretary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for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calendar year 2006 may authorize a public housing agency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to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combine assistance provided under sections 9(d) and (e) of the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United States Housing Act of 1937 and assistance provided under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section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8(o) of such Act, for the purpose of facilitating the prompt,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flexible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and efficient use of funds provided under these sections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of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the Act to assist families who were receiving housing assistance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under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the Act immediately prior to Hurricane Katrina or Rita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and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were displaced from their housing by the hurricanes.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S</w:t>
      </w:r>
      <w:r w:rsidRPr="00996ED2">
        <w:rPr>
          <w:rFonts w:ascii="NewCenturySchlbk-Roman" w:hAnsi="NewCenturySchlbk-Roman" w:cs="NewCenturySchlbk-Roman"/>
          <w:sz w:val="15"/>
          <w:szCs w:val="15"/>
          <w:highlight w:val="lightGray"/>
        </w:rPr>
        <w:t>EC</w:t>
      </w: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. 902.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To the extent feasible the Secretary of Housing and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Urban Development shall preserve all housing within the area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declared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a major disaster under the Robert T. Stafford Disaster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Relief and Emergency Act (42 U.S.C. 5121 et seq.) resulting from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Hurricane Katrina or Rita that received project-based assistance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under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section 8 or 9 of the United States Housing Act of 1937,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section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801 or 811 of the Cranston-Gonzalez National Affordable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Housing Act, the AIDS Housing Opportunity Act, or the Stewart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B. McKinney Homeless Assistance Act: </w:t>
      </w:r>
      <w:r w:rsidRPr="00996ED2">
        <w:rPr>
          <w:rFonts w:ascii="NewCenturySchlbk-Italic" w:hAnsi="NewCenturySchlbk-Italic" w:cs="NewCenturySchlbk-Italic"/>
          <w:i/>
          <w:iCs/>
          <w:sz w:val="20"/>
          <w:szCs w:val="20"/>
          <w:highlight w:val="lightGray"/>
        </w:rPr>
        <w:t>Provided</w:t>
      </w:r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, That the Secretary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shall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report to the Committees on Appropriations on the status</w:t>
      </w:r>
    </w:p>
    <w:p w:rsidR="00996ED2" w:rsidRP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of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all such housing, including costs associated with any repair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>or</w:t>
      </w:r>
      <w:proofErr w:type="gramEnd"/>
      <w:r w:rsidRPr="00996ED2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rehabilitation, within 120 days of enactment of this Act.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JUDICIARY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  <w:szCs w:val="20"/>
        </w:rPr>
        <w:t>C</w:t>
      </w:r>
      <w:r>
        <w:rPr>
          <w:rFonts w:ascii="NewCenturySchlbk-Roman" w:hAnsi="NewCenturySchlbk-Roman" w:cs="NewCenturySchlbk-Roman"/>
          <w:sz w:val="15"/>
          <w:szCs w:val="15"/>
        </w:rPr>
        <w:t xml:space="preserve">OURTS OF </w:t>
      </w:r>
      <w:r>
        <w:rPr>
          <w:rFonts w:ascii="NewCenturySchlbk-Roman" w:hAnsi="NewCenturySchlbk-Roman" w:cs="NewCenturySchlbk-Roman"/>
          <w:sz w:val="20"/>
          <w:szCs w:val="20"/>
        </w:rPr>
        <w:t>A</w:t>
      </w:r>
      <w:r>
        <w:rPr>
          <w:rFonts w:ascii="NewCenturySchlbk-Roman" w:hAnsi="NewCenturySchlbk-Roman" w:cs="NewCenturySchlbk-Roman"/>
          <w:sz w:val="15"/>
          <w:szCs w:val="15"/>
        </w:rPr>
        <w:t>PPEALS</w:t>
      </w:r>
      <w:r>
        <w:rPr>
          <w:rFonts w:ascii="NewCenturySchlbk-Roman" w:hAnsi="NewCenturySchlbk-Roman" w:cs="NewCenturySchlbk-Roman"/>
          <w:sz w:val="20"/>
          <w:szCs w:val="20"/>
        </w:rPr>
        <w:t>, D</w:t>
      </w:r>
      <w:r>
        <w:rPr>
          <w:rFonts w:ascii="NewCenturySchlbk-Roman" w:hAnsi="NewCenturySchlbk-Roman" w:cs="NewCenturySchlbk-Roman"/>
          <w:sz w:val="15"/>
          <w:szCs w:val="15"/>
        </w:rPr>
        <w:t xml:space="preserve">ISTRICT </w:t>
      </w:r>
      <w:r>
        <w:rPr>
          <w:rFonts w:ascii="NewCenturySchlbk-Roman" w:hAnsi="NewCenturySchlbk-Roman" w:cs="NewCenturySchlbk-Roman"/>
          <w:sz w:val="20"/>
          <w:szCs w:val="20"/>
        </w:rPr>
        <w:t>C</w:t>
      </w:r>
      <w:r>
        <w:rPr>
          <w:rFonts w:ascii="NewCenturySchlbk-Roman" w:hAnsi="NewCenturySchlbk-Roman" w:cs="NewCenturySchlbk-Roman"/>
          <w:sz w:val="15"/>
          <w:szCs w:val="15"/>
        </w:rPr>
        <w:t>OURTS</w:t>
      </w:r>
      <w:r>
        <w:rPr>
          <w:rFonts w:ascii="NewCenturySchlbk-Roman" w:hAnsi="NewCenturySchlbk-Roman" w:cs="NewCenturySchlbk-Roman"/>
          <w:sz w:val="20"/>
          <w:szCs w:val="20"/>
        </w:rPr>
        <w:t xml:space="preserve">, </w:t>
      </w:r>
      <w:r>
        <w:rPr>
          <w:rFonts w:ascii="NewCenturySchlbk-Roman" w:hAnsi="NewCenturySchlbk-Roman" w:cs="NewCenturySchlbk-Roman"/>
          <w:sz w:val="15"/>
          <w:szCs w:val="15"/>
        </w:rPr>
        <w:t xml:space="preserve">AND </w:t>
      </w:r>
      <w:r>
        <w:rPr>
          <w:rFonts w:ascii="NewCenturySchlbk-Roman" w:hAnsi="NewCenturySchlbk-Roman" w:cs="NewCenturySchlbk-Roman"/>
          <w:sz w:val="20"/>
          <w:szCs w:val="20"/>
        </w:rPr>
        <w:t>O</w:t>
      </w:r>
      <w:r>
        <w:rPr>
          <w:rFonts w:ascii="NewCenturySchlbk-Roman" w:hAnsi="NewCenturySchlbk-Roman" w:cs="NewCenturySchlbk-Roman"/>
          <w:sz w:val="15"/>
          <w:szCs w:val="15"/>
        </w:rPr>
        <w:t xml:space="preserve">THER </w:t>
      </w:r>
      <w:r>
        <w:rPr>
          <w:rFonts w:ascii="NewCenturySchlbk-Roman" w:hAnsi="NewCenturySchlbk-Roman" w:cs="NewCenturySchlbk-Roman"/>
          <w:sz w:val="20"/>
          <w:szCs w:val="20"/>
        </w:rPr>
        <w:t>J</w:t>
      </w:r>
      <w:r>
        <w:rPr>
          <w:rFonts w:ascii="NewCenturySchlbk-Roman" w:hAnsi="NewCenturySchlbk-Roman" w:cs="NewCenturySchlbk-Roman"/>
          <w:sz w:val="15"/>
          <w:szCs w:val="15"/>
        </w:rPr>
        <w:t>UDICIAL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  <w:szCs w:val="20"/>
        </w:rPr>
        <w:t>S</w:t>
      </w:r>
      <w:r>
        <w:rPr>
          <w:rFonts w:ascii="NewCenturySchlbk-Roman" w:hAnsi="NewCenturySchlbk-Roman" w:cs="NewCenturySchlbk-Roman"/>
          <w:sz w:val="15"/>
          <w:szCs w:val="15"/>
        </w:rPr>
        <w:t>ERVICES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SALARIES AND EXPENSES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an additional amount for ‘‘Salaries and expenses, Courts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Appeals, District Courts, and Other Judicial Services’’,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$18,000,000, to remain available until expended, for necessary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expenses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related to the consequences of hurricanes in the Gulf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Mexico during calendar year 2005: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</w:t>
      </w:r>
      <w:r>
        <w:rPr>
          <w:rFonts w:ascii="NewCenturySchlbk-Roman" w:hAnsi="NewCenturySchlbk-Roman" w:cs="NewCenturySchlbk-Roman"/>
          <w:sz w:val="20"/>
          <w:szCs w:val="20"/>
        </w:rPr>
        <w:t>, That notwithstanding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other provision of law such sums shall be available</w:t>
      </w:r>
    </w:p>
    <w:p w:rsidR="00996ED2" w:rsidRDefault="00996ED2" w:rsidP="00996E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transfer to accounts within the Judiciary subject to approval</w:t>
      </w:r>
    </w:p>
    <w:p w:rsidR="006B34C2" w:rsidRDefault="00996ED2" w:rsidP="00996ED2"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Judiciary operating plan: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 the amount</w:t>
      </w:r>
    </w:p>
    <w:sectPr w:rsidR="006B34C2" w:rsidSect="00B03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ED2"/>
    <w:rsid w:val="008911FE"/>
    <w:rsid w:val="00996ED2"/>
    <w:rsid w:val="00B0318E"/>
    <w:rsid w:val="00E6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2559</Characters>
  <Application>Microsoft Office Word</Application>
  <DocSecurity>0</DocSecurity>
  <Lines>21</Lines>
  <Paragraphs>6</Paragraphs>
  <ScaleCrop>false</ScaleCrop>
  <Company>Housing and Urban Development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Preferred User</cp:lastModifiedBy>
  <cp:revision>1</cp:revision>
  <dcterms:created xsi:type="dcterms:W3CDTF">2009-07-07T14:08:00Z</dcterms:created>
  <dcterms:modified xsi:type="dcterms:W3CDTF">2009-07-07T14:10:00Z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1933752763</vt:i4>
  </property>
  <property fmtid="{D5CDD505-2E9C-101B-9397-08002B2CF9AE}" pid="3" name="_NewReviewCycle">
    <vt:lpwstr/>
  </property>
  <property fmtid="{D5CDD505-2E9C-101B-9397-08002B2CF9AE}" pid="4" name="_EmailSubject">
    <vt:lpwstr>Section 901 PRA Extension Packet</vt:lpwstr>
  </property>
  <property fmtid="{D5CDD505-2E9C-101B-9397-08002B2CF9AE}" pid="5" name="_AuthorEmail">
    <vt:lpwstr>sherry.fobearmccown@hud.gov</vt:lpwstr>
  </property>
  <property fmtid="{D5CDD505-2E9C-101B-9397-08002B2CF9AE}" pid="6" name="_AuthorEmailDisplayName">
    <vt:lpwstr>Fobear-McCown, Sherry</vt:lpwstr>
  </property>
</Properties>
</file>