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0575DD"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Default="00632A47">
      <w:pPr>
        <w:rPr>
          <w:color w:val="000000"/>
        </w:rPr>
      </w:pPr>
      <w:r w:rsidRPr="00632A47">
        <w:rPr>
          <w:b/>
        </w:rPr>
        <w:t>NESHAP for Area Sources: Polyvinyl Chloride and Copolymer Production, Primary Copper Smelting, Secondary Copper Smelting, and Primary Nonferrous Metals--Zinc, Cadmium, and Beryllium</w:t>
      </w:r>
      <w:r>
        <w:rPr>
          <w:b/>
        </w:rPr>
        <w:t xml:space="preserve"> </w:t>
      </w:r>
      <w:r w:rsidRPr="00632A47">
        <w:rPr>
          <w:b/>
        </w:rPr>
        <w:t>(Renewal)</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AC2B0D" w:rsidRDefault="00632A47">
      <w:pPr>
        <w:rPr>
          <w:bCs/>
          <w:color w:val="000000"/>
        </w:rPr>
      </w:pPr>
      <w:r w:rsidRPr="00632A47">
        <w:t>NESHAP for Area Sources: Polyvinyl Chloride and Copolymer Production, Primary Copper Smelting, Secondary Copper Smelting, and Primary Nonferrous Metals--Zinc, Cadmium, and Beryllium (Renewal)</w:t>
      </w:r>
      <w:r w:rsidR="002B29A5" w:rsidRPr="004C5E95">
        <w:rPr>
          <w:bCs/>
        </w:rPr>
        <w:t>, EPA ICR Number</w:t>
      </w:r>
      <w:r w:rsidR="00B21F60">
        <w:rPr>
          <w:bCs/>
        </w:rPr>
        <w:t xml:space="preserve"> 2240.04</w:t>
      </w:r>
      <w:r w:rsidR="008E5CAF" w:rsidRPr="008E5CAF">
        <w:rPr>
          <w:bCs/>
        </w:rPr>
        <w:t>,</w:t>
      </w:r>
      <w:r w:rsidR="002B29A5">
        <w:rPr>
          <w:bCs/>
          <w:color w:val="FF0000"/>
        </w:rPr>
        <w:t xml:space="preserve"> </w:t>
      </w:r>
      <w:r w:rsidR="002B29A5" w:rsidRPr="004C5E95">
        <w:rPr>
          <w:bCs/>
        </w:rPr>
        <w:t>OMB Control Number 2060-</w:t>
      </w:r>
      <w:r w:rsidR="00B21F60">
        <w:rPr>
          <w:bCs/>
        </w:rPr>
        <w:t>0596</w:t>
      </w:r>
      <w:r w:rsidR="008E5CAF" w:rsidRPr="008E5CAF">
        <w:rPr>
          <w:bCs/>
        </w:rPr>
        <w:t>.</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8D7EBB" w:rsidRDefault="00CA4CD6" w:rsidP="008D7EBB">
      <w:pPr>
        <w:ind w:firstLine="720"/>
        <w:rPr>
          <w:color w:val="000000"/>
        </w:rPr>
      </w:pPr>
      <w:r>
        <w:rPr>
          <w:color w:val="000000"/>
        </w:rPr>
        <w:t>The</w:t>
      </w:r>
      <w:r w:rsidR="00B21F60">
        <w:rPr>
          <w:color w:val="000000"/>
        </w:rPr>
        <w:t xml:space="preserve"> </w:t>
      </w:r>
      <w:r w:rsidR="008E5CAF" w:rsidRPr="008E5CAF">
        <w:t xml:space="preserve">National Emission Standards for Hazardous Air Pollutants (NESHAP) </w:t>
      </w:r>
      <w:r>
        <w:rPr>
          <w:color w:val="000000"/>
        </w:rPr>
        <w:t xml:space="preserve">for </w:t>
      </w:r>
      <w:r w:rsidR="007457BE" w:rsidRPr="00632A47">
        <w:t xml:space="preserve">Area Sources: Polyvinyl Chloride </w:t>
      </w:r>
      <w:r w:rsidR="00151B9C">
        <w:t xml:space="preserve">(PVC) </w:t>
      </w:r>
      <w:r w:rsidR="007457BE" w:rsidRPr="00632A47">
        <w:t>and Copolymer Production, Primary Copper Smelting, Secondary Copper Smelting, and Primary Nonferrous Metals--Zinc, Cadmium, and Beryllium</w:t>
      </w:r>
      <w:r w:rsidR="007457BE">
        <w:rPr>
          <w:color w:val="000000"/>
        </w:rPr>
        <w:t xml:space="preserve"> </w:t>
      </w:r>
      <w:r>
        <w:rPr>
          <w:color w:val="000000"/>
        </w:rPr>
        <w:t xml:space="preserve">were proposed on </w:t>
      </w:r>
      <w:r w:rsidR="009D3800">
        <w:rPr>
          <w:color w:val="000000"/>
        </w:rPr>
        <w:t>October 6, 2006</w:t>
      </w:r>
      <w:r>
        <w:rPr>
          <w:color w:val="000000"/>
        </w:rPr>
        <w:t xml:space="preserve">, and promulgated on </w:t>
      </w:r>
      <w:r w:rsidR="009D3800">
        <w:rPr>
          <w:color w:val="000000"/>
        </w:rPr>
        <w:t>January 23, 2007</w:t>
      </w:r>
      <w:r>
        <w:rPr>
          <w:color w:val="000000"/>
        </w:rPr>
        <w:t xml:space="preserve">.  These regulations apply to </w:t>
      </w:r>
      <w:r w:rsidR="009907F6">
        <w:rPr>
          <w:color w:val="000000"/>
        </w:rPr>
        <w:t xml:space="preserve">new or existing polyvinyl chloride and copolymer production, (subpart DDDDDD), </w:t>
      </w:r>
      <w:r w:rsidR="004874BA">
        <w:rPr>
          <w:color w:val="000000"/>
        </w:rPr>
        <w:t xml:space="preserve"> </w:t>
      </w:r>
      <w:r w:rsidR="009D3800">
        <w:rPr>
          <w:color w:val="000000"/>
        </w:rPr>
        <w:t xml:space="preserve">new and </w:t>
      </w:r>
      <w:r>
        <w:rPr>
          <w:color w:val="000000"/>
        </w:rPr>
        <w:t xml:space="preserve">existing </w:t>
      </w:r>
      <w:r w:rsidR="009D3800">
        <w:rPr>
          <w:color w:val="000000"/>
        </w:rPr>
        <w:t>primary copper smelters</w:t>
      </w:r>
      <w:r w:rsidR="00DA6080">
        <w:rPr>
          <w:color w:val="000000"/>
        </w:rPr>
        <w:t xml:space="preserve"> (subpart EEEEEE)</w:t>
      </w:r>
      <w:r w:rsidR="009D3800">
        <w:rPr>
          <w:color w:val="000000"/>
        </w:rPr>
        <w:t>, new secondary copper smelters</w:t>
      </w:r>
      <w:r w:rsidR="00DA6080">
        <w:rPr>
          <w:color w:val="000000"/>
        </w:rPr>
        <w:t xml:space="preserve"> (subpart FFFFFF)</w:t>
      </w:r>
      <w:r w:rsidR="009D3800">
        <w:rPr>
          <w:color w:val="000000"/>
        </w:rPr>
        <w:t xml:space="preserve">, and new or existing primary zinc production facilities </w:t>
      </w:r>
      <w:r w:rsidR="00DA6080">
        <w:rPr>
          <w:color w:val="000000"/>
        </w:rPr>
        <w:t xml:space="preserve">(subpart GGGGGG) </w:t>
      </w:r>
      <w:r w:rsidR="009D3800">
        <w:rPr>
          <w:color w:val="000000"/>
        </w:rPr>
        <w:t xml:space="preserve">that are an area source of hazardous air pollutant (HAP) emissions.  </w:t>
      </w:r>
      <w:r w:rsidR="00500834">
        <w:rPr>
          <w:color w:val="000000"/>
        </w:rPr>
        <w:t xml:space="preserve">New facilities include those that commenced construction or reconstruction after the date of proposal.  This information is being collected to assure compliance with 40 CFR </w:t>
      </w:r>
      <w:proofErr w:type="gramStart"/>
      <w:r w:rsidR="00500834">
        <w:rPr>
          <w:color w:val="000000"/>
        </w:rPr>
        <w:t>part</w:t>
      </w:r>
      <w:proofErr w:type="gramEnd"/>
      <w:r w:rsidR="00500834">
        <w:rPr>
          <w:color w:val="000000"/>
        </w:rPr>
        <w:t xml:space="preserve"> 63, subpart</w:t>
      </w:r>
      <w:r w:rsidR="00456CE7">
        <w:rPr>
          <w:color w:val="000000"/>
        </w:rPr>
        <w:t>s</w:t>
      </w:r>
      <w:r w:rsidR="00500834">
        <w:rPr>
          <w:color w:val="000000"/>
        </w:rPr>
        <w:t xml:space="preserve"> </w:t>
      </w:r>
      <w:r w:rsidR="00DA6080">
        <w:rPr>
          <w:color w:val="000000"/>
        </w:rPr>
        <w:t xml:space="preserve">DDDDDD, </w:t>
      </w:r>
      <w:r w:rsidR="00500834">
        <w:rPr>
          <w:color w:val="000000"/>
        </w:rPr>
        <w:t>EEEEEE, FFFFFF, and GGGGGG.</w:t>
      </w:r>
      <w:r w:rsidR="008D7EBB">
        <w:rPr>
          <w:color w:val="000000"/>
        </w:rPr>
        <w:t xml:space="preserve">  </w:t>
      </w:r>
    </w:p>
    <w:p w:rsidR="008D7EBB" w:rsidRDefault="008D7EBB" w:rsidP="008D7EBB">
      <w:pPr>
        <w:ind w:firstLine="720"/>
        <w:rPr>
          <w:color w:val="000000"/>
        </w:rPr>
      </w:pPr>
    </w:p>
    <w:p w:rsidR="007452A5" w:rsidRPr="007452A5" w:rsidRDefault="00DA6080" w:rsidP="007452A5">
      <w:pPr>
        <w:ind w:firstLine="720"/>
      </w:pPr>
      <w:r>
        <w:rPr>
          <w:color w:val="000000"/>
        </w:rPr>
        <w:t xml:space="preserve">The </w:t>
      </w:r>
      <w:r w:rsidR="007452A5">
        <w:rPr>
          <w:color w:val="000000"/>
        </w:rPr>
        <w:t xml:space="preserve">2007 </w:t>
      </w:r>
      <w:r>
        <w:rPr>
          <w:color w:val="000000"/>
        </w:rPr>
        <w:t xml:space="preserve">final area source rules </w:t>
      </w:r>
      <w:r w:rsidR="009D3800">
        <w:t xml:space="preserve">for </w:t>
      </w:r>
      <w:r w:rsidR="00151B9C">
        <w:t>PVC</w:t>
      </w:r>
      <w:r w:rsidR="009D3800">
        <w:t xml:space="preserve"> and copolymer production in 40 CFR part 63, subpart DDDDDD</w:t>
      </w:r>
      <w:r w:rsidR="00396871">
        <w:t>,</w:t>
      </w:r>
      <w:r w:rsidR="009D3800">
        <w:t xml:space="preserve"> and primary beryllium production facilities (part of the primary nonferrous metals category) in </w:t>
      </w:r>
      <w:r w:rsidR="009D3800" w:rsidRPr="006101BB">
        <w:t>sections</w:t>
      </w:r>
      <w:r w:rsidR="009D3800">
        <w:rPr>
          <w:rFonts w:ascii="Courier New" w:hAnsi="Courier New" w:cs="Courier New"/>
        </w:rPr>
        <w:t xml:space="preserve"> </w:t>
      </w:r>
      <w:r w:rsidR="009D3800">
        <w:t xml:space="preserve">63.11165 and 63.11166 of 40 CFR part 63, subpart GGGGGG do not impose any new information collection burden.  </w:t>
      </w:r>
      <w:r w:rsidR="008D7EBB">
        <w:t xml:space="preserve">New and existing </w:t>
      </w:r>
      <w:r w:rsidR="00757844">
        <w:t>PVC</w:t>
      </w:r>
      <w:r w:rsidR="008D7EBB">
        <w:t xml:space="preserve"> and copolymer plants that are area sources are required to comply with the same testing, monitoring, recordkeeping, and reporting requirements as those in the National Emission Standard for </w:t>
      </w:r>
      <w:r w:rsidR="004874BA">
        <w:t xml:space="preserve">   </w:t>
      </w:r>
      <w:r w:rsidR="008D7EBB">
        <w:t xml:space="preserve">Vinyl Chloride (40 CFR part 61, subpart F).  The Office of Management and Budget (OMB) </w:t>
      </w:r>
      <w:r w:rsidR="004874BA">
        <w:t xml:space="preserve">  </w:t>
      </w:r>
      <w:r w:rsidR="008D7EBB">
        <w:t xml:space="preserve">has previously approved the information collection requirements in 40 CFR </w:t>
      </w:r>
      <w:proofErr w:type="gramStart"/>
      <w:r w:rsidR="008D7EBB">
        <w:t>part</w:t>
      </w:r>
      <w:proofErr w:type="gramEnd"/>
      <w:r w:rsidR="008D7EBB">
        <w:t xml:space="preserve"> 61, subpart F (OMB control number 2060-0071, EPA ICR number 0186.10).  New and existing primary beryllium production facilities that are area sources are required to comply with the same testing, monitoring, recordkeeping, and reporting requirements as those in the National Emission Standard for Beryllium (40 CFR part 61, subpart C).  OMB has previously approved the information collection requirements in 40 CFR </w:t>
      </w:r>
      <w:proofErr w:type="gramStart"/>
      <w:r w:rsidR="008D7EBB">
        <w:t>part</w:t>
      </w:r>
      <w:proofErr w:type="gramEnd"/>
      <w:r w:rsidR="008D7EBB">
        <w:t xml:space="preserve"> 61, subpart C (OMB control number 2060-0092, EPA ICR number 0193.08).</w:t>
      </w:r>
      <w:r w:rsidR="007452A5">
        <w:t xml:space="preserve">  </w:t>
      </w:r>
      <w:r w:rsidR="00472AFD">
        <w:t xml:space="preserve">Additionally, </w:t>
      </w:r>
      <w:r w:rsidR="003B40F7">
        <w:t xml:space="preserve">sources </w:t>
      </w:r>
      <w:r w:rsidR="00472AFD">
        <w:t xml:space="preserve">under subpart DDDDDD are also subject to the </w:t>
      </w:r>
      <w:r w:rsidR="003B40F7">
        <w:t xml:space="preserve">NESHAP for </w:t>
      </w:r>
      <w:r w:rsidR="00151B9C">
        <w:t>PVC</w:t>
      </w:r>
      <w:r w:rsidR="003B40F7">
        <w:t xml:space="preserve"> and Copolymers Production </w:t>
      </w:r>
      <w:r w:rsidR="007452A5">
        <w:t>promulgated on April 17, 2012</w:t>
      </w:r>
      <w:r w:rsidR="00472AFD">
        <w:t xml:space="preserve">; </w:t>
      </w:r>
      <w:r w:rsidR="004874BA">
        <w:t xml:space="preserve"> </w:t>
      </w:r>
      <w:r w:rsidR="00472AFD">
        <w:t>the burdens associated with the 2012 rule</w:t>
      </w:r>
      <w:r w:rsidR="007452A5">
        <w:t xml:space="preserve"> is covered under</w:t>
      </w:r>
      <w:r w:rsidR="00472AFD">
        <w:t xml:space="preserve"> EPA</w:t>
      </w:r>
      <w:r w:rsidR="007452A5">
        <w:t xml:space="preserve"> ICR </w:t>
      </w:r>
      <w:r w:rsidR="00472AFD">
        <w:t xml:space="preserve">number </w:t>
      </w:r>
      <w:r w:rsidR="007452A5">
        <w:t xml:space="preserve">2454.01 for the </w:t>
      </w:r>
      <w:r w:rsidR="004874BA">
        <w:t xml:space="preserve"> </w:t>
      </w:r>
      <w:r w:rsidR="007452A5">
        <w:t xml:space="preserve">two area sources. </w:t>
      </w:r>
    </w:p>
    <w:p w:rsidR="00CA4CD6" w:rsidRDefault="00CA4CD6">
      <w:pPr>
        <w:rPr>
          <w:color w:val="000000"/>
        </w:rPr>
      </w:pPr>
    </w:p>
    <w:p w:rsidR="00CA4CD6" w:rsidRDefault="00CA4CD6">
      <w:pPr>
        <w:ind w:firstLine="720"/>
        <w:rPr>
          <w:color w:val="000000"/>
        </w:rPr>
      </w:pPr>
      <w:r>
        <w:rPr>
          <w:color w:val="000000"/>
        </w:rPr>
        <w:lastRenderedPageBreak/>
        <w:t xml:space="preserve">In general, all </w:t>
      </w:r>
      <w:r w:rsidR="00B21F60">
        <w:rPr>
          <w:color w:val="000000"/>
        </w:rPr>
        <w:t>NESHAP</w:t>
      </w:r>
      <w:r>
        <w:rPr>
          <w:color w:val="000000"/>
        </w:rPr>
        <w:t xml:space="preserve"> standards require initial notifications, performance tests, </w:t>
      </w:r>
      <w:r w:rsidR="004E34F8">
        <w:rPr>
          <w:color w:val="000000"/>
        </w:rPr>
        <w:t xml:space="preserve">        </w:t>
      </w:r>
      <w:r>
        <w:rPr>
          <w:color w:val="000000"/>
        </w:rPr>
        <w:t xml:space="preserve">and periodic reports by the owners/operators of the affected facilities.  They are also required </w:t>
      </w:r>
      <w:r w:rsidR="004E34F8">
        <w:rPr>
          <w:color w:val="000000"/>
        </w:rPr>
        <w:t xml:space="preserve">   </w:t>
      </w:r>
      <w:r>
        <w:rPr>
          <w:color w:val="000000"/>
        </w:rPr>
        <w:t xml:space="preserve">to maintain records of the occurrence and duration of any startup, shutdown, or malfunction </w:t>
      </w:r>
      <w:r w:rsidR="004E34F8">
        <w:rPr>
          <w:color w:val="000000"/>
        </w:rPr>
        <w:t xml:space="preserve">     </w:t>
      </w:r>
      <w:r>
        <w:rPr>
          <w:color w:val="000000"/>
        </w:rPr>
        <w:t>in</w:t>
      </w:r>
      <w:r w:rsidR="004E34F8">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B21F60">
        <w:rPr>
          <w:color w:val="000000"/>
        </w:rPr>
        <w:t>NESHAP.</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AC2B0D">
        <w:rPr>
          <w:color w:val="000000"/>
        </w:rPr>
        <w:t xml:space="preserve"> five</w:t>
      </w:r>
      <w:r>
        <w:rPr>
          <w:color w:val="000000"/>
        </w:rPr>
        <w:t xml:space="preserve"> years following the date of such measurements, maintenance reports, and records.  All reports are sent to the delegated state or local authority.  </w:t>
      </w:r>
      <w:r w:rsidR="004E34F8">
        <w:rPr>
          <w:color w:val="000000"/>
        </w:rPr>
        <w:t xml:space="preserve"> </w:t>
      </w:r>
      <w:r>
        <w:rPr>
          <w:color w:val="000000"/>
        </w:rPr>
        <w:t>In the event that there is no such delegated authority, the reports are sent directly to the U</w:t>
      </w:r>
      <w:r w:rsidR="004E34F8">
        <w:rPr>
          <w:color w:val="000000"/>
        </w:rPr>
        <w:t>.</w:t>
      </w:r>
      <w:r>
        <w:rPr>
          <w:color w:val="000000"/>
        </w:rPr>
        <w:t xml:space="preserve"> S</w:t>
      </w:r>
      <w:r w:rsidR="004E34F8">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003FB3">
        <w:rPr>
          <w:color w:val="000000"/>
        </w:rPr>
        <w:t>is an average</w:t>
      </w:r>
      <w:r>
        <w:rPr>
          <w:color w:val="000000"/>
        </w:rPr>
        <w:t xml:space="preserve"> of </w:t>
      </w:r>
      <w:r w:rsidR="000B1F13">
        <w:rPr>
          <w:color w:val="000000"/>
        </w:rPr>
        <w:t xml:space="preserve">one </w:t>
      </w:r>
      <w:r>
        <w:rPr>
          <w:color w:val="000000"/>
        </w:rPr>
        <w:t>affected facilit</w:t>
      </w:r>
      <w:r w:rsidR="00003FB3">
        <w:rPr>
          <w:color w:val="000000"/>
        </w:rPr>
        <w:t>y</w:t>
      </w:r>
      <w:r>
        <w:rPr>
          <w:color w:val="000000"/>
        </w:rPr>
        <w:t xml:space="preserve">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0B1F13">
        <w:rPr>
          <w:color w:val="000000"/>
        </w:rPr>
        <w:t xml:space="preserve">five </w:t>
      </w:r>
      <w:r w:rsidR="00CA4CD6">
        <w:rPr>
          <w:color w:val="000000"/>
        </w:rPr>
        <w:t xml:space="preserve">respondents </w:t>
      </w:r>
      <w:r>
        <w:rPr>
          <w:color w:val="000000"/>
        </w:rPr>
        <w:t>per year will be subject to the standard</w:t>
      </w:r>
      <w:r w:rsidR="00CA4CD6">
        <w:rPr>
          <w:color w:val="000000"/>
        </w:rPr>
        <w:t xml:space="preserve">, and </w:t>
      </w:r>
      <w:r w:rsidR="000B1F13">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r w:rsidR="00CF7744">
        <w:rPr>
          <w:color w:val="000000"/>
        </w:rPr>
        <w:t>Of the</w:t>
      </w:r>
      <w:r w:rsidR="004E34F8">
        <w:rPr>
          <w:color w:val="000000"/>
        </w:rPr>
        <w:t>se</w:t>
      </w:r>
      <w:r w:rsidR="00CF7744">
        <w:rPr>
          <w:color w:val="000000"/>
        </w:rPr>
        <w:t xml:space="preserve"> five facilities</w:t>
      </w:r>
      <w:r w:rsidR="00DA6080">
        <w:rPr>
          <w:color w:val="000000"/>
        </w:rPr>
        <w:t>,</w:t>
      </w:r>
      <w:r w:rsidR="00CF7744">
        <w:rPr>
          <w:color w:val="000000"/>
        </w:rPr>
        <w:t xml:space="preserve"> three are primary copper smelters and two are primary zinc smelters.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F7744" w:rsidRDefault="008E5CAF">
      <w:pPr>
        <w:pBdr>
          <w:top w:val="single" w:sz="6" w:space="0" w:color="FFFFFF"/>
          <w:left w:val="single" w:sz="6" w:space="0" w:color="FFFFFF"/>
          <w:bottom w:val="single" w:sz="6" w:space="0" w:color="FFFFFF"/>
          <w:right w:val="single" w:sz="6" w:space="0" w:color="FFFFFF"/>
        </w:pBdr>
        <w:ind w:firstLine="720"/>
      </w:pPr>
      <w:r w:rsidRPr="008E5CAF">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8E5CAF" w:rsidRPr="008E5CAF" w:rsidRDefault="00604EA6" w:rsidP="008E5CAF">
      <w:pPr>
        <w:pBdr>
          <w:top w:val="single" w:sz="6" w:space="0" w:color="FFFFFF"/>
          <w:left w:val="single" w:sz="6" w:space="0" w:color="FFFFFF"/>
          <w:bottom w:val="single" w:sz="6" w:space="0" w:color="FFFFFF"/>
          <w:right w:val="single" w:sz="6" w:space="0" w:color="FFFFFF"/>
        </w:pBdr>
        <w:ind w:firstLine="720"/>
      </w:pPr>
      <w:r w:rsidRPr="00604EA6">
        <w:t>None of the facilities in the United States are owned by state, local, tribal or the Federal government.  They are all privately</w:t>
      </w:r>
      <w:r w:rsidR="00E96E66">
        <w:t>-</w:t>
      </w:r>
      <w:r w:rsidRPr="00604EA6">
        <w:t>owned</w:t>
      </w:r>
      <w:r w:rsidR="004E34F8">
        <w:t>,</w:t>
      </w:r>
      <w:r w:rsidRPr="00604EA6">
        <w:t xml:space="preserve"> for-profit businesses.  </w:t>
      </w:r>
      <w:r w:rsidR="008E5CAF" w:rsidRPr="008E5CAF">
        <w:t xml:space="preserve">The burden to the “Affected Public” may be found </w:t>
      </w:r>
      <w:r w:rsidR="00396871">
        <w:t xml:space="preserve">below </w:t>
      </w:r>
      <w:r w:rsidR="008E5CAF" w:rsidRPr="008E5CAF">
        <w:t>in Table 1: Annual Respondent Burden and Cost –</w:t>
      </w:r>
      <w:r w:rsidR="00DA6080">
        <w:t xml:space="preserve"> </w:t>
      </w:r>
      <w:r w:rsidRPr="00604EA6">
        <w:t xml:space="preserve">NESHAP for </w:t>
      </w:r>
      <w:r w:rsidRPr="00604EA6">
        <w:rPr>
          <w:bCs/>
        </w:rPr>
        <w:t xml:space="preserve">Area Sources: </w:t>
      </w:r>
      <w:r w:rsidR="00757844">
        <w:rPr>
          <w:bCs/>
        </w:rPr>
        <w:t>PVC</w:t>
      </w:r>
      <w:r w:rsidRPr="00604EA6">
        <w:rPr>
          <w:bCs/>
        </w:rPr>
        <w:t xml:space="preserve"> and Copolymer Production, Primary Copper Smelting, Secondary Copper Smelting, and Primary Nonferrous Metals—Zinc, Cadmium, and Beryllium (Renewal)</w:t>
      </w:r>
      <w:r w:rsidR="008E5CAF" w:rsidRPr="008E5CAF">
        <w:t xml:space="preserve">.  The burden to the Federal </w:t>
      </w:r>
      <w:r w:rsidR="004E34F8">
        <w:t>g</w:t>
      </w:r>
      <w:r w:rsidR="008E5CAF" w:rsidRPr="008E5CAF">
        <w:t>overnment is attributed entirely to work performed by</w:t>
      </w:r>
      <w:r w:rsidR="004E34F8">
        <w:t xml:space="preserve"> either</w:t>
      </w:r>
      <w:r w:rsidR="008E5CAF" w:rsidRPr="008E5CAF">
        <w:t xml:space="preserve"> </w:t>
      </w:r>
      <w:r w:rsidR="004E34F8">
        <w:t>F</w:t>
      </w:r>
      <w:r w:rsidR="008E5CAF" w:rsidRPr="008E5CAF">
        <w:t xml:space="preserve">ederal employees or government contractors and may be found </w:t>
      </w:r>
      <w:r w:rsidR="00396871">
        <w:t xml:space="preserve">below </w:t>
      </w:r>
      <w:r w:rsidR="008E5CAF" w:rsidRPr="008E5CAF">
        <w:t>in Table 2: Average Annual EPA Burden and Cost –</w:t>
      </w:r>
      <w:r w:rsidRPr="00604EA6">
        <w:t xml:space="preserve">NESHAP for </w:t>
      </w:r>
      <w:r w:rsidRPr="00604EA6">
        <w:rPr>
          <w:bCs/>
        </w:rPr>
        <w:t>Area Sources: P</w:t>
      </w:r>
      <w:r w:rsidR="00757844">
        <w:rPr>
          <w:bCs/>
        </w:rPr>
        <w:t>V</w:t>
      </w:r>
      <w:r w:rsidRPr="00604EA6">
        <w:rPr>
          <w:bCs/>
        </w:rPr>
        <w:t>C and Copolymer Production, Primary Copper Smelting, Secondary Copper Smelting, and Primary Nonferrous Metals—Zinc, Cadmium, and Beryllium (Renewal)</w:t>
      </w:r>
      <w:r w:rsidR="008E5CAF" w:rsidRPr="008E5CAF">
        <w:t xml:space="preserve">.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83E2B" w:rsidRDefault="008E5CAF">
      <w:pPr>
        <w:pBdr>
          <w:top w:val="single" w:sz="6" w:space="0" w:color="FFFFFF"/>
          <w:left w:val="single" w:sz="6" w:space="0" w:color="FFFFFF"/>
          <w:bottom w:val="single" w:sz="6" w:space="0" w:color="FFFFFF"/>
          <w:right w:val="single" w:sz="6" w:space="0" w:color="FFFFFF"/>
        </w:pBdr>
        <w:ind w:firstLine="720"/>
      </w:pPr>
      <w:r w:rsidRPr="008E5CAF">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183E2B">
        <w:t xml:space="preserve"> </w:t>
      </w:r>
      <w:r w:rsidRPr="008E5CAF">
        <w:t xml:space="preserve"> In addition, section 114(a) states that the Administrator may require any owner/operator subject to any requirement of this Act to: </w:t>
      </w:r>
    </w:p>
    <w:p w:rsidR="00CA4CD6" w:rsidRPr="00183E2B" w:rsidRDefault="00CA4CD6">
      <w:pPr>
        <w:pBdr>
          <w:top w:val="single" w:sz="6" w:space="0" w:color="FFFFFF"/>
          <w:left w:val="single" w:sz="6" w:space="0" w:color="FFFFFF"/>
          <w:bottom w:val="single" w:sz="6" w:space="0" w:color="FFFFFF"/>
          <w:right w:val="single" w:sz="6" w:space="0" w:color="FFFFFF"/>
        </w:pBdr>
      </w:pPr>
    </w:p>
    <w:p w:rsidR="00CA4CD6" w:rsidRPr="00183E2B" w:rsidRDefault="008E5CAF">
      <w:pPr>
        <w:pBdr>
          <w:top w:val="single" w:sz="6" w:space="0" w:color="FFFFFF"/>
          <w:left w:val="single" w:sz="6" w:space="0" w:color="FFFFFF"/>
          <w:bottom w:val="single" w:sz="6" w:space="0" w:color="FFFFFF"/>
          <w:right w:val="single" w:sz="6" w:space="0" w:color="FFFFFF"/>
        </w:pBdr>
        <w:ind w:left="1440" w:right="1440"/>
      </w:pPr>
      <w:r w:rsidRPr="008E5CAF">
        <w:lastRenderedPageBreak/>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183E2B" w:rsidRDefault="00CA4CD6">
      <w:pPr>
        <w:pBdr>
          <w:top w:val="single" w:sz="6" w:space="0" w:color="FFFFFF"/>
          <w:left w:val="single" w:sz="6" w:space="0" w:color="FFFFFF"/>
          <w:bottom w:val="single" w:sz="6" w:space="0" w:color="FFFFFF"/>
          <w:right w:val="single" w:sz="6" w:space="0" w:color="FFFFFF"/>
        </w:pBdr>
      </w:pPr>
    </w:p>
    <w:p w:rsidR="00CA4CD6" w:rsidRPr="00183E2B" w:rsidRDefault="008E5CAF">
      <w:pPr>
        <w:pBdr>
          <w:top w:val="single" w:sz="6" w:space="0" w:color="FFFFFF"/>
          <w:left w:val="single" w:sz="6" w:space="0" w:color="FFFFFF"/>
          <w:bottom w:val="single" w:sz="6" w:space="0" w:color="FFFFFF"/>
          <w:right w:val="single" w:sz="6" w:space="0" w:color="FFFFFF"/>
        </w:pBdr>
        <w:ind w:firstLine="720"/>
      </w:pPr>
      <w:r w:rsidRPr="008E5CAF">
        <w:t xml:space="preserve">In the Administrator's judgment, HAP emissions from </w:t>
      </w:r>
      <w:r w:rsidR="00CF7225">
        <w:rPr>
          <w:color w:val="000000"/>
        </w:rPr>
        <w:t>PVC</w:t>
      </w:r>
      <w:r w:rsidR="00F873F5">
        <w:rPr>
          <w:color w:val="000000"/>
        </w:rPr>
        <w:t xml:space="preserve"> and copolymer, </w:t>
      </w:r>
      <w:r w:rsidRPr="008E5CAF">
        <w:t>primary copper smelters, secondary coppe</w:t>
      </w:r>
      <w:r w:rsidR="00EF1F50">
        <w:t xml:space="preserve">r smelters, and primary </w:t>
      </w:r>
      <w:r w:rsidRPr="008E5CAF">
        <w:t xml:space="preserve">zinc production facilities cause or contribute to air pollution that may reasonably be anticipated to endanger public health or welfare.  Therefore, the NESHAP were promulgated for this source category at 40 </w:t>
      </w:r>
      <w:proofErr w:type="gramStart"/>
      <w:r w:rsidRPr="008E5CAF">
        <w:t xml:space="preserve">CFR </w:t>
      </w:r>
      <w:r w:rsidR="004E34F8">
        <w:t xml:space="preserve">         </w:t>
      </w:r>
      <w:r w:rsidRPr="008E5CAF">
        <w:t>part</w:t>
      </w:r>
      <w:proofErr w:type="gramEnd"/>
      <w:r w:rsidRPr="008E5CAF">
        <w:t xml:space="preserve"> 63,</w:t>
      </w:r>
      <w:r w:rsidRPr="008E5CAF">
        <w:rPr>
          <w:b/>
          <w:bCs/>
          <w:i/>
          <w:iCs/>
        </w:rPr>
        <w:t xml:space="preserve"> </w:t>
      </w:r>
      <w:r w:rsidRPr="008E5CAF">
        <w:t>subpart</w:t>
      </w:r>
      <w:r w:rsidR="00456CE7">
        <w:t>s</w:t>
      </w:r>
      <w:r w:rsidRPr="008E5CAF">
        <w:t xml:space="preserve"> </w:t>
      </w:r>
      <w:r w:rsidR="00AC327F">
        <w:t xml:space="preserve">DDDDDD, </w:t>
      </w:r>
      <w:r w:rsidRPr="008E5CAF">
        <w:t>EEEEEE, FFFFFF, and GGGGGG.</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C06842">
        <w:rPr>
          <w:color w:val="000000"/>
        </w:rPr>
        <w:t>s</w:t>
      </w:r>
      <w:r>
        <w:rPr>
          <w:color w:val="000000"/>
        </w:rPr>
        <w:t xml:space="preserve"> ensure compliance </w:t>
      </w:r>
      <w:r w:rsidR="004E34F8">
        <w:rPr>
          <w:color w:val="000000"/>
        </w:rPr>
        <w:t xml:space="preserve">     </w:t>
      </w:r>
      <w:r>
        <w:rPr>
          <w:color w:val="000000"/>
        </w:rPr>
        <w:t xml:space="preserve">with the applicable regulations which where promulgated in accordance with the Clean Air </w:t>
      </w:r>
      <w:r w:rsidR="004E34F8">
        <w:rPr>
          <w:color w:val="000000"/>
        </w:rPr>
        <w:t xml:space="preserve">   </w:t>
      </w:r>
      <w:r>
        <w:rPr>
          <w:color w:val="000000"/>
        </w:rPr>
        <w:t>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ED2E2E">
        <w:rPr>
          <w:color w:val="000000"/>
        </w:rPr>
        <w:t>’</w:t>
      </w:r>
      <w:r>
        <w:rPr>
          <w:color w:val="000000"/>
        </w:rPr>
        <w:t>s initial capability to comply with the emission standard</w:t>
      </w:r>
      <w:r w:rsidR="00C06842">
        <w:rPr>
          <w:color w:val="000000"/>
        </w:rPr>
        <w:t>s</w:t>
      </w:r>
      <w:r>
        <w:rPr>
          <w:color w:val="000000"/>
        </w:rPr>
        <w:t>. Continuous emission monitors are used to ensure compliance with the standard</w:t>
      </w:r>
      <w:r w:rsidR="00C06842">
        <w:rPr>
          <w:color w:val="000000"/>
        </w:rPr>
        <w:t>s</w:t>
      </w:r>
      <w:r>
        <w:rPr>
          <w:color w:val="000000"/>
        </w:rPr>
        <w:t xml:space="preserve"> at all times. </w:t>
      </w:r>
      <w:r w:rsidRPr="00167A29">
        <w:t>During the performance test a record of the operating parameters under which compliance was achieved may be recorded and used to determine compliance in place of</w:t>
      </w:r>
      <w:r w:rsidR="00167A29" w:rsidRPr="00167A29">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w:t>
      </w:r>
      <w:r w:rsidR="00C06842">
        <w:rPr>
          <w:color w:val="000000"/>
        </w:rPr>
        <w:t>s</w:t>
      </w:r>
      <w:r>
        <w:rPr>
          <w:color w:val="000000"/>
        </w:rPr>
        <w:t xml:space="preserve">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w:t>
      </w:r>
      <w:r w:rsidR="00C06842">
        <w:rPr>
          <w:color w:val="000000"/>
        </w:rPr>
        <w:t>s</w:t>
      </w:r>
      <w:r>
        <w:rPr>
          <w:color w:val="000000"/>
        </w:rPr>
        <w:t xml:space="preserve">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ED2E2E">
        <w:rPr>
          <w:color w:val="000000"/>
        </w:rPr>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456CE7">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w:t>
      </w:r>
      <w:r w:rsidR="005B3B22" w:rsidRPr="00183E2B">
        <w:t xml:space="preserve">40 CFR </w:t>
      </w:r>
      <w:proofErr w:type="gramStart"/>
      <w:r w:rsidR="005B3B22" w:rsidRPr="00183E2B">
        <w:t>part</w:t>
      </w:r>
      <w:proofErr w:type="gramEnd"/>
      <w:r w:rsidR="005B3B22" w:rsidRPr="00183E2B">
        <w:t xml:space="preserve"> 63,</w:t>
      </w:r>
      <w:r w:rsidR="005B3B22" w:rsidRPr="00183E2B">
        <w:rPr>
          <w:b/>
          <w:bCs/>
          <w:i/>
          <w:iCs/>
        </w:rPr>
        <w:t xml:space="preserve"> </w:t>
      </w:r>
      <w:r w:rsidR="005B3B22" w:rsidRPr="00183E2B">
        <w:t>subpart</w:t>
      </w:r>
      <w:r w:rsidR="00456CE7">
        <w:t>s</w:t>
      </w:r>
      <w:r w:rsidR="005B3B22" w:rsidRPr="00183E2B">
        <w:t xml:space="preserve"> </w:t>
      </w:r>
      <w:r w:rsidR="00AC327F">
        <w:t xml:space="preserve">DDDDDD, </w:t>
      </w:r>
      <w:r w:rsidR="005B3B22" w:rsidRPr="00183E2B">
        <w:t>EEEEEE, FFFFFF, and GGGGGG</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3(a</w:t>
      </w:r>
      <w:proofErr w:type="gramStart"/>
      <w:r>
        <w:rPr>
          <w:b/>
          <w:bCs/>
          <w:color w:val="000000"/>
        </w:rPr>
        <w:t>)  Non</w:t>
      </w:r>
      <w:proofErr w:type="gramEnd"/>
      <w:r w:rsidR="00D01F2F">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E96E66">
        <w:rPr>
          <w:color w:val="000000"/>
        </w:rPr>
        <w:t xml:space="preserve">    </w:t>
      </w:r>
      <w:r>
        <w:rPr>
          <w:color w:val="000000"/>
        </w:rPr>
        <w:t xml:space="preserve">can be sent to the Administrator in lieu of the report required by the Federal standards.  Therefore, duplication </w:t>
      </w:r>
      <w:r w:rsidR="004E34F8">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B3B22"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8E5CAF" w:rsidRPr="008E5CAF">
        <w:t xml:space="preserve">77 </w:t>
      </w:r>
      <w:r w:rsidR="008E5CAF" w:rsidRPr="008E5CAF">
        <w:rPr>
          <w:u w:val="single"/>
        </w:rPr>
        <w:t>FR</w:t>
      </w:r>
      <w:r w:rsidR="008E5CAF" w:rsidRPr="008E5CAF">
        <w:t xml:space="preserve"> 63813</w:t>
      </w:r>
      <w:r>
        <w:rPr>
          <w:color w:val="000000"/>
        </w:rPr>
        <w:t xml:space="preserve">) on </w:t>
      </w:r>
      <w:r w:rsidR="005B3B22">
        <w:rPr>
          <w:color w:val="000000"/>
        </w:rPr>
        <w:t>October 17, 201</w:t>
      </w:r>
      <w:r w:rsidR="008E5CAF" w:rsidRPr="008E5CAF">
        <w:t xml:space="preserve">2.  No comments were received on the burden published in the </w:t>
      </w:r>
      <w:r w:rsidR="008E5CAF" w:rsidRPr="008E5CAF">
        <w:rPr>
          <w:u w:val="single"/>
        </w:rPr>
        <w:t>Federal Register</w:t>
      </w:r>
      <w:r w:rsidR="008E5CAF" w:rsidRPr="008E5CAF">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5B3B22" w:rsidRPr="00895D0F" w:rsidRDefault="005B3B22" w:rsidP="005B3B22">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w:t>
      </w:r>
      <w:r w:rsidR="004E34F8">
        <w:t xml:space="preserve">   </w:t>
      </w:r>
      <w:r w:rsidRPr="00895D0F">
        <w:t>The primary source of information as reported by industry, in compliance with the record</w:t>
      </w:r>
      <w:r w:rsidR="004E34F8">
        <w:t>-</w:t>
      </w:r>
      <w:r w:rsidRPr="00895D0F">
        <w:t xml:space="preserve">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5B3B22" w:rsidRPr="00895D0F" w:rsidRDefault="005B3B22" w:rsidP="005B3B22"/>
    <w:p w:rsidR="005B3B22" w:rsidRPr="00AC327F" w:rsidRDefault="005B3B22" w:rsidP="005B3B22">
      <w:pPr>
        <w:ind w:firstLine="720"/>
      </w:pPr>
      <w:r w:rsidRPr="00895D0F">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t>
      </w:r>
      <w:r>
        <w:t xml:space="preserve">we </w:t>
      </w:r>
      <w:r w:rsidRPr="00AC327F">
        <w:t>contacted</w:t>
      </w:r>
      <w:r w:rsidR="00D01F2F">
        <w:t>: 1)</w:t>
      </w:r>
      <w:r w:rsidRPr="00AC327F">
        <w:t xml:space="preserve"> the American Zinc Association (AZA)</w:t>
      </w:r>
      <w:r w:rsidR="00D01F2F">
        <w:t>,</w:t>
      </w:r>
      <w:r w:rsidRPr="00AC327F">
        <w:t xml:space="preserve"> at (202) 367-1151</w:t>
      </w:r>
      <w:r w:rsidR="00D01F2F">
        <w:t xml:space="preserve">, </w:t>
      </w:r>
      <w:r w:rsidRPr="00AC327F">
        <w:t xml:space="preserve">and </w:t>
      </w:r>
      <w:r w:rsidR="00D01F2F">
        <w:t xml:space="preserve">2) the </w:t>
      </w:r>
      <w:r w:rsidRPr="00AC327F">
        <w:t xml:space="preserve">International Copper Association, </w:t>
      </w:r>
      <w:r w:rsidR="00D01F2F">
        <w:t>L</w:t>
      </w:r>
      <w:r w:rsidR="004E34F8">
        <w:t>t</w:t>
      </w:r>
      <w:r w:rsidR="00D01F2F">
        <w:t>d</w:t>
      </w:r>
      <w:r w:rsidR="004E34F8">
        <w:t>.</w:t>
      </w:r>
      <w:r w:rsidR="00D01F2F">
        <w:t>,</w:t>
      </w:r>
      <w:r w:rsidRPr="00AC327F">
        <w:t xml:space="preserve"> at (212) 251-7200. </w:t>
      </w:r>
    </w:p>
    <w:p w:rsidR="005B3B22" w:rsidRPr="00AC327F" w:rsidRDefault="005B3B22" w:rsidP="005B3B22"/>
    <w:p w:rsidR="005B3B22" w:rsidRDefault="005B3B22" w:rsidP="005B3B22">
      <w:pPr>
        <w:ind w:firstLine="72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96E66" w:rsidRDefault="00E96E66">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0A20F6">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E5CAF" w:rsidRPr="008E5CAF" w:rsidRDefault="008E5CAF" w:rsidP="008E5CAF">
      <w:pPr>
        <w:pBdr>
          <w:top w:val="single" w:sz="6" w:space="0" w:color="FFFFFF"/>
          <w:left w:val="single" w:sz="6" w:space="0" w:color="FFFFFF"/>
          <w:bottom w:val="single" w:sz="6" w:space="0" w:color="FFFFFF"/>
          <w:right w:val="single" w:sz="6" w:space="0" w:color="FFFFFF"/>
        </w:pBdr>
        <w:ind w:firstLine="720"/>
      </w:pPr>
      <w:r w:rsidRPr="008E5CAF">
        <w:t>These standards require the respondents to maintain all records, including reports and notifications for at least five years.  This is consistent with the General Provisions as applied to the standards.  EPA believes that the five</w:t>
      </w:r>
      <w:r w:rsidR="004E34F8">
        <w:t>-</w:t>
      </w:r>
      <w:r w:rsidRPr="008E5CAF">
        <w:t>year records retention requirement is consistent the Part</w:t>
      </w:r>
      <w:r w:rsidR="004823CC">
        <w:t xml:space="preserve"> 70 permit program and the five-</w:t>
      </w:r>
      <w:r w:rsidRPr="008E5CAF">
        <w:t>year statute of limitations on which the permit program is based.  Th</w:t>
      </w:r>
      <w:r w:rsidR="004823CC">
        <w:t>e retention of records for five</w:t>
      </w:r>
      <w:r w:rsidR="004E34F8">
        <w:t xml:space="preserve"> </w:t>
      </w:r>
      <w:r w:rsidRPr="008E5CAF">
        <w:t xml:space="preserve">years allows EPA to establish the compliance </w:t>
      </w:r>
      <w:proofErr w:type="gramStart"/>
      <w:r w:rsidRPr="008E5CAF">
        <w:t xml:space="preserve">history </w:t>
      </w:r>
      <w:r w:rsidR="004E34F8">
        <w:t xml:space="preserve"> </w:t>
      </w:r>
      <w:r w:rsidRPr="008E5CAF">
        <w:t>of</w:t>
      </w:r>
      <w:proofErr w:type="gramEnd"/>
      <w:r w:rsidRPr="008E5CAF">
        <w:t xml:space="preserve">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A319E">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4(a</w:t>
      </w:r>
      <w:proofErr w:type="gramStart"/>
      <w:r>
        <w:rPr>
          <w:b/>
          <w:bCs/>
          <w:color w:val="000000"/>
        </w:rPr>
        <w:t>)  Respondents</w:t>
      </w:r>
      <w:proofErr w:type="gramEnd"/>
      <w:r>
        <w:rPr>
          <w:b/>
          <w:bCs/>
          <w:color w:val="000000"/>
        </w:rPr>
        <w:t>/SIC Codes</w:t>
      </w:r>
    </w:p>
    <w:p w:rsidR="004C7644" w:rsidRDefault="004C7644">
      <w:pPr>
        <w:pBdr>
          <w:top w:val="single" w:sz="6" w:space="0" w:color="FFFFFF"/>
          <w:left w:val="single" w:sz="6" w:space="0" w:color="FFFFFF"/>
          <w:bottom w:val="single" w:sz="6" w:space="0" w:color="FFFFFF"/>
          <w:right w:val="single" w:sz="6" w:space="0" w:color="FFFFFF"/>
        </w:pBdr>
        <w:ind w:firstLine="720"/>
        <w:rPr>
          <w:b/>
          <w:bCs/>
          <w:color w:val="000000"/>
        </w:rPr>
      </w:pPr>
    </w:p>
    <w:p w:rsidR="004C7644" w:rsidRDefault="004C764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under subpart DDDDDD are owners or operators of new and existing </w:t>
      </w:r>
      <w:r w:rsidR="00CF7225">
        <w:t>PVC</w:t>
      </w:r>
      <w:r>
        <w:t xml:space="preserve"> and copolymers that are area sources of HAP.  </w:t>
      </w:r>
      <w:r>
        <w:rPr>
          <w:color w:val="000000"/>
        </w:rPr>
        <w:t xml:space="preserve">The North American Industry Classification System (NAICS) code 325211 </w:t>
      </w:r>
      <w:r w:rsidR="004E34F8">
        <w:rPr>
          <w:color w:val="000000"/>
        </w:rPr>
        <w:t xml:space="preserve">  </w:t>
      </w:r>
      <w:r>
        <w:rPr>
          <w:color w:val="000000"/>
        </w:rPr>
        <w:t xml:space="preserve">for </w:t>
      </w:r>
      <w:r w:rsidR="00CF7225">
        <w:rPr>
          <w:color w:val="000000"/>
        </w:rPr>
        <w:t xml:space="preserve">(Facilities that Polymerize </w:t>
      </w:r>
      <w:r w:rsidR="00CF7225">
        <w:t>V</w:t>
      </w:r>
      <w:r>
        <w:t xml:space="preserve">inyl Chloride </w:t>
      </w:r>
      <w:r w:rsidR="00CF7225">
        <w:t xml:space="preserve">Monomer to </w:t>
      </w:r>
      <w:proofErr w:type="gramStart"/>
      <w:r w:rsidR="00CF7225">
        <w:t xml:space="preserve">Produce </w:t>
      </w:r>
      <w:r>
        <w:t xml:space="preserve"> </w:t>
      </w:r>
      <w:r w:rsidR="00CF7225">
        <w:t>PVC</w:t>
      </w:r>
      <w:proofErr w:type="gramEnd"/>
      <w:r w:rsidR="00CF7225">
        <w:t xml:space="preserve"> and/or Copolymers Products).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w:t>
      </w:r>
      <w:r w:rsidR="000A20F6">
        <w:rPr>
          <w:color w:val="000000"/>
        </w:rPr>
        <w:t xml:space="preserve">under subpart EEEEEE </w:t>
      </w:r>
      <w:r>
        <w:rPr>
          <w:color w:val="000000"/>
        </w:rPr>
        <w:t xml:space="preserve">are </w:t>
      </w:r>
      <w:r w:rsidR="000A20F6">
        <w:t>owners or operators of new and existing primary copper smelters that are area sources of HAP</w:t>
      </w:r>
      <w:r>
        <w:rPr>
          <w:color w:val="000000"/>
        </w:rPr>
        <w:t xml:space="preserve">.  The </w:t>
      </w:r>
      <w:r w:rsidR="007A34BE">
        <w:rPr>
          <w:color w:val="000000"/>
        </w:rPr>
        <w:t xml:space="preserve">United States Standard Industrial Classification (SIC) </w:t>
      </w:r>
      <w:r>
        <w:rPr>
          <w:color w:val="000000"/>
        </w:rPr>
        <w:t xml:space="preserve">code for the respondents affected by the standards is SIC </w:t>
      </w:r>
      <w:r w:rsidR="009910B0">
        <w:rPr>
          <w:color w:val="000000"/>
        </w:rPr>
        <w:t>3331</w:t>
      </w:r>
      <w:r w:rsidR="003B40F7">
        <w:rPr>
          <w:color w:val="000000"/>
        </w:rPr>
        <w:t>,</w:t>
      </w:r>
      <w:r>
        <w:rPr>
          <w:color w:val="000000"/>
        </w:rPr>
        <w:t xml:space="preserve"> which corresponds to the North American Industry Classification System</w:t>
      </w:r>
      <w:r w:rsidR="00B952EC">
        <w:rPr>
          <w:color w:val="000000"/>
        </w:rPr>
        <w:t xml:space="preserve"> (NAICS</w:t>
      </w:r>
      <w:r>
        <w:rPr>
          <w:color w:val="000000"/>
        </w:rPr>
        <w:t>)</w:t>
      </w:r>
      <w:r w:rsidR="00B952EC">
        <w:rPr>
          <w:color w:val="000000"/>
        </w:rPr>
        <w:t xml:space="preserve"> code</w:t>
      </w:r>
      <w:r>
        <w:rPr>
          <w:color w:val="000000"/>
        </w:rPr>
        <w:t xml:space="preserve"> </w:t>
      </w:r>
      <w:r w:rsidR="009910B0">
        <w:rPr>
          <w:color w:val="000000"/>
        </w:rPr>
        <w:t>33141</w:t>
      </w:r>
      <w:r w:rsidR="00B952EC">
        <w:rPr>
          <w:color w:val="000000"/>
        </w:rPr>
        <w:t>1</w:t>
      </w:r>
      <w:r>
        <w:rPr>
          <w:color w:val="000000"/>
        </w:rPr>
        <w:t xml:space="preserve"> for </w:t>
      </w:r>
      <w:r w:rsidR="00B952EC">
        <w:rPr>
          <w:color w:val="000000"/>
        </w:rPr>
        <w:t xml:space="preserve">Primary </w:t>
      </w:r>
      <w:r w:rsidR="007A34BE">
        <w:rPr>
          <w:color w:val="000000"/>
        </w:rPr>
        <w:t>Smelting and R</w:t>
      </w:r>
      <w:r w:rsidR="009910B0" w:rsidRPr="009910B0">
        <w:rPr>
          <w:color w:val="000000"/>
        </w:rPr>
        <w:t>efining</w:t>
      </w:r>
      <w:r w:rsidR="007A34BE">
        <w:rPr>
          <w:color w:val="000000"/>
        </w:rPr>
        <w:t xml:space="preserve"> </w:t>
      </w:r>
      <w:r w:rsidR="00B952EC">
        <w:rPr>
          <w:color w:val="000000"/>
        </w:rPr>
        <w:t xml:space="preserve">of Copper. </w:t>
      </w:r>
    </w:p>
    <w:p w:rsidR="000A20F6" w:rsidRDefault="000A20F6">
      <w:pPr>
        <w:pBdr>
          <w:top w:val="single" w:sz="6" w:space="0" w:color="FFFFFF"/>
          <w:left w:val="single" w:sz="6" w:space="0" w:color="FFFFFF"/>
          <w:bottom w:val="single" w:sz="6" w:space="0" w:color="FFFFFF"/>
          <w:right w:val="single" w:sz="6" w:space="0" w:color="FFFFFF"/>
        </w:pBdr>
        <w:ind w:firstLine="720"/>
        <w:rPr>
          <w:color w:val="000000"/>
        </w:rPr>
      </w:pPr>
    </w:p>
    <w:p w:rsidR="000A20F6" w:rsidRDefault="000A20F6" w:rsidP="000A20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under subpart FFFFFF </w:t>
      </w:r>
      <w:r>
        <w:rPr>
          <w:color w:val="000000"/>
        </w:rPr>
        <w:lastRenderedPageBreak/>
        <w:t xml:space="preserve">are </w:t>
      </w:r>
      <w:r>
        <w:t>owners or operators of new secondary copper smelters that are area sources of HAP</w:t>
      </w:r>
      <w:r>
        <w:rPr>
          <w:color w:val="000000"/>
        </w:rPr>
        <w:t xml:space="preserve">.  </w:t>
      </w:r>
      <w:r w:rsidR="004E34F8">
        <w:rPr>
          <w:color w:val="000000"/>
        </w:rPr>
        <w:t xml:space="preserve">       </w:t>
      </w:r>
      <w:r w:rsidR="007A34BE">
        <w:rPr>
          <w:color w:val="000000"/>
        </w:rPr>
        <w:t xml:space="preserve">The </w:t>
      </w:r>
      <w:r w:rsidR="00B952EC">
        <w:rPr>
          <w:color w:val="000000"/>
        </w:rPr>
        <w:t xml:space="preserve">SIC </w:t>
      </w:r>
      <w:r w:rsidR="007A34BE">
        <w:rPr>
          <w:color w:val="000000"/>
        </w:rPr>
        <w:t>code</w:t>
      </w:r>
      <w:r w:rsidR="00B952EC">
        <w:rPr>
          <w:color w:val="000000"/>
        </w:rPr>
        <w:t>s</w:t>
      </w:r>
      <w:r w:rsidR="007A34BE">
        <w:rPr>
          <w:color w:val="000000"/>
        </w:rPr>
        <w:t xml:space="preserve"> for the respondents affected by the standards are SIC </w:t>
      </w:r>
      <w:r w:rsidR="000C7CD9">
        <w:rPr>
          <w:color w:val="000000"/>
        </w:rPr>
        <w:t>3341 and 3399</w:t>
      </w:r>
      <w:r w:rsidR="003B40F7">
        <w:rPr>
          <w:color w:val="000000"/>
        </w:rPr>
        <w:t>,</w:t>
      </w:r>
      <w:r w:rsidR="000C7CD9">
        <w:rPr>
          <w:color w:val="000000"/>
        </w:rPr>
        <w:t xml:space="preserve"> </w:t>
      </w:r>
      <w:r>
        <w:rPr>
          <w:color w:val="000000"/>
        </w:rPr>
        <w:t xml:space="preserve">which corresponds to NAICS </w:t>
      </w:r>
      <w:r w:rsidR="000C7CD9">
        <w:rPr>
          <w:color w:val="000000"/>
        </w:rPr>
        <w:t>33142</w:t>
      </w:r>
      <w:r w:rsidR="00B952EC">
        <w:rPr>
          <w:color w:val="000000"/>
        </w:rPr>
        <w:t>3</w:t>
      </w:r>
      <w:r>
        <w:rPr>
          <w:color w:val="000000"/>
        </w:rPr>
        <w:t xml:space="preserve"> for </w:t>
      </w:r>
      <w:r w:rsidR="00B952EC">
        <w:rPr>
          <w:color w:val="000000"/>
        </w:rPr>
        <w:t>Secondary Smelting, Refining, and Alloying of Copper</w:t>
      </w:r>
      <w:r>
        <w:rPr>
          <w:color w:val="000000"/>
        </w:rPr>
        <w:t xml:space="preserve">.  </w:t>
      </w:r>
    </w:p>
    <w:p w:rsidR="000A20F6" w:rsidRDefault="000A20F6">
      <w:pPr>
        <w:pBdr>
          <w:top w:val="single" w:sz="6" w:space="0" w:color="FFFFFF"/>
          <w:left w:val="single" w:sz="6" w:space="0" w:color="FFFFFF"/>
          <w:bottom w:val="single" w:sz="6" w:space="0" w:color="FFFFFF"/>
          <w:right w:val="single" w:sz="6" w:space="0" w:color="FFFFFF"/>
        </w:pBdr>
        <w:ind w:firstLine="720"/>
        <w:rPr>
          <w:color w:val="000000"/>
        </w:rPr>
      </w:pPr>
    </w:p>
    <w:p w:rsidR="000A20F6" w:rsidRDefault="000A20F6" w:rsidP="000C7CD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under subpart GGGGGG are </w:t>
      </w:r>
      <w:r>
        <w:t>owners of operators of new and existing primary zinc smelters that are area sources of HAP</w:t>
      </w:r>
      <w:r>
        <w:rPr>
          <w:color w:val="000000"/>
        </w:rPr>
        <w:t xml:space="preserve">.  </w:t>
      </w:r>
      <w:r w:rsidR="007A34BE">
        <w:rPr>
          <w:color w:val="000000"/>
        </w:rPr>
        <w:t xml:space="preserve">The </w:t>
      </w:r>
      <w:r w:rsidR="00B952EC">
        <w:rPr>
          <w:color w:val="000000"/>
        </w:rPr>
        <w:t xml:space="preserve">SIC </w:t>
      </w:r>
      <w:r w:rsidR="007A34BE">
        <w:rPr>
          <w:color w:val="000000"/>
        </w:rPr>
        <w:t xml:space="preserve">code for the respondents affected by the standards is SIC </w:t>
      </w:r>
      <w:r w:rsidR="000C7CD9">
        <w:rPr>
          <w:color w:val="000000"/>
        </w:rPr>
        <w:t>3339</w:t>
      </w:r>
      <w:r w:rsidR="003B40F7">
        <w:rPr>
          <w:color w:val="000000"/>
        </w:rPr>
        <w:t>,</w:t>
      </w:r>
      <w:r>
        <w:rPr>
          <w:color w:val="000000"/>
        </w:rPr>
        <w:t xml:space="preserve"> which corresponds to </w:t>
      </w:r>
      <w:r w:rsidR="00B952EC">
        <w:rPr>
          <w:color w:val="000000"/>
        </w:rPr>
        <w:t>NAICS</w:t>
      </w:r>
      <w:r>
        <w:rPr>
          <w:color w:val="000000"/>
        </w:rPr>
        <w:t xml:space="preserve"> </w:t>
      </w:r>
      <w:r w:rsidR="000C7CD9">
        <w:rPr>
          <w:color w:val="000000"/>
        </w:rPr>
        <w:t>33141</w:t>
      </w:r>
      <w:r w:rsidR="00B952EC">
        <w:rPr>
          <w:color w:val="000000"/>
        </w:rPr>
        <w:t>9</w:t>
      </w:r>
      <w:r>
        <w:rPr>
          <w:color w:val="000000"/>
        </w:rPr>
        <w:t xml:space="preserve"> for </w:t>
      </w:r>
      <w:r w:rsidR="00B952EC">
        <w:rPr>
          <w:color w:val="000000"/>
        </w:rPr>
        <w:t xml:space="preserve">Primary Smelting and Refining of </w:t>
      </w:r>
      <w:r w:rsidR="007A34BE">
        <w:rPr>
          <w:color w:val="000000"/>
        </w:rPr>
        <w:t>N</w:t>
      </w:r>
      <w:r w:rsidR="007A34BE" w:rsidRPr="009910B0">
        <w:rPr>
          <w:color w:val="000000"/>
        </w:rPr>
        <w:t>onf</w:t>
      </w:r>
      <w:r w:rsidR="007A34BE">
        <w:rPr>
          <w:color w:val="000000"/>
        </w:rPr>
        <w:t xml:space="preserve">errous Metal (except </w:t>
      </w:r>
      <w:r w:rsidR="00B952EC">
        <w:rPr>
          <w:color w:val="000000"/>
        </w:rPr>
        <w:t>copper and a</w:t>
      </w:r>
      <w:r w:rsidR="007A34BE">
        <w:rPr>
          <w:color w:val="000000"/>
        </w:rPr>
        <w:t>luminum)</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w:t>
      </w:r>
      <w:r w:rsidR="00CA4CD6" w:rsidRPr="003B40F7">
        <w:t xml:space="preserve">required by </w:t>
      </w:r>
      <w:r w:rsidR="00B952EC" w:rsidRPr="003B40F7">
        <w:t xml:space="preserve">the </w:t>
      </w:r>
      <w:r w:rsidR="00234696" w:rsidRPr="003B40F7">
        <w:t>NE</w:t>
      </w:r>
      <w:r w:rsidR="00234696" w:rsidRPr="00632A47">
        <w:t>SHAP for Area Sources: Polyvinyl Chloride and Copolymer Production, Primary Copper Smelting, Secondary Copper Smelting, and Primary Nonferrous Metals--Zinc, Cadmium, and Beryllium</w:t>
      </w:r>
      <w:r w:rsidR="00234696">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570"/>
        <w:gridCol w:w="2790"/>
      </w:tblGrid>
      <w:tr w:rsidR="00A73600" w:rsidTr="009902A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9902A7" w:rsidTr="004E6C0B">
        <w:trPr>
          <w:jc w:val="center"/>
        </w:trPr>
        <w:tc>
          <w:tcPr>
            <w:tcW w:w="657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Notification of applicability</w:t>
            </w:r>
          </w:p>
        </w:tc>
        <w:tc>
          <w:tcPr>
            <w:tcW w:w="279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40 CFR 63.9(a)(2)</w:t>
            </w:r>
          </w:p>
        </w:tc>
      </w:tr>
      <w:tr w:rsidR="009902A7" w:rsidTr="004E6C0B">
        <w:trPr>
          <w:jc w:val="center"/>
        </w:trPr>
        <w:tc>
          <w:tcPr>
            <w:tcW w:w="657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 xml:space="preserve">Notification of construction/ reconstruction </w:t>
            </w:r>
          </w:p>
        </w:tc>
        <w:tc>
          <w:tcPr>
            <w:tcW w:w="279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40 CFR 63.9(b)(5)</w:t>
            </w:r>
          </w:p>
        </w:tc>
      </w:tr>
      <w:tr w:rsidR="009902A7" w:rsidTr="004E6C0B">
        <w:trPr>
          <w:jc w:val="center"/>
        </w:trPr>
        <w:tc>
          <w:tcPr>
            <w:tcW w:w="657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 xml:space="preserve">Notification of special compliance requirements </w:t>
            </w:r>
          </w:p>
        </w:tc>
        <w:tc>
          <w:tcPr>
            <w:tcW w:w="279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40 CFR 63.9(d)</w:t>
            </w:r>
          </w:p>
        </w:tc>
      </w:tr>
      <w:tr w:rsidR="009902A7" w:rsidTr="004E6C0B">
        <w:trPr>
          <w:jc w:val="center"/>
        </w:trPr>
        <w:tc>
          <w:tcPr>
            <w:tcW w:w="657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Notification of performance test</w:t>
            </w:r>
          </w:p>
        </w:tc>
        <w:tc>
          <w:tcPr>
            <w:tcW w:w="279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40 CFR 63.9(c)</w:t>
            </w:r>
          </w:p>
        </w:tc>
      </w:tr>
      <w:tr w:rsidR="009902A7" w:rsidTr="004E6C0B">
        <w:trPr>
          <w:jc w:val="center"/>
        </w:trPr>
        <w:tc>
          <w:tcPr>
            <w:tcW w:w="657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Notification of opacity/VE observations</w:t>
            </w:r>
          </w:p>
        </w:tc>
        <w:tc>
          <w:tcPr>
            <w:tcW w:w="279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40 CFR 63.9(f)</w:t>
            </w:r>
          </w:p>
        </w:tc>
      </w:tr>
      <w:tr w:rsidR="009902A7" w:rsidTr="004E6C0B">
        <w:trPr>
          <w:jc w:val="center"/>
        </w:trPr>
        <w:tc>
          <w:tcPr>
            <w:tcW w:w="657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Additional CMS notifications</w:t>
            </w:r>
          </w:p>
        </w:tc>
        <w:tc>
          <w:tcPr>
            <w:tcW w:w="279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40 CFR 63.9(g)</w:t>
            </w:r>
          </w:p>
        </w:tc>
      </w:tr>
      <w:tr w:rsidR="009902A7" w:rsidTr="004E6C0B">
        <w:trPr>
          <w:jc w:val="center"/>
        </w:trPr>
        <w:tc>
          <w:tcPr>
            <w:tcW w:w="657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Notification of compliance status</w:t>
            </w:r>
          </w:p>
        </w:tc>
        <w:tc>
          <w:tcPr>
            <w:tcW w:w="279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40 CFR 63.9(h)</w:t>
            </w:r>
          </w:p>
        </w:tc>
      </w:tr>
      <w:tr w:rsidR="009902A7" w:rsidTr="004E6C0B">
        <w:trPr>
          <w:jc w:val="center"/>
        </w:trPr>
        <w:tc>
          <w:tcPr>
            <w:tcW w:w="657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Notification of changes in information</w:t>
            </w:r>
          </w:p>
        </w:tc>
        <w:tc>
          <w:tcPr>
            <w:tcW w:w="279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40 CFR 63.9(j)</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570"/>
        <w:gridCol w:w="2790"/>
      </w:tblGrid>
      <w:tr w:rsidR="00A73600" w:rsidTr="009902A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CA4CD6" w:rsidTr="004E6C0B">
        <w:trPr>
          <w:jc w:val="center"/>
        </w:trPr>
        <w:tc>
          <w:tcPr>
            <w:tcW w:w="6570" w:type="dxa"/>
            <w:tcBorders>
              <w:top w:val="single" w:sz="7" w:space="0" w:color="000000"/>
              <w:left w:val="single" w:sz="7" w:space="0" w:color="000000"/>
              <w:bottom w:val="single" w:sz="7" w:space="0" w:color="000000"/>
              <w:right w:val="single" w:sz="7" w:space="0" w:color="000000"/>
            </w:tcBorders>
          </w:tcPr>
          <w:p w:rsidR="00CA4CD6"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 xml:space="preserve">Monthly </w:t>
            </w:r>
            <w:r>
              <w:t>emissions summary or quarterly report</w:t>
            </w:r>
          </w:p>
        </w:tc>
        <w:tc>
          <w:tcPr>
            <w:tcW w:w="2790" w:type="dxa"/>
            <w:tcBorders>
              <w:top w:val="single" w:sz="7" w:space="0" w:color="000000"/>
              <w:left w:val="single" w:sz="7" w:space="0" w:color="000000"/>
              <w:bottom w:val="single" w:sz="7" w:space="0" w:color="000000"/>
              <w:right w:val="single" w:sz="7" w:space="0" w:color="000000"/>
            </w:tcBorders>
          </w:tcPr>
          <w:p w:rsidR="00CA4CD6" w:rsidRDefault="009902A7">
            <w:pPr>
              <w:pBdr>
                <w:top w:val="single" w:sz="6" w:space="0" w:color="FFFFFF"/>
                <w:left w:val="single" w:sz="6" w:space="0" w:color="FFFFFF"/>
                <w:bottom w:val="single" w:sz="6" w:space="0" w:color="FFFFFF"/>
                <w:right w:val="single" w:sz="6" w:space="0" w:color="FFFFFF"/>
              </w:pBdr>
              <w:spacing w:after="58"/>
              <w:rPr>
                <w:color w:val="000000"/>
              </w:rPr>
            </w:pPr>
            <w:r>
              <w:t>63.11147(b), 63.11148(b)</w:t>
            </w:r>
          </w:p>
        </w:tc>
      </w:tr>
      <w:tr w:rsidR="009902A7" w:rsidTr="004E6C0B">
        <w:trPr>
          <w:jc w:val="center"/>
        </w:trPr>
        <w:tc>
          <w:tcPr>
            <w:tcW w:w="6570" w:type="dxa"/>
            <w:tcBorders>
              <w:top w:val="single" w:sz="7" w:space="0" w:color="000000"/>
              <w:left w:val="single" w:sz="7" w:space="0" w:color="000000"/>
              <w:bottom w:val="single" w:sz="7" w:space="0" w:color="000000"/>
              <w:right w:val="single" w:sz="7" w:space="0" w:color="000000"/>
            </w:tcBorders>
          </w:tcPr>
          <w:p w:rsidR="009902A7" w:rsidDel="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Report</w:t>
            </w:r>
            <w:r>
              <w:t>s</w:t>
            </w:r>
            <w:r w:rsidRPr="00D10F6D">
              <w:t xml:space="preserve"> of deviation</w:t>
            </w:r>
          </w:p>
        </w:tc>
        <w:tc>
          <w:tcPr>
            <w:tcW w:w="2790" w:type="dxa"/>
            <w:tcBorders>
              <w:top w:val="single" w:sz="7" w:space="0" w:color="000000"/>
              <w:left w:val="single" w:sz="7" w:space="0" w:color="000000"/>
              <w:bottom w:val="single" w:sz="7" w:space="0" w:color="000000"/>
              <w:right w:val="single" w:sz="7" w:space="0" w:color="000000"/>
            </w:tcBorders>
          </w:tcPr>
          <w:p w:rsidR="009902A7" w:rsidDel="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63.111</w:t>
            </w:r>
            <w:r>
              <w:t>62(h)</w:t>
            </w:r>
          </w:p>
        </w:tc>
      </w:tr>
      <w:tr w:rsidR="009902A7" w:rsidTr="004E6C0B">
        <w:trPr>
          <w:jc w:val="center"/>
        </w:trPr>
        <w:tc>
          <w:tcPr>
            <w:tcW w:w="657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Semiannual monitoring report</w:t>
            </w:r>
            <w:r>
              <w:t>s</w:t>
            </w:r>
          </w:p>
        </w:tc>
        <w:tc>
          <w:tcPr>
            <w:tcW w:w="2790" w:type="dxa"/>
            <w:tcBorders>
              <w:top w:val="single" w:sz="7" w:space="0" w:color="000000"/>
              <w:left w:val="single" w:sz="7" w:space="0" w:color="000000"/>
              <w:bottom w:val="single" w:sz="7" w:space="0" w:color="000000"/>
              <w:right w:val="single" w:sz="7" w:space="0" w:color="000000"/>
            </w:tcBorders>
          </w:tcPr>
          <w:p w:rsidR="009902A7"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63.111</w:t>
            </w:r>
            <w:r>
              <w:t>62(</w:t>
            </w:r>
            <w:proofErr w:type="spellStart"/>
            <w:r>
              <w:t>i</w:t>
            </w:r>
            <w:proofErr w:type="spellEnd"/>
            <w:r>
              <w:t>)</w:t>
            </w:r>
          </w:p>
        </w:tc>
      </w:tr>
      <w:tr w:rsidR="00CA4CD6" w:rsidTr="004E6C0B">
        <w:trPr>
          <w:jc w:val="center"/>
        </w:trPr>
        <w:tc>
          <w:tcPr>
            <w:tcW w:w="6570" w:type="dxa"/>
            <w:tcBorders>
              <w:top w:val="single" w:sz="7" w:space="0" w:color="000000"/>
              <w:left w:val="single" w:sz="7" w:space="0" w:color="000000"/>
              <w:bottom w:val="single" w:sz="7" w:space="0" w:color="000000"/>
              <w:right w:val="single" w:sz="7" w:space="0" w:color="000000"/>
            </w:tcBorders>
          </w:tcPr>
          <w:p w:rsidR="00CA4CD6"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 xml:space="preserve">Initial </w:t>
            </w:r>
            <w:r>
              <w:t xml:space="preserve">/repeat </w:t>
            </w:r>
            <w:r w:rsidRPr="00D10F6D">
              <w:t>performance test</w:t>
            </w:r>
            <w:r>
              <w:t>s</w:t>
            </w:r>
          </w:p>
        </w:tc>
        <w:tc>
          <w:tcPr>
            <w:tcW w:w="2790" w:type="dxa"/>
            <w:tcBorders>
              <w:top w:val="single" w:sz="7" w:space="0" w:color="000000"/>
              <w:left w:val="single" w:sz="7" w:space="0" w:color="000000"/>
              <w:bottom w:val="single" w:sz="7" w:space="0" w:color="000000"/>
              <w:right w:val="single" w:sz="7" w:space="0" w:color="000000"/>
            </w:tcBorders>
          </w:tcPr>
          <w:p w:rsidR="009902A7" w:rsidRDefault="009902A7" w:rsidP="009902A7">
            <w:pPr>
              <w:widowControl/>
              <w:ind w:right="-90"/>
            </w:pPr>
            <w:r>
              <w:t>40 CFR 63.7(e</w:t>
            </w:r>
            <w:r w:rsidRPr="00D10F6D">
              <w:t>)</w:t>
            </w:r>
            <w:r>
              <w:t>(1)</w:t>
            </w:r>
          </w:p>
          <w:p w:rsidR="00CA4CD6" w:rsidRDefault="009902A7">
            <w:pPr>
              <w:pBdr>
                <w:top w:val="single" w:sz="6" w:space="0" w:color="FFFFFF"/>
                <w:left w:val="single" w:sz="6" w:space="0" w:color="FFFFFF"/>
                <w:bottom w:val="single" w:sz="6" w:space="0" w:color="FFFFFF"/>
                <w:right w:val="single" w:sz="6" w:space="0" w:color="FFFFFF"/>
              </w:pBdr>
              <w:spacing w:after="58"/>
              <w:rPr>
                <w:color w:val="000000"/>
              </w:rPr>
            </w:pPr>
            <w:r>
              <w:t>40 CFR 63.6(h)(7)</w:t>
            </w:r>
          </w:p>
        </w:tc>
      </w:tr>
    </w:tbl>
    <w:p w:rsidR="006E377E" w:rsidRDefault="006E377E" w:rsidP="006E377E">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A source must keep the following records:</w:t>
      </w:r>
    </w:p>
    <w:tbl>
      <w:tblPr>
        <w:tblW w:w="0" w:type="auto"/>
        <w:jc w:val="center"/>
        <w:tblLayout w:type="fixed"/>
        <w:tblCellMar>
          <w:left w:w="120" w:type="dxa"/>
          <w:right w:w="120" w:type="dxa"/>
        </w:tblCellMar>
        <w:tblLook w:val="0000"/>
      </w:tblPr>
      <w:tblGrid>
        <w:gridCol w:w="6930"/>
        <w:gridCol w:w="2430"/>
      </w:tblGrid>
      <w:tr w:rsidR="00A73600" w:rsidTr="00BF377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CA4CD6" w:rsidTr="00D634F1">
        <w:trPr>
          <w:jc w:val="center"/>
        </w:trPr>
        <w:tc>
          <w:tcPr>
            <w:tcW w:w="693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9902A7">
            <w:pPr>
              <w:pBdr>
                <w:top w:val="single" w:sz="6" w:space="0" w:color="FFFFFF"/>
                <w:left w:val="single" w:sz="6" w:space="0" w:color="FFFFFF"/>
                <w:bottom w:val="single" w:sz="6" w:space="0" w:color="FFFFFF"/>
                <w:right w:val="single" w:sz="6" w:space="0" w:color="FFFFFF"/>
              </w:pBdr>
              <w:spacing w:after="58"/>
              <w:rPr>
                <w:color w:val="000000"/>
              </w:rPr>
            </w:pPr>
            <w:r>
              <w:t>Baghouse and monitoring information</w:t>
            </w:r>
            <w:r w:rsidR="00BF3779">
              <w:t xml:space="preserve"> (</w:t>
            </w:r>
            <w:r w:rsidR="00BF3779" w:rsidRPr="00007C44">
              <w:t>COMS for sintering machine</w:t>
            </w:r>
            <w:r w:rsidR="00BF3779">
              <w:t>)</w:t>
            </w:r>
            <w:r w:rsidR="00BF3779" w:rsidDel="009902A7">
              <w:rPr>
                <w:color w:val="000000"/>
              </w:rPr>
              <w:t xml:space="preserve"> </w:t>
            </w:r>
          </w:p>
        </w:tc>
        <w:tc>
          <w:tcPr>
            <w:tcW w:w="243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 xml:space="preserve">40 CFR </w:t>
            </w:r>
            <w:r>
              <w:t>63.10</w:t>
            </w:r>
          </w:p>
        </w:tc>
      </w:tr>
      <w:tr w:rsidR="00CA4CD6" w:rsidTr="00D634F1">
        <w:trPr>
          <w:jc w:val="center"/>
        </w:trPr>
        <w:tc>
          <w:tcPr>
            <w:tcW w:w="6930" w:type="dxa"/>
            <w:tcBorders>
              <w:top w:val="single" w:sz="7" w:space="0" w:color="000000"/>
              <w:left w:val="single" w:sz="7" w:space="0" w:color="000000"/>
              <w:bottom w:val="single" w:sz="7" w:space="0" w:color="000000"/>
              <w:right w:val="single" w:sz="7" w:space="0" w:color="000000"/>
            </w:tcBorders>
          </w:tcPr>
          <w:p w:rsidR="00CA4CD6" w:rsidRDefault="009902A7">
            <w:pPr>
              <w:pBdr>
                <w:top w:val="single" w:sz="6" w:space="0" w:color="FFFFFF"/>
                <w:left w:val="single" w:sz="6" w:space="0" w:color="FFFFFF"/>
                <w:bottom w:val="single" w:sz="6" w:space="0" w:color="FFFFFF"/>
                <w:right w:val="single" w:sz="6" w:space="0" w:color="FFFFFF"/>
              </w:pBdr>
              <w:spacing w:after="58"/>
              <w:rPr>
                <w:color w:val="000000"/>
              </w:rPr>
            </w:pPr>
            <w:r>
              <w:t>Information to demonstrate compliance</w:t>
            </w:r>
            <w:r w:rsidR="006B4864">
              <w:t xml:space="preserve">: </w:t>
            </w:r>
            <w:r w:rsidR="006B4864" w:rsidRPr="007B2569">
              <w:t>Continuous PM sampler</w:t>
            </w:r>
            <w:r w:rsidR="006B4864">
              <w:t xml:space="preserve"> and calculations of daily average emissions or COMS or BLDS</w:t>
            </w:r>
            <w:r w:rsidR="006B4864" w:rsidRPr="007B2569">
              <w:t xml:space="preserve"> </w:t>
            </w:r>
            <w:r w:rsidR="006B4864">
              <w:t xml:space="preserve">(for existing sources) </w:t>
            </w:r>
            <w:r w:rsidR="006B4864" w:rsidRPr="007B2569">
              <w:t>or PM CEMS</w:t>
            </w:r>
            <w:r w:rsidR="006B4864">
              <w:t xml:space="preserve"> and calculations of daily average emissions (new sources)</w:t>
            </w:r>
          </w:p>
        </w:tc>
        <w:tc>
          <w:tcPr>
            <w:tcW w:w="2430" w:type="dxa"/>
            <w:tcBorders>
              <w:top w:val="single" w:sz="7" w:space="0" w:color="000000"/>
              <w:left w:val="single" w:sz="7" w:space="0" w:color="000000"/>
              <w:bottom w:val="single" w:sz="7" w:space="0" w:color="000000"/>
              <w:right w:val="single" w:sz="7" w:space="0" w:color="000000"/>
            </w:tcBorders>
          </w:tcPr>
          <w:p w:rsidR="00CA4CD6" w:rsidRDefault="009902A7">
            <w:pPr>
              <w:pBdr>
                <w:top w:val="single" w:sz="6" w:space="0" w:color="FFFFFF"/>
                <w:left w:val="single" w:sz="6" w:space="0" w:color="FFFFFF"/>
                <w:bottom w:val="single" w:sz="6" w:space="0" w:color="FFFFFF"/>
                <w:right w:val="single" w:sz="6" w:space="0" w:color="FFFFFF"/>
              </w:pBdr>
              <w:spacing w:after="58"/>
              <w:rPr>
                <w:color w:val="000000"/>
              </w:rPr>
            </w:pPr>
            <w:r w:rsidRPr="00D10F6D">
              <w:t xml:space="preserve">40 CFR </w:t>
            </w:r>
            <w:r>
              <w:t>63.10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reduced the burden associated with monitoring and </w:t>
      </w:r>
      <w:proofErr w:type="gramStart"/>
      <w:r w:rsidR="00CA4CD6">
        <w:rPr>
          <w:color w:val="000000"/>
        </w:rPr>
        <w:t xml:space="preserve">recordkeeping </w:t>
      </w:r>
      <w:r w:rsidR="004E34F8">
        <w:rPr>
          <w:color w:val="000000"/>
        </w:rPr>
        <w:t xml:space="preserve"> </w:t>
      </w:r>
      <w:r w:rsidR="00CA4CD6">
        <w:rPr>
          <w:color w:val="000000"/>
        </w:rPr>
        <w:t>at</w:t>
      </w:r>
      <w:proofErr w:type="gramEnd"/>
      <w:r w:rsidR="00CA4CD6">
        <w:rPr>
          <w:color w:val="000000"/>
        </w:rPr>
        <w:t xml:space="preserve"> </w:t>
      </w:r>
      <w:r>
        <w:rPr>
          <w:color w:val="000000"/>
        </w:rPr>
        <w:t>a</w:t>
      </w:r>
      <w:r w:rsidR="00CA4CD6">
        <w:rPr>
          <w:color w:val="000000"/>
        </w:rPr>
        <w:t xml:space="preserve"> plant site</w:t>
      </w:r>
      <w:r w:rsidR="004E34F8">
        <w:rPr>
          <w:color w:val="000000"/>
        </w:rPr>
        <w:t xml:space="preserve"> significantly</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9902A7">
        <w:rPr>
          <w:color w:val="000000"/>
        </w:rPr>
        <w:t>respondents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6E377E">
        <w:trPr>
          <w:trHeight w:val="361"/>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6E377E">
        <w:trPr>
          <w:trHeight w:val="676"/>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775BCA">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8E5CAF" w:rsidRPr="008E5CAF">
              <w:t>control device.</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775BCA">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rsidTr="004E6C0B">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A920F1" w:rsidTr="004E6C0B">
        <w:trPr>
          <w:jc w:val="center"/>
        </w:trPr>
        <w:tc>
          <w:tcPr>
            <w:tcW w:w="9360" w:type="dxa"/>
            <w:tcBorders>
              <w:top w:val="single" w:sz="8" w:space="0" w:color="000000"/>
              <w:left w:val="single" w:sz="8" w:space="0" w:color="000000"/>
              <w:bottom w:val="single" w:sz="4" w:space="0" w:color="auto"/>
              <w:right w:val="single" w:sz="8" w:space="0" w:color="000000"/>
            </w:tcBorders>
          </w:tcPr>
          <w:p w:rsidR="00A920F1" w:rsidRDefault="00A920F1" w:rsidP="00D435C8">
            <w:pPr>
              <w:spacing w:line="120" w:lineRule="exact"/>
              <w:rPr>
                <w:color w:val="000000"/>
              </w:rPr>
            </w:pPr>
          </w:p>
          <w:p w:rsidR="00A920F1" w:rsidRDefault="00A920F1" w:rsidP="00D435C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Adjust the existing ways to comply with any previously applicable instructions and </w:t>
            </w:r>
            <w:r>
              <w:rPr>
                <w:color w:val="000000"/>
              </w:rPr>
              <w:lastRenderedPageBreak/>
              <w:t>requirements.</w:t>
            </w:r>
          </w:p>
        </w:tc>
      </w:tr>
      <w:tr w:rsidR="00CA4CD6" w:rsidTr="004E6C0B">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CD12C2" w:rsidP="00A920F1">
      <w:pPr>
        <w:pBdr>
          <w:top w:val="single" w:sz="6" w:space="0" w:color="FFFFFF"/>
          <w:left w:val="single" w:sz="6" w:space="0" w:color="FFFFFF"/>
          <w:bottom w:val="single" w:sz="6" w:space="0" w:color="FFFFFF"/>
          <w:right w:val="single" w:sz="6" w:space="0" w:color="FFFFFF"/>
        </w:pBdr>
        <w:ind w:firstLine="720"/>
      </w:pPr>
      <w:r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A920F1" w:rsidTr="00D435C8">
        <w:tc>
          <w:tcPr>
            <w:tcW w:w="9360" w:type="dxa"/>
            <w:tcBorders>
              <w:top w:val="single" w:sz="7" w:space="0" w:color="000000"/>
              <w:left w:val="single" w:sz="7" w:space="0" w:color="000000"/>
              <w:bottom w:val="single" w:sz="6" w:space="0" w:color="FFFFFF"/>
              <w:right w:val="single" w:sz="7" w:space="0" w:color="000000"/>
            </w:tcBorders>
          </w:tcPr>
          <w:p w:rsidR="00A920F1" w:rsidRDefault="00A920F1" w:rsidP="00D435C8">
            <w:pPr>
              <w:spacing w:line="120" w:lineRule="exact"/>
              <w:rPr>
                <w:color w:val="000000"/>
              </w:rPr>
            </w:pPr>
          </w:p>
          <w:p w:rsidR="00A920F1" w:rsidRDefault="00A920F1" w:rsidP="00D435C8">
            <w:pPr>
              <w:pBdr>
                <w:top w:val="single" w:sz="6" w:space="0" w:color="FFFFFF"/>
                <w:left w:val="single" w:sz="6" w:space="0" w:color="FFFFFF"/>
                <w:bottom w:val="single" w:sz="6" w:space="0" w:color="FFFFFF"/>
                <w:right w:val="single" w:sz="6" w:space="0" w:color="FFFFFF"/>
              </w:pBdr>
              <w:spacing w:after="52"/>
              <w:rPr>
                <w:color w:val="000000"/>
              </w:rPr>
            </w:pPr>
            <w: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 xml:space="preserve">inspect the source </w:t>
      </w:r>
      <w:r w:rsidR="004E34F8">
        <w:t xml:space="preserve">         </w:t>
      </w:r>
      <w:r w:rsidRPr="00566AFD">
        <w:t>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 xml:space="preserve">s initial capability </w:t>
      </w:r>
      <w:proofErr w:type="gramStart"/>
      <w:r w:rsidRPr="00566AFD">
        <w:t xml:space="preserve">to </w:t>
      </w:r>
      <w:r w:rsidR="004E34F8">
        <w:t xml:space="preserve"> </w:t>
      </w:r>
      <w:r w:rsidRPr="00566AFD">
        <w:t>com</w:t>
      </w:r>
      <w:r w:rsidR="00566AFD" w:rsidRPr="00566AFD">
        <w:t>ply</w:t>
      </w:r>
      <w:proofErr w:type="gramEnd"/>
      <w:r w:rsidR="00566AFD" w:rsidRPr="00566AFD">
        <w:t xml:space="preserve"> with the emission standard. </w:t>
      </w:r>
      <w:r w:rsidRPr="00566AFD">
        <w:t xml:space="preserve"> Data and records maintained by the respondents are tabulated and published for use in compliance and enforcement programs.  The semiannual reports are used for problem identification, as a check on source operation and maintenance, </w:t>
      </w:r>
      <w:r w:rsidR="004E34F8">
        <w:t xml:space="preserve">  </w:t>
      </w:r>
      <w:r w:rsidRPr="00566AFD">
        <w:t>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w:t>
      </w:r>
      <w:r>
        <w:rPr>
          <w:color w:val="000000"/>
        </w:rPr>
        <w:lastRenderedPageBreak/>
        <w:t xml:space="preserve">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w:t>
      </w:r>
      <w:r w:rsidR="004E34F8">
        <w:rPr>
          <w:color w:val="000000"/>
        </w:rPr>
        <w:t xml:space="preserve">Both </w:t>
      </w:r>
      <w:r>
        <w:rPr>
          <w:color w:val="000000"/>
        </w:rPr>
        <w:t xml:space="preserve">EPA and its delegated </w:t>
      </w:r>
      <w:r w:rsidR="004E34F8">
        <w:rPr>
          <w:color w:val="000000"/>
        </w:rPr>
        <w:t>a</w:t>
      </w:r>
      <w:r>
        <w:rPr>
          <w:color w:val="000000"/>
        </w:rPr>
        <w:t>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8E5CAF" w:rsidRPr="008E5CAF">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8E5CAF" w:rsidRDefault="00CA4CD6" w:rsidP="008E5CA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However, </w:t>
      </w:r>
      <w:r w:rsidR="004E34F8">
        <w:rPr>
          <w:color w:val="000000"/>
        </w:rPr>
        <w:t xml:space="preserve">        </w:t>
      </w:r>
      <w:r>
        <w:rPr>
          <w:color w:val="000000"/>
        </w:rPr>
        <w:t>the impact on small entities (i.e., small businesses) was taken into consideration during the development of the regulation.</w:t>
      </w:r>
      <w:r w:rsidR="005C55C2">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4844D1" w:rsidRPr="00604EA6">
        <w:t>Table 1: Annual Respondent Burden and Cost –</w:t>
      </w:r>
      <w:r w:rsidR="00D435C8">
        <w:t xml:space="preserve"> </w:t>
      </w:r>
      <w:r w:rsidR="004844D1" w:rsidRPr="00604EA6">
        <w:t xml:space="preserve">NESHAP for </w:t>
      </w:r>
      <w:r w:rsidR="004844D1" w:rsidRPr="00604EA6">
        <w:rPr>
          <w:bCs/>
        </w:rPr>
        <w:t>Area Sources: Polyvinyl Chloride and Copolymer Production, Primary Copper Smelting, Secondary Copper Smelting, and Primary Nonferrous Metals—Zinc, Cadmium, and Beryllium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each of the subparts included in this ICR.  The individual burdens are expressed under standardized headings believed to be consistent with the concept of burden under the Paperwork Reduction Act.  Where</w:t>
      </w:r>
      <w:r w:rsidR="00205280">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w:t>
      </w:r>
      <w:r w:rsidR="004E34F8">
        <w:rPr>
          <w:color w:val="000000"/>
        </w:rPr>
        <w:t xml:space="preserve">          </w:t>
      </w:r>
      <w:r>
        <w:rPr>
          <w:color w:val="000000"/>
        </w:rPr>
        <w:t>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4E34F8">
        <w:rPr>
          <w:color w:val="000000"/>
        </w:rPr>
        <w:t>-</w:t>
      </w:r>
      <w:r>
        <w:rPr>
          <w:color w:val="000000"/>
        </w:rPr>
        <w:t>keeping and reporting requirement</w:t>
      </w:r>
      <w:r w:rsidR="004C701D">
        <w:rPr>
          <w:color w:val="000000"/>
        </w:rPr>
        <w:t>s is estimated to be</w:t>
      </w:r>
      <w:r w:rsidR="00C06842">
        <w:rPr>
          <w:color w:val="000000"/>
        </w:rPr>
        <w:t xml:space="preserve"> 46</w:t>
      </w:r>
      <w:r w:rsidR="005F0654">
        <w:rPr>
          <w:color w:val="000000"/>
        </w:rPr>
        <w:t xml:space="preserve"> </w:t>
      </w:r>
      <w:r w:rsidR="004C701D">
        <w:rPr>
          <w:color w:val="000000"/>
        </w:rPr>
        <w:t>(</w:t>
      </w:r>
      <w:r>
        <w:rPr>
          <w:color w:val="000000"/>
        </w:rPr>
        <w:t>Total Labor Hours from Table 1</w:t>
      </w:r>
      <w:r w:rsidR="00130D52">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8F0408">
        <w:rPr>
          <w:color w:val="000000"/>
        </w:rPr>
        <w:t>NESHAP</w:t>
      </w:r>
      <w:r>
        <w:rPr>
          <w:color w:val="000000"/>
        </w:rPr>
        <w:t xml:space="preserve"> </w:t>
      </w:r>
      <w:r w:rsidR="004E34F8">
        <w:rPr>
          <w:color w:val="000000"/>
        </w:rPr>
        <w:t xml:space="preserve">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4E2260" w:rsidRDefault="004E2260" w:rsidP="004E226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$121.44 ($57.83 + 110%)   </w:t>
      </w:r>
    </w:p>
    <w:p w:rsidR="004E2260" w:rsidRDefault="004E2260" w:rsidP="004E226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$100.23 ($47.73 + 110%)</w:t>
      </w:r>
    </w:p>
    <w:p w:rsidR="004E2260" w:rsidRDefault="004E2260" w:rsidP="004E226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$50.51 ($24.05 + 110%)</w:t>
      </w:r>
    </w:p>
    <w:p w:rsidR="008E5CAF" w:rsidRDefault="008E5CAF" w:rsidP="008E5CAF">
      <w:pPr>
        <w:pBdr>
          <w:top w:val="single" w:sz="6" w:space="0" w:color="FFFFFF"/>
          <w:left w:val="single" w:sz="6" w:space="0" w:color="FFFFFF"/>
          <w:bottom w:val="single" w:sz="6" w:space="0" w:color="FFFFFF"/>
          <w:right w:val="single" w:sz="6" w:space="0" w:color="FFFFFF"/>
        </w:pBdr>
        <w:tabs>
          <w:tab w:val="left" w:pos="-1440"/>
        </w:tabs>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252422">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352FA9" w:rsidRDefault="00352FA9">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regulated industry resulting from information collection activities required by the subject standards are labor costs.  There are no capital/startup or operation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E5CAF" w:rsidRDefault="00CA4CD6" w:rsidP="008E5CA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type of industry costs associated with the information collection activity in the regulations </w:t>
      </w:r>
      <w:r w:rsidR="003B40F7">
        <w:rPr>
          <w:color w:val="000000"/>
        </w:rPr>
        <w:t>is</w:t>
      </w:r>
      <w:r>
        <w:rPr>
          <w:color w:val="000000"/>
        </w:rPr>
        <w:t xml:space="preserve"> labor costs.  There are no capital/startup or operation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DA4CFB">
        <w:rPr>
          <w:color w:val="000000"/>
        </w:rPr>
        <w:t>the examination</w:t>
      </w:r>
      <w:r>
        <w:rPr>
          <w:color w:val="000000"/>
        </w:rPr>
        <w:t xml:space="preserve"> of records maintained by the respondents</w:t>
      </w:r>
      <w:r w:rsidR="00DA4CFB">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C06842">
        <w:rPr>
          <w:color w:val="000000"/>
        </w:rPr>
        <w:t>622</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F0654">
        <w:rPr>
          <w:color w:val="000000"/>
        </w:rPr>
        <w:t>2</w:t>
      </w:r>
      <w:r>
        <w:rPr>
          <w:color w:val="000000"/>
        </w:rPr>
        <w:t xml:space="preserve"> General Schedule</w:t>
      </w:r>
      <w:r w:rsidR="007A458D">
        <w:rPr>
          <w:color w:val="000000"/>
        </w:rPr>
        <w:t>,</w:t>
      </w:r>
      <w:r>
        <w:rPr>
          <w:color w:val="000000"/>
        </w:rPr>
        <w:t xml:space="preserve"> which excludes locality</w:t>
      </w:r>
      <w:r w:rsidR="00114BCC">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w:t>
      </w:r>
      <w:r w:rsidR="00E77D5E">
        <w:rPr>
          <w:color w:val="000000"/>
        </w:rPr>
        <w:lastRenderedPageBreak/>
        <w:t>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4844D1" w:rsidRPr="00604EA6">
        <w:t xml:space="preserve">Table 2: Average Annual EPA Burden and Cost –NESHAP for </w:t>
      </w:r>
      <w:r w:rsidR="004844D1" w:rsidRPr="00604EA6">
        <w:rPr>
          <w:bCs/>
        </w:rPr>
        <w:t>Area Sources: Polyvinyl Chloride and Copolymer Production, Primary Copper Smelting, Secondary Copper Smelting, and Primary Nonferrous Metals—Zinc, Cadmium, and Beryllium (Renewal)</w:t>
      </w:r>
      <w:r w:rsidR="004844D1" w:rsidRPr="00604EA6">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F5746B" w:rsidRDefault="00F5746B" w:rsidP="00F046CC">
      <w:pPr>
        <w:pBdr>
          <w:top w:val="single" w:sz="6" w:space="0" w:color="FFFFFF"/>
          <w:left w:val="single" w:sz="6" w:space="0" w:color="FFFFFF"/>
          <w:bottom w:val="single" w:sz="6" w:space="0" w:color="FFFFFF"/>
          <w:right w:val="single" w:sz="6" w:space="0" w:color="FFFFFF"/>
        </w:pBdr>
        <w:rPr>
          <w:color w:val="000000"/>
        </w:rPr>
      </w:pPr>
    </w:p>
    <w:p w:rsidR="00D435C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DA4CFB">
        <w:rPr>
          <w:color w:val="000000"/>
        </w:rPr>
        <w:t xml:space="preserve">five </w:t>
      </w:r>
      <w:r>
        <w:rPr>
          <w:color w:val="000000"/>
        </w:rPr>
        <w:t xml:space="preserve">existing respondents will be subject to the standard.  </w:t>
      </w:r>
      <w:r w:rsidR="00F046CC">
        <w:rPr>
          <w:color w:val="000000"/>
        </w:rPr>
        <w:t xml:space="preserve">Of the five respondents, we estimate that there are three primary copper smelters and two primary zinc smelters.  There are no existing secondary copper smelters in the U.S.  </w:t>
      </w:r>
      <w:r>
        <w:rPr>
          <w:color w:val="000000"/>
        </w:rPr>
        <w:t xml:space="preserve">It is estimated that </w:t>
      </w:r>
      <w:r w:rsidR="00D435C8">
        <w:rPr>
          <w:color w:val="000000"/>
        </w:rPr>
        <w:t xml:space="preserve">no </w:t>
      </w:r>
      <w:r>
        <w:rPr>
          <w:color w:val="000000"/>
        </w:rPr>
        <w:t xml:space="preserve">additional respondents per year will become subject.  </w:t>
      </w:r>
      <w:r w:rsidR="00DA4CFB">
        <w:t>However, two respondents per year will effect process changes that necessitate initial applicability and compliance status reports.</w:t>
      </w:r>
      <w:r w:rsidR="00DA4CFB">
        <w:rPr>
          <w:color w:val="FF0000"/>
        </w:rPr>
        <w:t xml:space="preserve">  </w:t>
      </w:r>
      <w:r>
        <w:rPr>
          <w:color w:val="000000"/>
        </w:rPr>
        <w:t>The overall average number of responden</w:t>
      </w:r>
      <w:r w:rsidR="009A6B51">
        <w:rPr>
          <w:color w:val="000000"/>
        </w:rPr>
        <w:t xml:space="preserve">ts, as shown in the table below </w:t>
      </w:r>
      <w:r>
        <w:rPr>
          <w:color w:val="000000"/>
        </w:rPr>
        <w:t xml:space="preserve">is </w:t>
      </w:r>
      <w:r w:rsidR="00DA4CFB">
        <w:rPr>
          <w:color w:val="000000"/>
        </w:rPr>
        <w:t xml:space="preserve">five </w:t>
      </w:r>
      <w:r>
        <w:rPr>
          <w:color w:val="000000"/>
        </w:rPr>
        <w:t xml:space="preserve">per year.  </w:t>
      </w:r>
    </w:p>
    <w:p w:rsidR="00CA4CD6" w:rsidRDefault="00D435C8" w:rsidP="00F5746B">
      <w:pPr>
        <w:pBdr>
          <w:top w:val="single" w:sz="6" w:space="0" w:color="FFFFFF"/>
          <w:left w:val="single" w:sz="6" w:space="0" w:color="FFFFFF"/>
          <w:bottom w:val="single" w:sz="6" w:space="0" w:color="FFFFFF"/>
          <w:right w:val="single" w:sz="6" w:space="0" w:color="FFFFFF"/>
        </w:pBdr>
        <w:ind w:firstLine="720"/>
        <w:rPr>
          <w:color w:val="000000"/>
        </w:rPr>
      </w:pPr>
      <w:r w:rsidDel="00DA4CFB">
        <w:rPr>
          <w:color w:val="FF0000"/>
        </w:rPr>
        <w:t xml:space="preserve"> </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065447">
        <w:trPr>
          <w:tblHeader/>
        </w:trPr>
        <w:tc>
          <w:tcPr>
            <w:tcW w:w="9359" w:type="dxa"/>
            <w:gridSpan w:val="6"/>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065447">
        <w:tc>
          <w:tcPr>
            <w:tcW w:w="900"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rsidP="006E377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6E377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6E377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6E377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F5746B">
            <w:pPr>
              <w:spacing w:line="120" w:lineRule="exact"/>
              <w:jc w:val="center"/>
              <w:rPr>
                <w:color w:val="000000"/>
                <w:sz w:val="20"/>
                <w:szCs w:val="20"/>
              </w:rPr>
            </w:pPr>
          </w:p>
          <w:p w:rsidR="00CA4CD6" w:rsidRDefault="00CA4CD6" w:rsidP="00F5746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F574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F5746B">
            <w:pPr>
              <w:spacing w:line="120" w:lineRule="exact"/>
              <w:jc w:val="center"/>
              <w:rPr>
                <w:color w:val="000000"/>
                <w:sz w:val="20"/>
                <w:szCs w:val="20"/>
              </w:rPr>
            </w:pPr>
          </w:p>
          <w:p w:rsidR="00CA4CD6" w:rsidRDefault="00CA4CD6" w:rsidP="00F5746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F5746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F574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F5746B">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710" w:type="dxa"/>
            <w:tcBorders>
              <w:top w:val="single" w:sz="4" w:space="0" w:color="auto"/>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pPr>
              <w:spacing w:line="120" w:lineRule="exact"/>
              <w:rPr>
                <w:color w:val="000000"/>
                <w:sz w:val="18"/>
                <w:szCs w:val="18"/>
              </w:rPr>
            </w:pPr>
          </w:p>
          <w:p w:rsidR="00CA4CD6" w:rsidRDefault="00DA4CF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8E5CAF" w:rsidRDefault="002B29A7" w:rsidP="008E5CAF">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w:t>
      </w:r>
      <w:r w:rsidR="004F7E33">
        <w:rPr>
          <w:color w:val="000000"/>
        </w:rPr>
        <w:t>-</w:t>
      </w:r>
      <w:r w:rsidR="00CA4CD6">
        <w:rPr>
          <w:color w:val="000000"/>
        </w:rPr>
        <w:t xml:space="preserve">year period of this ICR is </w:t>
      </w:r>
      <w:r w:rsidR="0084568B">
        <w:rPr>
          <w:color w:val="000000"/>
        </w:rPr>
        <w:t>five</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jc w:val="center"/>
        <w:tblInd w:w="-33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330"/>
        <w:gridCol w:w="1170"/>
        <w:gridCol w:w="1260"/>
        <w:gridCol w:w="1890"/>
        <w:gridCol w:w="1620"/>
      </w:tblGrid>
      <w:tr w:rsidR="00A73600" w:rsidTr="00210A83">
        <w:trPr>
          <w:tblHeader/>
          <w:jc w:val="center"/>
        </w:trPr>
        <w:tc>
          <w:tcPr>
            <w:tcW w:w="9270" w:type="dxa"/>
            <w:gridSpan w:val="5"/>
          </w:tcPr>
          <w:p w:rsidR="00CA4CD6" w:rsidRDefault="00CA4CD6" w:rsidP="00F046CC">
            <w:pPr>
              <w:keepNext/>
              <w:keepLines/>
              <w:spacing w:line="120" w:lineRule="exact"/>
              <w:rPr>
                <w:color w:val="000000"/>
              </w:rPr>
            </w:pPr>
          </w:p>
          <w:p w:rsidR="00CA4CD6" w:rsidRDefault="00CA4CD6" w:rsidP="00F046CC">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210A83">
        <w:trPr>
          <w:jc w:val="center"/>
        </w:trPr>
        <w:tc>
          <w:tcPr>
            <w:tcW w:w="3330" w:type="dxa"/>
          </w:tcPr>
          <w:p w:rsidR="00CA4CD6" w:rsidRDefault="00CA4CD6" w:rsidP="00F046CC">
            <w:pPr>
              <w:keepNext/>
              <w:keepLines/>
              <w:spacing w:line="120" w:lineRule="exact"/>
              <w:rPr>
                <w:b/>
                <w:bCs/>
                <w:color w:val="000000"/>
                <w:sz w:val="18"/>
                <w:szCs w:val="18"/>
              </w:rPr>
            </w:pPr>
          </w:p>
          <w:p w:rsidR="00CA4CD6" w:rsidRDefault="00CA4CD6" w:rsidP="00F046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F046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rsidR="00CA4CD6" w:rsidRDefault="00CA4CD6" w:rsidP="00F046CC">
            <w:pPr>
              <w:keepNext/>
              <w:keepLines/>
              <w:spacing w:line="120" w:lineRule="exact"/>
              <w:rPr>
                <w:color w:val="000000"/>
                <w:sz w:val="18"/>
                <w:szCs w:val="18"/>
              </w:rPr>
            </w:pPr>
          </w:p>
          <w:p w:rsidR="00CA4CD6" w:rsidRDefault="00CA4CD6" w:rsidP="00F046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F046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rsidP="00F046CC">
            <w:pPr>
              <w:keepNext/>
              <w:keepLines/>
              <w:spacing w:line="120" w:lineRule="exact"/>
              <w:rPr>
                <w:color w:val="000000"/>
                <w:sz w:val="18"/>
                <w:szCs w:val="18"/>
              </w:rPr>
            </w:pPr>
          </w:p>
          <w:p w:rsidR="00CA4CD6" w:rsidRDefault="00CA4CD6" w:rsidP="00F046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F046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F046CC">
            <w:pPr>
              <w:keepNext/>
              <w:keepLines/>
              <w:spacing w:line="120" w:lineRule="exact"/>
              <w:rPr>
                <w:color w:val="000000"/>
                <w:sz w:val="18"/>
                <w:szCs w:val="18"/>
              </w:rPr>
            </w:pPr>
          </w:p>
          <w:p w:rsidR="00CA4CD6" w:rsidRDefault="00CA4CD6" w:rsidP="00F046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925F7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620" w:type="dxa"/>
          </w:tcPr>
          <w:p w:rsidR="00CA4CD6" w:rsidRDefault="00CA4CD6" w:rsidP="00F046CC">
            <w:pPr>
              <w:keepNext/>
              <w:keepLines/>
              <w:spacing w:line="120" w:lineRule="exact"/>
              <w:rPr>
                <w:color w:val="000000"/>
                <w:sz w:val="18"/>
                <w:szCs w:val="18"/>
              </w:rPr>
            </w:pPr>
          </w:p>
          <w:p w:rsidR="00CA4CD6" w:rsidRDefault="00CA4CD6" w:rsidP="00F046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F046C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84568B" w:rsidTr="00210A83">
        <w:trPr>
          <w:jc w:val="center"/>
        </w:trPr>
        <w:tc>
          <w:tcPr>
            <w:tcW w:w="3330" w:type="dxa"/>
            <w:vAlign w:val="center"/>
          </w:tcPr>
          <w:p w:rsidR="008E5CAF" w:rsidRDefault="008E5CAF" w:rsidP="00F046C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8E5CAF">
              <w:rPr>
                <w:color w:val="000000"/>
                <w:sz w:val="18"/>
                <w:szCs w:val="18"/>
              </w:rPr>
              <w:t>Write Report</w:t>
            </w:r>
          </w:p>
        </w:tc>
        <w:tc>
          <w:tcPr>
            <w:tcW w:w="1170" w:type="dxa"/>
            <w:vAlign w:val="center"/>
          </w:tcPr>
          <w:p w:rsidR="0084568B" w:rsidRPr="0084568B" w:rsidRDefault="0084568B"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84568B" w:rsidRPr="0084568B" w:rsidRDefault="0084568B"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84568B" w:rsidRPr="0084568B" w:rsidRDefault="0084568B"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620" w:type="dxa"/>
            <w:vAlign w:val="center"/>
          </w:tcPr>
          <w:p w:rsidR="0084568B" w:rsidRPr="0084568B" w:rsidRDefault="0084568B"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84568B" w:rsidTr="00210A83">
        <w:trPr>
          <w:jc w:val="center"/>
        </w:trPr>
        <w:tc>
          <w:tcPr>
            <w:tcW w:w="3330" w:type="dxa"/>
            <w:vAlign w:val="center"/>
          </w:tcPr>
          <w:p w:rsidR="008E5CAF" w:rsidRDefault="008E5CAF" w:rsidP="00F046C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8E5CAF">
              <w:rPr>
                <w:color w:val="000000"/>
                <w:sz w:val="18"/>
                <w:szCs w:val="18"/>
              </w:rPr>
              <w:t xml:space="preserve">    Monitor per Title V permit</w:t>
            </w:r>
          </w:p>
        </w:tc>
        <w:tc>
          <w:tcPr>
            <w:tcW w:w="117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5</w:t>
            </w:r>
          </w:p>
        </w:tc>
        <w:tc>
          <w:tcPr>
            <w:tcW w:w="126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0</w:t>
            </w:r>
          </w:p>
        </w:tc>
        <w:tc>
          <w:tcPr>
            <w:tcW w:w="189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0</w:t>
            </w:r>
          </w:p>
        </w:tc>
        <w:tc>
          <w:tcPr>
            <w:tcW w:w="162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0</w:t>
            </w:r>
          </w:p>
        </w:tc>
      </w:tr>
      <w:tr w:rsidR="0084568B" w:rsidTr="00210A83">
        <w:trPr>
          <w:jc w:val="center"/>
        </w:trPr>
        <w:tc>
          <w:tcPr>
            <w:tcW w:w="3330" w:type="dxa"/>
            <w:vAlign w:val="center"/>
          </w:tcPr>
          <w:p w:rsidR="008E5CAF" w:rsidRDefault="008E5CAF" w:rsidP="00F046C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8E5CAF">
              <w:rPr>
                <w:color w:val="000000"/>
                <w:sz w:val="18"/>
                <w:szCs w:val="18"/>
              </w:rPr>
              <w:t xml:space="preserve">    Notification of initial applicability</w:t>
            </w:r>
          </w:p>
        </w:tc>
        <w:tc>
          <w:tcPr>
            <w:tcW w:w="1170" w:type="dxa"/>
            <w:vAlign w:val="center"/>
          </w:tcPr>
          <w:p w:rsidR="0084568B" w:rsidRPr="0084568B" w:rsidDel="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2</w:t>
            </w:r>
          </w:p>
        </w:tc>
        <w:tc>
          <w:tcPr>
            <w:tcW w:w="1260" w:type="dxa"/>
            <w:vAlign w:val="center"/>
          </w:tcPr>
          <w:p w:rsidR="0084568B" w:rsidRPr="0084568B" w:rsidDel="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1</w:t>
            </w:r>
          </w:p>
        </w:tc>
        <w:tc>
          <w:tcPr>
            <w:tcW w:w="1890" w:type="dxa"/>
            <w:vAlign w:val="center"/>
          </w:tcPr>
          <w:p w:rsidR="0084568B" w:rsidRPr="0084568B" w:rsidDel="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0</w:t>
            </w:r>
          </w:p>
        </w:tc>
        <w:tc>
          <w:tcPr>
            <w:tcW w:w="1620" w:type="dxa"/>
            <w:vAlign w:val="center"/>
          </w:tcPr>
          <w:p w:rsidR="0084568B" w:rsidRPr="0084568B" w:rsidDel="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2</w:t>
            </w:r>
          </w:p>
        </w:tc>
      </w:tr>
      <w:tr w:rsidR="0084568B" w:rsidTr="00210A83">
        <w:trPr>
          <w:jc w:val="center"/>
        </w:trPr>
        <w:tc>
          <w:tcPr>
            <w:tcW w:w="3330" w:type="dxa"/>
            <w:vAlign w:val="center"/>
          </w:tcPr>
          <w:p w:rsidR="008E5CAF" w:rsidRDefault="008E5CAF" w:rsidP="00F046C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8E5CAF">
              <w:rPr>
                <w:color w:val="000000"/>
                <w:sz w:val="18"/>
                <w:szCs w:val="18"/>
              </w:rPr>
              <w:t xml:space="preserve">    Initial/repeat performance tests</w:t>
            </w:r>
          </w:p>
        </w:tc>
        <w:tc>
          <w:tcPr>
            <w:tcW w:w="117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5</w:t>
            </w:r>
          </w:p>
        </w:tc>
        <w:tc>
          <w:tcPr>
            <w:tcW w:w="126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0</w:t>
            </w:r>
          </w:p>
        </w:tc>
        <w:tc>
          <w:tcPr>
            <w:tcW w:w="189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0</w:t>
            </w:r>
          </w:p>
        </w:tc>
        <w:tc>
          <w:tcPr>
            <w:tcW w:w="162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0</w:t>
            </w:r>
          </w:p>
        </w:tc>
      </w:tr>
      <w:tr w:rsidR="0084568B" w:rsidTr="00210A83">
        <w:trPr>
          <w:jc w:val="center"/>
        </w:trPr>
        <w:tc>
          <w:tcPr>
            <w:tcW w:w="3330" w:type="dxa"/>
            <w:vAlign w:val="center"/>
          </w:tcPr>
          <w:p w:rsidR="008E5CAF" w:rsidRDefault="008E5CAF" w:rsidP="00F046C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8E5CAF">
              <w:rPr>
                <w:color w:val="000000"/>
                <w:sz w:val="18"/>
                <w:szCs w:val="18"/>
              </w:rPr>
              <w:t xml:space="preserve">    Notification of initial compliance status</w:t>
            </w:r>
          </w:p>
        </w:tc>
        <w:tc>
          <w:tcPr>
            <w:tcW w:w="117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2</w:t>
            </w:r>
          </w:p>
        </w:tc>
        <w:tc>
          <w:tcPr>
            <w:tcW w:w="126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1</w:t>
            </w:r>
          </w:p>
        </w:tc>
        <w:tc>
          <w:tcPr>
            <w:tcW w:w="189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0</w:t>
            </w:r>
          </w:p>
        </w:tc>
        <w:tc>
          <w:tcPr>
            <w:tcW w:w="162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2</w:t>
            </w:r>
          </w:p>
        </w:tc>
      </w:tr>
      <w:tr w:rsidR="0084568B" w:rsidTr="00210A83">
        <w:trPr>
          <w:jc w:val="center"/>
        </w:trPr>
        <w:tc>
          <w:tcPr>
            <w:tcW w:w="3330" w:type="dxa"/>
            <w:vAlign w:val="center"/>
          </w:tcPr>
          <w:p w:rsidR="008E5CAF" w:rsidRDefault="008E5CAF" w:rsidP="00F046C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8E5CAF">
              <w:rPr>
                <w:color w:val="000000"/>
                <w:sz w:val="18"/>
                <w:szCs w:val="18"/>
              </w:rPr>
              <w:t xml:space="preserve">    Reports per Title V permit</w:t>
            </w:r>
          </w:p>
        </w:tc>
        <w:tc>
          <w:tcPr>
            <w:tcW w:w="117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5</w:t>
            </w:r>
          </w:p>
        </w:tc>
        <w:tc>
          <w:tcPr>
            <w:tcW w:w="126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0</w:t>
            </w:r>
          </w:p>
        </w:tc>
        <w:tc>
          <w:tcPr>
            <w:tcW w:w="189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0</w:t>
            </w:r>
          </w:p>
        </w:tc>
        <w:tc>
          <w:tcPr>
            <w:tcW w:w="162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0</w:t>
            </w:r>
          </w:p>
        </w:tc>
      </w:tr>
      <w:tr w:rsidR="0084568B" w:rsidTr="00210A83">
        <w:trPr>
          <w:jc w:val="center"/>
        </w:trPr>
        <w:tc>
          <w:tcPr>
            <w:tcW w:w="3330" w:type="dxa"/>
            <w:vAlign w:val="center"/>
          </w:tcPr>
          <w:p w:rsidR="008E5CAF" w:rsidRDefault="008E5CAF" w:rsidP="00F046C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8E5CAF">
              <w:rPr>
                <w:color w:val="000000"/>
                <w:sz w:val="18"/>
                <w:szCs w:val="18"/>
              </w:rPr>
              <w:t>Total Number of Annual Responses</w:t>
            </w:r>
          </w:p>
        </w:tc>
        <w:tc>
          <w:tcPr>
            <w:tcW w:w="1170" w:type="dxa"/>
            <w:vAlign w:val="center"/>
          </w:tcPr>
          <w:p w:rsidR="0084568B" w:rsidRPr="0084568B" w:rsidRDefault="0084568B"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84568B" w:rsidRPr="0084568B" w:rsidRDefault="0084568B"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5CAF">
              <w:rPr>
                <w:color w:val="000000"/>
                <w:sz w:val="18"/>
                <w:szCs w:val="18"/>
              </w:rPr>
              <w:t>Total</w:t>
            </w:r>
          </w:p>
        </w:tc>
        <w:tc>
          <w:tcPr>
            <w:tcW w:w="1620" w:type="dxa"/>
            <w:vAlign w:val="center"/>
          </w:tcPr>
          <w:p w:rsidR="0084568B" w:rsidRPr="0084568B" w:rsidRDefault="008E5CAF" w:rsidP="00F046CC">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sidRPr="008E5CAF">
              <w:rPr>
                <w:sz w:val="18"/>
                <w:szCs w:val="18"/>
              </w:rPr>
              <w:t>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E5CAF" w:rsidRDefault="00CA4CD6" w:rsidP="008E5CA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210A83">
        <w:rPr>
          <w:color w:val="000000"/>
        </w:rPr>
        <w:t>4</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025BD7">
        <w:rPr>
          <w:color w:val="000000"/>
        </w:rPr>
        <w:t xml:space="preserve"> $4,454</w:t>
      </w:r>
      <w:r w:rsidR="008E5CAF" w:rsidRPr="008E5CAF">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4844D1" w:rsidRPr="00604EA6">
        <w:t xml:space="preserve">Table 1: Annual Respondent Burden and Cost –NESHAP for </w:t>
      </w:r>
      <w:r w:rsidR="004844D1" w:rsidRPr="00604EA6">
        <w:rPr>
          <w:bCs/>
        </w:rPr>
        <w:t>Area Sources: Polyvinyl Chloride and Copolymer Production, Primary Copper Smelting, Secondary Copper Smelting, and Primary Nonferrous Metals—Zinc, Cadmium, and Beryllium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w:t>
      </w:r>
      <w:r w:rsidR="004F7E33">
        <w:rPr>
          <w:color w:val="000000"/>
        </w:rPr>
        <w:t xml:space="preserve">           </w:t>
      </w:r>
      <w:r>
        <w:rPr>
          <w:color w:val="000000"/>
        </w:rPr>
        <w:t xml:space="preserve">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025BD7">
        <w:rPr>
          <w:color w:val="000000"/>
        </w:rPr>
        <w:t xml:space="preserve"> 46</w:t>
      </w:r>
      <w:r w:rsidR="006E377E">
        <w:rPr>
          <w:color w:val="000000"/>
        </w:rPr>
        <w:t xml:space="preserve"> </w:t>
      </w:r>
      <w:r w:rsidR="00E96E66">
        <w:rPr>
          <w:color w:val="000000"/>
        </w:rPr>
        <w:t xml:space="preserve">hours </w:t>
      </w:r>
      <w:r w:rsidR="006E377E">
        <w:rPr>
          <w:color w:val="000000"/>
        </w:rPr>
        <w:t>at a cost of $4,454</w:t>
      </w:r>
      <w:r w:rsidR="00025BD7">
        <w:rPr>
          <w:color w:val="000000"/>
        </w:rPr>
        <w:t>.</w:t>
      </w:r>
      <w:r w:rsidR="00507EC5">
        <w:rPr>
          <w:color w:val="000000"/>
        </w:rPr>
        <w:t xml:space="preserve">  </w:t>
      </w:r>
      <w:r>
        <w:rPr>
          <w:color w:val="000000"/>
        </w:rPr>
        <w:t>Details regarding these estimates may be found</w:t>
      </w:r>
      <w:r w:rsidR="004F7E33">
        <w:rPr>
          <w:color w:val="000000"/>
        </w:rPr>
        <w:t xml:space="preserve"> below</w:t>
      </w:r>
      <w:r>
        <w:rPr>
          <w:color w:val="000000"/>
        </w:rPr>
        <w:t xml:space="preserve"> in </w:t>
      </w:r>
      <w:r w:rsidR="004844D1" w:rsidRPr="00604EA6">
        <w:t xml:space="preserve">Table 1: Annual Respondent Burden and Cost –NESHAP for </w:t>
      </w:r>
      <w:r w:rsidR="004844D1" w:rsidRPr="00604EA6">
        <w:rPr>
          <w:bCs/>
        </w:rPr>
        <w:t>Area Sources: Polyvinyl Chloride and Copolymer Production, Primary Copper Smelting, Secondary Copper Smelting, and Primary Nonferrous Metals—Zinc, Cadmium, and Beryllium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4F7E33">
        <w:rPr>
          <w:color w:val="000000"/>
        </w:rPr>
        <w:t xml:space="preserve">   </w:t>
      </w:r>
      <w:r>
        <w:rPr>
          <w:color w:val="000000"/>
        </w:rPr>
        <w:t>of information is estimated to average</w:t>
      </w:r>
      <w:r w:rsidR="00025BD7">
        <w:rPr>
          <w:color w:val="000000"/>
        </w:rPr>
        <w:t xml:space="preserve"> 12</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8F0C9E">
        <w:rPr>
          <w:color w:val="000000"/>
        </w:rPr>
        <w:t>zero</w:t>
      </w:r>
      <w:r w:rsidR="00507EC5">
        <w:rPr>
          <w:color w:val="000000"/>
        </w:rPr>
        <w:t xml:space="preserve">.  </w:t>
      </w:r>
      <w:r w:rsidR="004F7E33">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025BD7">
        <w:rPr>
          <w:color w:val="000000"/>
        </w:rPr>
        <w:t>14</w:t>
      </w:r>
      <w:r>
        <w:rPr>
          <w:color w:val="000000"/>
        </w:rPr>
        <w:t xml:space="preserve"> </w:t>
      </w:r>
      <w:r>
        <w:rPr>
          <w:color w:val="000000"/>
        </w:rPr>
        <w:lastRenderedPageBreak/>
        <w:t xml:space="preserve">labor hours at a cost of </w:t>
      </w:r>
      <w:r w:rsidR="00025BD7">
        <w:rPr>
          <w:color w:val="000000"/>
        </w:rPr>
        <w:t>$622.</w:t>
      </w:r>
      <w:r w:rsidR="00144F35">
        <w:rPr>
          <w:color w:val="000000"/>
        </w:rPr>
        <w:t xml:space="preserve">  See </w:t>
      </w:r>
      <w:r w:rsidR="004F7E33">
        <w:rPr>
          <w:color w:val="000000"/>
        </w:rPr>
        <w:t xml:space="preserve">below </w:t>
      </w:r>
      <w:r w:rsidR="004844D1" w:rsidRPr="00604EA6">
        <w:t xml:space="preserve">Table 2: Average Annual EPA Burden and Cost – NESHAP for </w:t>
      </w:r>
      <w:r w:rsidR="004844D1" w:rsidRPr="00604EA6">
        <w:rPr>
          <w:bCs/>
        </w:rPr>
        <w:t>Area Sources: Polyvinyl Chloride and Copolymer Production, Primary Copper Smelting, Secondary Copper Smelting, and Primary Nonferrous Metals—Zinc, Cadmium, and Beryllium (Renewal)</w:t>
      </w:r>
      <w:r w:rsidR="004844D1" w:rsidRPr="00604EA6">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8E5CAF" w:rsidRPr="008E5CAF" w:rsidRDefault="008E5CAF" w:rsidP="008E5CAF">
      <w:pPr>
        <w:pBdr>
          <w:top w:val="single" w:sz="6" w:space="0" w:color="FFFFFF"/>
          <w:left w:val="single" w:sz="6" w:space="0" w:color="FFFFFF"/>
          <w:bottom w:val="single" w:sz="6" w:space="0" w:color="FFFFFF"/>
          <w:right w:val="single" w:sz="6" w:space="0" w:color="FFFFFF"/>
        </w:pBdr>
        <w:ind w:firstLine="720"/>
      </w:pPr>
      <w:r w:rsidRPr="008E5CAF">
        <w:t xml:space="preserve">There is no change in labor hours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w:t>
      </w:r>
      <w:r w:rsidR="00F5746B">
        <w:t xml:space="preserve"> However, there is an increase in labor costs </w:t>
      </w:r>
      <w:r w:rsidR="00F5746B" w:rsidRPr="008E5CAF">
        <w:t>from the most recently approved ICR</w:t>
      </w:r>
      <w:r w:rsidR="00F5746B">
        <w:t xml:space="preserve"> due to an adjustment in labor rates.  This ICR uses updated labor rates from the Bureau of Labor Statistics to calculate burden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025BD7">
        <w:rPr>
          <w:color w:val="000000"/>
        </w:rPr>
        <w:t xml:space="preserve"> 12</w:t>
      </w:r>
      <w:r>
        <w:rPr>
          <w:color w:val="000000"/>
        </w:rPr>
        <w:t xml:space="preserve"> hours per response.  </w:t>
      </w:r>
      <w:r w:rsidR="004F7E33">
        <w:rPr>
          <w:color w:val="000000"/>
        </w:rPr>
        <w:t>“</w:t>
      </w:r>
      <w:r>
        <w:rPr>
          <w:color w:val="000000"/>
        </w:rPr>
        <w:t>Burden</w:t>
      </w:r>
      <w:r w:rsidR="004F7E33">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C1629F">
        <w:t>EPA-HQ-OECA-2012-0702.</w:t>
      </w:r>
      <w:r w:rsidR="00354C15">
        <w:rPr>
          <w:color w:val="FF0000"/>
        </w:rPr>
        <w:t xml:space="preserve">  </w:t>
      </w:r>
      <w:r w:rsidR="00354C15" w:rsidRPr="00354C15">
        <w:t xml:space="preserve">An electronic version of the public docket is available at </w:t>
      </w:r>
      <w:r w:rsidR="00354C15" w:rsidRPr="004F7E33">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w:t>
      </w:r>
      <w:r w:rsidR="00CA4CD6" w:rsidRPr="00354C15">
        <w:lastRenderedPageBreak/>
        <w:t xml:space="preserve">number </w:t>
      </w:r>
      <w:r w:rsidR="00354C15">
        <w:t>for the docket center i</w:t>
      </w:r>
      <w:r w:rsidR="00CA4CD6" w:rsidRPr="00354C15">
        <w:t>s (202) 566-</w:t>
      </w:r>
      <w:r w:rsidR="00850ACF">
        <w:t>17</w:t>
      </w:r>
      <w:r w:rsidR="003B2B0D">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C1629F">
        <w:t>12-0702</w:t>
      </w:r>
      <w:r w:rsidR="00CA4CD6">
        <w:t xml:space="preserve"> and OMB Control Number</w:t>
      </w:r>
      <w:r w:rsidR="00C1629F">
        <w:t xml:space="preserve"> 2060-0596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7"/>
          <w:type w:val="continuous"/>
          <w:pgSz w:w="12240" w:h="15840"/>
          <w:pgMar w:top="1350" w:right="1440" w:bottom="1440" w:left="1440" w:header="1350" w:footer="1440" w:gutter="0"/>
          <w:cols w:space="720"/>
          <w:noEndnote/>
          <w:titlePg/>
          <w:docGrid w:linePitch="326"/>
        </w:sectPr>
      </w:pPr>
    </w:p>
    <w:p w:rsidR="00DA48E1" w:rsidRDefault="00DA48E1" w:rsidP="00F5746B">
      <w:pPr>
        <w:jc w:val="center"/>
        <w:rPr>
          <w:b/>
          <w:bCs/>
          <w:color w:val="000000"/>
        </w:rPr>
      </w:pPr>
      <w:r>
        <w:rPr>
          <w:b/>
          <w:bCs/>
          <w:color w:val="000000"/>
        </w:rPr>
        <w:lastRenderedPageBreak/>
        <w:t xml:space="preserve">  </w:t>
      </w:r>
      <w:r w:rsidR="004844D1" w:rsidRPr="004844D1">
        <w:rPr>
          <w:b/>
          <w:bCs/>
          <w:color w:val="000000"/>
        </w:rPr>
        <w:t>Table 1: Annual Respondent Burden and Cost –NESHAP for Area Sources: Polyvinyl Chl</w:t>
      </w:r>
      <w:r>
        <w:rPr>
          <w:b/>
          <w:bCs/>
          <w:color w:val="000000"/>
        </w:rPr>
        <w:t xml:space="preserve">oride and Copolymer Production, </w:t>
      </w:r>
      <w:r w:rsidR="004844D1" w:rsidRPr="004844D1">
        <w:rPr>
          <w:b/>
          <w:bCs/>
          <w:color w:val="000000"/>
        </w:rPr>
        <w:t>Primary Copper Smelting, Secondary Copper Smelting, and Primary Nonferrous Metals—Zinc, Cadmium, and Beryllium</w:t>
      </w:r>
    </w:p>
    <w:p w:rsidR="00A7661C" w:rsidRPr="00A7661C" w:rsidRDefault="00DA48E1" w:rsidP="00DA48E1">
      <w:pPr>
        <w:rPr>
          <w:color w:val="FF0000"/>
        </w:rPr>
      </w:pPr>
      <w:r>
        <w:rPr>
          <w:b/>
          <w:bCs/>
          <w:color w:val="000000"/>
        </w:rPr>
        <w:t xml:space="preserve">   </w:t>
      </w:r>
      <w:r w:rsidR="004844D1" w:rsidRPr="004844D1">
        <w:rPr>
          <w:b/>
          <w:bCs/>
          <w:color w:val="000000"/>
        </w:rPr>
        <w:t xml:space="preserve"> (Renewal)</w:t>
      </w:r>
    </w:p>
    <w:p w:rsidR="005C1E0C" w:rsidRDefault="005C1E0C" w:rsidP="00144F35">
      <w:pPr>
        <w:rPr>
          <w:b/>
          <w:bCs/>
          <w:color w:val="000000"/>
        </w:rPr>
      </w:pPr>
    </w:p>
    <w:tbl>
      <w:tblPr>
        <w:tblW w:w="14334" w:type="dxa"/>
        <w:jc w:val="center"/>
        <w:tblLook w:val="04A0"/>
      </w:tblPr>
      <w:tblGrid>
        <w:gridCol w:w="4692"/>
        <w:gridCol w:w="1350"/>
        <w:gridCol w:w="1260"/>
        <w:gridCol w:w="1260"/>
        <w:gridCol w:w="1320"/>
        <w:gridCol w:w="1050"/>
        <w:gridCol w:w="1350"/>
        <w:gridCol w:w="992"/>
        <w:gridCol w:w="1060"/>
      </w:tblGrid>
      <w:tr w:rsidR="005C1E0C" w:rsidRPr="005C1E0C" w:rsidTr="005C2E3C">
        <w:trPr>
          <w:trHeight w:val="1530"/>
          <w:tblHeader/>
          <w:jc w:val="center"/>
        </w:trPr>
        <w:tc>
          <w:tcPr>
            <w:tcW w:w="4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E0C" w:rsidRPr="005C1E0C" w:rsidRDefault="005C1E0C" w:rsidP="005C1E0C">
            <w:pPr>
              <w:widowControl/>
              <w:autoSpaceDE/>
              <w:autoSpaceDN/>
              <w:adjustRightInd/>
              <w:jc w:val="center"/>
              <w:rPr>
                <w:b/>
                <w:bCs/>
                <w:color w:val="000000"/>
                <w:sz w:val="20"/>
                <w:szCs w:val="20"/>
              </w:rPr>
            </w:pPr>
            <w:r w:rsidRPr="005C1E0C">
              <w:rPr>
                <w:b/>
                <w:bCs/>
                <w:color w:val="000000"/>
                <w:sz w:val="20"/>
                <w:szCs w:val="20"/>
              </w:rPr>
              <w:t>Burden item</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5C1E0C" w:rsidRDefault="005C1E0C" w:rsidP="008B7081">
            <w:pPr>
              <w:widowControl/>
              <w:autoSpaceDE/>
              <w:autoSpaceDN/>
              <w:adjustRightInd/>
              <w:jc w:val="center"/>
              <w:rPr>
                <w:b/>
                <w:bCs/>
                <w:color w:val="000000"/>
                <w:sz w:val="20"/>
                <w:szCs w:val="20"/>
              </w:rPr>
            </w:pPr>
            <w:r w:rsidRPr="005C1E0C">
              <w:rPr>
                <w:b/>
                <w:bCs/>
                <w:color w:val="000000"/>
                <w:sz w:val="20"/>
                <w:szCs w:val="20"/>
              </w:rPr>
              <w:t xml:space="preserve">(A) </w:t>
            </w:r>
          </w:p>
          <w:p w:rsidR="005C1E0C" w:rsidRPr="005C1E0C" w:rsidRDefault="005C1E0C" w:rsidP="005C1E0C">
            <w:pPr>
              <w:widowControl/>
              <w:autoSpaceDE/>
              <w:autoSpaceDN/>
              <w:adjustRightInd/>
              <w:jc w:val="center"/>
              <w:rPr>
                <w:b/>
                <w:bCs/>
                <w:color w:val="000000"/>
                <w:sz w:val="20"/>
                <w:szCs w:val="20"/>
              </w:rPr>
            </w:pPr>
            <w:r w:rsidRPr="005C1E0C">
              <w:rPr>
                <w:b/>
                <w:bCs/>
                <w:color w:val="000000"/>
                <w:sz w:val="20"/>
                <w:szCs w:val="20"/>
              </w:rP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C1E0C" w:rsidRDefault="005C1E0C" w:rsidP="008B7081">
            <w:pPr>
              <w:widowControl/>
              <w:autoSpaceDE/>
              <w:autoSpaceDN/>
              <w:adjustRightInd/>
              <w:jc w:val="center"/>
              <w:rPr>
                <w:b/>
                <w:bCs/>
                <w:color w:val="000000"/>
                <w:sz w:val="20"/>
                <w:szCs w:val="20"/>
              </w:rPr>
            </w:pPr>
            <w:r w:rsidRPr="005C1E0C">
              <w:rPr>
                <w:b/>
                <w:bCs/>
                <w:color w:val="000000"/>
                <w:sz w:val="20"/>
                <w:szCs w:val="20"/>
              </w:rPr>
              <w:t xml:space="preserve">(B) </w:t>
            </w:r>
          </w:p>
          <w:p w:rsidR="005C1E0C" w:rsidRPr="005C1E0C" w:rsidRDefault="005C1E0C" w:rsidP="005C1E0C">
            <w:pPr>
              <w:widowControl/>
              <w:autoSpaceDE/>
              <w:autoSpaceDN/>
              <w:adjustRightInd/>
              <w:jc w:val="center"/>
              <w:rPr>
                <w:b/>
                <w:bCs/>
                <w:color w:val="000000"/>
                <w:sz w:val="20"/>
                <w:szCs w:val="20"/>
              </w:rPr>
            </w:pPr>
            <w:r w:rsidRPr="005C1E0C">
              <w:rPr>
                <w:b/>
                <w:bCs/>
                <w:color w:val="000000"/>
                <w:sz w:val="20"/>
                <w:szCs w:val="20"/>
              </w:rP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C1E0C" w:rsidRDefault="005C1E0C" w:rsidP="008B7081">
            <w:pPr>
              <w:widowControl/>
              <w:autoSpaceDE/>
              <w:autoSpaceDN/>
              <w:adjustRightInd/>
              <w:jc w:val="center"/>
              <w:rPr>
                <w:b/>
                <w:bCs/>
                <w:color w:val="000000"/>
                <w:sz w:val="20"/>
                <w:szCs w:val="20"/>
              </w:rPr>
            </w:pPr>
            <w:r w:rsidRPr="005C1E0C">
              <w:rPr>
                <w:b/>
                <w:bCs/>
                <w:color w:val="000000"/>
                <w:sz w:val="20"/>
                <w:szCs w:val="20"/>
              </w:rPr>
              <w:t xml:space="preserve">(C) </w:t>
            </w:r>
          </w:p>
          <w:p w:rsidR="005C1E0C" w:rsidRDefault="005C1E0C" w:rsidP="008B7081">
            <w:pPr>
              <w:widowControl/>
              <w:autoSpaceDE/>
              <w:autoSpaceDN/>
              <w:adjustRightInd/>
              <w:jc w:val="center"/>
              <w:rPr>
                <w:b/>
                <w:bCs/>
                <w:color w:val="000000"/>
                <w:sz w:val="20"/>
                <w:szCs w:val="20"/>
              </w:rPr>
            </w:pPr>
            <w:r w:rsidRPr="005C1E0C">
              <w:rPr>
                <w:b/>
                <w:bCs/>
                <w:color w:val="000000"/>
                <w:sz w:val="20"/>
                <w:szCs w:val="20"/>
              </w:rPr>
              <w:t xml:space="preserve">Person hours per respondent per year </w:t>
            </w:r>
          </w:p>
          <w:p w:rsidR="005C1E0C" w:rsidRPr="005C1E0C" w:rsidRDefault="005C1E0C" w:rsidP="005C1E0C">
            <w:pPr>
              <w:widowControl/>
              <w:autoSpaceDE/>
              <w:autoSpaceDN/>
              <w:adjustRightInd/>
              <w:jc w:val="center"/>
              <w:rPr>
                <w:b/>
                <w:bCs/>
                <w:color w:val="000000"/>
                <w:sz w:val="20"/>
                <w:szCs w:val="20"/>
              </w:rPr>
            </w:pPr>
            <w:r w:rsidRPr="005C1E0C">
              <w:rPr>
                <w:b/>
                <w:bCs/>
                <w:color w:val="000000"/>
                <w:sz w:val="20"/>
                <w:szCs w:val="20"/>
              </w:rPr>
              <w:t>(</w:t>
            </w:r>
            <w:proofErr w:type="spellStart"/>
            <w:r w:rsidRPr="005C1E0C">
              <w:rPr>
                <w:b/>
                <w:bCs/>
                <w:color w:val="000000"/>
                <w:sz w:val="20"/>
                <w:szCs w:val="20"/>
              </w:rPr>
              <w:t>AxB</w:t>
            </w:r>
            <w:proofErr w:type="spellEnd"/>
            <w:r w:rsidRPr="005C1E0C">
              <w:rPr>
                <w:b/>
                <w:bCs/>
                <w:color w:val="000000"/>
                <w:sz w:val="20"/>
                <w:szCs w:val="20"/>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5C1E0C" w:rsidRDefault="005C1E0C" w:rsidP="008B7081">
            <w:pPr>
              <w:widowControl/>
              <w:autoSpaceDE/>
              <w:autoSpaceDN/>
              <w:adjustRightInd/>
              <w:jc w:val="center"/>
              <w:rPr>
                <w:b/>
                <w:bCs/>
                <w:color w:val="000000"/>
                <w:sz w:val="20"/>
                <w:szCs w:val="20"/>
              </w:rPr>
            </w:pPr>
            <w:r w:rsidRPr="005C1E0C">
              <w:rPr>
                <w:b/>
                <w:bCs/>
                <w:color w:val="000000"/>
                <w:sz w:val="20"/>
                <w:szCs w:val="20"/>
              </w:rPr>
              <w:t xml:space="preserve">(D) </w:t>
            </w:r>
          </w:p>
          <w:p w:rsidR="005C1E0C" w:rsidRPr="005C1E0C" w:rsidRDefault="005C1E0C" w:rsidP="005C1E0C">
            <w:pPr>
              <w:widowControl/>
              <w:autoSpaceDE/>
              <w:autoSpaceDN/>
              <w:adjustRightInd/>
              <w:jc w:val="center"/>
              <w:rPr>
                <w:b/>
                <w:bCs/>
                <w:color w:val="000000"/>
                <w:sz w:val="20"/>
                <w:szCs w:val="20"/>
              </w:rPr>
            </w:pPr>
            <w:r w:rsidRPr="005C1E0C">
              <w:rPr>
                <w:b/>
                <w:bCs/>
                <w:color w:val="000000"/>
                <w:sz w:val="20"/>
                <w:szCs w:val="20"/>
              </w:rPr>
              <w:t>Respondents per year</w:t>
            </w:r>
            <w:r w:rsidR="006A22F5">
              <w:rPr>
                <w:b/>
                <w:bCs/>
                <w:color w:val="000000"/>
                <w:sz w:val="20"/>
                <w:szCs w:val="20"/>
              </w:rPr>
              <w:t xml:space="preserve"> </w:t>
            </w:r>
            <w:r w:rsidRPr="005C1E0C">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5C1E0C" w:rsidRDefault="005C1E0C" w:rsidP="008B7081">
            <w:pPr>
              <w:widowControl/>
              <w:autoSpaceDE/>
              <w:autoSpaceDN/>
              <w:adjustRightInd/>
              <w:jc w:val="center"/>
              <w:rPr>
                <w:b/>
                <w:bCs/>
                <w:color w:val="000000"/>
                <w:sz w:val="20"/>
                <w:szCs w:val="20"/>
              </w:rPr>
            </w:pPr>
            <w:r w:rsidRPr="005C1E0C">
              <w:rPr>
                <w:b/>
                <w:bCs/>
                <w:color w:val="000000"/>
                <w:sz w:val="20"/>
                <w:szCs w:val="20"/>
              </w:rPr>
              <w:t xml:space="preserve">(E) </w:t>
            </w:r>
          </w:p>
          <w:p w:rsidR="005C1E0C" w:rsidRDefault="005C1E0C" w:rsidP="008B7081">
            <w:pPr>
              <w:widowControl/>
              <w:autoSpaceDE/>
              <w:autoSpaceDN/>
              <w:adjustRightInd/>
              <w:jc w:val="center"/>
              <w:rPr>
                <w:b/>
                <w:bCs/>
                <w:color w:val="000000"/>
                <w:sz w:val="20"/>
                <w:szCs w:val="20"/>
              </w:rPr>
            </w:pPr>
            <w:r w:rsidRPr="005C1E0C">
              <w:rPr>
                <w:b/>
                <w:bCs/>
                <w:color w:val="000000"/>
                <w:sz w:val="20"/>
                <w:szCs w:val="20"/>
              </w:rPr>
              <w:t xml:space="preserve">Technical person- hours per year </w:t>
            </w:r>
          </w:p>
          <w:p w:rsidR="005C1E0C" w:rsidRPr="005C1E0C" w:rsidRDefault="005C1E0C" w:rsidP="005C1E0C">
            <w:pPr>
              <w:widowControl/>
              <w:autoSpaceDE/>
              <w:autoSpaceDN/>
              <w:adjustRightInd/>
              <w:jc w:val="center"/>
              <w:rPr>
                <w:b/>
                <w:bCs/>
                <w:color w:val="000000"/>
                <w:sz w:val="20"/>
                <w:szCs w:val="20"/>
              </w:rPr>
            </w:pPr>
            <w:r w:rsidRPr="005C1E0C">
              <w:rPr>
                <w:b/>
                <w:bCs/>
                <w:color w:val="000000"/>
                <w:sz w:val="20"/>
                <w:szCs w:val="20"/>
              </w:rPr>
              <w:t>(</w:t>
            </w:r>
            <w:proofErr w:type="spellStart"/>
            <w:r w:rsidRPr="005C1E0C">
              <w:rPr>
                <w:b/>
                <w:bCs/>
                <w:color w:val="000000"/>
                <w:sz w:val="20"/>
                <w:szCs w:val="20"/>
              </w:rPr>
              <w:t>CxD</w:t>
            </w:r>
            <w:proofErr w:type="spellEnd"/>
            <w:r w:rsidRPr="005C1E0C">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5C1E0C" w:rsidRDefault="005C1E0C" w:rsidP="008B7081">
            <w:pPr>
              <w:widowControl/>
              <w:autoSpaceDE/>
              <w:autoSpaceDN/>
              <w:adjustRightInd/>
              <w:jc w:val="center"/>
              <w:rPr>
                <w:b/>
                <w:bCs/>
                <w:color w:val="000000"/>
                <w:sz w:val="20"/>
                <w:szCs w:val="20"/>
              </w:rPr>
            </w:pPr>
            <w:r w:rsidRPr="005C1E0C">
              <w:rPr>
                <w:b/>
                <w:bCs/>
                <w:color w:val="000000"/>
                <w:sz w:val="20"/>
                <w:szCs w:val="20"/>
              </w:rPr>
              <w:t xml:space="preserve">(F) </w:t>
            </w:r>
          </w:p>
          <w:p w:rsidR="005C1E0C" w:rsidRDefault="005C1E0C" w:rsidP="008B7081">
            <w:pPr>
              <w:widowControl/>
              <w:autoSpaceDE/>
              <w:autoSpaceDN/>
              <w:adjustRightInd/>
              <w:jc w:val="center"/>
              <w:rPr>
                <w:b/>
                <w:bCs/>
                <w:color w:val="000000"/>
                <w:sz w:val="20"/>
                <w:szCs w:val="20"/>
              </w:rPr>
            </w:pPr>
            <w:r w:rsidRPr="005C1E0C">
              <w:rPr>
                <w:b/>
                <w:bCs/>
                <w:color w:val="000000"/>
                <w:sz w:val="20"/>
                <w:szCs w:val="20"/>
              </w:rPr>
              <w:t xml:space="preserve">Management person hours per year </w:t>
            </w:r>
          </w:p>
          <w:p w:rsidR="005C1E0C" w:rsidRPr="005C1E0C" w:rsidRDefault="005C1E0C" w:rsidP="005C1E0C">
            <w:pPr>
              <w:widowControl/>
              <w:autoSpaceDE/>
              <w:autoSpaceDN/>
              <w:adjustRightInd/>
              <w:jc w:val="center"/>
              <w:rPr>
                <w:b/>
                <w:bCs/>
                <w:color w:val="000000"/>
                <w:sz w:val="20"/>
                <w:szCs w:val="20"/>
              </w:rPr>
            </w:pPr>
            <w:r w:rsidRPr="005C1E0C">
              <w:rPr>
                <w:b/>
                <w:bCs/>
                <w:color w:val="000000"/>
                <w:sz w:val="20"/>
                <w:szCs w:val="20"/>
              </w:rPr>
              <w:t>(Ex0.05)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C1E0C" w:rsidRDefault="008B7081" w:rsidP="008B7081">
            <w:pPr>
              <w:widowControl/>
              <w:autoSpaceDE/>
              <w:autoSpaceDN/>
              <w:adjustRightInd/>
              <w:jc w:val="center"/>
              <w:rPr>
                <w:b/>
                <w:bCs/>
                <w:color w:val="000000"/>
                <w:sz w:val="20"/>
                <w:szCs w:val="20"/>
              </w:rPr>
            </w:pPr>
            <w:r>
              <w:rPr>
                <w:b/>
                <w:bCs/>
                <w:color w:val="000000"/>
                <w:sz w:val="20"/>
                <w:szCs w:val="20"/>
              </w:rPr>
              <w:t xml:space="preserve">(G) </w:t>
            </w:r>
          </w:p>
          <w:p w:rsidR="005C1E0C" w:rsidRDefault="005C1E0C" w:rsidP="008B7081">
            <w:pPr>
              <w:widowControl/>
              <w:autoSpaceDE/>
              <w:autoSpaceDN/>
              <w:adjustRightInd/>
              <w:jc w:val="center"/>
              <w:rPr>
                <w:b/>
                <w:bCs/>
                <w:color w:val="000000"/>
                <w:sz w:val="20"/>
                <w:szCs w:val="20"/>
              </w:rPr>
            </w:pPr>
            <w:r w:rsidRPr="005C1E0C">
              <w:rPr>
                <w:b/>
                <w:bCs/>
                <w:color w:val="000000"/>
                <w:sz w:val="20"/>
                <w:szCs w:val="20"/>
              </w:rPr>
              <w:t xml:space="preserve">Clerical person hours per year </w:t>
            </w:r>
          </w:p>
          <w:p w:rsidR="005C1E0C" w:rsidRPr="005C1E0C" w:rsidRDefault="005C1E0C" w:rsidP="005C1E0C">
            <w:pPr>
              <w:widowControl/>
              <w:autoSpaceDE/>
              <w:autoSpaceDN/>
              <w:adjustRightInd/>
              <w:jc w:val="center"/>
              <w:rPr>
                <w:b/>
                <w:bCs/>
                <w:color w:val="000000"/>
                <w:sz w:val="20"/>
                <w:szCs w:val="20"/>
              </w:rPr>
            </w:pPr>
            <w:r w:rsidRPr="005C1E0C">
              <w:rPr>
                <w:b/>
                <w:bCs/>
                <w:color w:val="000000"/>
                <w:sz w:val="20"/>
                <w:szCs w:val="20"/>
              </w:rPr>
              <w:t>(Ex0.1)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C1E0C" w:rsidRDefault="005C1E0C" w:rsidP="008B7081">
            <w:pPr>
              <w:widowControl/>
              <w:autoSpaceDE/>
              <w:autoSpaceDN/>
              <w:adjustRightInd/>
              <w:jc w:val="center"/>
              <w:rPr>
                <w:b/>
                <w:bCs/>
                <w:color w:val="000000"/>
                <w:sz w:val="20"/>
                <w:szCs w:val="20"/>
              </w:rPr>
            </w:pPr>
            <w:r w:rsidRPr="005C1E0C">
              <w:rPr>
                <w:b/>
                <w:bCs/>
                <w:color w:val="000000"/>
                <w:sz w:val="20"/>
                <w:szCs w:val="20"/>
              </w:rPr>
              <w:t xml:space="preserve">(H) </w:t>
            </w:r>
          </w:p>
          <w:p w:rsidR="005C1E0C" w:rsidRPr="005C1E0C" w:rsidRDefault="005C1E0C" w:rsidP="005C1E0C">
            <w:pPr>
              <w:widowControl/>
              <w:autoSpaceDE/>
              <w:autoSpaceDN/>
              <w:adjustRightInd/>
              <w:jc w:val="center"/>
              <w:rPr>
                <w:b/>
                <w:bCs/>
                <w:color w:val="000000"/>
                <w:sz w:val="20"/>
                <w:szCs w:val="20"/>
              </w:rPr>
            </w:pPr>
            <w:r w:rsidRPr="005C1E0C">
              <w:rPr>
                <w:b/>
                <w:bCs/>
                <w:color w:val="000000"/>
                <w:sz w:val="20"/>
                <w:szCs w:val="20"/>
              </w:rPr>
              <w:t>Total Cost per Year, $</w:t>
            </w:r>
            <w:r w:rsidRPr="005C1E0C">
              <w:rPr>
                <w:b/>
                <w:bCs/>
                <w:color w:val="000000"/>
                <w:sz w:val="20"/>
                <w:szCs w:val="20"/>
                <w:vertAlign w:val="superscript"/>
              </w:rPr>
              <w:t>b</w:t>
            </w: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1.  Applications</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N/A</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 </w:t>
            </w: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2.  Surveys and studies</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N/A</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 </w:t>
            </w: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3.  Reporting requirements</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 </w:t>
            </w:r>
          </w:p>
        </w:tc>
      </w:tr>
      <w:tr w:rsidR="005C1E0C" w:rsidRPr="005C1E0C" w:rsidTr="005C2E3C">
        <w:trPr>
          <w:trHeight w:val="315"/>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a.  Read instructions </w:t>
            </w:r>
            <w:r w:rsidRPr="005C1E0C">
              <w:rPr>
                <w:color w:val="000000"/>
                <w:sz w:val="20"/>
                <w:szCs w:val="20"/>
                <w:vertAlign w:val="superscript"/>
              </w:rPr>
              <w:t>d</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8</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1</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8</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2</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16</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0.8</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1.6</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 xml:space="preserve">$1,781.65 </w:t>
            </w: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b.  Required activities</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 </w:t>
            </w:r>
          </w:p>
        </w:tc>
      </w:tr>
      <w:tr w:rsidR="005C1E0C" w:rsidRPr="005C1E0C" w:rsidTr="005C2E3C">
        <w:trPr>
          <w:trHeight w:val="315"/>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Monitor per Title V permit </w:t>
            </w:r>
            <w:r w:rsidRPr="005C1E0C">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2</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1</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2</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$0</w:t>
            </w:r>
          </w:p>
        </w:tc>
      </w:tr>
      <w:tr w:rsidR="005C1E0C" w:rsidRPr="005C1E0C" w:rsidTr="005C2E3C">
        <w:trPr>
          <w:trHeight w:val="315"/>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Initial/repeat performance tests </w:t>
            </w:r>
            <w:r w:rsidRPr="005C1E0C">
              <w:rPr>
                <w:color w:val="000000"/>
                <w:sz w:val="20"/>
                <w:szCs w:val="20"/>
                <w:vertAlign w:val="superscript"/>
              </w:rPr>
              <w:t>e</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4</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1</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4</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$0</w:t>
            </w: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Initial notification of applicability</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4</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1</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4</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2</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8</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0.4</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0.8</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2E3C">
            <w:pPr>
              <w:widowControl/>
              <w:autoSpaceDE/>
              <w:autoSpaceDN/>
              <w:adjustRightInd/>
              <w:jc w:val="right"/>
              <w:rPr>
                <w:color w:val="000000"/>
                <w:sz w:val="20"/>
                <w:szCs w:val="20"/>
              </w:rPr>
            </w:pPr>
            <w:r w:rsidRPr="005C1E0C">
              <w:rPr>
                <w:color w:val="000000"/>
                <w:sz w:val="20"/>
              </w:rPr>
              <w:t>$890.8</w:t>
            </w:r>
            <w:r w:rsidR="005C2E3C">
              <w:rPr>
                <w:color w:val="000000"/>
                <w:sz w:val="20"/>
              </w:rPr>
              <w:t>3</w:t>
            </w:r>
          </w:p>
        </w:tc>
      </w:tr>
      <w:tr w:rsidR="005C1E0C" w:rsidRPr="005C1E0C" w:rsidTr="005C2E3C">
        <w:trPr>
          <w:trHeight w:val="315"/>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Initial notification of compliance status </w:t>
            </w:r>
            <w:r w:rsidRPr="005C1E0C">
              <w:rPr>
                <w:color w:val="000000"/>
                <w:sz w:val="20"/>
                <w:szCs w:val="20"/>
                <w:vertAlign w:val="superscript"/>
              </w:rPr>
              <w:t>f</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8</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1</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8</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2</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16</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0.8</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1.6</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 xml:space="preserve">$1,781.65 </w:t>
            </w:r>
          </w:p>
        </w:tc>
      </w:tr>
      <w:tr w:rsidR="005C1E0C" w:rsidRPr="005C1E0C" w:rsidTr="005C2E3C">
        <w:trPr>
          <w:trHeight w:val="315"/>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Reports per Title V permit </w:t>
            </w:r>
            <w:r w:rsidRPr="005C1E0C">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2</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1</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2</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$0</w:t>
            </w: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c.  Create information</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See 3B</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 </w:t>
            </w: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d.  Gather existing information</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See 3B</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 </w:t>
            </w: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e.  Write report</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See 3B</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 </w:t>
            </w:r>
          </w:p>
        </w:tc>
      </w:tr>
      <w:tr w:rsidR="00F5746B"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F5746B" w:rsidRPr="005C1E0C" w:rsidRDefault="00F5746B" w:rsidP="005C1E0C">
            <w:pPr>
              <w:widowControl/>
              <w:autoSpaceDE/>
              <w:autoSpaceDN/>
              <w:adjustRightInd/>
              <w:rPr>
                <w:color w:val="000000"/>
                <w:sz w:val="20"/>
                <w:szCs w:val="20"/>
              </w:rPr>
            </w:pPr>
            <w:r w:rsidRPr="005C1E0C">
              <w:rPr>
                <w:color w:val="000000"/>
                <w:sz w:val="20"/>
              </w:rPr>
              <w:t>Subtotal  for Reporting  Requirements</w:t>
            </w:r>
          </w:p>
        </w:tc>
        <w:tc>
          <w:tcPr>
            <w:tcW w:w="1350" w:type="dxa"/>
            <w:tcBorders>
              <w:top w:val="nil"/>
              <w:left w:val="nil"/>
              <w:bottom w:val="single" w:sz="4" w:space="0" w:color="auto"/>
              <w:right w:val="single" w:sz="4" w:space="0" w:color="auto"/>
            </w:tcBorders>
            <w:shd w:val="clear" w:color="auto" w:fill="auto"/>
            <w:noWrap/>
            <w:hideMark/>
          </w:tcPr>
          <w:p w:rsidR="00F5746B" w:rsidRPr="005C1E0C" w:rsidRDefault="00F5746B"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F5746B" w:rsidRPr="005C1E0C" w:rsidRDefault="00F5746B"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F5746B" w:rsidRPr="005C1E0C" w:rsidRDefault="00F5746B" w:rsidP="005C1E0C">
            <w:pPr>
              <w:widowControl/>
              <w:autoSpaceDE/>
              <w:autoSpaceDN/>
              <w:adjustRightInd/>
              <w:jc w:val="center"/>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F5746B" w:rsidRPr="005C1E0C" w:rsidRDefault="00F5746B" w:rsidP="005C1E0C">
            <w:pPr>
              <w:widowControl/>
              <w:autoSpaceDE/>
              <w:autoSpaceDN/>
              <w:adjustRightInd/>
              <w:jc w:val="center"/>
              <w:rPr>
                <w:color w:val="000000"/>
                <w:sz w:val="20"/>
                <w:szCs w:val="20"/>
              </w:rPr>
            </w:pPr>
            <w:r w:rsidRPr="005C1E0C">
              <w:rPr>
                <w:color w:val="000000"/>
                <w:sz w:val="20"/>
              </w:rPr>
              <w:t> </w:t>
            </w:r>
          </w:p>
        </w:tc>
        <w:tc>
          <w:tcPr>
            <w:tcW w:w="3392" w:type="dxa"/>
            <w:gridSpan w:val="3"/>
            <w:tcBorders>
              <w:top w:val="nil"/>
              <w:left w:val="nil"/>
              <w:bottom w:val="single" w:sz="4" w:space="0" w:color="auto"/>
              <w:right w:val="single" w:sz="4" w:space="0" w:color="auto"/>
            </w:tcBorders>
            <w:shd w:val="clear" w:color="auto" w:fill="auto"/>
            <w:noWrap/>
            <w:hideMark/>
          </w:tcPr>
          <w:p w:rsidR="00F5746B" w:rsidRPr="005C1E0C" w:rsidRDefault="00F5746B" w:rsidP="005C1E0C">
            <w:pPr>
              <w:widowControl/>
              <w:autoSpaceDE/>
              <w:autoSpaceDN/>
              <w:adjustRightInd/>
              <w:jc w:val="center"/>
              <w:rPr>
                <w:color w:val="000000"/>
                <w:sz w:val="20"/>
                <w:szCs w:val="20"/>
              </w:rPr>
            </w:pPr>
            <w:r>
              <w:rPr>
                <w:color w:val="000000"/>
                <w:sz w:val="20"/>
                <w:szCs w:val="20"/>
              </w:rPr>
              <w:t>46</w:t>
            </w:r>
          </w:p>
        </w:tc>
        <w:tc>
          <w:tcPr>
            <w:tcW w:w="1060" w:type="dxa"/>
            <w:tcBorders>
              <w:top w:val="nil"/>
              <w:left w:val="nil"/>
              <w:bottom w:val="single" w:sz="4" w:space="0" w:color="auto"/>
              <w:right w:val="single" w:sz="4" w:space="0" w:color="auto"/>
            </w:tcBorders>
            <w:shd w:val="clear" w:color="auto" w:fill="auto"/>
            <w:noWrap/>
            <w:hideMark/>
          </w:tcPr>
          <w:p w:rsidR="00F5746B" w:rsidRPr="005C1E0C" w:rsidRDefault="00F5746B" w:rsidP="005C2E3C">
            <w:pPr>
              <w:widowControl/>
              <w:autoSpaceDE/>
              <w:autoSpaceDN/>
              <w:adjustRightInd/>
              <w:jc w:val="right"/>
              <w:rPr>
                <w:color w:val="000000"/>
                <w:sz w:val="20"/>
                <w:szCs w:val="20"/>
              </w:rPr>
            </w:pPr>
            <w:r w:rsidRPr="005C1E0C">
              <w:rPr>
                <w:color w:val="000000"/>
                <w:sz w:val="20"/>
              </w:rPr>
              <w:t>$4,454.1</w:t>
            </w:r>
            <w:r w:rsidR="005C2E3C">
              <w:rPr>
                <w:color w:val="000000"/>
                <w:sz w:val="20"/>
              </w:rPr>
              <w:t>3</w:t>
            </w: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4  Recordkeeping requirements</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 </w:t>
            </w: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a.  Read instructions </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See 3A</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 </w:t>
            </w: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b.  Plan activities </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See 3A</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 </w:t>
            </w: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c.  Implement activities</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See 3A</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 </w:t>
            </w:r>
          </w:p>
        </w:tc>
      </w:tr>
      <w:tr w:rsidR="005C1E0C" w:rsidRPr="005C1E0C" w:rsidTr="005C2E3C">
        <w:trPr>
          <w:trHeight w:val="315"/>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d.  Record all data required by Title V permit </w:t>
            </w:r>
            <w:r w:rsidRPr="005C1E0C">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0.25</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1</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0.25</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$0</w:t>
            </w:r>
          </w:p>
        </w:tc>
      </w:tr>
      <w:tr w:rsidR="005C1E0C" w:rsidRPr="005C1E0C" w:rsidTr="005C2E3C">
        <w:trPr>
          <w:trHeight w:val="315"/>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lastRenderedPageBreak/>
              <w:t xml:space="preserve">     e.  Time to transmit or disclose information </w:t>
            </w:r>
            <w:r w:rsidRPr="005C1E0C">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0.25</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1</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0.25</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$0</w:t>
            </w: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f.  Time to train personnel</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4</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1</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4</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0</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$0</w:t>
            </w: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5C1E0C" w:rsidRPr="005C1E0C" w:rsidRDefault="005C1E0C" w:rsidP="005C1E0C">
            <w:pPr>
              <w:widowControl/>
              <w:autoSpaceDE/>
              <w:autoSpaceDN/>
              <w:adjustRightInd/>
              <w:rPr>
                <w:color w:val="000000"/>
                <w:sz w:val="20"/>
                <w:szCs w:val="20"/>
              </w:rPr>
            </w:pPr>
            <w:r w:rsidRPr="005C1E0C">
              <w:rPr>
                <w:color w:val="000000"/>
                <w:sz w:val="20"/>
              </w:rPr>
              <w:t xml:space="preserve">     g.  Time for audits</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N/A</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992"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center"/>
              <w:rPr>
                <w:color w:val="000000"/>
                <w:sz w:val="20"/>
                <w:szCs w:val="20"/>
              </w:rPr>
            </w:pPr>
            <w:r w:rsidRPr="005C1E0C">
              <w:rPr>
                <w:color w:val="000000"/>
                <w:sz w:val="20"/>
              </w:rPr>
              <w:t> </w:t>
            </w:r>
          </w:p>
        </w:tc>
        <w:tc>
          <w:tcPr>
            <w:tcW w:w="10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jc w:val="right"/>
              <w:rPr>
                <w:color w:val="000000"/>
                <w:sz w:val="20"/>
                <w:szCs w:val="20"/>
              </w:rPr>
            </w:pPr>
            <w:r w:rsidRPr="005C1E0C">
              <w:rPr>
                <w:color w:val="000000"/>
                <w:sz w:val="20"/>
              </w:rPr>
              <w:t> </w:t>
            </w:r>
          </w:p>
        </w:tc>
      </w:tr>
      <w:tr w:rsidR="00F5746B"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hideMark/>
          </w:tcPr>
          <w:p w:rsidR="00F5746B" w:rsidRPr="005C1E0C" w:rsidRDefault="00F5746B" w:rsidP="005C1E0C">
            <w:pPr>
              <w:widowControl/>
              <w:autoSpaceDE/>
              <w:autoSpaceDN/>
              <w:adjustRightInd/>
              <w:rPr>
                <w:color w:val="000000"/>
                <w:sz w:val="20"/>
                <w:szCs w:val="20"/>
              </w:rPr>
            </w:pPr>
            <w:r w:rsidRPr="005C1E0C">
              <w:rPr>
                <w:color w:val="000000"/>
                <w:sz w:val="20"/>
              </w:rPr>
              <w:t xml:space="preserve">Subtotal  for Recordkeeping Requirements  </w:t>
            </w:r>
          </w:p>
        </w:tc>
        <w:tc>
          <w:tcPr>
            <w:tcW w:w="1350" w:type="dxa"/>
            <w:tcBorders>
              <w:top w:val="nil"/>
              <w:left w:val="nil"/>
              <w:bottom w:val="single" w:sz="4" w:space="0" w:color="auto"/>
              <w:right w:val="single" w:sz="4" w:space="0" w:color="auto"/>
            </w:tcBorders>
            <w:shd w:val="clear" w:color="auto" w:fill="auto"/>
            <w:noWrap/>
            <w:hideMark/>
          </w:tcPr>
          <w:p w:rsidR="00F5746B" w:rsidRPr="005C1E0C" w:rsidRDefault="00F5746B"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F5746B" w:rsidRPr="005C1E0C" w:rsidRDefault="00F5746B" w:rsidP="005C1E0C">
            <w:pPr>
              <w:widowControl/>
              <w:autoSpaceDE/>
              <w:autoSpaceDN/>
              <w:adjustRightInd/>
              <w:jc w:val="center"/>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F5746B" w:rsidRPr="005C1E0C" w:rsidRDefault="00F5746B" w:rsidP="005C1E0C">
            <w:pPr>
              <w:widowControl/>
              <w:autoSpaceDE/>
              <w:autoSpaceDN/>
              <w:adjustRightInd/>
              <w:jc w:val="center"/>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F5746B" w:rsidRPr="005C1E0C" w:rsidRDefault="00F5746B" w:rsidP="005C1E0C">
            <w:pPr>
              <w:widowControl/>
              <w:autoSpaceDE/>
              <w:autoSpaceDN/>
              <w:adjustRightInd/>
              <w:jc w:val="center"/>
              <w:rPr>
                <w:color w:val="000000"/>
                <w:sz w:val="20"/>
                <w:szCs w:val="20"/>
              </w:rPr>
            </w:pPr>
            <w:r w:rsidRPr="005C1E0C">
              <w:rPr>
                <w:color w:val="000000"/>
                <w:sz w:val="20"/>
              </w:rPr>
              <w:t> </w:t>
            </w:r>
          </w:p>
        </w:tc>
        <w:tc>
          <w:tcPr>
            <w:tcW w:w="3392" w:type="dxa"/>
            <w:gridSpan w:val="3"/>
            <w:tcBorders>
              <w:top w:val="nil"/>
              <w:left w:val="nil"/>
              <w:bottom w:val="single" w:sz="4" w:space="0" w:color="auto"/>
              <w:right w:val="single" w:sz="4" w:space="0" w:color="auto"/>
            </w:tcBorders>
            <w:shd w:val="clear" w:color="auto" w:fill="auto"/>
            <w:noWrap/>
            <w:hideMark/>
          </w:tcPr>
          <w:p w:rsidR="00F5746B" w:rsidRPr="005C1E0C" w:rsidRDefault="00F5746B" w:rsidP="005C1E0C">
            <w:pPr>
              <w:widowControl/>
              <w:autoSpaceDE/>
              <w:autoSpaceDN/>
              <w:adjustRightInd/>
              <w:jc w:val="center"/>
              <w:rPr>
                <w:color w:val="000000"/>
                <w:sz w:val="20"/>
                <w:szCs w:val="20"/>
              </w:rPr>
            </w:pPr>
            <w:r>
              <w:rPr>
                <w:color w:val="000000"/>
                <w:sz w:val="20"/>
                <w:szCs w:val="20"/>
              </w:rPr>
              <w:t>0</w:t>
            </w:r>
          </w:p>
        </w:tc>
        <w:tc>
          <w:tcPr>
            <w:tcW w:w="1060" w:type="dxa"/>
            <w:tcBorders>
              <w:top w:val="nil"/>
              <w:left w:val="nil"/>
              <w:bottom w:val="single" w:sz="4" w:space="0" w:color="auto"/>
              <w:right w:val="single" w:sz="4" w:space="0" w:color="auto"/>
            </w:tcBorders>
            <w:shd w:val="clear" w:color="auto" w:fill="auto"/>
            <w:noWrap/>
            <w:hideMark/>
          </w:tcPr>
          <w:p w:rsidR="00F5746B" w:rsidRPr="005C1E0C" w:rsidRDefault="00F5746B" w:rsidP="005C1E0C">
            <w:pPr>
              <w:widowControl/>
              <w:autoSpaceDE/>
              <w:autoSpaceDN/>
              <w:adjustRightInd/>
              <w:jc w:val="right"/>
              <w:rPr>
                <w:color w:val="000000"/>
                <w:sz w:val="20"/>
                <w:szCs w:val="20"/>
              </w:rPr>
            </w:pPr>
          </w:p>
        </w:tc>
      </w:tr>
      <w:tr w:rsidR="005C1E0C" w:rsidRPr="005C1E0C" w:rsidTr="005C2E3C">
        <w:trPr>
          <w:trHeight w:val="300"/>
          <w:jc w:val="center"/>
        </w:trPr>
        <w:tc>
          <w:tcPr>
            <w:tcW w:w="4692" w:type="dxa"/>
            <w:tcBorders>
              <w:top w:val="nil"/>
              <w:left w:val="single" w:sz="4" w:space="0" w:color="auto"/>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rPr>
                <w:b/>
                <w:bCs/>
                <w:color w:val="000000"/>
                <w:sz w:val="20"/>
                <w:szCs w:val="20"/>
              </w:rPr>
            </w:pPr>
            <w:r w:rsidRPr="005C1E0C">
              <w:rPr>
                <w:b/>
                <w:bCs/>
                <w:color w:val="000000"/>
                <w:sz w:val="20"/>
                <w:szCs w:val="20"/>
              </w:rPr>
              <w:t>TOTAL LABOR BURDEN AND COST (rounded)</w:t>
            </w:r>
          </w:p>
        </w:tc>
        <w:tc>
          <w:tcPr>
            <w:tcW w:w="135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rPr>
                <w:color w:val="000000"/>
                <w:sz w:val="20"/>
                <w:szCs w:val="20"/>
              </w:rPr>
            </w:pPr>
            <w:r w:rsidRPr="005C1E0C">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rPr>
                <w:color w:val="000000"/>
                <w:sz w:val="20"/>
                <w:szCs w:val="20"/>
              </w:rPr>
            </w:pPr>
            <w:r w:rsidRPr="005C1E0C">
              <w:rPr>
                <w:color w:val="000000"/>
                <w:sz w:val="20"/>
              </w:rPr>
              <w:t> </w:t>
            </w:r>
          </w:p>
        </w:tc>
        <w:tc>
          <w:tcPr>
            <w:tcW w:w="1320" w:type="dxa"/>
            <w:tcBorders>
              <w:top w:val="nil"/>
              <w:left w:val="nil"/>
              <w:bottom w:val="single" w:sz="4" w:space="0" w:color="auto"/>
              <w:right w:val="single" w:sz="4" w:space="0" w:color="auto"/>
            </w:tcBorders>
            <w:shd w:val="clear" w:color="auto" w:fill="auto"/>
            <w:noWrap/>
            <w:hideMark/>
          </w:tcPr>
          <w:p w:rsidR="005C1E0C" w:rsidRPr="005C1E0C" w:rsidRDefault="005C1E0C" w:rsidP="005C1E0C">
            <w:pPr>
              <w:widowControl/>
              <w:autoSpaceDE/>
              <w:autoSpaceDN/>
              <w:adjustRightInd/>
              <w:rPr>
                <w:color w:val="000000"/>
                <w:sz w:val="20"/>
                <w:szCs w:val="20"/>
              </w:rPr>
            </w:pPr>
            <w:r w:rsidRPr="005C1E0C">
              <w:rPr>
                <w:color w:val="000000"/>
                <w:sz w:val="20"/>
              </w:rPr>
              <w:t> </w:t>
            </w:r>
          </w:p>
        </w:tc>
        <w:tc>
          <w:tcPr>
            <w:tcW w:w="339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C1E0C" w:rsidRPr="005C1E0C" w:rsidRDefault="005C1E0C" w:rsidP="00F11689">
            <w:pPr>
              <w:widowControl/>
              <w:autoSpaceDE/>
              <w:autoSpaceDN/>
              <w:adjustRightInd/>
              <w:jc w:val="center"/>
              <w:rPr>
                <w:color w:val="000000"/>
                <w:sz w:val="20"/>
                <w:szCs w:val="20"/>
              </w:rPr>
            </w:pPr>
            <w:r w:rsidRPr="005C1E0C">
              <w:rPr>
                <w:color w:val="000000"/>
                <w:sz w:val="20"/>
              </w:rPr>
              <w:t>46</w:t>
            </w:r>
          </w:p>
        </w:tc>
        <w:tc>
          <w:tcPr>
            <w:tcW w:w="1060" w:type="dxa"/>
            <w:tcBorders>
              <w:top w:val="nil"/>
              <w:left w:val="nil"/>
              <w:bottom w:val="single" w:sz="4" w:space="0" w:color="auto"/>
              <w:right w:val="single" w:sz="4" w:space="0" w:color="auto"/>
            </w:tcBorders>
            <w:shd w:val="clear" w:color="auto" w:fill="auto"/>
            <w:noWrap/>
            <w:vAlign w:val="center"/>
            <w:hideMark/>
          </w:tcPr>
          <w:p w:rsidR="005C1E0C" w:rsidRPr="005C1E0C" w:rsidRDefault="005C1E0C" w:rsidP="00F11689">
            <w:pPr>
              <w:widowControl/>
              <w:autoSpaceDE/>
              <w:autoSpaceDN/>
              <w:adjustRightInd/>
              <w:jc w:val="right"/>
              <w:rPr>
                <w:color w:val="000000"/>
                <w:sz w:val="20"/>
                <w:szCs w:val="20"/>
              </w:rPr>
            </w:pPr>
            <w:r w:rsidRPr="005C1E0C">
              <w:rPr>
                <w:color w:val="000000"/>
                <w:sz w:val="20"/>
              </w:rPr>
              <w:t xml:space="preserve">$4,454 </w:t>
            </w:r>
          </w:p>
        </w:tc>
      </w:tr>
      <w:tr w:rsidR="005C1E0C" w:rsidRPr="005C1E0C" w:rsidTr="005C2E3C">
        <w:trPr>
          <w:trHeight w:val="300"/>
          <w:jc w:val="center"/>
        </w:trPr>
        <w:tc>
          <w:tcPr>
            <w:tcW w:w="4692" w:type="dxa"/>
            <w:tcBorders>
              <w:top w:val="nil"/>
              <w:left w:val="nil"/>
              <w:bottom w:val="nil"/>
              <w:right w:val="nil"/>
            </w:tcBorders>
            <w:shd w:val="clear" w:color="auto" w:fill="auto"/>
            <w:noWrap/>
            <w:vAlign w:val="bottom"/>
            <w:hideMark/>
          </w:tcPr>
          <w:p w:rsidR="005C1E0C" w:rsidRPr="005C1E0C" w:rsidRDefault="005C1E0C" w:rsidP="005C1E0C">
            <w:pPr>
              <w:widowControl/>
              <w:autoSpaceDE/>
              <w:autoSpaceDN/>
              <w:adjustRightInd/>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rsidR="005C1E0C" w:rsidRPr="005C1E0C" w:rsidRDefault="005C1E0C" w:rsidP="005C1E0C">
            <w:pPr>
              <w:widowControl/>
              <w:autoSpaceDE/>
              <w:autoSpaceDN/>
              <w:adjustRightInd/>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5C1E0C" w:rsidRPr="005C1E0C" w:rsidRDefault="005C1E0C" w:rsidP="005C1E0C">
            <w:pPr>
              <w:widowControl/>
              <w:autoSpaceDE/>
              <w:autoSpaceDN/>
              <w:adjustRightInd/>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5C1E0C" w:rsidRPr="005C1E0C" w:rsidRDefault="005C1E0C" w:rsidP="005C1E0C">
            <w:pPr>
              <w:widowControl/>
              <w:autoSpaceDE/>
              <w:autoSpaceDN/>
              <w:adjustRightInd/>
              <w:rPr>
                <w:rFonts w:ascii="Calibri" w:hAnsi="Calibri"/>
                <w:color w:val="000000"/>
                <w:sz w:val="22"/>
                <w:szCs w:val="22"/>
              </w:rPr>
            </w:pPr>
          </w:p>
        </w:tc>
        <w:tc>
          <w:tcPr>
            <w:tcW w:w="1320" w:type="dxa"/>
            <w:tcBorders>
              <w:top w:val="nil"/>
              <w:left w:val="nil"/>
              <w:bottom w:val="nil"/>
              <w:right w:val="nil"/>
            </w:tcBorders>
            <w:shd w:val="clear" w:color="auto" w:fill="auto"/>
            <w:noWrap/>
            <w:vAlign w:val="bottom"/>
            <w:hideMark/>
          </w:tcPr>
          <w:p w:rsidR="005C1E0C" w:rsidRPr="005C1E0C" w:rsidRDefault="005C1E0C" w:rsidP="005C1E0C">
            <w:pPr>
              <w:widowControl/>
              <w:autoSpaceDE/>
              <w:autoSpaceDN/>
              <w:adjustRightInd/>
              <w:rPr>
                <w:rFonts w:ascii="Calibri" w:hAnsi="Calibri"/>
                <w:color w:val="000000"/>
                <w:sz w:val="22"/>
                <w:szCs w:val="22"/>
              </w:rPr>
            </w:pPr>
          </w:p>
        </w:tc>
        <w:tc>
          <w:tcPr>
            <w:tcW w:w="1050" w:type="dxa"/>
            <w:tcBorders>
              <w:top w:val="nil"/>
              <w:left w:val="nil"/>
              <w:bottom w:val="nil"/>
              <w:right w:val="nil"/>
            </w:tcBorders>
            <w:shd w:val="clear" w:color="auto" w:fill="auto"/>
            <w:noWrap/>
            <w:vAlign w:val="bottom"/>
            <w:hideMark/>
          </w:tcPr>
          <w:p w:rsidR="005C1E0C" w:rsidRPr="005C1E0C" w:rsidRDefault="005C1E0C" w:rsidP="005C1E0C">
            <w:pPr>
              <w:widowControl/>
              <w:autoSpaceDE/>
              <w:autoSpaceDN/>
              <w:adjustRightInd/>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rsidR="005C1E0C" w:rsidRPr="005C1E0C" w:rsidRDefault="005C1E0C" w:rsidP="005C1E0C">
            <w:pPr>
              <w:widowControl/>
              <w:autoSpaceDE/>
              <w:autoSpaceDN/>
              <w:adjustRightInd/>
              <w:rPr>
                <w:rFonts w:ascii="Calibri" w:hAnsi="Calibri"/>
                <w:color w:val="000000"/>
                <w:sz w:val="22"/>
                <w:szCs w:val="22"/>
              </w:rPr>
            </w:pPr>
          </w:p>
        </w:tc>
        <w:tc>
          <w:tcPr>
            <w:tcW w:w="992" w:type="dxa"/>
            <w:tcBorders>
              <w:top w:val="nil"/>
              <w:left w:val="nil"/>
              <w:bottom w:val="nil"/>
              <w:right w:val="nil"/>
            </w:tcBorders>
            <w:shd w:val="clear" w:color="auto" w:fill="auto"/>
            <w:noWrap/>
            <w:vAlign w:val="bottom"/>
            <w:hideMark/>
          </w:tcPr>
          <w:p w:rsidR="005C1E0C" w:rsidRPr="005C1E0C" w:rsidRDefault="005C1E0C" w:rsidP="005C1E0C">
            <w:pPr>
              <w:widowControl/>
              <w:autoSpaceDE/>
              <w:autoSpaceDN/>
              <w:adjustRightInd/>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5C1E0C" w:rsidRPr="005C1E0C" w:rsidRDefault="005C1E0C" w:rsidP="005C1E0C">
            <w:pPr>
              <w:widowControl/>
              <w:autoSpaceDE/>
              <w:autoSpaceDN/>
              <w:adjustRightInd/>
              <w:rPr>
                <w:rFonts w:ascii="Calibri" w:hAnsi="Calibri"/>
                <w:color w:val="000000"/>
                <w:sz w:val="22"/>
                <w:szCs w:val="22"/>
              </w:rPr>
            </w:pPr>
          </w:p>
        </w:tc>
      </w:tr>
      <w:tr w:rsidR="005C1E0C" w:rsidRPr="005C1E0C" w:rsidTr="005C2E3C">
        <w:trPr>
          <w:trHeight w:val="747"/>
          <w:jc w:val="center"/>
        </w:trPr>
        <w:tc>
          <w:tcPr>
            <w:tcW w:w="14334" w:type="dxa"/>
            <w:gridSpan w:val="9"/>
            <w:tcBorders>
              <w:top w:val="nil"/>
              <w:left w:val="nil"/>
              <w:bottom w:val="nil"/>
              <w:right w:val="nil"/>
            </w:tcBorders>
            <w:shd w:val="clear" w:color="auto" w:fill="auto"/>
            <w:vAlign w:val="bottom"/>
            <w:hideMark/>
          </w:tcPr>
          <w:p w:rsidR="00627A1D" w:rsidRDefault="00627A1D" w:rsidP="005C1E0C">
            <w:pPr>
              <w:widowControl/>
              <w:autoSpaceDE/>
              <w:autoSpaceDN/>
              <w:adjustRightInd/>
              <w:rPr>
                <w:rFonts w:ascii="Calibri" w:hAnsi="Calibri"/>
                <w:b/>
                <w:color w:val="000000"/>
                <w:sz w:val="20"/>
                <w:szCs w:val="20"/>
              </w:rPr>
            </w:pPr>
            <w:r w:rsidRPr="00A518CE">
              <w:rPr>
                <w:rFonts w:ascii="Calibri" w:hAnsi="Calibri"/>
                <w:b/>
                <w:color w:val="000000"/>
                <w:sz w:val="20"/>
                <w:szCs w:val="20"/>
              </w:rPr>
              <w:t>Assumptions:</w:t>
            </w:r>
          </w:p>
          <w:p w:rsidR="00D634F1" w:rsidRPr="00D634F1" w:rsidRDefault="005C1E0C" w:rsidP="005C1E0C">
            <w:pPr>
              <w:widowControl/>
              <w:autoSpaceDE/>
              <w:autoSpaceDN/>
              <w:adjustRightInd/>
              <w:rPr>
                <w:color w:val="000000"/>
                <w:sz w:val="20"/>
                <w:szCs w:val="20"/>
              </w:rPr>
            </w:pPr>
            <w:proofErr w:type="spellStart"/>
            <w:proofErr w:type="gramStart"/>
            <w:r w:rsidRPr="005C1E0C">
              <w:rPr>
                <w:color w:val="000000"/>
                <w:vertAlign w:val="superscript"/>
              </w:rPr>
              <w:t>a</w:t>
            </w:r>
            <w:proofErr w:type="spellEnd"/>
            <w:r w:rsidRPr="005C1E0C">
              <w:rPr>
                <w:color w:val="000000"/>
                <w:sz w:val="20"/>
                <w:szCs w:val="20"/>
              </w:rPr>
              <w:t xml:space="preserve">  We</w:t>
            </w:r>
            <w:proofErr w:type="gramEnd"/>
            <w:r w:rsidRPr="005C1E0C">
              <w:rPr>
                <w:color w:val="000000"/>
                <w:sz w:val="20"/>
                <w:szCs w:val="20"/>
              </w:rPr>
              <w:t xml:space="preserve"> have assumed that the average number of respondents potentially subject to this rule is five.  Each year two respondents are anticipated to effect process changes requiring notification to the Agency regarding applicability and compliance status.  There will be no additional new sources over the three-year period of this ICR.</w:t>
            </w:r>
          </w:p>
        </w:tc>
      </w:tr>
      <w:tr w:rsidR="005C1E0C" w:rsidRPr="005C1E0C" w:rsidTr="005C2E3C">
        <w:trPr>
          <w:trHeight w:val="378"/>
          <w:jc w:val="center"/>
        </w:trPr>
        <w:tc>
          <w:tcPr>
            <w:tcW w:w="14334" w:type="dxa"/>
            <w:gridSpan w:val="9"/>
            <w:tcBorders>
              <w:top w:val="nil"/>
              <w:left w:val="nil"/>
              <w:bottom w:val="nil"/>
              <w:right w:val="nil"/>
            </w:tcBorders>
            <w:shd w:val="clear" w:color="auto" w:fill="auto"/>
            <w:vAlign w:val="bottom"/>
            <w:hideMark/>
          </w:tcPr>
          <w:p w:rsidR="005C1E0C" w:rsidRPr="005C1E0C" w:rsidRDefault="005C1E0C" w:rsidP="005C1E0C">
            <w:pPr>
              <w:widowControl/>
              <w:autoSpaceDE/>
              <w:autoSpaceDN/>
              <w:adjustRightInd/>
              <w:rPr>
                <w:color w:val="000000"/>
              </w:rPr>
            </w:pPr>
            <w:r w:rsidRPr="005C1E0C">
              <w:rPr>
                <w:color w:val="000000"/>
                <w:vertAlign w:val="superscript"/>
              </w:rPr>
              <w:t>b</w:t>
            </w:r>
            <w:r w:rsidRPr="005C1E0C">
              <w:rPr>
                <w:color w:val="000000"/>
                <w:sz w:val="20"/>
                <w:szCs w:val="20"/>
              </w:rPr>
              <w:t xml:space="preserve">  This ICR uses the following labor rates:  $121.44 per hour for Executive, Administrative, and Managerial labor; $100.23 per hour for Technical labor, and $50.51</w:t>
            </w:r>
          </w:p>
        </w:tc>
      </w:tr>
      <w:tr w:rsidR="005C1E0C" w:rsidRPr="005C1E0C" w:rsidTr="005C2E3C">
        <w:trPr>
          <w:trHeight w:val="711"/>
          <w:jc w:val="center"/>
        </w:trPr>
        <w:tc>
          <w:tcPr>
            <w:tcW w:w="14334" w:type="dxa"/>
            <w:gridSpan w:val="9"/>
            <w:tcBorders>
              <w:top w:val="nil"/>
              <w:left w:val="nil"/>
              <w:bottom w:val="nil"/>
              <w:right w:val="nil"/>
            </w:tcBorders>
            <w:shd w:val="clear" w:color="auto" w:fill="auto"/>
            <w:vAlign w:val="bottom"/>
            <w:hideMark/>
          </w:tcPr>
          <w:p w:rsidR="005C1E0C" w:rsidRDefault="005C1E0C" w:rsidP="005C1E0C">
            <w:pPr>
              <w:widowControl/>
              <w:autoSpaceDE/>
              <w:autoSpaceDN/>
              <w:adjustRightInd/>
              <w:rPr>
                <w:color w:val="000000"/>
                <w:sz w:val="20"/>
                <w:szCs w:val="20"/>
              </w:rPr>
            </w:pPr>
            <w:proofErr w:type="gramStart"/>
            <w:r w:rsidRPr="005C1E0C">
              <w:rPr>
                <w:color w:val="000000"/>
                <w:sz w:val="20"/>
                <w:szCs w:val="20"/>
              </w:rPr>
              <w:t>per</w:t>
            </w:r>
            <w:proofErr w:type="gramEnd"/>
            <w:r w:rsidRPr="005C1E0C">
              <w:rPr>
                <w:color w:val="000000"/>
                <w:sz w:val="20"/>
                <w:szCs w:val="20"/>
              </w:rPr>
              <w:t xml:space="preserve"> hour for Clerical labor.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w:t>
            </w:r>
          </w:p>
          <w:p w:rsidR="00D634F1" w:rsidRDefault="00D634F1" w:rsidP="005C1E0C">
            <w:pPr>
              <w:widowControl/>
              <w:autoSpaceDE/>
              <w:autoSpaceDN/>
              <w:adjustRightInd/>
              <w:rPr>
                <w:color w:val="000000"/>
                <w:sz w:val="20"/>
                <w:szCs w:val="20"/>
              </w:rPr>
            </w:pPr>
            <w:proofErr w:type="gramStart"/>
            <w:r w:rsidRPr="00D634F1">
              <w:rPr>
                <w:color w:val="000000"/>
                <w:sz w:val="20"/>
                <w:szCs w:val="20"/>
                <w:vertAlign w:val="superscript"/>
              </w:rPr>
              <w:t>c</w:t>
            </w:r>
            <w:r>
              <w:rPr>
                <w:color w:val="000000"/>
                <w:sz w:val="20"/>
                <w:szCs w:val="20"/>
              </w:rPr>
              <w:t xml:space="preserve">  We</w:t>
            </w:r>
            <w:proofErr w:type="gramEnd"/>
            <w:r>
              <w:rPr>
                <w:color w:val="000000"/>
                <w:sz w:val="20"/>
                <w:szCs w:val="20"/>
              </w:rPr>
              <w:t xml:space="preserve"> have assumed that no hours or costs are associated with this burden item because existing plants are already complying with the requirement in their Title V operating permit.</w:t>
            </w:r>
          </w:p>
          <w:p w:rsidR="00D634F1" w:rsidRDefault="00D634F1" w:rsidP="005C1E0C">
            <w:pPr>
              <w:widowControl/>
              <w:autoSpaceDE/>
              <w:autoSpaceDN/>
              <w:adjustRightInd/>
              <w:rPr>
                <w:color w:val="000000"/>
                <w:sz w:val="20"/>
                <w:szCs w:val="20"/>
              </w:rPr>
            </w:pPr>
            <w:proofErr w:type="gramStart"/>
            <w:r w:rsidRPr="00D634F1">
              <w:rPr>
                <w:color w:val="000000"/>
                <w:sz w:val="20"/>
                <w:szCs w:val="20"/>
                <w:vertAlign w:val="superscript"/>
              </w:rPr>
              <w:t>d</w:t>
            </w:r>
            <w:r>
              <w:rPr>
                <w:color w:val="000000"/>
                <w:sz w:val="20"/>
                <w:szCs w:val="20"/>
              </w:rPr>
              <w:t xml:space="preserve">  We</w:t>
            </w:r>
            <w:proofErr w:type="gramEnd"/>
            <w:r>
              <w:rPr>
                <w:color w:val="000000"/>
                <w:sz w:val="20"/>
                <w:szCs w:val="20"/>
              </w:rPr>
              <w:t xml:space="preserve"> have assumed that it will take eight hours for each respondent to read instructions.</w:t>
            </w:r>
          </w:p>
          <w:p w:rsidR="00D634F1" w:rsidRDefault="00D634F1" w:rsidP="005C1E0C">
            <w:pPr>
              <w:widowControl/>
              <w:autoSpaceDE/>
              <w:autoSpaceDN/>
              <w:adjustRightInd/>
              <w:rPr>
                <w:color w:val="000000"/>
                <w:sz w:val="20"/>
                <w:szCs w:val="20"/>
              </w:rPr>
            </w:pPr>
            <w:proofErr w:type="gramStart"/>
            <w:r w:rsidRPr="00D634F1">
              <w:rPr>
                <w:color w:val="000000"/>
                <w:sz w:val="20"/>
                <w:szCs w:val="20"/>
                <w:vertAlign w:val="superscript"/>
              </w:rPr>
              <w:t xml:space="preserve">e </w:t>
            </w:r>
            <w:r>
              <w:rPr>
                <w:color w:val="000000"/>
                <w:sz w:val="20"/>
                <w:szCs w:val="20"/>
              </w:rPr>
              <w:t xml:space="preserve"> We</w:t>
            </w:r>
            <w:proofErr w:type="gramEnd"/>
            <w:r>
              <w:rPr>
                <w:color w:val="000000"/>
                <w:sz w:val="20"/>
                <w:szCs w:val="20"/>
              </w:rPr>
              <w:t xml:space="preserve"> have assumed that an existing facility may certify initial compliance based on previous PM test; no new test is required.</w:t>
            </w:r>
          </w:p>
          <w:p w:rsidR="00D634F1" w:rsidRDefault="00D634F1" w:rsidP="005C1E0C">
            <w:pPr>
              <w:widowControl/>
              <w:autoSpaceDE/>
              <w:autoSpaceDN/>
              <w:adjustRightInd/>
              <w:rPr>
                <w:color w:val="000000"/>
                <w:sz w:val="20"/>
                <w:szCs w:val="20"/>
              </w:rPr>
            </w:pPr>
            <w:proofErr w:type="gramStart"/>
            <w:r w:rsidRPr="00D634F1">
              <w:rPr>
                <w:color w:val="000000"/>
                <w:sz w:val="20"/>
                <w:szCs w:val="20"/>
                <w:vertAlign w:val="superscript"/>
              </w:rPr>
              <w:t xml:space="preserve">f </w:t>
            </w:r>
            <w:r>
              <w:rPr>
                <w:color w:val="000000"/>
                <w:sz w:val="20"/>
                <w:szCs w:val="20"/>
              </w:rPr>
              <w:t xml:space="preserve"> We</w:t>
            </w:r>
            <w:proofErr w:type="gramEnd"/>
            <w:r>
              <w:rPr>
                <w:color w:val="000000"/>
                <w:sz w:val="20"/>
                <w:szCs w:val="20"/>
              </w:rPr>
              <w:t xml:space="preserve"> have assumed that it will take eight hours for each respondent to complete the initial notification of compliance status report.</w:t>
            </w:r>
          </w:p>
          <w:p w:rsidR="00D634F1" w:rsidRPr="005C1E0C" w:rsidRDefault="00D634F1" w:rsidP="005C1E0C">
            <w:pPr>
              <w:widowControl/>
              <w:autoSpaceDE/>
              <w:autoSpaceDN/>
              <w:adjustRightInd/>
              <w:rPr>
                <w:color w:val="000000"/>
                <w:sz w:val="20"/>
                <w:szCs w:val="20"/>
              </w:rPr>
            </w:pPr>
          </w:p>
        </w:tc>
      </w:tr>
      <w:tr w:rsidR="005C1E0C" w:rsidRPr="005C1E0C" w:rsidTr="005C2E3C">
        <w:trPr>
          <w:trHeight w:val="621"/>
          <w:jc w:val="center"/>
        </w:trPr>
        <w:tc>
          <w:tcPr>
            <w:tcW w:w="14334" w:type="dxa"/>
            <w:gridSpan w:val="9"/>
            <w:tcBorders>
              <w:top w:val="nil"/>
              <w:left w:val="nil"/>
              <w:bottom w:val="nil"/>
              <w:right w:val="nil"/>
            </w:tcBorders>
            <w:shd w:val="clear" w:color="auto" w:fill="auto"/>
            <w:vAlign w:val="bottom"/>
            <w:hideMark/>
          </w:tcPr>
          <w:p w:rsidR="005C1E0C" w:rsidRPr="005C1E0C" w:rsidRDefault="005C1E0C" w:rsidP="005C1E0C">
            <w:pPr>
              <w:widowControl/>
              <w:autoSpaceDE/>
              <w:autoSpaceDN/>
              <w:adjustRightInd/>
              <w:rPr>
                <w:color w:val="000000"/>
                <w:sz w:val="20"/>
                <w:szCs w:val="20"/>
              </w:rPr>
            </w:pPr>
          </w:p>
        </w:tc>
      </w:tr>
      <w:tr w:rsidR="005C1E0C" w:rsidRPr="005C1E0C" w:rsidTr="005C2E3C">
        <w:trPr>
          <w:trHeight w:val="375"/>
          <w:jc w:val="center"/>
        </w:trPr>
        <w:tc>
          <w:tcPr>
            <w:tcW w:w="14334" w:type="dxa"/>
            <w:gridSpan w:val="9"/>
            <w:tcBorders>
              <w:top w:val="nil"/>
              <w:left w:val="nil"/>
              <w:bottom w:val="nil"/>
              <w:right w:val="nil"/>
            </w:tcBorders>
            <w:shd w:val="clear" w:color="auto" w:fill="auto"/>
            <w:vAlign w:val="bottom"/>
            <w:hideMark/>
          </w:tcPr>
          <w:p w:rsidR="005C1E0C" w:rsidRPr="005C1E0C" w:rsidRDefault="005C1E0C" w:rsidP="005C1E0C">
            <w:pPr>
              <w:widowControl/>
              <w:autoSpaceDE/>
              <w:autoSpaceDN/>
              <w:adjustRightInd/>
              <w:rPr>
                <w:color w:val="000000"/>
              </w:rPr>
            </w:pPr>
          </w:p>
        </w:tc>
      </w:tr>
      <w:tr w:rsidR="005C1E0C" w:rsidRPr="005C1E0C" w:rsidTr="005C2E3C">
        <w:trPr>
          <w:trHeight w:val="375"/>
          <w:jc w:val="center"/>
        </w:trPr>
        <w:tc>
          <w:tcPr>
            <w:tcW w:w="14334" w:type="dxa"/>
            <w:gridSpan w:val="9"/>
            <w:tcBorders>
              <w:top w:val="nil"/>
              <w:left w:val="nil"/>
              <w:bottom w:val="nil"/>
              <w:right w:val="nil"/>
            </w:tcBorders>
            <w:shd w:val="clear" w:color="auto" w:fill="auto"/>
            <w:vAlign w:val="bottom"/>
            <w:hideMark/>
          </w:tcPr>
          <w:p w:rsidR="005C1E0C" w:rsidRPr="005C1E0C" w:rsidRDefault="005C1E0C" w:rsidP="005C1E0C">
            <w:pPr>
              <w:widowControl/>
              <w:autoSpaceDE/>
              <w:autoSpaceDN/>
              <w:adjustRightInd/>
              <w:rPr>
                <w:color w:val="000000"/>
              </w:rPr>
            </w:pPr>
          </w:p>
        </w:tc>
      </w:tr>
      <w:tr w:rsidR="005C1E0C" w:rsidRPr="005C1E0C" w:rsidTr="005C2E3C">
        <w:trPr>
          <w:trHeight w:val="375"/>
          <w:jc w:val="center"/>
        </w:trPr>
        <w:tc>
          <w:tcPr>
            <w:tcW w:w="14334" w:type="dxa"/>
            <w:gridSpan w:val="9"/>
            <w:tcBorders>
              <w:top w:val="nil"/>
              <w:left w:val="nil"/>
              <w:bottom w:val="nil"/>
              <w:right w:val="nil"/>
            </w:tcBorders>
            <w:shd w:val="clear" w:color="auto" w:fill="auto"/>
            <w:vAlign w:val="bottom"/>
            <w:hideMark/>
          </w:tcPr>
          <w:p w:rsidR="005C1E0C" w:rsidRPr="005C1E0C" w:rsidRDefault="005C1E0C" w:rsidP="005C1E0C">
            <w:pPr>
              <w:widowControl/>
              <w:autoSpaceDE/>
              <w:autoSpaceDN/>
              <w:adjustRightInd/>
              <w:rPr>
                <w:color w:val="000000"/>
              </w:rPr>
            </w:pPr>
          </w:p>
        </w:tc>
      </w:tr>
    </w:tbl>
    <w:p w:rsidR="009F6988" w:rsidRDefault="00144F35" w:rsidP="00F5746B">
      <w:pPr>
        <w:jc w:val="center"/>
        <w:rPr>
          <w:b/>
          <w:bCs/>
          <w:color w:val="000000"/>
        </w:rPr>
      </w:pPr>
      <w:r>
        <w:rPr>
          <w:b/>
          <w:bCs/>
          <w:color w:val="000000"/>
        </w:rPr>
        <w:br w:type="page"/>
      </w:r>
      <w:r w:rsidR="009F7CF7">
        <w:rPr>
          <w:b/>
          <w:bCs/>
          <w:color w:val="000000"/>
        </w:rPr>
        <w:lastRenderedPageBreak/>
        <w:t xml:space="preserve">   </w:t>
      </w:r>
      <w:r w:rsidR="004844D1" w:rsidRPr="004844D1">
        <w:rPr>
          <w:b/>
          <w:bCs/>
          <w:color w:val="000000"/>
        </w:rPr>
        <w:t>Table 2: Average Annual EPA Burden and Cost –NESHAP for Area Sources: Polyvinyl Chl</w:t>
      </w:r>
      <w:r w:rsidR="009F6988">
        <w:rPr>
          <w:b/>
          <w:bCs/>
          <w:color w:val="000000"/>
        </w:rPr>
        <w:t>oride and Copolymer Production,</w:t>
      </w:r>
    </w:p>
    <w:p w:rsidR="009F7CF7" w:rsidRDefault="009F6988" w:rsidP="009F6988">
      <w:pPr>
        <w:rPr>
          <w:b/>
          <w:bCs/>
          <w:color w:val="000000"/>
        </w:rPr>
      </w:pPr>
      <w:r>
        <w:rPr>
          <w:b/>
          <w:bCs/>
          <w:color w:val="000000"/>
        </w:rPr>
        <w:t xml:space="preserve">    </w:t>
      </w:r>
      <w:r w:rsidR="004844D1" w:rsidRPr="004844D1">
        <w:rPr>
          <w:b/>
          <w:bCs/>
          <w:color w:val="000000"/>
        </w:rPr>
        <w:t>Primary Copper Smelting, Secondary Copper Smelting, and Primary Nonferrous Metals—Zi</w:t>
      </w:r>
      <w:r w:rsidR="009F7CF7">
        <w:rPr>
          <w:b/>
          <w:bCs/>
          <w:color w:val="000000"/>
        </w:rPr>
        <w:t>nc, Cadmium, and Beryllium</w:t>
      </w:r>
    </w:p>
    <w:p w:rsidR="00144F35" w:rsidRDefault="009F7CF7" w:rsidP="009F7CF7">
      <w:pPr>
        <w:rPr>
          <w:b/>
          <w:bCs/>
          <w:color w:val="000000"/>
        </w:rPr>
      </w:pPr>
      <w:r>
        <w:rPr>
          <w:b/>
          <w:bCs/>
          <w:color w:val="000000"/>
        </w:rPr>
        <w:t xml:space="preserve">    </w:t>
      </w:r>
      <w:proofErr w:type="gramStart"/>
      <w:r w:rsidR="004844D1" w:rsidRPr="004844D1">
        <w:rPr>
          <w:b/>
          <w:bCs/>
          <w:color w:val="000000"/>
        </w:rPr>
        <w:t>(Renewal).</w:t>
      </w:r>
      <w:proofErr w:type="gramEnd"/>
    </w:p>
    <w:p w:rsidR="00144F35" w:rsidRDefault="00144F35" w:rsidP="00F340DF">
      <w:pPr>
        <w:rPr>
          <w:b/>
          <w:bCs/>
          <w:color w:val="000000"/>
        </w:rPr>
      </w:pPr>
    </w:p>
    <w:tbl>
      <w:tblPr>
        <w:tblW w:w="14220" w:type="dxa"/>
        <w:tblInd w:w="-525" w:type="dxa"/>
        <w:tblLayout w:type="fixed"/>
        <w:tblCellMar>
          <w:left w:w="0" w:type="dxa"/>
          <w:right w:w="0" w:type="dxa"/>
        </w:tblCellMar>
        <w:tblLook w:val="04A0"/>
      </w:tblPr>
      <w:tblGrid>
        <w:gridCol w:w="5039"/>
        <w:gridCol w:w="1171"/>
        <w:gridCol w:w="1080"/>
        <w:gridCol w:w="1170"/>
        <w:gridCol w:w="1170"/>
        <w:gridCol w:w="1080"/>
        <w:gridCol w:w="1170"/>
        <w:gridCol w:w="1080"/>
        <w:gridCol w:w="1260"/>
      </w:tblGrid>
      <w:tr w:rsidR="00A56B9C" w:rsidTr="00A56B9C">
        <w:trPr>
          <w:trHeight w:val="1530"/>
        </w:trPr>
        <w:tc>
          <w:tcPr>
            <w:tcW w:w="50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E5CAF" w:rsidRDefault="008B7081" w:rsidP="008E5CAF">
            <w:pPr>
              <w:jc w:val="center"/>
              <w:rPr>
                <w:b/>
                <w:bCs/>
                <w:color w:val="000000"/>
                <w:sz w:val="20"/>
                <w:szCs w:val="20"/>
              </w:rPr>
            </w:pPr>
            <w:r>
              <w:rPr>
                <w:b/>
                <w:bCs/>
                <w:color w:val="000000"/>
                <w:sz w:val="20"/>
                <w:szCs w:val="20"/>
              </w:rPr>
              <w:t>Activity</w:t>
            </w:r>
          </w:p>
        </w:tc>
        <w:tc>
          <w:tcPr>
            <w:tcW w:w="117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B7081" w:rsidRDefault="008B7081" w:rsidP="008B7081">
            <w:pPr>
              <w:jc w:val="center"/>
              <w:rPr>
                <w:b/>
                <w:bCs/>
                <w:color w:val="000000"/>
                <w:sz w:val="20"/>
                <w:szCs w:val="20"/>
              </w:rPr>
            </w:pPr>
            <w:r>
              <w:rPr>
                <w:b/>
                <w:bCs/>
                <w:color w:val="000000"/>
                <w:sz w:val="20"/>
                <w:szCs w:val="20"/>
              </w:rPr>
              <w:t xml:space="preserve">(A) </w:t>
            </w:r>
          </w:p>
          <w:p w:rsidR="008B7081" w:rsidRDefault="008B7081" w:rsidP="008B7081">
            <w:pPr>
              <w:jc w:val="center"/>
              <w:rPr>
                <w:b/>
                <w:bCs/>
                <w:color w:val="000000"/>
                <w:sz w:val="20"/>
                <w:szCs w:val="20"/>
              </w:rPr>
            </w:pPr>
            <w:r>
              <w:rPr>
                <w:b/>
                <w:bCs/>
                <w:color w:val="000000"/>
                <w:sz w:val="20"/>
                <w:szCs w:val="20"/>
              </w:rPr>
              <w:t>EPA person hours per occurrence</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B7081" w:rsidRDefault="008B7081" w:rsidP="008B7081">
            <w:pPr>
              <w:jc w:val="center"/>
              <w:rPr>
                <w:b/>
                <w:bCs/>
                <w:color w:val="000000"/>
                <w:sz w:val="20"/>
                <w:szCs w:val="20"/>
              </w:rPr>
            </w:pPr>
            <w:r>
              <w:rPr>
                <w:b/>
                <w:bCs/>
                <w:color w:val="000000"/>
                <w:sz w:val="20"/>
                <w:szCs w:val="20"/>
              </w:rPr>
              <w:t xml:space="preserve">(B) </w:t>
            </w:r>
          </w:p>
          <w:p w:rsidR="008B7081" w:rsidRDefault="008B7081" w:rsidP="008B7081">
            <w:pPr>
              <w:jc w:val="center"/>
              <w:rPr>
                <w:b/>
                <w:bCs/>
                <w:color w:val="000000"/>
                <w:sz w:val="20"/>
                <w:szCs w:val="20"/>
              </w:rPr>
            </w:pPr>
            <w:r>
              <w:rPr>
                <w:b/>
                <w:bCs/>
                <w:color w:val="000000"/>
                <w:sz w:val="20"/>
                <w:szCs w:val="20"/>
              </w:rPr>
              <w:t>No. of occurrences per plant per year</w:t>
            </w:r>
          </w:p>
        </w:tc>
        <w:tc>
          <w:tcPr>
            <w:tcW w:w="11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B7081" w:rsidRDefault="008B7081" w:rsidP="008B7081">
            <w:pPr>
              <w:jc w:val="center"/>
              <w:rPr>
                <w:b/>
                <w:bCs/>
                <w:color w:val="000000"/>
                <w:sz w:val="20"/>
                <w:szCs w:val="20"/>
              </w:rPr>
            </w:pPr>
            <w:r>
              <w:rPr>
                <w:b/>
                <w:bCs/>
                <w:color w:val="000000"/>
                <w:sz w:val="20"/>
                <w:szCs w:val="20"/>
              </w:rPr>
              <w:t xml:space="preserve">(C) </w:t>
            </w:r>
          </w:p>
          <w:p w:rsidR="00A56B9C" w:rsidRDefault="008B7081" w:rsidP="008B7081">
            <w:pPr>
              <w:jc w:val="center"/>
              <w:rPr>
                <w:b/>
                <w:bCs/>
                <w:color w:val="000000"/>
                <w:sz w:val="20"/>
                <w:szCs w:val="20"/>
              </w:rPr>
            </w:pPr>
            <w:r>
              <w:rPr>
                <w:b/>
                <w:bCs/>
                <w:color w:val="000000"/>
                <w:sz w:val="20"/>
                <w:szCs w:val="20"/>
              </w:rPr>
              <w:t xml:space="preserve">EPA person hours per plant </w:t>
            </w:r>
          </w:p>
          <w:p w:rsidR="008B7081" w:rsidRDefault="008B7081" w:rsidP="008B7081">
            <w:pPr>
              <w:jc w:val="center"/>
              <w:rPr>
                <w:b/>
                <w:bCs/>
                <w:color w:val="000000"/>
                <w:sz w:val="20"/>
                <w:szCs w:val="20"/>
              </w:rPr>
            </w:pPr>
            <w:r>
              <w:rPr>
                <w:b/>
                <w:bCs/>
                <w:color w:val="000000"/>
                <w:sz w:val="20"/>
                <w:szCs w:val="20"/>
              </w:rPr>
              <w:t>per year (</w:t>
            </w:r>
            <w:proofErr w:type="spellStart"/>
            <w:r>
              <w:rPr>
                <w:b/>
                <w:bCs/>
                <w:color w:val="000000"/>
                <w:sz w:val="20"/>
                <w:szCs w:val="20"/>
              </w:rPr>
              <w:t>AxB</w:t>
            </w:r>
            <w:proofErr w:type="spellEnd"/>
            <w:r>
              <w:rPr>
                <w:b/>
                <w:bCs/>
                <w:color w:val="000000"/>
                <w:sz w:val="20"/>
                <w:szCs w:val="20"/>
              </w:rPr>
              <w:t>)</w:t>
            </w:r>
          </w:p>
        </w:tc>
        <w:tc>
          <w:tcPr>
            <w:tcW w:w="11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B7081" w:rsidRDefault="008B7081" w:rsidP="008B7081">
            <w:pPr>
              <w:jc w:val="center"/>
              <w:rPr>
                <w:b/>
                <w:bCs/>
                <w:color w:val="000000"/>
                <w:sz w:val="20"/>
                <w:szCs w:val="20"/>
              </w:rPr>
            </w:pPr>
            <w:r>
              <w:rPr>
                <w:b/>
                <w:bCs/>
                <w:color w:val="000000"/>
                <w:sz w:val="20"/>
                <w:szCs w:val="20"/>
              </w:rPr>
              <w:t>(D) Respondents per year</w:t>
            </w:r>
            <w:r w:rsidR="00A56B9C">
              <w:rPr>
                <w:b/>
                <w:bCs/>
                <w:color w:val="000000"/>
                <w:sz w:val="20"/>
                <w:szCs w:val="20"/>
              </w:rPr>
              <w:t xml:space="preserve"> </w:t>
            </w:r>
            <w:r>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B9C" w:rsidRDefault="008B7081" w:rsidP="008B7081">
            <w:pPr>
              <w:jc w:val="center"/>
              <w:rPr>
                <w:b/>
                <w:bCs/>
                <w:color w:val="000000"/>
                <w:sz w:val="20"/>
                <w:szCs w:val="20"/>
              </w:rPr>
            </w:pPr>
            <w:r>
              <w:rPr>
                <w:b/>
                <w:bCs/>
                <w:color w:val="000000"/>
                <w:sz w:val="20"/>
                <w:szCs w:val="20"/>
              </w:rPr>
              <w:t xml:space="preserve">(E) Technical person- hours </w:t>
            </w:r>
          </w:p>
          <w:p w:rsidR="008B7081" w:rsidRDefault="008B7081" w:rsidP="008B7081">
            <w:pPr>
              <w:jc w:val="center"/>
              <w:rPr>
                <w:b/>
                <w:bCs/>
                <w:color w:val="000000"/>
                <w:sz w:val="20"/>
                <w:szCs w:val="20"/>
              </w:rPr>
            </w:pPr>
            <w:r>
              <w:rPr>
                <w:b/>
                <w:bCs/>
                <w:color w:val="000000"/>
                <w:sz w:val="20"/>
                <w:szCs w:val="20"/>
              </w:rPr>
              <w:t>per year (</w:t>
            </w:r>
            <w:proofErr w:type="spellStart"/>
            <w:r>
              <w:rPr>
                <w:b/>
                <w:bCs/>
                <w:color w:val="000000"/>
                <w:sz w:val="20"/>
                <w:szCs w:val="20"/>
              </w:rPr>
              <w:t>CxD</w:t>
            </w:r>
            <w:proofErr w:type="spellEnd"/>
            <w:r>
              <w:rPr>
                <w:b/>
                <w:bCs/>
                <w:color w:val="000000"/>
                <w:sz w:val="20"/>
                <w:szCs w:val="20"/>
              </w:rPr>
              <w:t>)</w:t>
            </w:r>
          </w:p>
        </w:tc>
        <w:tc>
          <w:tcPr>
            <w:tcW w:w="11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B7081" w:rsidRDefault="008B7081" w:rsidP="008B7081">
            <w:pPr>
              <w:jc w:val="center"/>
              <w:rPr>
                <w:b/>
                <w:bCs/>
                <w:color w:val="000000"/>
                <w:sz w:val="20"/>
                <w:szCs w:val="20"/>
              </w:rPr>
            </w:pPr>
            <w:r>
              <w:rPr>
                <w:b/>
                <w:bCs/>
                <w:color w:val="000000"/>
                <w:sz w:val="20"/>
                <w:szCs w:val="20"/>
              </w:rPr>
              <w:t>(F) Management person hours per year (Ex0.05)</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B7081" w:rsidRDefault="008B7081" w:rsidP="008B7081">
            <w:pPr>
              <w:jc w:val="center"/>
              <w:rPr>
                <w:b/>
                <w:bCs/>
                <w:color w:val="000000"/>
                <w:sz w:val="20"/>
                <w:szCs w:val="20"/>
              </w:rPr>
            </w:pPr>
            <w:r>
              <w:rPr>
                <w:b/>
                <w:bCs/>
                <w:color w:val="000000"/>
                <w:sz w:val="20"/>
                <w:szCs w:val="20"/>
              </w:rPr>
              <w:t>(G)</w:t>
            </w:r>
          </w:p>
          <w:p w:rsidR="00A56B9C" w:rsidRDefault="008B7081" w:rsidP="008B7081">
            <w:pPr>
              <w:jc w:val="center"/>
              <w:rPr>
                <w:b/>
                <w:bCs/>
                <w:color w:val="000000"/>
                <w:sz w:val="20"/>
                <w:szCs w:val="20"/>
              </w:rPr>
            </w:pPr>
            <w:r>
              <w:rPr>
                <w:b/>
                <w:bCs/>
                <w:color w:val="000000"/>
                <w:sz w:val="20"/>
                <w:szCs w:val="20"/>
              </w:rPr>
              <w:t xml:space="preserve">Clerical person hours per year </w:t>
            </w:r>
          </w:p>
          <w:p w:rsidR="008B7081" w:rsidRDefault="008B7081" w:rsidP="008B7081">
            <w:pPr>
              <w:jc w:val="center"/>
              <w:rPr>
                <w:b/>
                <w:bCs/>
                <w:color w:val="000000"/>
                <w:sz w:val="20"/>
                <w:szCs w:val="20"/>
              </w:rPr>
            </w:pPr>
            <w:r>
              <w:rPr>
                <w:b/>
                <w:bCs/>
                <w:color w:val="000000"/>
                <w:sz w:val="20"/>
                <w:szCs w:val="20"/>
              </w:rPr>
              <w:t>(Ex0.1)</w:t>
            </w:r>
          </w:p>
        </w:tc>
        <w:tc>
          <w:tcPr>
            <w:tcW w:w="12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B7081" w:rsidRDefault="008B7081" w:rsidP="008B7081">
            <w:pPr>
              <w:jc w:val="center"/>
              <w:rPr>
                <w:b/>
                <w:bCs/>
                <w:color w:val="000000"/>
                <w:sz w:val="20"/>
                <w:szCs w:val="20"/>
              </w:rPr>
            </w:pPr>
            <w:r>
              <w:rPr>
                <w:b/>
                <w:bCs/>
                <w:color w:val="000000"/>
                <w:sz w:val="20"/>
                <w:szCs w:val="20"/>
              </w:rPr>
              <w:t xml:space="preserve">(H) </w:t>
            </w:r>
          </w:p>
          <w:p w:rsidR="008B7081" w:rsidRDefault="008B7081" w:rsidP="008B7081">
            <w:pPr>
              <w:jc w:val="center"/>
              <w:rPr>
                <w:b/>
                <w:bCs/>
                <w:color w:val="000000"/>
                <w:sz w:val="20"/>
                <w:szCs w:val="20"/>
              </w:rPr>
            </w:pPr>
            <w:r>
              <w:rPr>
                <w:b/>
                <w:bCs/>
                <w:color w:val="000000"/>
                <w:sz w:val="20"/>
                <w:szCs w:val="20"/>
              </w:rPr>
              <w:t>Total Cost per Year, $</w:t>
            </w:r>
            <w:r>
              <w:rPr>
                <w:b/>
                <w:bCs/>
                <w:color w:val="000000"/>
                <w:sz w:val="20"/>
                <w:szCs w:val="20"/>
                <w:vertAlign w:val="superscript"/>
              </w:rPr>
              <w:t>b</w:t>
            </w:r>
          </w:p>
        </w:tc>
      </w:tr>
      <w:tr w:rsidR="00A56B9C" w:rsidTr="00A56B9C">
        <w:trPr>
          <w:trHeight w:val="300"/>
        </w:trPr>
        <w:tc>
          <w:tcPr>
            <w:tcW w:w="503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rPr>
                <w:color w:val="000000"/>
                <w:sz w:val="20"/>
                <w:szCs w:val="20"/>
              </w:rPr>
            </w:pPr>
            <w:r>
              <w:rPr>
                <w:color w:val="000000"/>
                <w:sz w:val="20"/>
              </w:rPr>
              <w:t>Report review</w:t>
            </w:r>
          </w:p>
        </w:tc>
        <w:tc>
          <w:tcPr>
            <w:tcW w:w="1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7081" w:rsidRDefault="008B7081">
            <w:pPr>
              <w:jc w:val="center"/>
              <w:rPr>
                <w:color w:val="000000"/>
                <w:sz w:val="20"/>
                <w:szCs w:val="20"/>
              </w:rPr>
            </w:pPr>
            <w:r>
              <w:rPr>
                <w:color w:val="000000"/>
                <w:sz w:val="20"/>
              </w:rPr>
              <w:t> </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7081" w:rsidRDefault="008B7081">
            <w:pPr>
              <w:jc w:val="center"/>
              <w:rPr>
                <w:color w:val="000000"/>
                <w:sz w:val="20"/>
                <w:szCs w:val="20"/>
              </w:rPr>
            </w:pPr>
            <w:r>
              <w:rPr>
                <w:color w:val="000000"/>
                <w:sz w:val="2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7081" w:rsidRDefault="008B7081">
            <w:pPr>
              <w:jc w:val="center"/>
              <w:rPr>
                <w:color w:val="000000"/>
                <w:sz w:val="20"/>
                <w:szCs w:val="20"/>
              </w:rPr>
            </w:pPr>
            <w:r>
              <w:rPr>
                <w:color w:val="000000"/>
                <w:sz w:val="2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7081" w:rsidRDefault="008B7081">
            <w:pPr>
              <w:jc w:val="center"/>
              <w:rPr>
                <w:color w:val="000000"/>
                <w:sz w:val="20"/>
                <w:szCs w:val="20"/>
              </w:rPr>
            </w:pPr>
            <w:r>
              <w:rPr>
                <w:color w:val="000000"/>
                <w:sz w:val="20"/>
              </w:rPr>
              <w:t> </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7081" w:rsidRDefault="008B7081">
            <w:pPr>
              <w:jc w:val="center"/>
              <w:rPr>
                <w:color w:val="000000"/>
                <w:sz w:val="20"/>
                <w:szCs w:val="20"/>
              </w:rPr>
            </w:pPr>
            <w:r>
              <w:rPr>
                <w:color w:val="000000"/>
                <w:sz w:val="2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7081" w:rsidRDefault="008B7081">
            <w:pPr>
              <w:jc w:val="center"/>
              <w:rPr>
                <w:color w:val="000000"/>
                <w:sz w:val="20"/>
                <w:szCs w:val="20"/>
              </w:rPr>
            </w:pPr>
            <w:r>
              <w:rPr>
                <w:color w:val="000000"/>
                <w:sz w:val="20"/>
              </w:rPr>
              <w:t> </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7081" w:rsidRDefault="008B7081">
            <w:pPr>
              <w:jc w:val="center"/>
              <w:rPr>
                <w:color w:val="000000"/>
                <w:sz w:val="20"/>
                <w:szCs w:val="20"/>
              </w:rPr>
            </w:pPr>
            <w:r>
              <w:rPr>
                <w:color w:val="000000"/>
                <w:sz w:val="20"/>
              </w:rPr>
              <w:t>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7081" w:rsidRDefault="008B7081">
            <w:pPr>
              <w:jc w:val="right"/>
              <w:rPr>
                <w:color w:val="000000"/>
                <w:sz w:val="20"/>
                <w:szCs w:val="20"/>
              </w:rPr>
            </w:pPr>
            <w:r>
              <w:rPr>
                <w:color w:val="000000"/>
                <w:sz w:val="20"/>
              </w:rPr>
              <w:t> </w:t>
            </w:r>
          </w:p>
        </w:tc>
      </w:tr>
      <w:tr w:rsidR="00A56B9C" w:rsidTr="00A56B9C">
        <w:trPr>
          <w:trHeight w:val="315"/>
        </w:trPr>
        <w:tc>
          <w:tcPr>
            <w:tcW w:w="503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rPr>
                <w:color w:val="000000"/>
                <w:sz w:val="20"/>
                <w:szCs w:val="20"/>
              </w:rPr>
            </w:pPr>
            <w:r>
              <w:rPr>
                <w:color w:val="000000"/>
                <w:sz w:val="20"/>
              </w:rPr>
              <w:t xml:space="preserve">   Initial notification of applicability </w:t>
            </w:r>
            <w:r>
              <w:rPr>
                <w:color w:val="000000"/>
                <w:sz w:val="20"/>
                <w:szCs w:val="20"/>
                <w:vertAlign w:val="superscript"/>
              </w:rPr>
              <w:t>c</w:t>
            </w:r>
          </w:p>
        </w:tc>
        <w:tc>
          <w:tcPr>
            <w:tcW w:w="1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1</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2</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4</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0.2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0.4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rsidP="00BA3F39">
            <w:pPr>
              <w:jc w:val="right"/>
              <w:rPr>
                <w:color w:val="000000"/>
                <w:sz w:val="20"/>
                <w:szCs w:val="20"/>
              </w:rPr>
            </w:pPr>
            <w:r>
              <w:rPr>
                <w:color w:val="000000"/>
                <w:sz w:val="20"/>
              </w:rPr>
              <w:t>$207.</w:t>
            </w:r>
            <w:r w:rsidR="00BA3F39">
              <w:rPr>
                <w:color w:val="000000"/>
                <w:sz w:val="20"/>
              </w:rPr>
              <w:t>29</w:t>
            </w:r>
            <w:r>
              <w:rPr>
                <w:color w:val="000000"/>
                <w:sz w:val="20"/>
              </w:rPr>
              <w:t xml:space="preserve"> </w:t>
            </w:r>
          </w:p>
        </w:tc>
      </w:tr>
      <w:tr w:rsidR="00A56B9C" w:rsidTr="00A56B9C">
        <w:trPr>
          <w:trHeight w:val="315"/>
        </w:trPr>
        <w:tc>
          <w:tcPr>
            <w:tcW w:w="503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rPr>
                <w:color w:val="000000"/>
                <w:sz w:val="20"/>
                <w:szCs w:val="20"/>
              </w:rPr>
            </w:pPr>
            <w:r>
              <w:rPr>
                <w:color w:val="000000"/>
                <w:sz w:val="20"/>
              </w:rPr>
              <w:t xml:space="preserve">   Initial notification of compliance status </w:t>
            </w:r>
            <w:r>
              <w:rPr>
                <w:color w:val="000000"/>
                <w:sz w:val="20"/>
                <w:szCs w:val="20"/>
                <w:vertAlign w:val="superscript"/>
              </w:rPr>
              <w:t>c</w:t>
            </w:r>
          </w:p>
        </w:tc>
        <w:tc>
          <w:tcPr>
            <w:tcW w:w="1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1</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4</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0.4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0.8</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right"/>
              <w:rPr>
                <w:color w:val="000000"/>
                <w:sz w:val="20"/>
                <w:szCs w:val="20"/>
              </w:rPr>
            </w:pPr>
            <w:r>
              <w:rPr>
                <w:color w:val="000000"/>
                <w:sz w:val="20"/>
              </w:rPr>
              <w:t xml:space="preserve">$414.60 </w:t>
            </w:r>
          </w:p>
        </w:tc>
      </w:tr>
      <w:tr w:rsidR="00A56B9C" w:rsidTr="00A56B9C">
        <w:trPr>
          <w:trHeight w:val="300"/>
        </w:trPr>
        <w:tc>
          <w:tcPr>
            <w:tcW w:w="503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rPr>
                <w:color w:val="000000"/>
                <w:sz w:val="20"/>
                <w:szCs w:val="20"/>
              </w:rPr>
            </w:pPr>
            <w:r>
              <w:rPr>
                <w:color w:val="000000"/>
                <w:sz w:val="20"/>
              </w:rPr>
              <w:t>Subtotals Labor Burden and cost</w:t>
            </w:r>
          </w:p>
        </w:tc>
        <w:tc>
          <w:tcPr>
            <w:tcW w:w="1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 </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 </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12</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0.6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1.2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right"/>
              <w:rPr>
                <w:color w:val="000000"/>
                <w:sz w:val="20"/>
                <w:szCs w:val="20"/>
              </w:rPr>
            </w:pPr>
            <w:r>
              <w:rPr>
                <w:color w:val="000000"/>
                <w:sz w:val="20"/>
              </w:rPr>
              <w:t xml:space="preserve">$621.89 </w:t>
            </w:r>
          </w:p>
        </w:tc>
      </w:tr>
      <w:tr w:rsidR="008B7081" w:rsidTr="00A56B9C">
        <w:trPr>
          <w:trHeight w:val="300"/>
        </w:trPr>
        <w:tc>
          <w:tcPr>
            <w:tcW w:w="503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7081" w:rsidRDefault="008B7081">
            <w:pPr>
              <w:rPr>
                <w:b/>
                <w:bCs/>
                <w:color w:val="000000"/>
                <w:sz w:val="20"/>
                <w:szCs w:val="20"/>
              </w:rPr>
            </w:pPr>
            <w:r>
              <w:rPr>
                <w:b/>
                <w:bCs/>
                <w:color w:val="000000"/>
                <w:sz w:val="20"/>
              </w:rPr>
              <w:t>TOTAL ANNUAL BURDEN AND COST (rounded)</w:t>
            </w:r>
          </w:p>
        </w:tc>
        <w:tc>
          <w:tcPr>
            <w:tcW w:w="1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7081" w:rsidRDefault="008B7081">
            <w:pPr>
              <w:rPr>
                <w:color w:val="000000"/>
                <w:sz w:val="20"/>
                <w:szCs w:val="20"/>
              </w:rPr>
            </w:pPr>
            <w:r>
              <w:rPr>
                <w:color w:val="000000"/>
                <w:sz w:val="20"/>
              </w:rPr>
              <w:t> </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7081" w:rsidRDefault="008B7081">
            <w:pPr>
              <w:rPr>
                <w:color w:val="000000"/>
                <w:sz w:val="20"/>
                <w:szCs w:val="20"/>
              </w:rPr>
            </w:pPr>
            <w:r>
              <w:rPr>
                <w:color w:val="000000"/>
                <w:sz w:val="2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7081" w:rsidRDefault="008B7081">
            <w:pPr>
              <w:rPr>
                <w:color w:val="000000"/>
                <w:sz w:val="20"/>
                <w:szCs w:val="20"/>
              </w:rPr>
            </w:pPr>
            <w:r>
              <w:rPr>
                <w:color w:val="000000"/>
                <w:sz w:val="2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7081" w:rsidRDefault="008B7081">
            <w:pPr>
              <w:rPr>
                <w:color w:val="000000"/>
                <w:sz w:val="20"/>
                <w:szCs w:val="20"/>
              </w:rPr>
            </w:pPr>
            <w:r>
              <w:rPr>
                <w:color w:val="000000"/>
                <w:sz w:val="20"/>
              </w:rPr>
              <w:t> </w:t>
            </w:r>
          </w:p>
        </w:tc>
        <w:tc>
          <w:tcPr>
            <w:tcW w:w="3330"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B7081" w:rsidRDefault="008B7081">
            <w:pPr>
              <w:jc w:val="center"/>
              <w:rPr>
                <w:color w:val="000000"/>
                <w:sz w:val="20"/>
                <w:szCs w:val="20"/>
              </w:rPr>
            </w:pPr>
            <w:r>
              <w:rPr>
                <w:color w:val="000000"/>
                <w:sz w:val="20"/>
              </w:rPr>
              <w:t>14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7081" w:rsidRDefault="008B7081">
            <w:pPr>
              <w:jc w:val="right"/>
              <w:rPr>
                <w:color w:val="000000"/>
                <w:sz w:val="20"/>
                <w:szCs w:val="20"/>
              </w:rPr>
            </w:pPr>
            <w:r>
              <w:rPr>
                <w:color w:val="000000"/>
                <w:sz w:val="20"/>
              </w:rPr>
              <w:t xml:space="preserve">$622 </w:t>
            </w:r>
          </w:p>
        </w:tc>
      </w:tr>
      <w:tr w:rsidR="00A56B9C" w:rsidTr="00A56B9C">
        <w:trPr>
          <w:trHeight w:val="300"/>
        </w:trPr>
        <w:tc>
          <w:tcPr>
            <w:tcW w:w="5039" w:type="dxa"/>
            <w:tcBorders>
              <w:top w:val="nil"/>
              <w:left w:val="nil"/>
              <w:bottom w:val="nil"/>
              <w:right w:val="nil"/>
            </w:tcBorders>
            <w:shd w:val="clear" w:color="auto" w:fill="auto"/>
            <w:noWrap/>
            <w:tcMar>
              <w:top w:w="15" w:type="dxa"/>
              <w:left w:w="15" w:type="dxa"/>
              <w:bottom w:w="0" w:type="dxa"/>
              <w:right w:w="15" w:type="dxa"/>
            </w:tcMar>
            <w:vAlign w:val="bottom"/>
            <w:hideMark/>
          </w:tcPr>
          <w:p w:rsidR="00A518CE" w:rsidRDefault="00A518CE">
            <w:pPr>
              <w:rPr>
                <w:rFonts w:ascii="Calibri" w:hAnsi="Calibri"/>
                <w:color w:val="000000"/>
                <w:sz w:val="22"/>
                <w:szCs w:val="22"/>
              </w:rPr>
            </w:pPr>
          </w:p>
          <w:p w:rsidR="008B7081" w:rsidRPr="00A518CE" w:rsidRDefault="00A518CE">
            <w:pPr>
              <w:rPr>
                <w:rFonts w:ascii="Calibri" w:hAnsi="Calibri"/>
                <w:b/>
                <w:color w:val="000000"/>
                <w:sz w:val="20"/>
                <w:szCs w:val="20"/>
              </w:rPr>
            </w:pPr>
            <w:r w:rsidRPr="00A518CE">
              <w:rPr>
                <w:rFonts w:ascii="Calibri" w:hAnsi="Calibri"/>
                <w:b/>
                <w:color w:val="000000"/>
                <w:sz w:val="20"/>
                <w:szCs w:val="20"/>
              </w:rPr>
              <w:t>Assumptions:</w:t>
            </w:r>
          </w:p>
        </w:tc>
        <w:tc>
          <w:tcPr>
            <w:tcW w:w="1171" w:type="dxa"/>
            <w:tcBorders>
              <w:top w:val="nil"/>
              <w:left w:val="nil"/>
              <w:bottom w:val="nil"/>
              <w:right w:val="nil"/>
            </w:tcBorders>
            <w:shd w:val="clear" w:color="auto" w:fill="auto"/>
            <w:noWrap/>
            <w:tcMar>
              <w:top w:w="15" w:type="dxa"/>
              <w:left w:w="15" w:type="dxa"/>
              <w:bottom w:w="0" w:type="dxa"/>
              <w:right w:w="15" w:type="dxa"/>
            </w:tcMar>
            <w:vAlign w:val="bottom"/>
            <w:hideMark/>
          </w:tcPr>
          <w:p w:rsidR="008B7081" w:rsidRDefault="008B7081">
            <w:pPr>
              <w:rPr>
                <w:rFonts w:ascii="Calibri" w:hAnsi="Calibri"/>
                <w:color w:val="000000"/>
                <w:sz w:val="22"/>
                <w:szCs w:val="22"/>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rsidR="008B7081" w:rsidRDefault="008B7081">
            <w:pPr>
              <w:rPr>
                <w:rFonts w:ascii="Calibri" w:hAnsi="Calibri"/>
                <w:color w:val="000000"/>
                <w:sz w:val="22"/>
                <w:szCs w:val="22"/>
              </w:rPr>
            </w:pP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8B7081" w:rsidRDefault="008B7081">
            <w:pPr>
              <w:rPr>
                <w:rFonts w:ascii="Calibri" w:hAnsi="Calibri"/>
                <w:color w:val="000000"/>
                <w:sz w:val="22"/>
                <w:szCs w:val="22"/>
              </w:rPr>
            </w:pP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8B7081" w:rsidRDefault="008B7081">
            <w:pPr>
              <w:rPr>
                <w:rFonts w:ascii="Calibri" w:hAnsi="Calibri"/>
                <w:color w:val="000000"/>
                <w:sz w:val="22"/>
                <w:szCs w:val="22"/>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rsidR="008B7081" w:rsidRDefault="008B7081">
            <w:pPr>
              <w:rPr>
                <w:rFonts w:ascii="Calibri" w:hAnsi="Calibri"/>
                <w:color w:val="000000"/>
                <w:sz w:val="22"/>
                <w:szCs w:val="22"/>
              </w:rPr>
            </w:pP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8B7081" w:rsidRDefault="008B7081">
            <w:pPr>
              <w:rPr>
                <w:rFonts w:ascii="Calibri" w:hAnsi="Calibri"/>
                <w:color w:val="000000"/>
                <w:sz w:val="22"/>
                <w:szCs w:val="22"/>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rsidR="008B7081" w:rsidRDefault="008B7081">
            <w:pPr>
              <w:rPr>
                <w:rFonts w:ascii="Calibri" w:hAnsi="Calibri"/>
                <w:color w:val="000000"/>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rsidR="008B7081" w:rsidRDefault="008B7081">
            <w:pPr>
              <w:rPr>
                <w:rFonts w:ascii="Calibri" w:hAnsi="Calibri"/>
                <w:color w:val="000000"/>
                <w:sz w:val="22"/>
                <w:szCs w:val="22"/>
              </w:rPr>
            </w:pPr>
          </w:p>
        </w:tc>
      </w:tr>
      <w:tr w:rsidR="00A518CE" w:rsidTr="00A56B9C">
        <w:trPr>
          <w:trHeight w:val="1170"/>
        </w:trPr>
        <w:tc>
          <w:tcPr>
            <w:tcW w:w="14220" w:type="dxa"/>
            <w:gridSpan w:val="9"/>
            <w:tcBorders>
              <w:top w:val="nil"/>
              <w:left w:val="nil"/>
              <w:bottom w:val="nil"/>
              <w:right w:val="nil"/>
            </w:tcBorders>
            <w:shd w:val="clear" w:color="auto" w:fill="auto"/>
            <w:tcMar>
              <w:top w:w="15" w:type="dxa"/>
              <w:left w:w="15" w:type="dxa"/>
              <w:bottom w:w="0" w:type="dxa"/>
              <w:right w:w="15" w:type="dxa"/>
            </w:tcMar>
            <w:vAlign w:val="bottom"/>
            <w:hideMark/>
          </w:tcPr>
          <w:p w:rsidR="00A518CE" w:rsidRPr="00FC3A04" w:rsidRDefault="00A518CE" w:rsidP="004E34F8">
            <w:pPr>
              <w:rPr>
                <w:b/>
                <w:color w:val="000000"/>
                <w:sz w:val="20"/>
                <w:szCs w:val="20"/>
              </w:rPr>
            </w:pPr>
            <w:proofErr w:type="spellStart"/>
            <w:proofErr w:type="gramStart"/>
            <w:r w:rsidRPr="00FC3A04">
              <w:rPr>
                <w:b/>
                <w:color w:val="000000"/>
                <w:vertAlign w:val="superscript"/>
              </w:rPr>
              <w:t>a</w:t>
            </w:r>
            <w:proofErr w:type="spellEnd"/>
            <w:r w:rsidRPr="00FC3A04">
              <w:rPr>
                <w:b/>
                <w:color w:val="000000"/>
                <w:sz w:val="20"/>
                <w:szCs w:val="20"/>
              </w:rPr>
              <w:t xml:space="preserve">  We</w:t>
            </w:r>
            <w:proofErr w:type="gramEnd"/>
            <w:r w:rsidRPr="00FC3A04">
              <w:rPr>
                <w:b/>
                <w:color w:val="000000"/>
                <w:sz w:val="20"/>
                <w:szCs w:val="20"/>
              </w:rPr>
              <w:t xml:space="preserve"> have assumed that the average number of respondents potentially subject to this rule will be five.  Each year two respondents are anticipated to effect process changes requiring notification to the Agency regarding applicability and compliance status.  They are all area sources.  There will be no additional new sources over the three-year period of this ICR.</w:t>
            </w:r>
          </w:p>
          <w:p w:rsidR="00A518CE" w:rsidRPr="00FC3A04" w:rsidRDefault="00A518CE" w:rsidP="004E34F8">
            <w:pPr>
              <w:rPr>
                <w:b/>
                <w:color w:val="000000"/>
                <w:sz w:val="20"/>
                <w:szCs w:val="20"/>
              </w:rPr>
            </w:pPr>
            <w:r w:rsidRPr="00FC3A04">
              <w:rPr>
                <w:b/>
                <w:color w:val="000000"/>
                <w:vertAlign w:val="superscript"/>
              </w:rPr>
              <w:t>b</w:t>
            </w:r>
            <w:r w:rsidRPr="00FC3A04">
              <w:rPr>
                <w:b/>
                <w:color w:val="000000"/>
                <w:sz w:val="20"/>
                <w:szCs w:val="20"/>
              </w:rPr>
              <w:t xml:space="preserve">  This cost is based on the following labor rates which incorporates a 1.6 benefits multiplication factor to account for government overhead expenses: $62.27 Managerial rate (GS-13, Step 5, $38.92 x 1.6), $46.21 Technical rate (GS-12, Step 1, $28.88 x 1.6), and $25.01 Clerical rate (GS-6, Step 3, $15.63 x 1.6).  These rates are from the Office of Personnel Management (OPM) 2012 General Schedule, which excludes </w:t>
            </w:r>
            <w:proofErr w:type="gramStart"/>
            <w:r w:rsidRPr="00FC3A04">
              <w:rPr>
                <w:b/>
                <w:color w:val="000000"/>
                <w:sz w:val="20"/>
                <w:szCs w:val="20"/>
              </w:rPr>
              <w:t>locality</w:t>
            </w:r>
            <w:proofErr w:type="gramEnd"/>
            <w:r w:rsidRPr="00FC3A04">
              <w:rPr>
                <w:b/>
                <w:color w:val="000000"/>
                <w:sz w:val="20"/>
                <w:szCs w:val="20"/>
              </w:rPr>
              <w:t xml:space="preserve"> rates of pay.</w:t>
            </w:r>
          </w:p>
          <w:p w:rsidR="00A518CE" w:rsidRPr="00FC3A04" w:rsidRDefault="00A518CE" w:rsidP="004E34F8">
            <w:pPr>
              <w:rPr>
                <w:b/>
                <w:color w:val="000000"/>
                <w:sz w:val="20"/>
                <w:szCs w:val="20"/>
              </w:rPr>
            </w:pPr>
            <w:proofErr w:type="gramStart"/>
            <w:r w:rsidRPr="00FC3A04">
              <w:rPr>
                <w:b/>
                <w:color w:val="000000"/>
                <w:vertAlign w:val="superscript"/>
              </w:rPr>
              <w:t>c</w:t>
            </w:r>
            <w:r w:rsidRPr="00FC3A04">
              <w:rPr>
                <w:b/>
                <w:color w:val="000000"/>
                <w:sz w:val="20"/>
                <w:szCs w:val="20"/>
              </w:rPr>
              <w:t xml:space="preserve">  We</w:t>
            </w:r>
            <w:proofErr w:type="gramEnd"/>
            <w:r w:rsidRPr="00FC3A04">
              <w:rPr>
                <w:b/>
                <w:color w:val="000000"/>
                <w:sz w:val="20"/>
                <w:szCs w:val="20"/>
              </w:rPr>
              <w:t xml:space="preserve"> have assumed that it will take each respondent 2 hours to review the initial notification of applicability report.</w:t>
            </w:r>
          </w:p>
          <w:p w:rsidR="00A518CE" w:rsidRPr="00FC3A04" w:rsidRDefault="00A518CE" w:rsidP="004E34F8">
            <w:pPr>
              <w:rPr>
                <w:b/>
                <w:color w:val="000000"/>
                <w:sz w:val="20"/>
                <w:szCs w:val="20"/>
              </w:rPr>
            </w:pPr>
            <w:proofErr w:type="gramStart"/>
            <w:r w:rsidRPr="00FC3A04">
              <w:rPr>
                <w:b/>
                <w:color w:val="000000"/>
                <w:vertAlign w:val="superscript"/>
              </w:rPr>
              <w:t>d</w:t>
            </w:r>
            <w:r w:rsidRPr="00FC3A04">
              <w:rPr>
                <w:b/>
                <w:color w:val="000000"/>
                <w:sz w:val="20"/>
                <w:szCs w:val="20"/>
              </w:rPr>
              <w:t xml:space="preserve">  We</w:t>
            </w:r>
            <w:proofErr w:type="gramEnd"/>
            <w:r w:rsidRPr="00FC3A04">
              <w:rPr>
                <w:b/>
                <w:color w:val="000000"/>
                <w:sz w:val="20"/>
                <w:szCs w:val="20"/>
              </w:rPr>
              <w:t xml:space="preserve"> have assumed that it will take each respondent 4 hours to review the initial notification of compliance status report.</w:t>
            </w:r>
          </w:p>
          <w:p w:rsidR="00A518CE" w:rsidRPr="00FC3A04" w:rsidRDefault="00A518CE" w:rsidP="004E34F8">
            <w:pPr>
              <w:rPr>
                <w:b/>
                <w:color w:val="000000"/>
                <w:sz w:val="20"/>
                <w:szCs w:val="20"/>
              </w:rPr>
            </w:pPr>
          </w:p>
          <w:p w:rsidR="00A518CE" w:rsidRPr="00FC3A04" w:rsidRDefault="00A518CE" w:rsidP="004E34F8">
            <w:pPr>
              <w:rPr>
                <w:b/>
                <w:color w:val="000000"/>
                <w:sz w:val="20"/>
                <w:szCs w:val="20"/>
              </w:rPr>
            </w:pPr>
          </w:p>
          <w:p w:rsidR="00A518CE" w:rsidRPr="00FC3A04" w:rsidRDefault="00A518CE" w:rsidP="004E34F8">
            <w:pPr>
              <w:rPr>
                <w:b/>
                <w:color w:val="000000"/>
                <w:sz w:val="20"/>
                <w:szCs w:val="20"/>
              </w:rPr>
            </w:pPr>
          </w:p>
          <w:p w:rsidR="00A518CE" w:rsidRPr="00FC3A04" w:rsidRDefault="00A518CE" w:rsidP="004E34F8">
            <w:pPr>
              <w:rPr>
                <w:b/>
                <w:color w:val="000000"/>
                <w:sz w:val="20"/>
                <w:szCs w:val="20"/>
              </w:rPr>
            </w:pPr>
          </w:p>
          <w:p w:rsidR="00A518CE" w:rsidRPr="00FC3A04" w:rsidRDefault="00A518CE" w:rsidP="004E34F8">
            <w:pPr>
              <w:rPr>
                <w:b/>
                <w:color w:val="000000"/>
              </w:rPr>
            </w:pPr>
          </w:p>
        </w:tc>
      </w:tr>
    </w:tbl>
    <w:p w:rsidR="00FC3A04" w:rsidRDefault="00FC3A04" w:rsidP="00FC3A04">
      <w:pPr>
        <w:rPr>
          <w:color w:val="000000"/>
        </w:rPr>
      </w:pPr>
    </w:p>
    <w:sectPr w:rsidR="00FC3A04"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4F8" w:rsidRDefault="004E34F8">
      <w:r>
        <w:separator/>
      </w:r>
    </w:p>
  </w:endnote>
  <w:endnote w:type="continuationSeparator" w:id="0">
    <w:p w:rsidR="004E34F8" w:rsidRDefault="004E34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4F8" w:rsidRDefault="004E34F8">
      <w:r>
        <w:separator/>
      </w:r>
    </w:p>
  </w:footnote>
  <w:footnote w:type="continuationSeparator" w:id="0">
    <w:p w:rsidR="004E34F8" w:rsidRDefault="004E3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F8" w:rsidRDefault="004E34F8">
    <w:pPr>
      <w:framePr w:w="9361" w:wrap="notBeside" w:vAnchor="text" w:hAnchor="text" w:x="1" w:y="1"/>
      <w:jc w:val="center"/>
    </w:pPr>
    <w:fldSimple w:instr="PAGE ">
      <w:r w:rsidR="00E96E66">
        <w:rPr>
          <w:noProof/>
        </w:rPr>
        <w:t>12</w:t>
      </w:r>
    </w:fldSimple>
  </w:p>
  <w:p w:rsidR="004E34F8" w:rsidRDefault="004E34F8"/>
  <w:p w:rsidR="004E34F8" w:rsidRDefault="004E34F8">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3FB3"/>
    <w:rsid w:val="0000687D"/>
    <w:rsid w:val="00013859"/>
    <w:rsid w:val="00025BD7"/>
    <w:rsid w:val="0003619B"/>
    <w:rsid w:val="00055BDF"/>
    <w:rsid w:val="00055DC5"/>
    <w:rsid w:val="000575DD"/>
    <w:rsid w:val="00065447"/>
    <w:rsid w:val="000A1FBB"/>
    <w:rsid w:val="000A20F6"/>
    <w:rsid w:val="000A687C"/>
    <w:rsid w:val="000B1F13"/>
    <w:rsid w:val="000B2CAA"/>
    <w:rsid w:val="000C7CD9"/>
    <w:rsid w:val="000D2272"/>
    <w:rsid w:val="000F772C"/>
    <w:rsid w:val="00101B40"/>
    <w:rsid w:val="0010697C"/>
    <w:rsid w:val="00114BCC"/>
    <w:rsid w:val="00123889"/>
    <w:rsid w:val="00126A7C"/>
    <w:rsid w:val="00130D52"/>
    <w:rsid w:val="0014079D"/>
    <w:rsid w:val="00144978"/>
    <w:rsid w:val="00144A82"/>
    <w:rsid w:val="00144F35"/>
    <w:rsid w:val="00151B9C"/>
    <w:rsid w:val="0015433E"/>
    <w:rsid w:val="00162BF6"/>
    <w:rsid w:val="00167A29"/>
    <w:rsid w:val="00183E2B"/>
    <w:rsid w:val="00186DA3"/>
    <w:rsid w:val="00195753"/>
    <w:rsid w:val="001A0B41"/>
    <w:rsid w:val="001B0B9A"/>
    <w:rsid w:val="001B35F2"/>
    <w:rsid w:val="001C5991"/>
    <w:rsid w:val="001D762C"/>
    <w:rsid w:val="001F19FF"/>
    <w:rsid w:val="002041C5"/>
    <w:rsid w:val="00205280"/>
    <w:rsid w:val="002063FE"/>
    <w:rsid w:val="00206932"/>
    <w:rsid w:val="00210A83"/>
    <w:rsid w:val="0021722B"/>
    <w:rsid w:val="0022738C"/>
    <w:rsid w:val="00234696"/>
    <w:rsid w:val="00234A28"/>
    <w:rsid w:val="00236DB3"/>
    <w:rsid w:val="002431D9"/>
    <w:rsid w:val="00252422"/>
    <w:rsid w:val="002638A0"/>
    <w:rsid w:val="002712EB"/>
    <w:rsid w:val="0027222A"/>
    <w:rsid w:val="002743D2"/>
    <w:rsid w:val="00277F42"/>
    <w:rsid w:val="00281CAE"/>
    <w:rsid w:val="0029006A"/>
    <w:rsid w:val="002904E7"/>
    <w:rsid w:val="002976E9"/>
    <w:rsid w:val="002A22BE"/>
    <w:rsid w:val="002B29A5"/>
    <w:rsid w:val="002B29A7"/>
    <w:rsid w:val="002B517F"/>
    <w:rsid w:val="002B6993"/>
    <w:rsid w:val="002C1F95"/>
    <w:rsid w:val="002C416A"/>
    <w:rsid w:val="002C77DF"/>
    <w:rsid w:val="002D7683"/>
    <w:rsid w:val="002F674B"/>
    <w:rsid w:val="002F6DB3"/>
    <w:rsid w:val="003139FC"/>
    <w:rsid w:val="00341540"/>
    <w:rsid w:val="003511C6"/>
    <w:rsid w:val="00352FA9"/>
    <w:rsid w:val="00354C15"/>
    <w:rsid w:val="0038029C"/>
    <w:rsid w:val="00396871"/>
    <w:rsid w:val="003B2B0D"/>
    <w:rsid w:val="003B40F7"/>
    <w:rsid w:val="003C4B46"/>
    <w:rsid w:val="003C5023"/>
    <w:rsid w:val="003E30B5"/>
    <w:rsid w:val="003E4C18"/>
    <w:rsid w:val="003E730E"/>
    <w:rsid w:val="0040391F"/>
    <w:rsid w:val="0044133C"/>
    <w:rsid w:val="00444C2C"/>
    <w:rsid w:val="00455557"/>
    <w:rsid w:val="00456CE7"/>
    <w:rsid w:val="00472AFD"/>
    <w:rsid w:val="004823CC"/>
    <w:rsid w:val="004844D1"/>
    <w:rsid w:val="00484A45"/>
    <w:rsid w:val="004874BA"/>
    <w:rsid w:val="00497BC6"/>
    <w:rsid w:val="004A4B25"/>
    <w:rsid w:val="004B4306"/>
    <w:rsid w:val="004C5E95"/>
    <w:rsid w:val="004C701D"/>
    <w:rsid w:val="004C7644"/>
    <w:rsid w:val="004E2260"/>
    <w:rsid w:val="004E34F8"/>
    <w:rsid w:val="004E6B59"/>
    <w:rsid w:val="004E6C0B"/>
    <w:rsid w:val="004F1469"/>
    <w:rsid w:val="004F6FCD"/>
    <w:rsid w:val="004F7E33"/>
    <w:rsid w:val="00500834"/>
    <w:rsid w:val="00507EC5"/>
    <w:rsid w:val="00516952"/>
    <w:rsid w:val="005253D4"/>
    <w:rsid w:val="00551815"/>
    <w:rsid w:val="00560AD2"/>
    <w:rsid w:val="00562D9C"/>
    <w:rsid w:val="00565A51"/>
    <w:rsid w:val="00566AFD"/>
    <w:rsid w:val="00571260"/>
    <w:rsid w:val="00583626"/>
    <w:rsid w:val="005A1986"/>
    <w:rsid w:val="005B3B22"/>
    <w:rsid w:val="005B5DE8"/>
    <w:rsid w:val="005C1572"/>
    <w:rsid w:val="005C1E0C"/>
    <w:rsid w:val="005C2E3C"/>
    <w:rsid w:val="005C3665"/>
    <w:rsid w:val="005C55C2"/>
    <w:rsid w:val="005D385C"/>
    <w:rsid w:val="005E194B"/>
    <w:rsid w:val="005F0654"/>
    <w:rsid w:val="005F42F8"/>
    <w:rsid w:val="00601205"/>
    <w:rsid w:val="00604EA6"/>
    <w:rsid w:val="00606DEF"/>
    <w:rsid w:val="00627A1D"/>
    <w:rsid w:val="00630D2C"/>
    <w:rsid w:val="00631517"/>
    <w:rsid w:val="00632A47"/>
    <w:rsid w:val="00635DBD"/>
    <w:rsid w:val="0067131A"/>
    <w:rsid w:val="006741F7"/>
    <w:rsid w:val="00694B55"/>
    <w:rsid w:val="006A22F5"/>
    <w:rsid w:val="006B4864"/>
    <w:rsid w:val="006D28E9"/>
    <w:rsid w:val="006E377E"/>
    <w:rsid w:val="006E4A6E"/>
    <w:rsid w:val="006E642B"/>
    <w:rsid w:val="007452A5"/>
    <w:rsid w:val="007457BE"/>
    <w:rsid w:val="00757844"/>
    <w:rsid w:val="00763160"/>
    <w:rsid w:val="00775BCA"/>
    <w:rsid w:val="00780612"/>
    <w:rsid w:val="00786A20"/>
    <w:rsid w:val="007A0634"/>
    <w:rsid w:val="007A16F4"/>
    <w:rsid w:val="007A34BE"/>
    <w:rsid w:val="007A458D"/>
    <w:rsid w:val="007C0FAA"/>
    <w:rsid w:val="007F07FB"/>
    <w:rsid w:val="00810507"/>
    <w:rsid w:val="00813E69"/>
    <w:rsid w:val="00817E8B"/>
    <w:rsid w:val="0082545D"/>
    <w:rsid w:val="008338D4"/>
    <w:rsid w:val="0084255D"/>
    <w:rsid w:val="0084568B"/>
    <w:rsid w:val="00850ACF"/>
    <w:rsid w:val="00852038"/>
    <w:rsid w:val="00874122"/>
    <w:rsid w:val="0088639E"/>
    <w:rsid w:val="008B407C"/>
    <w:rsid w:val="008B7081"/>
    <w:rsid w:val="008D7EBB"/>
    <w:rsid w:val="008E5CAF"/>
    <w:rsid w:val="008E65E6"/>
    <w:rsid w:val="008F0408"/>
    <w:rsid w:val="008F0C9E"/>
    <w:rsid w:val="008F285B"/>
    <w:rsid w:val="008F4564"/>
    <w:rsid w:val="008F6F5C"/>
    <w:rsid w:val="009018EC"/>
    <w:rsid w:val="00906EDB"/>
    <w:rsid w:val="00912E00"/>
    <w:rsid w:val="00923C46"/>
    <w:rsid w:val="00925F75"/>
    <w:rsid w:val="009711DB"/>
    <w:rsid w:val="00974F5D"/>
    <w:rsid w:val="009902A7"/>
    <w:rsid w:val="009907F6"/>
    <w:rsid w:val="009910B0"/>
    <w:rsid w:val="009A0F50"/>
    <w:rsid w:val="009A16CD"/>
    <w:rsid w:val="009A6B51"/>
    <w:rsid w:val="009C06F5"/>
    <w:rsid w:val="009D3800"/>
    <w:rsid w:val="009D56C8"/>
    <w:rsid w:val="009D6567"/>
    <w:rsid w:val="009E0F31"/>
    <w:rsid w:val="009F6988"/>
    <w:rsid w:val="009F7CF7"/>
    <w:rsid w:val="00A007F5"/>
    <w:rsid w:val="00A038EC"/>
    <w:rsid w:val="00A145B0"/>
    <w:rsid w:val="00A15172"/>
    <w:rsid w:val="00A26EF7"/>
    <w:rsid w:val="00A277D6"/>
    <w:rsid w:val="00A379F8"/>
    <w:rsid w:val="00A518CE"/>
    <w:rsid w:val="00A54EEA"/>
    <w:rsid w:val="00A56B9C"/>
    <w:rsid w:val="00A56BFF"/>
    <w:rsid w:val="00A73600"/>
    <w:rsid w:val="00A74C1E"/>
    <w:rsid w:val="00A7661C"/>
    <w:rsid w:val="00A920F1"/>
    <w:rsid w:val="00A95BC7"/>
    <w:rsid w:val="00A962DF"/>
    <w:rsid w:val="00A96776"/>
    <w:rsid w:val="00AC04ED"/>
    <w:rsid w:val="00AC2B0D"/>
    <w:rsid w:val="00AC327F"/>
    <w:rsid w:val="00B07F79"/>
    <w:rsid w:val="00B16C07"/>
    <w:rsid w:val="00B21F60"/>
    <w:rsid w:val="00B46A57"/>
    <w:rsid w:val="00B65754"/>
    <w:rsid w:val="00B66231"/>
    <w:rsid w:val="00B769F1"/>
    <w:rsid w:val="00B82025"/>
    <w:rsid w:val="00B952EC"/>
    <w:rsid w:val="00BA0A91"/>
    <w:rsid w:val="00BA3F39"/>
    <w:rsid w:val="00BA4887"/>
    <w:rsid w:val="00BB3390"/>
    <w:rsid w:val="00BB3C1A"/>
    <w:rsid w:val="00BC6DEF"/>
    <w:rsid w:val="00BE2989"/>
    <w:rsid w:val="00BE7A11"/>
    <w:rsid w:val="00BF3779"/>
    <w:rsid w:val="00BF722F"/>
    <w:rsid w:val="00C06842"/>
    <w:rsid w:val="00C13FE8"/>
    <w:rsid w:val="00C1629F"/>
    <w:rsid w:val="00C30A60"/>
    <w:rsid w:val="00C33ABA"/>
    <w:rsid w:val="00C37BB6"/>
    <w:rsid w:val="00C52EFD"/>
    <w:rsid w:val="00C64378"/>
    <w:rsid w:val="00C72BBB"/>
    <w:rsid w:val="00C75CF0"/>
    <w:rsid w:val="00C808B5"/>
    <w:rsid w:val="00C82DB6"/>
    <w:rsid w:val="00CA4CD6"/>
    <w:rsid w:val="00CC48AB"/>
    <w:rsid w:val="00CC58F6"/>
    <w:rsid w:val="00CD12C2"/>
    <w:rsid w:val="00CD2069"/>
    <w:rsid w:val="00CD280D"/>
    <w:rsid w:val="00CF7225"/>
    <w:rsid w:val="00CF7744"/>
    <w:rsid w:val="00D01F2F"/>
    <w:rsid w:val="00D1231B"/>
    <w:rsid w:val="00D13D9A"/>
    <w:rsid w:val="00D14A8D"/>
    <w:rsid w:val="00D21198"/>
    <w:rsid w:val="00D2273E"/>
    <w:rsid w:val="00D42D52"/>
    <w:rsid w:val="00D435C8"/>
    <w:rsid w:val="00D46FA2"/>
    <w:rsid w:val="00D5080D"/>
    <w:rsid w:val="00D56F5F"/>
    <w:rsid w:val="00D61B37"/>
    <w:rsid w:val="00D634F1"/>
    <w:rsid w:val="00D63B96"/>
    <w:rsid w:val="00D92F66"/>
    <w:rsid w:val="00D95819"/>
    <w:rsid w:val="00DA319E"/>
    <w:rsid w:val="00DA48E1"/>
    <w:rsid w:val="00DA4CFB"/>
    <w:rsid w:val="00DA6080"/>
    <w:rsid w:val="00DA7285"/>
    <w:rsid w:val="00DB59E1"/>
    <w:rsid w:val="00DC1107"/>
    <w:rsid w:val="00DD1AC1"/>
    <w:rsid w:val="00DD71D5"/>
    <w:rsid w:val="00DD7D49"/>
    <w:rsid w:val="00DF5C4E"/>
    <w:rsid w:val="00E10DA7"/>
    <w:rsid w:val="00E1538C"/>
    <w:rsid w:val="00E25DB6"/>
    <w:rsid w:val="00E276CD"/>
    <w:rsid w:val="00E32EDA"/>
    <w:rsid w:val="00E51E18"/>
    <w:rsid w:val="00E53137"/>
    <w:rsid w:val="00E702F6"/>
    <w:rsid w:val="00E77D5E"/>
    <w:rsid w:val="00E868BB"/>
    <w:rsid w:val="00E96E66"/>
    <w:rsid w:val="00EA2BC3"/>
    <w:rsid w:val="00EA37A9"/>
    <w:rsid w:val="00EA7026"/>
    <w:rsid w:val="00EC4074"/>
    <w:rsid w:val="00ED2E2E"/>
    <w:rsid w:val="00EF113F"/>
    <w:rsid w:val="00EF1F50"/>
    <w:rsid w:val="00F025F6"/>
    <w:rsid w:val="00F03803"/>
    <w:rsid w:val="00F046CC"/>
    <w:rsid w:val="00F061FD"/>
    <w:rsid w:val="00F066C9"/>
    <w:rsid w:val="00F11689"/>
    <w:rsid w:val="00F20822"/>
    <w:rsid w:val="00F340DF"/>
    <w:rsid w:val="00F538BC"/>
    <w:rsid w:val="00F5746B"/>
    <w:rsid w:val="00F873F5"/>
    <w:rsid w:val="00F9092B"/>
    <w:rsid w:val="00F918E9"/>
    <w:rsid w:val="00F92D22"/>
    <w:rsid w:val="00FB0650"/>
    <w:rsid w:val="00FB4D98"/>
    <w:rsid w:val="00FB7BCE"/>
    <w:rsid w:val="00FC3A04"/>
    <w:rsid w:val="00FC4E0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9910B0"/>
    <w:rPr>
      <w:sz w:val="24"/>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70540978">
      <w:bodyDiv w:val="1"/>
      <w:marLeft w:val="0"/>
      <w:marRight w:val="0"/>
      <w:marTop w:val="0"/>
      <w:marBottom w:val="0"/>
      <w:divBdr>
        <w:top w:val="none" w:sz="0" w:space="0" w:color="auto"/>
        <w:left w:val="none" w:sz="0" w:space="0" w:color="auto"/>
        <w:bottom w:val="none" w:sz="0" w:space="0" w:color="auto"/>
        <w:right w:val="none" w:sz="0" w:space="0" w:color="auto"/>
      </w:divBdr>
    </w:div>
    <w:div w:id="141593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5432</Words>
  <Characters>31342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2013-01-22T21:05:00Z</cp:lastPrinted>
  <dcterms:created xsi:type="dcterms:W3CDTF">2013-03-05T17:19:00Z</dcterms:created>
  <dcterms:modified xsi:type="dcterms:W3CDTF">2013-03-05T17:19:00Z</dcterms:modified>
</cp:coreProperties>
</file>