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66" w:rsidRDefault="00E01C85" w:rsidP="006473DA">
      <w:pPr>
        <w:jc w:val="left"/>
        <w:rPr>
          <w:rFonts w:ascii="Arial" w:hAnsi="Arial" w:cs="Arial"/>
          <w:b/>
        </w:rPr>
      </w:pPr>
      <w:r>
        <w:rPr>
          <w:rFonts w:ascii="Arial" w:hAnsi="Arial" w:cs="Arial"/>
          <w:b/>
          <w:noProof/>
          <w:lang w:eastAsia="zh-TW"/>
        </w:rPr>
        <w:pict>
          <v:shapetype id="_x0000_t202" coordsize="21600,21600" o:spt="202" path="m,l,21600r21600,l21600,xe">
            <v:stroke joinstyle="miter"/>
            <v:path gradientshapeok="t" o:connecttype="rect"/>
          </v:shapetype>
          <v:shape id="_x0000_s1026" type="#_x0000_t202" style="position:absolute;margin-left:156.95pt;margin-top:.8pt;width:344.8pt;height:119.55pt;z-index:251660288;mso-width-relative:margin;mso-height-relative:margin">
            <v:textbox>
              <w:txbxContent>
                <w:p w:rsidR="0047006F" w:rsidRPr="006139D7" w:rsidRDefault="0047006F" w:rsidP="001540BF">
                  <w:pPr>
                    <w:spacing w:before="280" w:beforeAutospacing="0" w:after="120" w:afterAutospacing="0"/>
                    <w:jc w:val="left"/>
                    <w:rPr>
                      <w:b/>
                      <w:sz w:val="28"/>
                      <w:szCs w:val="28"/>
                    </w:rPr>
                  </w:pPr>
                  <w:r w:rsidRPr="006139D7">
                    <w:rPr>
                      <w:b/>
                      <w:sz w:val="28"/>
                      <w:szCs w:val="28"/>
                    </w:rPr>
                    <w:t>U.S. Energy Information Administration</w:t>
                  </w:r>
                </w:p>
                <w:p w:rsidR="0047006F" w:rsidRPr="006139D7" w:rsidRDefault="0047006F" w:rsidP="001540BF">
                  <w:pPr>
                    <w:spacing w:before="280" w:beforeAutospacing="0" w:after="120" w:afterAutospacing="0"/>
                    <w:jc w:val="left"/>
                    <w:rPr>
                      <w:b/>
                      <w:sz w:val="28"/>
                      <w:szCs w:val="28"/>
                    </w:rPr>
                  </w:pPr>
                  <w:r w:rsidRPr="006139D7">
                    <w:rPr>
                      <w:b/>
                      <w:sz w:val="28"/>
                      <w:szCs w:val="28"/>
                    </w:rPr>
                    <w:t>Office of Energy Statistics</w:t>
                  </w:r>
                </w:p>
                <w:p w:rsidR="0047006F" w:rsidRPr="006139D7" w:rsidRDefault="0047006F" w:rsidP="001540BF">
                  <w:pPr>
                    <w:spacing w:before="280" w:beforeAutospacing="0" w:after="120" w:afterAutospacing="0"/>
                    <w:jc w:val="left"/>
                    <w:rPr>
                      <w:b/>
                      <w:sz w:val="28"/>
                      <w:szCs w:val="28"/>
                    </w:rPr>
                  </w:pPr>
                  <w:r>
                    <w:rPr>
                      <w:b/>
                      <w:sz w:val="28"/>
                      <w:szCs w:val="28"/>
                    </w:rPr>
                    <w:t>Office of Oil, Gas, and Coal Supply Statistics</w:t>
                  </w:r>
                </w:p>
              </w:txbxContent>
            </v:textbox>
          </v:shape>
        </w:pict>
      </w:r>
      <w:r w:rsidR="006139D7">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A27966" w:rsidRDefault="00A27966" w:rsidP="006473DA">
      <w:pPr>
        <w:jc w:val="left"/>
      </w:pPr>
    </w:p>
    <w:p w:rsidR="002C0331" w:rsidRDefault="002C0331" w:rsidP="006473DA">
      <w:pPr>
        <w:jc w:val="left"/>
        <w:rPr>
          <w:rFonts w:ascii="Arial Black" w:hAnsi="Arial Black"/>
          <w:sz w:val="28"/>
        </w:rPr>
      </w:pPr>
    </w:p>
    <w:p w:rsidR="002C0331" w:rsidRPr="006139D7" w:rsidRDefault="001540BF" w:rsidP="001540BF">
      <w:pPr>
        <w:jc w:val="left"/>
        <w:rPr>
          <w:b/>
          <w:sz w:val="36"/>
          <w:szCs w:val="36"/>
        </w:rPr>
      </w:pPr>
      <w:r>
        <w:rPr>
          <w:b/>
          <w:sz w:val="36"/>
          <w:szCs w:val="36"/>
        </w:rPr>
        <w:t>Supporting Statement for Survey Clearance</w:t>
      </w:r>
    </w:p>
    <w:p w:rsidR="002C0331" w:rsidRDefault="009857AD" w:rsidP="001540BF">
      <w:pPr>
        <w:jc w:val="left"/>
        <w:rPr>
          <w:b/>
          <w:sz w:val="36"/>
          <w:szCs w:val="36"/>
        </w:rPr>
      </w:pPr>
      <w:r>
        <w:rPr>
          <w:b/>
          <w:sz w:val="36"/>
          <w:szCs w:val="36"/>
        </w:rPr>
        <w:t xml:space="preserve">U.S. </w:t>
      </w:r>
      <w:r w:rsidR="001540BF">
        <w:rPr>
          <w:b/>
          <w:sz w:val="36"/>
          <w:szCs w:val="36"/>
        </w:rPr>
        <w:t xml:space="preserve">Energy Information Administration’s (EIA) </w:t>
      </w:r>
      <w:r w:rsidR="00781DB7">
        <w:rPr>
          <w:b/>
          <w:sz w:val="36"/>
          <w:szCs w:val="36"/>
        </w:rPr>
        <w:t>Financial Reporting System</w:t>
      </w:r>
      <w:r w:rsidR="006473DA">
        <w:rPr>
          <w:b/>
          <w:sz w:val="36"/>
          <w:szCs w:val="36"/>
        </w:rPr>
        <w:t>:</w:t>
      </w:r>
    </w:p>
    <w:p w:rsidR="006473DA" w:rsidRDefault="00E53FE8" w:rsidP="006473DA">
      <w:pPr>
        <w:spacing w:before="120" w:beforeAutospacing="0" w:after="0" w:afterAutospacing="0"/>
        <w:jc w:val="center"/>
        <w:rPr>
          <w:b/>
          <w:sz w:val="36"/>
          <w:szCs w:val="36"/>
        </w:rPr>
      </w:pPr>
      <w:bookmarkStart w:id="0" w:name="_Toc335830623"/>
      <w:r>
        <w:rPr>
          <w:b/>
          <w:sz w:val="36"/>
          <w:szCs w:val="36"/>
        </w:rPr>
        <w:t>F</w:t>
      </w:r>
      <w:r w:rsidR="006473DA">
        <w:rPr>
          <w:b/>
          <w:sz w:val="36"/>
          <w:szCs w:val="36"/>
        </w:rPr>
        <w:t>orm</w:t>
      </w:r>
      <w:r w:rsidR="00D63B3C">
        <w:rPr>
          <w:b/>
          <w:sz w:val="36"/>
          <w:szCs w:val="36"/>
        </w:rPr>
        <w:t xml:space="preserve"> </w:t>
      </w:r>
      <w:r>
        <w:rPr>
          <w:b/>
          <w:sz w:val="36"/>
          <w:szCs w:val="36"/>
        </w:rPr>
        <w:t>EIA-2</w:t>
      </w:r>
      <w:r w:rsidR="00781DB7">
        <w:rPr>
          <w:b/>
          <w:sz w:val="36"/>
          <w:szCs w:val="36"/>
        </w:rPr>
        <w:t>8</w:t>
      </w:r>
    </w:p>
    <w:p w:rsidR="002C0331" w:rsidRPr="006139D7" w:rsidRDefault="002C0331" w:rsidP="006473DA">
      <w:pPr>
        <w:jc w:val="left"/>
        <w:rPr>
          <w:b/>
          <w:sz w:val="32"/>
          <w:szCs w:val="32"/>
        </w:rPr>
      </w:pPr>
      <w:bookmarkStart w:id="1" w:name="_Toc335830624"/>
      <w:bookmarkEnd w:id="0"/>
      <w:r w:rsidRPr="006139D7">
        <w:rPr>
          <w:b/>
          <w:sz w:val="32"/>
          <w:szCs w:val="32"/>
        </w:rPr>
        <w:t>OMB No. 1905</w:t>
      </w:r>
      <w:r w:rsidR="002553C8" w:rsidRPr="006139D7">
        <w:rPr>
          <w:b/>
          <w:sz w:val="32"/>
          <w:szCs w:val="32"/>
        </w:rPr>
        <w:t>-</w:t>
      </w:r>
      <w:r w:rsidR="00E53FE8">
        <w:rPr>
          <w:b/>
          <w:sz w:val="32"/>
          <w:szCs w:val="32"/>
        </w:rPr>
        <w:t>0</w:t>
      </w:r>
      <w:r w:rsidR="00781DB7">
        <w:rPr>
          <w:b/>
          <w:sz w:val="32"/>
          <w:szCs w:val="32"/>
        </w:rPr>
        <w:t>149</w:t>
      </w:r>
      <w:bookmarkEnd w:id="1"/>
    </w:p>
    <w:p w:rsidR="002C0331" w:rsidRPr="006139D7" w:rsidRDefault="002C0331" w:rsidP="006473D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tblGrid>
      <w:tr w:rsidR="002C0331" w:rsidRPr="006139D7" w:rsidTr="005A1904">
        <w:tc>
          <w:tcPr>
            <w:tcW w:w="4068" w:type="dxa"/>
            <w:vAlign w:val="center"/>
          </w:tcPr>
          <w:p w:rsidR="00B44725" w:rsidRDefault="00B44725" w:rsidP="00B44725">
            <w:pPr>
              <w:spacing w:before="120" w:beforeAutospacing="0" w:after="120" w:afterAutospacing="0"/>
              <w:jc w:val="left"/>
              <w:rPr>
                <w:b/>
                <w:sz w:val="32"/>
                <w:szCs w:val="32"/>
              </w:rPr>
            </w:pPr>
            <w:r>
              <w:rPr>
                <w:b/>
                <w:sz w:val="32"/>
                <w:szCs w:val="32"/>
              </w:rPr>
              <w:t xml:space="preserve">Part </w:t>
            </w:r>
            <w:r w:rsidR="007D1A09">
              <w:rPr>
                <w:b/>
                <w:sz w:val="32"/>
                <w:szCs w:val="32"/>
              </w:rPr>
              <w:t>B</w:t>
            </w:r>
            <w:r>
              <w:rPr>
                <w:b/>
                <w:sz w:val="32"/>
                <w:szCs w:val="32"/>
              </w:rPr>
              <w:t>:</w:t>
            </w:r>
          </w:p>
          <w:p w:rsidR="002C0331" w:rsidRPr="006139D7" w:rsidRDefault="007D1A09" w:rsidP="00B44725">
            <w:pPr>
              <w:spacing w:before="120" w:beforeAutospacing="0" w:after="120" w:afterAutospacing="0"/>
              <w:jc w:val="left"/>
              <w:rPr>
                <w:b/>
                <w:sz w:val="32"/>
                <w:szCs w:val="32"/>
              </w:rPr>
            </w:pPr>
            <w:r>
              <w:rPr>
                <w:b/>
                <w:sz w:val="32"/>
                <w:szCs w:val="32"/>
              </w:rPr>
              <w:t>Statistical Methods</w:t>
            </w:r>
          </w:p>
        </w:tc>
      </w:tr>
    </w:tbl>
    <w:p w:rsidR="002C0331" w:rsidRPr="006139D7" w:rsidRDefault="002C0331" w:rsidP="006473DA">
      <w:pPr>
        <w:jc w:val="left"/>
      </w:pPr>
    </w:p>
    <w:p w:rsidR="002C0331" w:rsidRPr="006139D7" w:rsidRDefault="002C0331" w:rsidP="006473DA">
      <w:pPr>
        <w:jc w:val="left"/>
      </w:pPr>
    </w:p>
    <w:p w:rsidR="00212267" w:rsidRDefault="0094016C">
      <w:pPr>
        <w:pStyle w:val="TOC1"/>
      </w:pPr>
      <w:r>
        <w:t>March 2013</w:t>
      </w:r>
      <w:bookmarkStart w:id="2" w:name="_Toc345587546"/>
      <w:bookmarkStart w:id="3" w:name="_Toc345587551"/>
      <w:bookmarkEnd w:id="2"/>
      <w:bookmarkEnd w:id="3"/>
    </w:p>
    <w:p w:rsidR="00212267" w:rsidRDefault="00212267" w:rsidP="00212267">
      <w:r>
        <w:br w:type="page"/>
      </w:r>
    </w:p>
    <w:p w:rsidR="00964F66" w:rsidRDefault="00964F66" w:rsidP="00964F66">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lastRenderedPageBreak/>
        <w:t>B.  COLLECTIONS OF INFORMATION EMPLOYING STATISTICAL METHODS</w:t>
      </w:r>
    </w:p>
    <w:p w:rsidR="00964F66" w:rsidRDefault="00964F66" w:rsidP="00964F66">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jc w:val="center"/>
      </w:pP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540" w:hanging="540"/>
        <w:rPr>
          <w:u w:val="single"/>
        </w:rPr>
      </w:pPr>
      <w:r>
        <w:t>1.</w:t>
      </w:r>
      <w:r>
        <w:tab/>
        <w:t xml:space="preserve"> </w:t>
      </w:r>
      <w:r>
        <w:rPr>
          <w:u w:val="single"/>
        </w:rPr>
        <w:t>Universe and Respondent Selection</w:t>
      </w: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The information gathered during this evaluation will be used primarily to inform the future redesign of</w:t>
      </w:r>
      <w:r w:rsidRPr="007D41BE">
        <w:t xml:space="preserve"> the Form EIA-28</w:t>
      </w:r>
      <w:r>
        <w:t xml:space="preserve"> </w:t>
      </w:r>
      <w:r w:rsidRPr="007D41BE">
        <w:t xml:space="preserve">to measure oil and gas </w:t>
      </w:r>
      <w:r>
        <w:t xml:space="preserve">operating </w:t>
      </w:r>
      <w:r w:rsidRPr="007D41BE">
        <w:t>costs for exploration and production for U.S. companies’ foreign and domestic operations</w:t>
      </w:r>
      <w:r>
        <w:t xml:space="preserve">.  It will not be used to produce estimates about </w:t>
      </w:r>
      <w:r w:rsidRPr="007D41BE">
        <w:t>upstream oil and gas costs for exploration and production for U.S. companies’ foreign and domestic operations</w:t>
      </w:r>
      <w:r>
        <w:t xml:space="preserve">. The small-scale testing activities undertaken as part of this </w:t>
      </w:r>
      <w:r w:rsidR="0052524F">
        <w:t>clearance</w:t>
      </w:r>
      <w:r>
        <w:t xml:space="preserve"> will involve respondents selected to represent a broad range of subgroups with expertise in specific characteristics related to measuring </w:t>
      </w:r>
      <w:r w:rsidRPr="007D41BE">
        <w:t>upstream oil and gas costs for exploration and production for U.S. companies’ foreign and domestic operations</w:t>
      </w:r>
      <w:r>
        <w:t xml:space="preserve">. </w:t>
      </w: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More specifically, the testing activities are expected to examine several aspects of the redesign process. Field testing will be used to clarify particular issues with the present form and with the new types of data that should be collected on the redesigned form. Pilot surveys will examine some aspects of the initial redesign of the form. Respondents will be debriefed to examine potential data quality problems and more accurately determine the filing burden of the new form. Cognitive interviews of the respondents will be conducted to identify areas and sources of ambiguity in the present form.</w:t>
      </w: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Finally, focus groups will be held to identify and explore issues of interest to stakeholders. Members of the initial focus groups are expected to include various stakeholders such as members or representatives of trade associations, industry groups, research groups, and academics. In addition to gaining an understanding of the needs and interests of the initial set of stakeholders, the focus groups should identify additional stakeholders, which will be invited to participate in subsequent focus groups.</w:t>
      </w: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540" w:hanging="540"/>
        <w:rPr>
          <w:u w:val="single"/>
        </w:rPr>
      </w:pPr>
      <w:r>
        <w:t>2.</w:t>
      </w:r>
      <w:r>
        <w:tab/>
      </w:r>
      <w:r>
        <w:rPr>
          <w:u w:val="single"/>
        </w:rPr>
        <w:t>Procedures for Collecting Information</w:t>
      </w:r>
    </w:p>
    <w:p w:rsidR="00964F66" w:rsidRDefault="00964F66" w:rsidP="00964F66">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 xml:space="preserve">Data collection procedures for the testing conducted under this </w:t>
      </w:r>
      <w:r w:rsidR="0052524F">
        <w:t>clearance</w:t>
      </w:r>
      <w:r>
        <w:t xml:space="preserve"> will be varied and may include in-person or web-based interviews, and telephone and web-based surveys.  EIA staff members, including both energy subject matter experts and survey statisticians, will conduct these activities.    </w:t>
      </w:r>
    </w:p>
    <w:p w:rsidR="00964F66" w:rsidRDefault="00964F66" w:rsidP="00964F66">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540" w:hanging="540"/>
        <w:rPr>
          <w:u w:val="single"/>
        </w:rPr>
      </w:pPr>
      <w:r>
        <w:t>3.</w:t>
      </w:r>
      <w:r>
        <w:tab/>
      </w:r>
      <w:r>
        <w:rPr>
          <w:u w:val="single"/>
        </w:rPr>
        <w:t xml:space="preserve">Methods to Maximize Response Rates </w:t>
      </w: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 xml:space="preserve">In general, telephone callbacks will be used to maximize response rates for in-person, telephone, or web-based interviews.  Reminder telephone calls and emails to respondents will be used to </w:t>
      </w:r>
      <w:r>
        <w:lastRenderedPageBreak/>
        <w:t xml:space="preserve">encourage them to keep their appointments. We may also contact </w:t>
      </w:r>
      <w:proofErr w:type="spellStart"/>
      <w:r>
        <w:t>nonrespondents</w:t>
      </w:r>
      <w:proofErr w:type="spellEnd"/>
      <w:r>
        <w:t xml:space="preserve"> via email to improve response rates.</w:t>
      </w: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540" w:hanging="540"/>
        <w:rPr>
          <w:u w:val="single"/>
        </w:rPr>
      </w:pPr>
      <w:r>
        <w:t>4.</w:t>
      </w:r>
      <w:r>
        <w:tab/>
      </w:r>
      <w:r>
        <w:rPr>
          <w:u w:val="single"/>
        </w:rPr>
        <w:t>Tests or Procedures</w:t>
      </w:r>
    </w:p>
    <w:p w:rsidR="00964F66" w:rsidRDefault="009E75F3"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 xml:space="preserve">This request for </w:t>
      </w:r>
      <w:r w:rsidR="00964F66">
        <w:t xml:space="preserve">clearance covers qualitative analyses of the data collected via the interviews, pilot questions, and other means. These analyses will help in the development of the instruments and survey procedures during future redesign of the EIA-28.  EIA expects that all tests conducted under this clearance will result in improved data quality and reduced or minimized respondent burden on the future redesign of the EIA-28.  In addition, the data collection procedures under this OMB clearance package may identify third party data sources of </w:t>
      </w:r>
      <w:r w:rsidR="00964F66" w:rsidRPr="007D41BE">
        <w:t>upstream oil and gas costs for exploration and production for U.S. companies’ foreign and domestic operations</w:t>
      </w:r>
      <w:r w:rsidR="00964F66">
        <w:t xml:space="preserve">. These third party sources may be used to supplement the future redesign of the EIA-28.  In addition, these third-party sources and other portions of the activities that are part of this OMB clearance package may assist EIA in verifying the validity of these data sources.  </w:t>
      </w:r>
    </w:p>
    <w:p w:rsidR="00964F66" w:rsidRDefault="00964F66" w:rsidP="00964F66">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540" w:hanging="540"/>
      </w:pPr>
      <w:r>
        <w:t>5.</w:t>
      </w:r>
      <w:r>
        <w:tab/>
      </w:r>
      <w:r w:rsidRPr="00BE2132">
        <w:rPr>
          <w:u w:val="single"/>
        </w:rPr>
        <w:t xml:space="preserve">Name and </w:t>
      </w:r>
      <w:r>
        <w:rPr>
          <w:u w:val="single"/>
        </w:rPr>
        <w:t>T</w:t>
      </w:r>
      <w:r w:rsidRPr="00BE2132">
        <w:rPr>
          <w:u w:val="single"/>
        </w:rPr>
        <w:t xml:space="preserve">elephone </w:t>
      </w:r>
      <w:r>
        <w:rPr>
          <w:u w:val="single"/>
        </w:rPr>
        <w:t>N</w:t>
      </w:r>
      <w:r w:rsidRPr="00BE2132">
        <w:rPr>
          <w:u w:val="single"/>
        </w:rPr>
        <w:t xml:space="preserve">umber of </w:t>
      </w:r>
      <w:r>
        <w:rPr>
          <w:u w:val="single"/>
        </w:rPr>
        <w:t>I</w:t>
      </w:r>
      <w:r w:rsidRPr="00BE2132">
        <w:rPr>
          <w:u w:val="single"/>
        </w:rPr>
        <w:t>ndividual</w:t>
      </w:r>
    </w:p>
    <w:p w:rsidR="00964F66" w:rsidRDefault="00964F66" w:rsidP="00964F66">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Staff from the EIA Office of Oil, Gas and Coal Supply Statistics (OGCSS) will have primary responsibility for information gathering efforts; they will be assisted by staff from the EIA Office of Survey Development and Statistical Integration (SDSI).  Questions concerning tes</w:t>
      </w:r>
      <w:r w:rsidR="009E75F3">
        <w:t xml:space="preserve">ting conducted as part of this </w:t>
      </w:r>
      <w:r>
        <w:t xml:space="preserve">clearance should be directed to Neal Davis (OGCSS) on 202-586-6581.  </w:t>
      </w:r>
    </w:p>
    <w:p w:rsidR="00964F66" w:rsidRDefault="00964F66" w:rsidP="00964F66">
      <w:pPr>
        <w:rPr>
          <w:rFonts w:eastAsia="Times New Roman"/>
          <w:sz w:val="20"/>
        </w:rPr>
      </w:pPr>
    </w:p>
    <w:p w:rsidR="002C6D71" w:rsidRDefault="002C6D71">
      <w:pPr>
        <w:pStyle w:val="TOC1"/>
        <w:rPr>
          <w:color w:val="000000"/>
          <w:spacing w:val="6"/>
          <w:sz w:val="22"/>
        </w:rPr>
      </w:pPr>
    </w:p>
    <w:sectPr w:rsidR="002C6D71" w:rsidSect="002C6C7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89" w:rsidRDefault="00140389" w:rsidP="005044A0">
      <w:pPr>
        <w:spacing w:after="0"/>
      </w:pPr>
      <w:r>
        <w:separator/>
      </w:r>
    </w:p>
  </w:endnote>
  <w:endnote w:type="continuationSeparator" w:id="0">
    <w:p w:rsidR="00140389" w:rsidRDefault="00140389" w:rsidP="005044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77609731"/>
      <w:docPartObj>
        <w:docPartGallery w:val="Page Numbers (Bottom of Page)"/>
        <w:docPartUnique/>
      </w:docPartObj>
    </w:sdtPr>
    <w:sdtContent>
      <w:sdt>
        <w:sdtPr>
          <w:rPr>
            <w:sz w:val="18"/>
            <w:szCs w:val="18"/>
          </w:rPr>
          <w:id w:val="77609730"/>
          <w:docPartObj>
            <w:docPartGallery w:val="Page Numbers (Top of Page)"/>
            <w:docPartUnique/>
          </w:docPartObj>
        </w:sdtPr>
        <w:sdtContent>
          <w:p w:rsidR="0047006F" w:rsidRPr="00503754" w:rsidRDefault="0047006F" w:rsidP="00781DB7">
            <w:pPr>
              <w:pStyle w:val="Footer"/>
              <w:numPr>
                <w:ilvl w:val="0"/>
                <w:numId w:val="29"/>
              </w:numPr>
              <w:tabs>
                <w:tab w:val="clear" w:pos="4680"/>
                <w:tab w:val="clear" w:pos="9360"/>
                <w:tab w:val="right" w:pos="9450"/>
              </w:tabs>
              <w:spacing w:after="100"/>
              <w:jc w:val="right"/>
              <w:rPr>
                <w:sz w:val="18"/>
                <w:szCs w:val="18"/>
              </w:rPr>
            </w:pPr>
            <w:r w:rsidRPr="00503754">
              <w:rPr>
                <w:sz w:val="18"/>
                <w:szCs w:val="18"/>
              </w:rPr>
              <w:t>Form EIA-2</w:t>
            </w:r>
            <w:r w:rsidR="00781DB7">
              <w:rPr>
                <w:sz w:val="18"/>
                <w:szCs w:val="18"/>
              </w:rPr>
              <w:t>8</w:t>
            </w:r>
            <w:r w:rsidRPr="00503754">
              <w:rPr>
                <w:sz w:val="18"/>
                <w:szCs w:val="18"/>
              </w:rPr>
              <w:t xml:space="preserve"> [OMB 1905-0</w:t>
            </w:r>
            <w:r w:rsidR="00781DB7">
              <w:rPr>
                <w:sz w:val="18"/>
                <w:szCs w:val="18"/>
              </w:rPr>
              <w:t>149</w:t>
            </w:r>
            <w:r w:rsidRPr="00503754">
              <w:rPr>
                <w:sz w:val="18"/>
                <w:szCs w:val="18"/>
              </w:rPr>
              <w:t>]</w:t>
            </w:r>
            <w:r w:rsidRPr="00503754">
              <w:rPr>
                <w:sz w:val="18"/>
                <w:szCs w:val="18"/>
              </w:rPr>
              <w:tab/>
              <w:t xml:space="preserve">Page </w:t>
            </w:r>
            <w:r w:rsidR="00E01C85" w:rsidRPr="00503754">
              <w:rPr>
                <w:sz w:val="18"/>
                <w:szCs w:val="18"/>
              </w:rPr>
              <w:fldChar w:fldCharType="begin"/>
            </w:r>
            <w:r w:rsidRPr="00503754">
              <w:rPr>
                <w:sz w:val="18"/>
                <w:szCs w:val="18"/>
              </w:rPr>
              <w:instrText xml:space="preserve"> PAGE </w:instrText>
            </w:r>
            <w:r w:rsidR="00E01C85" w:rsidRPr="00503754">
              <w:rPr>
                <w:sz w:val="18"/>
                <w:szCs w:val="18"/>
              </w:rPr>
              <w:fldChar w:fldCharType="separate"/>
            </w:r>
            <w:r w:rsidR="0052524F">
              <w:rPr>
                <w:noProof/>
                <w:sz w:val="18"/>
                <w:szCs w:val="18"/>
              </w:rPr>
              <w:t>1</w:t>
            </w:r>
            <w:r w:rsidR="00E01C85" w:rsidRPr="00503754">
              <w:rPr>
                <w:sz w:val="18"/>
                <w:szCs w:val="18"/>
              </w:rPr>
              <w:fldChar w:fldCharType="end"/>
            </w:r>
            <w:r w:rsidRPr="00503754">
              <w:rPr>
                <w:sz w:val="18"/>
                <w:szCs w:val="18"/>
              </w:rPr>
              <w:t xml:space="preserve"> of </w:t>
            </w:r>
            <w:r w:rsidR="00A118F5">
              <w:rPr>
                <w:sz w:val="18"/>
                <w:szCs w:val="18"/>
              </w:rPr>
              <w:t>3</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89" w:rsidRDefault="00140389" w:rsidP="005044A0">
      <w:pPr>
        <w:spacing w:after="0"/>
      </w:pPr>
      <w:r>
        <w:separator/>
      </w:r>
    </w:p>
  </w:footnote>
  <w:footnote w:type="continuationSeparator" w:id="0">
    <w:p w:rsidR="00140389" w:rsidRDefault="00140389" w:rsidP="005044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6F" w:rsidRPr="00474F12" w:rsidRDefault="0047006F" w:rsidP="00474F12">
    <w:pPr>
      <w:pStyle w:val="Header"/>
      <w:jc w:val="right"/>
      <w:rPr>
        <w:sz w:val="18"/>
        <w:szCs w:val="18"/>
      </w:rPr>
    </w:pPr>
    <w:r w:rsidRPr="00474F12">
      <w:rPr>
        <w:sz w:val="18"/>
        <w:szCs w:val="18"/>
      </w:rPr>
      <w:t xml:space="preserve">Supporting Statement, Part </w:t>
    </w:r>
    <w:r w:rsidR="00315564">
      <w:rPr>
        <w:sz w:val="18"/>
        <w:szCs w:val="18"/>
      </w:rPr>
      <w:t>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D51"/>
    <w:multiLevelType w:val="multilevel"/>
    <w:tmpl w:val="08F88E94"/>
    <w:lvl w:ilvl="0">
      <w:start w:val="1"/>
      <w:numFmt w:val="bullet"/>
      <w:lvlText w:val=""/>
      <w:lvlJc w:val="left"/>
      <w:pPr>
        <w:tabs>
          <w:tab w:val="decimal" w:pos="432"/>
        </w:tabs>
        <w:ind w:left="720"/>
      </w:pPr>
      <w:rPr>
        <w:rFonts w:ascii="Symbol" w:hAnsi="Symbol"/>
        <w:strike w:val="0"/>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7127FA"/>
    <w:multiLevelType w:val="multilevel"/>
    <w:tmpl w:val="750E1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833CDD"/>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A664994"/>
    <w:multiLevelType w:val="hybridMultilevel"/>
    <w:tmpl w:val="2250ADA2"/>
    <w:lvl w:ilvl="0" w:tplc="9D9631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C113751"/>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0920752"/>
    <w:multiLevelType w:val="hybridMultilevel"/>
    <w:tmpl w:val="03040598"/>
    <w:lvl w:ilvl="0" w:tplc="3F46F2A4">
      <w:start w:val="1"/>
      <w:numFmt w:val="bullet"/>
      <w:lvlText w:val=""/>
      <w:lvlJc w:val="left"/>
      <w:pPr>
        <w:tabs>
          <w:tab w:val="num" w:pos="288"/>
        </w:tabs>
        <w:ind w:left="691" w:hanging="259"/>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
    <w:nsid w:val="344E435A"/>
    <w:multiLevelType w:val="hybridMultilevel"/>
    <w:tmpl w:val="6AF6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C0815"/>
    <w:multiLevelType w:val="multilevel"/>
    <w:tmpl w:val="9948D926"/>
    <w:lvl w:ilvl="0">
      <w:start w:val="1"/>
      <w:numFmt w:val="upperLetter"/>
      <w:lvlText w:val="%1."/>
      <w:lvlJc w:val="left"/>
      <w:pPr>
        <w:ind w:left="72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9286216"/>
    <w:multiLevelType w:val="hybridMultilevel"/>
    <w:tmpl w:val="7BB080AE"/>
    <w:lvl w:ilvl="0" w:tplc="9E0240D0">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F45792"/>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4F4C50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CC9465A"/>
    <w:multiLevelType w:val="hybridMultilevel"/>
    <w:tmpl w:val="40E0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46B11"/>
    <w:multiLevelType w:val="hybridMultilevel"/>
    <w:tmpl w:val="750E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F77AA"/>
    <w:multiLevelType w:val="hybridMultilevel"/>
    <w:tmpl w:val="E64A38A6"/>
    <w:lvl w:ilvl="0" w:tplc="844CD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23ADB"/>
    <w:multiLevelType w:val="hybridMultilevel"/>
    <w:tmpl w:val="68A4E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7A45669"/>
    <w:multiLevelType w:val="hybridMultilevel"/>
    <w:tmpl w:val="212A951C"/>
    <w:lvl w:ilvl="0" w:tplc="D2E07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9B1BBB"/>
    <w:multiLevelType w:val="multilevel"/>
    <w:tmpl w:val="C7386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2D82304"/>
    <w:multiLevelType w:val="hybridMultilevel"/>
    <w:tmpl w:val="319EE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8B2A6E"/>
    <w:multiLevelType w:val="multilevel"/>
    <w:tmpl w:val="882C9E6E"/>
    <w:lvl w:ilvl="0">
      <w:start w:val="1"/>
      <w:numFmt w:val="upperLetter"/>
      <w:lvlText w:val="%1."/>
      <w:lvlJc w:val="left"/>
      <w:pPr>
        <w:ind w:left="360" w:hanging="360"/>
      </w:pPr>
      <w:rPr>
        <w:rFonts w:hint="default"/>
      </w:rPr>
    </w:lvl>
    <w:lvl w:ilvl="1">
      <w:start w:val="1"/>
      <w:numFmt w:val="decimal"/>
      <w:pStyle w:val="Heading2"/>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AFD106B"/>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7F4D75AF"/>
    <w:multiLevelType w:val="hybridMultilevel"/>
    <w:tmpl w:val="BDC6E844"/>
    <w:lvl w:ilvl="0" w:tplc="A34E5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2"/>
  </w:num>
  <w:num w:numId="3">
    <w:abstractNumId w:val="10"/>
  </w:num>
  <w:num w:numId="4">
    <w:abstractNumId w:val="15"/>
  </w:num>
  <w:num w:numId="5">
    <w:abstractNumId w:val="8"/>
  </w:num>
  <w:num w:numId="6">
    <w:abstractNumId w:val="5"/>
  </w:num>
  <w:num w:numId="7">
    <w:abstractNumId w:val="14"/>
  </w:num>
  <w:num w:numId="8">
    <w:abstractNumId w:val="13"/>
  </w:num>
  <w:num w:numId="9">
    <w:abstractNumId w:val="7"/>
  </w:num>
  <w:num w:numId="10">
    <w:abstractNumId w:val="3"/>
  </w:num>
  <w:num w:numId="11">
    <w:abstractNumId w:val="20"/>
  </w:num>
  <w:num w:numId="12">
    <w:abstractNumId w:val="9"/>
  </w:num>
  <w:num w:numId="13">
    <w:abstractNumId w:val="19"/>
  </w:num>
  <w:num w:numId="14">
    <w:abstractNumId w:val="16"/>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11"/>
  </w:num>
  <w:num w:numId="23">
    <w:abstractNumId w:val="6"/>
  </w:num>
  <w:num w:numId="24">
    <w:abstractNumId w:val="7"/>
  </w:num>
  <w:num w:numId="25">
    <w:abstractNumId w:val="2"/>
  </w:num>
  <w:num w:numId="26">
    <w:abstractNumId w:val="4"/>
  </w:num>
  <w:num w:numId="27">
    <w:abstractNumId w:val="1"/>
  </w:num>
  <w:num w:numId="28">
    <w:abstractNumId w:val="18"/>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2C0331"/>
    <w:rsid w:val="000114E9"/>
    <w:rsid w:val="0001490F"/>
    <w:rsid w:val="000218A8"/>
    <w:rsid w:val="00046B39"/>
    <w:rsid w:val="000576AC"/>
    <w:rsid w:val="00062CE4"/>
    <w:rsid w:val="00072073"/>
    <w:rsid w:val="00072CCD"/>
    <w:rsid w:val="000821CA"/>
    <w:rsid w:val="000839A5"/>
    <w:rsid w:val="00087140"/>
    <w:rsid w:val="000922EA"/>
    <w:rsid w:val="000927BF"/>
    <w:rsid w:val="0009294A"/>
    <w:rsid w:val="00095A94"/>
    <w:rsid w:val="000961AD"/>
    <w:rsid w:val="000A6581"/>
    <w:rsid w:val="000B3281"/>
    <w:rsid w:val="000C3316"/>
    <w:rsid w:val="000D1E6D"/>
    <w:rsid w:val="000D41D6"/>
    <w:rsid w:val="000E0683"/>
    <w:rsid w:val="000E3A4E"/>
    <w:rsid w:val="000F1AE2"/>
    <w:rsid w:val="00101AE8"/>
    <w:rsid w:val="00107D9B"/>
    <w:rsid w:val="00117ABC"/>
    <w:rsid w:val="00122535"/>
    <w:rsid w:val="001268AE"/>
    <w:rsid w:val="001315A9"/>
    <w:rsid w:val="00134856"/>
    <w:rsid w:val="00140389"/>
    <w:rsid w:val="00140CC1"/>
    <w:rsid w:val="0014344A"/>
    <w:rsid w:val="001540BF"/>
    <w:rsid w:val="001564CA"/>
    <w:rsid w:val="001575EF"/>
    <w:rsid w:val="00157E04"/>
    <w:rsid w:val="00160B87"/>
    <w:rsid w:val="00165FD7"/>
    <w:rsid w:val="001813F6"/>
    <w:rsid w:val="00185827"/>
    <w:rsid w:val="001859F2"/>
    <w:rsid w:val="00195824"/>
    <w:rsid w:val="001B23FC"/>
    <w:rsid w:val="001B509A"/>
    <w:rsid w:val="001B63C7"/>
    <w:rsid w:val="001C47F9"/>
    <w:rsid w:val="001D1B96"/>
    <w:rsid w:val="001E12EE"/>
    <w:rsid w:val="001E5A13"/>
    <w:rsid w:val="001F4FBA"/>
    <w:rsid w:val="00204FC5"/>
    <w:rsid w:val="002074E9"/>
    <w:rsid w:val="00212267"/>
    <w:rsid w:val="00212E8E"/>
    <w:rsid w:val="002206A3"/>
    <w:rsid w:val="002210BD"/>
    <w:rsid w:val="00225391"/>
    <w:rsid w:val="002400B7"/>
    <w:rsid w:val="002427BA"/>
    <w:rsid w:val="00244F6A"/>
    <w:rsid w:val="002454A8"/>
    <w:rsid w:val="00251D3B"/>
    <w:rsid w:val="002553C8"/>
    <w:rsid w:val="0026191B"/>
    <w:rsid w:val="00262864"/>
    <w:rsid w:val="00270744"/>
    <w:rsid w:val="00270FD8"/>
    <w:rsid w:val="00282167"/>
    <w:rsid w:val="00290BE5"/>
    <w:rsid w:val="00293C3B"/>
    <w:rsid w:val="002A074D"/>
    <w:rsid w:val="002A3843"/>
    <w:rsid w:val="002A423C"/>
    <w:rsid w:val="002C0331"/>
    <w:rsid w:val="002C6C78"/>
    <w:rsid w:val="002C6D71"/>
    <w:rsid w:val="002F045E"/>
    <w:rsid w:val="002F51D2"/>
    <w:rsid w:val="003024DE"/>
    <w:rsid w:val="00302975"/>
    <w:rsid w:val="00313478"/>
    <w:rsid w:val="00315564"/>
    <w:rsid w:val="00343D69"/>
    <w:rsid w:val="003478C3"/>
    <w:rsid w:val="003551D0"/>
    <w:rsid w:val="00356A5B"/>
    <w:rsid w:val="00363B16"/>
    <w:rsid w:val="0036471A"/>
    <w:rsid w:val="003862DF"/>
    <w:rsid w:val="0038764B"/>
    <w:rsid w:val="00393880"/>
    <w:rsid w:val="0039733B"/>
    <w:rsid w:val="003A28C0"/>
    <w:rsid w:val="003A3F1F"/>
    <w:rsid w:val="003B5FD8"/>
    <w:rsid w:val="003D050A"/>
    <w:rsid w:val="003E1DD7"/>
    <w:rsid w:val="003E6299"/>
    <w:rsid w:val="004241DA"/>
    <w:rsid w:val="004257B4"/>
    <w:rsid w:val="004267FE"/>
    <w:rsid w:val="00430DA7"/>
    <w:rsid w:val="00430F0F"/>
    <w:rsid w:val="004314C8"/>
    <w:rsid w:val="00441722"/>
    <w:rsid w:val="00441DEF"/>
    <w:rsid w:val="00452029"/>
    <w:rsid w:val="0047006F"/>
    <w:rsid w:val="0047230B"/>
    <w:rsid w:val="00474F12"/>
    <w:rsid w:val="0048502F"/>
    <w:rsid w:val="004907CD"/>
    <w:rsid w:val="00494A84"/>
    <w:rsid w:val="004A1FB5"/>
    <w:rsid w:val="004A44C5"/>
    <w:rsid w:val="004C0DE6"/>
    <w:rsid w:val="004C7706"/>
    <w:rsid w:val="004E7093"/>
    <w:rsid w:val="004F575A"/>
    <w:rsid w:val="004F7724"/>
    <w:rsid w:val="005000C0"/>
    <w:rsid w:val="00503754"/>
    <w:rsid w:val="005044A0"/>
    <w:rsid w:val="0052485F"/>
    <w:rsid w:val="0052524F"/>
    <w:rsid w:val="00532BA9"/>
    <w:rsid w:val="00542B2E"/>
    <w:rsid w:val="0055248B"/>
    <w:rsid w:val="00560D57"/>
    <w:rsid w:val="00572F25"/>
    <w:rsid w:val="0057553B"/>
    <w:rsid w:val="00592E62"/>
    <w:rsid w:val="00595097"/>
    <w:rsid w:val="005A05DA"/>
    <w:rsid w:val="005A1904"/>
    <w:rsid w:val="005A49F9"/>
    <w:rsid w:val="005B60D7"/>
    <w:rsid w:val="005C1D42"/>
    <w:rsid w:val="005C3787"/>
    <w:rsid w:val="005C57DB"/>
    <w:rsid w:val="005C756F"/>
    <w:rsid w:val="005C789A"/>
    <w:rsid w:val="005D0D79"/>
    <w:rsid w:val="005D316A"/>
    <w:rsid w:val="005D728F"/>
    <w:rsid w:val="005F615C"/>
    <w:rsid w:val="00610494"/>
    <w:rsid w:val="006139D7"/>
    <w:rsid w:val="00615A5B"/>
    <w:rsid w:val="0061775D"/>
    <w:rsid w:val="00620278"/>
    <w:rsid w:val="0062700D"/>
    <w:rsid w:val="0062789D"/>
    <w:rsid w:val="006402BB"/>
    <w:rsid w:val="00640401"/>
    <w:rsid w:val="00641752"/>
    <w:rsid w:val="006473DA"/>
    <w:rsid w:val="00647AF6"/>
    <w:rsid w:val="00651DF9"/>
    <w:rsid w:val="006575A9"/>
    <w:rsid w:val="006636B9"/>
    <w:rsid w:val="00664B50"/>
    <w:rsid w:val="006677BD"/>
    <w:rsid w:val="006727F2"/>
    <w:rsid w:val="006751B2"/>
    <w:rsid w:val="0068564D"/>
    <w:rsid w:val="006870F6"/>
    <w:rsid w:val="00690F48"/>
    <w:rsid w:val="006A37DD"/>
    <w:rsid w:val="006A7D8E"/>
    <w:rsid w:val="006C0AE4"/>
    <w:rsid w:val="006C1072"/>
    <w:rsid w:val="006C509B"/>
    <w:rsid w:val="006D2C85"/>
    <w:rsid w:val="006E1090"/>
    <w:rsid w:val="0070111F"/>
    <w:rsid w:val="007060CA"/>
    <w:rsid w:val="00720BAF"/>
    <w:rsid w:val="00720D7A"/>
    <w:rsid w:val="007230BE"/>
    <w:rsid w:val="00737062"/>
    <w:rsid w:val="00741E34"/>
    <w:rsid w:val="0075396D"/>
    <w:rsid w:val="00767227"/>
    <w:rsid w:val="0078006C"/>
    <w:rsid w:val="00781DB7"/>
    <w:rsid w:val="00783131"/>
    <w:rsid w:val="00791741"/>
    <w:rsid w:val="00793327"/>
    <w:rsid w:val="007A0D25"/>
    <w:rsid w:val="007A6362"/>
    <w:rsid w:val="007B10FA"/>
    <w:rsid w:val="007D1A09"/>
    <w:rsid w:val="007F731A"/>
    <w:rsid w:val="00826584"/>
    <w:rsid w:val="0083516B"/>
    <w:rsid w:val="00840126"/>
    <w:rsid w:val="008443B3"/>
    <w:rsid w:val="0085617A"/>
    <w:rsid w:val="008561E4"/>
    <w:rsid w:val="0086075E"/>
    <w:rsid w:val="008623D2"/>
    <w:rsid w:val="008638FD"/>
    <w:rsid w:val="0086552F"/>
    <w:rsid w:val="00866709"/>
    <w:rsid w:val="00867A0B"/>
    <w:rsid w:val="00867C49"/>
    <w:rsid w:val="00882422"/>
    <w:rsid w:val="008A5816"/>
    <w:rsid w:val="008A5B6A"/>
    <w:rsid w:val="008B081B"/>
    <w:rsid w:val="008B7DAA"/>
    <w:rsid w:val="008C2F54"/>
    <w:rsid w:val="008C7E65"/>
    <w:rsid w:val="008D4B5F"/>
    <w:rsid w:val="008D7516"/>
    <w:rsid w:val="008D7E13"/>
    <w:rsid w:val="008E7459"/>
    <w:rsid w:val="008E75DA"/>
    <w:rsid w:val="008F2263"/>
    <w:rsid w:val="008F7803"/>
    <w:rsid w:val="00902DFF"/>
    <w:rsid w:val="00915E1D"/>
    <w:rsid w:val="00923068"/>
    <w:rsid w:val="009277A1"/>
    <w:rsid w:val="0093371F"/>
    <w:rsid w:val="0094016C"/>
    <w:rsid w:val="00940848"/>
    <w:rsid w:val="00950E76"/>
    <w:rsid w:val="00957C50"/>
    <w:rsid w:val="00964F66"/>
    <w:rsid w:val="009754C5"/>
    <w:rsid w:val="009857AD"/>
    <w:rsid w:val="00985BEA"/>
    <w:rsid w:val="00987298"/>
    <w:rsid w:val="009915B3"/>
    <w:rsid w:val="00991C91"/>
    <w:rsid w:val="00992C87"/>
    <w:rsid w:val="009A3B00"/>
    <w:rsid w:val="009A59BC"/>
    <w:rsid w:val="009B60B9"/>
    <w:rsid w:val="009E75F3"/>
    <w:rsid w:val="009F4B8B"/>
    <w:rsid w:val="00A002C5"/>
    <w:rsid w:val="00A02218"/>
    <w:rsid w:val="00A118F5"/>
    <w:rsid w:val="00A138D5"/>
    <w:rsid w:val="00A21D67"/>
    <w:rsid w:val="00A25203"/>
    <w:rsid w:val="00A254CD"/>
    <w:rsid w:val="00A25D40"/>
    <w:rsid w:val="00A27966"/>
    <w:rsid w:val="00A333E4"/>
    <w:rsid w:val="00A33E4E"/>
    <w:rsid w:val="00A4792C"/>
    <w:rsid w:val="00A47E3C"/>
    <w:rsid w:val="00A50DD9"/>
    <w:rsid w:val="00A6509A"/>
    <w:rsid w:val="00A724F1"/>
    <w:rsid w:val="00A73AF4"/>
    <w:rsid w:val="00A76D4B"/>
    <w:rsid w:val="00A862F0"/>
    <w:rsid w:val="00A951E8"/>
    <w:rsid w:val="00A977D8"/>
    <w:rsid w:val="00AB26EF"/>
    <w:rsid w:val="00AB4A84"/>
    <w:rsid w:val="00AE19AD"/>
    <w:rsid w:val="00AE20DC"/>
    <w:rsid w:val="00AF7747"/>
    <w:rsid w:val="00B00E5B"/>
    <w:rsid w:val="00B24CFB"/>
    <w:rsid w:val="00B25019"/>
    <w:rsid w:val="00B2780C"/>
    <w:rsid w:val="00B328AD"/>
    <w:rsid w:val="00B34E57"/>
    <w:rsid w:val="00B44725"/>
    <w:rsid w:val="00B7522F"/>
    <w:rsid w:val="00B77F2D"/>
    <w:rsid w:val="00B809F7"/>
    <w:rsid w:val="00B85F18"/>
    <w:rsid w:val="00B877ED"/>
    <w:rsid w:val="00B96963"/>
    <w:rsid w:val="00B9714B"/>
    <w:rsid w:val="00BA0F32"/>
    <w:rsid w:val="00BA3957"/>
    <w:rsid w:val="00BC6D42"/>
    <w:rsid w:val="00BD7726"/>
    <w:rsid w:val="00BF019D"/>
    <w:rsid w:val="00BF19F7"/>
    <w:rsid w:val="00C04CBC"/>
    <w:rsid w:val="00C12E5E"/>
    <w:rsid w:val="00C2028E"/>
    <w:rsid w:val="00C31F23"/>
    <w:rsid w:val="00C4538A"/>
    <w:rsid w:val="00C61856"/>
    <w:rsid w:val="00C817FB"/>
    <w:rsid w:val="00C85DEB"/>
    <w:rsid w:val="00CA197F"/>
    <w:rsid w:val="00CA6430"/>
    <w:rsid w:val="00CC231B"/>
    <w:rsid w:val="00CC242B"/>
    <w:rsid w:val="00CC33F2"/>
    <w:rsid w:val="00CC43C5"/>
    <w:rsid w:val="00CC4CE7"/>
    <w:rsid w:val="00CE1962"/>
    <w:rsid w:val="00CF4745"/>
    <w:rsid w:val="00D0534A"/>
    <w:rsid w:val="00D054E5"/>
    <w:rsid w:val="00D13E07"/>
    <w:rsid w:val="00D3119A"/>
    <w:rsid w:val="00D325B0"/>
    <w:rsid w:val="00D379E1"/>
    <w:rsid w:val="00D445C4"/>
    <w:rsid w:val="00D47451"/>
    <w:rsid w:val="00D53310"/>
    <w:rsid w:val="00D63B3C"/>
    <w:rsid w:val="00D71D78"/>
    <w:rsid w:val="00D810CC"/>
    <w:rsid w:val="00D86E24"/>
    <w:rsid w:val="00DA3A26"/>
    <w:rsid w:val="00DB71F6"/>
    <w:rsid w:val="00DE484E"/>
    <w:rsid w:val="00DF0F4E"/>
    <w:rsid w:val="00DF2BE6"/>
    <w:rsid w:val="00E01C85"/>
    <w:rsid w:val="00E107DE"/>
    <w:rsid w:val="00E26213"/>
    <w:rsid w:val="00E272B4"/>
    <w:rsid w:val="00E34C3B"/>
    <w:rsid w:val="00E44FDC"/>
    <w:rsid w:val="00E45137"/>
    <w:rsid w:val="00E53FE8"/>
    <w:rsid w:val="00E63B08"/>
    <w:rsid w:val="00E66A95"/>
    <w:rsid w:val="00E71F6A"/>
    <w:rsid w:val="00E7459C"/>
    <w:rsid w:val="00E7530E"/>
    <w:rsid w:val="00E7636F"/>
    <w:rsid w:val="00E85349"/>
    <w:rsid w:val="00E86C84"/>
    <w:rsid w:val="00E97303"/>
    <w:rsid w:val="00EB0FB2"/>
    <w:rsid w:val="00EC6900"/>
    <w:rsid w:val="00EC6FD1"/>
    <w:rsid w:val="00EC76D2"/>
    <w:rsid w:val="00ED6A33"/>
    <w:rsid w:val="00EE6C48"/>
    <w:rsid w:val="00EF22AF"/>
    <w:rsid w:val="00EF78E4"/>
    <w:rsid w:val="00F0118C"/>
    <w:rsid w:val="00F05BCC"/>
    <w:rsid w:val="00F41F48"/>
    <w:rsid w:val="00F44A51"/>
    <w:rsid w:val="00F51ECD"/>
    <w:rsid w:val="00F55066"/>
    <w:rsid w:val="00F71BC8"/>
    <w:rsid w:val="00F96839"/>
    <w:rsid w:val="00F96EA0"/>
    <w:rsid w:val="00FC3D8D"/>
    <w:rsid w:val="00FF04BE"/>
    <w:rsid w:val="00FF4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6C"/>
    <w:pPr>
      <w:spacing w:before="100" w:beforeAutospacing="1" w:after="100" w:afterAutospacing="1"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heme="majorEastAsia"/>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ind w:left="0"/>
      <w:jc w:val="left"/>
      <w:outlineLvl w:val="1"/>
    </w:pPr>
    <w:rPr>
      <w:rFonts w:eastAsiaTheme="majorEastAsia"/>
      <w:b/>
      <w:bCs/>
      <w:color w:val="000000"/>
      <w:spacing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27"/>
    <w:rPr>
      <w:rFonts w:ascii="Times New Roman" w:eastAsiaTheme="majorEastAsia" w:hAnsi="Times New Roman" w:cs="Times New Roman"/>
      <w:b/>
      <w:bCs/>
      <w:color w:val="000000"/>
      <w:sz w:val="28"/>
      <w:szCs w:val="28"/>
    </w:rPr>
  </w:style>
  <w:style w:type="paragraph" w:styleId="ListParagraph">
    <w:name w:val="List Paragraph"/>
    <w:basedOn w:val="Normal"/>
    <w:uiPriority w:val="34"/>
    <w:qFormat/>
    <w:rsid w:val="00F05BC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rsid w:val="001859F2"/>
    <w:pPr>
      <w:tabs>
        <w:tab w:val="right" w:leader="dot" w:pos="9410"/>
      </w:tabs>
    </w:pPr>
    <w:rPr>
      <w:b/>
    </w:rPr>
  </w:style>
  <w:style w:type="character" w:styleId="Hyperlink">
    <w:name w:val="Hyperlink"/>
    <w:basedOn w:val="DefaultParagraphFont"/>
    <w:uiPriority w:val="99"/>
    <w:unhideWhenUsed/>
    <w:rsid w:val="00B34E57"/>
    <w:rPr>
      <w:color w:val="0000FF" w:themeColor="hyperlink"/>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basedOn w:val="DefaultParagraphFont"/>
    <w:link w:val="Heading2"/>
    <w:uiPriority w:val="9"/>
    <w:rsid w:val="008561E4"/>
    <w:rPr>
      <w:rFonts w:ascii="Times New Roman" w:eastAsiaTheme="majorEastAsia" w:hAnsi="Times New Roman" w:cs="Times New Roman"/>
      <w:b/>
      <w:bCs/>
      <w:color w:val="000000"/>
      <w:spacing w:val="12"/>
      <w:sz w:val="24"/>
      <w:szCs w:val="24"/>
    </w:rPr>
  </w:style>
  <w:style w:type="paragraph" w:styleId="TOC2">
    <w:name w:val="toc 2"/>
    <w:basedOn w:val="Normal"/>
    <w:next w:val="Normal"/>
    <w:autoRedefine/>
    <w:uiPriority w:val="39"/>
    <w:unhideWhenUsed/>
    <w:rsid w:val="00157E04"/>
    <w:pPr>
      <w:tabs>
        <w:tab w:val="left" w:pos="880"/>
        <w:tab w:val="right" w:leader="dot" w:pos="9350"/>
      </w:tabs>
      <w:spacing w:before="240" w:beforeAutospacing="0" w:after="240" w:afterAutospacing="0"/>
      <w:ind w:left="216"/>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basedOn w:val="DefaultParagraphFont"/>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basedOn w:val="DefaultParagraphFont"/>
    <w:link w:val="Footer"/>
    <w:uiPriority w:val="99"/>
    <w:rsid w:val="005044A0"/>
    <w:rPr>
      <w:rFonts w:ascii="Calibri" w:eastAsia="Calibri" w:hAnsi="Calibri" w:cs="Times New Roman"/>
    </w:rPr>
  </w:style>
  <w:style w:type="paragraph" w:styleId="CommentText">
    <w:name w:val="annotation text"/>
    <w:basedOn w:val="Normal"/>
    <w:link w:val="CommentTextChar"/>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basedOn w:val="DefaultParagraphFont"/>
    <w:link w:val="CommentText"/>
    <w:semiHidden/>
    <w:rsid w:val="00F51ECD"/>
    <w:rPr>
      <w:rFonts w:ascii="Courier" w:eastAsia="Times New Roman" w:hAnsi="Courier" w:cs="Times New Roman"/>
      <w:snapToGrid w:val="0"/>
      <w:sz w:val="20"/>
      <w:szCs w:val="20"/>
    </w:rPr>
  </w:style>
  <w:style w:type="character" w:styleId="CommentReference">
    <w:name w:val="annotation reference"/>
    <w:basedOn w:val="DefaultParagraphFont"/>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0" w:afterAutospacing="1" w:line="240" w:lineRule="auto"/>
      <w:jc w:val="both"/>
    </w:pPr>
    <w:rPr>
      <w:rFonts w:ascii="Times New Roman" w:eastAsia="Calibri" w:hAnsi="Times New Roman" w:cs="Times New Roman"/>
      <w:sz w:val="24"/>
    </w:rPr>
  </w:style>
  <w:style w:type="paragraph" w:styleId="Revision">
    <w:name w:val="Revision"/>
    <w:hidden/>
    <w:uiPriority w:val="99"/>
    <w:semiHidden/>
    <w:rsid w:val="002454A8"/>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2206A3"/>
    <w:pPr>
      <w:spacing w:before="0" w:beforeAutospacing="0" w:after="0" w:afterAutospacing="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06A3"/>
    <w:rPr>
      <w:rFonts w:ascii="Consolas" w:hAnsi="Consolas" w:cs="Times New Roman"/>
      <w:sz w:val="21"/>
      <w:szCs w:val="21"/>
    </w:rPr>
  </w:style>
  <w:style w:type="character" w:styleId="FollowedHyperlink">
    <w:name w:val="FollowedHyperlink"/>
    <w:basedOn w:val="DefaultParagraphFont"/>
    <w:uiPriority w:val="99"/>
    <w:semiHidden/>
    <w:unhideWhenUsed/>
    <w:rsid w:val="003D05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7037981">
      <w:bodyDiv w:val="1"/>
      <w:marLeft w:val="0"/>
      <w:marRight w:val="0"/>
      <w:marTop w:val="0"/>
      <w:marBottom w:val="0"/>
      <w:divBdr>
        <w:top w:val="none" w:sz="0" w:space="0" w:color="auto"/>
        <w:left w:val="none" w:sz="0" w:space="0" w:color="auto"/>
        <w:bottom w:val="none" w:sz="0" w:space="0" w:color="auto"/>
        <w:right w:val="none" w:sz="0" w:space="0" w:color="auto"/>
      </w:divBdr>
    </w:div>
    <w:div w:id="1093670827">
      <w:bodyDiv w:val="1"/>
      <w:marLeft w:val="0"/>
      <w:marRight w:val="0"/>
      <w:marTop w:val="0"/>
      <w:marBottom w:val="0"/>
      <w:divBdr>
        <w:top w:val="none" w:sz="0" w:space="0" w:color="auto"/>
        <w:left w:val="none" w:sz="0" w:space="0" w:color="auto"/>
        <w:bottom w:val="none" w:sz="0" w:space="0" w:color="auto"/>
        <w:right w:val="none" w:sz="0" w:space="0" w:color="auto"/>
      </w:divBdr>
    </w:div>
    <w:div w:id="1158612547">
      <w:bodyDiv w:val="1"/>
      <w:marLeft w:val="0"/>
      <w:marRight w:val="0"/>
      <w:marTop w:val="0"/>
      <w:marBottom w:val="0"/>
      <w:divBdr>
        <w:top w:val="none" w:sz="0" w:space="0" w:color="auto"/>
        <w:left w:val="none" w:sz="0" w:space="0" w:color="auto"/>
        <w:bottom w:val="none" w:sz="0" w:space="0" w:color="auto"/>
        <w:right w:val="none" w:sz="0" w:space="0" w:color="auto"/>
      </w:divBdr>
    </w:div>
    <w:div w:id="1219899563">
      <w:bodyDiv w:val="1"/>
      <w:marLeft w:val="0"/>
      <w:marRight w:val="0"/>
      <w:marTop w:val="0"/>
      <w:marBottom w:val="0"/>
      <w:divBdr>
        <w:top w:val="none" w:sz="0" w:space="0" w:color="auto"/>
        <w:left w:val="none" w:sz="0" w:space="0" w:color="auto"/>
        <w:bottom w:val="none" w:sz="0" w:space="0" w:color="auto"/>
        <w:right w:val="none" w:sz="0" w:space="0" w:color="auto"/>
      </w:divBdr>
    </w:div>
    <w:div w:id="1270164844">
      <w:bodyDiv w:val="1"/>
      <w:marLeft w:val="0"/>
      <w:marRight w:val="0"/>
      <w:marTop w:val="0"/>
      <w:marBottom w:val="0"/>
      <w:divBdr>
        <w:top w:val="none" w:sz="0" w:space="0" w:color="auto"/>
        <w:left w:val="none" w:sz="0" w:space="0" w:color="auto"/>
        <w:bottom w:val="none" w:sz="0" w:space="0" w:color="auto"/>
        <w:right w:val="none" w:sz="0" w:space="0" w:color="auto"/>
      </w:divBdr>
    </w:div>
    <w:div w:id="1405058326">
      <w:bodyDiv w:val="1"/>
      <w:marLeft w:val="0"/>
      <w:marRight w:val="0"/>
      <w:marTop w:val="0"/>
      <w:marBottom w:val="0"/>
      <w:divBdr>
        <w:top w:val="none" w:sz="0" w:space="0" w:color="auto"/>
        <w:left w:val="none" w:sz="0" w:space="0" w:color="auto"/>
        <w:bottom w:val="none" w:sz="0" w:space="0" w:color="auto"/>
        <w:right w:val="none" w:sz="0" w:space="0" w:color="auto"/>
      </w:divBdr>
    </w:div>
    <w:div w:id="1621180216">
      <w:bodyDiv w:val="1"/>
      <w:marLeft w:val="0"/>
      <w:marRight w:val="0"/>
      <w:marTop w:val="0"/>
      <w:marBottom w:val="0"/>
      <w:divBdr>
        <w:top w:val="none" w:sz="0" w:space="0" w:color="auto"/>
        <w:left w:val="none" w:sz="0" w:space="0" w:color="auto"/>
        <w:bottom w:val="none" w:sz="0" w:space="0" w:color="auto"/>
        <w:right w:val="none" w:sz="0" w:space="0" w:color="auto"/>
      </w:divBdr>
    </w:div>
    <w:div w:id="18472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F2C53-870E-42B5-8FB5-F2ABCF81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OGRS Surveys Supporting Statement, Part A</vt:lpstr>
    </vt:vector>
  </TitlesOfParts>
  <Company>EIA\DOE</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OGRS Surveys Supporting Statement, Part A</dc:title>
  <dc:subject>OMB Forms Clearance Process OGRS Surveys Supporting Statement, Part A</dc:subject>
  <dc:creator>Stephen Grape</dc:creator>
  <cp:keywords/>
  <dc:description>02/19/13 review by EEP to send to Jake for his comments.  Then, the document will be sent to the Program Office to approve proposed changes.</dc:description>
  <cp:lastModifiedBy>USCX</cp:lastModifiedBy>
  <cp:revision>7</cp:revision>
  <cp:lastPrinted>2013-02-19T23:03:00Z</cp:lastPrinted>
  <dcterms:created xsi:type="dcterms:W3CDTF">2013-03-20T19:31:00Z</dcterms:created>
  <dcterms:modified xsi:type="dcterms:W3CDTF">2013-03-21T11:57:00Z</dcterms:modified>
</cp:coreProperties>
</file>