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DE3" w:rsidRDefault="00B46DE3">
      <w:pPr>
        <w:pStyle w:val="Heading1"/>
      </w:pPr>
      <w:r>
        <w:t>Supporting Statement</w:t>
      </w:r>
    </w:p>
    <w:p w:rsidR="00B46DE3" w:rsidRDefault="00B46DE3">
      <w:pPr>
        <w:jc w:val="center"/>
      </w:pPr>
      <w:r>
        <w:t>Information Collection</w:t>
      </w:r>
    </w:p>
    <w:p w:rsidR="00B46DE3" w:rsidRDefault="00B46DE3">
      <w:pPr>
        <w:jc w:val="center"/>
      </w:pPr>
    </w:p>
    <w:p w:rsidR="00B46DE3" w:rsidRDefault="00B46DE3">
      <w:pPr>
        <w:jc w:val="center"/>
        <w:rPr>
          <w:b/>
        </w:rPr>
      </w:pPr>
      <w:bookmarkStart w:id="0" w:name="OLE_LINK1"/>
      <w:bookmarkStart w:id="1" w:name="OLE_LINK2"/>
      <w:r>
        <w:rPr>
          <w:b/>
        </w:rPr>
        <w:t xml:space="preserve">45 CFR 1303 </w:t>
      </w:r>
      <w:bookmarkEnd w:id="0"/>
      <w:bookmarkEnd w:id="1"/>
      <w:r>
        <w:rPr>
          <w:b/>
        </w:rPr>
        <w:t>– Appeal Procedures for Head Start Grantees</w:t>
      </w:r>
    </w:p>
    <w:p w:rsidR="00B46DE3" w:rsidRDefault="00B46DE3">
      <w:pPr>
        <w:jc w:val="center"/>
        <w:rPr>
          <w:b/>
        </w:rPr>
      </w:pPr>
      <w:r>
        <w:rPr>
          <w:b/>
        </w:rPr>
        <w:t>and Current or Prospective Delegate Agencies</w:t>
      </w:r>
    </w:p>
    <w:p w:rsidR="00B46DE3" w:rsidRDefault="00B46DE3">
      <w:pPr>
        <w:jc w:val="center"/>
      </w:pPr>
    </w:p>
    <w:p w:rsidR="00B46DE3" w:rsidRPr="008A5BA1" w:rsidRDefault="008A5BA1">
      <w:pPr>
        <w:jc w:val="center"/>
        <w:rPr>
          <w:b/>
        </w:rPr>
      </w:pPr>
      <w:r w:rsidRPr="008A5BA1">
        <w:rPr>
          <w:b/>
        </w:rPr>
        <w:t>OMB Number 0980-0242</w:t>
      </w:r>
    </w:p>
    <w:p w:rsidR="00B46DE3" w:rsidRDefault="00B46DE3">
      <w:pPr>
        <w:jc w:val="center"/>
      </w:pPr>
    </w:p>
    <w:p w:rsidR="006E792F" w:rsidRPr="006E792F" w:rsidRDefault="006E792F" w:rsidP="006E792F">
      <w:pPr>
        <w:pStyle w:val="ListParagraph"/>
        <w:numPr>
          <w:ilvl w:val="0"/>
          <w:numId w:val="4"/>
        </w:numPr>
        <w:spacing w:before="120" w:after="120"/>
        <w:rPr>
          <w:b/>
        </w:rPr>
      </w:pPr>
      <w:r w:rsidRPr="006E792F">
        <w:rPr>
          <w:b/>
        </w:rPr>
        <w:t>Justification</w:t>
      </w:r>
    </w:p>
    <w:p w:rsidR="00B46DE3" w:rsidRDefault="00B46DE3">
      <w:pPr>
        <w:numPr>
          <w:ilvl w:val="0"/>
          <w:numId w:val="1"/>
        </w:numPr>
        <w:tabs>
          <w:tab w:val="num" w:pos="720"/>
        </w:tabs>
        <w:rPr>
          <w:b/>
        </w:rPr>
      </w:pPr>
      <w:r>
        <w:rPr>
          <w:b/>
        </w:rPr>
        <w:t xml:space="preserve">Circumstances </w:t>
      </w:r>
      <w:r w:rsidR="006E792F">
        <w:rPr>
          <w:b/>
        </w:rPr>
        <w:t>Making</w:t>
      </w:r>
      <w:r>
        <w:rPr>
          <w:b/>
        </w:rPr>
        <w:t xml:space="preserve"> the </w:t>
      </w:r>
      <w:r w:rsidR="006E792F">
        <w:rPr>
          <w:b/>
        </w:rPr>
        <w:t>C</w:t>
      </w:r>
      <w:r>
        <w:rPr>
          <w:b/>
        </w:rPr>
        <w:t xml:space="preserve">ollection </w:t>
      </w:r>
      <w:r w:rsidR="006E792F">
        <w:rPr>
          <w:b/>
        </w:rPr>
        <w:t>of  Information N</w:t>
      </w:r>
      <w:r>
        <w:rPr>
          <w:b/>
        </w:rPr>
        <w:t>ecessary</w:t>
      </w:r>
    </w:p>
    <w:p w:rsidR="00B46DE3" w:rsidRDefault="00B46DE3">
      <w:pPr>
        <w:rPr>
          <w:b/>
        </w:rPr>
      </w:pPr>
    </w:p>
    <w:p w:rsidR="00B46DE3" w:rsidRDefault="00B46DE3">
      <w:pPr>
        <w:pStyle w:val="BodyTextIndent"/>
      </w:pPr>
      <w:r>
        <w:t>Section 646(c) of Public Law 103-252, Title I of the Human Services Amendments requires the Secretary to prescribe a timeline for administrative hearings on adverse actions taken against grantees, and a timeline for conducting administrative hearings.  The final rule revises 45 CFR 1303 and implements these regulations by prescribing when a grantee must submit information, and what that information should contain to support their contention that adverse action should not taken. Overall, the final rule on timelines, including conforming changes to other affected sections of the requirements of 1303 will save time and expenses while allowing due process to grantees appealing proposed termination or denial of refunding.</w:t>
      </w:r>
    </w:p>
    <w:p w:rsidR="00B46DE3" w:rsidRDefault="00B46DE3">
      <w:pPr>
        <w:pStyle w:val="BodyTextIndent"/>
      </w:pPr>
    </w:p>
    <w:p w:rsidR="00B46DE3" w:rsidRDefault="004C67E5">
      <w:pPr>
        <w:pStyle w:val="BodyTextIndent"/>
        <w:numPr>
          <w:ilvl w:val="0"/>
          <w:numId w:val="1"/>
        </w:numPr>
        <w:tabs>
          <w:tab w:val="num" w:pos="720"/>
        </w:tabs>
        <w:rPr>
          <w:b/>
        </w:rPr>
      </w:pPr>
      <w:r>
        <w:rPr>
          <w:b/>
        </w:rPr>
        <w:t xml:space="preserve">Purpose and </w:t>
      </w:r>
      <w:r w:rsidR="00B46DE3">
        <w:rPr>
          <w:b/>
        </w:rPr>
        <w:t>Use of the Information</w:t>
      </w:r>
      <w:r w:rsidR="006E792F">
        <w:rPr>
          <w:b/>
        </w:rPr>
        <w:t xml:space="preserve"> Collection</w:t>
      </w:r>
    </w:p>
    <w:p w:rsidR="00B46DE3" w:rsidRDefault="00B46DE3">
      <w:pPr>
        <w:pStyle w:val="BodyTextIndent"/>
      </w:pPr>
    </w:p>
    <w:p w:rsidR="00B46DE3" w:rsidRDefault="00B46DE3">
      <w:pPr>
        <w:pStyle w:val="BodyTextIndent"/>
      </w:pPr>
      <w:r>
        <w:t xml:space="preserve">The information submitted by a grantee or delegate agency in response to a proposed adverse action is used by the HHS official in deciding whether to make final actions which have been proposed such as the suspension of financial assistance to a grantee.  The information submitted would also be used by the Departmental Grants Appeals Board in their review of  proposals to terminate assistance to grantees. </w:t>
      </w:r>
    </w:p>
    <w:p w:rsidR="00B46DE3" w:rsidRDefault="00B46DE3">
      <w:pPr>
        <w:pStyle w:val="BodyTextIndent"/>
      </w:pPr>
    </w:p>
    <w:p w:rsidR="00B46DE3" w:rsidRDefault="004C67E5">
      <w:pPr>
        <w:pStyle w:val="BodyTextIndent"/>
        <w:numPr>
          <w:ilvl w:val="0"/>
          <w:numId w:val="1"/>
        </w:numPr>
        <w:tabs>
          <w:tab w:val="num" w:pos="720"/>
        </w:tabs>
        <w:rPr>
          <w:b/>
        </w:rPr>
      </w:pPr>
      <w:r>
        <w:rPr>
          <w:b/>
        </w:rPr>
        <w:t>Use of Improved Information Technology and Burden Reduction</w:t>
      </w:r>
    </w:p>
    <w:p w:rsidR="00B46DE3" w:rsidRDefault="00B46DE3">
      <w:pPr>
        <w:pStyle w:val="BodyTextIndent"/>
      </w:pPr>
    </w:p>
    <w:p w:rsidR="00B46DE3" w:rsidRDefault="00B46DE3">
      <w:pPr>
        <w:pStyle w:val="BodyTextIndent"/>
      </w:pPr>
      <w:r>
        <w:t>Presently there are no plans to collect this information electronically.</w:t>
      </w:r>
    </w:p>
    <w:p w:rsidR="00B46DE3" w:rsidRDefault="00B46DE3">
      <w:pPr>
        <w:pStyle w:val="BodyTextIndent"/>
      </w:pPr>
    </w:p>
    <w:p w:rsidR="00B46DE3" w:rsidRDefault="00B46DE3">
      <w:pPr>
        <w:pStyle w:val="BodyTextIndent"/>
        <w:numPr>
          <w:ilvl w:val="0"/>
          <w:numId w:val="1"/>
        </w:numPr>
        <w:tabs>
          <w:tab w:val="num" w:pos="720"/>
        </w:tabs>
        <w:rPr>
          <w:b/>
        </w:rPr>
      </w:pPr>
      <w:r>
        <w:rPr>
          <w:b/>
        </w:rPr>
        <w:t xml:space="preserve">Efforts to </w:t>
      </w:r>
      <w:r w:rsidR="004C67E5">
        <w:rPr>
          <w:b/>
        </w:rPr>
        <w:t>Identify Duplication and Use of Similar Information</w:t>
      </w:r>
    </w:p>
    <w:p w:rsidR="00B46DE3" w:rsidRDefault="00B46DE3">
      <w:pPr>
        <w:pStyle w:val="BodyTextIndent"/>
        <w:rPr>
          <w:b/>
        </w:rPr>
      </w:pPr>
    </w:p>
    <w:p w:rsidR="00B46DE3" w:rsidRDefault="00B46DE3">
      <w:pPr>
        <w:pStyle w:val="BodyTextIndent"/>
      </w:pPr>
      <w:r>
        <w:t>There is no effort to avoid duplication of information as this does not apply in this instance.  The information collected is specific to a discreet action and would address specific concerns as required in the notice of adverse action.</w:t>
      </w:r>
    </w:p>
    <w:p w:rsidR="00B46DE3" w:rsidRDefault="00B46DE3">
      <w:pPr>
        <w:pStyle w:val="BodyTextIndent"/>
      </w:pPr>
    </w:p>
    <w:p w:rsidR="00B46DE3" w:rsidRDefault="004C67E5">
      <w:pPr>
        <w:pStyle w:val="BodyTextIndent"/>
        <w:numPr>
          <w:ilvl w:val="0"/>
          <w:numId w:val="1"/>
        </w:numPr>
        <w:tabs>
          <w:tab w:val="num" w:pos="720"/>
        </w:tabs>
        <w:rPr>
          <w:b/>
        </w:rPr>
      </w:pPr>
      <w:r>
        <w:rPr>
          <w:b/>
        </w:rPr>
        <w:t>Impact on Small Businesses Or Other  Small Entities</w:t>
      </w:r>
    </w:p>
    <w:p w:rsidR="00B46DE3" w:rsidRDefault="00B46DE3">
      <w:pPr>
        <w:pStyle w:val="BodyTextIndent"/>
        <w:rPr>
          <w:b/>
        </w:rPr>
      </w:pPr>
    </w:p>
    <w:p w:rsidR="00B46DE3" w:rsidRDefault="00B46DE3">
      <w:pPr>
        <w:pStyle w:val="BodyTextIndent"/>
      </w:pPr>
      <w:r>
        <w:t>Not applicable, large numbers of small business and small entities are not impacted.</w:t>
      </w:r>
    </w:p>
    <w:p w:rsidR="00B46DE3" w:rsidRDefault="00B46DE3">
      <w:pPr>
        <w:pStyle w:val="BodyTextIndent"/>
      </w:pPr>
    </w:p>
    <w:p w:rsidR="00B46DE3" w:rsidRDefault="00B46DE3">
      <w:pPr>
        <w:pStyle w:val="BodyTextIndent"/>
        <w:numPr>
          <w:ilvl w:val="0"/>
          <w:numId w:val="1"/>
        </w:numPr>
        <w:tabs>
          <w:tab w:val="num" w:pos="720"/>
        </w:tabs>
        <w:rPr>
          <w:b/>
        </w:rPr>
      </w:pPr>
      <w:r>
        <w:rPr>
          <w:b/>
        </w:rPr>
        <w:t>Consequence</w:t>
      </w:r>
      <w:r w:rsidR="006E792F">
        <w:rPr>
          <w:b/>
        </w:rPr>
        <w:t>s</w:t>
      </w:r>
      <w:r>
        <w:rPr>
          <w:b/>
        </w:rPr>
        <w:t xml:space="preserve"> of  </w:t>
      </w:r>
      <w:r w:rsidR="004C67E5">
        <w:rPr>
          <w:b/>
        </w:rPr>
        <w:t xml:space="preserve">Collecting </w:t>
      </w:r>
      <w:r w:rsidR="006E792F">
        <w:rPr>
          <w:b/>
        </w:rPr>
        <w:t xml:space="preserve">the </w:t>
      </w:r>
      <w:r w:rsidR="004C67E5">
        <w:rPr>
          <w:b/>
        </w:rPr>
        <w:t>Information Less Frequently</w:t>
      </w:r>
    </w:p>
    <w:p w:rsidR="00B46DE3" w:rsidRDefault="00B46DE3">
      <w:pPr>
        <w:pStyle w:val="BodyTextIndent"/>
        <w:rPr>
          <w:b/>
        </w:rPr>
      </w:pPr>
    </w:p>
    <w:p w:rsidR="00B46DE3" w:rsidRDefault="00B46DE3">
      <w:pPr>
        <w:pStyle w:val="BodyTextIndent"/>
      </w:pPr>
      <w:r>
        <w:lastRenderedPageBreak/>
        <w:t>Not applicable, information is submitted only once in response to a specific adverse action proposed by the HHS official.</w:t>
      </w:r>
    </w:p>
    <w:p w:rsidR="00B46DE3" w:rsidRDefault="00B46DE3">
      <w:pPr>
        <w:pStyle w:val="BodyTextIndent"/>
      </w:pPr>
    </w:p>
    <w:p w:rsidR="00B46DE3" w:rsidRDefault="00B46DE3">
      <w:pPr>
        <w:pStyle w:val="BodyTextIndent"/>
      </w:pPr>
      <w:r>
        <w:rPr>
          <w:b/>
        </w:rPr>
        <w:t>7.   Special Circumstances</w:t>
      </w:r>
      <w:r w:rsidR="004C67E5">
        <w:rPr>
          <w:b/>
        </w:rPr>
        <w:t xml:space="preserve"> Relating to </w:t>
      </w:r>
      <w:r w:rsidR="006E792F">
        <w:rPr>
          <w:b/>
        </w:rPr>
        <w:t xml:space="preserve">the </w:t>
      </w:r>
      <w:r w:rsidR="004C67E5">
        <w:rPr>
          <w:b/>
        </w:rPr>
        <w:t xml:space="preserve">Guidelines </w:t>
      </w:r>
      <w:proofErr w:type="gramStart"/>
      <w:r w:rsidR="004C67E5">
        <w:rPr>
          <w:b/>
        </w:rPr>
        <w:t>of  5</w:t>
      </w:r>
      <w:proofErr w:type="gramEnd"/>
      <w:r w:rsidR="004C67E5">
        <w:rPr>
          <w:b/>
        </w:rPr>
        <w:t xml:space="preserve"> CFR 1320.5</w:t>
      </w:r>
    </w:p>
    <w:p w:rsidR="00B46DE3" w:rsidRDefault="00B46DE3">
      <w:pPr>
        <w:pStyle w:val="BodyTextIndent"/>
        <w:rPr>
          <w:b/>
        </w:rPr>
      </w:pPr>
      <w:r>
        <w:rPr>
          <w:b/>
        </w:rPr>
        <w:t xml:space="preserve"> </w:t>
      </w:r>
    </w:p>
    <w:p w:rsidR="00B46DE3" w:rsidRDefault="00B46DE3">
      <w:pPr>
        <w:pStyle w:val="BodyTextIndent"/>
      </w:pPr>
      <w:r>
        <w:t>Not applicable.  No conditions as specified are required.</w:t>
      </w:r>
    </w:p>
    <w:p w:rsidR="00B46DE3" w:rsidRDefault="00B46DE3">
      <w:pPr>
        <w:pStyle w:val="BodyTextIndent"/>
      </w:pPr>
    </w:p>
    <w:p w:rsidR="00B46DE3" w:rsidRDefault="00B46DE3">
      <w:pPr>
        <w:pStyle w:val="BodyTextIndent"/>
        <w:rPr>
          <w:b/>
        </w:rPr>
      </w:pPr>
      <w:r>
        <w:rPr>
          <w:b/>
        </w:rPr>
        <w:t xml:space="preserve">8.  </w:t>
      </w:r>
      <w:r w:rsidR="004C67E5">
        <w:rPr>
          <w:b/>
        </w:rPr>
        <w:t xml:space="preserve">Comments in Response </w:t>
      </w:r>
      <w:r w:rsidR="006E792F">
        <w:rPr>
          <w:b/>
        </w:rPr>
        <w:t>t</w:t>
      </w:r>
      <w:r w:rsidR="004C67E5">
        <w:rPr>
          <w:b/>
        </w:rPr>
        <w:t>o the Federal Register Notice and Efforts to Consult Outside the Agency</w:t>
      </w:r>
    </w:p>
    <w:p w:rsidR="00B46DE3" w:rsidRDefault="00B46DE3">
      <w:pPr>
        <w:pStyle w:val="BodyTextIndent"/>
        <w:ind w:left="1440"/>
      </w:pPr>
    </w:p>
    <w:p w:rsidR="00B46DE3" w:rsidRDefault="0017771A">
      <w:pPr>
        <w:pStyle w:val="BodyTextIndent"/>
      </w:pPr>
      <w:r>
        <w:t xml:space="preserve">The Federal Register notice was published March 7, 2012, </w:t>
      </w:r>
      <w:proofErr w:type="spellStart"/>
      <w:r>
        <w:t>vol</w:t>
      </w:r>
      <w:proofErr w:type="spellEnd"/>
      <w:r>
        <w:t xml:space="preserve"> 77, page 13610</w:t>
      </w:r>
      <w:r w:rsidR="00B46DE3">
        <w:t>.  No comments were received.</w:t>
      </w:r>
    </w:p>
    <w:p w:rsidR="00B46DE3" w:rsidRDefault="00B46DE3">
      <w:pPr>
        <w:pStyle w:val="BodyTextIndent"/>
      </w:pPr>
    </w:p>
    <w:p w:rsidR="00B46DE3" w:rsidRDefault="00B46DE3">
      <w:pPr>
        <w:pStyle w:val="BodyTextIndent"/>
      </w:pPr>
      <w:r>
        <w:rPr>
          <w:b/>
        </w:rPr>
        <w:t xml:space="preserve"> 9.  </w:t>
      </w:r>
      <w:r w:rsidR="00185CA8">
        <w:rPr>
          <w:b/>
        </w:rPr>
        <w:t>Explanation of Any Payment or Gift to Respondents</w:t>
      </w:r>
      <w:r>
        <w:t xml:space="preserve"> </w:t>
      </w:r>
    </w:p>
    <w:p w:rsidR="00B46DE3" w:rsidRDefault="00B46DE3">
      <w:pPr>
        <w:pStyle w:val="BodyTextIndent"/>
        <w:rPr>
          <w:b/>
        </w:rPr>
      </w:pPr>
    </w:p>
    <w:p w:rsidR="00B46DE3" w:rsidRDefault="00B46DE3">
      <w:pPr>
        <w:ind w:left="360"/>
      </w:pPr>
      <w:r>
        <w:t>Not applicable.</w:t>
      </w:r>
    </w:p>
    <w:p w:rsidR="00B46DE3" w:rsidRDefault="00B46DE3">
      <w:pPr>
        <w:ind w:left="360"/>
      </w:pPr>
    </w:p>
    <w:p w:rsidR="00B46DE3" w:rsidRDefault="00B46DE3">
      <w:pPr>
        <w:numPr>
          <w:ilvl w:val="0"/>
          <w:numId w:val="2"/>
        </w:numPr>
      </w:pPr>
      <w:r>
        <w:rPr>
          <w:b/>
        </w:rPr>
        <w:t>Assurance of Confidentiality</w:t>
      </w:r>
      <w:r w:rsidR="00185CA8">
        <w:rPr>
          <w:b/>
        </w:rPr>
        <w:t xml:space="preserve"> Provided to Respondents</w:t>
      </w:r>
    </w:p>
    <w:p w:rsidR="00B46DE3" w:rsidRDefault="00B46DE3">
      <w:pPr>
        <w:ind w:left="360"/>
        <w:rPr>
          <w:b/>
        </w:rPr>
      </w:pPr>
    </w:p>
    <w:p w:rsidR="00B46DE3" w:rsidRDefault="00B46DE3">
      <w:pPr>
        <w:pStyle w:val="BodyTextIndent"/>
      </w:pPr>
      <w:r>
        <w:t>Not applicable, no confidential information will be collected.</w:t>
      </w:r>
    </w:p>
    <w:p w:rsidR="00B46DE3" w:rsidRDefault="00B46DE3">
      <w:pPr>
        <w:ind w:left="360"/>
      </w:pPr>
    </w:p>
    <w:p w:rsidR="00B46DE3" w:rsidRDefault="00185CA8">
      <w:pPr>
        <w:numPr>
          <w:ilvl w:val="0"/>
          <w:numId w:val="2"/>
        </w:numPr>
        <w:rPr>
          <w:b/>
        </w:rPr>
      </w:pPr>
      <w:r>
        <w:rPr>
          <w:b/>
        </w:rPr>
        <w:t>Justification for Sensitive Questions</w:t>
      </w:r>
    </w:p>
    <w:p w:rsidR="00B46DE3" w:rsidRDefault="00B46DE3">
      <w:pPr>
        <w:rPr>
          <w:b/>
        </w:rPr>
      </w:pPr>
    </w:p>
    <w:p w:rsidR="00B46DE3" w:rsidRDefault="00B46DE3">
      <w:pPr>
        <w:pStyle w:val="BodyTextIndent"/>
      </w:pPr>
      <w:r>
        <w:t>Not application, there are no answers to sensitive questions required.</w:t>
      </w:r>
    </w:p>
    <w:p w:rsidR="00B46DE3" w:rsidRDefault="00B46DE3">
      <w:pPr>
        <w:ind w:left="360"/>
      </w:pPr>
    </w:p>
    <w:p w:rsidR="00B46DE3" w:rsidRDefault="00B46DE3">
      <w:pPr>
        <w:numPr>
          <w:ilvl w:val="0"/>
          <w:numId w:val="2"/>
        </w:numPr>
        <w:rPr>
          <w:b/>
        </w:rPr>
      </w:pPr>
      <w:r>
        <w:rPr>
          <w:b/>
        </w:rPr>
        <w:t xml:space="preserve">Estimates of </w:t>
      </w:r>
      <w:r w:rsidR="006E792F">
        <w:rPr>
          <w:b/>
        </w:rPr>
        <w:t xml:space="preserve">Annualized Burden </w:t>
      </w:r>
      <w:r>
        <w:rPr>
          <w:b/>
        </w:rPr>
        <w:t>Hour</w:t>
      </w:r>
      <w:r w:rsidR="006E792F">
        <w:rPr>
          <w:b/>
        </w:rPr>
        <w:t>s</w:t>
      </w:r>
      <w:r>
        <w:rPr>
          <w:b/>
        </w:rPr>
        <w:t xml:space="preserve"> and Costs</w:t>
      </w:r>
    </w:p>
    <w:p w:rsidR="00B46DE3" w:rsidRDefault="00B46DE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tblGrid>
      <w:tr w:rsidR="00185CA8" w:rsidTr="00606A51">
        <w:tc>
          <w:tcPr>
            <w:tcW w:w="1915" w:type="dxa"/>
          </w:tcPr>
          <w:p w:rsidR="00185CA8" w:rsidRDefault="00185CA8">
            <w:r>
              <w:t>Number of Respondents</w:t>
            </w:r>
          </w:p>
        </w:tc>
        <w:tc>
          <w:tcPr>
            <w:tcW w:w="1915" w:type="dxa"/>
          </w:tcPr>
          <w:p w:rsidR="00185CA8" w:rsidRDefault="00185CA8">
            <w:r>
              <w:t>Frequency of Response</w:t>
            </w:r>
          </w:p>
        </w:tc>
        <w:tc>
          <w:tcPr>
            <w:tcW w:w="1915" w:type="dxa"/>
          </w:tcPr>
          <w:p w:rsidR="00185CA8" w:rsidRDefault="00185CA8">
            <w:r>
              <w:t>Hour per Response</w:t>
            </w:r>
          </w:p>
        </w:tc>
        <w:tc>
          <w:tcPr>
            <w:tcW w:w="1915" w:type="dxa"/>
          </w:tcPr>
          <w:p w:rsidR="00185CA8" w:rsidRDefault="00185CA8">
            <w:r>
              <w:t>Total Burden Hours</w:t>
            </w:r>
          </w:p>
        </w:tc>
      </w:tr>
      <w:tr w:rsidR="00185CA8" w:rsidTr="00606A51">
        <w:tc>
          <w:tcPr>
            <w:tcW w:w="1915" w:type="dxa"/>
          </w:tcPr>
          <w:p w:rsidR="00185CA8" w:rsidRDefault="00185CA8">
            <w:r>
              <w:t>20</w:t>
            </w:r>
          </w:p>
        </w:tc>
        <w:tc>
          <w:tcPr>
            <w:tcW w:w="1915" w:type="dxa"/>
          </w:tcPr>
          <w:p w:rsidR="00185CA8" w:rsidRDefault="00185CA8">
            <w:r>
              <w:t>1</w:t>
            </w:r>
          </w:p>
        </w:tc>
        <w:tc>
          <w:tcPr>
            <w:tcW w:w="1915" w:type="dxa"/>
          </w:tcPr>
          <w:p w:rsidR="00185CA8" w:rsidRDefault="00185CA8">
            <w:r>
              <w:t>26</w:t>
            </w:r>
          </w:p>
        </w:tc>
        <w:tc>
          <w:tcPr>
            <w:tcW w:w="1915" w:type="dxa"/>
          </w:tcPr>
          <w:p w:rsidR="00185CA8" w:rsidRDefault="00185CA8">
            <w:r>
              <w:t>520</w:t>
            </w:r>
          </w:p>
        </w:tc>
      </w:tr>
    </w:tbl>
    <w:p w:rsidR="00B46DE3" w:rsidRDefault="00B46DE3">
      <w:pPr>
        <w:ind w:left="360"/>
      </w:pPr>
    </w:p>
    <w:p w:rsidR="00B46DE3" w:rsidRDefault="00B46DE3">
      <w:pPr>
        <w:ind w:left="360"/>
      </w:pPr>
      <w:r>
        <w:t>Cost per respondent i</w:t>
      </w:r>
      <w:r w:rsidR="00185CA8">
        <w:t>s</w:t>
      </w:r>
      <w:r>
        <w:t xml:space="preserve"> $520 estimated at 26 hours x $20.00 per hour.</w:t>
      </w:r>
    </w:p>
    <w:p w:rsidR="00B46DE3" w:rsidRDefault="00B46DE3">
      <w:pPr>
        <w:ind w:left="360"/>
      </w:pPr>
    </w:p>
    <w:p w:rsidR="00B46DE3" w:rsidRDefault="00185CA8" w:rsidP="00185CA8">
      <w:pPr>
        <w:numPr>
          <w:ilvl w:val="0"/>
          <w:numId w:val="2"/>
        </w:numPr>
        <w:rPr>
          <w:b/>
        </w:rPr>
      </w:pPr>
      <w:r>
        <w:rPr>
          <w:b/>
        </w:rPr>
        <w:t>Estimates of Other Total Annual Cost Burden to Respondents and Record Keepers</w:t>
      </w:r>
    </w:p>
    <w:p w:rsidR="00B46DE3" w:rsidRDefault="00B46DE3">
      <w:pPr>
        <w:rPr>
          <w:b/>
        </w:rPr>
      </w:pPr>
    </w:p>
    <w:p w:rsidR="00B46DE3" w:rsidRDefault="00B46DE3">
      <w:pPr>
        <w:ind w:left="360"/>
      </w:pPr>
      <w:r>
        <w:t>No annual costs; respondents are not required to establish any new recordkeeping.  Information collected is drawn from grantees established records of program operations.</w:t>
      </w:r>
    </w:p>
    <w:p w:rsidR="00B46DE3" w:rsidRDefault="00B46DE3">
      <w:pPr>
        <w:ind w:left="360"/>
      </w:pPr>
    </w:p>
    <w:p w:rsidR="00B46DE3" w:rsidRDefault="00185CA8">
      <w:pPr>
        <w:numPr>
          <w:ilvl w:val="0"/>
          <w:numId w:val="2"/>
        </w:numPr>
        <w:rPr>
          <w:b/>
        </w:rPr>
      </w:pPr>
      <w:r>
        <w:rPr>
          <w:b/>
        </w:rPr>
        <w:t>Annual</w:t>
      </w:r>
      <w:r w:rsidR="006E792F">
        <w:rPr>
          <w:b/>
        </w:rPr>
        <w:t>ized</w:t>
      </w:r>
      <w:r>
        <w:rPr>
          <w:b/>
        </w:rPr>
        <w:t xml:space="preserve"> </w:t>
      </w:r>
      <w:r w:rsidR="00B46DE3">
        <w:rPr>
          <w:b/>
        </w:rPr>
        <w:t xml:space="preserve">Cost to </w:t>
      </w:r>
      <w:r w:rsidR="006E792F">
        <w:rPr>
          <w:b/>
        </w:rPr>
        <w:t xml:space="preserve">the </w:t>
      </w:r>
      <w:r w:rsidR="00B46DE3">
        <w:rPr>
          <w:b/>
        </w:rPr>
        <w:t>Federal Government</w:t>
      </w:r>
    </w:p>
    <w:p w:rsidR="00B46DE3" w:rsidRDefault="00B46DE3">
      <w:pPr>
        <w:rPr>
          <w:b/>
        </w:rPr>
      </w:pPr>
    </w:p>
    <w:p w:rsidR="00B46DE3" w:rsidRDefault="0074628E">
      <w:pPr>
        <w:ind w:left="360"/>
      </w:pPr>
      <w:r>
        <w:t>No cost</w:t>
      </w:r>
    </w:p>
    <w:p w:rsidR="00B46DE3" w:rsidRDefault="00B46DE3">
      <w:pPr>
        <w:ind w:left="360"/>
      </w:pPr>
    </w:p>
    <w:p w:rsidR="00B46DE3" w:rsidRDefault="00B46DE3" w:rsidP="00B46DE3">
      <w:pPr>
        <w:numPr>
          <w:ilvl w:val="0"/>
          <w:numId w:val="2"/>
        </w:numPr>
        <w:rPr>
          <w:b/>
        </w:rPr>
      </w:pPr>
      <w:r>
        <w:rPr>
          <w:b/>
        </w:rPr>
        <w:t xml:space="preserve">Explanation for Program Changes </w:t>
      </w:r>
      <w:r w:rsidR="006E792F">
        <w:rPr>
          <w:b/>
        </w:rPr>
        <w:t>or</w:t>
      </w:r>
      <w:r>
        <w:rPr>
          <w:b/>
        </w:rPr>
        <w:t xml:space="preserve"> Adjustments</w:t>
      </w:r>
    </w:p>
    <w:p w:rsidR="00B46DE3" w:rsidRPr="00B46DE3" w:rsidRDefault="00B46DE3" w:rsidP="00B46DE3">
      <w:pPr>
        <w:ind w:left="720"/>
        <w:rPr>
          <w:b/>
        </w:rPr>
      </w:pPr>
    </w:p>
    <w:p w:rsidR="00B46DE3" w:rsidRDefault="00B46DE3">
      <w:pPr>
        <w:ind w:left="360"/>
      </w:pPr>
      <w:r>
        <w:t>There are no changes in total burden estimates as there have been not program changes.</w:t>
      </w:r>
    </w:p>
    <w:p w:rsidR="00B46DE3" w:rsidRDefault="00B46DE3">
      <w:pPr>
        <w:ind w:left="360"/>
      </w:pPr>
    </w:p>
    <w:p w:rsidR="00B46DE3" w:rsidRDefault="00B46DE3">
      <w:pPr>
        <w:rPr>
          <w:b/>
        </w:rPr>
      </w:pPr>
    </w:p>
    <w:p w:rsidR="00B46DE3" w:rsidRDefault="00B46DE3">
      <w:pPr>
        <w:pStyle w:val="BodyTextIndent"/>
      </w:pPr>
      <w:r>
        <w:t>.</w:t>
      </w:r>
    </w:p>
    <w:p w:rsidR="00B46DE3" w:rsidRDefault="00B46DE3">
      <w:pPr>
        <w:ind w:left="360"/>
      </w:pPr>
    </w:p>
    <w:p w:rsidR="00B46DE3" w:rsidRDefault="00B46DE3">
      <w:pPr>
        <w:numPr>
          <w:ilvl w:val="0"/>
          <w:numId w:val="2"/>
        </w:numPr>
        <w:rPr>
          <w:b/>
        </w:rPr>
      </w:pPr>
      <w:r>
        <w:rPr>
          <w:b/>
        </w:rPr>
        <w:t>Plans for Tabulation and Publication and Project Time Schedule</w:t>
      </w:r>
    </w:p>
    <w:p w:rsidR="00B46DE3" w:rsidRDefault="00B46DE3">
      <w:pPr>
        <w:rPr>
          <w:b/>
        </w:rPr>
      </w:pPr>
    </w:p>
    <w:p w:rsidR="00B46DE3" w:rsidRDefault="00B46DE3">
      <w:pPr>
        <w:pStyle w:val="BodyTextIndent"/>
      </w:pPr>
      <w:r>
        <w:t>There are no plans to publish the information submitted other then in a public record of any proceedings which might occur.</w:t>
      </w:r>
    </w:p>
    <w:p w:rsidR="00B46DE3" w:rsidRDefault="00B46DE3">
      <w:pPr>
        <w:pStyle w:val="BodyTextIndent"/>
      </w:pPr>
    </w:p>
    <w:p w:rsidR="00C5126C" w:rsidRPr="00B46DE3" w:rsidRDefault="00C5126C" w:rsidP="006E792F">
      <w:pPr>
        <w:pStyle w:val="BodyTextIndent"/>
        <w:numPr>
          <w:ilvl w:val="0"/>
          <w:numId w:val="2"/>
        </w:numPr>
        <w:rPr>
          <w:b/>
        </w:rPr>
      </w:pPr>
      <w:r>
        <w:rPr>
          <w:b/>
        </w:rPr>
        <w:t>Reason(s) Display of OMB Expiration Date is Inappropriate</w:t>
      </w:r>
    </w:p>
    <w:p w:rsidR="00B46DE3" w:rsidRDefault="00B46DE3">
      <w:pPr>
        <w:rPr>
          <w:b/>
        </w:rPr>
      </w:pPr>
    </w:p>
    <w:p w:rsidR="00B46DE3" w:rsidRDefault="00B46DE3">
      <w:pPr>
        <w:pStyle w:val="BodyTextIndent"/>
      </w:pPr>
      <w:r>
        <w:t>The last paragraph of the rule contains the OMB expiration date.</w:t>
      </w:r>
    </w:p>
    <w:p w:rsidR="00B46DE3" w:rsidRDefault="00B46DE3">
      <w:pPr>
        <w:ind w:left="360"/>
      </w:pPr>
    </w:p>
    <w:p w:rsidR="00B46DE3" w:rsidRDefault="00C5126C">
      <w:pPr>
        <w:numPr>
          <w:ilvl w:val="0"/>
          <w:numId w:val="2"/>
        </w:numPr>
        <w:rPr>
          <w:b/>
        </w:rPr>
      </w:pPr>
      <w:r>
        <w:rPr>
          <w:b/>
        </w:rPr>
        <w:t>Exceptions to Certification for Paperwork Reduction Act Submission</w:t>
      </w:r>
      <w:r w:rsidR="006E792F">
        <w:rPr>
          <w:b/>
        </w:rPr>
        <w:t>s</w:t>
      </w:r>
    </w:p>
    <w:p w:rsidR="00C5126C" w:rsidRDefault="00C5126C" w:rsidP="00C5126C">
      <w:pPr>
        <w:rPr>
          <w:b/>
        </w:rPr>
      </w:pPr>
    </w:p>
    <w:p w:rsidR="00C5126C" w:rsidRPr="00C5126C" w:rsidRDefault="00C5126C" w:rsidP="00C5126C">
      <w:pPr>
        <w:ind w:left="360"/>
      </w:pPr>
      <w:r>
        <w:t>There are no exceptions contemplated.</w:t>
      </w:r>
    </w:p>
    <w:p w:rsidR="00B46DE3" w:rsidRDefault="00B46DE3">
      <w:pPr>
        <w:rPr>
          <w:b/>
        </w:rPr>
      </w:pPr>
    </w:p>
    <w:p w:rsidR="00B46DE3" w:rsidRDefault="00C5126C" w:rsidP="006E792F">
      <w:pPr>
        <w:numPr>
          <w:ilvl w:val="0"/>
          <w:numId w:val="3"/>
        </w:numPr>
        <w:tabs>
          <w:tab w:val="clear" w:pos="1140"/>
          <w:tab w:val="num" w:pos="360"/>
        </w:tabs>
        <w:ind w:left="360"/>
        <w:rPr>
          <w:b/>
        </w:rPr>
      </w:pPr>
      <w:r>
        <w:rPr>
          <w:b/>
        </w:rPr>
        <w:t>Statistical Methods (used for collection of information employing statistical methods:</w:t>
      </w:r>
    </w:p>
    <w:p w:rsidR="00C5126C" w:rsidRDefault="00C5126C" w:rsidP="00C5126C">
      <w:pPr>
        <w:rPr>
          <w:b/>
        </w:rPr>
      </w:pPr>
    </w:p>
    <w:p w:rsidR="00B46DE3" w:rsidRDefault="00C5126C" w:rsidP="00C5126C">
      <w:pPr>
        <w:ind w:left="780"/>
      </w:pPr>
      <w:r>
        <w:t>There are no data collected and no procedures for information collection and no procedures for analytical analysis.</w:t>
      </w:r>
    </w:p>
    <w:p w:rsidR="00B46DE3" w:rsidRDefault="00B46DE3">
      <w:pPr>
        <w:rPr>
          <w:b/>
        </w:rPr>
      </w:pPr>
    </w:p>
    <w:p w:rsidR="00B46DE3" w:rsidRDefault="00B46DE3">
      <w:pPr>
        <w:rPr>
          <w:b/>
        </w:rPr>
      </w:pPr>
    </w:p>
    <w:sectPr w:rsidR="00B46DE3" w:rsidSect="0013074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2">
    <w:nsid w:val="4D1C624C"/>
    <w:multiLevelType w:val="hybridMultilevel"/>
    <w:tmpl w:val="7FC40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33505"/>
    <w:multiLevelType w:val="singleLevel"/>
    <w:tmpl w:val="0409000F"/>
    <w:lvl w:ilvl="0">
      <w:start w:val="1"/>
      <w:numFmt w:val="decimal"/>
      <w:lvlText w:val="%1."/>
      <w:lvlJc w:val="left"/>
      <w:pPr>
        <w:ind w:left="72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C67E5"/>
    <w:rsid w:val="00130740"/>
    <w:rsid w:val="0017771A"/>
    <w:rsid w:val="00185CA8"/>
    <w:rsid w:val="001F2018"/>
    <w:rsid w:val="004A4F10"/>
    <w:rsid w:val="004C67E5"/>
    <w:rsid w:val="00606A51"/>
    <w:rsid w:val="006E792F"/>
    <w:rsid w:val="0074628E"/>
    <w:rsid w:val="00802C55"/>
    <w:rsid w:val="008A5BA1"/>
    <w:rsid w:val="00B46DE3"/>
    <w:rsid w:val="00BF4D68"/>
    <w:rsid w:val="00C5126C"/>
    <w:rsid w:val="00D6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740"/>
    <w:rPr>
      <w:sz w:val="24"/>
    </w:rPr>
  </w:style>
  <w:style w:type="paragraph" w:styleId="Heading1">
    <w:name w:val="heading 1"/>
    <w:basedOn w:val="Normal"/>
    <w:next w:val="Normal"/>
    <w:qFormat/>
    <w:rsid w:val="0013074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0740"/>
    <w:pPr>
      <w:ind w:left="360"/>
    </w:pPr>
  </w:style>
  <w:style w:type="table" w:styleId="TableGrid">
    <w:name w:val="Table Grid"/>
    <w:basedOn w:val="TableNormal"/>
    <w:rsid w:val="00185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9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0980-0242</OMB_x0020_Control_x0020_Number>
    <FR_x0020_Title xmlns="e059a2d5-a4f8-4fd8-b836-4c9cf26100e7">Supporting Statement 45 CFR 1303 </FR_x0020_Title>
    <ACF_x0020_Tracking_x0020_No_x002e_ xmlns="e059a2d5-a4f8-4fd8-b836-4c9cf26100e7">OHS-0072</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CF3E3CFC-728D-4947-B111-2265F909192D}">
  <ds:schemaRefs>
    <ds:schemaRef ds:uri="http://schemas.microsoft.com/office/2006/metadata/longProperties"/>
  </ds:schemaRefs>
</ds:datastoreItem>
</file>

<file path=customXml/itemProps2.xml><?xml version="1.0" encoding="utf-8"?>
<ds:datastoreItem xmlns:ds="http://schemas.openxmlformats.org/officeDocument/2006/customXml" ds:itemID="{E66094E2-48C5-410A-B244-FC359A00E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B85B92-FBF6-4BC3-8F5D-595A91C7411E}">
  <ds:schemaRefs>
    <ds:schemaRef ds:uri="http://schemas.microsoft.com/sharepoint/v3/contenttype/forms"/>
  </ds:schemaRefs>
</ds:datastoreItem>
</file>

<file path=customXml/itemProps4.xml><?xml version="1.0" encoding="utf-8"?>
<ds:datastoreItem xmlns:ds="http://schemas.openxmlformats.org/officeDocument/2006/customXml" ds:itemID="{6A07C46E-DF5D-4E87-856A-0F57F51FA72F}">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45 CFR 1303 </dc:title>
  <dc:subject/>
  <dc:creator>ACF</dc:creator>
  <cp:keywords/>
  <dc:description/>
  <cp:lastModifiedBy>RS</cp:lastModifiedBy>
  <cp:revision>2</cp:revision>
  <cp:lastPrinted>2009-07-15T13:02:00Z</cp:lastPrinted>
  <dcterms:created xsi:type="dcterms:W3CDTF">2012-11-26T19:29:00Z</dcterms:created>
  <dcterms:modified xsi:type="dcterms:W3CDTF">2012-11-26T19:29:00Z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ContentType">
    <vt:lpwstr>Document</vt:lpwstr>
  </property>
</Properties>
</file>