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FF" w:rsidRDefault="00E236FF" w:rsidP="00E236FF">
      <w:pPr>
        <w:spacing w:line="240" w:lineRule="auto"/>
        <w:jc w:val="center"/>
        <w:rPr>
          <w:b/>
          <w:sz w:val="24"/>
          <w:szCs w:val="24"/>
        </w:rPr>
      </w:pPr>
      <w:r w:rsidRPr="00325307">
        <w:rPr>
          <w:b/>
          <w:sz w:val="24"/>
          <w:szCs w:val="24"/>
        </w:rPr>
        <w:t>ICD-10 Industry Readiness Assessment</w:t>
      </w:r>
    </w:p>
    <w:p w:rsidR="007269C8" w:rsidRPr="00B950E3" w:rsidRDefault="00F565F4" w:rsidP="00E236FF">
      <w:pPr>
        <w:spacing w:line="240" w:lineRule="auto"/>
        <w:jc w:val="center"/>
        <w:rPr>
          <w:rFonts w:cstheme="minorHAnsi"/>
          <w:b/>
          <w:color w:val="FFFFFF" w:themeColor="background1"/>
          <w:sz w:val="24"/>
          <w:szCs w:val="24"/>
        </w:rPr>
      </w:pPr>
      <w:r>
        <w:rPr>
          <w:b/>
          <w:sz w:val="24"/>
          <w:szCs w:val="24"/>
        </w:rPr>
        <w:t>[</w:t>
      </w:r>
      <w:r w:rsidR="007269C8">
        <w:rPr>
          <w:b/>
          <w:sz w:val="24"/>
          <w:szCs w:val="24"/>
        </w:rPr>
        <w:t xml:space="preserve">Intended for fielding after the </w:t>
      </w:r>
      <w:r w:rsidR="007B7F0F">
        <w:rPr>
          <w:b/>
          <w:sz w:val="24"/>
          <w:szCs w:val="24"/>
        </w:rPr>
        <w:t xml:space="preserve">ICD-10 </w:t>
      </w:r>
      <w:r w:rsidR="007269C8">
        <w:rPr>
          <w:b/>
          <w:sz w:val="24"/>
          <w:szCs w:val="24"/>
        </w:rPr>
        <w:t>complia</w:t>
      </w:r>
      <w:r>
        <w:rPr>
          <w:b/>
          <w:sz w:val="24"/>
          <w:szCs w:val="24"/>
        </w:rPr>
        <w:t>nce deadline]</w:t>
      </w:r>
    </w:p>
    <w:p w:rsidR="00E236FF" w:rsidRPr="00154BA0" w:rsidRDefault="00E236FF" w:rsidP="00E236FF">
      <w:pPr>
        <w:spacing w:after="0" w:line="240" w:lineRule="auto"/>
        <w:rPr>
          <w:b/>
        </w:rPr>
      </w:pPr>
      <w:r>
        <w:rPr>
          <w:b/>
        </w:rPr>
        <w:t>Background</w:t>
      </w:r>
    </w:p>
    <w:p w:rsidR="00E236FF" w:rsidRDefault="00E236FF" w:rsidP="00E236FF">
      <w:pPr>
        <w:tabs>
          <w:tab w:val="left" w:pos="9000"/>
        </w:tabs>
        <w:spacing w:after="0" w:line="240" w:lineRule="auto"/>
      </w:pPr>
      <w:r>
        <w:t xml:space="preserve">The questions that follow are designed to gauge the health care industry’s </w:t>
      </w:r>
      <w:r w:rsidR="00EB73F8">
        <w:t>progress in making the transition to ICD-10</w:t>
      </w:r>
      <w:r>
        <w:t>.  The survey is being conducted for the Centers for Medicare &amp; Medicaid Services (</w:t>
      </w:r>
      <w:smartTag w:uri="urn:schemas-microsoft-com:office:smarttags" w:element="stockticker">
        <w:r>
          <w:t>CMS</w:t>
        </w:r>
      </w:smartTag>
      <w:r>
        <w:t xml:space="preserve">) and should not take longer than 10 minutes. Your participation is voluntary and your responses are confidential; only de-identified, aggregated data will be provided to </w:t>
      </w:r>
      <w:smartTag w:uri="urn:schemas-microsoft-com:office:smarttags" w:element="stockticker">
        <w:r>
          <w:t>CMS</w:t>
        </w:r>
      </w:smartTag>
      <w:r>
        <w:t xml:space="preserve">. This information will be used to inform outreach and education efforts to help health care providers, payers, software vendors and clearinghouses prepare for the coming transitions. </w:t>
      </w:r>
    </w:p>
    <w:p w:rsidR="00E236FF" w:rsidRPr="00154BA0" w:rsidRDefault="00E236FF" w:rsidP="00E236FF">
      <w:pPr>
        <w:spacing w:after="0" w:line="240" w:lineRule="auto"/>
        <w:rPr>
          <w:b/>
        </w:rPr>
      </w:pPr>
    </w:p>
    <w:p w:rsidR="00E236FF" w:rsidRDefault="00E236FF" w:rsidP="005361E8">
      <w:pPr>
        <w:spacing w:after="0" w:line="240" w:lineRule="auto"/>
      </w:pPr>
      <w:r>
        <w:t>Please select the term below that best describes your organization [Please select one response]:</w:t>
      </w:r>
    </w:p>
    <w:p w:rsidR="00E236FF" w:rsidRDefault="00E236FF" w:rsidP="00E236FF">
      <w:pPr>
        <w:pStyle w:val="ListParagraph"/>
        <w:numPr>
          <w:ilvl w:val="0"/>
          <w:numId w:val="1"/>
        </w:numPr>
        <w:spacing w:after="0" w:line="240" w:lineRule="auto"/>
      </w:pPr>
      <w:r>
        <w:t>Provider practice, small  (10 or fewer physicians )</w:t>
      </w:r>
    </w:p>
    <w:p w:rsidR="00E236FF" w:rsidRDefault="00E236FF" w:rsidP="00E236FF">
      <w:pPr>
        <w:pStyle w:val="ListParagraph"/>
        <w:numPr>
          <w:ilvl w:val="0"/>
          <w:numId w:val="1"/>
        </w:numPr>
        <w:spacing w:after="0" w:line="240" w:lineRule="auto"/>
      </w:pPr>
      <w:r>
        <w:t>Provider practice, large (11 or more physicians)</w:t>
      </w:r>
    </w:p>
    <w:p w:rsidR="00E236FF" w:rsidRDefault="00E236FF" w:rsidP="00E236FF">
      <w:pPr>
        <w:pStyle w:val="ListParagraph"/>
        <w:numPr>
          <w:ilvl w:val="0"/>
          <w:numId w:val="1"/>
        </w:numPr>
        <w:spacing w:after="0" w:line="240" w:lineRule="auto"/>
      </w:pPr>
      <w:r>
        <w:t>Hospital,  small (99 or fewer  beds)</w:t>
      </w:r>
    </w:p>
    <w:p w:rsidR="00E236FF" w:rsidRDefault="00E236FF" w:rsidP="00E236FF">
      <w:pPr>
        <w:pStyle w:val="ListParagraph"/>
        <w:numPr>
          <w:ilvl w:val="0"/>
          <w:numId w:val="1"/>
        </w:numPr>
        <w:spacing w:after="0" w:line="240" w:lineRule="auto"/>
      </w:pPr>
      <w:r>
        <w:t>Hospital, large (100 or more beds)</w:t>
      </w:r>
    </w:p>
    <w:p w:rsidR="00E236FF" w:rsidRDefault="00E236FF" w:rsidP="00E236FF">
      <w:pPr>
        <w:pStyle w:val="ListParagraph"/>
        <w:numPr>
          <w:ilvl w:val="0"/>
          <w:numId w:val="1"/>
        </w:numPr>
        <w:spacing w:after="0" w:line="240" w:lineRule="auto"/>
      </w:pPr>
      <w:r>
        <w:t>Payer (private)</w:t>
      </w:r>
    </w:p>
    <w:p w:rsidR="00E236FF" w:rsidRDefault="00E236FF" w:rsidP="00E236FF">
      <w:pPr>
        <w:pStyle w:val="ListParagraph"/>
        <w:numPr>
          <w:ilvl w:val="0"/>
          <w:numId w:val="1"/>
        </w:numPr>
        <w:spacing w:after="0" w:line="240" w:lineRule="auto"/>
      </w:pPr>
      <w:r>
        <w:t>Payer (public, e.g., Medicaid, TRICARE)</w:t>
      </w:r>
    </w:p>
    <w:p w:rsidR="00E236FF" w:rsidRDefault="00E236FF" w:rsidP="00E236FF">
      <w:pPr>
        <w:pStyle w:val="ListParagraph"/>
        <w:numPr>
          <w:ilvl w:val="0"/>
          <w:numId w:val="1"/>
        </w:numPr>
        <w:spacing w:after="0" w:line="240" w:lineRule="auto"/>
      </w:pPr>
      <w:r>
        <w:t>Other insurer (e.g., property and casualty)</w:t>
      </w:r>
    </w:p>
    <w:p w:rsidR="00E236FF" w:rsidRDefault="00E236FF" w:rsidP="00E236FF">
      <w:pPr>
        <w:pStyle w:val="ListParagraph"/>
        <w:numPr>
          <w:ilvl w:val="0"/>
          <w:numId w:val="1"/>
        </w:numPr>
        <w:spacing w:after="0" w:line="240" w:lineRule="auto"/>
      </w:pPr>
      <w:r>
        <w:t>Software vendor</w:t>
      </w:r>
    </w:p>
    <w:p w:rsidR="00E236FF" w:rsidRDefault="00E236FF" w:rsidP="00E236FF">
      <w:pPr>
        <w:pStyle w:val="ListParagraph"/>
        <w:numPr>
          <w:ilvl w:val="0"/>
          <w:numId w:val="1"/>
        </w:numPr>
        <w:spacing w:after="0" w:line="240" w:lineRule="auto"/>
      </w:pPr>
      <w:r>
        <w:t>Clearinghouse</w:t>
      </w:r>
    </w:p>
    <w:p w:rsidR="00E236FF" w:rsidRDefault="00E236FF" w:rsidP="00E236FF">
      <w:pPr>
        <w:pStyle w:val="ListParagraph"/>
        <w:numPr>
          <w:ilvl w:val="0"/>
          <w:numId w:val="1"/>
        </w:numPr>
        <w:spacing w:after="0" w:line="240" w:lineRule="auto"/>
      </w:pPr>
      <w:r>
        <w:t>Third-party biller</w:t>
      </w:r>
    </w:p>
    <w:p w:rsidR="00E236FF" w:rsidRDefault="00E236FF" w:rsidP="00E236FF">
      <w:pPr>
        <w:pStyle w:val="ListParagraph"/>
        <w:numPr>
          <w:ilvl w:val="0"/>
          <w:numId w:val="1"/>
        </w:numPr>
        <w:spacing w:after="0" w:line="240" w:lineRule="auto"/>
      </w:pPr>
      <w:r>
        <w:t>Third -party administrator</w:t>
      </w:r>
    </w:p>
    <w:p w:rsidR="00E236FF" w:rsidRPr="00924672" w:rsidRDefault="00E236FF" w:rsidP="00E236FF">
      <w:pPr>
        <w:pStyle w:val="ListParagraph"/>
        <w:numPr>
          <w:ilvl w:val="0"/>
          <w:numId w:val="1"/>
        </w:numPr>
        <w:spacing w:after="0" w:line="240" w:lineRule="auto"/>
      </w:pPr>
      <w:r w:rsidRPr="00924672">
        <w:t>Other (specify)</w:t>
      </w:r>
    </w:p>
    <w:p w:rsidR="00E236FF" w:rsidRDefault="00E236FF" w:rsidP="00E236FF">
      <w:pPr>
        <w:pStyle w:val="NoSpacing"/>
        <w:rPr>
          <w:sz w:val="18"/>
          <w:szCs w:val="18"/>
        </w:rPr>
      </w:pPr>
    </w:p>
    <w:p w:rsidR="00E236FF" w:rsidRPr="00486E58" w:rsidRDefault="00E236FF" w:rsidP="00E236FF">
      <w:pPr>
        <w:pStyle w:val="NoSpacing"/>
        <w:pBdr>
          <w:top w:val="single" w:sz="4" w:space="1" w:color="auto"/>
          <w:left w:val="single" w:sz="4" w:space="4" w:color="auto"/>
          <w:bottom w:val="single" w:sz="4" w:space="1" w:color="auto"/>
          <w:right w:val="single" w:sz="4" w:space="4" w:color="auto"/>
        </w:pBdr>
        <w:rPr>
          <w:sz w:val="18"/>
          <w:szCs w:val="18"/>
        </w:rPr>
      </w:pPr>
      <w:r w:rsidRPr="00486E58">
        <w:rPr>
          <w:sz w:val="18"/>
          <w:szCs w:val="18"/>
        </w:rPr>
        <w:t xml:space="preserve">According to the Paperwork Reduction Act of 1995, no persons are required to respond to a collection of information unless it displays a valid OMB control number. </w:t>
      </w:r>
      <w:r w:rsidRPr="0052549D">
        <w:rPr>
          <w:sz w:val="18"/>
          <w:szCs w:val="18"/>
        </w:rPr>
        <w:t>The valid OMB control number for this information collection will be entered after clearance.</w:t>
      </w:r>
      <w:r w:rsidRPr="00486E58">
        <w:rPr>
          <w:sz w:val="18"/>
          <w:szCs w:val="18"/>
        </w:rPr>
        <w:t xml:space="preserve"> The time required to complete this information collection is estimated </w:t>
      </w:r>
      <w:r w:rsidRPr="002B6B46">
        <w:rPr>
          <w:sz w:val="18"/>
          <w:szCs w:val="18"/>
        </w:rPr>
        <w:t xml:space="preserve">to average </w:t>
      </w:r>
      <w:r>
        <w:rPr>
          <w:sz w:val="18"/>
          <w:szCs w:val="18"/>
        </w:rPr>
        <w:t>10</w:t>
      </w:r>
      <w:r w:rsidRPr="002B6B46">
        <w:rPr>
          <w:sz w:val="18"/>
          <w:szCs w:val="18"/>
        </w:rPr>
        <w:t xml:space="preserve"> minutes per response</w:t>
      </w:r>
      <w:r w:rsidRPr="00486E58">
        <w:rPr>
          <w:sz w:val="18"/>
          <w:szCs w:val="18"/>
        </w:rPr>
        <w:t xml:space="preserve">, including the time to review instructions, search existing data resources, </w:t>
      </w:r>
      <w:proofErr w:type="gramStart"/>
      <w:r w:rsidRPr="00486E58">
        <w:rPr>
          <w:sz w:val="18"/>
          <w:szCs w:val="18"/>
        </w:rPr>
        <w:t>gather</w:t>
      </w:r>
      <w:proofErr w:type="gramEnd"/>
      <w:r w:rsidRPr="00486E58">
        <w:rPr>
          <w:sz w:val="18"/>
          <w:szCs w:val="18"/>
        </w:rPr>
        <w:t xml:space="preserve"> the data needed, and complete and review the information collection. If you have comments concerning the accuracy of the time estimate(s) or suggestions for improving this form, please write to</w:t>
      </w:r>
      <w:r w:rsidRPr="0052549D">
        <w:rPr>
          <w:sz w:val="18"/>
          <w:szCs w:val="18"/>
        </w:rPr>
        <w:t xml:space="preserve">: </w:t>
      </w:r>
      <w:smartTag w:uri="urn:schemas-microsoft-com:office:smarttags" w:element="stockticker">
        <w:r w:rsidRPr="0052549D">
          <w:rPr>
            <w:sz w:val="18"/>
            <w:szCs w:val="18"/>
          </w:rPr>
          <w:t>CMS</w:t>
        </w:r>
      </w:smartTag>
      <w:r w:rsidRPr="0052549D">
        <w:rPr>
          <w:sz w:val="18"/>
          <w:szCs w:val="18"/>
        </w:rPr>
        <w:t>, Office of E-Health Standards and Services (OESS), Administrative Simplification Group, Attention: OMB Approval Number, Room C4-26-05, 7500 Security Boulevard, Baltimore, Maryland 21244-1850</w:t>
      </w:r>
    </w:p>
    <w:p w:rsidR="00E236FF" w:rsidRDefault="00E236FF" w:rsidP="00E236FF">
      <w:pPr>
        <w:spacing w:line="240" w:lineRule="auto"/>
      </w:pPr>
    </w:p>
    <w:p w:rsidR="00E236FF" w:rsidRDefault="00E236FF" w:rsidP="005361E8">
      <w:pPr>
        <w:spacing w:line="240" w:lineRule="auto"/>
      </w:pPr>
      <w:r>
        <w:t xml:space="preserve">[IF Q1=1-7, 9-11] Which of the following statements </w:t>
      </w:r>
      <w:r w:rsidRPr="00501DD3">
        <w:rPr>
          <w:b/>
        </w:rPr>
        <w:t>best</w:t>
      </w:r>
      <w:r>
        <w:t xml:space="preserve"> describes your </w:t>
      </w:r>
      <w:r w:rsidRPr="00501DD3">
        <w:rPr>
          <w:b/>
        </w:rPr>
        <w:t>responsibility</w:t>
      </w:r>
      <w:r>
        <w:t xml:space="preserve"> in your organization’s ICD-10 transition?  [Please select one response.]</w:t>
      </w:r>
    </w:p>
    <w:p w:rsidR="00E236FF" w:rsidRDefault="00E236FF" w:rsidP="00E236FF">
      <w:pPr>
        <w:numPr>
          <w:ilvl w:val="0"/>
          <w:numId w:val="8"/>
        </w:numPr>
        <w:spacing w:line="240" w:lineRule="auto"/>
      </w:pPr>
      <w:r>
        <w:t>I am the most senior person responsible for the company</w:t>
      </w:r>
      <w:r w:rsidR="00EB73F8">
        <w:t>’s</w:t>
      </w:r>
      <w:r>
        <w:t xml:space="preserve"> transition</w:t>
      </w:r>
      <w:r>
        <w:tab/>
      </w:r>
    </w:p>
    <w:p w:rsidR="00E236FF" w:rsidRDefault="00E236FF" w:rsidP="00E236FF">
      <w:pPr>
        <w:numPr>
          <w:ilvl w:val="0"/>
          <w:numId w:val="8"/>
        </w:numPr>
        <w:spacing w:line="240" w:lineRule="auto"/>
      </w:pPr>
      <w:r>
        <w:t>I am not the most senior person, but am involved in the transition and I have significant input or influence into the decisions regarding the systems and/or procedures</w:t>
      </w:r>
    </w:p>
    <w:p w:rsidR="00E236FF" w:rsidRDefault="00E236FF" w:rsidP="00E236FF">
      <w:pPr>
        <w:numPr>
          <w:ilvl w:val="0"/>
          <w:numId w:val="8"/>
        </w:numPr>
        <w:spacing w:line="240" w:lineRule="auto"/>
      </w:pPr>
      <w:r>
        <w:t>I make recommendations regarding the systems and procedures, but am not a decision-maker [TERMINATE]</w:t>
      </w:r>
    </w:p>
    <w:p w:rsidR="00E236FF" w:rsidRDefault="00E236FF" w:rsidP="00E236FF">
      <w:pPr>
        <w:numPr>
          <w:ilvl w:val="0"/>
          <w:numId w:val="8"/>
        </w:numPr>
        <w:spacing w:line="240" w:lineRule="auto"/>
      </w:pPr>
      <w:r>
        <w:t>I provide support (and work with the systems used) for reporting patient information for billing and reimbursement, but have no influence over what procedures or systems are implemented [TERMINATE]</w:t>
      </w:r>
    </w:p>
    <w:p w:rsidR="00E236FF" w:rsidRDefault="00E236FF" w:rsidP="00E236FF">
      <w:pPr>
        <w:numPr>
          <w:ilvl w:val="0"/>
          <w:numId w:val="8"/>
        </w:numPr>
        <w:spacing w:line="240" w:lineRule="auto"/>
      </w:pPr>
      <w:r>
        <w:t>None of the above [TERMINATE]</w:t>
      </w:r>
    </w:p>
    <w:p w:rsidR="00E236FF" w:rsidRDefault="00E236FF" w:rsidP="005361E8">
      <w:pPr>
        <w:spacing w:line="240" w:lineRule="auto"/>
      </w:pPr>
      <w:r>
        <w:lastRenderedPageBreak/>
        <w:t>[IF Q1=8] Which of the following statements best describes your role when it comes to marketing the systems/solutions/services you offer or will offer your health</w:t>
      </w:r>
      <w:r w:rsidR="00EB73F8">
        <w:t xml:space="preserve"> </w:t>
      </w:r>
      <w:r>
        <w:t>care clients to assist them in the transition to ICD-10? [Please select one response.]</w:t>
      </w:r>
    </w:p>
    <w:p w:rsidR="00E236FF" w:rsidRDefault="00E236FF" w:rsidP="00E236FF">
      <w:pPr>
        <w:numPr>
          <w:ilvl w:val="0"/>
          <w:numId w:val="9"/>
        </w:numPr>
        <w:spacing w:line="240" w:lineRule="auto"/>
      </w:pPr>
      <w:r>
        <w:t xml:space="preserve">I am the most senior person in the company responsible for marketing these systems/solutions/services </w:t>
      </w:r>
    </w:p>
    <w:p w:rsidR="00E236FF" w:rsidRDefault="00E236FF" w:rsidP="00E236FF">
      <w:pPr>
        <w:numPr>
          <w:ilvl w:val="0"/>
          <w:numId w:val="9"/>
        </w:numPr>
        <w:spacing w:line="240" w:lineRule="auto"/>
      </w:pPr>
      <w:r>
        <w:t>I am not the most senior person, but I have significant input or influence into the decisions regarding marketing these systems/solutions/services</w:t>
      </w:r>
    </w:p>
    <w:p w:rsidR="00E236FF" w:rsidRDefault="00E236FF" w:rsidP="00E236FF">
      <w:pPr>
        <w:numPr>
          <w:ilvl w:val="0"/>
          <w:numId w:val="9"/>
        </w:numPr>
        <w:spacing w:line="240" w:lineRule="auto"/>
      </w:pPr>
      <w:r>
        <w:t>I make recommendations regarding marketing these systems/solutions/services, but the final marketing decisions are made by someone else</w:t>
      </w:r>
      <w:r>
        <w:tab/>
        <w:t>[TERMINATE]</w:t>
      </w:r>
    </w:p>
    <w:p w:rsidR="00E236FF" w:rsidRDefault="00E236FF" w:rsidP="00E236FF">
      <w:pPr>
        <w:numPr>
          <w:ilvl w:val="0"/>
          <w:numId w:val="9"/>
        </w:numPr>
        <w:spacing w:line="240" w:lineRule="auto"/>
      </w:pPr>
      <w:r>
        <w:t>I will implement the marketing or sell these systems/solutions/services, but have no influence over marketing decisions [TERMINATE]</w:t>
      </w:r>
    </w:p>
    <w:p w:rsidR="00E236FF" w:rsidRDefault="00E236FF" w:rsidP="00E236FF">
      <w:pPr>
        <w:numPr>
          <w:ilvl w:val="0"/>
          <w:numId w:val="9"/>
        </w:numPr>
        <w:spacing w:line="240" w:lineRule="auto"/>
      </w:pPr>
      <w:r>
        <w:t>None of the above [TERMINATE]</w:t>
      </w:r>
    </w:p>
    <w:p w:rsidR="00E236FF" w:rsidRPr="00B85553" w:rsidRDefault="00E236FF" w:rsidP="00E236FF">
      <w:pPr>
        <w:pStyle w:val="NormalWeb"/>
        <w:rPr>
          <w:rFonts w:ascii="Calibri" w:hAnsi="Calibri"/>
          <w:sz w:val="22"/>
          <w:szCs w:val="22"/>
        </w:rPr>
      </w:pPr>
      <w:r w:rsidRPr="00B85553">
        <w:rPr>
          <w:rFonts w:ascii="Calibri" w:hAnsi="Calibri"/>
          <w:b/>
          <w:bCs/>
          <w:sz w:val="22"/>
          <w:szCs w:val="22"/>
        </w:rPr>
        <w:t xml:space="preserve">About the ICD-10 Transition on </w:t>
      </w:r>
      <w:r w:rsidRPr="00E236FF">
        <w:rPr>
          <w:rFonts w:ascii="Calibri" w:hAnsi="Calibri"/>
          <w:b/>
          <w:bCs/>
          <w:sz w:val="22"/>
          <w:szCs w:val="22"/>
        </w:rPr>
        <w:t>October 1, 201</w:t>
      </w:r>
      <w:r w:rsidR="00065FF3">
        <w:rPr>
          <w:rFonts w:ascii="Calibri" w:hAnsi="Calibri"/>
          <w:b/>
          <w:bCs/>
          <w:sz w:val="22"/>
          <w:szCs w:val="22"/>
        </w:rPr>
        <w:t>4</w:t>
      </w:r>
    </w:p>
    <w:p w:rsidR="00E236FF" w:rsidRDefault="00E236FF" w:rsidP="00E236FF">
      <w:pPr>
        <w:pStyle w:val="NormalWeb"/>
        <w:rPr>
          <w:rFonts w:ascii="Calibri" w:hAnsi="Calibri"/>
          <w:sz w:val="22"/>
          <w:szCs w:val="22"/>
        </w:rPr>
      </w:pPr>
      <w:r w:rsidRPr="00B85553">
        <w:rPr>
          <w:rFonts w:ascii="Calibri" w:hAnsi="Calibri"/>
          <w:sz w:val="22"/>
          <w:szCs w:val="22"/>
        </w:rPr>
        <w:t xml:space="preserve">ICD-10 codes must be used on all HIPAA transactions, including outpatient claims with dates of service and inpatient claims with dates of discharge on and after </w:t>
      </w:r>
      <w:r w:rsidRPr="00E236FF">
        <w:rPr>
          <w:rFonts w:ascii="Calibri" w:hAnsi="Calibri"/>
          <w:sz w:val="22"/>
          <w:szCs w:val="22"/>
        </w:rPr>
        <w:t>October 1, 201</w:t>
      </w:r>
      <w:r w:rsidR="00065FF3">
        <w:rPr>
          <w:rFonts w:ascii="Calibri" w:hAnsi="Calibri"/>
          <w:sz w:val="22"/>
          <w:szCs w:val="22"/>
        </w:rPr>
        <w:t>4</w:t>
      </w:r>
      <w:r w:rsidRPr="00B85553">
        <w:rPr>
          <w:rFonts w:ascii="Calibri" w:hAnsi="Calibri"/>
          <w:sz w:val="22"/>
          <w:szCs w:val="22"/>
        </w:rPr>
        <w:t xml:space="preserve">. </w:t>
      </w:r>
    </w:p>
    <w:p w:rsidR="00E236FF" w:rsidRPr="00B85553" w:rsidRDefault="00E236FF" w:rsidP="00E236FF">
      <w:pPr>
        <w:pStyle w:val="NormalWeb"/>
        <w:rPr>
          <w:rFonts w:ascii="Calibri" w:hAnsi="Calibri"/>
          <w:sz w:val="22"/>
          <w:szCs w:val="22"/>
        </w:rPr>
      </w:pPr>
      <w:r w:rsidRPr="00B85553">
        <w:rPr>
          <w:rFonts w:ascii="Calibri" w:hAnsi="Calibri"/>
          <w:sz w:val="22"/>
          <w:szCs w:val="22"/>
        </w:rPr>
        <w:t xml:space="preserve">This change </w:t>
      </w:r>
      <w:r w:rsidRPr="00094CCB">
        <w:rPr>
          <w:rFonts w:ascii="Calibri" w:hAnsi="Calibri"/>
          <w:b/>
          <w:sz w:val="22"/>
          <w:szCs w:val="22"/>
        </w:rPr>
        <w:t xml:space="preserve">does not affect </w:t>
      </w:r>
      <w:smartTag w:uri="urn:schemas-microsoft-com:office:smarttags" w:element="stockticker">
        <w:r w:rsidRPr="00094CCB">
          <w:rPr>
            <w:rFonts w:ascii="Calibri" w:hAnsi="Calibri"/>
            <w:b/>
            <w:sz w:val="22"/>
            <w:szCs w:val="22"/>
          </w:rPr>
          <w:t>CPT</w:t>
        </w:r>
      </w:smartTag>
      <w:r w:rsidRPr="00094CCB">
        <w:rPr>
          <w:rFonts w:ascii="Calibri" w:hAnsi="Calibri"/>
          <w:b/>
          <w:sz w:val="22"/>
          <w:szCs w:val="22"/>
        </w:rPr>
        <w:t xml:space="preserve"> coding</w:t>
      </w:r>
      <w:r w:rsidRPr="00B85553">
        <w:rPr>
          <w:rFonts w:ascii="Calibri" w:hAnsi="Calibri"/>
          <w:sz w:val="22"/>
          <w:szCs w:val="22"/>
        </w:rPr>
        <w:t xml:space="preserve"> for outpatient procedures.</w:t>
      </w:r>
    </w:p>
    <w:p w:rsidR="00E236FF" w:rsidRDefault="00E236FF" w:rsidP="00E236FF">
      <w:pPr>
        <w:keepNext/>
        <w:spacing w:after="0" w:line="240" w:lineRule="auto"/>
        <w:rPr>
          <w:b/>
        </w:rPr>
      </w:pPr>
      <w:r w:rsidRPr="00A54959">
        <w:rPr>
          <w:b/>
          <w:i/>
        </w:rPr>
        <w:t>Directions</w:t>
      </w:r>
      <w:r>
        <w:rPr>
          <w:b/>
        </w:rPr>
        <w:t xml:space="preserve">: </w:t>
      </w:r>
    </w:p>
    <w:p w:rsidR="00E236FF" w:rsidRPr="00186EDF" w:rsidRDefault="00E236FF" w:rsidP="00E236FF">
      <w:pPr>
        <w:keepNext/>
        <w:spacing w:after="0" w:line="240" w:lineRule="auto"/>
        <w:rPr>
          <w:i/>
        </w:rPr>
      </w:pPr>
      <w:r w:rsidRPr="00186EDF">
        <w:rPr>
          <w:i/>
        </w:rPr>
        <w:t xml:space="preserve">Please read About the </w:t>
      </w:r>
      <w:r>
        <w:rPr>
          <w:i/>
        </w:rPr>
        <w:t>ICD-10</w:t>
      </w:r>
      <w:r w:rsidRPr="00186EDF">
        <w:rPr>
          <w:i/>
        </w:rPr>
        <w:t xml:space="preserve"> Transition above before answering the following questions.</w:t>
      </w:r>
    </w:p>
    <w:p w:rsidR="002618FF" w:rsidRDefault="002618FF" w:rsidP="002618FF">
      <w:pPr>
        <w:spacing w:after="0" w:line="240" w:lineRule="auto"/>
      </w:pPr>
    </w:p>
    <w:p w:rsidR="00E236FF" w:rsidRPr="00CD26AD" w:rsidRDefault="00F565F4" w:rsidP="002618FF">
      <w:pPr>
        <w:spacing w:after="0" w:line="240" w:lineRule="auto"/>
      </w:pPr>
      <w:r w:rsidRPr="00CD26AD">
        <w:t>Was</w:t>
      </w:r>
      <w:r w:rsidR="00E236FF" w:rsidRPr="00CD26AD">
        <w:t xml:space="preserve"> your organization ICD-10 compliant by the October 1, 201</w:t>
      </w:r>
      <w:r w:rsidR="00065FF3">
        <w:t>4</w:t>
      </w:r>
      <w:r w:rsidR="00E236FF" w:rsidRPr="00CD26AD">
        <w:t>, deadline?</w:t>
      </w:r>
      <w:r w:rsidR="00E236FF" w:rsidRPr="002618FF">
        <w:rPr>
          <w:u w:val="single"/>
        </w:rPr>
        <w:t xml:space="preserve"> </w:t>
      </w:r>
    </w:p>
    <w:p w:rsidR="00E236FF" w:rsidRDefault="00E236FF" w:rsidP="00E236FF">
      <w:pPr>
        <w:pStyle w:val="ListParagraph"/>
        <w:numPr>
          <w:ilvl w:val="0"/>
          <w:numId w:val="5"/>
        </w:numPr>
        <w:spacing w:after="0" w:line="240" w:lineRule="auto"/>
      </w:pPr>
      <w:r>
        <w:t>Yes [</w:t>
      </w:r>
      <w:r w:rsidR="00CD26AD">
        <w:t>Terminate survey</w:t>
      </w:r>
      <w:r>
        <w:t>]</w:t>
      </w:r>
    </w:p>
    <w:p w:rsidR="00E236FF" w:rsidRDefault="00E236FF" w:rsidP="00E236FF">
      <w:pPr>
        <w:pStyle w:val="ListParagraph"/>
        <w:numPr>
          <w:ilvl w:val="0"/>
          <w:numId w:val="5"/>
        </w:numPr>
        <w:spacing w:after="0" w:line="240" w:lineRule="auto"/>
      </w:pPr>
      <w:r>
        <w:t>No</w:t>
      </w:r>
    </w:p>
    <w:p w:rsidR="00E236FF" w:rsidRDefault="00E236FF" w:rsidP="00E236FF">
      <w:pPr>
        <w:pStyle w:val="ListParagraph"/>
        <w:numPr>
          <w:ilvl w:val="0"/>
          <w:numId w:val="5"/>
        </w:numPr>
        <w:spacing w:after="0" w:line="240" w:lineRule="auto"/>
      </w:pPr>
      <w:r>
        <w:t>Not sure</w:t>
      </w:r>
    </w:p>
    <w:p w:rsidR="00E236FF" w:rsidRDefault="00E236FF" w:rsidP="00E236FF">
      <w:pPr>
        <w:spacing w:after="0" w:line="240" w:lineRule="auto"/>
        <w:rPr>
          <w:u w:val="single"/>
        </w:rPr>
      </w:pPr>
    </w:p>
    <w:p w:rsidR="00CD26AD" w:rsidRPr="00CD26AD" w:rsidRDefault="00CD26AD" w:rsidP="002618FF">
      <w:pPr>
        <w:spacing w:after="0" w:line="240" w:lineRule="auto"/>
      </w:pPr>
      <w:r w:rsidRPr="00CD26AD">
        <w:t xml:space="preserve">Has your organization taken action to prepare for the ICD-10 transition? </w:t>
      </w:r>
    </w:p>
    <w:p w:rsidR="00CD26AD" w:rsidRDefault="00CD26AD" w:rsidP="00CD26AD">
      <w:pPr>
        <w:pStyle w:val="ListParagraph"/>
        <w:numPr>
          <w:ilvl w:val="0"/>
          <w:numId w:val="4"/>
        </w:numPr>
        <w:spacing w:after="0" w:line="240" w:lineRule="auto"/>
      </w:pPr>
      <w:r>
        <w:t>Yes</w:t>
      </w:r>
    </w:p>
    <w:p w:rsidR="00CD26AD" w:rsidRDefault="00CD26AD" w:rsidP="00CD26AD">
      <w:pPr>
        <w:pStyle w:val="ListParagraph"/>
        <w:numPr>
          <w:ilvl w:val="0"/>
          <w:numId w:val="4"/>
        </w:numPr>
        <w:spacing w:after="0" w:line="240" w:lineRule="auto"/>
      </w:pPr>
      <w:r>
        <w:t>No</w:t>
      </w:r>
    </w:p>
    <w:p w:rsidR="00CD26AD" w:rsidRDefault="00CD26AD" w:rsidP="00CD26AD">
      <w:pPr>
        <w:pStyle w:val="ListParagraph"/>
        <w:numPr>
          <w:ilvl w:val="0"/>
          <w:numId w:val="4"/>
        </w:numPr>
        <w:spacing w:after="0" w:line="240" w:lineRule="auto"/>
      </w:pPr>
      <w:r>
        <w:t>Not sure</w:t>
      </w:r>
    </w:p>
    <w:p w:rsidR="00CD26AD" w:rsidRPr="00226810" w:rsidRDefault="00CD26AD" w:rsidP="00E236FF">
      <w:pPr>
        <w:spacing w:after="0" w:line="240" w:lineRule="auto"/>
        <w:rPr>
          <w:u w:val="single"/>
        </w:rPr>
      </w:pPr>
    </w:p>
    <w:p w:rsidR="00E236FF" w:rsidRPr="00CD26AD" w:rsidRDefault="00E236FF" w:rsidP="002618FF">
      <w:pPr>
        <w:spacing w:after="0" w:line="240" w:lineRule="auto"/>
      </w:pPr>
      <w:r w:rsidRPr="00CD26AD">
        <w:t xml:space="preserve">What obstacles and challenges </w:t>
      </w:r>
      <w:r w:rsidR="00BA6326">
        <w:t>has</w:t>
      </w:r>
      <w:r w:rsidR="00F565F4" w:rsidRPr="00CD26AD">
        <w:t xml:space="preserve"> your organization encounter</w:t>
      </w:r>
      <w:r w:rsidR="00BA6326">
        <w:t>ed</w:t>
      </w:r>
      <w:r w:rsidR="00F565F4" w:rsidRPr="00CD26AD">
        <w:t xml:space="preserve"> in the effort to </w:t>
      </w:r>
      <w:r w:rsidR="00BA6326">
        <w:t>transition to ICD-10</w:t>
      </w:r>
      <w:r w:rsidRPr="00CD26AD">
        <w:t>? [Please select all that apply]</w:t>
      </w:r>
    </w:p>
    <w:p w:rsidR="00E236FF" w:rsidRDefault="00E236FF" w:rsidP="00E236FF">
      <w:pPr>
        <w:pStyle w:val="ListParagraph"/>
        <w:numPr>
          <w:ilvl w:val="0"/>
          <w:numId w:val="5"/>
        </w:numPr>
        <w:spacing w:after="0" w:line="240" w:lineRule="auto"/>
      </w:pPr>
      <w:r>
        <w:t>Impact analysis not conducted</w:t>
      </w:r>
    </w:p>
    <w:p w:rsidR="00E236FF" w:rsidRDefault="00E236FF" w:rsidP="00E236FF">
      <w:pPr>
        <w:pStyle w:val="ListParagraph"/>
        <w:numPr>
          <w:ilvl w:val="0"/>
          <w:numId w:val="5"/>
        </w:numPr>
        <w:spacing w:after="0" w:line="240" w:lineRule="auto"/>
      </w:pPr>
      <w:r>
        <w:t>Inadequate budget/funding</w:t>
      </w:r>
    </w:p>
    <w:p w:rsidR="00E236FF" w:rsidRDefault="00E236FF" w:rsidP="00E236FF">
      <w:pPr>
        <w:pStyle w:val="ListParagraph"/>
        <w:numPr>
          <w:ilvl w:val="0"/>
          <w:numId w:val="5"/>
        </w:numPr>
        <w:spacing w:after="0" w:line="240" w:lineRule="auto"/>
      </w:pPr>
      <w:r>
        <w:t>Lack of incentive</w:t>
      </w:r>
    </w:p>
    <w:p w:rsidR="00E236FF" w:rsidRDefault="00E236FF" w:rsidP="00E236FF">
      <w:pPr>
        <w:pStyle w:val="ListParagraph"/>
        <w:numPr>
          <w:ilvl w:val="0"/>
          <w:numId w:val="5"/>
        </w:numPr>
        <w:spacing w:after="0" w:line="240" w:lineRule="auto"/>
      </w:pPr>
      <w:r>
        <w:t xml:space="preserve">Lack of time and/or staff </w:t>
      </w:r>
    </w:p>
    <w:p w:rsidR="00E236FF" w:rsidRDefault="00E236FF" w:rsidP="00E236FF">
      <w:pPr>
        <w:pStyle w:val="ListParagraph"/>
        <w:numPr>
          <w:ilvl w:val="0"/>
          <w:numId w:val="5"/>
        </w:numPr>
        <w:spacing w:after="0" w:line="240" w:lineRule="auto"/>
      </w:pPr>
      <w:r>
        <w:t>Internal testing not complete</w:t>
      </w:r>
    </w:p>
    <w:p w:rsidR="00E236FF" w:rsidRDefault="00E236FF" w:rsidP="00E236FF">
      <w:pPr>
        <w:pStyle w:val="ListParagraph"/>
        <w:numPr>
          <w:ilvl w:val="0"/>
          <w:numId w:val="5"/>
        </w:numPr>
        <w:spacing w:after="0" w:line="240" w:lineRule="auto"/>
      </w:pPr>
      <w:r>
        <w:t>External testing not complete</w:t>
      </w:r>
    </w:p>
    <w:p w:rsidR="00E236FF" w:rsidRDefault="00E236FF" w:rsidP="00E236FF">
      <w:pPr>
        <w:pStyle w:val="ListParagraph"/>
        <w:numPr>
          <w:ilvl w:val="0"/>
          <w:numId w:val="5"/>
        </w:numPr>
        <w:spacing w:after="0" w:line="240" w:lineRule="auto"/>
      </w:pPr>
      <w:r>
        <w:t>Lack of c</w:t>
      </w:r>
      <w:r w:rsidRPr="00F76FB4">
        <w:t>oordination with vendor(s)</w:t>
      </w:r>
    </w:p>
    <w:p w:rsidR="00E236FF" w:rsidRPr="00490143" w:rsidRDefault="00E236FF" w:rsidP="00E236FF">
      <w:pPr>
        <w:pStyle w:val="ListParagraph"/>
        <w:numPr>
          <w:ilvl w:val="0"/>
          <w:numId w:val="5"/>
        </w:numPr>
        <w:spacing w:after="0" w:line="240" w:lineRule="auto"/>
      </w:pPr>
      <w:r w:rsidRPr="00DA5BE0">
        <w:rPr>
          <w:rFonts w:cs="Arial"/>
        </w:rPr>
        <w:t>Other health care transition(s) taking priority (i.e., Meaningful Use)</w:t>
      </w:r>
    </w:p>
    <w:p w:rsidR="00490143" w:rsidRPr="00CD26AD" w:rsidRDefault="00490143" w:rsidP="00E236FF">
      <w:pPr>
        <w:pStyle w:val="ListParagraph"/>
        <w:numPr>
          <w:ilvl w:val="0"/>
          <w:numId w:val="5"/>
        </w:numPr>
        <w:spacing w:after="0" w:line="240" w:lineRule="auto"/>
      </w:pPr>
      <w:r w:rsidRPr="00CD26AD">
        <w:rPr>
          <w:rFonts w:cs="Arial"/>
        </w:rPr>
        <w:t>Running dual systems to accommodate ICD-9 and ICD-10 codes simultaneously</w:t>
      </w:r>
    </w:p>
    <w:p w:rsidR="00E236FF" w:rsidRDefault="00E236FF" w:rsidP="00E236FF">
      <w:pPr>
        <w:pStyle w:val="ListParagraph"/>
        <w:numPr>
          <w:ilvl w:val="0"/>
          <w:numId w:val="5"/>
        </w:numPr>
        <w:spacing w:after="0" w:line="240" w:lineRule="auto"/>
      </w:pPr>
      <w:r>
        <w:t>Other [please specify]</w:t>
      </w:r>
    </w:p>
    <w:p w:rsidR="00E236FF" w:rsidRDefault="00E236FF" w:rsidP="00E236FF">
      <w:pPr>
        <w:spacing w:after="0" w:line="240" w:lineRule="auto"/>
        <w:rPr>
          <w:b/>
          <w:i/>
        </w:rPr>
      </w:pPr>
    </w:p>
    <w:p w:rsidR="00F21C01" w:rsidRDefault="00F21C01" w:rsidP="00AC70AC">
      <w:pPr>
        <w:rPr>
          <w:b/>
          <w:i/>
        </w:rPr>
      </w:pPr>
      <w:bookmarkStart w:id="0" w:name="_GoBack"/>
      <w:bookmarkEnd w:id="0"/>
      <w:r w:rsidRPr="0007040C">
        <w:rPr>
          <w:b/>
          <w:i/>
        </w:rPr>
        <w:t>[</w:t>
      </w:r>
      <w:r w:rsidRPr="0007040C">
        <w:rPr>
          <w:b/>
          <w:i/>
          <w:color w:val="000000"/>
        </w:rPr>
        <w:t xml:space="preserve">Please indicate when you completed or plan to complete </w:t>
      </w:r>
      <w:r w:rsidRPr="0007040C">
        <w:rPr>
          <w:b/>
          <w:i/>
        </w:rPr>
        <w:t xml:space="preserve">the following activities </w:t>
      </w:r>
      <w:r w:rsidRPr="00C02C4B">
        <w:rPr>
          <w:b/>
          <w:i/>
        </w:rPr>
        <w:t>to prepare</w:t>
      </w:r>
      <w:r>
        <w:rPr>
          <w:b/>
          <w:i/>
        </w:rPr>
        <w:t xml:space="preserve"> </w:t>
      </w:r>
      <w:r w:rsidRPr="0007040C">
        <w:rPr>
          <w:b/>
          <w:i/>
        </w:rPr>
        <w:t>for the ICD-10 transition.]</w:t>
      </w:r>
      <w:r>
        <w:rPr>
          <w:rStyle w:val="FootnoteReference"/>
          <w:b/>
          <w:i/>
        </w:rPr>
        <w:footnoteReference w:id="1"/>
      </w:r>
    </w:p>
    <w:p w:rsidR="00F21C01" w:rsidRPr="0007040C" w:rsidRDefault="00F21C01" w:rsidP="00F21C01">
      <w:pPr>
        <w:spacing w:after="0" w:line="240" w:lineRule="auto"/>
      </w:pPr>
    </w:p>
    <w:tbl>
      <w:tblPr>
        <w:tblW w:w="8470" w:type="dxa"/>
        <w:jc w:val="center"/>
        <w:tblInd w:w="-1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86"/>
        <w:gridCol w:w="635"/>
        <w:gridCol w:w="526"/>
        <w:gridCol w:w="450"/>
        <w:gridCol w:w="540"/>
        <w:gridCol w:w="540"/>
        <w:gridCol w:w="450"/>
        <w:gridCol w:w="450"/>
        <w:gridCol w:w="540"/>
        <w:gridCol w:w="453"/>
      </w:tblGrid>
      <w:tr w:rsidR="00F21C01" w:rsidRPr="00917181" w:rsidTr="00700754">
        <w:trPr>
          <w:cantSplit/>
          <w:trHeight w:val="2880"/>
          <w:jc w:val="center"/>
        </w:trPr>
        <w:tc>
          <w:tcPr>
            <w:tcW w:w="3886" w:type="dxa"/>
            <w:textDirection w:val="tbRl"/>
          </w:tcPr>
          <w:p w:rsidR="00F21C01" w:rsidRPr="00917181" w:rsidRDefault="00F21C01" w:rsidP="00065FF3">
            <w:pPr>
              <w:keepNext/>
              <w:spacing w:after="0" w:line="240" w:lineRule="auto"/>
              <w:ind w:left="113" w:right="113"/>
            </w:pPr>
            <w:r>
              <w:t>Activity</w:t>
            </w:r>
          </w:p>
        </w:tc>
        <w:tc>
          <w:tcPr>
            <w:tcW w:w="635" w:type="dxa"/>
            <w:textDirection w:val="tbRl"/>
          </w:tcPr>
          <w:p w:rsidR="00F21C01" w:rsidRPr="00917181" w:rsidRDefault="00F21C01" w:rsidP="00C56112">
            <w:pPr>
              <w:keepNext/>
              <w:spacing w:after="0" w:line="240" w:lineRule="auto"/>
              <w:ind w:left="113" w:right="113"/>
              <w:jc w:val="center"/>
            </w:pPr>
            <w:r>
              <w:t xml:space="preserve">Completed before </w:t>
            </w:r>
            <w:r w:rsidR="00C56112">
              <w:t>Nov</w:t>
            </w:r>
            <w:r w:rsidR="00065FF3">
              <w:t xml:space="preserve"> 2014</w:t>
            </w:r>
          </w:p>
        </w:tc>
        <w:tc>
          <w:tcPr>
            <w:tcW w:w="526" w:type="dxa"/>
            <w:textDirection w:val="tbRl"/>
          </w:tcPr>
          <w:p w:rsidR="00F21C01" w:rsidRDefault="00065FF3" w:rsidP="00065FF3">
            <w:pPr>
              <w:keepNext/>
              <w:spacing w:after="0" w:line="240" w:lineRule="auto"/>
              <w:ind w:left="113" w:right="113"/>
              <w:jc w:val="center"/>
            </w:pPr>
            <w:r>
              <w:t>Nov 2014</w:t>
            </w:r>
          </w:p>
        </w:tc>
        <w:tc>
          <w:tcPr>
            <w:tcW w:w="450" w:type="dxa"/>
            <w:textDirection w:val="tbRl"/>
          </w:tcPr>
          <w:p w:rsidR="00F21C01" w:rsidRDefault="00065FF3" w:rsidP="00065FF3">
            <w:pPr>
              <w:keepNext/>
              <w:spacing w:after="0" w:line="240" w:lineRule="auto"/>
              <w:ind w:left="113" w:right="113"/>
              <w:jc w:val="center"/>
            </w:pPr>
            <w:r>
              <w:t>Dec 2014</w:t>
            </w:r>
          </w:p>
        </w:tc>
        <w:tc>
          <w:tcPr>
            <w:tcW w:w="540" w:type="dxa"/>
            <w:textDirection w:val="tbRl"/>
          </w:tcPr>
          <w:p w:rsidR="00F21C01" w:rsidRDefault="00065FF3" w:rsidP="00065FF3">
            <w:pPr>
              <w:keepNext/>
              <w:spacing w:after="0" w:line="240" w:lineRule="auto"/>
              <w:ind w:left="113" w:right="113"/>
              <w:jc w:val="center"/>
            </w:pPr>
            <w:r>
              <w:t>Jan 2015</w:t>
            </w:r>
          </w:p>
        </w:tc>
        <w:tc>
          <w:tcPr>
            <w:tcW w:w="540" w:type="dxa"/>
            <w:textDirection w:val="tbRl"/>
          </w:tcPr>
          <w:p w:rsidR="00F21C01" w:rsidRDefault="00065FF3" w:rsidP="00065FF3">
            <w:pPr>
              <w:keepNext/>
              <w:spacing w:after="0" w:line="240" w:lineRule="auto"/>
              <w:ind w:left="113" w:right="113"/>
              <w:jc w:val="center"/>
            </w:pPr>
            <w:r>
              <w:t>Feb 2015</w:t>
            </w:r>
          </w:p>
        </w:tc>
        <w:tc>
          <w:tcPr>
            <w:tcW w:w="450" w:type="dxa"/>
            <w:textDirection w:val="tbRl"/>
          </w:tcPr>
          <w:p w:rsidR="00F21C01" w:rsidRDefault="00065FF3" w:rsidP="00065FF3">
            <w:pPr>
              <w:keepNext/>
              <w:spacing w:after="0" w:line="240" w:lineRule="auto"/>
              <w:ind w:left="113" w:right="113"/>
              <w:jc w:val="center"/>
            </w:pPr>
            <w:r>
              <w:t>Mar 2015</w:t>
            </w:r>
          </w:p>
        </w:tc>
        <w:tc>
          <w:tcPr>
            <w:tcW w:w="450" w:type="dxa"/>
            <w:textDirection w:val="tbRl"/>
          </w:tcPr>
          <w:p w:rsidR="00F21C01" w:rsidRDefault="00F21C01" w:rsidP="00065FF3">
            <w:pPr>
              <w:keepNext/>
              <w:spacing w:after="0" w:line="240" w:lineRule="auto"/>
              <w:ind w:left="113" w:right="113"/>
              <w:jc w:val="center"/>
            </w:pPr>
            <w:r>
              <w:t>Apr 201</w:t>
            </w:r>
            <w:r w:rsidR="00065FF3">
              <w:t>5</w:t>
            </w:r>
            <w:r>
              <w:t xml:space="preserve"> or later</w:t>
            </w:r>
          </w:p>
        </w:tc>
        <w:tc>
          <w:tcPr>
            <w:tcW w:w="540" w:type="dxa"/>
            <w:textDirection w:val="tbRl"/>
          </w:tcPr>
          <w:p w:rsidR="00F21C01" w:rsidRDefault="00F21C01" w:rsidP="00065FF3">
            <w:pPr>
              <w:keepNext/>
              <w:spacing w:after="0" w:line="240" w:lineRule="auto"/>
              <w:ind w:left="113" w:right="113"/>
              <w:jc w:val="center"/>
            </w:pPr>
            <w:r>
              <w:t>Not planning for this activity</w:t>
            </w:r>
          </w:p>
        </w:tc>
        <w:tc>
          <w:tcPr>
            <w:tcW w:w="453" w:type="dxa"/>
            <w:textDirection w:val="tbRl"/>
          </w:tcPr>
          <w:p w:rsidR="00F21C01" w:rsidRDefault="00F21C01" w:rsidP="00065FF3">
            <w:pPr>
              <w:keepNext/>
              <w:spacing w:after="0" w:line="240" w:lineRule="auto"/>
              <w:ind w:left="113" w:right="113"/>
              <w:jc w:val="center"/>
            </w:pPr>
            <w:r>
              <w:t>Don’t know</w:t>
            </w:r>
          </w:p>
        </w:tc>
      </w:tr>
      <w:tr w:rsidR="00F21C01" w:rsidRPr="00917181" w:rsidTr="00700754">
        <w:trPr>
          <w:jc w:val="center"/>
        </w:trPr>
        <w:tc>
          <w:tcPr>
            <w:tcW w:w="3886" w:type="dxa"/>
          </w:tcPr>
          <w:p w:rsidR="00F21C01" w:rsidRDefault="00DF4583" w:rsidP="00065FF3">
            <w:pPr>
              <w:spacing w:after="0" w:line="240" w:lineRule="auto"/>
            </w:pPr>
            <w:r w:rsidRPr="000F5A2A">
              <w:t>Conduct impact analysis (e.g., identify everywhere you use ICD codes for potential changes to work flow)</w:t>
            </w:r>
          </w:p>
        </w:tc>
        <w:tc>
          <w:tcPr>
            <w:tcW w:w="635" w:type="dxa"/>
          </w:tcPr>
          <w:p w:rsidR="00F21C01" w:rsidRPr="00917181" w:rsidRDefault="00F21C01" w:rsidP="00065FF3">
            <w:pPr>
              <w:spacing w:after="0" w:line="240" w:lineRule="auto"/>
            </w:pPr>
          </w:p>
        </w:tc>
        <w:tc>
          <w:tcPr>
            <w:tcW w:w="526"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3" w:type="dxa"/>
          </w:tcPr>
          <w:p w:rsidR="00F21C01" w:rsidRPr="00917181" w:rsidRDefault="00F21C01" w:rsidP="00065FF3">
            <w:pPr>
              <w:spacing w:after="0" w:line="240" w:lineRule="auto"/>
            </w:pPr>
          </w:p>
        </w:tc>
      </w:tr>
      <w:tr w:rsidR="00F21C01" w:rsidRPr="00917181" w:rsidTr="00700754">
        <w:trPr>
          <w:jc w:val="center"/>
        </w:trPr>
        <w:tc>
          <w:tcPr>
            <w:tcW w:w="3886" w:type="dxa"/>
          </w:tcPr>
          <w:p w:rsidR="00F21C01" w:rsidRDefault="00F21C01" w:rsidP="00065FF3">
            <w:pPr>
              <w:spacing w:after="0" w:line="240" w:lineRule="auto"/>
            </w:pPr>
            <w:r>
              <w:t xml:space="preserve">Develop </w:t>
            </w:r>
            <w:r w:rsidRPr="00FE145E">
              <w:t>ICD-10</w:t>
            </w:r>
            <w:r>
              <w:t xml:space="preserve"> implementation plan</w:t>
            </w:r>
          </w:p>
        </w:tc>
        <w:tc>
          <w:tcPr>
            <w:tcW w:w="635" w:type="dxa"/>
          </w:tcPr>
          <w:p w:rsidR="00F21C01" w:rsidRPr="00917181" w:rsidRDefault="00F21C01" w:rsidP="00065FF3">
            <w:pPr>
              <w:spacing w:after="0" w:line="240" w:lineRule="auto"/>
            </w:pPr>
          </w:p>
        </w:tc>
        <w:tc>
          <w:tcPr>
            <w:tcW w:w="526"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3" w:type="dxa"/>
          </w:tcPr>
          <w:p w:rsidR="00F21C01" w:rsidRPr="00917181" w:rsidRDefault="00F21C01" w:rsidP="00065FF3">
            <w:pPr>
              <w:spacing w:after="0" w:line="240" w:lineRule="auto"/>
            </w:pPr>
          </w:p>
        </w:tc>
      </w:tr>
      <w:tr w:rsidR="00F21C01" w:rsidRPr="00917181" w:rsidTr="00700754">
        <w:trPr>
          <w:jc w:val="center"/>
        </w:trPr>
        <w:tc>
          <w:tcPr>
            <w:tcW w:w="3886" w:type="dxa"/>
          </w:tcPr>
          <w:p w:rsidR="00F21C01" w:rsidRDefault="00F21C01" w:rsidP="00065FF3">
            <w:pPr>
              <w:spacing w:after="0" w:line="240" w:lineRule="auto"/>
            </w:pPr>
            <w:r>
              <w:t>Talk with your business trading partners (providers, payers, vendors) about transition plans</w:t>
            </w:r>
          </w:p>
        </w:tc>
        <w:tc>
          <w:tcPr>
            <w:tcW w:w="635" w:type="dxa"/>
          </w:tcPr>
          <w:p w:rsidR="00F21C01" w:rsidRPr="00917181" w:rsidRDefault="00F21C01" w:rsidP="00065FF3">
            <w:pPr>
              <w:spacing w:after="0" w:line="240" w:lineRule="auto"/>
            </w:pPr>
          </w:p>
        </w:tc>
        <w:tc>
          <w:tcPr>
            <w:tcW w:w="526"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3" w:type="dxa"/>
          </w:tcPr>
          <w:p w:rsidR="00F21C01" w:rsidRPr="00917181" w:rsidRDefault="00F21C01" w:rsidP="00065FF3">
            <w:pPr>
              <w:spacing w:after="0" w:line="240" w:lineRule="auto"/>
            </w:pPr>
          </w:p>
        </w:tc>
      </w:tr>
      <w:tr w:rsidR="00F21C01" w:rsidRPr="00917181" w:rsidTr="00700754">
        <w:trPr>
          <w:jc w:val="center"/>
        </w:trPr>
        <w:tc>
          <w:tcPr>
            <w:tcW w:w="3886" w:type="dxa"/>
          </w:tcPr>
          <w:p w:rsidR="00F21C01" w:rsidRDefault="00F21C01" w:rsidP="00065FF3">
            <w:pPr>
              <w:spacing w:after="0" w:line="240" w:lineRule="auto"/>
            </w:pPr>
            <w:r>
              <w:t xml:space="preserve">Secure budget </w:t>
            </w:r>
            <w:r w:rsidRPr="00FE145E">
              <w:t>(time and costs related to implementation)</w:t>
            </w:r>
          </w:p>
        </w:tc>
        <w:tc>
          <w:tcPr>
            <w:tcW w:w="635" w:type="dxa"/>
          </w:tcPr>
          <w:p w:rsidR="00F21C01" w:rsidRPr="00917181" w:rsidRDefault="00F21C01" w:rsidP="00065FF3">
            <w:pPr>
              <w:spacing w:after="0" w:line="240" w:lineRule="auto"/>
            </w:pPr>
          </w:p>
        </w:tc>
        <w:tc>
          <w:tcPr>
            <w:tcW w:w="526"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3" w:type="dxa"/>
          </w:tcPr>
          <w:p w:rsidR="00F21C01" w:rsidRPr="00917181" w:rsidRDefault="00F21C01" w:rsidP="00065FF3">
            <w:pPr>
              <w:spacing w:after="0" w:line="240" w:lineRule="auto"/>
            </w:pPr>
          </w:p>
        </w:tc>
      </w:tr>
      <w:tr w:rsidR="00F21C01" w:rsidRPr="00917181" w:rsidTr="00700754">
        <w:trPr>
          <w:jc w:val="center"/>
        </w:trPr>
        <w:tc>
          <w:tcPr>
            <w:tcW w:w="3886" w:type="dxa"/>
          </w:tcPr>
          <w:p w:rsidR="00F21C01" w:rsidRPr="00917181" w:rsidRDefault="00F21C01" w:rsidP="00065FF3">
            <w:pPr>
              <w:spacing w:after="0" w:line="240" w:lineRule="auto"/>
            </w:pPr>
            <w:r>
              <w:t xml:space="preserve">Begin internal testing </w:t>
            </w:r>
            <w:r w:rsidRPr="00FE145E">
              <w:t>(e.g., test changes in software, practice within your organization)</w:t>
            </w:r>
            <w:r w:rsidRPr="00FE145E" w:rsidDel="00CE12C3">
              <w:t xml:space="preserve"> </w:t>
            </w:r>
          </w:p>
        </w:tc>
        <w:tc>
          <w:tcPr>
            <w:tcW w:w="635" w:type="dxa"/>
          </w:tcPr>
          <w:p w:rsidR="00F21C01" w:rsidRPr="00917181" w:rsidRDefault="00F21C01" w:rsidP="00065FF3">
            <w:pPr>
              <w:spacing w:after="0" w:line="240" w:lineRule="auto"/>
            </w:pPr>
          </w:p>
        </w:tc>
        <w:tc>
          <w:tcPr>
            <w:tcW w:w="526"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3" w:type="dxa"/>
          </w:tcPr>
          <w:p w:rsidR="00F21C01" w:rsidRPr="00917181" w:rsidRDefault="00F21C01" w:rsidP="00065FF3">
            <w:pPr>
              <w:spacing w:after="0" w:line="240" w:lineRule="auto"/>
            </w:pPr>
          </w:p>
        </w:tc>
      </w:tr>
      <w:tr w:rsidR="00F21C01" w:rsidRPr="00917181" w:rsidTr="00700754">
        <w:trPr>
          <w:jc w:val="center"/>
        </w:trPr>
        <w:tc>
          <w:tcPr>
            <w:tcW w:w="3886" w:type="dxa"/>
          </w:tcPr>
          <w:p w:rsidR="00F21C01" w:rsidRPr="00917181" w:rsidRDefault="00F21C01" w:rsidP="00065FF3">
            <w:pPr>
              <w:spacing w:after="0" w:line="240" w:lineRule="auto"/>
            </w:pPr>
            <w:r>
              <w:t xml:space="preserve">Complete internal testing </w:t>
            </w:r>
          </w:p>
        </w:tc>
        <w:tc>
          <w:tcPr>
            <w:tcW w:w="635" w:type="dxa"/>
          </w:tcPr>
          <w:p w:rsidR="00F21C01" w:rsidRPr="00917181" w:rsidRDefault="00F21C01" w:rsidP="00065FF3">
            <w:pPr>
              <w:spacing w:after="0" w:line="240" w:lineRule="auto"/>
            </w:pPr>
          </w:p>
        </w:tc>
        <w:tc>
          <w:tcPr>
            <w:tcW w:w="526"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3" w:type="dxa"/>
          </w:tcPr>
          <w:p w:rsidR="00F21C01" w:rsidRPr="00917181" w:rsidRDefault="00F21C01" w:rsidP="00065FF3">
            <w:pPr>
              <w:spacing w:after="0" w:line="240" w:lineRule="auto"/>
            </w:pPr>
          </w:p>
        </w:tc>
      </w:tr>
      <w:tr w:rsidR="00F21C01" w:rsidRPr="00917181" w:rsidTr="00700754">
        <w:trPr>
          <w:jc w:val="center"/>
        </w:trPr>
        <w:tc>
          <w:tcPr>
            <w:tcW w:w="3886" w:type="dxa"/>
          </w:tcPr>
          <w:p w:rsidR="00F21C01" w:rsidRPr="00917181" w:rsidRDefault="00DF4583" w:rsidP="00065FF3">
            <w:pPr>
              <w:spacing w:after="0" w:line="240" w:lineRule="auto"/>
            </w:pPr>
            <w:r w:rsidRPr="000F5A2A">
              <w:t>Begin external testing  (e.g., between providers, payers, billing services, clearinghouses)</w:t>
            </w:r>
          </w:p>
        </w:tc>
        <w:tc>
          <w:tcPr>
            <w:tcW w:w="635" w:type="dxa"/>
          </w:tcPr>
          <w:p w:rsidR="00F21C01" w:rsidRPr="00917181" w:rsidRDefault="00F21C01" w:rsidP="00065FF3">
            <w:pPr>
              <w:spacing w:after="0" w:line="240" w:lineRule="auto"/>
            </w:pPr>
          </w:p>
        </w:tc>
        <w:tc>
          <w:tcPr>
            <w:tcW w:w="526"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3" w:type="dxa"/>
          </w:tcPr>
          <w:p w:rsidR="00F21C01" w:rsidRPr="00917181" w:rsidRDefault="00F21C01" w:rsidP="00065FF3">
            <w:pPr>
              <w:spacing w:after="0" w:line="240" w:lineRule="auto"/>
            </w:pPr>
          </w:p>
        </w:tc>
      </w:tr>
      <w:tr w:rsidR="00F21C01" w:rsidRPr="00917181" w:rsidTr="00700754">
        <w:trPr>
          <w:jc w:val="center"/>
        </w:trPr>
        <w:tc>
          <w:tcPr>
            <w:tcW w:w="3886" w:type="dxa"/>
          </w:tcPr>
          <w:p w:rsidR="00F21C01" w:rsidRPr="00917181" w:rsidRDefault="00700754" w:rsidP="00065FF3">
            <w:pPr>
              <w:spacing w:after="0" w:line="240" w:lineRule="auto"/>
            </w:pPr>
            <w:r w:rsidRPr="000F5A2A">
              <w:t>Complete external testing (i.e., complete testing of processes from beginning to end, including claims and other inbound and outbound transactions)</w:t>
            </w:r>
          </w:p>
        </w:tc>
        <w:tc>
          <w:tcPr>
            <w:tcW w:w="635" w:type="dxa"/>
          </w:tcPr>
          <w:p w:rsidR="00F21C01" w:rsidRPr="00917181" w:rsidRDefault="00F21C01" w:rsidP="00065FF3">
            <w:pPr>
              <w:spacing w:after="0" w:line="240" w:lineRule="auto"/>
            </w:pPr>
          </w:p>
        </w:tc>
        <w:tc>
          <w:tcPr>
            <w:tcW w:w="526"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3" w:type="dxa"/>
          </w:tcPr>
          <w:p w:rsidR="00F21C01" w:rsidRPr="00917181" w:rsidRDefault="00F21C01" w:rsidP="00065FF3">
            <w:pPr>
              <w:spacing w:after="0" w:line="240" w:lineRule="auto"/>
            </w:pPr>
          </w:p>
        </w:tc>
      </w:tr>
      <w:tr w:rsidR="00F21C01" w:rsidRPr="00917181" w:rsidTr="00700754">
        <w:trPr>
          <w:jc w:val="center"/>
        </w:trPr>
        <w:tc>
          <w:tcPr>
            <w:tcW w:w="3886" w:type="dxa"/>
            <w:tcBorders>
              <w:bottom w:val="single" w:sz="4" w:space="0" w:color="000000"/>
            </w:tcBorders>
          </w:tcPr>
          <w:p w:rsidR="00F21C01" w:rsidRDefault="00F21C01" w:rsidP="00065FF3">
            <w:pPr>
              <w:spacing w:after="0" w:line="240" w:lineRule="auto"/>
            </w:pPr>
            <w:r>
              <w:t>Conduct staff training</w:t>
            </w:r>
          </w:p>
        </w:tc>
        <w:tc>
          <w:tcPr>
            <w:tcW w:w="635" w:type="dxa"/>
            <w:tcBorders>
              <w:bottom w:val="single" w:sz="4" w:space="0" w:color="000000"/>
            </w:tcBorders>
          </w:tcPr>
          <w:p w:rsidR="00F21C01" w:rsidRPr="00917181" w:rsidRDefault="00F21C01" w:rsidP="00065FF3">
            <w:pPr>
              <w:spacing w:after="0" w:line="240" w:lineRule="auto"/>
            </w:pPr>
          </w:p>
        </w:tc>
        <w:tc>
          <w:tcPr>
            <w:tcW w:w="526" w:type="dxa"/>
            <w:tcBorders>
              <w:bottom w:val="single" w:sz="4" w:space="0" w:color="000000"/>
            </w:tcBorders>
          </w:tcPr>
          <w:p w:rsidR="00F21C01" w:rsidRPr="00917181" w:rsidRDefault="00F21C01" w:rsidP="00065FF3">
            <w:pPr>
              <w:spacing w:after="0" w:line="240" w:lineRule="auto"/>
            </w:pPr>
          </w:p>
        </w:tc>
        <w:tc>
          <w:tcPr>
            <w:tcW w:w="450" w:type="dxa"/>
            <w:tcBorders>
              <w:bottom w:val="single" w:sz="4" w:space="0" w:color="000000"/>
            </w:tcBorders>
          </w:tcPr>
          <w:p w:rsidR="00F21C01" w:rsidRPr="00917181" w:rsidRDefault="00F21C01" w:rsidP="00065FF3">
            <w:pPr>
              <w:spacing w:after="0" w:line="240" w:lineRule="auto"/>
            </w:pPr>
          </w:p>
        </w:tc>
        <w:tc>
          <w:tcPr>
            <w:tcW w:w="540" w:type="dxa"/>
            <w:tcBorders>
              <w:bottom w:val="single" w:sz="4" w:space="0" w:color="000000"/>
            </w:tcBorders>
          </w:tcPr>
          <w:p w:rsidR="00F21C01" w:rsidRPr="00917181" w:rsidRDefault="00F21C01" w:rsidP="00065FF3">
            <w:pPr>
              <w:spacing w:after="0" w:line="240" w:lineRule="auto"/>
            </w:pPr>
          </w:p>
        </w:tc>
        <w:tc>
          <w:tcPr>
            <w:tcW w:w="540" w:type="dxa"/>
            <w:tcBorders>
              <w:bottom w:val="single" w:sz="4" w:space="0" w:color="000000"/>
            </w:tcBorders>
          </w:tcPr>
          <w:p w:rsidR="00F21C01" w:rsidRPr="00917181" w:rsidRDefault="00F21C01" w:rsidP="00065FF3">
            <w:pPr>
              <w:spacing w:after="0" w:line="240" w:lineRule="auto"/>
            </w:pPr>
          </w:p>
        </w:tc>
        <w:tc>
          <w:tcPr>
            <w:tcW w:w="450" w:type="dxa"/>
            <w:tcBorders>
              <w:bottom w:val="single" w:sz="4" w:space="0" w:color="000000"/>
            </w:tcBorders>
          </w:tcPr>
          <w:p w:rsidR="00F21C01" w:rsidRPr="00917181" w:rsidRDefault="00F21C01" w:rsidP="00065FF3">
            <w:pPr>
              <w:spacing w:after="0" w:line="240" w:lineRule="auto"/>
            </w:pPr>
          </w:p>
        </w:tc>
        <w:tc>
          <w:tcPr>
            <w:tcW w:w="450" w:type="dxa"/>
            <w:tcBorders>
              <w:bottom w:val="single" w:sz="4" w:space="0" w:color="000000"/>
            </w:tcBorders>
          </w:tcPr>
          <w:p w:rsidR="00F21C01" w:rsidRPr="00917181" w:rsidRDefault="00F21C01" w:rsidP="00065FF3">
            <w:pPr>
              <w:spacing w:after="0" w:line="240" w:lineRule="auto"/>
            </w:pPr>
          </w:p>
        </w:tc>
        <w:tc>
          <w:tcPr>
            <w:tcW w:w="540" w:type="dxa"/>
            <w:tcBorders>
              <w:bottom w:val="single" w:sz="4" w:space="0" w:color="000000"/>
            </w:tcBorders>
          </w:tcPr>
          <w:p w:rsidR="00F21C01" w:rsidRPr="00917181" w:rsidRDefault="00F21C01" w:rsidP="00065FF3">
            <w:pPr>
              <w:spacing w:after="0" w:line="240" w:lineRule="auto"/>
            </w:pPr>
          </w:p>
        </w:tc>
        <w:tc>
          <w:tcPr>
            <w:tcW w:w="453" w:type="dxa"/>
            <w:tcBorders>
              <w:bottom w:val="single" w:sz="4" w:space="0" w:color="000000"/>
            </w:tcBorders>
          </w:tcPr>
          <w:p w:rsidR="00F21C01" w:rsidRPr="00917181" w:rsidRDefault="00F21C01" w:rsidP="00065FF3">
            <w:pPr>
              <w:spacing w:after="0" w:line="240" w:lineRule="auto"/>
            </w:pPr>
          </w:p>
        </w:tc>
      </w:tr>
      <w:tr w:rsidR="00F21C01" w:rsidRPr="00917181" w:rsidTr="00700754">
        <w:trPr>
          <w:jc w:val="center"/>
        </w:trPr>
        <w:tc>
          <w:tcPr>
            <w:tcW w:w="3886" w:type="dxa"/>
            <w:shd w:val="clear" w:color="auto" w:fill="000000"/>
          </w:tcPr>
          <w:p w:rsidR="00F21C01" w:rsidRDefault="00F21C01" w:rsidP="00065FF3">
            <w:pPr>
              <w:spacing w:after="0" w:line="240" w:lineRule="auto"/>
            </w:pPr>
          </w:p>
        </w:tc>
        <w:tc>
          <w:tcPr>
            <w:tcW w:w="635" w:type="dxa"/>
            <w:shd w:val="clear" w:color="auto" w:fill="000000"/>
          </w:tcPr>
          <w:p w:rsidR="00F21C01" w:rsidRPr="00917181" w:rsidRDefault="00F21C01" w:rsidP="00065FF3">
            <w:pPr>
              <w:spacing w:after="0" w:line="240" w:lineRule="auto"/>
            </w:pPr>
          </w:p>
        </w:tc>
        <w:tc>
          <w:tcPr>
            <w:tcW w:w="526" w:type="dxa"/>
            <w:shd w:val="clear" w:color="auto" w:fill="000000"/>
          </w:tcPr>
          <w:p w:rsidR="00F21C01" w:rsidRPr="00917181" w:rsidRDefault="00F21C01" w:rsidP="00065FF3">
            <w:pPr>
              <w:spacing w:after="0" w:line="240" w:lineRule="auto"/>
            </w:pPr>
          </w:p>
        </w:tc>
        <w:tc>
          <w:tcPr>
            <w:tcW w:w="450" w:type="dxa"/>
            <w:shd w:val="clear" w:color="auto" w:fill="000000"/>
          </w:tcPr>
          <w:p w:rsidR="00F21C01" w:rsidRPr="00917181" w:rsidRDefault="00F21C01" w:rsidP="00065FF3">
            <w:pPr>
              <w:spacing w:after="0" w:line="240" w:lineRule="auto"/>
            </w:pPr>
          </w:p>
        </w:tc>
        <w:tc>
          <w:tcPr>
            <w:tcW w:w="540" w:type="dxa"/>
            <w:shd w:val="clear" w:color="auto" w:fill="000000"/>
          </w:tcPr>
          <w:p w:rsidR="00F21C01" w:rsidRPr="00917181" w:rsidRDefault="00F21C01" w:rsidP="00065FF3">
            <w:pPr>
              <w:spacing w:after="0" w:line="240" w:lineRule="auto"/>
            </w:pPr>
          </w:p>
        </w:tc>
        <w:tc>
          <w:tcPr>
            <w:tcW w:w="540" w:type="dxa"/>
            <w:shd w:val="clear" w:color="auto" w:fill="000000"/>
          </w:tcPr>
          <w:p w:rsidR="00F21C01" w:rsidRPr="00917181" w:rsidRDefault="00F21C01" w:rsidP="00065FF3">
            <w:pPr>
              <w:spacing w:after="0" w:line="240" w:lineRule="auto"/>
            </w:pPr>
          </w:p>
        </w:tc>
        <w:tc>
          <w:tcPr>
            <w:tcW w:w="450" w:type="dxa"/>
            <w:shd w:val="clear" w:color="auto" w:fill="000000"/>
          </w:tcPr>
          <w:p w:rsidR="00F21C01" w:rsidRPr="00917181" w:rsidRDefault="00F21C01" w:rsidP="00065FF3">
            <w:pPr>
              <w:spacing w:after="0" w:line="240" w:lineRule="auto"/>
            </w:pPr>
          </w:p>
        </w:tc>
        <w:tc>
          <w:tcPr>
            <w:tcW w:w="450" w:type="dxa"/>
            <w:shd w:val="clear" w:color="auto" w:fill="000000"/>
          </w:tcPr>
          <w:p w:rsidR="00F21C01" w:rsidRPr="00917181" w:rsidRDefault="00F21C01" w:rsidP="00065FF3">
            <w:pPr>
              <w:spacing w:after="0" w:line="240" w:lineRule="auto"/>
            </w:pPr>
          </w:p>
        </w:tc>
        <w:tc>
          <w:tcPr>
            <w:tcW w:w="540" w:type="dxa"/>
            <w:shd w:val="clear" w:color="auto" w:fill="000000"/>
          </w:tcPr>
          <w:p w:rsidR="00F21C01" w:rsidRPr="00917181" w:rsidRDefault="00F21C01" w:rsidP="00065FF3">
            <w:pPr>
              <w:spacing w:after="0" w:line="240" w:lineRule="auto"/>
            </w:pPr>
          </w:p>
        </w:tc>
        <w:tc>
          <w:tcPr>
            <w:tcW w:w="453" w:type="dxa"/>
            <w:shd w:val="clear" w:color="auto" w:fill="000000"/>
          </w:tcPr>
          <w:p w:rsidR="00F21C01" w:rsidRPr="00917181" w:rsidRDefault="00F21C01" w:rsidP="00065FF3">
            <w:pPr>
              <w:spacing w:after="0" w:line="240" w:lineRule="auto"/>
            </w:pPr>
          </w:p>
        </w:tc>
      </w:tr>
      <w:tr w:rsidR="00F21C01" w:rsidRPr="00917181" w:rsidTr="00700754">
        <w:trPr>
          <w:jc w:val="center"/>
        </w:trPr>
        <w:tc>
          <w:tcPr>
            <w:tcW w:w="3886" w:type="dxa"/>
          </w:tcPr>
          <w:p w:rsidR="00F21C01" w:rsidRPr="00E84EAB" w:rsidRDefault="00F21C01" w:rsidP="00065FF3">
            <w:pPr>
              <w:spacing w:after="0" w:line="240" w:lineRule="auto"/>
              <w:rPr>
                <w:b/>
              </w:rPr>
            </w:pPr>
            <w:r>
              <w:rPr>
                <w:b/>
              </w:rPr>
              <w:t xml:space="preserve">SOFTWARE/HEALTH IT DEVELOPERS/VENDORS </w:t>
            </w:r>
          </w:p>
        </w:tc>
        <w:tc>
          <w:tcPr>
            <w:tcW w:w="635" w:type="dxa"/>
          </w:tcPr>
          <w:p w:rsidR="00F21C01" w:rsidRPr="00917181" w:rsidRDefault="00F21C01" w:rsidP="00065FF3">
            <w:pPr>
              <w:spacing w:after="0" w:line="240" w:lineRule="auto"/>
            </w:pPr>
          </w:p>
        </w:tc>
        <w:tc>
          <w:tcPr>
            <w:tcW w:w="526"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3" w:type="dxa"/>
          </w:tcPr>
          <w:p w:rsidR="00F21C01" w:rsidRPr="00917181" w:rsidRDefault="00F21C01" w:rsidP="00065FF3">
            <w:pPr>
              <w:spacing w:after="0" w:line="240" w:lineRule="auto"/>
            </w:pPr>
          </w:p>
        </w:tc>
      </w:tr>
      <w:tr w:rsidR="00F21C01" w:rsidRPr="00917181" w:rsidTr="00700754">
        <w:trPr>
          <w:jc w:val="center"/>
        </w:trPr>
        <w:tc>
          <w:tcPr>
            <w:tcW w:w="3886" w:type="dxa"/>
          </w:tcPr>
          <w:p w:rsidR="00F21C01" w:rsidRPr="000A1ED1" w:rsidRDefault="00F21C01" w:rsidP="00065FF3">
            <w:pPr>
              <w:spacing w:after="0" w:line="240" w:lineRule="auto"/>
            </w:pPr>
            <w:r>
              <w:t>System development</w:t>
            </w:r>
          </w:p>
        </w:tc>
        <w:tc>
          <w:tcPr>
            <w:tcW w:w="635" w:type="dxa"/>
          </w:tcPr>
          <w:p w:rsidR="00F21C01" w:rsidRPr="00917181" w:rsidRDefault="00F21C01" w:rsidP="00065FF3">
            <w:pPr>
              <w:spacing w:after="0" w:line="240" w:lineRule="auto"/>
            </w:pPr>
          </w:p>
        </w:tc>
        <w:tc>
          <w:tcPr>
            <w:tcW w:w="526"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3" w:type="dxa"/>
          </w:tcPr>
          <w:p w:rsidR="00F21C01" w:rsidRPr="00917181" w:rsidRDefault="00F21C01" w:rsidP="00065FF3">
            <w:pPr>
              <w:spacing w:after="0" w:line="240" w:lineRule="auto"/>
            </w:pPr>
          </w:p>
        </w:tc>
      </w:tr>
      <w:tr w:rsidR="00F21C01" w:rsidRPr="00917181" w:rsidTr="00700754">
        <w:trPr>
          <w:jc w:val="center"/>
        </w:trPr>
        <w:tc>
          <w:tcPr>
            <w:tcW w:w="3886" w:type="dxa"/>
          </w:tcPr>
          <w:p w:rsidR="00F21C01" w:rsidRDefault="00F21C01" w:rsidP="00065FF3">
            <w:pPr>
              <w:spacing w:after="0" w:line="240" w:lineRule="auto"/>
            </w:pPr>
            <w:r>
              <w:t xml:space="preserve">Product rollout </w:t>
            </w:r>
          </w:p>
        </w:tc>
        <w:tc>
          <w:tcPr>
            <w:tcW w:w="635" w:type="dxa"/>
          </w:tcPr>
          <w:p w:rsidR="00F21C01" w:rsidRPr="00917181" w:rsidRDefault="00F21C01" w:rsidP="00065FF3">
            <w:pPr>
              <w:spacing w:after="0" w:line="240" w:lineRule="auto"/>
            </w:pPr>
          </w:p>
        </w:tc>
        <w:tc>
          <w:tcPr>
            <w:tcW w:w="526"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3" w:type="dxa"/>
          </w:tcPr>
          <w:p w:rsidR="00F21C01" w:rsidRPr="00917181" w:rsidRDefault="00F21C01" w:rsidP="00065FF3">
            <w:pPr>
              <w:spacing w:after="0" w:line="240" w:lineRule="auto"/>
            </w:pPr>
          </w:p>
        </w:tc>
      </w:tr>
      <w:tr w:rsidR="00F21C01" w:rsidRPr="00917181" w:rsidTr="00700754">
        <w:trPr>
          <w:jc w:val="center"/>
        </w:trPr>
        <w:tc>
          <w:tcPr>
            <w:tcW w:w="3886" w:type="dxa"/>
          </w:tcPr>
          <w:p w:rsidR="00F21C01" w:rsidRDefault="00F21C01" w:rsidP="00065FF3">
            <w:pPr>
              <w:spacing w:after="0" w:line="240" w:lineRule="auto"/>
            </w:pPr>
            <w:r>
              <w:t>Conduct customer education</w:t>
            </w:r>
          </w:p>
        </w:tc>
        <w:tc>
          <w:tcPr>
            <w:tcW w:w="635" w:type="dxa"/>
          </w:tcPr>
          <w:p w:rsidR="00F21C01" w:rsidRPr="00917181" w:rsidRDefault="00F21C01" w:rsidP="00065FF3">
            <w:pPr>
              <w:spacing w:after="0" w:line="240" w:lineRule="auto"/>
            </w:pPr>
          </w:p>
        </w:tc>
        <w:tc>
          <w:tcPr>
            <w:tcW w:w="526"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3" w:type="dxa"/>
          </w:tcPr>
          <w:p w:rsidR="00F21C01" w:rsidRPr="00917181" w:rsidRDefault="00F21C01" w:rsidP="00065FF3">
            <w:pPr>
              <w:spacing w:after="0" w:line="240" w:lineRule="auto"/>
            </w:pPr>
          </w:p>
        </w:tc>
      </w:tr>
      <w:tr w:rsidR="00F21C01" w:rsidRPr="00917181" w:rsidTr="00700754">
        <w:trPr>
          <w:jc w:val="center"/>
        </w:trPr>
        <w:tc>
          <w:tcPr>
            <w:tcW w:w="3886" w:type="dxa"/>
          </w:tcPr>
          <w:p w:rsidR="00F21C01" w:rsidRDefault="00F21C01" w:rsidP="00065FF3">
            <w:pPr>
              <w:spacing w:after="0" w:line="240" w:lineRule="auto"/>
            </w:pPr>
            <w:r>
              <w:t>Live production operations using ICD-10</w:t>
            </w:r>
          </w:p>
        </w:tc>
        <w:tc>
          <w:tcPr>
            <w:tcW w:w="635" w:type="dxa"/>
          </w:tcPr>
          <w:p w:rsidR="00F21C01" w:rsidRPr="00917181" w:rsidRDefault="00F21C01" w:rsidP="00065FF3">
            <w:pPr>
              <w:spacing w:after="0" w:line="240" w:lineRule="auto"/>
            </w:pPr>
          </w:p>
        </w:tc>
        <w:tc>
          <w:tcPr>
            <w:tcW w:w="526"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450" w:type="dxa"/>
          </w:tcPr>
          <w:p w:rsidR="00F21C01" w:rsidRPr="00917181" w:rsidRDefault="00F21C01" w:rsidP="00065FF3">
            <w:pPr>
              <w:spacing w:after="0" w:line="240" w:lineRule="auto"/>
            </w:pPr>
          </w:p>
        </w:tc>
        <w:tc>
          <w:tcPr>
            <w:tcW w:w="540" w:type="dxa"/>
          </w:tcPr>
          <w:p w:rsidR="00F21C01" w:rsidRPr="00917181" w:rsidRDefault="00F21C01" w:rsidP="00065FF3">
            <w:pPr>
              <w:spacing w:after="0" w:line="240" w:lineRule="auto"/>
            </w:pPr>
          </w:p>
        </w:tc>
        <w:tc>
          <w:tcPr>
            <w:tcW w:w="453" w:type="dxa"/>
          </w:tcPr>
          <w:p w:rsidR="00F21C01" w:rsidRPr="00917181" w:rsidRDefault="00F21C01" w:rsidP="00065FF3">
            <w:pPr>
              <w:spacing w:after="0" w:line="240" w:lineRule="auto"/>
            </w:pPr>
          </w:p>
        </w:tc>
      </w:tr>
    </w:tbl>
    <w:p w:rsidR="00496505" w:rsidRPr="00492624" w:rsidRDefault="00496505" w:rsidP="00F21C01">
      <w:pPr>
        <w:spacing w:after="0" w:line="240" w:lineRule="auto"/>
        <w:rPr>
          <w:rFonts w:ascii="Arial" w:hAnsi="Arial" w:cs="Arial"/>
          <w:sz w:val="20"/>
          <w:szCs w:val="20"/>
        </w:rPr>
      </w:pPr>
    </w:p>
    <w:sectPr w:rsidR="00496505" w:rsidRPr="00492624" w:rsidSect="00F565F4">
      <w:headerReference w:type="default" r:id="rId9"/>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754" w:rsidRDefault="00700754" w:rsidP="00E236FF">
      <w:pPr>
        <w:spacing w:after="0" w:line="240" w:lineRule="auto"/>
      </w:pPr>
      <w:r>
        <w:separator/>
      </w:r>
    </w:p>
  </w:endnote>
  <w:endnote w:type="continuationSeparator" w:id="0">
    <w:p w:rsidR="00700754" w:rsidRDefault="00700754" w:rsidP="00E2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467009"/>
      <w:docPartObj>
        <w:docPartGallery w:val="Page Numbers (Bottom of Page)"/>
        <w:docPartUnique/>
      </w:docPartObj>
    </w:sdtPr>
    <w:sdtEndPr>
      <w:rPr>
        <w:noProof/>
      </w:rPr>
    </w:sdtEndPr>
    <w:sdtContent>
      <w:p w:rsidR="00700754" w:rsidRDefault="00700754">
        <w:pPr>
          <w:pStyle w:val="Footer"/>
          <w:jc w:val="right"/>
        </w:pPr>
        <w:r>
          <w:fldChar w:fldCharType="begin"/>
        </w:r>
        <w:r>
          <w:instrText xml:space="preserve"> PAGE   \* MERGEFORMAT </w:instrText>
        </w:r>
        <w:r>
          <w:fldChar w:fldCharType="separate"/>
        </w:r>
        <w:r w:rsidR="00AC70AC">
          <w:rPr>
            <w:noProof/>
          </w:rPr>
          <w:t>1</w:t>
        </w:r>
        <w:r>
          <w:rPr>
            <w:noProof/>
          </w:rPr>
          <w:fldChar w:fldCharType="end"/>
        </w:r>
      </w:p>
    </w:sdtContent>
  </w:sdt>
  <w:p w:rsidR="00700754" w:rsidRDefault="00700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754" w:rsidRDefault="00700754" w:rsidP="00E236FF">
      <w:pPr>
        <w:spacing w:after="0" w:line="240" w:lineRule="auto"/>
      </w:pPr>
      <w:r>
        <w:separator/>
      </w:r>
    </w:p>
  </w:footnote>
  <w:footnote w:type="continuationSeparator" w:id="0">
    <w:p w:rsidR="00700754" w:rsidRDefault="00700754" w:rsidP="00E236FF">
      <w:pPr>
        <w:spacing w:after="0" w:line="240" w:lineRule="auto"/>
      </w:pPr>
      <w:r>
        <w:continuationSeparator/>
      </w:r>
    </w:p>
  </w:footnote>
  <w:footnote w:id="1">
    <w:p w:rsidR="00700754" w:rsidRDefault="00700754" w:rsidP="00F21C01">
      <w:pPr>
        <w:pStyle w:val="FootnoteText"/>
      </w:pPr>
      <w:r>
        <w:rPr>
          <w:rStyle w:val="FootnoteReference"/>
        </w:rPr>
        <w:footnoteRef/>
      </w:r>
      <w:r>
        <w:t xml:space="preserve"> To minimize burden to respondents, </w:t>
      </w:r>
      <w:r w:rsidRPr="00501ACF">
        <w:rPr>
          <w:sz w:val="18"/>
          <w:szCs w:val="18"/>
        </w:rPr>
        <w:t xml:space="preserve">CMS requests permission to </w:t>
      </w:r>
      <w:r>
        <w:rPr>
          <w:sz w:val="18"/>
          <w:szCs w:val="18"/>
        </w:rPr>
        <w:t>delete timeframes from this table as they become outdated (e.g., if the survey is fielded in December 2014, CMS would like to delete the “Nov 2014” response option and replace the “Completed before Nov  2014”</w:t>
      </w:r>
      <w:r w:rsidRPr="00501ACF">
        <w:rPr>
          <w:sz w:val="18"/>
          <w:szCs w:val="18"/>
        </w:rPr>
        <w:t xml:space="preserve"> </w:t>
      </w:r>
      <w:r>
        <w:rPr>
          <w:sz w:val="18"/>
          <w:szCs w:val="18"/>
        </w:rPr>
        <w:t>response option with “Completed before Dec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54" w:rsidRDefault="00AC70AC" w:rsidP="00E236FF">
    <w:pPr>
      <w:spacing w:after="0" w:line="240" w:lineRule="auto"/>
    </w:pPr>
    <w:r>
      <w:t>September 26</w:t>
    </w:r>
    <w:r w:rsidR="00700754">
      <w:t>, 2012</w:t>
    </w:r>
  </w:p>
  <w:p w:rsidR="00700754" w:rsidRDefault="00700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0FAE"/>
    <w:multiLevelType w:val="hybridMultilevel"/>
    <w:tmpl w:val="52F87EB0"/>
    <w:lvl w:ilvl="0" w:tplc="AB5ED936">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6464D3"/>
    <w:multiLevelType w:val="hybridMultilevel"/>
    <w:tmpl w:val="F17CABE8"/>
    <w:lvl w:ilvl="0" w:tplc="A11C59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705443"/>
    <w:multiLevelType w:val="hybridMultilevel"/>
    <w:tmpl w:val="9C66A0C4"/>
    <w:lvl w:ilvl="0" w:tplc="AB5ED936">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1B50FE"/>
    <w:multiLevelType w:val="hybridMultilevel"/>
    <w:tmpl w:val="27D8E3B4"/>
    <w:lvl w:ilvl="0" w:tplc="AB5ED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033331"/>
    <w:multiLevelType w:val="hybridMultilevel"/>
    <w:tmpl w:val="2F9CDBC8"/>
    <w:lvl w:ilvl="0" w:tplc="AB5ED936">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BC360D"/>
    <w:multiLevelType w:val="hybridMultilevel"/>
    <w:tmpl w:val="CEC87AB8"/>
    <w:lvl w:ilvl="0" w:tplc="AB5ED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73F1E35"/>
    <w:multiLevelType w:val="hybridMultilevel"/>
    <w:tmpl w:val="1F4608BC"/>
    <w:lvl w:ilvl="0" w:tplc="AB5ED936">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7205A6"/>
    <w:multiLevelType w:val="hybridMultilevel"/>
    <w:tmpl w:val="7582775A"/>
    <w:lvl w:ilvl="0" w:tplc="D4508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7F3A7A"/>
    <w:multiLevelType w:val="hybridMultilevel"/>
    <w:tmpl w:val="B46C07D4"/>
    <w:lvl w:ilvl="0" w:tplc="A11C59C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6FF"/>
    <w:rsid w:val="00025DE1"/>
    <w:rsid w:val="0004061B"/>
    <w:rsid w:val="00065FF3"/>
    <w:rsid w:val="00242DDD"/>
    <w:rsid w:val="002618FF"/>
    <w:rsid w:val="003247F4"/>
    <w:rsid w:val="003D4EFD"/>
    <w:rsid w:val="003E0993"/>
    <w:rsid w:val="00424C1A"/>
    <w:rsid w:val="00446650"/>
    <w:rsid w:val="004672B8"/>
    <w:rsid w:val="00475D40"/>
    <w:rsid w:val="00490143"/>
    <w:rsid w:val="00492624"/>
    <w:rsid w:val="004934E9"/>
    <w:rsid w:val="00496505"/>
    <w:rsid w:val="004B1B96"/>
    <w:rsid w:val="00517249"/>
    <w:rsid w:val="005361E8"/>
    <w:rsid w:val="00646E00"/>
    <w:rsid w:val="006E4B02"/>
    <w:rsid w:val="00700754"/>
    <w:rsid w:val="007269C8"/>
    <w:rsid w:val="007B7F0F"/>
    <w:rsid w:val="00AC70AC"/>
    <w:rsid w:val="00AE2FF9"/>
    <w:rsid w:val="00BA6326"/>
    <w:rsid w:val="00C0582E"/>
    <w:rsid w:val="00C56112"/>
    <w:rsid w:val="00CD26AD"/>
    <w:rsid w:val="00DF4583"/>
    <w:rsid w:val="00E06A2D"/>
    <w:rsid w:val="00E236FF"/>
    <w:rsid w:val="00EB73F8"/>
    <w:rsid w:val="00F21C01"/>
    <w:rsid w:val="00F5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E236FF"/>
    <w:pPr>
      <w:ind w:left="720"/>
      <w:contextualSpacing/>
    </w:pPr>
    <w:rPr>
      <w:rFonts w:eastAsiaTheme="minorEastAsia"/>
    </w:rPr>
  </w:style>
  <w:style w:type="paragraph" w:styleId="NoSpacing">
    <w:name w:val="No Spacing"/>
    <w:uiPriority w:val="1"/>
    <w:qFormat/>
    <w:rsid w:val="00E236FF"/>
    <w:pPr>
      <w:spacing w:after="0" w:line="240" w:lineRule="auto"/>
    </w:pPr>
    <w:rPr>
      <w:rFonts w:ascii="Calibri" w:eastAsia="Calibri" w:hAnsi="Calibri" w:cs="Times New Roman"/>
    </w:rPr>
  </w:style>
  <w:style w:type="paragraph" w:styleId="NormalWeb">
    <w:name w:val="Normal (Web)"/>
    <w:basedOn w:val="Normal"/>
    <w:uiPriority w:val="99"/>
    <w:unhideWhenUsed/>
    <w:rsid w:val="00E236F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6FF"/>
  </w:style>
  <w:style w:type="paragraph" w:styleId="Header">
    <w:name w:val="header"/>
    <w:basedOn w:val="Normal"/>
    <w:link w:val="HeaderChar"/>
    <w:uiPriority w:val="99"/>
    <w:unhideWhenUsed/>
    <w:rsid w:val="00E23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6FF"/>
  </w:style>
  <w:style w:type="paragraph" w:styleId="FootnoteText">
    <w:name w:val="footnote text"/>
    <w:basedOn w:val="Normal"/>
    <w:link w:val="FootnoteTextChar"/>
    <w:uiPriority w:val="99"/>
    <w:semiHidden/>
    <w:unhideWhenUsed/>
    <w:rsid w:val="00E236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6FF"/>
    <w:rPr>
      <w:sz w:val="20"/>
      <w:szCs w:val="20"/>
    </w:rPr>
  </w:style>
  <w:style w:type="character" w:styleId="FootnoteReference">
    <w:name w:val="footnote reference"/>
    <w:basedOn w:val="DefaultParagraphFont"/>
    <w:uiPriority w:val="99"/>
    <w:semiHidden/>
    <w:unhideWhenUsed/>
    <w:rsid w:val="00E236FF"/>
    <w:rPr>
      <w:vertAlign w:val="superscript"/>
    </w:rPr>
  </w:style>
  <w:style w:type="character" w:styleId="CommentReference">
    <w:name w:val="annotation reference"/>
    <w:basedOn w:val="DefaultParagraphFont"/>
    <w:uiPriority w:val="99"/>
    <w:semiHidden/>
    <w:unhideWhenUsed/>
    <w:rsid w:val="00EB73F8"/>
    <w:rPr>
      <w:sz w:val="16"/>
      <w:szCs w:val="16"/>
    </w:rPr>
  </w:style>
  <w:style w:type="paragraph" w:styleId="CommentText">
    <w:name w:val="annotation text"/>
    <w:basedOn w:val="Normal"/>
    <w:link w:val="CommentTextChar"/>
    <w:uiPriority w:val="99"/>
    <w:semiHidden/>
    <w:unhideWhenUsed/>
    <w:rsid w:val="00EB73F8"/>
    <w:pPr>
      <w:spacing w:line="240" w:lineRule="auto"/>
    </w:pPr>
    <w:rPr>
      <w:sz w:val="20"/>
      <w:szCs w:val="20"/>
    </w:rPr>
  </w:style>
  <w:style w:type="character" w:customStyle="1" w:styleId="CommentTextChar">
    <w:name w:val="Comment Text Char"/>
    <w:basedOn w:val="DefaultParagraphFont"/>
    <w:link w:val="CommentText"/>
    <w:uiPriority w:val="99"/>
    <w:semiHidden/>
    <w:rsid w:val="00EB73F8"/>
    <w:rPr>
      <w:sz w:val="20"/>
      <w:szCs w:val="20"/>
    </w:rPr>
  </w:style>
  <w:style w:type="paragraph" w:styleId="CommentSubject">
    <w:name w:val="annotation subject"/>
    <w:basedOn w:val="CommentText"/>
    <w:next w:val="CommentText"/>
    <w:link w:val="CommentSubjectChar"/>
    <w:uiPriority w:val="99"/>
    <w:semiHidden/>
    <w:unhideWhenUsed/>
    <w:rsid w:val="00EB73F8"/>
    <w:rPr>
      <w:b/>
      <w:bCs/>
    </w:rPr>
  </w:style>
  <w:style w:type="character" w:customStyle="1" w:styleId="CommentSubjectChar">
    <w:name w:val="Comment Subject Char"/>
    <w:basedOn w:val="CommentTextChar"/>
    <w:link w:val="CommentSubject"/>
    <w:uiPriority w:val="99"/>
    <w:semiHidden/>
    <w:rsid w:val="00EB73F8"/>
    <w:rPr>
      <w:b/>
      <w:bCs/>
      <w:sz w:val="20"/>
      <w:szCs w:val="20"/>
    </w:rPr>
  </w:style>
  <w:style w:type="paragraph" w:styleId="BalloonText">
    <w:name w:val="Balloon Text"/>
    <w:basedOn w:val="Normal"/>
    <w:link w:val="BalloonTextChar"/>
    <w:uiPriority w:val="99"/>
    <w:semiHidden/>
    <w:unhideWhenUsed/>
    <w:rsid w:val="00EB7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3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E236FF"/>
    <w:pPr>
      <w:ind w:left="720"/>
      <w:contextualSpacing/>
    </w:pPr>
    <w:rPr>
      <w:rFonts w:eastAsiaTheme="minorEastAsia"/>
    </w:rPr>
  </w:style>
  <w:style w:type="paragraph" w:styleId="NoSpacing">
    <w:name w:val="No Spacing"/>
    <w:uiPriority w:val="1"/>
    <w:qFormat/>
    <w:rsid w:val="00E236FF"/>
    <w:pPr>
      <w:spacing w:after="0" w:line="240" w:lineRule="auto"/>
    </w:pPr>
    <w:rPr>
      <w:rFonts w:ascii="Calibri" w:eastAsia="Calibri" w:hAnsi="Calibri" w:cs="Times New Roman"/>
    </w:rPr>
  </w:style>
  <w:style w:type="paragraph" w:styleId="NormalWeb">
    <w:name w:val="Normal (Web)"/>
    <w:basedOn w:val="Normal"/>
    <w:uiPriority w:val="99"/>
    <w:unhideWhenUsed/>
    <w:rsid w:val="00E236F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6FF"/>
  </w:style>
  <w:style w:type="paragraph" w:styleId="Header">
    <w:name w:val="header"/>
    <w:basedOn w:val="Normal"/>
    <w:link w:val="HeaderChar"/>
    <w:uiPriority w:val="99"/>
    <w:unhideWhenUsed/>
    <w:rsid w:val="00E23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6FF"/>
  </w:style>
  <w:style w:type="paragraph" w:styleId="FootnoteText">
    <w:name w:val="footnote text"/>
    <w:basedOn w:val="Normal"/>
    <w:link w:val="FootnoteTextChar"/>
    <w:uiPriority w:val="99"/>
    <w:semiHidden/>
    <w:unhideWhenUsed/>
    <w:rsid w:val="00E236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6FF"/>
    <w:rPr>
      <w:sz w:val="20"/>
      <w:szCs w:val="20"/>
    </w:rPr>
  </w:style>
  <w:style w:type="character" w:styleId="FootnoteReference">
    <w:name w:val="footnote reference"/>
    <w:basedOn w:val="DefaultParagraphFont"/>
    <w:uiPriority w:val="99"/>
    <w:semiHidden/>
    <w:unhideWhenUsed/>
    <w:rsid w:val="00E236FF"/>
    <w:rPr>
      <w:vertAlign w:val="superscript"/>
    </w:rPr>
  </w:style>
  <w:style w:type="character" w:styleId="CommentReference">
    <w:name w:val="annotation reference"/>
    <w:basedOn w:val="DefaultParagraphFont"/>
    <w:uiPriority w:val="99"/>
    <w:semiHidden/>
    <w:unhideWhenUsed/>
    <w:rsid w:val="00EB73F8"/>
    <w:rPr>
      <w:sz w:val="16"/>
      <w:szCs w:val="16"/>
    </w:rPr>
  </w:style>
  <w:style w:type="paragraph" w:styleId="CommentText">
    <w:name w:val="annotation text"/>
    <w:basedOn w:val="Normal"/>
    <w:link w:val="CommentTextChar"/>
    <w:uiPriority w:val="99"/>
    <w:semiHidden/>
    <w:unhideWhenUsed/>
    <w:rsid w:val="00EB73F8"/>
    <w:pPr>
      <w:spacing w:line="240" w:lineRule="auto"/>
    </w:pPr>
    <w:rPr>
      <w:sz w:val="20"/>
      <w:szCs w:val="20"/>
    </w:rPr>
  </w:style>
  <w:style w:type="character" w:customStyle="1" w:styleId="CommentTextChar">
    <w:name w:val="Comment Text Char"/>
    <w:basedOn w:val="DefaultParagraphFont"/>
    <w:link w:val="CommentText"/>
    <w:uiPriority w:val="99"/>
    <w:semiHidden/>
    <w:rsid w:val="00EB73F8"/>
    <w:rPr>
      <w:sz w:val="20"/>
      <w:szCs w:val="20"/>
    </w:rPr>
  </w:style>
  <w:style w:type="paragraph" w:styleId="CommentSubject">
    <w:name w:val="annotation subject"/>
    <w:basedOn w:val="CommentText"/>
    <w:next w:val="CommentText"/>
    <w:link w:val="CommentSubjectChar"/>
    <w:uiPriority w:val="99"/>
    <w:semiHidden/>
    <w:unhideWhenUsed/>
    <w:rsid w:val="00EB73F8"/>
    <w:rPr>
      <w:b/>
      <w:bCs/>
    </w:rPr>
  </w:style>
  <w:style w:type="character" w:customStyle="1" w:styleId="CommentSubjectChar">
    <w:name w:val="Comment Subject Char"/>
    <w:basedOn w:val="CommentTextChar"/>
    <w:link w:val="CommentSubject"/>
    <w:uiPriority w:val="99"/>
    <w:semiHidden/>
    <w:rsid w:val="00EB73F8"/>
    <w:rPr>
      <w:b/>
      <w:bCs/>
      <w:sz w:val="20"/>
      <w:szCs w:val="20"/>
    </w:rPr>
  </w:style>
  <w:style w:type="paragraph" w:styleId="BalloonText">
    <w:name w:val="Balloon Text"/>
    <w:basedOn w:val="Normal"/>
    <w:link w:val="BalloonTextChar"/>
    <w:uiPriority w:val="99"/>
    <w:semiHidden/>
    <w:unhideWhenUsed/>
    <w:rsid w:val="00EB7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3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613D6-A321-4FD8-9A1E-88BC853D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Ketchum Inc</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Ketchum</dc:creator>
  <cp:keywords/>
  <dc:description/>
  <cp:lastModifiedBy>Suzanne</cp:lastModifiedBy>
  <cp:revision>3</cp:revision>
  <cp:lastPrinted>2012-09-26T15:05:00Z</cp:lastPrinted>
  <dcterms:created xsi:type="dcterms:W3CDTF">2012-09-26T14:26:00Z</dcterms:created>
  <dcterms:modified xsi:type="dcterms:W3CDTF">2012-09-26T15:22:00Z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