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FF" w:rsidRDefault="00EE1C6D" w:rsidP="00E236FF">
      <w:pPr>
        <w:spacing w:line="240" w:lineRule="auto"/>
        <w:jc w:val="center"/>
        <w:rPr>
          <w:b/>
          <w:sz w:val="24"/>
          <w:szCs w:val="24"/>
        </w:rPr>
      </w:pPr>
      <w:r>
        <w:rPr>
          <w:b/>
          <w:sz w:val="24"/>
          <w:szCs w:val="24"/>
        </w:rPr>
        <w:t xml:space="preserve">Crosswalk: Revisions to </w:t>
      </w:r>
      <w:r w:rsidR="00E236FF" w:rsidRPr="00325307">
        <w:rPr>
          <w:b/>
          <w:sz w:val="24"/>
          <w:szCs w:val="24"/>
        </w:rPr>
        <w:t>ICD-10 Industry Readiness Assessment</w:t>
      </w:r>
    </w:p>
    <w:p w:rsidR="009C44E6" w:rsidRPr="009C44E6" w:rsidRDefault="009C44E6" w:rsidP="00E236FF">
      <w:pPr>
        <w:spacing w:line="240" w:lineRule="auto"/>
        <w:jc w:val="center"/>
        <w:rPr>
          <w:rFonts w:cstheme="minorHAnsi"/>
          <w:b/>
          <w:color w:val="FFFFFF" w:themeColor="background1"/>
        </w:rPr>
      </w:pPr>
      <w:r w:rsidRPr="009C44E6">
        <w:rPr>
          <w:b/>
        </w:rPr>
        <w:t xml:space="preserve"> Readiness Assessment to be fielded </w:t>
      </w:r>
      <w:r w:rsidRPr="008A01CC">
        <w:rPr>
          <w:b/>
          <w:u w:val="single"/>
        </w:rPr>
        <w:t>before</w:t>
      </w:r>
      <w:r w:rsidRPr="009C44E6">
        <w:rPr>
          <w:b/>
        </w:rPr>
        <w:t xml:space="preserve"> October 1, 2014, compliance deadline (Appendix D-1)</w:t>
      </w:r>
    </w:p>
    <w:tbl>
      <w:tblPr>
        <w:tblStyle w:val="TableGrid"/>
        <w:tblW w:w="10008" w:type="dxa"/>
        <w:tblLayout w:type="fixed"/>
        <w:tblLook w:val="04A0" w:firstRow="1" w:lastRow="0" w:firstColumn="1" w:lastColumn="0" w:noHBand="0" w:noVBand="1"/>
      </w:tblPr>
      <w:tblGrid>
        <w:gridCol w:w="3528"/>
        <w:gridCol w:w="3690"/>
        <w:gridCol w:w="2790"/>
      </w:tblGrid>
      <w:tr w:rsidR="009C44E6" w:rsidTr="00312076">
        <w:trPr>
          <w:cantSplit/>
          <w:tblHeader/>
        </w:trPr>
        <w:tc>
          <w:tcPr>
            <w:tcW w:w="3528" w:type="dxa"/>
          </w:tcPr>
          <w:p w:rsidR="009C44E6" w:rsidRPr="009C44E6" w:rsidRDefault="009C44E6" w:rsidP="00E236FF">
            <w:pPr>
              <w:jc w:val="center"/>
              <w:rPr>
                <w:b/>
              </w:rPr>
            </w:pPr>
            <w:r w:rsidRPr="009C44E6">
              <w:rPr>
                <w:b/>
              </w:rPr>
              <w:t xml:space="preserve">Original </w:t>
            </w:r>
            <w:r w:rsidR="00CB360C">
              <w:rPr>
                <w:b/>
              </w:rPr>
              <w:t>Text/</w:t>
            </w:r>
            <w:r w:rsidRPr="009C44E6">
              <w:rPr>
                <w:b/>
              </w:rPr>
              <w:t>Question</w:t>
            </w:r>
          </w:p>
        </w:tc>
        <w:tc>
          <w:tcPr>
            <w:tcW w:w="3690" w:type="dxa"/>
          </w:tcPr>
          <w:p w:rsidR="009C44E6" w:rsidRPr="009C44E6" w:rsidRDefault="009C44E6" w:rsidP="00E236FF">
            <w:pPr>
              <w:jc w:val="center"/>
              <w:rPr>
                <w:b/>
              </w:rPr>
            </w:pPr>
            <w:r w:rsidRPr="009C44E6">
              <w:rPr>
                <w:b/>
              </w:rPr>
              <w:t xml:space="preserve">Revised </w:t>
            </w:r>
            <w:r w:rsidR="00CB360C">
              <w:rPr>
                <w:b/>
              </w:rPr>
              <w:t>Text/</w:t>
            </w:r>
            <w:r w:rsidRPr="009C44E6">
              <w:rPr>
                <w:b/>
              </w:rPr>
              <w:t>Question</w:t>
            </w:r>
          </w:p>
        </w:tc>
        <w:tc>
          <w:tcPr>
            <w:tcW w:w="2790" w:type="dxa"/>
          </w:tcPr>
          <w:p w:rsidR="009C44E6" w:rsidRPr="009C44E6" w:rsidRDefault="009C44E6" w:rsidP="00E236FF">
            <w:pPr>
              <w:jc w:val="center"/>
              <w:rPr>
                <w:b/>
              </w:rPr>
            </w:pPr>
            <w:r w:rsidRPr="009C44E6">
              <w:rPr>
                <w:b/>
              </w:rPr>
              <w:t>Rationale</w:t>
            </w:r>
          </w:p>
        </w:tc>
      </w:tr>
      <w:tr w:rsidR="00312076" w:rsidTr="00312076">
        <w:trPr>
          <w:cantSplit/>
        </w:trPr>
        <w:tc>
          <w:tcPr>
            <w:tcW w:w="3528" w:type="dxa"/>
          </w:tcPr>
          <w:p w:rsidR="00312076" w:rsidRPr="00B85553" w:rsidRDefault="00312076" w:rsidP="00312076">
            <w:pPr>
              <w:pStyle w:val="NormalWeb"/>
              <w:rPr>
                <w:rFonts w:ascii="Calibri" w:hAnsi="Calibri"/>
                <w:sz w:val="22"/>
                <w:szCs w:val="22"/>
              </w:rPr>
            </w:pPr>
            <w:r w:rsidRPr="00B85553">
              <w:rPr>
                <w:rFonts w:ascii="Calibri" w:hAnsi="Calibri"/>
                <w:b/>
                <w:bCs/>
                <w:sz w:val="22"/>
                <w:szCs w:val="22"/>
              </w:rPr>
              <w:t xml:space="preserve">About the ICD-10 Transition on </w:t>
            </w:r>
            <w:r w:rsidRPr="00E236FF">
              <w:rPr>
                <w:rFonts w:ascii="Calibri" w:hAnsi="Calibri"/>
                <w:b/>
                <w:bCs/>
                <w:sz w:val="22"/>
                <w:szCs w:val="22"/>
              </w:rPr>
              <w:t xml:space="preserve">October 1, </w:t>
            </w:r>
            <w:r>
              <w:rPr>
                <w:rFonts w:ascii="Calibri" w:hAnsi="Calibri"/>
                <w:b/>
                <w:bCs/>
                <w:sz w:val="22"/>
                <w:szCs w:val="22"/>
              </w:rPr>
              <w:t>2013</w:t>
            </w:r>
          </w:p>
          <w:p w:rsidR="00312076" w:rsidRDefault="00312076" w:rsidP="00312076">
            <w:pPr>
              <w:pStyle w:val="NormalWeb"/>
              <w:rPr>
                <w:rFonts w:ascii="Calibri" w:hAnsi="Calibri"/>
                <w:sz w:val="22"/>
                <w:szCs w:val="22"/>
              </w:rPr>
            </w:pPr>
            <w:r w:rsidRPr="00B85553">
              <w:rPr>
                <w:rFonts w:ascii="Calibri" w:hAnsi="Calibri"/>
                <w:sz w:val="22"/>
                <w:szCs w:val="22"/>
              </w:rPr>
              <w:t xml:space="preserve">ICD-10 codes must be used on all HIPAA transactions, including outpatient claims with dates of service, and inpatient claims with dates of discharge on and after </w:t>
            </w:r>
            <w:r w:rsidRPr="00E236FF">
              <w:rPr>
                <w:rFonts w:ascii="Calibri" w:hAnsi="Calibri"/>
                <w:sz w:val="22"/>
                <w:szCs w:val="22"/>
              </w:rPr>
              <w:t xml:space="preserve">October 1, </w:t>
            </w:r>
            <w:r>
              <w:rPr>
                <w:rFonts w:ascii="Calibri" w:hAnsi="Calibri"/>
                <w:sz w:val="22"/>
                <w:szCs w:val="22"/>
              </w:rPr>
              <w:t>2013</w:t>
            </w:r>
            <w:r w:rsidRPr="00B85553">
              <w:rPr>
                <w:rFonts w:ascii="Calibri" w:hAnsi="Calibri"/>
                <w:sz w:val="22"/>
                <w:szCs w:val="22"/>
              </w:rPr>
              <w:t xml:space="preserve">. </w:t>
            </w:r>
          </w:p>
          <w:p w:rsidR="00312076" w:rsidRPr="00B85553" w:rsidRDefault="00312076" w:rsidP="00312076">
            <w:pPr>
              <w:pStyle w:val="NormalWeb"/>
              <w:rPr>
                <w:rFonts w:ascii="Calibri" w:hAnsi="Calibri"/>
                <w:sz w:val="22"/>
                <w:szCs w:val="22"/>
              </w:rPr>
            </w:pPr>
            <w:r w:rsidRPr="00B85553">
              <w:rPr>
                <w:rFonts w:ascii="Calibri" w:hAnsi="Calibri"/>
                <w:sz w:val="22"/>
                <w:szCs w:val="22"/>
              </w:rPr>
              <w:t xml:space="preserve">Otherwise, </w:t>
            </w:r>
            <w:r>
              <w:rPr>
                <w:rFonts w:ascii="Calibri" w:hAnsi="Calibri"/>
                <w:sz w:val="22"/>
                <w:szCs w:val="22"/>
              </w:rPr>
              <w:t>provider</w:t>
            </w:r>
            <w:r w:rsidRPr="00B85553">
              <w:rPr>
                <w:rFonts w:ascii="Calibri" w:hAnsi="Calibri"/>
                <w:sz w:val="22"/>
                <w:szCs w:val="22"/>
              </w:rPr>
              <w:t xml:space="preserve"> claims and other transactions may be rejected, and </w:t>
            </w:r>
            <w:r>
              <w:rPr>
                <w:rFonts w:ascii="Calibri" w:hAnsi="Calibri"/>
                <w:sz w:val="22"/>
                <w:szCs w:val="22"/>
              </w:rPr>
              <w:t>providers</w:t>
            </w:r>
            <w:r w:rsidRPr="00B85553">
              <w:rPr>
                <w:rFonts w:ascii="Calibri" w:hAnsi="Calibri"/>
                <w:sz w:val="22"/>
                <w:szCs w:val="22"/>
              </w:rPr>
              <w:t xml:space="preserve"> will need to resubmit them with the ICD-10 codes. This could result in delays and may impact reimbursements, so it is important to prepare </w:t>
            </w:r>
            <w:r>
              <w:rPr>
                <w:rFonts w:ascii="Calibri" w:hAnsi="Calibri"/>
                <w:sz w:val="22"/>
                <w:szCs w:val="22"/>
              </w:rPr>
              <w:t xml:space="preserve">now </w:t>
            </w:r>
            <w:r w:rsidRPr="00B85553">
              <w:rPr>
                <w:rFonts w:ascii="Calibri" w:hAnsi="Calibri"/>
                <w:sz w:val="22"/>
                <w:szCs w:val="22"/>
              </w:rPr>
              <w:t>for the changeover to ICD-10 codes.</w:t>
            </w:r>
          </w:p>
          <w:p w:rsidR="00312076" w:rsidRPr="00B85553" w:rsidRDefault="00312076" w:rsidP="00312076">
            <w:pPr>
              <w:pStyle w:val="NormalWeb"/>
              <w:rPr>
                <w:rFonts w:ascii="Calibri" w:hAnsi="Calibri"/>
                <w:sz w:val="22"/>
                <w:szCs w:val="22"/>
              </w:rPr>
            </w:pPr>
            <w:r w:rsidRPr="00B85553">
              <w:rPr>
                <w:rFonts w:ascii="Calibri" w:hAnsi="Calibri"/>
                <w:sz w:val="22"/>
                <w:szCs w:val="22"/>
              </w:rPr>
              <w:t xml:space="preserve">This change </w:t>
            </w:r>
            <w:r w:rsidRPr="00094CCB">
              <w:rPr>
                <w:rFonts w:ascii="Calibri" w:hAnsi="Calibri"/>
                <w:b/>
                <w:sz w:val="22"/>
                <w:szCs w:val="22"/>
              </w:rPr>
              <w:t xml:space="preserve">does not affect </w:t>
            </w:r>
            <w:smartTag w:uri="urn:schemas-microsoft-com:office:smarttags" w:element="stockticker">
              <w:r w:rsidRPr="00094CCB">
                <w:rPr>
                  <w:rFonts w:ascii="Calibri" w:hAnsi="Calibri"/>
                  <w:b/>
                  <w:sz w:val="22"/>
                  <w:szCs w:val="22"/>
                </w:rPr>
                <w:t>CPT</w:t>
              </w:r>
            </w:smartTag>
            <w:r w:rsidRPr="00094CCB">
              <w:rPr>
                <w:rFonts w:ascii="Calibri" w:hAnsi="Calibri"/>
                <w:b/>
                <w:sz w:val="22"/>
                <w:szCs w:val="22"/>
              </w:rPr>
              <w:t xml:space="preserve"> coding</w:t>
            </w:r>
            <w:r w:rsidRPr="00B85553">
              <w:rPr>
                <w:rFonts w:ascii="Calibri" w:hAnsi="Calibri"/>
                <w:sz w:val="22"/>
                <w:szCs w:val="22"/>
              </w:rPr>
              <w:t xml:space="preserve"> for outpatient procedures.</w:t>
            </w:r>
          </w:p>
          <w:p w:rsidR="00312076" w:rsidRDefault="00312076" w:rsidP="009C44E6"/>
        </w:tc>
        <w:tc>
          <w:tcPr>
            <w:tcW w:w="3690" w:type="dxa"/>
          </w:tcPr>
          <w:p w:rsidR="00312076" w:rsidRPr="00B85553" w:rsidRDefault="00312076" w:rsidP="00312076">
            <w:pPr>
              <w:pStyle w:val="NormalWeb"/>
              <w:rPr>
                <w:rFonts w:ascii="Calibri" w:hAnsi="Calibri"/>
                <w:sz w:val="22"/>
                <w:szCs w:val="22"/>
              </w:rPr>
            </w:pPr>
            <w:r w:rsidRPr="00B85553">
              <w:rPr>
                <w:rFonts w:ascii="Calibri" w:hAnsi="Calibri"/>
                <w:b/>
                <w:bCs/>
                <w:sz w:val="22"/>
                <w:szCs w:val="22"/>
              </w:rPr>
              <w:t xml:space="preserve">About the ICD-10 Transition on </w:t>
            </w:r>
            <w:r w:rsidRPr="00E236FF">
              <w:rPr>
                <w:rFonts w:ascii="Calibri" w:hAnsi="Calibri"/>
                <w:b/>
                <w:bCs/>
                <w:sz w:val="22"/>
                <w:szCs w:val="22"/>
              </w:rPr>
              <w:t xml:space="preserve">October 1, </w:t>
            </w:r>
            <w:r>
              <w:rPr>
                <w:rFonts w:ascii="Calibri" w:hAnsi="Calibri"/>
                <w:b/>
                <w:bCs/>
                <w:sz w:val="22"/>
                <w:szCs w:val="22"/>
              </w:rPr>
              <w:t>2014</w:t>
            </w:r>
          </w:p>
          <w:p w:rsidR="00312076" w:rsidRDefault="00312076" w:rsidP="00312076">
            <w:pPr>
              <w:pStyle w:val="NormalWeb"/>
              <w:rPr>
                <w:rFonts w:ascii="Calibri" w:hAnsi="Calibri"/>
                <w:sz w:val="22"/>
                <w:szCs w:val="22"/>
              </w:rPr>
            </w:pPr>
            <w:r w:rsidRPr="00B85553">
              <w:rPr>
                <w:rFonts w:ascii="Calibri" w:hAnsi="Calibri"/>
                <w:sz w:val="22"/>
                <w:szCs w:val="22"/>
              </w:rPr>
              <w:t xml:space="preserve">ICD-10 codes must be used on all HIPAA transactions, including outpatient claims with dates of service, and inpatient claims with dates of discharge on and after </w:t>
            </w:r>
            <w:r w:rsidRPr="00E236FF">
              <w:rPr>
                <w:rFonts w:ascii="Calibri" w:hAnsi="Calibri"/>
                <w:sz w:val="22"/>
                <w:szCs w:val="22"/>
              </w:rPr>
              <w:t xml:space="preserve">October 1, </w:t>
            </w:r>
            <w:r>
              <w:rPr>
                <w:rFonts w:ascii="Calibri" w:hAnsi="Calibri"/>
                <w:sz w:val="22"/>
                <w:szCs w:val="22"/>
              </w:rPr>
              <w:t>2014</w:t>
            </w:r>
            <w:r w:rsidRPr="00B85553">
              <w:rPr>
                <w:rFonts w:ascii="Calibri" w:hAnsi="Calibri"/>
                <w:sz w:val="22"/>
                <w:szCs w:val="22"/>
              </w:rPr>
              <w:t xml:space="preserve">. </w:t>
            </w:r>
          </w:p>
          <w:p w:rsidR="00312076" w:rsidRPr="00B85553" w:rsidRDefault="00312076" w:rsidP="00312076">
            <w:pPr>
              <w:pStyle w:val="NormalWeb"/>
              <w:rPr>
                <w:rFonts w:ascii="Calibri" w:hAnsi="Calibri"/>
                <w:sz w:val="22"/>
                <w:szCs w:val="22"/>
              </w:rPr>
            </w:pPr>
            <w:r w:rsidRPr="00B85553">
              <w:rPr>
                <w:rFonts w:ascii="Calibri" w:hAnsi="Calibri"/>
                <w:sz w:val="22"/>
                <w:szCs w:val="22"/>
              </w:rPr>
              <w:t xml:space="preserve">Otherwise, </w:t>
            </w:r>
            <w:r>
              <w:rPr>
                <w:rFonts w:ascii="Calibri" w:hAnsi="Calibri"/>
                <w:sz w:val="22"/>
                <w:szCs w:val="22"/>
              </w:rPr>
              <w:t>provider</w:t>
            </w:r>
            <w:r w:rsidRPr="00B85553">
              <w:rPr>
                <w:rFonts w:ascii="Calibri" w:hAnsi="Calibri"/>
                <w:sz w:val="22"/>
                <w:szCs w:val="22"/>
              </w:rPr>
              <w:t xml:space="preserve"> claims and other transactions may be rejected. This could result in delays and may impact reimbursements, so it is important to prepare </w:t>
            </w:r>
            <w:r>
              <w:rPr>
                <w:rFonts w:ascii="Calibri" w:hAnsi="Calibri"/>
                <w:sz w:val="22"/>
                <w:szCs w:val="22"/>
              </w:rPr>
              <w:t xml:space="preserve">now </w:t>
            </w:r>
            <w:r w:rsidRPr="00B85553">
              <w:rPr>
                <w:rFonts w:ascii="Calibri" w:hAnsi="Calibri"/>
                <w:sz w:val="22"/>
                <w:szCs w:val="22"/>
              </w:rPr>
              <w:t>for the changeover to ICD-10 codes.</w:t>
            </w:r>
          </w:p>
          <w:p w:rsidR="00312076" w:rsidRPr="00B85553" w:rsidRDefault="00312076" w:rsidP="00312076">
            <w:pPr>
              <w:pStyle w:val="NormalWeb"/>
              <w:rPr>
                <w:rFonts w:ascii="Calibri" w:hAnsi="Calibri"/>
                <w:sz w:val="22"/>
                <w:szCs w:val="22"/>
              </w:rPr>
            </w:pPr>
            <w:r w:rsidRPr="00B85553">
              <w:rPr>
                <w:rFonts w:ascii="Calibri" w:hAnsi="Calibri"/>
                <w:sz w:val="22"/>
                <w:szCs w:val="22"/>
              </w:rPr>
              <w:t xml:space="preserve">This change </w:t>
            </w:r>
            <w:r w:rsidRPr="00094CCB">
              <w:rPr>
                <w:rFonts w:ascii="Calibri" w:hAnsi="Calibri"/>
                <w:b/>
                <w:sz w:val="22"/>
                <w:szCs w:val="22"/>
              </w:rPr>
              <w:t xml:space="preserve">does not affect </w:t>
            </w:r>
            <w:smartTag w:uri="urn:schemas-microsoft-com:office:smarttags" w:element="stockticker">
              <w:r w:rsidRPr="00094CCB">
                <w:rPr>
                  <w:rFonts w:ascii="Calibri" w:hAnsi="Calibri"/>
                  <w:b/>
                  <w:sz w:val="22"/>
                  <w:szCs w:val="22"/>
                </w:rPr>
                <w:t>CPT</w:t>
              </w:r>
            </w:smartTag>
            <w:r w:rsidRPr="00094CCB">
              <w:rPr>
                <w:rFonts w:ascii="Calibri" w:hAnsi="Calibri"/>
                <w:b/>
                <w:sz w:val="22"/>
                <w:szCs w:val="22"/>
              </w:rPr>
              <w:t xml:space="preserve"> coding</w:t>
            </w:r>
            <w:r w:rsidRPr="00B85553">
              <w:rPr>
                <w:rFonts w:ascii="Calibri" w:hAnsi="Calibri"/>
                <w:sz w:val="22"/>
                <w:szCs w:val="22"/>
              </w:rPr>
              <w:t xml:space="preserve"> for outpatient procedures.</w:t>
            </w:r>
          </w:p>
          <w:p w:rsidR="00312076" w:rsidRDefault="00312076" w:rsidP="009C44E6"/>
        </w:tc>
        <w:tc>
          <w:tcPr>
            <w:tcW w:w="2790" w:type="dxa"/>
          </w:tcPr>
          <w:p w:rsidR="00312076" w:rsidRDefault="00312076" w:rsidP="009C44E6">
            <w:r>
              <w:t>“October 1, 2013” changed to “October 1, 2014” in heading and in first sentence of explanatory text to reflect publication of final rule changing the ICD-10 compliance deadline from October 1, 2013, to October 1, 2014.</w:t>
            </w:r>
          </w:p>
          <w:p w:rsidR="00312076" w:rsidRDefault="00312076" w:rsidP="009C44E6"/>
          <w:p w:rsidR="00312076" w:rsidRDefault="00312076" w:rsidP="009974C6">
            <w:r>
              <w:t xml:space="preserve">Phrase “and providers will need to resubmit them with the ICD-10 codes” has been deleted because it </w:t>
            </w:r>
            <w:r w:rsidR="009974C6">
              <w:t>implies that</w:t>
            </w:r>
            <w:r>
              <w:t xml:space="preserve"> rejected claims/transactions will be reimbursed if providers use ICD-10 codes</w:t>
            </w:r>
            <w:r w:rsidR="009974C6">
              <w:t>, whereas in fact providers may need to make other adjustments to rejected claims before they are reimbursed.</w:t>
            </w:r>
          </w:p>
        </w:tc>
      </w:tr>
      <w:tr w:rsidR="00506F2A" w:rsidTr="00312076">
        <w:trPr>
          <w:cantSplit/>
        </w:trPr>
        <w:tc>
          <w:tcPr>
            <w:tcW w:w="3528" w:type="dxa"/>
          </w:tcPr>
          <w:p w:rsidR="00506F2A" w:rsidRDefault="00506F2A" w:rsidP="00506F2A">
            <w:r>
              <w:t>Did you know about the October 1, 2013, deadline for the ICD-10 transition?</w:t>
            </w:r>
          </w:p>
        </w:tc>
        <w:tc>
          <w:tcPr>
            <w:tcW w:w="3690" w:type="dxa"/>
          </w:tcPr>
          <w:p w:rsidR="00506F2A" w:rsidRDefault="00506F2A" w:rsidP="00506F2A">
            <w:r>
              <w:t>Did you know about the October 1, 2014, deadline for the ICD-10 transition?</w:t>
            </w:r>
          </w:p>
        </w:tc>
        <w:tc>
          <w:tcPr>
            <w:tcW w:w="2790" w:type="dxa"/>
          </w:tcPr>
          <w:p w:rsidR="00506F2A" w:rsidRDefault="00506F2A" w:rsidP="002B74C3">
            <w:r>
              <w:t>“October 1, 2013” changed to “October 1, 2014” to reflect publication of final rule changing the ICD-10 compliance deadline from October 1, 2013, to October 1, 2014</w:t>
            </w:r>
          </w:p>
        </w:tc>
      </w:tr>
      <w:tr w:rsidR="009C44E6" w:rsidTr="00312076">
        <w:trPr>
          <w:cantSplit/>
        </w:trPr>
        <w:tc>
          <w:tcPr>
            <w:tcW w:w="3528" w:type="dxa"/>
          </w:tcPr>
          <w:p w:rsidR="009C44E6" w:rsidRDefault="009C44E6" w:rsidP="009C44E6">
            <w:r>
              <w:t>Conduct impact analysis (e.g., identify potential changes to work flow)</w:t>
            </w:r>
          </w:p>
          <w:p w:rsidR="009C44E6" w:rsidRDefault="009C44E6" w:rsidP="009C44E6"/>
        </w:tc>
        <w:tc>
          <w:tcPr>
            <w:tcW w:w="3690" w:type="dxa"/>
          </w:tcPr>
          <w:p w:rsidR="009C44E6" w:rsidRDefault="009C44E6" w:rsidP="009C44E6">
            <w:r>
              <w:t xml:space="preserve">Conduct impact analysis (e.g., identify </w:t>
            </w:r>
            <w:r w:rsidRPr="009C44E6">
              <w:rPr>
                <w:highlight w:val="yellow"/>
              </w:rPr>
              <w:t>everywhere you use ICD codes for</w:t>
            </w:r>
            <w:r>
              <w:t xml:space="preserve"> potential changes to work flow)</w:t>
            </w:r>
          </w:p>
        </w:tc>
        <w:tc>
          <w:tcPr>
            <w:tcW w:w="2790" w:type="dxa"/>
          </w:tcPr>
          <w:p w:rsidR="009C44E6" w:rsidRDefault="009C44E6" w:rsidP="009C44E6">
            <w:r>
              <w:t>Added language indicated with highlighting to improve clarity of question and validity of responses</w:t>
            </w:r>
          </w:p>
        </w:tc>
      </w:tr>
      <w:tr w:rsidR="009C44E6" w:rsidTr="00312076">
        <w:trPr>
          <w:cantSplit/>
        </w:trPr>
        <w:tc>
          <w:tcPr>
            <w:tcW w:w="3528" w:type="dxa"/>
          </w:tcPr>
          <w:p w:rsidR="009C44E6" w:rsidRDefault="009C44E6" w:rsidP="009C44E6">
            <w:r>
              <w:t>Begin external testing  (e.g., between providers, payers, clearinghouses)</w:t>
            </w:r>
          </w:p>
          <w:p w:rsidR="009C44E6" w:rsidRDefault="009C44E6" w:rsidP="00E236FF">
            <w:pPr>
              <w:jc w:val="center"/>
            </w:pPr>
          </w:p>
        </w:tc>
        <w:tc>
          <w:tcPr>
            <w:tcW w:w="3690" w:type="dxa"/>
          </w:tcPr>
          <w:p w:rsidR="009C44E6" w:rsidRDefault="009C44E6" w:rsidP="009C44E6">
            <w:r>
              <w:t xml:space="preserve">Begin external testing  (e.g., between providers, payers, </w:t>
            </w:r>
            <w:r w:rsidRPr="009C44E6">
              <w:rPr>
                <w:highlight w:val="yellow"/>
              </w:rPr>
              <w:t>billing services</w:t>
            </w:r>
            <w:r>
              <w:t>, clearinghouses)</w:t>
            </w:r>
          </w:p>
          <w:p w:rsidR="009C44E6" w:rsidRDefault="009C44E6" w:rsidP="00E236FF">
            <w:pPr>
              <w:jc w:val="center"/>
            </w:pPr>
          </w:p>
        </w:tc>
        <w:tc>
          <w:tcPr>
            <w:tcW w:w="2790" w:type="dxa"/>
          </w:tcPr>
          <w:p w:rsidR="009C44E6" w:rsidRDefault="009C44E6" w:rsidP="009C44E6">
            <w:r>
              <w:t>Added language indicated with highlighting to improve clarity of question and validity of responses</w:t>
            </w:r>
          </w:p>
        </w:tc>
      </w:tr>
      <w:tr w:rsidR="009C44E6" w:rsidTr="00312076">
        <w:trPr>
          <w:cantSplit/>
        </w:trPr>
        <w:tc>
          <w:tcPr>
            <w:tcW w:w="3528" w:type="dxa"/>
          </w:tcPr>
          <w:p w:rsidR="009C44E6" w:rsidRDefault="009C44E6" w:rsidP="009C44E6">
            <w:r>
              <w:t>Complete external testing</w:t>
            </w:r>
          </w:p>
        </w:tc>
        <w:tc>
          <w:tcPr>
            <w:tcW w:w="3690" w:type="dxa"/>
          </w:tcPr>
          <w:p w:rsidR="009C44E6" w:rsidRDefault="009C44E6" w:rsidP="009C44E6">
            <w:r>
              <w:t xml:space="preserve">Complete external testing </w:t>
            </w:r>
            <w:r w:rsidRPr="009C44E6">
              <w:rPr>
                <w:highlight w:val="yellow"/>
              </w:rPr>
              <w:t>(i.e., complete testing of processes from beginning to end, including claims and other inbound and outbound transactions)</w:t>
            </w:r>
          </w:p>
          <w:p w:rsidR="009C44E6" w:rsidRDefault="009C44E6" w:rsidP="00E236FF">
            <w:pPr>
              <w:jc w:val="center"/>
            </w:pPr>
          </w:p>
        </w:tc>
        <w:tc>
          <w:tcPr>
            <w:tcW w:w="2790" w:type="dxa"/>
          </w:tcPr>
          <w:p w:rsidR="009C44E6" w:rsidRDefault="009C44E6" w:rsidP="009C44E6">
            <w:r>
              <w:t>Added language indicated with highlighting to improve clarity of question and validity of responses</w:t>
            </w:r>
          </w:p>
        </w:tc>
      </w:tr>
      <w:tr w:rsidR="009C44E6" w:rsidTr="00312076">
        <w:trPr>
          <w:cantSplit/>
        </w:trPr>
        <w:tc>
          <w:tcPr>
            <w:tcW w:w="3528" w:type="dxa"/>
          </w:tcPr>
          <w:p w:rsidR="009C44E6" w:rsidRDefault="00825A53" w:rsidP="00825A53">
            <w:r>
              <w:lastRenderedPageBreak/>
              <w:t>Response options for questions about timing of activities:</w:t>
            </w:r>
          </w:p>
          <w:p w:rsidR="00825A53" w:rsidRDefault="00825A53" w:rsidP="008A01CC">
            <w:pPr>
              <w:pStyle w:val="ListParagraph"/>
              <w:numPr>
                <w:ilvl w:val="0"/>
                <w:numId w:val="14"/>
              </w:numPr>
              <w:ind w:left="360"/>
            </w:pPr>
            <w:r>
              <w:t>Completed before Jan 2013</w:t>
            </w:r>
          </w:p>
          <w:p w:rsidR="00825A53" w:rsidRDefault="00825A53" w:rsidP="008A01CC">
            <w:pPr>
              <w:pStyle w:val="ListParagraph"/>
              <w:numPr>
                <w:ilvl w:val="0"/>
                <w:numId w:val="14"/>
              </w:numPr>
              <w:ind w:left="360"/>
            </w:pPr>
            <w:r>
              <w:t>Jan – Mar 2013</w:t>
            </w:r>
          </w:p>
          <w:p w:rsidR="00825A53" w:rsidRDefault="00825A53" w:rsidP="008A01CC">
            <w:pPr>
              <w:pStyle w:val="ListParagraph"/>
              <w:numPr>
                <w:ilvl w:val="0"/>
                <w:numId w:val="14"/>
              </w:numPr>
              <w:ind w:left="360"/>
            </w:pPr>
            <w:r>
              <w:t>Apr – Jun 2013</w:t>
            </w:r>
          </w:p>
          <w:p w:rsidR="00825A53" w:rsidRDefault="00825A53" w:rsidP="008A01CC">
            <w:pPr>
              <w:pStyle w:val="ListParagraph"/>
              <w:numPr>
                <w:ilvl w:val="0"/>
                <w:numId w:val="14"/>
              </w:numPr>
              <w:ind w:left="360"/>
            </w:pPr>
            <w:r>
              <w:t>Jul – Sept 2013</w:t>
            </w:r>
          </w:p>
          <w:p w:rsidR="00825A53" w:rsidRDefault="00825A53" w:rsidP="008A01CC">
            <w:pPr>
              <w:pStyle w:val="ListParagraph"/>
              <w:numPr>
                <w:ilvl w:val="0"/>
                <w:numId w:val="14"/>
              </w:numPr>
              <w:ind w:left="360"/>
            </w:pPr>
            <w:r>
              <w:t>Oct – Dec 2013</w:t>
            </w:r>
          </w:p>
          <w:p w:rsidR="00825A53" w:rsidRDefault="00825A53" w:rsidP="008A01CC">
            <w:pPr>
              <w:pStyle w:val="ListParagraph"/>
              <w:numPr>
                <w:ilvl w:val="0"/>
                <w:numId w:val="14"/>
              </w:numPr>
              <w:ind w:left="360"/>
            </w:pPr>
            <w:r>
              <w:t>Jan – Mar 2014</w:t>
            </w:r>
          </w:p>
          <w:p w:rsidR="008A01CC" w:rsidRDefault="008A01CC" w:rsidP="008A01CC">
            <w:pPr>
              <w:pStyle w:val="ListParagraph"/>
              <w:numPr>
                <w:ilvl w:val="0"/>
                <w:numId w:val="14"/>
              </w:numPr>
              <w:ind w:left="360"/>
            </w:pPr>
            <w:r>
              <w:t>Apr 2014 or later</w:t>
            </w:r>
          </w:p>
          <w:p w:rsidR="008A01CC" w:rsidRDefault="008A01CC" w:rsidP="008A01CC">
            <w:pPr>
              <w:pStyle w:val="ListParagraph"/>
              <w:numPr>
                <w:ilvl w:val="0"/>
                <w:numId w:val="14"/>
              </w:numPr>
              <w:ind w:left="360"/>
            </w:pPr>
            <w:r>
              <w:t>Not planning for this activity</w:t>
            </w:r>
          </w:p>
          <w:p w:rsidR="008A01CC" w:rsidRDefault="008A01CC" w:rsidP="008A01CC">
            <w:pPr>
              <w:pStyle w:val="ListParagraph"/>
              <w:numPr>
                <w:ilvl w:val="0"/>
                <w:numId w:val="14"/>
              </w:numPr>
              <w:ind w:left="360"/>
            </w:pPr>
            <w:r>
              <w:t>Don’t know</w:t>
            </w:r>
          </w:p>
        </w:tc>
        <w:tc>
          <w:tcPr>
            <w:tcW w:w="3690" w:type="dxa"/>
          </w:tcPr>
          <w:p w:rsidR="008A01CC" w:rsidRDefault="008A01CC" w:rsidP="008A01CC">
            <w:r>
              <w:t>Response options for questions about timing of activities:</w:t>
            </w:r>
          </w:p>
          <w:p w:rsidR="008A01CC" w:rsidRDefault="008A01CC" w:rsidP="008A01CC">
            <w:pPr>
              <w:pStyle w:val="ListParagraph"/>
              <w:numPr>
                <w:ilvl w:val="0"/>
                <w:numId w:val="14"/>
              </w:numPr>
              <w:ind w:left="402"/>
            </w:pPr>
            <w:r>
              <w:t>Completed before Jan 2013</w:t>
            </w:r>
          </w:p>
          <w:p w:rsidR="008A01CC" w:rsidRDefault="008A01CC" w:rsidP="008A01CC">
            <w:pPr>
              <w:pStyle w:val="ListParagraph"/>
              <w:numPr>
                <w:ilvl w:val="0"/>
                <w:numId w:val="14"/>
              </w:numPr>
              <w:ind w:left="402"/>
            </w:pPr>
            <w:r>
              <w:t>Jan – Mar 2013</w:t>
            </w:r>
          </w:p>
          <w:p w:rsidR="008A01CC" w:rsidRDefault="008A01CC" w:rsidP="008A01CC">
            <w:pPr>
              <w:pStyle w:val="ListParagraph"/>
              <w:numPr>
                <w:ilvl w:val="0"/>
                <w:numId w:val="14"/>
              </w:numPr>
              <w:ind w:left="402"/>
            </w:pPr>
            <w:r>
              <w:t>Apr – Jun 2013</w:t>
            </w:r>
          </w:p>
          <w:p w:rsidR="008A01CC" w:rsidRDefault="008A01CC" w:rsidP="008A01CC">
            <w:pPr>
              <w:pStyle w:val="ListParagraph"/>
              <w:numPr>
                <w:ilvl w:val="0"/>
                <w:numId w:val="14"/>
              </w:numPr>
              <w:ind w:left="402"/>
            </w:pPr>
            <w:r>
              <w:t>Jul – Sept 2013</w:t>
            </w:r>
          </w:p>
          <w:p w:rsidR="008A01CC" w:rsidRDefault="008A01CC" w:rsidP="008A01CC">
            <w:pPr>
              <w:pStyle w:val="ListParagraph"/>
              <w:numPr>
                <w:ilvl w:val="0"/>
                <w:numId w:val="14"/>
              </w:numPr>
              <w:ind w:left="402"/>
            </w:pPr>
            <w:r>
              <w:t>Oct – Dec 2013</w:t>
            </w:r>
          </w:p>
          <w:p w:rsidR="008A01CC" w:rsidRDefault="008A01CC" w:rsidP="008A01CC">
            <w:pPr>
              <w:pStyle w:val="ListParagraph"/>
              <w:numPr>
                <w:ilvl w:val="0"/>
                <w:numId w:val="14"/>
              </w:numPr>
              <w:ind w:left="402"/>
            </w:pPr>
            <w:r>
              <w:t>Jan – Mar 2014</w:t>
            </w:r>
          </w:p>
          <w:p w:rsidR="008A01CC" w:rsidRDefault="008A01CC" w:rsidP="008A01CC">
            <w:pPr>
              <w:pStyle w:val="ListParagraph"/>
              <w:numPr>
                <w:ilvl w:val="0"/>
                <w:numId w:val="14"/>
              </w:numPr>
              <w:ind w:left="402"/>
            </w:pPr>
            <w:r>
              <w:t>Apr – Jun 2014</w:t>
            </w:r>
          </w:p>
          <w:p w:rsidR="008A01CC" w:rsidRDefault="008A01CC" w:rsidP="008A01CC">
            <w:pPr>
              <w:pStyle w:val="ListParagraph"/>
              <w:numPr>
                <w:ilvl w:val="0"/>
                <w:numId w:val="14"/>
              </w:numPr>
              <w:ind w:left="402"/>
            </w:pPr>
            <w:r>
              <w:t>Jul – Sept 2014</w:t>
            </w:r>
          </w:p>
          <w:p w:rsidR="008A01CC" w:rsidRDefault="008A01CC" w:rsidP="008A01CC">
            <w:pPr>
              <w:pStyle w:val="ListParagraph"/>
              <w:numPr>
                <w:ilvl w:val="0"/>
                <w:numId w:val="14"/>
              </w:numPr>
              <w:ind w:left="402"/>
            </w:pPr>
            <w:r>
              <w:t>Oct 1, 2014</w:t>
            </w:r>
          </w:p>
          <w:p w:rsidR="008A01CC" w:rsidRDefault="008A01CC" w:rsidP="008A01CC">
            <w:pPr>
              <w:pStyle w:val="ListParagraph"/>
              <w:numPr>
                <w:ilvl w:val="0"/>
                <w:numId w:val="14"/>
              </w:numPr>
              <w:ind w:left="402"/>
            </w:pPr>
            <w:r>
              <w:t>Not planning for this activity</w:t>
            </w:r>
          </w:p>
          <w:p w:rsidR="009C44E6" w:rsidRDefault="008A01CC" w:rsidP="008A01CC">
            <w:pPr>
              <w:pStyle w:val="ListParagraph"/>
              <w:numPr>
                <w:ilvl w:val="0"/>
                <w:numId w:val="14"/>
              </w:numPr>
              <w:ind w:left="402"/>
            </w:pPr>
            <w:r>
              <w:t>Don’t know</w:t>
            </w:r>
          </w:p>
        </w:tc>
        <w:tc>
          <w:tcPr>
            <w:tcW w:w="2790" w:type="dxa"/>
          </w:tcPr>
          <w:p w:rsidR="009C44E6" w:rsidRDefault="008A01CC" w:rsidP="008A01CC">
            <w:r>
              <w:t>Added response options to correspond to new timing effected by publication of final rule changing the ICD-10 compliance deadline from October 1, 2013, to October 1, 2014</w:t>
            </w:r>
          </w:p>
        </w:tc>
      </w:tr>
      <w:tr w:rsidR="00E11BEA" w:rsidTr="00312076">
        <w:trPr>
          <w:cantSplit/>
        </w:trPr>
        <w:tc>
          <w:tcPr>
            <w:tcW w:w="3528" w:type="dxa"/>
          </w:tcPr>
          <w:p w:rsidR="00E11BEA" w:rsidRDefault="00E11BEA" w:rsidP="00E11BEA">
            <w:r>
              <w:t xml:space="preserve">Do you think your </w:t>
            </w:r>
            <w:r w:rsidRPr="00924672">
              <w:t xml:space="preserve">organization will be ICD-10 compliant by the </w:t>
            </w:r>
            <w:r w:rsidRPr="00490143">
              <w:t>October 1, 201</w:t>
            </w:r>
            <w:r>
              <w:t>3</w:t>
            </w:r>
            <w:r w:rsidRPr="00490143">
              <w:t>,</w:t>
            </w:r>
            <w:r>
              <w:t xml:space="preserve"> deadline?</w:t>
            </w:r>
            <w:r w:rsidRPr="00C01122">
              <w:rPr>
                <w:u w:val="single"/>
              </w:rPr>
              <w:t xml:space="preserve"> </w:t>
            </w:r>
          </w:p>
          <w:p w:rsidR="00E11BEA" w:rsidRDefault="00E11BEA" w:rsidP="00E11BEA">
            <w:pPr>
              <w:pStyle w:val="ListParagraph"/>
              <w:numPr>
                <w:ilvl w:val="0"/>
                <w:numId w:val="5"/>
              </w:numPr>
            </w:pPr>
            <w:r>
              <w:t>Yes  [Terminate survey]</w:t>
            </w:r>
          </w:p>
          <w:p w:rsidR="00E11BEA" w:rsidRDefault="00E11BEA" w:rsidP="00E11BEA">
            <w:pPr>
              <w:pStyle w:val="ListParagraph"/>
              <w:numPr>
                <w:ilvl w:val="0"/>
                <w:numId w:val="5"/>
              </w:numPr>
            </w:pPr>
            <w:r>
              <w:t>No</w:t>
            </w:r>
          </w:p>
          <w:p w:rsidR="00E11BEA" w:rsidRDefault="00E11BEA" w:rsidP="00E11BEA">
            <w:pPr>
              <w:pStyle w:val="ListParagraph"/>
              <w:numPr>
                <w:ilvl w:val="0"/>
                <w:numId w:val="10"/>
              </w:numPr>
            </w:pPr>
            <w:r>
              <w:t>When do you think your organization will be ICD-10 compliant? [please specify month and year]</w:t>
            </w:r>
          </w:p>
          <w:p w:rsidR="00E11BEA" w:rsidRDefault="00E11BEA" w:rsidP="00E11BEA">
            <w:pPr>
              <w:pStyle w:val="ListParagraph"/>
              <w:numPr>
                <w:ilvl w:val="0"/>
                <w:numId w:val="5"/>
              </w:numPr>
            </w:pPr>
            <w:r>
              <w:t>Not sure</w:t>
            </w:r>
          </w:p>
          <w:p w:rsidR="00E11BEA" w:rsidRDefault="00E11BEA" w:rsidP="00825A53"/>
        </w:tc>
        <w:tc>
          <w:tcPr>
            <w:tcW w:w="3690" w:type="dxa"/>
          </w:tcPr>
          <w:p w:rsidR="00E11BEA" w:rsidRDefault="00E11BEA" w:rsidP="00E11BEA">
            <w:r>
              <w:t xml:space="preserve">Do you think your </w:t>
            </w:r>
            <w:r w:rsidRPr="00924672">
              <w:t xml:space="preserve">organization will be ICD-10 compliant by the </w:t>
            </w:r>
            <w:r w:rsidRPr="00490143">
              <w:t>October 1, 201</w:t>
            </w:r>
            <w:r>
              <w:t>4</w:t>
            </w:r>
            <w:r w:rsidRPr="00490143">
              <w:t>,</w:t>
            </w:r>
            <w:r>
              <w:t xml:space="preserve"> deadline?</w:t>
            </w:r>
            <w:r w:rsidRPr="00C01122">
              <w:rPr>
                <w:u w:val="single"/>
              </w:rPr>
              <w:t xml:space="preserve"> </w:t>
            </w:r>
          </w:p>
          <w:p w:rsidR="00E11BEA" w:rsidRDefault="00E11BEA" w:rsidP="00E11BEA">
            <w:pPr>
              <w:pStyle w:val="ListParagraph"/>
              <w:numPr>
                <w:ilvl w:val="0"/>
                <w:numId w:val="5"/>
              </w:numPr>
            </w:pPr>
            <w:r>
              <w:t>Yes  [Terminate survey]</w:t>
            </w:r>
          </w:p>
          <w:p w:rsidR="00E11BEA" w:rsidRDefault="00E11BEA" w:rsidP="00E11BEA">
            <w:pPr>
              <w:pStyle w:val="ListParagraph"/>
              <w:numPr>
                <w:ilvl w:val="0"/>
                <w:numId w:val="5"/>
              </w:numPr>
            </w:pPr>
            <w:r>
              <w:t>No</w:t>
            </w:r>
          </w:p>
          <w:p w:rsidR="00E11BEA" w:rsidRDefault="00E11BEA" w:rsidP="00E11BEA">
            <w:pPr>
              <w:pStyle w:val="ListParagraph"/>
              <w:numPr>
                <w:ilvl w:val="0"/>
                <w:numId w:val="5"/>
              </w:numPr>
            </w:pPr>
            <w:r>
              <w:t>Not sure</w:t>
            </w:r>
          </w:p>
          <w:p w:rsidR="00E11BEA" w:rsidRDefault="00E11BEA" w:rsidP="00825A53"/>
        </w:tc>
        <w:tc>
          <w:tcPr>
            <w:tcW w:w="2790" w:type="dxa"/>
          </w:tcPr>
          <w:p w:rsidR="00506F2A" w:rsidRDefault="00506F2A" w:rsidP="00825A53">
            <w:r>
              <w:t>“October 1, 2013” changed to “October 1, 2014” to reflect publication of final rule changing the ICD-10 compliance deadline from October 1, 2013, to October 1, 2014</w:t>
            </w:r>
          </w:p>
          <w:p w:rsidR="00506F2A" w:rsidRDefault="00506F2A" w:rsidP="00825A53"/>
          <w:p w:rsidR="00E11BEA" w:rsidRDefault="00D00048" w:rsidP="00825A53">
            <w:r>
              <w:t>Question asking when respondents who will not be compliant by the deadline expect to be compliant has been deleted to avoid creating any potential misperceptions among respondents that HHS will extend the compliance deadline set forth in the final rule published September 5, 2012.</w:t>
            </w:r>
          </w:p>
        </w:tc>
      </w:tr>
      <w:tr w:rsidR="00506F2A" w:rsidTr="00312076">
        <w:trPr>
          <w:cantSplit/>
        </w:trPr>
        <w:tc>
          <w:tcPr>
            <w:tcW w:w="3528" w:type="dxa"/>
          </w:tcPr>
          <w:p w:rsidR="00506F2A" w:rsidRDefault="00506F2A" w:rsidP="00E11BEA">
            <w:r>
              <w:t xml:space="preserve">What are the obstacles and challenges to reaching compliance by </w:t>
            </w:r>
            <w:r w:rsidRPr="00490143">
              <w:t>October 1, 201</w:t>
            </w:r>
            <w:r>
              <w:t>3</w:t>
            </w:r>
            <w:r w:rsidRPr="007A2957">
              <w:t>?</w:t>
            </w:r>
          </w:p>
        </w:tc>
        <w:tc>
          <w:tcPr>
            <w:tcW w:w="3690" w:type="dxa"/>
          </w:tcPr>
          <w:p w:rsidR="00506F2A" w:rsidRDefault="00506F2A" w:rsidP="00E11BEA">
            <w:r>
              <w:t xml:space="preserve">What are the obstacles and challenges to reaching compliance by </w:t>
            </w:r>
            <w:r w:rsidRPr="00490143">
              <w:t>October 1, 201</w:t>
            </w:r>
            <w:r>
              <w:t>4</w:t>
            </w:r>
            <w:r w:rsidRPr="007A2957">
              <w:t>?</w:t>
            </w:r>
          </w:p>
        </w:tc>
        <w:tc>
          <w:tcPr>
            <w:tcW w:w="2790" w:type="dxa"/>
          </w:tcPr>
          <w:p w:rsidR="00506F2A" w:rsidRDefault="00506F2A" w:rsidP="00506F2A">
            <w:r>
              <w:t>“October 1, 2013” changed to “October 1, 2014” to reflect publication of final rule changing the ICD-10 compliance deadline from October 1, 2013, to October 1, 2014</w:t>
            </w:r>
          </w:p>
        </w:tc>
      </w:tr>
    </w:tbl>
    <w:p w:rsidR="008A01CC" w:rsidRDefault="008A01CC" w:rsidP="00E236FF">
      <w:pPr>
        <w:spacing w:after="0" w:line="240" w:lineRule="auto"/>
        <w:jc w:val="center"/>
      </w:pPr>
    </w:p>
    <w:p w:rsidR="008A01CC" w:rsidRPr="002B74C3" w:rsidRDefault="008A01CC" w:rsidP="002B74C3">
      <w:pPr>
        <w:jc w:val="center"/>
      </w:pPr>
      <w:r>
        <w:br w:type="page"/>
      </w:r>
      <w:r w:rsidRPr="009C44E6">
        <w:rPr>
          <w:b/>
        </w:rPr>
        <w:lastRenderedPageBreak/>
        <w:t xml:space="preserve">Readiness Assessment to be fielded </w:t>
      </w:r>
      <w:r w:rsidRPr="008A01CC">
        <w:rPr>
          <w:b/>
          <w:u w:val="single"/>
        </w:rPr>
        <w:t>after</w:t>
      </w:r>
      <w:r w:rsidRPr="009C44E6">
        <w:rPr>
          <w:b/>
        </w:rPr>
        <w:t xml:space="preserve"> October 1, 2014, c</w:t>
      </w:r>
      <w:r>
        <w:rPr>
          <w:b/>
        </w:rPr>
        <w:t>ompliance deadline (Appendix D-2</w:t>
      </w:r>
      <w:r w:rsidRPr="009C44E6">
        <w:rPr>
          <w:b/>
        </w:rPr>
        <w:t>)</w:t>
      </w:r>
    </w:p>
    <w:tbl>
      <w:tblPr>
        <w:tblStyle w:val="TableGrid"/>
        <w:tblW w:w="0" w:type="auto"/>
        <w:tblLook w:val="04A0" w:firstRow="1" w:lastRow="0" w:firstColumn="1" w:lastColumn="0" w:noHBand="0" w:noVBand="1"/>
      </w:tblPr>
      <w:tblGrid>
        <w:gridCol w:w="3288"/>
        <w:gridCol w:w="3288"/>
        <w:gridCol w:w="3288"/>
      </w:tblGrid>
      <w:tr w:rsidR="008A01CC" w:rsidTr="005C3433">
        <w:trPr>
          <w:cantSplit/>
          <w:tblHeader/>
        </w:trPr>
        <w:tc>
          <w:tcPr>
            <w:tcW w:w="3288" w:type="dxa"/>
          </w:tcPr>
          <w:p w:rsidR="008A01CC" w:rsidRPr="009C44E6" w:rsidRDefault="008A01CC" w:rsidP="008A01CC">
            <w:pPr>
              <w:jc w:val="center"/>
              <w:rPr>
                <w:b/>
              </w:rPr>
            </w:pPr>
            <w:r w:rsidRPr="009C44E6">
              <w:rPr>
                <w:b/>
              </w:rPr>
              <w:t xml:space="preserve">Original </w:t>
            </w:r>
            <w:r w:rsidR="00CB360C">
              <w:rPr>
                <w:b/>
              </w:rPr>
              <w:t>Text/</w:t>
            </w:r>
            <w:r w:rsidRPr="009C44E6">
              <w:rPr>
                <w:b/>
              </w:rPr>
              <w:t>Question</w:t>
            </w:r>
          </w:p>
        </w:tc>
        <w:tc>
          <w:tcPr>
            <w:tcW w:w="3288" w:type="dxa"/>
          </w:tcPr>
          <w:p w:rsidR="008A01CC" w:rsidRPr="009C44E6" w:rsidRDefault="008A01CC" w:rsidP="008A01CC">
            <w:pPr>
              <w:jc w:val="center"/>
              <w:rPr>
                <w:b/>
              </w:rPr>
            </w:pPr>
            <w:r w:rsidRPr="009C44E6">
              <w:rPr>
                <w:b/>
              </w:rPr>
              <w:t xml:space="preserve">Revised </w:t>
            </w:r>
            <w:r w:rsidR="00CB360C">
              <w:rPr>
                <w:b/>
              </w:rPr>
              <w:t>Text/</w:t>
            </w:r>
            <w:r w:rsidRPr="009C44E6">
              <w:rPr>
                <w:b/>
              </w:rPr>
              <w:t>Question</w:t>
            </w:r>
          </w:p>
        </w:tc>
        <w:tc>
          <w:tcPr>
            <w:tcW w:w="3288" w:type="dxa"/>
          </w:tcPr>
          <w:p w:rsidR="008A01CC" w:rsidRPr="009C44E6" w:rsidRDefault="008A01CC" w:rsidP="008A01CC">
            <w:pPr>
              <w:jc w:val="center"/>
              <w:rPr>
                <w:b/>
              </w:rPr>
            </w:pPr>
            <w:r w:rsidRPr="009C44E6">
              <w:rPr>
                <w:b/>
              </w:rPr>
              <w:t>Rationale</w:t>
            </w:r>
          </w:p>
        </w:tc>
      </w:tr>
      <w:tr w:rsidR="00CB360C" w:rsidTr="005C3433">
        <w:trPr>
          <w:cantSplit/>
        </w:trPr>
        <w:tc>
          <w:tcPr>
            <w:tcW w:w="3288" w:type="dxa"/>
          </w:tcPr>
          <w:p w:rsidR="00CB360C" w:rsidRPr="00B85553" w:rsidRDefault="00CB360C" w:rsidP="00CB360C">
            <w:pPr>
              <w:pStyle w:val="NormalWeb"/>
              <w:rPr>
                <w:rFonts w:ascii="Calibri" w:hAnsi="Calibri"/>
                <w:sz w:val="22"/>
                <w:szCs w:val="22"/>
              </w:rPr>
            </w:pPr>
            <w:r w:rsidRPr="00B85553">
              <w:rPr>
                <w:rFonts w:ascii="Calibri" w:hAnsi="Calibri"/>
                <w:b/>
                <w:bCs/>
                <w:sz w:val="22"/>
                <w:szCs w:val="22"/>
              </w:rPr>
              <w:t xml:space="preserve">About the ICD-10 Transition on </w:t>
            </w:r>
            <w:r w:rsidRPr="00E236FF">
              <w:rPr>
                <w:rFonts w:ascii="Calibri" w:hAnsi="Calibri"/>
                <w:b/>
                <w:bCs/>
                <w:sz w:val="22"/>
                <w:szCs w:val="22"/>
              </w:rPr>
              <w:t>October 1, 201</w:t>
            </w:r>
            <w:r>
              <w:rPr>
                <w:rFonts w:ascii="Calibri" w:hAnsi="Calibri"/>
                <w:b/>
                <w:bCs/>
                <w:sz w:val="22"/>
                <w:szCs w:val="22"/>
              </w:rPr>
              <w:t>3</w:t>
            </w:r>
          </w:p>
          <w:p w:rsidR="00CB360C" w:rsidRDefault="00CB360C" w:rsidP="00CB360C">
            <w:pPr>
              <w:pStyle w:val="NormalWeb"/>
              <w:rPr>
                <w:rFonts w:ascii="Calibri" w:hAnsi="Calibri"/>
                <w:sz w:val="22"/>
                <w:szCs w:val="22"/>
              </w:rPr>
            </w:pPr>
            <w:r w:rsidRPr="00B85553">
              <w:rPr>
                <w:rFonts w:ascii="Calibri" w:hAnsi="Calibri"/>
                <w:sz w:val="22"/>
                <w:szCs w:val="22"/>
              </w:rPr>
              <w:t xml:space="preserve">ICD-10 codes must be used on all HIPAA transactions, including outpatient claims with dates of service and inpatient claims with dates of discharge on and after </w:t>
            </w:r>
            <w:r w:rsidRPr="00E236FF">
              <w:rPr>
                <w:rFonts w:ascii="Calibri" w:hAnsi="Calibri"/>
                <w:sz w:val="22"/>
                <w:szCs w:val="22"/>
              </w:rPr>
              <w:t>October 1, 201</w:t>
            </w:r>
            <w:r>
              <w:rPr>
                <w:rFonts w:ascii="Calibri" w:hAnsi="Calibri"/>
                <w:sz w:val="22"/>
                <w:szCs w:val="22"/>
              </w:rPr>
              <w:t>3</w:t>
            </w:r>
            <w:r w:rsidRPr="00B85553">
              <w:rPr>
                <w:rFonts w:ascii="Calibri" w:hAnsi="Calibri"/>
                <w:sz w:val="22"/>
                <w:szCs w:val="22"/>
              </w:rPr>
              <w:t xml:space="preserve">. </w:t>
            </w:r>
          </w:p>
          <w:p w:rsidR="00CB360C" w:rsidRPr="00B85553" w:rsidRDefault="00CB360C" w:rsidP="00CB360C">
            <w:pPr>
              <w:pStyle w:val="NormalWeb"/>
              <w:rPr>
                <w:rFonts w:ascii="Calibri" w:hAnsi="Calibri"/>
                <w:sz w:val="22"/>
                <w:szCs w:val="22"/>
              </w:rPr>
            </w:pPr>
            <w:r w:rsidRPr="00B85553">
              <w:rPr>
                <w:rFonts w:ascii="Calibri" w:hAnsi="Calibri"/>
                <w:sz w:val="22"/>
                <w:szCs w:val="22"/>
              </w:rPr>
              <w:t xml:space="preserve">Otherwise, </w:t>
            </w:r>
            <w:r>
              <w:rPr>
                <w:rFonts w:ascii="Calibri" w:hAnsi="Calibri"/>
                <w:sz w:val="22"/>
                <w:szCs w:val="22"/>
              </w:rPr>
              <w:t>provider</w:t>
            </w:r>
            <w:r w:rsidRPr="00B85553">
              <w:rPr>
                <w:rFonts w:ascii="Calibri" w:hAnsi="Calibri"/>
                <w:sz w:val="22"/>
                <w:szCs w:val="22"/>
              </w:rPr>
              <w:t xml:space="preserve"> claims and other transactions may be rejected, and </w:t>
            </w:r>
            <w:r>
              <w:rPr>
                <w:rFonts w:ascii="Calibri" w:hAnsi="Calibri"/>
                <w:sz w:val="22"/>
                <w:szCs w:val="22"/>
              </w:rPr>
              <w:t>providers</w:t>
            </w:r>
            <w:r w:rsidRPr="00B85553">
              <w:rPr>
                <w:rFonts w:ascii="Calibri" w:hAnsi="Calibri"/>
                <w:sz w:val="22"/>
                <w:szCs w:val="22"/>
              </w:rPr>
              <w:t xml:space="preserve"> will need to resubmit them with the ICD-10 codes. This could result in delays and may impact reimbursements, so it is important to prepare </w:t>
            </w:r>
            <w:r>
              <w:rPr>
                <w:rFonts w:ascii="Calibri" w:hAnsi="Calibri"/>
                <w:sz w:val="22"/>
                <w:szCs w:val="22"/>
              </w:rPr>
              <w:t xml:space="preserve">now </w:t>
            </w:r>
            <w:r w:rsidRPr="00B85553">
              <w:rPr>
                <w:rFonts w:ascii="Calibri" w:hAnsi="Calibri"/>
                <w:sz w:val="22"/>
                <w:szCs w:val="22"/>
              </w:rPr>
              <w:t>for the changeover to ICD-10 codes.</w:t>
            </w:r>
          </w:p>
          <w:p w:rsidR="00CB360C" w:rsidRPr="00B85553" w:rsidRDefault="00CB360C" w:rsidP="00CB360C">
            <w:pPr>
              <w:pStyle w:val="NormalWeb"/>
              <w:rPr>
                <w:rFonts w:ascii="Calibri" w:hAnsi="Calibri"/>
                <w:sz w:val="22"/>
                <w:szCs w:val="22"/>
              </w:rPr>
            </w:pPr>
            <w:r w:rsidRPr="00B85553">
              <w:rPr>
                <w:rFonts w:ascii="Calibri" w:hAnsi="Calibri"/>
                <w:sz w:val="22"/>
                <w:szCs w:val="22"/>
              </w:rPr>
              <w:t xml:space="preserve">This change </w:t>
            </w:r>
            <w:r w:rsidRPr="00094CCB">
              <w:rPr>
                <w:rFonts w:ascii="Calibri" w:hAnsi="Calibri"/>
                <w:b/>
                <w:sz w:val="22"/>
                <w:szCs w:val="22"/>
              </w:rPr>
              <w:t xml:space="preserve">does not affect </w:t>
            </w:r>
            <w:smartTag w:uri="urn:schemas-microsoft-com:office:smarttags" w:element="stockticker">
              <w:r w:rsidRPr="00094CCB">
                <w:rPr>
                  <w:rFonts w:ascii="Calibri" w:hAnsi="Calibri"/>
                  <w:b/>
                  <w:sz w:val="22"/>
                  <w:szCs w:val="22"/>
                </w:rPr>
                <w:t>CPT</w:t>
              </w:r>
            </w:smartTag>
            <w:r w:rsidRPr="00094CCB">
              <w:rPr>
                <w:rFonts w:ascii="Calibri" w:hAnsi="Calibri"/>
                <w:b/>
                <w:sz w:val="22"/>
                <w:szCs w:val="22"/>
              </w:rPr>
              <w:t xml:space="preserve"> coding</w:t>
            </w:r>
            <w:r w:rsidRPr="00B85553">
              <w:rPr>
                <w:rFonts w:ascii="Calibri" w:hAnsi="Calibri"/>
                <w:sz w:val="22"/>
                <w:szCs w:val="22"/>
              </w:rPr>
              <w:t xml:space="preserve"> for outpatient procedures.</w:t>
            </w:r>
          </w:p>
          <w:p w:rsidR="00CB360C" w:rsidRPr="00CB360C" w:rsidRDefault="00CB360C" w:rsidP="00CB360C">
            <w:pPr>
              <w:pStyle w:val="NormalWeb"/>
              <w:rPr>
                <w:rFonts w:ascii="Calibri" w:hAnsi="Calibri"/>
                <w:sz w:val="22"/>
                <w:szCs w:val="22"/>
              </w:rPr>
            </w:pPr>
          </w:p>
        </w:tc>
        <w:tc>
          <w:tcPr>
            <w:tcW w:w="3288" w:type="dxa"/>
          </w:tcPr>
          <w:p w:rsidR="00CB360C" w:rsidRPr="00B85553" w:rsidRDefault="00CB360C" w:rsidP="00CB360C">
            <w:pPr>
              <w:pStyle w:val="NormalWeb"/>
              <w:rPr>
                <w:rFonts w:ascii="Calibri" w:hAnsi="Calibri"/>
                <w:sz w:val="22"/>
                <w:szCs w:val="22"/>
              </w:rPr>
            </w:pPr>
            <w:r w:rsidRPr="00B85553">
              <w:rPr>
                <w:rFonts w:ascii="Calibri" w:hAnsi="Calibri"/>
                <w:b/>
                <w:bCs/>
                <w:sz w:val="22"/>
                <w:szCs w:val="22"/>
              </w:rPr>
              <w:t xml:space="preserve">About the ICD-10 Transition on </w:t>
            </w:r>
            <w:r w:rsidRPr="00E236FF">
              <w:rPr>
                <w:rFonts w:ascii="Calibri" w:hAnsi="Calibri"/>
                <w:b/>
                <w:bCs/>
                <w:sz w:val="22"/>
                <w:szCs w:val="22"/>
              </w:rPr>
              <w:t>October 1, 201</w:t>
            </w:r>
            <w:r>
              <w:rPr>
                <w:rFonts w:ascii="Calibri" w:hAnsi="Calibri"/>
                <w:b/>
                <w:bCs/>
                <w:sz w:val="22"/>
                <w:szCs w:val="22"/>
              </w:rPr>
              <w:t>4</w:t>
            </w:r>
          </w:p>
          <w:p w:rsidR="00CB360C" w:rsidRDefault="00CB360C" w:rsidP="00CB360C">
            <w:pPr>
              <w:pStyle w:val="NormalWeb"/>
              <w:rPr>
                <w:rFonts w:ascii="Calibri" w:hAnsi="Calibri"/>
                <w:sz w:val="22"/>
                <w:szCs w:val="22"/>
              </w:rPr>
            </w:pPr>
            <w:r w:rsidRPr="00B85553">
              <w:rPr>
                <w:rFonts w:ascii="Calibri" w:hAnsi="Calibri"/>
                <w:sz w:val="22"/>
                <w:szCs w:val="22"/>
              </w:rPr>
              <w:t xml:space="preserve">ICD-10 codes must be used on all HIPAA transactions, including outpatient claims with dates of service and inpatient claims with dates of discharge on and after </w:t>
            </w:r>
            <w:r w:rsidRPr="00E236FF">
              <w:rPr>
                <w:rFonts w:ascii="Calibri" w:hAnsi="Calibri"/>
                <w:sz w:val="22"/>
                <w:szCs w:val="22"/>
              </w:rPr>
              <w:t>October 1, 201</w:t>
            </w:r>
            <w:r>
              <w:rPr>
                <w:rFonts w:ascii="Calibri" w:hAnsi="Calibri"/>
                <w:sz w:val="22"/>
                <w:szCs w:val="22"/>
              </w:rPr>
              <w:t>4</w:t>
            </w:r>
            <w:r w:rsidRPr="00B85553">
              <w:rPr>
                <w:rFonts w:ascii="Calibri" w:hAnsi="Calibri"/>
                <w:sz w:val="22"/>
                <w:szCs w:val="22"/>
              </w:rPr>
              <w:t xml:space="preserve">. </w:t>
            </w:r>
          </w:p>
          <w:p w:rsidR="00CB360C" w:rsidRPr="00B85553" w:rsidRDefault="00CB360C" w:rsidP="00CB360C">
            <w:pPr>
              <w:pStyle w:val="NormalWeb"/>
              <w:rPr>
                <w:rFonts w:ascii="Calibri" w:hAnsi="Calibri"/>
                <w:sz w:val="22"/>
                <w:szCs w:val="22"/>
              </w:rPr>
            </w:pPr>
            <w:r w:rsidRPr="00B85553">
              <w:rPr>
                <w:rFonts w:ascii="Calibri" w:hAnsi="Calibri"/>
                <w:sz w:val="22"/>
                <w:szCs w:val="22"/>
              </w:rPr>
              <w:t xml:space="preserve">This change </w:t>
            </w:r>
            <w:r w:rsidRPr="00094CCB">
              <w:rPr>
                <w:rFonts w:ascii="Calibri" w:hAnsi="Calibri"/>
                <w:b/>
                <w:sz w:val="22"/>
                <w:szCs w:val="22"/>
              </w:rPr>
              <w:t xml:space="preserve">does not affect </w:t>
            </w:r>
            <w:smartTag w:uri="urn:schemas-microsoft-com:office:smarttags" w:element="stockticker">
              <w:r w:rsidRPr="00094CCB">
                <w:rPr>
                  <w:rFonts w:ascii="Calibri" w:hAnsi="Calibri"/>
                  <w:b/>
                  <w:sz w:val="22"/>
                  <w:szCs w:val="22"/>
                </w:rPr>
                <w:t>CPT</w:t>
              </w:r>
            </w:smartTag>
            <w:r w:rsidRPr="00094CCB">
              <w:rPr>
                <w:rFonts w:ascii="Calibri" w:hAnsi="Calibri"/>
                <w:b/>
                <w:sz w:val="22"/>
                <w:szCs w:val="22"/>
              </w:rPr>
              <w:t xml:space="preserve"> coding</w:t>
            </w:r>
            <w:r w:rsidRPr="00B85553">
              <w:rPr>
                <w:rFonts w:ascii="Calibri" w:hAnsi="Calibri"/>
                <w:sz w:val="22"/>
                <w:szCs w:val="22"/>
              </w:rPr>
              <w:t xml:space="preserve"> for outpatient procedures.</w:t>
            </w:r>
          </w:p>
          <w:p w:rsidR="00CB360C" w:rsidRDefault="00CB360C" w:rsidP="008A01CC"/>
        </w:tc>
        <w:tc>
          <w:tcPr>
            <w:tcW w:w="3288" w:type="dxa"/>
          </w:tcPr>
          <w:p w:rsidR="00CB360C" w:rsidRDefault="00CB360C" w:rsidP="00CB360C">
            <w:r>
              <w:t>“October 1, 2013” changed to “October 1, 2014” in heading and</w:t>
            </w:r>
            <w:r w:rsidR="005C3433">
              <w:t xml:space="preserve"> in first sentence of</w:t>
            </w:r>
            <w:r>
              <w:t xml:space="preserve"> explanatory text to reflect publication of final rule changing the ICD-10 compliance deadline from October 1, 2013, to October 1, 2014</w:t>
            </w:r>
            <w:r w:rsidR="00312076">
              <w:t>.</w:t>
            </w:r>
          </w:p>
          <w:p w:rsidR="00CB360C" w:rsidRDefault="00CB360C" w:rsidP="00CB360C"/>
          <w:p w:rsidR="00CB360C" w:rsidRDefault="00CB360C" w:rsidP="00CB360C">
            <w:r>
              <w:t>Paragraph about importance of preparing for transition deleted because this information will not be relevant for a survey designed to be fielded after the compliance deadline.</w:t>
            </w:r>
          </w:p>
        </w:tc>
      </w:tr>
      <w:tr w:rsidR="002B74C3" w:rsidTr="005C3433">
        <w:trPr>
          <w:cantSplit/>
        </w:trPr>
        <w:tc>
          <w:tcPr>
            <w:tcW w:w="3288" w:type="dxa"/>
          </w:tcPr>
          <w:p w:rsidR="002B74C3" w:rsidRPr="00CD26AD" w:rsidRDefault="002B74C3" w:rsidP="002B74C3">
            <w:r w:rsidRPr="00CD26AD">
              <w:t>Was your organization ICD-10 compliant by the October 1, 201</w:t>
            </w:r>
            <w:r>
              <w:t>3</w:t>
            </w:r>
            <w:r w:rsidRPr="00CD26AD">
              <w:t>, deadline?</w:t>
            </w:r>
            <w:r w:rsidRPr="002618FF">
              <w:rPr>
                <w:u w:val="single"/>
              </w:rPr>
              <w:t xml:space="preserve"> </w:t>
            </w:r>
          </w:p>
          <w:p w:rsidR="002B74C3" w:rsidRDefault="002B74C3" w:rsidP="002B74C3">
            <w:pPr>
              <w:pStyle w:val="ListParagraph"/>
              <w:numPr>
                <w:ilvl w:val="0"/>
                <w:numId w:val="5"/>
              </w:numPr>
            </w:pPr>
            <w:r>
              <w:t>Yes [Terminate survey]</w:t>
            </w:r>
          </w:p>
          <w:p w:rsidR="002B74C3" w:rsidRDefault="002B74C3" w:rsidP="002B74C3">
            <w:pPr>
              <w:pStyle w:val="ListParagraph"/>
              <w:numPr>
                <w:ilvl w:val="0"/>
                <w:numId w:val="5"/>
              </w:numPr>
            </w:pPr>
            <w:r>
              <w:t>No</w:t>
            </w:r>
          </w:p>
          <w:p w:rsidR="002B74C3" w:rsidRDefault="002B74C3" w:rsidP="002B74C3">
            <w:pPr>
              <w:pStyle w:val="ListParagraph"/>
              <w:numPr>
                <w:ilvl w:val="0"/>
                <w:numId w:val="5"/>
              </w:numPr>
            </w:pPr>
            <w:r>
              <w:t>Not sure</w:t>
            </w:r>
          </w:p>
          <w:p w:rsidR="002B74C3" w:rsidRDefault="002B74C3" w:rsidP="008A01CC"/>
        </w:tc>
        <w:tc>
          <w:tcPr>
            <w:tcW w:w="3288" w:type="dxa"/>
          </w:tcPr>
          <w:p w:rsidR="002B74C3" w:rsidRPr="00CD26AD" w:rsidRDefault="002B74C3" w:rsidP="002B74C3">
            <w:r w:rsidRPr="00CD26AD">
              <w:t>Was your organization ICD-10 compliant by the October 1, 201</w:t>
            </w:r>
            <w:r>
              <w:t>4</w:t>
            </w:r>
            <w:r w:rsidRPr="00CD26AD">
              <w:t>, deadline?</w:t>
            </w:r>
            <w:r w:rsidRPr="002618FF">
              <w:rPr>
                <w:u w:val="single"/>
              </w:rPr>
              <w:t xml:space="preserve"> </w:t>
            </w:r>
          </w:p>
          <w:p w:rsidR="002B74C3" w:rsidRDefault="002B74C3" w:rsidP="002B74C3">
            <w:pPr>
              <w:pStyle w:val="ListParagraph"/>
              <w:numPr>
                <w:ilvl w:val="0"/>
                <w:numId w:val="5"/>
              </w:numPr>
            </w:pPr>
            <w:r>
              <w:t>Yes [Terminate survey]</w:t>
            </w:r>
          </w:p>
          <w:p w:rsidR="002B74C3" w:rsidRDefault="002B74C3" w:rsidP="002B74C3">
            <w:pPr>
              <w:pStyle w:val="ListParagraph"/>
              <w:numPr>
                <w:ilvl w:val="0"/>
                <w:numId w:val="5"/>
              </w:numPr>
            </w:pPr>
            <w:r>
              <w:t>No</w:t>
            </w:r>
          </w:p>
          <w:p w:rsidR="002B74C3" w:rsidRDefault="002B74C3" w:rsidP="002B74C3">
            <w:pPr>
              <w:pStyle w:val="ListParagraph"/>
              <w:numPr>
                <w:ilvl w:val="0"/>
                <w:numId w:val="5"/>
              </w:numPr>
            </w:pPr>
            <w:r>
              <w:t>Not sure</w:t>
            </w:r>
          </w:p>
          <w:p w:rsidR="002B74C3" w:rsidRDefault="002B74C3" w:rsidP="008A01CC"/>
        </w:tc>
        <w:tc>
          <w:tcPr>
            <w:tcW w:w="3288" w:type="dxa"/>
          </w:tcPr>
          <w:p w:rsidR="002B74C3" w:rsidRDefault="002B74C3" w:rsidP="008A01CC">
            <w:r>
              <w:t>“October 1, 2013” changed to “October 1, 2014” to reflect publication of final rule changing the ICD-10 compliance deadline from October 1, 2013, to October 1, 2014</w:t>
            </w:r>
            <w:bookmarkStart w:id="0" w:name="_GoBack"/>
            <w:bookmarkEnd w:id="0"/>
          </w:p>
        </w:tc>
      </w:tr>
      <w:tr w:rsidR="008A01CC" w:rsidTr="005C3433">
        <w:trPr>
          <w:cantSplit/>
        </w:trPr>
        <w:tc>
          <w:tcPr>
            <w:tcW w:w="3288" w:type="dxa"/>
          </w:tcPr>
          <w:p w:rsidR="008A01CC" w:rsidRDefault="008A01CC" w:rsidP="008A01CC">
            <w:r>
              <w:t>Conduct impact analysis (e.g., identify potential changes to work flow)</w:t>
            </w:r>
          </w:p>
          <w:p w:rsidR="008A01CC" w:rsidRDefault="008A01CC" w:rsidP="008A01CC"/>
        </w:tc>
        <w:tc>
          <w:tcPr>
            <w:tcW w:w="3288" w:type="dxa"/>
          </w:tcPr>
          <w:p w:rsidR="008A01CC" w:rsidRDefault="008A01CC" w:rsidP="008A01CC">
            <w:r>
              <w:t xml:space="preserve">Conduct impact analysis (e.g., identify </w:t>
            </w:r>
            <w:r w:rsidRPr="009C44E6">
              <w:rPr>
                <w:highlight w:val="yellow"/>
              </w:rPr>
              <w:t>everywhere you use ICD codes for</w:t>
            </w:r>
            <w:r>
              <w:t xml:space="preserve"> potential changes to work flow)</w:t>
            </w:r>
          </w:p>
        </w:tc>
        <w:tc>
          <w:tcPr>
            <w:tcW w:w="3288" w:type="dxa"/>
          </w:tcPr>
          <w:p w:rsidR="008A01CC" w:rsidRDefault="008A01CC" w:rsidP="008A01CC">
            <w:r>
              <w:t>Added language indicated with highlighting to improve clarity of question and validity of responses</w:t>
            </w:r>
          </w:p>
        </w:tc>
      </w:tr>
      <w:tr w:rsidR="008A01CC" w:rsidTr="005C3433">
        <w:trPr>
          <w:cantSplit/>
        </w:trPr>
        <w:tc>
          <w:tcPr>
            <w:tcW w:w="3288" w:type="dxa"/>
          </w:tcPr>
          <w:p w:rsidR="008A01CC" w:rsidRDefault="008A01CC" w:rsidP="008A01CC">
            <w:r>
              <w:t>Begin external testing  (e.g., between providers, payers, clearinghouses)</w:t>
            </w:r>
          </w:p>
          <w:p w:rsidR="008A01CC" w:rsidRDefault="008A01CC" w:rsidP="008A01CC">
            <w:pPr>
              <w:jc w:val="center"/>
            </w:pPr>
          </w:p>
        </w:tc>
        <w:tc>
          <w:tcPr>
            <w:tcW w:w="3288" w:type="dxa"/>
          </w:tcPr>
          <w:p w:rsidR="008A01CC" w:rsidRDefault="008A01CC" w:rsidP="008A01CC">
            <w:r>
              <w:t xml:space="preserve">Begin external testing  (e.g., between providers, payers, </w:t>
            </w:r>
            <w:r w:rsidRPr="009C44E6">
              <w:rPr>
                <w:highlight w:val="yellow"/>
              </w:rPr>
              <w:t>billing services</w:t>
            </w:r>
            <w:r>
              <w:t>, clearinghouses)</w:t>
            </w:r>
          </w:p>
          <w:p w:rsidR="008A01CC" w:rsidRDefault="008A01CC" w:rsidP="008A01CC">
            <w:pPr>
              <w:jc w:val="center"/>
            </w:pPr>
          </w:p>
        </w:tc>
        <w:tc>
          <w:tcPr>
            <w:tcW w:w="3288" w:type="dxa"/>
          </w:tcPr>
          <w:p w:rsidR="008A01CC" w:rsidRDefault="008A01CC" w:rsidP="008A01CC">
            <w:r>
              <w:t>Added language indicated with highlighting to improve clarity of question and validity of responses</w:t>
            </w:r>
          </w:p>
        </w:tc>
      </w:tr>
      <w:tr w:rsidR="008A01CC" w:rsidTr="005C3433">
        <w:trPr>
          <w:cantSplit/>
        </w:trPr>
        <w:tc>
          <w:tcPr>
            <w:tcW w:w="3288" w:type="dxa"/>
          </w:tcPr>
          <w:p w:rsidR="008A01CC" w:rsidRDefault="008A01CC" w:rsidP="008A01CC">
            <w:r>
              <w:t>Complete external testing</w:t>
            </w:r>
          </w:p>
        </w:tc>
        <w:tc>
          <w:tcPr>
            <w:tcW w:w="3288" w:type="dxa"/>
          </w:tcPr>
          <w:p w:rsidR="008A01CC" w:rsidRDefault="008A01CC" w:rsidP="008A01CC">
            <w:r>
              <w:t xml:space="preserve">Complete external testing </w:t>
            </w:r>
            <w:r w:rsidRPr="009C44E6">
              <w:rPr>
                <w:highlight w:val="yellow"/>
              </w:rPr>
              <w:t>(i.e., complete testing of processes from beginning to end, including claims and other inbound and outbound transactions)</w:t>
            </w:r>
          </w:p>
          <w:p w:rsidR="008A01CC" w:rsidRDefault="008A01CC" w:rsidP="008A01CC">
            <w:pPr>
              <w:jc w:val="center"/>
            </w:pPr>
          </w:p>
        </w:tc>
        <w:tc>
          <w:tcPr>
            <w:tcW w:w="3288" w:type="dxa"/>
          </w:tcPr>
          <w:p w:rsidR="008A01CC" w:rsidRDefault="008A01CC" w:rsidP="008A01CC">
            <w:r>
              <w:t>Added language indicated with highlighting to improve clarity of question and validity of responses</w:t>
            </w:r>
          </w:p>
        </w:tc>
      </w:tr>
      <w:tr w:rsidR="008A01CC" w:rsidTr="005C3433">
        <w:trPr>
          <w:cantSplit/>
        </w:trPr>
        <w:tc>
          <w:tcPr>
            <w:tcW w:w="3288" w:type="dxa"/>
          </w:tcPr>
          <w:p w:rsidR="008A01CC" w:rsidRDefault="008A01CC" w:rsidP="008A01CC">
            <w:r>
              <w:lastRenderedPageBreak/>
              <w:t>Response options for questions about timing of activities:</w:t>
            </w:r>
          </w:p>
          <w:p w:rsidR="008A01CC" w:rsidRDefault="008A01CC" w:rsidP="008A01CC">
            <w:pPr>
              <w:pStyle w:val="ListParagraph"/>
              <w:numPr>
                <w:ilvl w:val="0"/>
                <w:numId w:val="14"/>
              </w:numPr>
              <w:ind w:left="360"/>
            </w:pPr>
            <w:r>
              <w:t>Completed before Jan 2013</w:t>
            </w:r>
          </w:p>
          <w:p w:rsidR="008A01CC" w:rsidRDefault="008A01CC" w:rsidP="008A01CC">
            <w:pPr>
              <w:pStyle w:val="ListParagraph"/>
              <w:numPr>
                <w:ilvl w:val="0"/>
                <w:numId w:val="14"/>
              </w:numPr>
              <w:ind w:left="360"/>
            </w:pPr>
            <w:r>
              <w:t>Jan – Mar 2013</w:t>
            </w:r>
          </w:p>
          <w:p w:rsidR="008A01CC" w:rsidRDefault="008A01CC" w:rsidP="008A01CC">
            <w:pPr>
              <w:pStyle w:val="ListParagraph"/>
              <w:numPr>
                <w:ilvl w:val="0"/>
                <w:numId w:val="14"/>
              </w:numPr>
              <w:ind w:left="360"/>
            </w:pPr>
            <w:r>
              <w:t>Apr – Jun 2013</w:t>
            </w:r>
          </w:p>
          <w:p w:rsidR="008A01CC" w:rsidRDefault="008A01CC" w:rsidP="008A01CC">
            <w:pPr>
              <w:pStyle w:val="ListParagraph"/>
              <w:numPr>
                <w:ilvl w:val="0"/>
                <w:numId w:val="14"/>
              </w:numPr>
              <w:ind w:left="360"/>
            </w:pPr>
            <w:r>
              <w:t>Jul – Sept 2013</w:t>
            </w:r>
          </w:p>
          <w:p w:rsidR="008A01CC" w:rsidRDefault="008A01CC" w:rsidP="008A01CC">
            <w:pPr>
              <w:pStyle w:val="ListParagraph"/>
              <w:numPr>
                <w:ilvl w:val="0"/>
                <w:numId w:val="14"/>
              </w:numPr>
              <w:ind w:left="360"/>
            </w:pPr>
            <w:r>
              <w:t>Oct – Dec 2013</w:t>
            </w:r>
          </w:p>
          <w:p w:rsidR="008A01CC" w:rsidRDefault="008A01CC" w:rsidP="008A01CC">
            <w:pPr>
              <w:pStyle w:val="ListParagraph"/>
              <w:numPr>
                <w:ilvl w:val="0"/>
                <w:numId w:val="14"/>
              </w:numPr>
              <w:ind w:left="360"/>
            </w:pPr>
            <w:r>
              <w:t>Jan – Mar 2014</w:t>
            </w:r>
          </w:p>
          <w:p w:rsidR="008A01CC" w:rsidRDefault="008A01CC" w:rsidP="008A01CC">
            <w:pPr>
              <w:pStyle w:val="ListParagraph"/>
              <w:numPr>
                <w:ilvl w:val="0"/>
                <w:numId w:val="14"/>
              </w:numPr>
              <w:ind w:left="360"/>
            </w:pPr>
            <w:r>
              <w:t>Apr 2014 or later</w:t>
            </w:r>
          </w:p>
          <w:p w:rsidR="008A01CC" w:rsidRDefault="008A01CC" w:rsidP="008A01CC">
            <w:pPr>
              <w:pStyle w:val="ListParagraph"/>
              <w:numPr>
                <w:ilvl w:val="0"/>
                <w:numId w:val="14"/>
              </w:numPr>
              <w:ind w:left="360"/>
            </w:pPr>
            <w:r>
              <w:t>Not planning for this activity</w:t>
            </w:r>
          </w:p>
          <w:p w:rsidR="008A01CC" w:rsidRDefault="008A01CC" w:rsidP="008A01CC">
            <w:pPr>
              <w:pStyle w:val="ListParagraph"/>
              <w:numPr>
                <w:ilvl w:val="0"/>
                <w:numId w:val="14"/>
              </w:numPr>
              <w:ind w:left="360"/>
            </w:pPr>
            <w:r>
              <w:t>Don’t know</w:t>
            </w:r>
          </w:p>
        </w:tc>
        <w:tc>
          <w:tcPr>
            <w:tcW w:w="3288" w:type="dxa"/>
          </w:tcPr>
          <w:p w:rsidR="008A01CC" w:rsidRDefault="008A01CC" w:rsidP="008A01CC">
            <w:r>
              <w:t>Response options for questions about timing of activities:</w:t>
            </w:r>
          </w:p>
          <w:p w:rsidR="008A01CC" w:rsidRDefault="008A01CC" w:rsidP="008A01CC">
            <w:pPr>
              <w:pStyle w:val="ListParagraph"/>
              <w:numPr>
                <w:ilvl w:val="0"/>
                <w:numId w:val="14"/>
              </w:numPr>
              <w:ind w:left="402"/>
            </w:pPr>
            <w:r>
              <w:t xml:space="preserve">Completed before </w:t>
            </w:r>
            <w:r w:rsidR="00956DEE">
              <w:t>Nov 2014</w:t>
            </w:r>
          </w:p>
          <w:p w:rsidR="008A01CC" w:rsidRDefault="00956DEE" w:rsidP="008A01CC">
            <w:pPr>
              <w:pStyle w:val="ListParagraph"/>
              <w:numPr>
                <w:ilvl w:val="0"/>
                <w:numId w:val="14"/>
              </w:numPr>
              <w:ind w:left="402"/>
            </w:pPr>
            <w:r>
              <w:t>Nov 2014</w:t>
            </w:r>
          </w:p>
          <w:p w:rsidR="008A01CC" w:rsidRDefault="00956DEE" w:rsidP="008A01CC">
            <w:pPr>
              <w:pStyle w:val="ListParagraph"/>
              <w:numPr>
                <w:ilvl w:val="0"/>
                <w:numId w:val="14"/>
              </w:numPr>
              <w:ind w:left="402"/>
            </w:pPr>
            <w:r>
              <w:t>Dec 2014</w:t>
            </w:r>
          </w:p>
          <w:p w:rsidR="008A01CC" w:rsidRDefault="00956DEE" w:rsidP="008A01CC">
            <w:pPr>
              <w:pStyle w:val="ListParagraph"/>
              <w:numPr>
                <w:ilvl w:val="0"/>
                <w:numId w:val="14"/>
              </w:numPr>
              <w:ind w:left="402"/>
            </w:pPr>
            <w:r>
              <w:t>Jan 2015</w:t>
            </w:r>
          </w:p>
          <w:p w:rsidR="008A01CC" w:rsidRDefault="00956DEE" w:rsidP="008A01CC">
            <w:pPr>
              <w:pStyle w:val="ListParagraph"/>
              <w:numPr>
                <w:ilvl w:val="0"/>
                <w:numId w:val="14"/>
              </w:numPr>
              <w:ind w:left="402"/>
            </w:pPr>
            <w:r>
              <w:t>Feb 2015</w:t>
            </w:r>
          </w:p>
          <w:p w:rsidR="008A01CC" w:rsidRDefault="00956DEE" w:rsidP="008A01CC">
            <w:pPr>
              <w:pStyle w:val="ListParagraph"/>
              <w:numPr>
                <w:ilvl w:val="0"/>
                <w:numId w:val="14"/>
              </w:numPr>
              <w:ind w:left="402"/>
            </w:pPr>
            <w:r>
              <w:t>Mar 2015</w:t>
            </w:r>
          </w:p>
          <w:p w:rsidR="008A01CC" w:rsidRDefault="008A01CC" w:rsidP="008A01CC">
            <w:pPr>
              <w:pStyle w:val="ListParagraph"/>
              <w:numPr>
                <w:ilvl w:val="0"/>
                <w:numId w:val="14"/>
              </w:numPr>
              <w:ind w:left="402"/>
            </w:pPr>
            <w:r>
              <w:t>Apr 2015 or later</w:t>
            </w:r>
          </w:p>
          <w:p w:rsidR="008A01CC" w:rsidRDefault="008A01CC" w:rsidP="008A01CC">
            <w:pPr>
              <w:pStyle w:val="ListParagraph"/>
              <w:numPr>
                <w:ilvl w:val="0"/>
                <w:numId w:val="14"/>
              </w:numPr>
              <w:ind w:left="402"/>
            </w:pPr>
            <w:r>
              <w:t>Not planning for this activity</w:t>
            </w:r>
          </w:p>
          <w:p w:rsidR="008A01CC" w:rsidRDefault="008A01CC" w:rsidP="008A01CC">
            <w:pPr>
              <w:pStyle w:val="ListParagraph"/>
              <w:numPr>
                <w:ilvl w:val="0"/>
                <w:numId w:val="14"/>
              </w:numPr>
              <w:ind w:left="402"/>
            </w:pPr>
            <w:r>
              <w:t>Don’t know</w:t>
            </w:r>
          </w:p>
        </w:tc>
        <w:tc>
          <w:tcPr>
            <w:tcW w:w="3288" w:type="dxa"/>
          </w:tcPr>
          <w:p w:rsidR="008A01CC" w:rsidRDefault="00956DEE" w:rsidP="008A01CC">
            <w:r>
              <w:t>Revised</w:t>
            </w:r>
            <w:r w:rsidR="008A01CC">
              <w:t xml:space="preserve"> response options to correspond to new timing effected by publication of final rule changing the ICD-10 compliance deadline from October 1, 2013, to October 1, 2014</w:t>
            </w:r>
          </w:p>
        </w:tc>
      </w:tr>
    </w:tbl>
    <w:p w:rsidR="00E236FF" w:rsidRDefault="00E236FF" w:rsidP="00E236FF">
      <w:pPr>
        <w:spacing w:after="0" w:line="240" w:lineRule="auto"/>
        <w:jc w:val="center"/>
      </w:pPr>
    </w:p>
    <w:p w:rsidR="00E11BEA" w:rsidRDefault="00E11BEA" w:rsidP="00E236FF">
      <w:pPr>
        <w:spacing w:after="0" w:line="240" w:lineRule="auto"/>
        <w:jc w:val="center"/>
      </w:pPr>
      <w:r>
        <w:t>###</w:t>
      </w:r>
    </w:p>
    <w:sectPr w:rsidR="00E11BEA" w:rsidSect="00C01122">
      <w:headerReference w:type="default" r:id="rId9"/>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4C3" w:rsidRDefault="002B74C3" w:rsidP="00E236FF">
      <w:pPr>
        <w:spacing w:after="0" w:line="240" w:lineRule="auto"/>
      </w:pPr>
      <w:r>
        <w:separator/>
      </w:r>
    </w:p>
  </w:endnote>
  <w:endnote w:type="continuationSeparator" w:id="0">
    <w:p w:rsidR="002B74C3" w:rsidRDefault="002B74C3" w:rsidP="00E2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467009"/>
      <w:docPartObj>
        <w:docPartGallery w:val="Page Numbers (Bottom of Page)"/>
        <w:docPartUnique/>
      </w:docPartObj>
    </w:sdtPr>
    <w:sdtEndPr>
      <w:rPr>
        <w:noProof/>
      </w:rPr>
    </w:sdtEndPr>
    <w:sdtContent>
      <w:p w:rsidR="002B74C3" w:rsidRDefault="002B74C3">
        <w:pPr>
          <w:pStyle w:val="Footer"/>
          <w:jc w:val="right"/>
        </w:pPr>
        <w:r>
          <w:fldChar w:fldCharType="begin"/>
        </w:r>
        <w:r>
          <w:instrText xml:space="preserve"> PAGE   \* MERGEFORMAT </w:instrText>
        </w:r>
        <w:r>
          <w:fldChar w:fldCharType="separate"/>
        </w:r>
        <w:r w:rsidR="00E43E8B">
          <w:rPr>
            <w:noProof/>
          </w:rPr>
          <w:t>4</w:t>
        </w:r>
        <w:r>
          <w:rPr>
            <w:noProof/>
          </w:rPr>
          <w:fldChar w:fldCharType="end"/>
        </w:r>
      </w:p>
    </w:sdtContent>
  </w:sdt>
  <w:p w:rsidR="002B74C3" w:rsidRDefault="002B7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4C3" w:rsidRDefault="002B74C3" w:rsidP="00E236FF">
      <w:pPr>
        <w:spacing w:after="0" w:line="240" w:lineRule="auto"/>
      </w:pPr>
      <w:r>
        <w:separator/>
      </w:r>
    </w:p>
  </w:footnote>
  <w:footnote w:type="continuationSeparator" w:id="0">
    <w:p w:rsidR="002B74C3" w:rsidRDefault="002B74C3" w:rsidP="00E23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4C3" w:rsidRDefault="002B74C3" w:rsidP="00E236FF">
    <w:pPr>
      <w:spacing w:after="0" w:line="240" w:lineRule="auto"/>
    </w:pPr>
    <w:r>
      <w:t>September 26, 2012</w:t>
    </w:r>
  </w:p>
  <w:p w:rsidR="002B74C3" w:rsidRDefault="002B7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FB9"/>
    <w:multiLevelType w:val="hybridMultilevel"/>
    <w:tmpl w:val="8D66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D0FAE"/>
    <w:multiLevelType w:val="hybridMultilevel"/>
    <w:tmpl w:val="52F87EB0"/>
    <w:lvl w:ilvl="0" w:tplc="AB5ED93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841A1E"/>
    <w:multiLevelType w:val="hybridMultilevel"/>
    <w:tmpl w:val="8FBE055E"/>
    <w:lvl w:ilvl="0" w:tplc="802212F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C6464D3"/>
    <w:multiLevelType w:val="hybridMultilevel"/>
    <w:tmpl w:val="F17CABE8"/>
    <w:lvl w:ilvl="0" w:tplc="A11C59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771A8E"/>
    <w:multiLevelType w:val="hybridMultilevel"/>
    <w:tmpl w:val="8FBE055E"/>
    <w:lvl w:ilvl="0" w:tplc="802212F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8705443"/>
    <w:multiLevelType w:val="hybridMultilevel"/>
    <w:tmpl w:val="9C66A0C4"/>
    <w:lvl w:ilvl="0" w:tplc="AB5ED93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1B50FE"/>
    <w:multiLevelType w:val="hybridMultilevel"/>
    <w:tmpl w:val="27D8E3B4"/>
    <w:lvl w:ilvl="0" w:tplc="AB5ED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033331"/>
    <w:multiLevelType w:val="hybridMultilevel"/>
    <w:tmpl w:val="87B4757C"/>
    <w:lvl w:ilvl="0" w:tplc="AB5ED936">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BC360D"/>
    <w:multiLevelType w:val="hybridMultilevel"/>
    <w:tmpl w:val="CEC87AB8"/>
    <w:lvl w:ilvl="0" w:tplc="AB5ED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3F1E35"/>
    <w:multiLevelType w:val="hybridMultilevel"/>
    <w:tmpl w:val="1F4608BC"/>
    <w:lvl w:ilvl="0" w:tplc="AB5ED93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7205A6"/>
    <w:multiLevelType w:val="hybridMultilevel"/>
    <w:tmpl w:val="7582775A"/>
    <w:lvl w:ilvl="0" w:tplc="D4508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071BD3"/>
    <w:multiLevelType w:val="hybridMultilevel"/>
    <w:tmpl w:val="5E72D6F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A7F3A7A"/>
    <w:multiLevelType w:val="hybridMultilevel"/>
    <w:tmpl w:val="B46C07D4"/>
    <w:lvl w:ilvl="0" w:tplc="A11C59C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1"/>
  </w:num>
  <w:num w:numId="4">
    <w:abstractNumId w:val="9"/>
  </w:num>
  <w:num w:numId="5">
    <w:abstractNumId w:val="7"/>
  </w:num>
  <w:num w:numId="6">
    <w:abstractNumId w:val="10"/>
  </w:num>
  <w:num w:numId="7">
    <w:abstractNumId w:val="12"/>
  </w:num>
  <w:num w:numId="8">
    <w:abstractNumId w:val="6"/>
  </w:num>
  <w:num w:numId="9">
    <w:abstractNumId w:val="8"/>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FF"/>
    <w:rsid w:val="00142A0F"/>
    <w:rsid w:val="001647D8"/>
    <w:rsid w:val="001D078C"/>
    <w:rsid w:val="002B5DCB"/>
    <w:rsid w:val="002B74C3"/>
    <w:rsid w:val="002C1263"/>
    <w:rsid w:val="00312076"/>
    <w:rsid w:val="00360FB1"/>
    <w:rsid w:val="003743DB"/>
    <w:rsid w:val="003D4EFD"/>
    <w:rsid w:val="003D69B7"/>
    <w:rsid w:val="00490143"/>
    <w:rsid w:val="00492624"/>
    <w:rsid w:val="00496505"/>
    <w:rsid w:val="00501ACF"/>
    <w:rsid w:val="00506F2A"/>
    <w:rsid w:val="005C3433"/>
    <w:rsid w:val="00666AE7"/>
    <w:rsid w:val="006E0CBC"/>
    <w:rsid w:val="007B3A95"/>
    <w:rsid w:val="00825A53"/>
    <w:rsid w:val="00826CD8"/>
    <w:rsid w:val="008A01CC"/>
    <w:rsid w:val="00956DEE"/>
    <w:rsid w:val="009765BA"/>
    <w:rsid w:val="009974C6"/>
    <w:rsid w:val="009C44E6"/>
    <w:rsid w:val="00AD694F"/>
    <w:rsid w:val="00AF0539"/>
    <w:rsid w:val="00B55AC8"/>
    <w:rsid w:val="00C01122"/>
    <w:rsid w:val="00C02C4B"/>
    <w:rsid w:val="00C30F6F"/>
    <w:rsid w:val="00C65902"/>
    <w:rsid w:val="00CB360C"/>
    <w:rsid w:val="00D00048"/>
    <w:rsid w:val="00E0636C"/>
    <w:rsid w:val="00E11BEA"/>
    <w:rsid w:val="00E236FF"/>
    <w:rsid w:val="00E43E8B"/>
    <w:rsid w:val="00E653AF"/>
    <w:rsid w:val="00EB7C7A"/>
    <w:rsid w:val="00EE1C6D"/>
    <w:rsid w:val="00F02B3D"/>
    <w:rsid w:val="00F5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236FF"/>
    <w:pPr>
      <w:ind w:left="720"/>
      <w:contextualSpacing/>
    </w:pPr>
    <w:rPr>
      <w:rFonts w:eastAsiaTheme="minorEastAsia"/>
    </w:rPr>
  </w:style>
  <w:style w:type="paragraph" w:styleId="NoSpacing">
    <w:name w:val="No Spacing"/>
    <w:uiPriority w:val="1"/>
    <w:qFormat/>
    <w:rsid w:val="00E236FF"/>
    <w:pPr>
      <w:spacing w:after="0" w:line="240" w:lineRule="auto"/>
    </w:pPr>
    <w:rPr>
      <w:rFonts w:ascii="Calibri" w:eastAsia="Calibri" w:hAnsi="Calibri" w:cs="Times New Roman"/>
    </w:rPr>
  </w:style>
  <w:style w:type="paragraph" w:styleId="NormalWeb">
    <w:name w:val="Normal (Web)"/>
    <w:basedOn w:val="Normal"/>
    <w:uiPriority w:val="99"/>
    <w:unhideWhenUsed/>
    <w:rsid w:val="00E236F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6FF"/>
  </w:style>
  <w:style w:type="paragraph" w:styleId="Header">
    <w:name w:val="header"/>
    <w:basedOn w:val="Normal"/>
    <w:link w:val="HeaderChar"/>
    <w:uiPriority w:val="99"/>
    <w:unhideWhenUsed/>
    <w:rsid w:val="00E23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6FF"/>
  </w:style>
  <w:style w:type="paragraph" w:styleId="FootnoteText">
    <w:name w:val="footnote text"/>
    <w:basedOn w:val="Normal"/>
    <w:link w:val="FootnoteTextChar"/>
    <w:uiPriority w:val="99"/>
    <w:semiHidden/>
    <w:unhideWhenUsed/>
    <w:rsid w:val="00E236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6FF"/>
    <w:rPr>
      <w:sz w:val="20"/>
      <w:szCs w:val="20"/>
    </w:rPr>
  </w:style>
  <w:style w:type="character" w:styleId="FootnoteReference">
    <w:name w:val="footnote reference"/>
    <w:basedOn w:val="DefaultParagraphFont"/>
    <w:uiPriority w:val="99"/>
    <w:semiHidden/>
    <w:unhideWhenUsed/>
    <w:rsid w:val="00E236FF"/>
    <w:rPr>
      <w:vertAlign w:val="superscript"/>
    </w:rPr>
  </w:style>
  <w:style w:type="paragraph" w:styleId="BalloonText">
    <w:name w:val="Balloon Text"/>
    <w:basedOn w:val="Normal"/>
    <w:link w:val="BalloonTextChar"/>
    <w:uiPriority w:val="99"/>
    <w:semiHidden/>
    <w:unhideWhenUsed/>
    <w:rsid w:val="007B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A95"/>
    <w:rPr>
      <w:rFonts w:ascii="Tahoma" w:hAnsi="Tahoma" w:cs="Tahoma"/>
      <w:sz w:val="16"/>
      <w:szCs w:val="16"/>
    </w:rPr>
  </w:style>
  <w:style w:type="table" w:styleId="TableGrid">
    <w:name w:val="Table Grid"/>
    <w:basedOn w:val="TableNormal"/>
    <w:uiPriority w:val="59"/>
    <w:rsid w:val="009C4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12076"/>
    <w:rPr>
      <w:sz w:val="16"/>
      <w:szCs w:val="16"/>
    </w:rPr>
  </w:style>
  <w:style w:type="paragraph" w:styleId="CommentText">
    <w:name w:val="annotation text"/>
    <w:basedOn w:val="Normal"/>
    <w:link w:val="CommentTextChar"/>
    <w:uiPriority w:val="99"/>
    <w:semiHidden/>
    <w:unhideWhenUsed/>
    <w:rsid w:val="0031207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12076"/>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236FF"/>
    <w:pPr>
      <w:ind w:left="720"/>
      <w:contextualSpacing/>
    </w:pPr>
    <w:rPr>
      <w:rFonts w:eastAsiaTheme="minorEastAsia"/>
    </w:rPr>
  </w:style>
  <w:style w:type="paragraph" w:styleId="NoSpacing">
    <w:name w:val="No Spacing"/>
    <w:uiPriority w:val="1"/>
    <w:qFormat/>
    <w:rsid w:val="00E236FF"/>
    <w:pPr>
      <w:spacing w:after="0" w:line="240" w:lineRule="auto"/>
    </w:pPr>
    <w:rPr>
      <w:rFonts w:ascii="Calibri" w:eastAsia="Calibri" w:hAnsi="Calibri" w:cs="Times New Roman"/>
    </w:rPr>
  </w:style>
  <w:style w:type="paragraph" w:styleId="NormalWeb">
    <w:name w:val="Normal (Web)"/>
    <w:basedOn w:val="Normal"/>
    <w:uiPriority w:val="99"/>
    <w:unhideWhenUsed/>
    <w:rsid w:val="00E236F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6FF"/>
  </w:style>
  <w:style w:type="paragraph" w:styleId="Header">
    <w:name w:val="header"/>
    <w:basedOn w:val="Normal"/>
    <w:link w:val="HeaderChar"/>
    <w:uiPriority w:val="99"/>
    <w:unhideWhenUsed/>
    <w:rsid w:val="00E23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6FF"/>
  </w:style>
  <w:style w:type="paragraph" w:styleId="FootnoteText">
    <w:name w:val="footnote text"/>
    <w:basedOn w:val="Normal"/>
    <w:link w:val="FootnoteTextChar"/>
    <w:uiPriority w:val="99"/>
    <w:semiHidden/>
    <w:unhideWhenUsed/>
    <w:rsid w:val="00E236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6FF"/>
    <w:rPr>
      <w:sz w:val="20"/>
      <w:szCs w:val="20"/>
    </w:rPr>
  </w:style>
  <w:style w:type="character" w:styleId="FootnoteReference">
    <w:name w:val="footnote reference"/>
    <w:basedOn w:val="DefaultParagraphFont"/>
    <w:uiPriority w:val="99"/>
    <w:semiHidden/>
    <w:unhideWhenUsed/>
    <w:rsid w:val="00E236FF"/>
    <w:rPr>
      <w:vertAlign w:val="superscript"/>
    </w:rPr>
  </w:style>
  <w:style w:type="paragraph" w:styleId="BalloonText">
    <w:name w:val="Balloon Text"/>
    <w:basedOn w:val="Normal"/>
    <w:link w:val="BalloonTextChar"/>
    <w:uiPriority w:val="99"/>
    <w:semiHidden/>
    <w:unhideWhenUsed/>
    <w:rsid w:val="007B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A95"/>
    <w:rPr>
      <w:rFonts w:ascii="Tahoma" w:hAnsi="Tahoma" w:cs="Tahoma"/>
      <w:sz w:val="16"/>
      <w:szCs w:val="16"/>
    </w:rPr>
  </w:style>
  <w:style w:type="table" w:styleId="TableGrid">
    <w:name w:val="Table Grid"/>
    <w:basedOn w:val="TableNormal"/>
    <w:uiPriority w:val="59"/>
    <w:rsid w:val="009C4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12076"/>
    <w:rPr>
      <w:sz w:val="16"/>
      <w:szCs w:val="16"/>
    </w:rPr>
  </w:style>
  <w:style w:type="paragraph" w:styleId="CommentText">
    <w:name w:val="annotation text"/>
    <w:basedOn w:val="Normal"/>
    <w:link w:val="CommentTextChar"/>
    <w:uiPriority w:val="99"/>
    <w:semiHidden/>
    <w:unhideWhenUsed/>
    <w:rsid w:val="0031207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1207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8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5500-BF42-4E32-AA88-B0FD9E22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Ketchum Inc</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Ketchum</dc:creator>
  <cp:keywords/>
  <dc:description/>
  <cp:lastModifiedBy>Suzanne</cp:lastModifiedBy>
  <cp:revision>2</cp:revision>
  <cp:lastPrinted>2012-09-26T15:25:00Z</cp:lastPrinted>
  <dcterms:created xsi:type="dcterms:W3CDTF">2012-09-26T15:27:00Z</dcterms:created>
  <dcterms:modified xsi:type="dcterms:W3CDTF">2012-09-26T15:27:00Z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