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B4" w:rsidRPr="00A97643" w:rsidRDefault="00175E9D" w:rsidP="00044A66">
      <w:pPr>
        <w:tabs>
          <w:tab w:val="left" w:pos="540"/>
        </w:tabs>
        <w:spacing w:line="240" w:lineRule="auto"/>
        <w:ind w:left="540" w:hanging="540"/>
        <w:jc w:val="left"/>
        <w:rPr>
          <w:b/>
        </w:rPr>
      </w:pPr>
      <w:r w:rsidRPr="00A97643">
        <w:rPr>
          <w:b/>
        </w:rPr>
        <w:t>I. SUPP</w:t>
      </w:r>
      <w:r w:rsidR="008C5925" w:rsidRPr="00A97643">
        <w:rPr>
          <w:b/>
        </w:rPr>
        <w:t xml:space="preserve">ORTING STATEMENT FOR PAPERWORK </w:t>
      </w:r>
      <w:r w:rsidRPr="00A97643">
        <w:rPr>
          <w:b/>
        </w:rPr>
        <w:t>REDUCTION ACT SUBMISSIONS</w:t>
      </w:r>
    </w:p>
    <w:p w:rsidR="00033D2A" w:rsidRDefault="00033D2A" w:rsidP="00033D2A">
      <w:pPr>
        <w:spacing w:line="240" w:lineRule="auto"/>
        <w:ind w:firstLine="0"/>
      </w:pPr>
    </w:p>
    <w:p w:rsidR="00033D2A" w:rsidRPr="00033D2A" w:rsidRDefault="00033D2A" w:rsidP="00033D2A">
      <w:pPr>
        <w:spacing w:line="240" w:lineRule="auto"/>
        <w:ind w:firstLine="0"/>
        <w:rPr>
          <w:b/>
          <w:u w:val="single"/>
        </w:rPr>
      </w:pPr>
      <w:r w:rsidRPr="00033D2A">
        <w:rPr>
          <w:b/>
          <w:u w:val="single"/>
        </w:rPr>
        <w:t>Background</w:t>
      </w:r>
    </w:p>
    <w:p w:rsidR="00033D2A" w:rsidRDefault="00033D2A" w:rsidP="00033D2A">
      <w:pPr>
        <w:spacing w:line="240" w:lineRule="auto"/>
        <w:ind w:firstLine="0"/>
      </w:pPr>
    </w:p>
    <w:p w:rsidR="00060D28" w:rsidRDefault="00033D2A" w:rsidP="00060D28">
      <w:pPr>
        <w:spacing w:line="240" w:lineRule="auto"/>
        <w:ind w:firstLine="0"/>
      </w:pPr>
      <w:r w:rsidRPr="00033D2A">
        <w:t xml:space="preserve">The Centers for Medicare </w:t>
      </w:r>
      <w:r w:rsidR="00171A6A">
        <w:t>&amp;</w:t>
      </w:r>
      <w:r w:rsidRPr="00033D2A">
        <w:t xml:space="preserve"> Medicaid Services (CMS) has contracted with L&amp;M Policy</w:t>
      </w:r>
      <w:r>
        <w:t xml:space="preserve"> Research (L&amp;M) and its partner</w:t>
      </w:r>
      <w:r w:rsidRPr="00033D2A">
        <w:t>, Mathematica Policy Research (</w:t>
      </w:r>
      <w:r w:rsidR="0076322A">
        <w:t>Mathematica</w:t>
      </w:r>
      <w:r w:rsidRPr="00033D2A">
        <w:t xml:space="preserve">), to support the Agency in responding to </w:t>
      </w:r>
      <w:r w:rsidR="00060D28">
        <w:t>the provision</w:t>
      </w:r>
      <w:r w:rsidRPr="00033D2A">
        <w:t xml:space="preserve"> of the Patient Protection and Affordable Care Act (PPACA)</w:t>
      </w:r>
      <w:r w:rsidR="00060D28">
        <w:t xml:space="preserve"> </w:t>
      </w:r>
      <w:r w:rsidR="00060D28" w:rsidRPr="00060D28">
        <w:t>which required</w:t>
      </w:r>
      <w:r w:rsidR="0076322A">
        <w:t xml:space="preserve">, </w:t>
      </w:r>
      <w:r w:rsidR="0076322A" w:rsidRPr="00060D28">
        <w:t>beginning in 2012</w:t>
      </w:r>
      <w:r w:rsidR="0076322A">
        <w:t>,</w:t>
      </w:r>
      <w:r w:rsidR="00060D28" w:rsidRPr="00060D28">
        <w:t xml:space="preserve"> quality bonus payments (QBPs) to all plans earning four or five stars in Medicare’s Star Rating program. As an extension of this legislation, CMS launched the Medicare Advantage Quality Bonus Payment Demonstration, which accelerates the phase-in of QBPs by extending bonus payments to three-star plans and eliminating the cap on blended county benchmarks that would otherwise limit QBPs. Through this demonstration, CMS seeks to understand how incentive payments impact plan quality across a broader spectrum of plans.</w:t>
      </w:r>
      <w:r w:rsidR="00060D28">
        <w:t xml:space="preserve"> CMS has engaged our research team to evaluate this demonstration. </w:t>
      </w:r>
    </w:p>
    <w:p w:rsidR="00060D28" w:rsidRDefault="00060D28" w:rsidP="00033D2A">
      <w:pPr>
        <w:spacing w:line="240" w:lineRule="auto"/>
        <w:ind w:firstLine="0"/>
      </w:pPr>
    </w:p>
    <w:p w:rsidR="00033D2A" w:rsidRDefault="00033D2A" w:rsidP="00033D2A">
      <w:pPr>
        <w:spacing w:line="240" w:lineRule="auto"/>
        <w:ind w:firstLine="0"/>
      </w:pPr>
      <w:r w:rsidRPr="00033D2A">
        <w:t xml:space="preserve">The research team plans to conduct </w:t>
      </w:r>
      <w:r w:rsidR="00216A44">
        <w:t>this data collection effort in the form of a</w:t>
      </w:r>
      <w:r>
        <w:t xml:space="preserve"> survey</w:t>
      </w:r>
      <w:r w:rsidR="00F43161">
        <w:t xml:space="preserve"> of M</w:t>
      </w:r>
      <w:r w:rsidR="00171A6A">
        <w:t xml:space="preserve">edicare </w:t>
      </w:r>
      <w:r w:rsidR="00F43161">
        <w:t>A</w:t>
      </w:r>
      <w:r w:rsidR="00171A6A">
        <w:t xml:space="preserve">dvantage </w:t>
      </w:r>
      <w:r w:rsidR="00F43161">
        <w:t>O</w:t>
      </w:r>
      <w:r w:rsidR="00171A6A">
        <w:t>rganization</w:t>
      </w:r>
      <w:r w:rsidR="00F43161">
        <w:t>s</w:t>
      </w:r>
      <w:r w:rsidR="00171A6A">
        <w:t xml:space="preserve"> (MAOs)</w:t>
      </w:r>
      <w:r w:rsidR="00216A44">
        <w:t xml:space="preserve"> </w:t>
      </w:r>
      <w:r w:rsidR="00171A6A">
        <w:t xml:space="preserve">and up to 10 case studies </w:t>
      </w:r>
      <w:r w:rsidR="00F95EBC">
        <w:t xml:space="preserve">with MAOs </w:t>
      </w:r>
      <w:r w:rsidRPr="00033D2A">
        <w:t xml:space="preserve">in order to </w:t>
      </w:r>
      <w:r w:rsidR="00060D28">
        <w:t>supplement what can be learned from the research team</w:t>
      </w:r>
      <w:r w:rsidR="00171A6A">
        <w:t>’</w:t>
      </w:r>
      <w:r w:rsidR="00060D28">
        <w:t xml:space="preserve">s analyses of administrative and financial data for </w:t>
      </w:r>
      <w:r w:rsidR="00171A6A">
        <w:t>MAOs,</w:t>
      </w:r>
      <w:r w:rsidR="00060D28">
        <w:t xml:space="preserve"> </w:t>
      </w:r>
      <w:r w:rsidR="0076322A">
        <w:t>and from</w:t>
      </w:r>
      <w:r w:rsidR="00060D28">
        <w:t xml:space="preserve"> a</w:t>
      </w:r>
      <w:r w:rsidR="00171A6A">
        <w:t>n</w:t>
      </w:r>
      <w:r w:rsidR="00060D28">
        <w:t xml:space="preserve"> environmental and literature scan</w:t>
      </w:r>
      <w:r w:rsidR="0076322A">
        <w:t>.</w:t>
      </w:r>
    </w:p>
    <w:p w:rsidR="00033D2A" w:rsidRPr="008C5925" w:rsidRDefault="00033D2A" w:rsidP="00033D2A">
      <w:pPr>
        <w:spacing w:line="240" w:lineRule="auto"/>
      </w:pPr>
    </w:p>
    <w:p w:rsidR="00027F3F" w:rsidRDefault="00175E9D" w:rsidP="00E04AD1">
      <w:pPr>
        <w:pStyle w:val="ListParagraph"/>
        <w:numPr>
          <w:ilvl w:val="0"/>
          <w:numId w:val="8"/>
        </w:numPr>
        <w:tabs>
          <w:tab w:val="clear" w:pos="360"/>
          <w:tab w:val="left" w:pos="720"/>
        </w:tabs>
        <w:ind w:left="720" w:hanging="540"/>
        <w:rPr>
          <w:b/>
        </w:rPr>
      </w:pPr>
      <w:r w:rsidRPr="00027F3F">
        <w:rPr>
          <w:b/>
        </w:rPr>
        <w:t>JUSTIFICATION</w:t>
      </w:r>
      <w:r w:rsidR="002E18F2" w:rsidRPr="00027F3F">
        <w:rPr>
          <w:b/>
        </w:rPr>
        <w:t xml:space="preserve"> </w:t>
      </w:r>
    </w:p>
    <w:p w:rsidR="00175E9D" w:rsidRPr="00027F3F" w:rsidRDefault="00175E9D" w:rsidP="00027F3F">
      <w:pPr>
        <w:pStyle w:val="ListParagraph"/>
        <w:numPr>
          <w:ilvl w:val="0"/>
          <w:numId w:val="0"/>
        </w:numPr>
        <w:tabs>
          <w:tab w:val="clear" w:pos="360"/>
          <w:tab w:val="left" w:pos="720"/>
        </w:tabs>
        <w:ind w:left="720"/>
        <w:rPr>
          <w:b/>
        </w:rPr>
      </w:pPr>
    </w:p>
    <w:p w:rsidR="008C5925" w:rsidRPr="00985980" w:rsidRDefault="00175E9D" w:rsidP="00E04AD1">
      <w:pPr>
        <w:pStyle w:val="ListParagraph"/>
        <w:numPr>
          <w:ilvl w:val="0"/>
          <w:numId w:val="7"/>
        </w:numPr>
        <w:tabs>
          <w:tab w:val="left" w:pos="1260"/>
        </w:tabs>
        <w:spacing w:after="0"/>
        <w:ind w:left="1267" w:hanging="547"/>
        <w:rPr>
          <w:b/>
        </w:rPr>
      </w:pPr>
      <w:r w:rsidRPr="00985980">
        <w:rPr>
          <w:b/>
        </w:rPr>
        <w:t>Need and Legal Basis</w:t>
      </w:r>
    </w:p>
    <w:p w:rsidR="00033D2A" w:rsidRDefault="00060D28" w:rsidP="00033D2A">
      <w:pPr>
        <w:tabs>
          <w:tab w:val="left" w:pos="990"/>
        </w:tabs>
        <w:spacing w:line="240" w:lineRule="auto"/>
        <w:ind w:left="1260" w:firstLine="0"/>
      </w:pPr>
      <w:r w:rsidRPr="00F43161">
        <w:t>This collection is part of the evaluation of the Medicare Advantage Quality Bonus Payment Demonstration</w:t>
      </w:r>
      <w:r w:rsidR="00171A6A">
        <w:t>,</w:t>
      </w:r>
      <w:r w:rsidRPr="00F43161">
        <w:t xml:space="preserve"> which </w:t>
      </w:r>
      <w:r w:rsidR="00F43161" w:rsidRPr="00F43161">
        <w:t xml:space="preserve">accelerates the phase-in of QBPs mandated by the </w:t>
      </w:r>
      <w:r w:rsidR="00033D2A" w:rsidRPr="00F43161">
        <w:t xml:space="preserve">PPACA. </w:t>
      </w:r>
    </w:p>
    <w:p w:rsidR="00033D2A" w:rsidRDefault="00033D2A" w:rsidP="008C5925">
      <w:pPr>
        <w:tabs>
          <w:tab w:val="left" w:pos="990"/>
        </w:tabs>
        <w:spacing w:line="240" w:lineRule="auto"/>
        <w:ind w:left="1620" w:hanging="270"/>
      </w:pPr>
    </w:p>
    <w:p w:rsidR="00A97643" w:rsidRDefault="00033D2A" w:rsidP="00033D2A">
      <w:pPr>
        <w:tabs>
          <w:tab w:val="left" w:pos="990"/>
        </w:tabs>
        <w:spacing w:line="240" w:lineRule="auto"/>
        <w:ind w:left="1260" w:firstLine="0"/>
      </w:pPr>
      <w:r>
        <w:t>This d</w:t>
      </w:r>
      <w:r w:rsidR="00184A2B">
        <w:t xml:space="preserve">ata collection </w:t>
      </w:r>
      <w:r>
        <w:t xml:space="preserve">is </w:t>
      </w:r>
      <w:r w:rsidR="008C5925" w:rsidRPr="008C5925">
        <w:t xml:space="preserve">needed by </w:t>
      </w:r>
      <w:r w:rsidR="000942EA">
        <w:t xml:space="preserve">CMS </w:t>
      </w:r>
      <w:r>
        <w:t xml:space="preserve">as part of the evaluation of the </w:t>
      </w:r>
      <w:r w:rsidR="00171A6A">
        <w:t>QBP</w:t>
      </w:r>
      <w:r w:rsidR="000942EA">
        <w:t xml:space="preserve"> demonstration </w:t>
      </w:r>
      <w:r>
        <w:t>to better understand what impact the demonstration has had on</w:t>
      </w:r>
      <w:r w:rsidR="000942EA">
        <w:t xml:space="preserve"> </w:t>
      </w:r>
      <w:r w:rsidR="00F43161">
        <w:t>MAO</w:t>
      </w:r>
      <w:r w:rsidR="000942EA">
        <w:t xml:space="preserve"> </w:t>
      </w:r>
      <w:r w:rsidR="0001098F">
        <w:t xml:space="preserve">operations and their efforts to improve </w:t>
      </w:r>
      <w:r w:rsidR="000942EA">
        <w:t>quality</w:t>
      </w:r>
      <w:r>
        <w:t xml:space="preserve">. The </w:t>
      </w:r>
      <w:r w:rsidR="0001098F">
        <w:t xml:space="preserve">data collection instrument </w:t>
      </w:r>
      <w:r w:rsidR="00171A6A">
        <w:t xml:space="preserve">for </w:t>
      </w:r>
      <w:r w:rsidR="0076322A">
        <w:t>t</w:t>
      </w:r>
      <w:r w:rsidR="00171A6A">
        <w:t xml:space="preserve">he survey </w:t>
      </w:r>
      <w:r w:rsidR="0001098F">
        <w:t>is a survey</w:t>
      </w:r>
      <w:r>
        <w:t xml:space="preserve"> </w:t>
      </w:r>
      <w:r w:rsidR="00171A6A">
        <w:t xml:space="preserve">questionnaire </w:t>
      </w:r>
      <w:r>
        <w:t xml:space="preserve">designed to </w:t>
      </w:r>
      <w:r w:rsidR="00A97643">
        <w:t xml:space="preserve">capture information on how </w:t>
      </w:r>
      <w:r w:rsidR="00F43161">
        <w:t>MAOs</w:t>
      </w:r>
      <w:r w:rsidR="00CA13C8">
        <w:t xml:space="preserve"> perceive the demonstration and </w:t>
      </w:r>
      <w:r w:rsidR="00A97643">
        <w:t xml:space="preserve">are planning for or implementing changes in quality initiatives and </w:t>
      </w:r>
      <w:r w:rsidR="0076322A">
        <w:t xml:space="preserve">to </w:t>
      </w:r>
      <w:r w:rsidR="00A97643">
        <w:t>identify factors that help or hinder the capacity to achieve quality improvement and that influence the de</w:t>
      </w:r>
      <w:r w:rsidR="00CA13C8">
        <w:t>cision calculus to make changes</w:t>
      </w:r>
      <w:r w:rsidR="00171A6A">
        <w:t>. The case studies will be conducted as a series of open-e</w:t>
      </w:r>
      <w:r w:rsidR="00A072C6">
        <w:t>nded discussions with MAO staff</w:t>
      </w:r>
      <w:r w:rsidR="00171A6A">
        <w:t xml:space="preserve"> that will be guided by a discussion protocol. </w:t>
      </w:r>
    </w:p>
    <w:p w:rsidR="0047220D" w:rsidRDefault="0047220D" w:rsidP="008C5925">
      <w:pPr>
        <w:tabs>
          <w:tab w:val="left" w:pos="990"/>
        </w:tabs>
        <w:spacing w:line="240" w:lineRule="auto"/>
        <w:ind w:left="1620" w:hanging="270"/>
      </w:pPr>
    </w:p>
    <w:p w:rsidR="0033288D" w:rsidRDefault="0033288D" w:rsidP="00E04AD1">
      <w:pPr>
        <w:pStyle w:val="Heading3"/>
        <w:numPr>
          <w:ilvl w:val="0"/>
          <w:numId w:val="7"/>
        </w:numPr>
        <w:spacing w:after="0"/>
        <w:ind w:left="1260" w:hanging="540"/>
      </w:pPr>
      <w:bookmarkStart w:id="0" w:name="_Toc184631500"/>
      <w:bookmarkStart w:id="1" w:name="_Toc195336897"/>
      <w:r>
        <w:t>Information Users</w:t>
      </w:r>
      <w:bookmarkEnd w:id="0"/>
      <w:bookmarkEnd w:id="1"/>
    </w:p>
    <w:p w:rsidR="0047220D" w:rsidRDefault="00216A44" w:rsidP="00A072C6">
      <w:pPr>
        <w:spacing w:line="240" w:lineRule="auto"/>
        <w:ind w:left="1260" w:firstLine="0"/>
      </w:pPr>
      <w:r>
        <w:t>As a new collection, t</w:t>
      </w:r>
      <w:r w:rsidR="0033288D" w:rsidRPr="0033288D">
        <w:t xml:space="preserve">he information </w:t>
      </w:r>
      <w:r>
        <w:t>is expected to</w:t>
      </w:r>
      <w:r w:rsidR="0033288D" w:rsidRPr="0033288D">
        <w:t xml:space="preserve"> provide a detailed picture to CM</w:t>
      </w:r>
      <w:r>
        <w:t xml:space="preserve">S of the kinds of </w:t>
      </w:r>
      <w:r w:rsidR="0033288D">
        <w:t>quality initiatives</w:t>
      </w:r>
      <w:r w:rsidR="0001098F">
        <w:t xml:space="preserve"> utilized by MAOs</w:t>
      </w:r>
      <w:r w:rsidR="0033288D" w:rsidRPr="0033288D">
        <w:t xml:space="preserve"> and some prel</w:t>
      </w:r>
      <w:r w:rsidR="0001098F">
        <w:t>iminary information on how they</w:t>
      </w:r>
      <w:r w:rsidR="0033288D" w:rsidRPr="0033288D">
        <w:t xml:space="preserve"> assess the </w:t>
      </w:r>
      <w:r w:rsidR="00CA13C8">
        <w:t>effectiveness of these programs</w:t>
      </w:r>
      <w:r>
        <w:t xml:space="preserve">. The survey is designed to provide an </w:t>
      </w:r>
      <w:r w:rsidR="009C15B3" w:rsidRPr="009C15B3">
        <w:t xml:space="preserve">overall </w:t>
      </w:r>
      <w:r w:rsidR="00CA13C8">
        <w:t>picture of the QBP</w:t>
      </w:r>
      <w:r w:rsidR="009C15B3" w:rsidRPr="009C15B3">
        <w:t xml:space="preserve"> that can be used for national comparisons</w:t>
      </w:r>
      <w:r w:rsidR="009B563B">
        <w:t xml:space="preserve"> acr</w:t>
      </w:r>
      <w:r w:rsidR="00CA13C8">
        <w:t>oss plans</w:t>
      </w:r>
      <w:r>
        <w:t xml:space="preserve"> as part of the larger evaluation of the QBP demonstration.</w:t>
      </w:r>
      <w:r w:rsidR="00A072C6">
        <w:t xml:space="preserve"> </w:t>
      </w:r>
      <w:r w:rsidR="00A072C6" w:rsidRPr="00E91B4C">
        <w:t>The case studies will supplement the information gathered from the survey and data analysis, providing valuable context and details about successful quality improvement</w:t>
      </w:r>
      <w:r w:rsidR="00A072C6">
        <w:t xml:space="preserve"> </w:t>
      </w:r>
      <w:r w:rsidR="00A072C6" w:rsidRPr="00E91B4C">
        <w:t xml:space="preserve">activities. The case studies are particularly well suited to exploring the detailed characteristics of the plans’ </w:t>
      </w:r>
      <w:r w:rsidR="00A072C6">
        <w:t>quality improvement</w:t>
      </w:r>
      <w:r w:rsidR="00A072C6" w:rsidRPr="00E91B4C">
        <w:t xml:space="preserve"> </w:t>
      </w:r>
      <w:r w:rsidR="00A072C6">
        <w:t>activities</w:t>
      </w:r>
      <w:r w:rsidR="00A072C6" w:rsidRPr="00E91B4C">
        <w:t xml:space="preserve">, </w:t>
      </w:r>
      <w:r w:rsidR="00A072C6" w:rsidRPr="00E91B4C">
        <w:lastRenderedPageBreak/>
        <w:t>emphasizing the decision-making and thought processes underlying the structure and direction of the</w:t>
      </w:r>
      <w:r w:rsidR="00A072C6">
        <w:t>ir</w:t>
      </w:r>
      <w:r w:rsidR="00A072C6" w:rsidRPr="00E91B4C">
        <w:t xml:space="preserve"> </w:t>
      </w:r>
      <w:r w:rsidR="00A072C6">
        <w:t>efforts</w:t>
      </w:r>
      <w:r w:rsidR="00A072C6" w:rsidRPr="00E91B4C">
        <w:t xml:space="preserve">. The case studies will capture the mechanics of the </w:t>
      </w:r>
      <w:r w:rsidR="00A072C6">
        <w:t xml:space="preserve">quality improvement </w:t>
      </w:r>
      <w:r w:rsidR="00A072C6" w:rsidRPr="00E91B4C">
        <w:t>programs, as well as the contextual factors that impact the nature, structure</w:t>
      </w:r>
      <w:r w:rsidR="00A072C6">
        <w:t>,</w:t>
      </w:r>
      <w:r w:rsidR="00A072C6" w:rsidRPr="00E91B4C">
        <w:t xml:space="preserve"> and scope of the programs.</w:t>
      </w:r>
    </w:p>
    <w:p w:rsidR="0033288D" w:rsidRDefault="009B563B" w:rsidP="009B563B">
      <w:pPr>
        <w:spacing w:line="240" w:lineRule="auto"/>
        <w:ind w:left="1620" w:hanging="270"/>
      </w:pPr>
      <w:r>
        <w:t xml:space="preserve">  </w:t>
      </w:r>
    </w:p>
    <w:p w:rsidR="00396AD9" w:rsidRDefault="005C4914" w:rsidP="00E04AD1">
      <w:pPr>
        <w:pStyle w:val="Heading3"/>
        <w:numPr>
          <w:ilvl w:val="0"/>
          <w:numId w:val="7"/>
        </w:numPr>
        <w:spacing w:after="0"/>
        <w:ind w:left="1260" w:hanging="540"/>
      </w:pPr>
      <w:bookmarkStart w:id="2" w:name="_Toc184631501"/>
      <w:bookmarkStart w:id="3" w:name="_Toc195336898"/>
      <w:r w:rsidRPr="005C4914">
        <w:t>Improved Information Technology</w:t>
      </w:r>
      <w:bookmarkEnd w:id="2"/>
      <w:bookmarkEnd w:id="3"/>
    </w:p>
    <w:p w:rsidR="00216A44" w:rsidRDefault="00216A44" w:rsidP="00216A44">
      <w:pPr>
        <w:pStyle w:val="Heading3"/>
        <w:tabs>
          <w:tab w:val="left" w:pos="720"/>
        </w:tabs>
        <w:spacing w:after="0"/>
        <w:ind w:left="1260" w:firstLine="0"/>
        <w:rPr>
          <w:b w:val="0"/>
        </w:rPr>
      </w:pPr>
      <w:r>
        <w:rPr>
          <w:b w:val="0"/>
        </w:rPr>
        <w:t xml:space="preserve">The research team is proposing </w:t>
      </w:r>
      <w:r w:rsidR="007248AC" w:rsidRPr="007248AC">
        <w:rPr>
          <w:b w:val="0"/>
        </w:rPr>
        <w:t xml:space="preserve">a </w:t>
      </w:r>
      <w:r>
        <w:rPr>
          <w:b w:val="0"/>
        </w:rPr>
        <w:t>multi-mode of data collection</w:t>
      </w:r>
      <w:r w:rsidR="00030A7A">
        <w:rPr>
          <w:b w:val="0"/>
        </w:rPr>
        <w:t xml:space="preserve"> for the survey</w:t>
      </w:r>
      <w:r>
        <w:rPr>
          <w:b w:val="0"/>
        </w:rPr>
        <w:t>, with a self-administered paper survey mailed to participants, along with telephone prompting for participants who fail to complete and return the mailed questionnaire within the designated time period. During the phone prompt, interviewers will encourage participants to return the questionnaire by mail or fax and will offer to complete the survey over the phone</w:t>
      </w:r>
      <w:r w:rsidR="00F1638F">
        <w:rPr>
          <w:b w:val="0"/>
        </w:rPr>
        <w:t xml:space="preserve"> or to send them an electronic version</w:t>
      </w:r>
      <w:r>
        <w:rPr>
          <w:b w:val="0"/>
        </w:rPr>
        <w:t xml:space="preserve">. </w:t>
      </w:r>
    </w:p>
    <w:p w:rsidR="00216A44" w:rsidRDefault="00216A44" w:rsidP="00216A44">
      <w:pPr>
        <w:pStyle w:val="Heading3"/>
        <w:tabs>
          <w:tab w:val="left" w:pos="720"/>
        </w:tabs>
        <w:spacing w:after="0"/>
        <w:ind w:left="1260" w:firstLine="0"/>
        <w:rPr>
          <w:b w:val="0"/>
        </w:rPr>
      </w:pPr>
    </w:p>
    <w:p w:rsidR="00887446" w:rsidRPr="000119E3" w:rsidRDefault="00216A44" w:rsidP="00887446">
      <w:pPr>
        <w:pStyle w:val="Heading3"/>
        <w:tabs>
          <w:tab w:val="left" w:pos="720"/>
        </w:tabs>
        <w:spacing w:after="0"/>
        <w:ind w:left="1260" w:firstLine="0"/>
        <w:rPr>
          <w:b w:val="0"/>
        </w:rPr>
      </w:pPr>
      <w:r>
        <w:rPr>
          <w:b w:val="0"/>
        </w:rPr>
        <w:t xml:space="preserve">The team is choosing a </w:t>
      </w:r>
      <w:r w:rsidR="007248AC" w:rsidRPr="007248AC">
        <w:rPr>
          <w:b w:val="0"/>
        </w:rPr>
        <w:t>mail methodology over web fo</w:t>
      </w:r>
      <w:r>
        <w:rPr>
          <w:b w:val="0"/>
        </w:rPr>
        <w:t xml:space="preserve">r three main reasons: the small </w:t>
      </w:r>
      <w:r w:rsidR="007248AC" w:rsidRPr="007248AC">
        <w:rPr>
          <w:b w:val="0"/>
        </w:rPr>
        <w:t>sample size makes programming and administering a w</w:t>
      </w:r>
      <w:r w:rsidR="00396AD9">
        <w:rPr>
          <w:b w:val="0"/>
        </w:rPr>
        <w:t xml:space="preserve">eb survey costly and </w:t>
      </w:r>
      <w:r w:rsidR="007248AC" w:rsidRPr="007248AC">
        <w:rPr>
          <w:b w:val="0"/>
        </w:rPr>
        <w:t xml:space="preserve">inefficient, </w:t>
      </w:r>
      <w:r w:rsidR="007248AC">
        <w:rPr>
          <w:b w:val="0"/>
        </w:rPr>
        <w:t>the portability of a mail survey is more convenient than web and allows respondents to ea</w:t>
      </w:r>
      <w:r w:rsidR="00396AD9">
        <w:rPr>
          <w:b w:val="0"/>
        </w:rPr>
        <w:t xml:space="preserve">sily seek input from other </w:t>
      </w:r>
      <w:r w:rsidR="000F2B77">
        <w:rPr>
          <w:b w:val="0"/>
        </w:rPr>
        <w:t>MAO</w:t>
      </w:r>
      <w:r w:rsidR="00396AD9">
        <w:rPr>
          <w:b w:val="0"/>
        </w:rPr>
        <w:t xml:space="preserve"> staff if needed, and the sample frame does not contain web addresses, which is the most effective way to communicate with respondents when administering a web survey</w:t>
      </w:r>
      <w:r>
        <w:rPr>
          <w:b w:val="0"/>
        </w:rPr>
        <w:t xml:space="preserve">. However, </w:t>
      </w:r>
      <w:r w:rsidRPr="00216A44">
        <w:rPr>
          <w:b w:val="0"/>
        </w:rPr>
        <w:t>w</w:t>
      </w:r>
      <w:r w:rsidR="0001098F">
        <w:rPr>
          <w:b w:val="0"/>
        </w:rPr>
        <w:t>hen requested by an MAO</w:t>
      </w:r>
      <w:r w:rsidR="00872CBC">
        <w:rPr>
          <w:b w:val="0"/>
        </w:rPr>
        <w:t>,</w:t>
      </w:r>
      <w:r w:rsidR="00396AD9" w:rsidRPr="00216A44">
        <w:rPr>
          <w:b w:val="0"/>
        </w:rPr>
        <w:t xml:space="preserve"> a Microso</w:t>
      </w:r>
      <w:r w:rsidR="00F43161">
        <w:rPr>
          <w:b w:val="0"/>
        </w:rPr>
        <w:t xml:space="preserve">ft Word version of the survey </w:t>
      </w:r>
      <w:r w:rsidR="00396AD9" w:rsidRPr="00216A44">
        <w:rPr>
          <w:b w:val="0"/>
        </w:rPr>
        <w:t>material will be sent i</w:t>
      </w:r>
      <w:r w:rsidR="00BC1866" w:rsidRPr="00216A44">
        <w:rPr>
          <w:b w:val="0"/>
        </w:rPr>
        <w:t>n an email attachment or by fax</w:t>
      </w:r>
      <w:r w:rsidR="00030A7A">
        <w:rPr>
          <w:b w:val="0"/>
        </w:rPr>
        <w:t xml:space="preserve">. </w:t>
      </w:r>
    </w:p>
    <w:p w:rsidR="00887446" w:rsidRPr="00887446" w:rsidRDefault="00887446" w:rsidP="000119E3">
      <w:pPr>
        <w:spacing w:before="240" w:line="240" w:lineRule="auto"/>
        <w:ind w:left="1267" w:firstLine="0"/>
      </w:pPr>
      <w:r>
        <w:t>The case studies will be conducted</w:t>
      </w:r>
      <w:r w:rsidR="000119E3">
        <w:t xml:space="preserve"> in person at the MAO’s offices. Conducting the research in person aids in </w:t>
      </w:r>
      <w:r>
        <w:t>building rapport between the research team and the MAO representatives</w:t>
      </w:r>
      <w:r w:rsidR="000119E3">
        <w:t xml:space="preserve">, which can encourage more candid discussion. </w:t>
      </w:r>
    </w:p>
    <w:p w:rsidR="00081E58" w:rsidRDefault="00081E58" w:rsidP="004A4174">
      <w:pPr>
        <w:tabs>
          <w:tab w:val="left" w:pos="1350"/>
        </w:tabs>
        <w:spacing w:line="240" w:lineRule="auto"/>
        <w:ind w:left="1440" w:hanging="180"/>
      </w:pPr>
    </w:p>
    <w:p w:rsidR="00AF046A" w:rsidRDefault="00081E58" w:rsidP="00E04AD1">
      <w:pPr>
        <w:pStyle w:val="Heading3"/>
        <w:numPr>
          <w:ilvl w:val="0"/>
          <w:numId w:val="7"/>
        </w:numPr>
        <w:tabs>
          <w:tab w:val="clear" w:pos="432"/>
          <w:tab w:val="left" w:pos="450"/>
          <w:tab w:val="left" w:pos="1260"/>
        </w:tabs>
        <w:spacing w:after="0"/>
        <w:ind w:left="1260" w:hanging="540"/>
      </w:pPr>
      <w:bookmarkStart w:id="4" w:name="_Toc184631502"/>
      <w:bookmarkStart w:id="5" w:name="_Toc195336899"/>
      <w:r>
        <w:t>Duplication of Similar Information</w:t>
      </w:r>
      <w:bookmarkEnd w:id="4"/>
      <w:bookmarkEnd w:id="5"/>
    </w:p>
    <w:p w:rsidR="00030A7A" w:rsidRDefault="00030A7A" w:rsidP="00030A7A">
      <w:pPr>
        <w:tabs>
          <w:tab w:val="clear" w:pos="432"/>
          <w:tab w:val="left" w:pos="450"/>
          <w:tab w:val="left" w:pos="1260"/>
          <w:tab w:val="left" w:pos="1350"/>
        </w:tabs>
        <w:spacing w:line="240" w:lineRule="auto"/>
        <w:ind w:left="1260" w:firstLine="0"/>
      </w:pPr>
      <w:r>
        <w:t>The</w:t>
      </w:r>
      <w:r w:rsidR="00FE4684">
        <w:t xml:space="preserve"> survey </w:t>
      </w:r>
      <w:r>
        <w:t xml:space="preserve">and case studies </w:t>
      </w:r>
      <w:r w:rsidR="00FE4684">
        <w:t xml:space="preserve">will ask </w:t>
      </w:r>
      <w:r w:rsidR="000F2B77">
        <w:t>MAO</w:t>
      </w:r>
      <w:r w:rsidR="00FE4684">
        <w:t xml:space="preserve">s only </w:t>
      </w:r>
      <w:r w:rsidR="00FE4684" w:rsidRPr="00FE4684">
        <w:t xml:space="preserve">about information that they have not already reported to CMS and that is not </w:t>
      </w:r>
      <w:r w:rsidR="00FE4684" w:rsidRPr="00BE7E67">
        <w:t xml:space="preserve">available </w:t>
      </w:r>
      <w:r>
        <w:t>through the Health Plan Management System</w:t>
      </w:r>
      <w:r w:rsidR="003D7C68">
        <w:t xml:space="preserve"> (HPMS)</w:t>
      </w:r>
      <w:r>
        <w:t>, the portal through which CMS and MAOs share plan details and much of CMS communications to plans</w:t>
      </w:r>
      <w:r w:rsidR="00FE4684" w:rsidRPr="00BE7E67">
        <w:t xml:space="preserve">. </w:t>
      </w:r>
      <w:r w:rsidR="00BE7E67" w:rsidRPr="00BE7E67">
        <w:t>Specifically, t</w:t>
      </w:r>
      <w:r w:rsidR="00FE4684" w:rsidRPr="00BE7E67">
        <w:t>he data c</w:t>
      </w:r>
      <w:r w:rsidR="008F00F2" w:rsidRPr="00BE7E67">
        <w:t>ollection</w:t>
      </w:r>
      <w:r w:rsidR="00FE4684" w:rsidRPr="00BE7E67">
        <w:t xml:space="preserve"> proposed is intended to</w:t>
      </w:r>
      <w:r w:rsidR="008F00F2" w:rsidRPr="00BE7E67">
        <w:t xml:space="preserve"> </w:t>
      </w:r>
      <w:r w:rsidR="00FE4684" w:rsidRPr="00BE7E67">
        <w:t xml:space="preserve">focus </w:t>
      </w:r>
      <w:r>
        <w:t xml:space="preserve">specifically </w:t>
      </w:r>
      <w:r w:rsidR="00081E58" w:rsidRPr="00BE7E67">
        <w:t xml:space="preserve">on </w:t>
      </w:r>
      <w:r w:rsidR="000F2B77">
        <w:t>MAO</w:t>
      </w:r>
      <w:r w:rsidR="00BE7E67" w:rsidRPr="00BE7E67">
        <w:t xml:space="preserve"> perceptions and attitudes toward quality ratings and the QBP demonstration. </w:t>
      </w:r>
      <w:r>
        <w:t>Because the QBP demonstration has not been previously conducted, the information gathered through the survey and the case studies ha</w:t>
      </w:r>
      <w:r w:rsidR="0076322A">
        <w:t>s</w:t>
      </w:r>
      <w:r>
        <w:t xml:space="preserve"> not previously been collected. </w:t>
      </w:r>
    </w:p>
    <w:p w:rsidR="004A4174" w:rsidRDefault="004A4174" w:rsidP="00BE7E67">
      <w:pPr>
        <w:tabs>
          <w:tab w:val="clear" w:pos="432"/>
          <w:tab w:val="left" w:pos="450"/>
          <w:tab w:val="left" w:pos="1260"/>
          <w:tab w:val="left" w:pos="1350"/>
        </w:tabs>
        <w:spacing w:line="240" w:lineRule="auto"/>
        <w:ind w:left="1260" w:firstLine="0"/>
        <w:jc w:val="left"/>
      </w:pPr>
    </w:p>
    <w:p w:rsidR="004A4174" w:rsidRPr="00FE4684" w:rsidRDefault="0001098F" w:rsidP="00790E5D">
      <w:pPr>
        <w:tabs>
          <w:tab w:val="clear" w:pos="432"/>
          <w:tab w:val="left" w:pos="450"/>
          <w:tab w:val="left" w:pos="1260"/>
          <w:tab w:val="left" w:pos="1350"/>
        </w:tabs>
        <w:spacing w:line="240" w:lineRule="auto"/>
        <w:ind w:left="1260" w:firstLine="0"/>
      </w:pPr>
      <w:r>
        <w:t xml:space="preserve">The focus of the </w:t>
      </w:r>
      <w:r w:rsidR="00030A7A">
        <w:t xml:space="preserve">survey </w:t>
      </w:r>
      <w:r>
        <w:t>instrument</w:t>
      </w:r>
      <w:r w:rsidR="004A4174" w:rsidRPr="004A4174">
        <w:t xml:space="preserve"> </w:t>
      </w:r>
      <w:r w:rsidR="00030A7A">
        <w:t>and discussion protocols are</w:t>
      </w:r>
      <w:r w:rsidR="004A4174" w:rsidRPr="004A4174">
        <w:t xml:space="preserve"> to ask questions that the team cannot collect through data analyses. By forgoing this data collection, CMS would lose the opportunity to gather insights </w:t>
      </w:r>
      <w:r>
        <w:t>into the perceptions and operational changes being made by MAOs in response to the QBP demonstration.</w:t>
      </w:r>
    </w:p>
    <w:p w:rsidR="0047220D" w:rsidRDefault="0047220D" w:rsidP="0047220D">
      <w:pPr>
        <w:pStyle w:val="Heading3"/>
        <w:spacing w:after="0"/>
      </w:pPr>
      <w:bookmarkStart w:id="6" w:name="_Toc184631503"/>
      <w:bookmarkStart w:id="7" w:name="_Toc195336900"/>
    </w:p>
    <w:p w:rsidR="0047220D" w:rsidRDefault="0047220D" w:rsidP="00E04AD1">
      <w:pPr>
        <w:pStyle w:val="Heading3"/>
        <w:numPr>
          <w:ilvl w:val="0"/>
          <w:numId w:val="7"/>
        </w:numPr>
        <w:tabs>
          <w:tab w:val="clear" w:pos="432"/>
          <w:tab w:val="left" w:pos="270"/>
          <w:tab w:val="left" w:pos="1260"/>
        </w:tabs>
        <w:spacing w:after="0"/>
        <w:ind w:left="1260" w:hanging="540"/>
      </w:pPr>
      <w:r>
        <w:t>Small Businesses</w:t>
      </w:r>
      <w:bookmarkEnd w:id="6"/>
      <w:bookmarkEnd w:id="7"/>
    </w:p>
    <w:p w:rsidR="004A4174" w:rsidRDefault="0047220D" w:rsidP="004A4174">
      <w:pPr>
        <w:spacing w:line="240" w:lineRule="auto"/>
        <w:ind w:left="1260" w:firstLine="0"/>
      </w:pPr>
      <w:r>
        <w:t>Small businesses or other small entities are neither in</w:t>
      </w:r>
      <w:r w:rsidR="004A4174">
        <w:t xml:space="preserve">volved in nor significantly </w:t>
      </w:r>
      <w:r>
        <w:t>impacted by this program</w:t>
      </w:r>
      <w:r w:rsidR="00BE7E67">
        <w:t xml:space="preserve">. </w:t>
      </w:r>
    </w:p>
    <w:p w:rsidR="008F00F2" w:rsidRDefault="008F00F2" w:rsidP="0047220D">
      <w:pPr>
        <w:spacing w:line="240" w:lineRule="auto"/>
      </w:pPr>
    </w:p>
    <w:p w:rsidR="0047220D" w:rsidRDefault="0047220D" w:rsidP="00E04AD1">
      <w:pPr>
        <w:pStyle w:val="Heading3"/>
        <w:numPr>
          <w:ilvl w:val="0"/>
          <w:numId w:val="7"/>
        </w:numPr>
        <w:tabs>
          <w:tab w:val="left" w:pos="1260"/>
        </w:tabs>
        <w:spacing w:after="0"/>
        <w:ind w:left="1260" w:hanging="540"/>
      </w:pPr>
      <w:bookmarkStart w:id="8" w:name="_Toc184631504"/>
      <w:bookmarkStart w:id="9" w:name="_Toc195336901"/>
      <w:r>
        <w:t>Less Frequent Collection</w:t>
      </w:r>
      <w:bookmarkEnd w:id="8"/>
      <w:bookmarkEnd w:id="9"/>
    </w:p>
    <w:p w:rsidR="004A4174" w:rsidRDefault="004A4174" w:rsidP="00985980">
      <w:pPr>
        <w:tabs>
          <w:tab w:val="clear" w:pos="432"/>
          <w:tab w:val="left" w:pos="450"/>
          <w:tab w:val="left" w:pos="1260"/>
          <w:tab w:val="left" w:pos="1350"/>
        </w:tabs>
        <w:spacing w:line="240" w:lineRule="auto"/>
        <w:ind w:left="1260" w:firstLine="0"/>
      </w:pPr>
      <w:r>
        <w:t>The survey</w:t>
      </w:r>
      <w:r w:rsidRPr="004A4174">
        <w:t xml:space="preserve"> </w:t>
      </w:r>
      <w:r w:rsidR="003D7C68">
        <w:t>and case studies seek</w:t>
      </w:r>
      <w:r w:rsidR="003D7C68" w:rsidRPr="004A4174">
        <w:t xml:space="preserve"> </w:t>
      </w:r>
      <w:r w:rsidRPr="004A4174">
        <w:t xml:space="preserve">to ask questions that the team cannot collect through </w:t>
      </w:r>
      <w:r>
        <w:t xml:space="preserve">other </w:t>
      </w:r>
      <w:r w:rsidRPr="004A4174">
        <w:t xml:space="preserve">data analyses. By forgoing this data collection, CMS would lose the </w:t>
      </w:r>
      <w:r w:rsidRPr="004A4174">
        <w:lastRenderedPageBreak/>
        <w:t xml:space="preserve">opportunity to gather insights into the </w:t>
      </w:r>
      <w:r w:rsidR="000F2B77">
        <w:t>MAO</w:t>
      </w:r>
      <w:r>
        <w:t xml:space="preserve">s’ perspectives on the value </w:t>
      </w:r>
      <w:r w:rsidR="00F95EBC">
        <w:t xml:space="preserve">of the QBP demonstration </w:t>
      </w:r>
      <w:r>
        <w:t xml:space="preserve">and </w:t>
      </w:r>
      <w:r w:rsidR="00F95EBC">
        <w:t xml:space="preserve">its </w:t>
      </w:r>
      <w:r>
        <w:t>impact on their ability to improve the level of quality of care and services provided to Medicare beneficiaries</w:t>
      </w:r>
      <w:r w:rsidR="00125B69">
        <w:t xml:space="preserve"> as a result of the incentive payments offered</w:t>
      </w:r>
      <w:r>
        <w:t>.</w:t>
      </w:r>
      <w:r w:rsidR="00FF7A10">
        <w:t xml:space="preserve"> The survey will be fielded </w:t>
      </w:r>
      <w:r w:rsidR="0076322A">
        <w:t xml:space="preserve">only </w:t>
      </w:r>
      <w:r w:rsidR="00FF7A10">
        <w:t xml:space="preserve">once, and the limited case studies will also be conducted </w:t>
      </w:r>
      <w:r w:rsidR="0076322A">
        <w:t xml:space="preserve">only </w:t>
      </w:r>
      <w:r w:rsidR="00FF7A10">
        <w:t>once.</w:t>
      </w:r>
    </w:p>
    <w:p w:rsidR="0047220D" w:rsidRDefault="0047220D" w:rsidP="0047220D">
      <w:pPr>
        <w:spacing w:line="240" w:lineRule="auto"/>
      </w:pPr>
    </w:p>
    <w:p w:rsidR="003812B8" w:rsidRDefault="003812B8" w:rsidP="00E04AD1">
      <w:pPr>
        <w:pStyle w:val="Heading3"/>
        <w:numPr>
          <w:ilvl w:val="0"/>
          <w:numId w:val="7"/>
        </w:numPr>
        <w:tabs>
          <w:tab w:val="left" w:pos="1260"/>
        </w:tabs>
        <w:spacing w:after="0"/>
        <w:ind w:left="1260" w:hanging="540"/>
      </w:pPr>
      <w:bookmarkStart w:id="10" w:name="_Toc184631505"/>
      <w:bookmarkStart w:id="11" w:name="_Toc195336902"/>
      <w:r>
        <w:t>Special Circumstances</w:t>
      </w:r>
      <w:bookmarkEnd w:id="10"/>
      <w:bookmarkEnd w:id="11"/>
    </w:p>
    <w:p w:rsidR="003812B8" w:rsidRPr="003812B8" w:rsidRDefault="00EB5260" w:rsidP="00EB5260">
      <w:pPr>
        <w:pStyle w:val="Heading3"/>
        <w:tabs>
          <w:tab w:val="clear" w:pos="432"/>
        </w:tabs>
        <w:spacing w:after="0"/>
        <w:ind w:left="1260"/>
      </w:pPr>
      <w:r>
        <w:tab/>
      </w:r>
      <w:r w:rsidR="003812B8" w:rsidRPr="003812B8">
        <w:rPr>
          <w:b w:val="0"/>
        </w:rPr>
        <w:t xml:space="preserve">There are no special circumstances that would cause the </w:t>
      </w:r>
      <w:r>
        <w:rPr>
          <w:b w:val="0"/>
        </w:rPr>
        <w:t xml:space="preserve">collection of information </w:t>
      </w:r>
      <w:r w:rsidR="003812B8">
        <w:rPr>
          <w:b w:val="0"/>
        </w:rPr>
        <w:t xml:space="preserve">to be </w:t>
      </w:r>
      <w:r w:rsidR="003812B8" w:rsidRPr="003812B8">
        <w:rPr>
          <w:b w:val="0"/>
        </w:rPr>
        <w:t>inconsistent with 5 CFR 1320.6.</w:t>
      </w:r>
    </w:p>
    <w:p w:rsidR="003812B8" w:rsidRDefault="003812B8" w:rsidP="003812B8">
      <w:pPr>
        <w:spacing w:line="240" w:lineRule="auto"/>
      </w:pPr>
    </w:p>
    <w:p w:rsidR="00EB5260" w:rsidRPr="008F2689" w:rsidRDefault="003812B8" w:rsidP="00E04AD1">
      <w:pPr>
        <w:pStyle w:val="Heading3"/>
        <w:numPr>
          <w:ilvl w:val="0"/>
          <w:numId w:val="7"/>
        </w:numPr>
        <w:spacing w:after="0"/>
        <w:ind w:left="1260" w:hanging="540"/>
      </w:pPr>
      <w:bookmarkStart w:id="12" w:name="_Toc184631506"/>
      <w:bookmarkStart w:id="13" w:name="_Toc195336903"/>
      <w:r w:rsidRPr="008F2689">
        <w:rPr>
          <w:i/>
          <w:iCs/>
        </w:rPr>
        <w:t>Federal Register</w:t>
      </w:r>
      <w:r w:rsidRPr="008F2689">
        <w:t xml:space="preserve"> Notice/Outside Consultation</w:t>
      </w:r>
      <w:bookmarkEnd w:id="12"/>
      <w:bookmarkEnd w:id="13"/>
      <w:r w:rsidRPr="008F2689">
        <w:tab/>
      </w:r>
    </w:p>
    <w:p w:rsidR="00EB5260" w:rsidRDefault="00EB5260" w:rsidP="00EB5260">
      <w:pPr>
        <w:tabs>
          <w:tab w:val="left" w:pos="1440"/>
        </w:tabs>
        <w:spacing w:line="240" w:lineRule="auto"/>
        <w:jc w:val="left"/>
      </w:pPr>
    </w:p>
    <w:p w:rsidR="002A26EA" w:rsidRDefault="002A26EA" w:rsidP="00FF7A10">
      <w:pPr>
        <w:tabs>
          <w:tab w:val="left" w:pos="1440"/>
        </w:tabs>
        <w:spacing w:line="240" w:lineRule="auto"/>
        <w:ind w:left="1260" w:firstLine="0"/>
      </w:pPr>
      <w:r>
        <w:t>The 60-day Federal Register notice (77 FR 57090) published on September 17, 2012. There were comments received from the public and those comments have been addressed.</w:t>
      </w:r>
    </w:p>
    <w:p w:rsidR="002A26EA" w:rsidRDefault="002A26EA" w:rsidP="00FF7A10">
      <w:pPr>
        <w:tabs>
          <w:tab w:val="left" w:pos="1440"/>
        </w:tabs>
        <w:spacing w:line="240" w:lineRule="auto"/>
        <w:ind w:left="1260" w:firstLine="0"/>
      </w:pPr>
    </w:p>
    <w:p w:rsidR="00EB5260" w:rsidRDefault="00B21B57" w:rsidP="00FF7A10">
      <w:pPr>
        <w:tabs>
          <w:tab w:val="left" w:pos="1440"/>
        </w:tabs>
        <w:spacing w:line="240" w:lineRule="auto"/>
        <w:ind w:left="1260" w:firstLine="0"/>
      </w:pPr>
      <w:r>
        <w:t xml:space="preserve">The research team has consulted with a </w:t>
      </w:r>
      <w:r w:rsidR="00EB5260">
        <w:t>number of e</w:t>
      </w:r>
      <w:r w:rsidR="003812B8">
        <w:t>xpe</w:t>
      </w:r>
      <w:r w:rsidR="000F2B77">
        <w:t>rt consultants on the work of MAO</w:t>
      </w:r>
      <w:r w:rsidR="003812B8">
        <w:t>s fro</w:t>
      </w:r>
      <w:r w:rsidR="00EB5260">
        <w:t>m</w:t>
      </w:r>
      <w:r>
        <w:t xml:space="preserve"> within and</w:t>
      </w:r>
      <w:r w:rsidR="00EB5260">
        <w:t xml:space="preserve"> outside of CMS for </w:t>
      </w:r>
      <w:r w:rsidR="003812B8">
        <w:t xml:space="preserve">suggestions on the </w:t>
      </w:r>
      <w:r>
        <w:t xml:space="preserve">type of information to be collected, the availability of data, and </w:t>
      </w:r>
      <w:r w:rsidR="003812B8">
        <w:t>content and wordi</w:t>
      </w:r>
      <w:r w:rsidR="008F00F2">
        <w:t>ng</w:t>
      </w:r>
      <w:r>
        <w:t xml:space="preserve"> of the survey </w:t>
      </w:r>
      <w:r w:rsidR="003812B8">
        <w:t xml:space="preserve">instrument. </w:t>
      </w:r>
      <w:r w:rsidR="003D7C68">
        <w:t>This input will also be used to guide the development of the case study discussion guides.</w:t>
      </w:r>
    </w:p>
    <w:p w:rsidR="00B21B57" w:rsidRDefault="00B21B57" w:rsidP="00EB5260">
      <w:pPr>
        <w:tabs>
          <w:tab w:val="left" w:pos="1440"/>
        </w:tabs>
        <w:spacing w:line="240" w:lineRule="auto"/>
        <w:ind w:left="1260" w:firstLine="0"/>
        <w:jc w:val="left"/>
      </w:pPr>
    </w:p>
    <w:p w:rsidR="003812B8" w:rsidRDefault="008F00F2" w:rsidP="00FF7A10">
      <w:pPr>
        <w:tabs>
          <w:tab w:val="left" w:pos="1440"/>
        </w:tabs>
        <w:spacing w:line="240" w:lineRule="auto"/>
        <w:ind w:left="1260" w:firstLine="0"/>
      </w:pPr>
      <w:r w:rsidRPr="0001098F">
        <w:t xml:space="preserve">The survey </w:t>
      </w:r>
      <w:r w:rsidR="003812B8" w:rsidRPr="0001098F">
        <w:t>instrument w</w:t>
      </w:r>
      <w:r w:rsidR="00872CBC">
        <w:t xml:space="preserve">as </w:t>
      </w:r>
      <w:r w:rsidR="000F2B77">
        <w:t xml:space="preserve">pre-tested with </w:t>
      </w:r>
      <w:r w:rsidR="00872CBC">
        <w:t xml:space="preserve">up to </w:t>
      </w:r>
      <w:r w:rsidR="000F2B77">
        <w:t>nine MAO</w:t>
      </w:r>
      <w:r w:rsidR="003812B8" w:rsidRPr="0001098F">
        <w:t xml:space="preserve"> r</w:t>
      </w:r>
      <w:r w:rsidRPr="0001098F">
        <w:t xml:space="preserve">epresentatives who have </w:t>
      </w:r>
      <w:r w:rsidR="003812B8" w:rsidRPr="0001098F">
        <w:t xml:space="preserve">knowledge about </w:t>
      </w:r>
      <w:r w:rsidRPr="0001098F">
        <w:t>quality improvement initiatives</w:t>
      </w:r>
      <w:r w:rsidR="00EB5260" w:rsidRPr="0001098F">
        <w:t>.</w:t>
      </w:r>
      <w:r w:rsidR="003D7C68">
        <w:t xml:space="preserve"> The case study discussion guides will</w:t>
      </w:r>
      <w:r w:rsidR="000119E3">
        <w:t xml:space="preserve"> be</w:t>
      </w:r>
      <w:r w:rsidR="003D7C68">
        <w:t xml:space="preserve"> piloted with one MAO and revised as needed before completing the remaining nine case studies. </w:t>
      </w:r>
    </w:p>
    <w:p w:rsidR="003812B8" w:rsidRDefault="003812B8" w:rsidP="003812B8">
      <w:pPr>
        <w:pStyle w:val="NormalSS"/>
      </w:pPr>
    </w:p>
    <w:p w:rsidR="00DB2A55" w:rsidRDefault="00DB2A55" w:rsidP="00E04AD1">
      <w:pPr>
        <w:pStyle w:val="Heading3"/>
        <w:numPr>
          <w:ilvl w:val="0"/>
          <w:numId w:val="7"/>
        </w:numPr>
        <w:spacing w:after="0"/>
        <w:ind w:left="1260" w:hanging="540"/>
      </w:pPr>
      <w:bookmarkStart w:id="14" w:name="_Toc184631507"/>
      <w:bookmarkStart w:id="15" w:name="_Toc195336904"/>
      <w:r>
        <w:t>Payment/Gift to Respondents</w:t>
      </w:r>
      <w:r>
        <w:tab/>
      </w:r>
    </w:p>
    <w:bookmarkEnd w:id="14"/>
    <w:bookmarkEnd w:id="15"/>
    <w:p w:rsidR="003812B8" w:rsidRPr="009F3BCF" w:rsidRDefault="003812B8" w:rsidP="00FF7A10">
      <w:pPr>
        <w:pStyle w:val="Heading3"/>
        <w:spacing w:after="0"/>
        <w:ind w:firstLine="828"/>
        <w:rPr>
          <w:b w:val="0"/>
        </w:rPr>
      </w:pPr>
      <w:r w:rsidRPr="009F3BCF">
        <w:rPr>
          <w:b w:val="0"/>
        </w:rPr>
        <w:t>There are no plans for payment of any kind to responde</w:t>
      </w:r>
      <w:r w:rsidR="008F00F2">
        <w:rPr>
          <w:b w:val="0"/>
        </w:rPr>
        <w:t>nts</w:t>
      </w:r>
      <w:r w:rsidR="00B21B57">
        <w:rPr>
          <w:b w:val="0"/>
        </w:rPr>
        <w:t>.</w:t>
      </w:r>
    </w:p>
    <w:p w:rsidR="003812B8" w:rsidRDefault="003812B8" w:rsidP="003812B8">
      <w:pPr>
        <w:spacing w:line="240" w:lineRule="auto"/>
      </w:pPr>
    </w:p>
    <w:p w:rsidR="003812B8" w:rsidRDefault="003812B8" w:rsidP="00E04AD1">
      <w:pPr>
        <w:pStyle w:val="Heading3"/>
        <w:numPr>
          <w:ilvl w:val="0"/>
          <w:numId w:val="7"/>
        </w:numPr>
        <w:spacing w:after="0"/>
        <w:ind w:left="1260" w:hanging="540"/>
      </w:pPr>
      <w:bookmarkStart w:id="16" w:name="_Toc184631508"/>
      <w:bookmarkStart w:id="17" w:name="_Toc195336905"/>
      <w:r>
        <w:t>Confidentiality</w:t>
      </w:r>
      <w:bookmarkEnd w:id="16"/>
      <w:bookmarkEnd w:id="17"/>
    </w:p>
    <w:p w:rsidR="003812B8" w:rsidRDefault="003812B8" w:rsidP="00985980">
      <w:pPr>
        <w:spacing w:line="240" w:lineRule="auto"/>
        <w:ind w:left="1260" w:firstLine="0"/>
      </w:pPr>
      <w:r>
        <w:t xml:space="preserve">The survey </w:t>
      </w:r>
      <w:r w:rsidR="003D7C68">
        <w:t xml:space="preserve">and case studies </w:t>
      </w:r>
      <w:r>
        <w:t>will collect in</w:t>
      </w:r>
      <w:r w:rsidR="009F3BCF">
        <w:t xml:space="preserve">formation about quality improvement initiatives </w:t>
      </w:r>
      <w:r w:rsidR="000F2B77">
        <w:t>in MAOs</w:t>
      </w:r>
      <w:r w:rsidR="009F3BCF">
        <w:t xml:space="preserve">. </w:t>
      </w:r>
      <w:r w:rsidR="003D7C68">
        <w:t>T</w:t>
      </w:r>
      <w:r>
        <w:t>he question</w:t>
      </w:r>
      <w:r w:rsidR="000F2B77">
        <w:t>s asked will refer to the MAO</w:t>
      </w:r>
      <w:r w:rsidR="009F3BCF">
        <w:t xml:space="preserve">s and not to individuals. </w:t>
      </w:r>
      <w:r w:rsidR="00B21B57">
        <w:t>The information collected will be kept secure to the extent permitted by law.</w:t>
      </w:r>
    </w:p>
    <w:p w:rsidR="009F3BCF" w:rsidRDefault="009F3BCF" w:rsidP="003812B8">
      <w:pPr>
        <w:spacing w:line="240" w:lineRule="auto"/>
      </w:pPr>
      <w:r>
        <w:tab/>
      </w:r>
      <w:r>
        <w:tab/>
      </w:r>
    </w:p>
    <w:p w:rsidR="009F3BCF" w:rsidRDefault="009F3BCF" w:rsidP="00E04AD1">
      <w:pPr>
        <w:pStyle w:val="Heading3"/>
        <w:numPr>
          <w:ilvl w:val="0"/>
          <w:numId w:val="7"/>
        </w:numPr>
        <w:spacing w:after="0"/>
        <w:ind w:left="1260" w:hanging="540"/>
      </w:pPr>
      <w:bookmarkStart w:id="18" w:name="_Toc184631509"/>
      <w:bookmarkStart w:id="19" w:name="_Toc195336906"/>
      <w:r>
        <w:t>Sensitive Questions</w:t>
      </w:r>
      <w:bookmarkEnd w:id="18"/>
      <w:bookmarkEnd w:id="19"/>
    </w:p>
    <w:p w:rsidR="009F3BCF" w:rsidRDefault="00B21B57" w:rsidP="00985980">
      <w:pPr>
        <w:spacing w:line="240" w:lineRule="auto"/>
        <w:ind w:left="1260" w:firstLine="0"/>
      </w:pPr>
      <w:r>
        <w:t xml:space="preserve">The survey </w:t>
      </w:r>
      <w:r w:rsidR="003D7C68">
        <w:t xml:space="preserve">and case studies </w:t>
      </w:r>
      <w:r>
        <w:t>will also not ask any questions of a sensitive nature to t</w:t>
      </w:r>
      <w:r w:rsidR="000F2B77">
        <w:t>he operation of the MAOs,</w:t>
      </w:r>
      <w:r>
        <w:t xml:space="preserve"> such as regarding profit margins or other competitive information, and thus do not contain any questions of a sensitive nature.</w:t>
      </w:r>
    </w:p>
    <w:p w:rsidR="009F3BCF" w:rsidRDefault="009F3BCF" w:rsidP="009F3BCF">
      <w:pPr>
        <w:spacing w:line="240" w:lineRule="auto"/>
      </w:pPr>
    </w:p>
    <w:p w:rsidR="00B21B57" w:rsidRDefault="009F3BCF" w:rsidP="00E04AD1">
      <w:pPr>
        <w:pStyle w:val="Heading3"/>
        <w:numPr>
          <w:ilvl w:val="0"/>
          <w:numId w:val="7"/>
        </w:numPr>
        <w:spacing w:after="0"/>
        <w:ind w:left="1260" w:hanging="540"/>
      </w:pPr>
      <w:bookmarkStart w:id="20" w:name="_Toc184631510"/>
      <w:bookmarkStart w:id="21" w:name="_Toc195336907"/>
      <w:r>
        <w:t>Burden Estimate (Total Hours and Wages)</w:t>
      </w:r>
      <w:bookmarkEnd w:id="20"/>
      <w:bookmarkEnd w:id="21"/>
      <w:r w:rsidR="0092370B">
        <w:tab/>
      </w:r>
    </w:p>
    <w:p w:rsidR="00044A66" w:rsidRDefault="00DB2A55" w:rsidP="00985980">
      <w:pPr>
        <w:spacing w:line="240" w:lineRule="auto"/>
        <w:ind w:left="1260" w:firstLine="0"/>
      </w:pPr>
      <w:r>
        <w:t xml:space="preserve">Table A1 presents estimates of the response burden. </w:t>
      </w:r>
    </w:p>
    <w:p w:rsidR="00044A66" w:rsidRDefault="00044A66" w:rsidP="00985980">
      <w:pPr>
        <w:spacing w:line="240" w:lineRule="auto"/>
        <w:ind w:left="1260" w:firstLine="0"/>
      </w:pPr>
    </w:p>
    <w:p w:rsidR="00DB2A55" w:rsidRDefault="00DB2A55" w:rsidP="00985980">
      <w:pPr>
        <w:spacing w:line="240" w:lineRule="auto"/>
        <w:ind w:left="1260" w:firstLine="0"/>
      </w:pPr>
      <w:r>
        <w:t xml:space="preserve">We estimate the pre-survey initial call will take 10 minutes to complete. This call will </w:t>
      </w:r>
      <w:r>
        <w:rPr>
          <w:szCs w:val="20"/>
        </w:rPr>
        <w:t>briefly introduce the survey, ask for a commitment to return the questionnaire quickly, and collect contact information needed to mail out the survey materials.</w:t>
      </w:r>
      <w:r>
        <w:t xml:space="preserve"> </w:t>
      </w:r>
      <w:r w:rsidR="00872CBC">
        <w:t xml:space="preserve">Based on our pretest, </w:t>
      </w:r>
      <w:r>
        <w:t xml:space="preserve">the </w:t>
      </w:r>
      <w:r w:rsidR="003E3AB5">
        <w:t xml:space="preserve">survey </w:t>
      </w:r>
      <w:r w:rsidR="00F1638F">
        <w:t xml:space="preserve">questionnaire </w:t>
      </w:r>
      <w:r w:rsidR="003E3AB5">
        <w:t>will take approximately 5</w:t>
      </w:r>
      <w:r>
        <w:t xml:space="preserve">5 minutes </w:t>
      </w:r>
      <w:r>
        <w:lastRenderedPageBreak/>
        <w:t>to complete</w:t>
      </w:r>
      <w:r w:rsidR="00F1638F">
        <w:t xml:space="preserve"> for plans with one contract</w:t>
      </w:r>
      <w:r>
        <w:t>.</w:t>
      </w:r>
      <w:r w:rsidR="003948D6">
        <w:t xml:space="preserve"> </w:t>
      </w:r>
      <w:r w:rsidR="008F2689">
        <w:t xml:space="preserve">MAOs </w:t>
      </w:r>
      <w:r w:rsidR="003948D6">
        <w:t xml:space="preserve">with multiple contracts will </w:t>
      </w:r>
      <w:r w:rsidR="00F1638F">
        <w:t xml:space="preserve">be asked to </w:t>
      </w:r>
      <w:r w:rsidR="003948D6">
        <w:t>complete one survey</w:t>
      </w:r>
      <w:r w:rsidR="00F1638F">
        <w:t xml:space="preserve"> questionnaire for each contract and will be encouraged to complete an electronic version of the survey to make the process easier and quicker.</w:t>
      </w:r>
      <w:r w:rsidR="003948D6">
        <w:t xml:space="preserve"> We estimate</w:t>
      </w:r>
      <w:r w:rsidR="006421F4">
        <w:t xml:space="preserve"> that </w:t>
      </w:r>
      <w:r w:rsidR="00F1638F">
        <w:t xml:space="preserve">after the initial questionnaire is completed, </w:t>
      </w:r>
      <w:r w:rsidR="006421F4">
        <w:t xml:space="preserve">each subsequent </w:t>
      </w:r>
      <w:r w:rsidR="00F1638F">
        <w:t xml:space="preserve">electronic </w:t>
      </w:r>
      <w:r w:rsidR="006421F4">
        <w:t>survey</w:t>
      </w:r>
      <w:r w:rsidR="003948D6">
        <w:t xml:space="preserve"> </w:t>
      </w:r>
      <w:r w:rsidR="00F1638F">
        <w:t xml:space="preserve">questionnaire </w:t>
      </w:r>
      <w:r w:rsidR="003948D6">
        <w:t>will take approximately 2</w:t>
      </w:r>
      <w:r w:rsidR="00A9200B">
        <w:t>5</w:t>
      </w:r>
      <w:r w:rsidR="003948D6">
        <w:t xml:space="preserve"> </w:t>
      </w:r>
      <w:r w:rsidR="00872CBC">
        <w:t xml:space="preserve">minutes </w:t>
      </w:r>
      <w:r w:rsidR="006421F4">
        <w:t>to complete</w:t>
      </w:r>
      <w:r w:rsidR="003948D6">
        <w:t>.</w:t>
      </w:r>
      <w:r>
        <w:rPr>
          <w:b/>
        </w:rPr>
        <w:t xml:space="preserve"> </w:t>
      </w:r>
      <w:r>
        <w:t>The information requested in the survey is information that is usual and customary for MA</w:t>
      </w:r>
      <w:r w:rsidR="0028265B">
        <w:t>O</w:t>
      </w:r>
      <w:r>
        <w:t xml:space="preserve"> representatives knowledgeable about quality improvement activities. There are no cost burdens as there are no capital and startup costs and no operations/maintenance of services costs to respondents.</w:t>
      </w:r>
    </w:p>
    <w:p w:rsidR="00044A66" w:rsidRDefault="00044A66" w:rsidP="00985980">
      <w:pPr>
        <w:spacing w:line="240" w:lineRule="auto"/>
        <w:ind w:left="1260" w:firstLine="0"/>
      </w:pPr>
    </w:p>
    <w:p w:rsidR="00044A66" w:rsidRDefault="00962E2E" w:rsidP="00985980">
      <w:pPr>
        <w:spacing w:line="240" w:lineRule="auto"/>
        <w:ind w:left="1260" w:firstLine="0"/>
      </w:pPr>
      <w:r>
        <w:t xml:space="preserve">In estimating the burden for the case studies, </w:t>
      </w:r>
      <w:r w:rsidR="009700E4">
        <w:t>we have assumed that the team will interview between 12 and 18 individuals during each of the 10 site visits</w:t>
      </w:r>
      <w:r w:rsidR="00B115A0">
        <w:t>, w</w:t>
      </w:r>
      <w:r w:rsidR="009700E4">
        <w:t xml:space="preserve">ith each interview lasting between one and two hours, depending on </w:t>
      </w:r>
      <w:r w:rsidR="00B115A0">
        <w:t xml:space="preserve">the </w:t>
      </w:r>
      <w:r w:rsidR="009700E4">
        <w:t xml:space="preserve">availability and role of the MAO </w:t>
      </w:r>
      <w:r w:rsidR="0028265B">
        <w:t>representative</w:t>
      </w:r>
      <w:r w:rsidR="009700E4">
        <w:t>. We have used the upper estimates when calculating the burden for Table A.1.</w:t>
      </w:r>
    </w:p>
    <w:p w:rsidR="00DB2A55" w:rsidRDefault="00DB2A55" w:rsidP="00DB2A55">
      <w:pPr>
        <w:spacing w:line="240" w:lineRule="auto"/>
      </w:pPr>
    </w:p>
    <w:p w:rsidR="00F63D0B" w:rsidRPr="00F63D0B" w:rsidRDefault="00DB2A55" w:rsidP="00F63D0B">
      <w:pPr>
        <w:pStyle w:val="MarkforTable"/>
        <w:keepNext/>
        <w:spacing w:line="240" w:lineRule="auto"/>
        <w:rPr>
          <w:rFonts w:ascii="Arial" w:hAnsi="Arial" w:cs="Arial"/>
          <w:b/>
          <w:sz w:val="22"/>
          <w:szCs w:val="22"/>
        </w:rPr>
      </w:pPr>
      <w:r w:rsidRPr="00F63D0B">
        <w:rPr>
          <w:rFonts w:ascii="Arial" w:hAnsi="Arial" w:cs="Arial"/>
          <w:b/>
          <w:sz w:val="22"/>
          <w:szCs w:val="22"/>
        </w:rPr>
        <w:t>Table A.1</w:t>
      </w:r>
    </w:p>
    <w:p w:rsidR="00DB2A55" w:rsidRPr="00F63D0B" w:rsidRDefault="00DB2A55" w:rsidP="00F63D0B">
      <w:pPr>
        <w:pStyle w:val="MarkforTable"/>
        <w:keepNext/>
        <w:spacing w:line="240" w:lineRule="auto"/>
        <w:rPr>
          <w:b/>
          <w:sz w:val="22"/>
          <w:szCs w:val="22"/>
        </w:rPr>
      </w:pPr>
      <w:r w:rsidRPr="00F63D0B">
        <w:rPr>
          <w:rFonts w:ascii="Arial" w:hAnsi="Arial" w:cs="Arial"/>
          <w:b/>
          <w:sz w:val="22"/>
          <w:szCs w:val="22"/>
        </w:rPr>
        <w:t>Estimated Annualized Burden Hours</w:t>
      </w:r>
      <w:r w:rsidR="00F63D0B">
        <w:rPr>
          <w:rFonts w:ascii="Arial" w:hAnsi="Arial" w:cs="Arial"/>
          <w:b/>
          <w:sz w:val="22"/>
          <w:szCs w:val="22"/>
        </w:rPr>
        <w:br/>
      </w:r>
    </w:p>
    <w:tbl>
      <w:tblPr>
        <w:tblW w:w="0" w:type="auto"/>
        <w:jc w:val="center"/>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9"/>
        <w:gridCol w:w="1350"/>
        <w:gridCol w:w="1209"/>
        <w:gridCol w:w="2050"/>
      </w:tblGrid>
      <w:tr w:rsidR="002A5D37" w:rsidRPr="00044A66" w:rsidTr="002A5D37">
        <w:trPr>
          <w:cantSplit/>
          <w:jc w:val="center"/>
        </w:trPr>
        <w:tc>
          <w:tcPr>
            <w:tcW w:w="4429" w:type="dxa"/>
            <w:shd w:val="clear" w:color="auto" w:fill="E6E6E6"/>
          </w:tcPr>
          <w:p w:rsidR="00DB2A55" w:rsidRPr="00F63D0B" w:rsidRDefault="00DB2A55" w:rsidP="004B2D93">
            <w:pPr>
              <w:pStyle w:val="NormalSS"/>
              <w:spacing w:before="60" w:after="60"/>
              <w:ind w:firstLine="0"/>
              <w:rPr>
                <w:rFonts w:ascii="Arial" w:hAnsi="Arial" w:cs="Arial"/>
                <w:b/>
                <w:sz w:val="20"/>
                <w:szCs w:val="20"/>
              </w:rPr>
            </w:pPr>
            <w:r w:rsidRPr="00F63D0B">
              <w:rPr>
                <w:rFonts w:ascii="Arial" w:hAnsi="Arial" w:cs="Arial"/>
                <w:b/>
                <w:sz w:val="20"/>
                <w:szCs w:val="20"/>
              </w:rPr>
              <w:t>Form Name</w:t>
            </w:r>
          </w:p>
        </w:tc>
        <w:tc>
          <w:tcPr>
            <w:tcW w:w="1350" w:type="dxa"/>
            <w:shd w:val="clear" w:color="auto" w:fill="E6E6E6"/>
          </w:tcPr>
          <w:p w:rsidR="00DB2A55" w:rsidRPr="00F63D0B" w:rsidRDefault="00DB2A55" w:rsidP="004B2D93">
            <w:pPr>
              <w:pStyle w:val="NormalSS"/>
              <w:spacing w:before="60" w:after="60"/>
              <w:ind w:firstLine="0"/>
              <w:jc w:val="center"/>
              <w:rPr>
                <w:rFonts w:ascii="Arial" w:hAnsi="Arial" w:cs="Arial"/>
                <w:b/>
                <w:sz w:val="20"/>
                <w:szCs w:val="20"/>
              </w:rPr>
            </w:pPr>
            <w:r w:rsidRPr="00F63D0B">
              <w:rPr>
                <w:rFonts w:ascii="Arial" w:hAnsi="Arial" w:cs="Arial"/>
                <w:b/>
                <w:sz w:val="20"/>
                <w:szCs w:val="20"/>
              </w:rPr>
              <w:t xml:space="preserve">Number of </w:t>
            </w:r>
            <w:r w:rsidR="00044A66">
              <w:rPr>
                <w:rFonts w:ascii="Arial" w:hAnsi="Arial" w:cs="Arial"/>
                <w:b/>
                <w:sz w:val="20"/>
                <w:szCs w:val="20"/>
              </w:rPr>
              <w:t>R</w:t>
            </w:r>
            <w:r w:rsidRPr="00F63D0B">
              <w:rPr>
                <w:rFonts w:ascii="Arial" w:hAnsi="Arial" w:cs="Arial"/>
                <w:b/>
                <w:sz w:val="20"/>
                <w:szCs w:val="20"/>
              </w:rPr>
              <w:t>esponses</w:t>
            </w:r>
          </w:p>
        </w:tc>
        <w:tc>
          <w:tcPr>
            <w:tcW w:w="1209" w:type="dxa"/>
            <w:shd w:val="clear" w:color="auto" w:fill="E6E6E6"/>
          </w:tcPr>
          <w:p w:rsidR="00DB2A55" w:rsidRPr="00F63D0B" w:rsidRDefault="00DB2A55" w:rsidP="004B2D93">
            <w:pPr>
              <w:pStyle w:val="NormalSS"/>
              <w:spacing w:before="60" w:after="60"/>
              <w:ind w:firstLine="0"/>
              <w:jc w:val="center"/>
              <w:rPr>
                <w:rFonts w:ascii="Arial" w:hAnsi="Arial" w:cs="Arial"/>
                <w:b/>
                <w:sz w:val="20"/>
                <w:szCs w:val="20"/>
              </w:rPr>
            </w:pPr>
            <w:r w:rsidRPr="00F63D0B">
              <w:rPr>
                <w:rFonts w:ascii="Arial" w:hAnsi="Arial" w:cs="Arial"/>
                <w:b/>
                <w:sz w:val="20"/>
                <w:szCs w:val="20"/>
              </w:rPr>
              <w:t xml:space="preserve">Hour per </w:t>
            </w:r>
            <w:r w:rsidR="00044A66">
              <w:rPr>
                <w:rFonts w:ascii="Arial" w:hAnsi="Arial" w:cs="Arial"/>
                <w:b/>
                <w:sz w:val="20"/>
                <w:szCs w:val="20"/>
              </w:rPr>
              <w:t>R</w:t>
            </w:r>
            <w:r w:rsidRPr="00F63D0B">
              <w:rPr>
                <w:rFonts w:ascii="Arial" w:hAnsi="Arial" w:cs="Arial"/>
                <w:b/>
                <w:sz w:val="20"/>
                <w:szCs w:val="20"/>
              </w:rPr>
              <w:t>esponse</w:t>
            </w:r>
          </w:p>
        </w:tc>
        <w:tc>
          <w:tcPr>
            <w:tcW w:w="2050" w:type="dxa"/>
            <w:shd w:val="clear" w:color="auto" w:fill="E6E6E6"/>
          </w:tcPr>
          <w:p w:rsidR="00DB2A55" w:rsidRPr="00F63D0B" w:rsidRDefault="00DB2A55" w:rsidP="004B2D93">
            <w:pPr>
              <w:pStyle w:val="NormalSS"/>
              <w:spacing w:before="60" w:after="60"/>
              <w:ind w:firstLine="0"/>
              <w:jc w:val="center"/>
              <w:rPr>
                <w:rFonts w:ascii="Arial" w:hAnsi="Arial" w:cs="Arial"/>
                <w:b/>
                <w:sz w:val="20"/>
                <w:szCs w:val="20"/>
              </w:rPr>
            </w:pPr>
            <w:r w:rsidRPr="00F63D0B">
              <w:rPr>
                <w:rFonts w:ascii="Arial" w:hAnsi="Arial" w:cs="Arial"/>
                <w:b/>
                <w:sz w:val="20"/>
                <w:szCs w:val="20"/>
              </w:rPr>
              <w:t>Annual Hour Burden</w:t>
            </w:r>
          </w:p>
        </w:tc>
      </w:tr>
      <w:tr w:rsidR="002A5D37" w:rsidTr="002A5D37">
        <w:trPr>
          <w:jc w:val="center"/>
        </w:trPr>
        <w:tc>
          <w:tcPr>
            <w:tcW w:w="4429" w:type="dxa"/>
          </w:tcPr>
          <w:p w:rsidR="00DB2A55" w:rsidRPr="00044A66" w:rsidRDefault="00DB2A55" w:rsidP="00044A66">
            <w:pPr>
              <w:pStyle w:val="NormalSS"/>
              <w:spacing w:before="60" w:after="60"/>
              <w:ind w:left="24" w:firstLine="0"/>
              <w:jc w:val="left"/>
              <w:rPr>
                <w:rFonts w:ascii="Arial" w:hAnsi="Arial" w:cs="Arial"/>
                <w:sz w:val="20"/>
                <w:szCs w:val="20"/>
              </w:rPr>
            </w:pPr>
            <w:r w:rsidRPr="00044A66">
              <w:rPr>
                <w:rFonts w:ascii="Arial" w:hAnsi="Arial" w:cs="Arial"/>
                <w:sz w:val="20"/>
                <w:szCs w:val="20"/>
              </w:rPr>
              <w:t xml:space="preserve">MAO </w:t>
            </w:r>
            <w:r w:rsidR="00044A66">
              <w:rPr>
                <w:rFonts w:ascii="Arial" w:hAnsi="Arial" w:cs="Arial"/>
                <w:sz w:val="20"/>
                <w:szCs w:val="20"/>
              </w:rPr>
              <w:t>S</w:t>
            </w:r>
            <w:r w:rsidRPr="00044A66">
              <w:rPr>
                <w:rFonts w:ascii="Arial" w:hAnsi="Arial" w:cs="Arial"/>
                <w:sz w:val="20"/>
                <w:szCs w:val="20"/>
              </w:rPr>
              <w:t>urvey Initial Call</w:t>
            </w:r>
          </w:p>
        </w:tc>
        <w:tc>
          <w:tcPr>
            <w:tcW w:w="1350" w:type="dxa"/>
          </w:tcPr>
          <w:p w:rsidR="00DB2A55" w:rsidRPr="00044A66" w:rsidRDefault="00DB2A55" w:rsidP="00044A66">
            <w:pPr>
              <w:pStyle w:val="NormalSS"/>
              <w:spacing w:before="60" w:after="60"/>
              <w:ind w:firstLine="0"/>
              <w:jc w:val="center"/>
              <w:rPr>
                <w:rFonts w:ascii="Arial" w:hAnsi="Arial" w:cs="Arial"/>
                <w:sz w:val="20"/>
                <w:szCs w:val="20"/>
              </w:rPr>
            </w:pPr>
            <w:r w:rsidRPr="00044A66">
              <w:rPr>
                <w:rFonts w:ascii="Arial" w:hAnsi="Arial" w:cs="Arial"/>
                <w:sz w:val="20"/>
                <w:szCs w:val="20"/>
              </w:rPr>
              <w:t>550</w:t>
            </w:r>
          </w:p>
        </w:tc>
        <w:tc>
          <w:tcPr>
            <w:tcW w:w="1209" w:type="dxa"/>
          </w:tcPr>
          <w:p w:rsidR="00DB2A55" w:rsidRPr="00044A66" w:rsidRDefault="00DB2A55" w:rsidP="00044A66">
            <w:pPr>
              <w:pStyle w:val="NormalSS"/>
              <w:spacing w:before="60" w:after="60"/>
              <w:ind w:firstLine="0"/>
              <w:jc w:val="center"/>
              <w:rPr>
                <w:rFonts w:ascii="Arial" w:hAnsi="Arial" w:cs="Arial"/>
                <w:sz w:val="20"/>
                <w:szCs w:val="20"/>
              </w:rPr>
            </w:pPr>
            <w:r w:rsidRPr="00044A66">
              <w:rPr>
                <w:rFonts w:ascii="Arial" w:hAnsi="Arial" w:cs="Arial"/>
                <w:sz w:val="20"/>
                <w:szCs w:val="20"/>
              </w:rPr>
              <w:t>0.1</w:t>
            </w:r>
            <w:r w:rsidR="00B115A0">
              <w:rPr>
                <w:rFonts w:ascii="Arial" w:hAnsi="Arial" w:cs="Arial"/>
                <w:sz w:val="20"/>
                <w:szCs w:val="20"/>
              </w:rPr>
              <w:t>7</w:t>
            </w:r>
          </w:p>
        </w:tc>
        <w:tc>
          <w:tcPr>
            <w:tcW w:w="2050" w:type="dxa"/>
          </w:tcPr>
          <w:p w:rsidR="00DB2A55" w:rsidRPr="00044A66" w:rsidRDefault="00B115A0" w:rsidP="00044A66">
            <w:pPr>
              <w:pStyle w:val="NormalSS"/>
              <w:spacing w:before="60" w:after="60"/>
              <w:ind w:firstLine="0"/>
              <w:jc w:val="center"/>
              <w:rPr>
                <w:rFonts w:ascii="Arial" w:hAnsi="Arial" w:cs="Arial"/>
                <w:sz w:val="20"/>
                <w:szCs w:val="20"/>
              </w:rPr>
            </w:pPr>
            <w:r>
              <w:rPr>
                <w:rFonts w:ascii="Arial" w:hAnsi="Arial" w:cs="Arial"/>
                <w:sz w:val="20"/>
                <w:szCs w:val="20"/>
              </w:rPr>
              <w:t>92</w:t>
            </w:r>
          </w:p>
        </w:tc>
      </w:tr>
      <w:tr w:rsidR="002A5D37" w:rsidTr="002A5D37">
        <w:trPr>
          <w:trHeight w:val="278"/>
          <w:jc w:val="center"/>
        </w:trPr>
        <w:tc>
          <w:tcPr>
            <w:tcW w:w="4429" w:type="dxa"/>
          </w:tcPr>
          <w:p w:rsidR="002A5D37" w:rsidRDefault="00DB2A55" w:rsidP="002A5D37">
            <w:pPr>
              <w:pStyle w:val="NormalSS"/>
              <w:spacing w:before="60" w:after="60"/>
              <w:ind w:left="207" w:hanging="207"/>
              <w:jc w:val="left"/>
              <w:rPr>
                <w:rFonts w:ascii="Arial" w:hAnsi="Arial" w:cs="Arial"/>
                <w:sz w:val="20"/>
                <w:szCs w:val="20"/>
              </w:rPr>
            </w:pPr>
            <w:r w:rsidRPr="00044A66">
              <w:rPr>
                <w:rFonts w:ascii="Arial" w:hAnsi="Arial" w:cs="Arial"/>
                <w:sz w:val="20"/>
                <w:szCs w:val="20"/>
              </w:rPr>
              <w:t>MAO Mail Survey</w:t>
            </w:r>
            <w:r w:rsidR="002A5D37">
              <w:rPr>
                <w:rFonts w:ascii="Arial" w:hAnsi="Arial" w:cs="Arial"/>
                <w:sz w:val="20"/>
                <w:szCs w:val="20"/>
              </w:rPr>
              <w:t xml:space="preserve"> for Single Contract MAOs</w:t>
            </w:r>
          </w:p>
          <w:p w:rsidR="00DB2A55" w:rsidRPr="00044A66" w:rsidRDefault="002A5D37" w:rsidP="002A5D37">
            <w:pPr>
              <w:pStyle w:val="NormalSS"/>
              <w:spacing w:before="60" w:after="60"/>
              <w:ind w:left="631" w:hanging="270"/>
              <w:jc w:val="left"/>
              <w:rPr>
                <w:rFonts w:ascii="Arial" w:hAnsi="Arial" w:cs="Arial"/>
                <w:sz w:val="20"/>
                <w:szCs w:val="20"/>
              </w:rPr>
            </w:pPr>
            <w:r>
              <w:rPr>
                <w:rFonts w:ascii="Arial" w:hAnsi="Arial" w:cs="Arial"/>
                <w:sz w:val="20"/>
                <w:szCs w:val="20"/>
              </w:rPr>
              <w:t>First survey</w:t>
            </w:r>
          </w:p>
        </w:tc>
        <w:tc>
          <w:tcPr>
            <w:tcW w:w="1350" w:type="dxa"/>
          </w:tcPr>
          <w:p w:rsidR="008F2689" w:rsidRDefault="008F2689" w:rsidP="006E0BA7">
            <w:pPr>
              <w:pStyle w:val="NormalSS"/>
              <w:spacing w:before="60" w:after="60"/>
              <w:ind w:firstLine="0"/>
              <w:jc w:val="center"/>
              <w:rPr>
                <w:rFonts w:ascii="Arial" w:hAnsi="Arial" w:cs="Arial"/>
                <w:sz w:val="20"/>
                <w:szCs w:val="20"/>
              </w:rPr>
            </w:pPr>
          </w:p>
          <w:p w:rsidR="00DB2A55" w:rsidRPr="00044A66" w:rsidRDefault="00A9200B" w:rsidP="006E0BA7">
            <w:pPr>
              <w:pStyle w:val="NormalSS"/>
              <w:spacing w:before="60" w:after="60"/>
              <w:ind w:firstLine="0"/>
              <w:jc w:val="center"/>
              <w:rPr>
                <w:rFonts w:ascii="Arial" w:hAnsi="Arial" w:cs="Arial"/>
                <w:sz w:val="20"/>
                <w:szCs w:val="20"/>
              </w:rPr>
            </w:pPr>
            <w:r>
              <w:rPr>
                <w:rFonts w:ascii="Arial" w:hAnsi="Arial" w:cs="Arial"/>
                <w:sz w:val="20"/>
                <w:szCs w:val="20"/>
              </w:rPr>
              <w:t>72</w:t>
            </w:r>
          </w:p>
        </w:tc>
        <w:tc>
          <w:tcPr>
            <w:tcW w:w="1209" w:type="dxa"/>
          </w:tcPr>
          <w:p w:rsidR="008F2689" w:rsidRDefault="008F2689" w:rsidP="00044A66">
            <w:pPr>
              <w:pStyle w:val="NormalSS"/>
              <w:spacing w:before="60" w:after="60"/>
              <w:ind w:firstLine="0"/>
              <w:jc w:val="center"/>
              <w:rPr>
                <w:rFonts w:ascii="Arial" w:hAnsi="Arial" w:cs="Arial"/>
                <w:sz w:val="20"/>
                <w:szCs w:val="20"/>
              </w:rPr>
            </w:pPr>
          </w:p>
          <w:p w:rsidR="00DB2A55" w:rsidRPr="00044A66" w:rsidRDefault="003E3AB5" w:rsidP="00044A66">
            <w:pPr>
              <w:pStyle w:val="NormalSS"/>
              <w:spacing w:before="60" w:after="60"/>
              <w:ind w:firstLine="0"/>
              <w:jc w:val="center"/>
              <w:rPr>
                <w:rFonts w:ascii="Arial" w:hAnsi="Arial" w:cs="Arial"/>
                <w:sz w:val="20"/>
                <w:szCs w:val="20"/>
              </w:rPr>
            </w:pPr>
            <w:r>
              <w:rPr>
                <w:rFonts w:ascii="Arial" w:hAnsi="Arial" w:cs="Arial"/>
                <w:sz w:val="20"/>
                <w:szCs w:val="20"/>
              </w:rPr>
              <w:t>0.9</w:t>
            </w:r>
            <w:r w:rsidR="00DB2A55" w:rsidRPr="00044A66">
              <w:rPr>
                <w:rFonts w:ascii="Arial" w:hAnsi="Arial" w:cs="Arial"/>
                <w:sz w:val="20"/>
                <w:szCs w:val="20"/>
              </w:rPr>
              <w:t>2</w:t>
            </w:r>
          </w:p>
        </w:tc>
        <w:tc>
          <w:tcPr>
            <w:tcW w:w="2050" w:type="dxa"/>
          </w:tcPr>
          <w:p w:rsidR="00A9200B" w:rsidRDefault="00A9200B" w:rsidP="006E0BA7">
            <w:pPr>
              <w:pStyle w:val="NormalSS"/>
              <w:spacing w:before="60" w:after="60"/>
              <w:ind w:firstLine="0"/>
              <w:jc w:val="center"/>
              <w:rPr>
                <w:rFonts w:ascii="Arial" w:hAnsi="Arial" w:cs="Arial"/>
                <w:sz w:val="20"/>
                <w:szCs w:val="20"/>
              </w:rPr>
            </w:pPr>
          </w:p>
          <w:p w:rsidR="00DB2A55" w:rsidRPr="00044A66" w:rsidRDefault="00A9200B" w:rsidP="006E0BA7">
            <w:pPr>
              <w:pStyle w:val="NormalSS"/>
              <w:spacing w:before="60" w:after="60"/>
              <w:ind w:firstLine="0"/>
              <w:jc w:val="center"/>
              <w:rPr>
                <w:rFonts w:ascii="Arial" w:hAnsi="Arial" w:cs="Arial"/>
                <w:sz w:val="20"/>
                <w:szCs w:val="20"/>
              </w:rPr>
            </w:pPr>
            <w:r>
              <w:rPr>
                <w:rFonts w:ascii="Arial" w:hAnsi="Arial" w:cs="Arial"/>
                <w:sz w:val="20"/>
                <w:szCs w:val="20"/>
              </w:rPr>
              <w:t>66</w:t>
            </w:r>
          </w:p>
        </w:tc>
      </w:tr>
      <w:tr w:rsidR="002A5D37" w:rsidTr="002A5D37">
        <w:trPr>
          <w:trHeight w:val="278"/>
          <w:jc w:val="center"/>
        </w:trPr>
        <w:tc>
          <w:tcPr>
            <w:tcW w:w="4429" w:type="dxa"/>
          </w:tcPr>
          <w:p w:rsidR="002A5D37" w:rsidRDefault="002A5D37" w:rsidP="002A5D37">
            <w:pPr>
              <w:pStyle w:val="NormalSS"/>
              <w:spacing w:before="60" w:after="60"/>
              <w:ind w:left="207" w:hanging="207"/>
              <w:jc w:val="left"/>
              <w:rPr>
                <w:rFonts w:ascii="Arial" w:hAnsi="Arial" w:cs="Arial"/>
                <w:sz w:val="20"/>
                <w:szCs w:val="20"/>
              </w:rPr>
            </w:pPr>
            <w:r w:rsidRPr="00044A66">
              <w:rPr>
                <w:rFonts w:ascii="Arial" w:hAnsi="Arial" w:cs="Arial"/>
                <w:sz w:val="20"/>
                <w:szCs w:val="20"/>
              </w:rPr>
              <w:t>MAO Mail Survey</w:t>
            </w:r>
            <w:r>
              <w:rPr>
                <w:rFonts w:ascii="Arial" w:hAnsi="Arial" w:cs="Arial"/>
                <w:sz w:val="20"/>
                <w:szCs w:val="20"/>
              </w:rPr>
              <w:t xml:space="preserve"> for Multiple Contract MAOs</w:t>
            </w:r>
          </w:p>
          <w:p w:rsidR="00892A48" w:rsidRPr="002A5D37" w:rsidRDefault="002A5D37" w:rsidP="002A5D37">
            <w:pPr>
              <w:pStyle w:val="NormalSS"/>
              <w:spacing w:before="60" w:after="60"/>
              <w:ind w:left="361" w:firstLine="0"/>
              <w:jc w:val="left"/>
              <w:rPr>
                <w:rFonts w:ascii="Arial" w:hAnsi="Arial" w:cs="Arial"/>
                <w:color w:val="FFFFFF" w:themeColor="background1"/>
                <w:sz w:val="20"/>
                <w:szCs w:val="20"/>
              </w:rPr>
            </w:pPr>
            <w:r>
              <w:rPr>
                <w:rFonts w:ascii="Arial" w:hAnsi="Arial" w:cs="Arial"/>
                <w:sz w:val="20"/>
                <w:szCs w:val="20"/>
              </w:rPr>
              <w:t>First survey</w:t>
            </w:r>
            <w:r>
              <w:rPr>
                <w:rFonts w:ascii="Arial" w:hAnsi="Arial" w:cs="Arial"/>
                <w:sz w:val="20"/>
                <w:szCs w:val="20"/>
              </w:rPr>
              <w:br/>
              <w:t>Each additional survey</w:t>
            </w:r>
          </w:p>
        </w:tc>
        <w:tc>
          <w:tcPr>
            <w:tcW w:w="1350" w:type="dxa"/>
          </w:tcPr>
          <w:p w:rsidR="008F2689" w:rsidRDefault="008F2689" w:rsidP="008F2689">
            <w:pPr>
              <w:pStyle w:val="NormalSS"/>
              <w:spacing w:before="60" w:after="60"/>
              <w:ind w:firstLine="0"/>
              <w:jc w:val="center"/>
              <w:rPr>
                <w:rFonts w:ascii="Arial" w:hAnsi="Arial" w:cs="Arial"/>
                <w:sz w:val="20"/>
                <w:szCs w:val="20"/>
              </w:rPr>
            </w:pPr>
          </w:p>
          <w:p w:rsidR="00892A48" w:rsidRDefault="00A9200B" w:rsidP="008F2689">
            <w:pPr>
              <w:pStyle w:val="NormalSS"/>
              <w:spacing w:before="60" w:after="60"/>
              <w:ind w:firstLine="0"/>
              <w:jc w:val="center"/>
              <w:rPr>
                <w:rFonts w:ascii="Arial" w:hAnsi="Arial" w:cs="Arial"/>
                <w:sz w:val="20"/>
                <w:szCs w:val="20"/>
              </w:rPr>
            </w:pPr>
            <w:r>
              <w:rPr>
                <w:rFonts w:ascii="Arial" w:hAnsi="Arial" w:cs="Arial"/>
                <w:sz w:val="20"/>
                <w:szCs w:val="20"/>
              </w:rPr>
              <w:t>59</w:t>
            </w:r>
            <w:r w:rsidR="002A5D37">
              <w:rPr>
                <w:rFonts w:ascii="Arial" w:hAnsi="Arial" w:cs="Arial"/>
                <w:sz w:val="20"/>
                <w:szCs w:val="20"/>
              </w:rPr>
              <w:br/>
            </w:r>
            <w:r>
              <w:rPr>
                <w:rFonts w:ascii="Arial" w:hAnsi="Arial" w:cs="Arial"/>
                <w:sz w:val="20"/>
                <w:szCs w:val="20"/>
              </w:rPr>
              <w:t>309</w:t>
            </w:r>
          </w:p>
        </w:tc>
        <w:tc>
          <w:tcPr>
            <w:tcW w:w="1209" w:type="dxa"/>
          </w:tcPr>
          <w:p w:rsidR="008F2689" w:rsidRDefault="008F2689" w:rsidP="00044A66">
            <w:pPr>
              <w:pStyle w:val="NormalSS"/>
              <w:spacing w:before="60" w:after="60"/>
              <w:ind w:firstLine="0"/>
              <w:jc w:val="center"/>
              <w:rPr>
                <w:rFonts w:ascii="Arial" w:hAnsi="Arial" w:cs="Arial"/>
                <w:sz w:val="20"/>
                <w:szCs w:val="20"/>
              </w:rPr>
            </w:pPr>
          </w:p>
          <w:p w:rsidR="00892A48" w:rsidRDefault="008F2689" w:rsidP="00044A66">
            <w:pPr>
              <w:pStyle w:val="NormalSS"/>
              <w:spacing w:before="60" w:after="60"/>
              <w:ind w:firstLine="0"/>
              <w:jc w:val="center"/>
              <w:rPr>
                <w:rFonts w:ascii="Arial" w:hAnsi="Arial" w:cs="Arial"/>
                <w:sz w:val="20"/>
                <w:szCs w:val="20"/>
              </w:rPr>
            </w:pPr>
            <w:r>
              <w:rPr>
                <w:rFonts w:ascii="Arial" w:hAnsi="Arial" w:cs="Arial"/>
                <w:sz w:val="20"/>
                <w:szCs w:val="20"/>
              </w:rPr>
              <w:t>0</w:t>
            </w:r>
            <w:r w:rsidR="002A5D37">
              <w:rPr>
                <w:rFonts w:ascii="Arial" w:hAnsi="Arial" w:cs="Arial"/>
                <w:sz w:val="20"/>
                <w:szCs w:val="20"/>
              </w:rPr>
              <w:t>.92</w:t>
            </w:r>
            <w:r w:rsidR="002A5D37">
              <w:rPr>
                <w:rFonts w:ascii="Arial" w:hAnsi="Arial" w:cs="Arial"/>
                <w:sz w:val="20"/>
                <w:szCs w:val="20"/>
              </w:rPr>
              <w:br/>
            </w:r>
            <w:r>
              <w:rPr>
                <w:rFonts w:ascii="Arial" w:hAnsi="Arial" w:cs="Arial"/>
                <w:sz w:val="20"/>
                <w:szCs w:val="20"/>
              </w:rPr>
              <w:t>0</w:t>
            </w:r>
            <w:r w:rsidR="0083568B">
              <w:rPr>
                <w:rFonts w:ascii="Arial" w:hAnsi="Arial" w:cs="Arial"/>
                <w:sz w:val="20"/>
                <w:szCs w:val="20"/>
              </w:rPr>
              <w:t>.</w:t>
            </w:r>
            <w:r w:rsidR="00A9200B">
              <w:rPr>
                <w:rFonts w:ascii="Arial" w:hAnsi="Arial" w:cs="Arial"/>
                <w:sz w:val="20"/>
                <w:szCs w:val="20"/>
              </w:rPr>
              <w:t>42</w:t>
            </w:r>
          </w:p>
        </w:tc>
        <w:tc>
          <w:tcPr>
            <w:tcW w:w="2050" w:type="dxa"/>
          </w:tcPr>
          <w:p w:rsidR="00892A48" w:rsidRDefault="00892A48" w:rsidP="00044A66">
            <w:pPr>
              <w:pStyle w:val="NormalSS"/>
              <w:spacing w:before="60" w:after="60"/>
              <w:ind w:firstLine="0"/>
              <w:jc w:val="center"/>
              <w:rPr>
                <w:rFonts w:ascii="Arial" w:hAnsi="Arial" w:cs="Arial"/>
                <w:sz w:val="20"/>
                <w:szCs w:val="20"/>
              </w:rPr>
            </w:pPr>
          </w:p>
          <w:p w:rsidR="008F2689" w:rsidRDefault="00A9200B" w:rsidP="00044A66">
            <w:pPr>
              <w:pStyle w:val="NormalSS"/>
              <w:spacing w:before="60" w:after="60"/>
              <w:ind w:firstLine="0"/>
              <w:jc w:val="center"/>
              <w:rPr>
                <w:rFonts w:ascii="Arial" w:hAnsi="Arial" w:cs="Arial"/>
                <w:sz w:val="20"/>
                <w:szCs w:val="20"/>
              </w:rPr>
            </w:pPr>
            <w:r>
              <w:rPr>
                <w:rFonts w:ascii="Arial" w:hAnsi="Arial" w:cs="Arial"/>
                <w:sz w:val="20"/>
                <w:szCs w:val="20"/>
              </w:rPr>
              <w:t>54</w:t>
            </w:r>
            <w:r>
              <w:rPr>
                <w:rFonts w:ascii="Arial" w:hAnsi="Arial" w:cs="Arial"/>
                <w:sz w:val="20"/>
                <w:szCs w:val="20"/>
              </w:rPr>
              <w:br/>
              <w:t>130</w:t>
            </w:r>
          </w:p>
        </w:tc>
      </w:tr>
      <w:tr w:rsidR="002A5D37" w:rsidTr="002A5D37">
        <w:trPr>
          <w:jc w:val="center"/>
        </w:trPr>
        <w:tc>
          <w:tcPr>
            <w:tcW w:w="4429" w:type="dxa"/>
          </w:tcPr>
          <w:p w:rsidR="00DB2A55" w:rsidRPr="00044A66" w:rsidRDefault="00962E2E" w:rsidP="00044A66">
            <w:pPr>
              <w:pStyle w:val="NormalSS"/>
              <w:spacing w:before="60" w:after="60"/>
              <w:ind w:left="24" w:firstLine="0"/>
              <w:jc w:val="left"/>
              <w:rPr>
                <w:rFonts w:ascii="Arial" w:hAnsi="Arial" w:cs="Arial"/>
                <w:sz w:val="20"/>
                <w:szCs w:val="20"/>
                <w:highlight w:val="yellow"/>
              </w:rPr>
            </w:pPr>
            <w:r>
              <w:rPr>
                <w:rFonts w:ascii="Arial" w:hAnsi="Arial" w:cs="Arial"/>
                <w:sz w:val="20"/>
                <w:szCs w:val="20"/>
              </w:rPr>
              <w:t>Case Study Interviews</w:t>
            </w:r>
          </w:p>
        </w:tc>
        <w:tc>
          <w:tcPr>
            <w:tcW w:w="1350" w:type="dxa"/>
          </w:tcPr>
          <w:p w:rsidR="00DB2A55" w:rsidRPr="00044A66" w:rsidRDefault="00044A66" w:rsidP="00044A66">
            <w:pPr>
              <w:pStyle w:val="NormalSS"/>
              <w:spacing w:before="60" w:after="60"/>
              <w:ind w:firstLine="0"/>
              <w:jc w:val="center"/>
              <w:rPr>
                <w:rFonts w:ascii="Arial" w:hAnsi="Arial" w:cs="Arial"/>
                <w:sz w:val="20"/>
                <w:szCs w:val="20"/>
                <w:highlight w:val="yellow"/>
              </w:rPr>
            </w:pPr>
            <w:r w:rsidRPr="00044A66">
              <w:rPr>
                <w:rFonts w:ascii="Arial" w:hAnsi="Arial" w:cs="Arial"/>
                <w:sz w:val="20"/>
                <w:szCs w:val="20"/>
              </w:rPr>
              <w:t>1</w:t>
            </w:r>
            <w:r w:rsidR="009700E4">
              <w:rPr>
                <w:rFonts w:ascii="Arial" w:hAnsi="Arial" w:cs="Arial"/>
                <w:sz w:val="20"/>
                <w:szCs w:val="20"/>
              </w:rPr>
              <w:t>80</w:t>
            </w:r>
          </w:p>
        </w:tc>
        <w:tc>
          <w:tcPr>
            <w:tcW w:w="1209" w:type="dxa"/>
          </w:tcPr>
          <w:p w:rsidR="00DB2A55" w:rsidRPr="009700E4" w:rsidRDefault="009700E4" w:rsidP="00044A66">
            <w:pPr>
              <w:pStyle w:val="NormalSS"/>
              <w:spacing w:before="60" w:after="60"/>
              <w:ind w:firstLine="0"/>
              <w:jc w:val="center"/>
              <w:rPr>
                <w:rFonts w:ascii="Arial" w:hAnsi="Arial" w:cs="Arial"/>
                <w:sz w:val="20"/>
                <w:szCs w:val="20"/>
              </w:rPr>
            </w:pPr>
            <w:r w:rsidRPr="009700E4">
              <w:rPr>
                <w:rFonts w:ascii="Arial" w:hAnsi="Arial" w:cs="Arial"/>
                <w:sz w:val="20"/>
                <w:szCs w:val="20"/>
              </w:rPr>
              <w:t>2</w:t>
            </w:r>
            <w:r w:rsidR="00B115A0">
              <w:rPr>
                <w:rFonts w:ascii="Arial" w:hAnsi="Arial" w:cs="Arial"/>
                <w:sz w:val="20"/>
                <w:szCs w:val="20"/>
              </w:rPr>
              <w:t>.00</w:t>
            </w:r>
          </w:p>
        </w:tc>
        <w:tc>
          <w:tcPr>
            <w:tcW w:w="2050" w:type="dxa"/>
          </w:tcPr>
          <w:p w:rsidR="00DB2A55" w:rsidRPr="009700E4" w:rsidRDefault="002A5D37" w:rsidP="006E0BA7">
            <w:pPr>
              <w:pStyle w:val="NormalSS"/>
              <w:spacing w:before="60" w:after="60"/>
              <w:ind w:firstLine="0"/>
              <w:jc w:val="center"/>
              <w:rPr>
                <w:rFonts w:ascii="Arial" w:hAnsi="Arial" w:cs="Arial"/>
                <w:sz w:val="20"/>
                <w:szCs w:val="20"/>
              </w:rPr>
            </w:pPr>
            <w:r>
              <w:rPr>
                <w:rFonts w:ascii="Arial" w:hAnsi="Arial" w:cs="Arial"/>
                <w:sz w:val="20"/>
                <w:szCs w:val="20"/>
              </w:rPr>
              <w:t>360</w:t>
            </w:r>
          </w:p>
        </w:tc>
      </w:tr>
    </w:tbl>
    <w:p w:rsidR="003812B8" w:rsidRDefault="003812B8" w:rsidP="003812B8">
      <w:pPr>
        <w:spacing w:line="240" w:lineRule="auto"/>
      </w:pPr>
    </w:p>
    <w:p w:rsidR="00D5611D" w:rsidRDefault="00D5611D" w:rsidP="00E04AD1">
      <w:pPr>
        <w:pStyle w:val="Heading3"/>
        <w:numPr>
          <w:ilvl w:val="0"/>
          <w:numId w:val="7"/>
        </w:numPr>
        <w:spacing w:after="0"/>
        <w:ind w:left="1260" w:hanging="540"/>
      </w:pPr>
      <w:bookmarkStart w:id="22" w:name="_Toc515165883"/>
      <w:bookmarkStart w:id="23" w:name="_Toc515179926"/>
      <w:bookmarkStart w:id="24" w:name="_Toc184631511"/>
      <w:bookmarkStart w:id="25" w:name="_Toc195336908"/>
      <w:r>
        <w:t>Capital Costs (Maintenance of Capital Costs)</w:t>
      </w:r>
      <w:bookmarkEnd w:id="22"/>
      <w:bookmarkEnd w:id="23"/>
      <w:bookmarkEnd w:id="24"/>
      <w:bookmarkEnd w:id="25"/>
    </w:p>
    <w:p w:rsidR="00D5611D" w:rsidRDefault="00417FDF" w:rsidP="00985980">
      <w:pPr>
        <w:spacing w:line="240" w:lineRule="auto"/>
        <w:ind w:left="1260" w:firstLine="0"/>
      </w:pPr>
      <w:r>
        <w:t>No capital costs</w:t>
      </w:r>
      <w:r w:rsidR="00BD165A">
        <w:t xml:space="preserve"> will accrue </w:t>
      </w:r>
      <w:r w:rsidR="00D5611D">
        <w:t>to respondents</w:t>
      </w:r>
      <w:r w:rsidR="00BD165A">
        <w:t>.</w:t>
      </w:r>
    </w:p>
    <w:p w:rsidR="00D5611D" w:rsidRDefault="00D5611D" w:rsidP="00D5611D">
      <w:pPr>
        <w:spacing w:line="240" w:lineRule="auto"/>
      </w:pPr>
    </w:p>
    <w:p w:rsidR="00D5611D" w:rsidRDefault="00D5611D" w:rsidP="00E04AD1">
      <w:pPr>
        <w:pStyle w:val="Heading3"/>
        <w:numPr>
          <w:ilvl w:val="0"/>
          <w:numId w:val="7"/>
        </w:numPr>
        <w:spacing w:after="0"/>
        <w:ind w:left="1260" w:hanging="540"/>
      </w:pPr>
      <w:bookmarkStart w:id="26" w:name="_Toc515165884"/>
      <w:bookmarkStart w:id="27" w:name="_Toc515179927"/>
      <w:bookmarkStart w:id="28" w:name="_Toc184631512"/>
      <w:bookmarkStart w:id="29" w:name="_Toc195336909"/>
      <w:r>
        <w:t>Cost to Federal Government</w:t>
      </w:r>
      <w:bookmarkEnd w:id="26"/>
      <w:bookmarkEnd w:id="27"/>
      <w:bookmarkEnd w:id="28"/>
      <w:bookmarkEnd w:id="29"/>
    </w:p>
    <w:p w:rsidR="00D5611D" w:rsidRDefault="00D5611D" w:rsidP="00785313">
      <w:pPr>
        <w:spacing w:line="240" w:lineRule="auto"/>
        <w:ind w:left="1260" w:firstLine="0"/>
      </w:pPr>
      <w:r>
        <w:t xml:space="preserve">The estimated cost to the federal government for </w:t>
      </w:r>
      <w:r w:rsidR="00417FDF">
        <w:t>design, field testing</w:t>
      </w:r>
      <w:r w:rsidR="0076322A">
        <w:t>,</w:t>
      </w:r>
      <w:r w:rsidR="00417FDF">
        <w:t xml:space="preserve"> obtaining approval of the OMB package, data collection</w:t>
      </w:r>
      <w:r w:rsidR="0076322A">
        <w:t>,</w:t>
      </w:r>
      <w:r w:rsidR="00417FDF">
        <w:t xml:space="preserve"> and an analysis of the findings is </w:t>
      </w:r>
      <w:r w:rsidR="0022049C" w:rsidRPr="0060790E">
        <w:t>$</w:t>
      </w:r>
      <w:r w:rsidR="0060790E">
        <w:t>610,117</w:t>
      </w:r>
      <w:r w:rsidR="00417FDF">
        <w:t>.</w:t>
      </w:r>
    </w:p>
    <w:p w:rsidR="00D5611D" w:rsidRDefault="00D5611D" w:rsidP="00D5611D">
      <w:pPr>
        <w:pStyle w:val="NormalSS"/>
      </w:pPr>
    </w:p>
    <w:p w:rsidR="00D5611D" w:rsidRDefault="00D5611D" w:rsidP="00E04AD1">
      <w:pPr>
        <w:pStyle w:val="Heading3"/>
        <w:numPr>
          <w:ilvl w:val="0"/>
          <w:numId w:val="7"/>
        </w:numPr>
        <w:tabs>
          <w:tab w:val="left" w:pos="1260"/>
        </w:tabs>
        <w:spacing w:after="0"/>
        <w:ind w:left="1260" w:hanging="540"/>
      </w:pPr>
      <w:bookmarkStart w:id="30" w:name="_Toc515165885"/>
      <w:bookmarkStart w:id="31" w:name="_Toc515179928"/>
      <w:bookmarkStart w:id="32" w:name="_Toc184631513"/>
      <w:bookmarkStart w:id="33" w:name="_Toc195336910"/>
      <w:r>
        <w:t>Program or Burden Changes</w:t>
      </w:r>
      <w:bookmarkEnd w:id="30"/>
      <w:bookmarkEnd w:id="31"/>
      <w:bookmarkEnd w:id="32"/>
      <w:bookmarkEnd w:id="33"/>
    </w:p>
    <w:p w:rsidR="00D5611D" w:rsidRPr="006C1D14" w:rsidRDefault="002A26EA" w:rsidP="00785313">
      <w:pPr>
        <w:spacing w:line="240" w:lineRule="auto"/>
        <w:ind w:left="1260" w:firstLine="0"/>
      </w:pPr>
      <w:r w:rsidRPr="006C1D14">
        <w:t xml:space="preserve">Subsequent to the publication of the 60-day Federal Register notice (77 FR 57090), </w:t>
      </w:r>
      <w:bookmarkStart w:id="34" w:name="_GoBack"/>
      <w:bookmarkEnd w:id="34"/>
      <w:r w:rsidRPr="006C1D14">
        <w:t xml:space="preserve">the </w:t>
      </w:r>
      <w:r w:rsidR="008F2689" w:rsidRPr="006C1D14">
        <w:t xml:space="preserve">survey </w:t>
      </w:r>
      <w:r w:rsidRPr="006C1D14">
        <w:t>was revised as follows.</w:t>
      </w:r>
    </w:p>
    <w:p w:rsidR="002A26EA" w:rsidRPr="002A26EA" w:rsidRDefault="002A26EA" w:rsidP="00785313">
      <w:pPr>
        <w:spacing w:line="240" w:lineRule="auto"/>
        <w:ind w:left="1260" w:firstLine="0"/>
        <w:rPr>
          <w:b/>
        </w:rPr>
      </w:pPr>
    </w:p>
    <w:p w:rsidR="008F2689" w:rsidRDefault="008F2689" w:rsidP="00785313">
      <w:pPr>
        <w:spacing w:line="240" w:lineRule="auto"/>
        <w:ind w:left="1260" w:firstLine="0"/>
      </w:pPr>
      <w:r>
        <w:t xml:space="preserve">The survey was revised to remove questions determined to be duplicative and to add questions </w:t>
      </w:r>
      <w:r w:rsidR="00A9200B">
        <w:t xml:space="preserve">either </w:t>
      </w:r>
      <w:r>
        <w:t>requested during the public comment period</w:t>
      </w:r>
      <w:r w:rsidR="00A9200B">
        <w:t xml:space="preserve"> or during the pre-test</w:t>
      </w:r>
      <w:r>
        <w:t xml:space="preserve">. </w:t>
      </w:r>
      <w:r w:rsidR="009D2C2B">
        <w:t xml:space="preserve">Minor revisions to some response categories and editorial corrections were </w:t>
      </w:r>
      <w:r w:rsidR="00A9200B">
        <w:t xml:space="preserve">also </w:t>
      </w:r>
      <w:r w:rsidR="009D2C2B">
        <w:t>made.</w:t>
      </w:r>
    </w:p>
    <w:p w:rsidR="008F2689" w:rsidRDefault="008F2689" w:rsidP="00785313">
      <w:pPr>
        <w:spacing w:line="240" w:lineRule="auto"/>
        <w:ind w:left="1260" w:firstLine="0"/>
      </w:pPr>
    </w:p>
    <w:p w:rsidR="002A26EA" w:rsidRPr="008F2689" w:rsidRDefault="009D2C2B" w:rsidP="00785313">
      <w:pPr>
        <w:spacing w:line="240" w:lineRule="auto"/>
        <w:ind w:left="1260" w:firstLine="0"/>
      </w:pPr>
      <w:r>
        <w:lastRenderedPageBreak/>
        <w:t xml:space="preserve">In addition to a paper survey, MAOs now also have the option of submitting an electronic version of the survey. As a result, the </w:t>
      </w:r>
      <w:r w:rsidR="002A26EA" w:rsidRPr="008F2689">
        <w:t xml:space="preserve">burden </w:t>
      </w:r>
      <w:r>
        <w:t xml:space="preserve">for MAOs with multiple contracts </w:t>
      </w:r>
      <w:r w:rsidR="002A26EA" w:rsidRPr="008F2689">
        <w:t xml:space="preserve">has </w:t>
      </w:r>
      <w:r w:rsidR="004A15FC">
        <w:t>decreased</w:t>
      </w:r>
      <w:r>
        <w:t>.</w:t>
      </w:r>
      <w:r w:rsidR="006E0BA7" w:rsidRPr="008F2689">
        <w:t xml:space="preserve"> </w:t>
      </w:r>
      <w:r>
        <w:t>W</w:t>
      </w:r>
      <w:r w:rsidR="006E0BA7" w:rsidRPr="008F2689">
        <w:t xml:space="preserve">e assume that </w:t>
      </w:r>
      <w:r>
        <w:t>MAOs with multiple contracts</w:t>
      </w:r>
      <w:r w:rsidR="006E0BA7" w:rsidRPr="008F2689">
        <w:t xml:space="preserve"> will complete an electronic version of the instrument</w:t>
      </w:r>
      <w:r>
        <w:t xml:space="preserve"> because, after they have </w:t>
      </w:r>
      <w:r w:rsidRPr="008F2689">
        <w:t>complete</w:t>
      </w:r>
      <w:r>
        <w:t>d</w:t>
      </w:r>
      <w:r w:rsidRPr="008F2689">
        <w:t xml:space="preserve"> the initial survey instrument</w:t>
      </w:r>
      <w:r>
        <w:t>, they will be able to more quickly complete subsequent surveys</w:t>
      </w:r>
      <w:r w:rsidR="006E0BA7" w:rsidRPr="008F2689">
        <w:t>.</w:t>
      </w:r>
    </w:p>
    <w:p w:rsidR="00D5611D" w:rsidRPr="006E0BA7" w:rsidRDefault="00D5611D" w:rsidP="00D5611D">
      <w:pPr>
        <w:spacing w:line="240" w:lineRule="auto"/>
      </w:pPr>
    </w:p>
    <w:p w:rsidR="00D5611D" w:rsidRDefault="00D5611D" w:rsidP="00E04AD1">
      <w:pPr>
        <w:pStyle w:val="Heading3"/>
        <w:numPr>
          <w:ilvl w:val="0"/>
          <w:numId w:val="7"/>
        </w:numPr>
        <w:spacing w:after="0"/>
        <w:ind w:left="1260" w:hanging="540"/>
      </w:pPr>
      <w:bookmarkStart w:id="35" w:name="_Toc515165886"/>
      <w:bookmarkStart w:id="36" w:name="_Toc515179929"/>
      <w:bookmarkStart w:id="37" w:name="_Toc184631514"/>
      <w:bookmarkStart w:id="38" w:name="_Toc195336911"/>
      <w:r>
        <w:t>Publication and Tabulation Dates</w:t>
      </w:r>
      <w:bookmarkEnd w:id="35"/>
      <w:bookmarkEnd w:id="36"/>
      <w:bookmarkEnd w:id="37"/>
      <w:bookmarkEnd w:id="38"/>
    </w:p>
    <w:p w:rsidR="00334DDA" w:rsidRDefault="00334DDA" w:rsidP="00F63D0B">
      <w:pPr>
        <w:tabs>
          <w:tab w:val="left" w:pos="1260"/>
        </w:tabs>
        <w:spacing w:line="240" w:lineRule="auto"/>
        <w:ind w:left="1260" w:firstLine="0"/>
      </w:pPr>
      <w:r>
        <w:t xml:space="preserve">The survey will be conducted in 2013 (roughly </w:t>
      </w:r>
      <w:r w:rsidR="006E0BA7">
        <w:t>August</w:t>
      </w:r>
      <w:r>
        <w:t xml:space="preserve"> through mid </w:t>
      </w:r>
      <w:r w:rsidR="006E0BA7">
        <w:t>October</w:t>
      </w:r>
      <w:r>
        <w:t xml:space="preserve">). The following table shows the overall schedule for the survey, including the beginning and ending dates for data collection. </w:t>
      </w:r>
    </w:p>
    <w:p w:rsidR="00334DDA" w:rsidRDefault="00334DDA" w:rsidP="00334DDA">
      <w:pPr>
        <w:spacing w:line="240" w:lineRule="auto"/>
      </w:pPr>
    </w:p>
    <w:p w:rsidR="00334DDA" w:rsidRPr="00790E5D" w:rsidRDefault="00334DDA" w:rsidP="00F63D0B">
      <w:pPr>
        <w:pStyle w:val="MarkforTable"/>
        <w:ind w:left="1260"/>
        <w:rPr>
          <w:rFonts w:ascii="Arial" w:hAnsi="Arial" w:cs="Arial"/>
          <w:b/>
          <w:sz w:val="22"/>
          <w:szCs w:val="22"/>
        </w:rPr>
      </w:pPr>
      <w:r w:rsidRPr="00790E5D">
        <w:rPr>
          <w:rFonts w:ascii="Arial" w:hAnsi="Arial" w:cs="Arial"/>
          <w:b/>
          <w:sz w:val="22"/>
          <w:szCs w:val="22"/>
        </w:rPr>
        <w:t>PROPOSED SURVEY SCHEDULE</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3348"/>
      </w:tblGrid>
      <w:tr w:rsidR="00F63D0B" w:rsidRPr="00F63D0B" w:rsidTr="00F63D0B">
        <w:tc>
          <w:tcPr>
            <w:tcW w:w="4860" w:type="dxa"/>
            <w:shd w:val="clear" w:color="auto" w:fill="E6E6E6"/>
          </w:tcPr>
          <w:p w:rsidR="00334DDA" w:rsidRPr="00F63D0B" w:rsidRDefault="00334DDA" w:rsidP="00F63D0B">
            <w:pPr>
              <w:tabs>
                <w:tab w:val="clear" w:pos="432"/>
              </w:tabs>
              <w:spacing w:before="60" w:after="60" w:line="240" w:lineRule="auto"/>
              <w:ind w:firstLine="0"/>
              <w:jc w:val="left"/>
              <w:rPr>
                <w:rFonts w:ascii="Arial" w:hAnsi="Arial" w:cs="Arial"/>
                <w:b/>
                <w:bCs/>
                <w:sz w:val="20"/>
                <w:szCs w:val="20"/>
              </w:rPr>
            </w:pPr>
            <w:r w:rsidRPr="00F63D0B">
              <w:rPr>
                <w:rFonts w:ascii="Arial" w:hAnsi="Arial" w:cs="Arial"/>
                <w:b/>
                <w:bCs/>
                <w:sz w:val="20"/>
                <w:szCs w:val="20"/>
              </w:rPr>
              <w:t>Activity</w:t>
            </w:r>
          </w:p>
        </w:tc>
        <w:tc>
          <w:tcPr>
            <w:tcW w:w="3348" w:type="dxa"/>
            <w:shd w:val="clear" w:color="auto" w:fill="E6E6E6"/>
          </w:tcPr>
          <w:p w:rsidR="00334DDA" w:rsidRPr="00F63D0B" w:rsidRDefault="00334DDA" w:rsidP="00F63D0B">
            <w:pPr>
              <w:tabs>
                <w:tab w:val="clear" w:pos="432"/>
              </w:tabs>
              <w:spacing w:before="60" w:after="60" w:line="240" w:lineRule="auto"/>
              <w:ind w:firstLine="0"/>
              <w:jc w:val="left"/>
              <w:rPr>
                <w:rFonts w:ascii="Arial" w:hAnsi="Arial" w:cs="Arial"/>
                <w:sz w:val="20"/>
                <w:szCs w:val="20"/>
              </w:rPr>
            </w:pPr>
            <w:r w:rsidRPr="00F63D0B">
              <w:rPr>
                <w:rFonts w:ascii="Arial" w:hAnsi="Arial" w:cs="Arial"/>
                <w:b/>
                <w:bCs/>
                <w:sz w:val="20"/>
                <w:szCs w:val="20"/>
              </w:rPr>
              <w:t xml:space="preserve">Time Frame </w:t>
            </w:r>
          </w:p>
        </w:tc>
      </w:tr>
      <w:tr w:rsidR="00F63D0B" w:rsidTr="00F63D0B">
        <w:tc>
          <w:tcPr>
            <w:tcW w:w="4860" w:type="dxa"/>
          </w:tcPr>
          <w:p w:rsidR="00334DDA" w:rsidRPr="00F63D0B" w:rsidRDefault="00334DDA" w:rsidP="00E04AD1">
            <w:pPr>
              <w:pStyle w:val="Header"/>
              <w:spacing w:before="60" w:after="60"/>
              <w:ind w:firstLine="0"/>
              <w:jc w:val="left"/>
              <w:rPr>
                <w:rFonts w:ascii="Arial" w:hAnsi="Arial" w:cs="Arial"/>
                <w:sz w:val="20"/>
                <w:szCs w:val="20"/>
              </w:rPr>
            </w:pPr>
            <w:r w:rsidRPr="00F63D0B">
              <w:rPr>
                <w:rFonts w:ascii="Arial" w:hAnsi="Arial" w:cs="Arial"/>
                <w:sz w:val="20"/>
                <w:szCs w:val="20"/>
              </w:rPr>
              <w:t xml:space="preserve">Mail letter to </w:t>
            </w:r>
            <w:r w:rsidR="00E04AD1">
              <w:rPr>
                <w:rFonts w:ascii="Arial" w:hAnsi="Arial" w:cs="Arial"/>
                <w:sz w:val="20"/>
                <w:szCs w:val="20"/>
              </w:rPr>
              <w:t>MAO CEOs and</w:t>
            </w:r>
            <w:r w:rsidRPr="00F63D0B">
              <w:rPr>
                <w:rFonts w:ascii="Arial" w:hAnsi="Arial" w:cs="Arial"/>
                <w:sz w:val="20"/>
                <w:szCs w:val="20"/>
              </w:rPr>
              <w:t xml:space="preserve"> presidents</w:t>
            </w:r>
          </w:p>
        </w:tc>
        <w:tc>
          <w:tcPr>
            <w:tcW w:w="3348" w:type="dxa"/>
          </w:tcPr>
          <w:p w:rsidR="00334DDA" w:rsidRPr="00F63D0B" w:rsidRDefault="009D2C2B" w:rsidP="006E0BA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June</w:t>
            </w:r>
            <w:r w:rsidR="00334DDA" w:rsidRPr="00F63D0B">
              <w:rPr>
                <w:rFonts w:ascii="Arial" w:hAnsi="Arial" w:cs="Arial"/>
                <w:sz w:val="20"/>
                <w:szCs w:val="20"/>
              </w:rPr>
              <w:t xml:space="preserve"> 4 – 6, 2013</w:t>
            </w:r>
          </w:p>
        </w:tc>
      </w:tr>
      <w:tr w:rsidR="00F63D0B" w:rsidTr="00F63D0B">
        <w:tc>
          <w:tcPr>
            <w:tcW w:w="4860" w:type="dxa"/>
          </w:tcPr>
          <w:p w:rsidR="00334DDA" w:rsidRPr="00F63D0B" w:rsidRDefault="00334DDA" w:rsidP="00F63D0B">
            <w:pPr>
              <w:pStyle w:val="Header"/>
              <w:spacing w:before="60" w:after="60"/>
              <w:ind w:firstLine="0"/>
              <w:jc w:val="left"/>
              <w:rPr>
                <w:rFonts w:ascii="Arial" w:hAnsi="Arial" w:cs="Arial"/>
                <w:sz w:val="20"/>
                <w:szCs w:val="20"/>
              </w:rPr>
            </w:pPr>
            <w:r w:rsidRPr="00F63D0B">
              <w:rPr>
                <w:rFonts w:ascii="Arial" w:hAnsi="Arial" w:cs="Arial"/>
                <w:sz w:val="20"/>
                <w:szCs w:val="20"/>
              </w:rPr>
              <w:t>Conduct pre-survey screening calls to identify survey respondents</w:t>
            </w:r>
          </w:p>
        </w:tc>
        <w:tc>
          <w:tcPr>
            <w:tcW w:w="3348" w:type="dxa"/>
          </w:tcPr>
          <w:p w:rsidR="00334DDA" w:rsidRPr="00F63D0B" w:rsidRDefault="009D2C2B" w:rsidP="009D2C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June</w:t>
            </w:r>
            <w:r w:rsidR="00334DDA" w:rsidRPr="00F63D0B">
              <w:rPr>
                <w:rFonts w:ascii="Arial" w:hAnsi="Arial" w:cs="Arial"/>
                <w:sz w:val="20"/>
                <w:szCs w:val="20"/>
              </w:rPr>
              <w:t xml:space="preserve"> 6 – </w:t>
            </w:r>
            <w:r>
              <w:rPr>
                <w:rFonts w:ascii="Arial" w:hAnsi="Arial" w:cs="Arial"/>
                <w:sz w:val="20"/>
                <w:szCs w:val="20"/>
              </w:rPr>
              <w:t>July</w:t>
            </w:r>
            <w:r w:rsidR="00334DDA" w:rsidRPr="00F63D0B">
              <w:rPr>
                <w:rFonts w:ascii="Arial" w:hAnsi="Arial" w:cs="Arial"/>
                <w:sz w:val="20"/>
                <w:szCs w:val="20"/>
              </w:rPr>
              <w:t xml:space="preserve"> 4, 2013</w:t>
            </w:r>
          </w:p>
        </w:tc>
      </w:tr>
      <w:tr w:rsidR="00F63D0B" w:rsidTr="00F63D0B">
        <w:tc>
          <w:tcPr>
            <w:tcW w:w="4860" w:type="dxa"/>
          </w:tcPr>
          <w:p w:rsidR="00334DDA" w:rsidRPr="00F63D0B" w:rsidRDefault="00334DDA" w:rsidP="00F63D0B">
            <w:pPr>
              <w:pStyle w:val="Header"/>
              <w:spacing w:before="60" w:after="60"/>
              <w:ind w:firstLine="0"/>
              <w:jc w:val="left"/>
              <w:rPr>
                <w:rFonts w:ascii="Arial" w:hAnsi="Arial" w:cs="Arial"/>
                <w:sz w:val="20"/>
                <w:szCs w:val="20"/>
              </w:rPr>
            </w:pPr>
            <w:r w:rsidRPr="00F63D0B">
              <w:rPr>
                <w:rFonts w:ascii="Arial" w:hAnsi="Arial" w:cs="Arial"/>
                <w:sz w:val="20"/>
                <w:szCs w:val="20"/>
              </w:rPr>
              <w:t>Mail out advance letter and copy of survey to all respondents</w:t>
            </w:r>
          </w:p>
        </w:tc>
        <w:tc>
          <w:tcPr>
            <w:tcW w:w="3348" w:type="dxa"/>
          </w:tcPr>
          <w:p w:rsidR="00334DDA" w:rsidRPr="00F63D0B" w:rsidRDefault="009D2C2B" w:rsidP="009D2C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June</w:t>
            </w:r>
            <w:r w:rsidR="00334DDA" w:rsidRPr="00F63D0B">
              <w:rPr>
                <w:rFonts w:ascii="Arial" w:hAnsi="Arial" w:cs="Arial"/>
                <w:sz w:val="20"/>
                <w:szCs w:val="20"/>
              </w:rPr>
              <w:t xml:space="preserve"> 6 – </w:t>
            </w:r>
            <w:r>
              <w:rPr>
                <w:rFonts w:ascii="Arial" w:hAnsi="Arial" w:cs="Arial"/>
                <w:sz w:val="20"/>
                <w:szCs w:val="20"/>
              </w:rPr>
              <w:t>July</w:t>
            </w:r>
            <w:r w:rsidR="00334DDA" w:rsidRPr="00F63D0B">
              <w:rPr>
                <w:rFonts w:ascii="Arial" w:hAnsi="Arial" w:cs="Arial"/>
                <w:sz w:val="20"/>
                <w:szCs w:val="20"/>
              </w:rPr>
              <w:t xml:space="preserve"> 4, 2013</w:t>
            </w:r>
          </w:p>
        </w:tc>
      </w:tr>
      <w:tr w:rsidR="00F63D0B" w:rsidTr="00F63D0B">
        <w:tc>
          <w:tcPr>
            <w:tcW w:w="4860" w:type="dxa"/>
          </w:tcPr>
          <w:p w:rsidR="00334DDA" w:rsidRPr="00F63D0B" w:rsidRDefault="00334DDA" w:rsidP="00F63D0B">
            <w:pPr>
              <w:pStyle w:val="Header"/>
              <w:spacing w:before="60" w:after="60"/>
              <w:ind w:firstLine="0"/>
              <w:jc w:val="left"/>
              <w:rPr>
                <w:rFonts w:ascii="Arial" w:hAnsi="Arial" w:cs="Arial"/>
                <w:sz w:val="20"/>
                <w:szCs w:val="20"/>
              </w:rPr>
            </w:pPr>
            <w:r w:rsidRPr="00F63D0B">
              <w:rPr>
                <w:rFonts w:ascii="Arial" w:hAnsi="Arial" w:cs="Arial"/>
                <w:sz w:val="20"/>
                <w:szCs w:val="20"/>
              </w:rPr>
              <w:t xml:space="preserve">Send fax, mail, or electronic reminders about survey to all </w:t>
            </w:r>
            <w:proofErr w:type="spellStart"/>
            <w:r w:rsidRPr="00F63D0B">
              <w:rPr>
                <w:rFonts w:ascii="Arial" w:hAnsi="Arial" w:cs="Arial"/>
                <w:sz w:val="20"/>
                <w:szCs w:val="20"/>
              </w:rPr>
              <w:t>nonrespondents</w:t>
            </w:r>
            <w:proofErr w:type="spellEnd"/>
          </w:p>
        </w:tc>
        <w:tc>
          <w:tcPr>
            <w:tcW w:w="3348" w:type="dxa"/>
          </w:tcPr>
          <w:p w:rsidR="00334DDA" w:rsidRPr="00F63D0B" w:rsidRDefault="009D2C2B" w:rsidP="009D2C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June</w:t>
            </w:r>
            <w:r w:rsidR="00334DDA" w:rsidRPr="00F63D0B">
              <w:rPr>
                <w:rFonts w:ascii="Arial" w:hAnsi="Arial" w:cs="Arial"/>
                <w:sz w:val="20"/>
                <w:szCs w:val="20"/>
              </w:rPr>
              <w:t xml:space="preserve"> 18 – </w:t>
            </w:r>
            <w:r>
              <w:rPr>
                <w:rFonts w:ascii="Arial" w:hAnsi="Arial" w:cs="Arial"/>
                <w:sz w:val="20"/>
                <w:szCs w:val="20"/>
              </w:rPr>
              <w:t>July</w:t>
            </w:r>
            <w:r w:rsidR="00334DDA" w:rsidRPr="00F63D0B">
              <w:rPr>
                <w:rFonts w:ascii="Arial" w:hAnsi="Arial" w:cs="Arial"/>
                <w:sz w:val="20"/>
                <w:szCs w:val="20"/>
              </w:rPr>
              <w:t xml:space="preserve"> 18, 2013</w:t>
            </w:r>
          </w:p>
        </w:tc>
      </w:tr>
      <w:tr w:rsidR="00F63D0B" w:rsidTr="00F63D0B">
        <w:tc>
          <w:tcPr>
            <w:tcW w:w="4860" w:type="dxa"/>
          </w:tcPr>
          <w:p w:rsidR="00334DDA" w:rsidRPr="00F63D0B" w:rsidRDefault="00334DDA" w:rsidP="00F63D0B">
            <w:pPr>
              <w:pStyle w:val="Header"/>
              <w:spacing w:before="60" w:after="60"/>
              <w:ind w:firstLine="0"/>
              <w:jc w:val="left"/>
              <w:rPr>
                <w:rFonts w:ascii="Arial" w:hAnsi="Arial" w:cs="Arial"/>
                <w:sz w:val="20"/>
                <w:szCs w:val="20"/>
              </w:rPr>
            </w:pPr>
            <w:r w:rsidRPr="00F63D0B">
              <w:rPr>
                <w:rFonts w:ascii="Arial" w:hAnsi="Arial" w:cs="Arial"/>
                <w:sz w:val="20"/>
                <w:szCs w:val="20"/>
              </w:rPr>
              <w:t xml:space="preserve">Make follow-up calls to </w:t>
            </w:r>
            <w:proofErr w:type="spellStart"/>
            <w:r w:rsidRPr="00F63D0B">
              <w:rPr>
                <w:rFonts w:ascii="Arial" w:hAnsi="Arial" w:cs="Arial"/>
                <w:sz w:val="20"/>
                <w:szCs w:val="20"/>
              </w:rPr>
              <w:t>nonrespondents</w:t>
            </w:r>
            <w:proofErr w:type="spellEnd"/>
            <w:r w:rsidRPr="00F63D0B">
              <w:rPr>
                <w:rFonts w:ascii="Arial" w:hAnsi="Arial" w:cs="Arial"/>
                <w:sz w:val="20"/>
                <w:szCs w:val="20"/>
              </w:rPr>
              <w:t xml:space="preserve"> </w:t>
            </w:r>
          </w:p>
        </w:tc>
        <w:tc>
          <w:tcPr>
            <w:tcW w:w="3348" w:type="dxa"/>
          </w:tcPr>
          <w:p w:rsidR="00334DDA" w:rsidRPr="00F63D0B" w:rsidRDefault="009D2C2B" w:rsidP="009D2C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June</w:t>
            </w:r>
            <w:r w:rsidR="00334DDA" w:rsidRPr="00F63D0B">
              <w:rPr>
                <w:rFonts w:ascii="Arial" w:hAnsi="Arial" w:cs="Arial"/>
                <w:sz w:val="20"/>
                <w:szCs w:val="20"/>
              </w:rPr>
              <w:t xml:space="preserve"> 18 – </w:t>
            </w:r>
            <w:r>
              <w:rPr>
                <w:rFonts w:ascii="Arial" w:hAnsi="Arial" w:cs="Arial"/>
                <w:sz w:val="20"/>
                <w:szCs w:val="20"/>
              </w:rPr>
              <w:t>July</w:t>
            </w:r>
            <w:r w:rsidR="00334DDA" w:rsidRPr="00F63D0B">
              <w:rPr>
                <w:rFonts w:ascii="Arial" w:hAnsi="Arial" w:cs="Arial"/>
                <w:sz w:val="20"/>
                <w:szCs w:val="20"/>
              </w:rPr>
              <w:t xml:space="preserve"> 18, 2013</w:t>
            </w:r>
          </w:p>
        </w:tc>
      </w:tr>
      <w:tr w:rsidR="00F63D0B" w:rsidTr="00F63D0B">
        <w:tc>
          <w:tcPr>
            <w:tcW w:w="4860" w:type="dxa"/>
          </w:tcPr>
          <w:p w:rsidR="00334DDA" w:rsidRPr="00F63D0B" w:rsidRDefault="00334DDA" w:rsidP="00F63D0B">
            <w:pPr>
              <w:pStyle w:val="Header"/>
              <w:spacing w:before="60" w:after="60"/>
              <w:ind w:firstLine="0"/>
              <w:jc w:val="left"/>
              <w:rPr>
                <w:rFonts w:ascii="Arial" w:hAnsi="Arial" w:cs="Arial"/>
                <w:sz w:val="20"/>
                <w:szCs w:val="20"/>
              </w:rPr>
            </w:pPr>
            <w:r w:rsidRPr="00F63D0B">
              <w:rPr>
                <w:rFonts w:ascii="Arial" w:hAnsi="Arial" w:cs="Arial"/>
                <w:sz w:val="20"/>
                <w:szCs w:val="20"/>
              </w:rPr>
              <w:t>End data collection</w:t>
            </w:r>
          </w:p>
        </w:tc>
        <w:tc>
          <w:tcPr>
            <w:tcW w:w="3348" w:type="dxa"/>
          </w:tcPr>
          <w:p w:rsidR="00334DDA" w:rsidRPr="00F63D0B" w:rsidRDefault="009D2C2B" w:rsidP="006E0BA7">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August</w:t>
            </w:r>
            <w:r w:rsidR="00334DDA" w:rsidRPr="00F63D0B">
              <w:rPr>
                <w:rFonts w:ascii="Arial" w:hAnsi="Arial" w:cs="Arial"/>
                <w:sz w:val="20"/>
                <w:szCs w:val="20"/>
              </w:rPr>
              <w:t xml:space="preserve"> 12, 2013</w:t>
            </w:r>
          </w:p>
        </w:tc>
      </w:tr>
      <w:tr w:rsidR="00F63D0B" w:rsidTr="00F63D0B">
        <w:tc>
          <w:tcPr>
            <w:tcW w:w="4860" w:type="dxa"/>
          </w:tcPr>
          <w:p w:rsidR="00334DDA" w:rsidRPr="00F63D0B" w:rsidRDefault="00334DDA" w:rsidP="00F63D0B">
            <w:pPr>
              <w:pStyle w:val="Header"/>
              <w:spacing w:before="60" w:after="60"/>
              <w:ind w:firstLine="0"/>
              <w:jc w:val="left"/>
              <w:rPr>
                <w:rFonts w:ascii="Arial" w:hAnsi="Arial" w:cs="Arial"/>
                <w:sz w:val="20"/>
                <w:szCs w:val="20"/>
              </w:rPr>
            </w:pPr>
            <w:r w:rsidRPr="00F63D0B">
              <w:rPr>
                <w:rFonts w:ascii="Arial" w:hAnsi="Arial" w:cs="Arial"/>
                <w:sz w:val="20"/>
                <w:szCs w:val="20"/>
              </w:rPr>
              <w:t>Clean Data</w:t>
            </w:r>
          </w:p>
        </w:tc>
        <w:tc>
          <w:tcPr>
            <w:tcW w:w="3348" w:type="dxa"/>
          </w:tcPr>
          <w:p w:rsidR="00334DDA" w:rsidRPr="00F63D0B" w:rsidRDefault="009D2C2B" w:rsidP="009D2C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August</w:t>
            </w:r>
            <w:r w:rsidR="00334DDA" w:rsidRPr="00F63D0B">
              <w:rPr>
                <w:rFonts w:ascii="Arial" w:hAnsi="Arial" w:cs="Arial"/>
                <w:sz w:val="20"/>
                <w:szCs w:val="20"/>
              </w:rPr>
              <w:t xml:space="preserve"> 15 – </w:t>
            </w:r>
            <w:r>
              <w:rPr>
                <w:rFonts w:ascii="Arial" w:hAnsi="Arial" w:cs="Arial"/>
                <w:sz w:val="20"/>
                <w:szCs w:val="20"/>
              </w:rPr>
              <w:t>September</w:t>
            </w:r>
            <w:r w:rsidR="00334DDA" w:rsidRPr="00F63D0B">
              <w:rPr>
                <w:rFonts w:ascii="Arial" w:hAnsi="Arial" w:cs="Arial"/>
                <w:sz w:val="20"/>
                <w:szCs w:val="20"/>
              </w:rPr>
              <w:t xml:space="preserve"> 6, 2013</w:t>
            </w:r>
          </w:p>
        </w:tc>
      </w:tr>
      <w:tr w:rsidR="00F63D0B" w:rsidTr="00F63D0B">
        <w:tc>
          <w:tcPr>
            <w:tcW w:w="4860" w:type="dxa"/>
          </w:tcPr>
          <w:p w:rsidR="00334DDA" w:rsidRPr="00F63D0B" w:rsidRDefault="00334DDA" w:rsidP="00F63D0B">
            <w:pPr>
              <w:pStyle w:val="Header"/>
              <w:spacing w:before="60" w:after="60"/>
              <w:ind w:firstLine="0"/>
              <w:jc w:val="left"/>
              <w:rPr>
                <w:rFonts w:ascii="Arial" w:hAnsi="Arial" w:cs="Arial"/>
                <w:sz w:val="20"/>
                <w:szCs w:val="20"/>
              </w:rPr>
            </w:pPr>
            <w:r w:rsidRPr="00F63D0B">
              <w:rPr>
                <w:rFonts w:ascii="Arial" w:hAnsi="Arial" w:cs="Arial"/>
                <w:sz w:val="20"/>
                <w:szCs w:val="20"/>
              </w:rPr>
              <w:t>Prepare analytic file and analyze data</w:t>
            </w:r>
          </w:p>
        </w:tc>
        <w:tc>
          <w:tcPr>
            <w:tcW w:w="3348" w:type="dxa"/>
          </w:tcPr>
          <w:p w:rsidR="00334DDA" w:rsidRPr="00F63D0B" w:rsidRDefault="009D2C2B" w:rsidP="009D2C2B">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September</w:t>
            </w:r>
            <w:r w:rsidR="00334DDA" w:rsidRPr="00F63D0B">
              <w:rPr>
                <w:rFonts w:ascii="Arial" w:hAnsi="Arial" w:cs="Arial"/>
                <w:sz w:val="20"/>
                <w:szCs w:val="20"/>
              </w:rPr>
              <w:t xml:space="preserve"> 7 – </w:t>
            </w:r>
            <w:r>
              <w:rPr>
                <w:rFonts w:ascii="Arial" w:hAnsi="Arial" w:cs="Arial"/>
                <w:sz w:val="20"/>
                <w:szCs w:val="20"/>
              </w:rPr>
              <w:t>October</w:t>
            </w:r>
            <w:r w:rsidR="00334DDA" w:rsidRPr="00F63D0B">
              <w:rPr>
                <w:rFonts w:ascii="Arial" w:hAnsi="Arial" w:cs="Arial"/>
                <w:sz w:val="20"/>
                <w:szCs w:val="20"/>
              </w:rPr>
              <w:t xml:space="preserve"> 21, 2013</w:t>
            </w:r>
          </w:p>
        </w:tc>
      </w:tr>
      <w:tr w:rsidR="00F63D0B" w:rsidTr="00F63D0B">
        <w:tc>
          <w:tcPr>
            <w:tcW w:w="4860" w:type="dxa"/>
          </w:tcPr>
          <w:p w:rsidR="00334DDA" w:rsidRPr="00F63D0B" w:rsidRDefault="00334DDA" w:rsidP="00F63D0B">
            <w:pPr>
              <w:pStyle w:val="Header"/>
              <w:spacing w:before="60" w:after="60"/>
              <w:ind w:firstLine="0"/>
              <w:jc w:val="left"/>
              <w:rPr>
                <w:rFonts w:ascii="Arial" w:hAnsi="Arial" w:cs="Arial"/>
                <w:sz w:val="20"/>
                <w:szCs w:val="20"/>
              </w:rPr>
            </w:pPr>
            <w:r w:rsidRPr="00F63D0B">
              <w:rPr>
                <w:rFonts w:ascii="Arial" w:hAnsi="Arial" w:cs="Arial"/>
                <w:sz w:val="20"/>
                <w:szCs w:val="20"/>
              </w:rPr>
              <w:t xml:space="preserve">Final interim report </w:t>
            </w:r>
          </w:p>
        </w:tc>
        <w:tc>
          <w:tcPr>
            <w:tcW w:w="3348" w:type="dxa"/>
          </w:tcPr>
          <w:p w:rsidR="00334DDA" w:rsidRPr="00F63D0B" w:rsidRDefault="00334DDA" w:rsidP="00F63D0B">
            <w:pPr>
              <w:tabs>
                <w:tab w:val="clear" w:pos="432"/>
              </w:tabs>
              <w:spacing w:before="60" w:after="60" w:line="240" w:lineRule="auto"/>
              <w:ind w:firstLine="0"/>
              <w:jc w:val="left"/>
              <w:rPr>
                <w:rFonts w:ascii="Arial" w:hAnsi="Arial" w:cs="Arial"/>
                <w:sz w:val="20"/>
                <w:szCs w:val="20"/>
              </w:rPr>
            </w:pPr>
            <w:r w:rsidRPr="00F63D0B">
              <w:rPr>
                <w:rFonts w:ascii="Arial" w:hAnsi="Arial" w:cs="Arial"/>
                <w:sz w:val="20"/>
                <w:szCs w:val="20"/>
              </w:rPr>
              <w:t>November 29, 2013</w:t>
            </w:r>
          </w:p>
        </w:tc>
      </w:tr>
      <w:tr w:rsidR="00F63D0B" w:rsidTr="00F63D0B">
        <w:tc>
          <w:tcPr>
            <w:tcW w:w="4860" w:type="dxa"/>
          </w:tcPr>
          <w:p w:rsidR="00334DDA" w:rsidRPr="00F63D0B" w:rsidRDefault="00334DDA" w:rsidP="00F63D0B">
            <w:pPr>
              <w:pStyle w:val="Header"/>
              <w:spacing w:before="60" w:after="60"/>
              <w:ind w:firstLine="0"/>
              <w:jc w:val="left"/>
              <w:rPr>
                <w:rFonts w:ascii="Arial" w:hAnsi="Arial" w:cs="Arial"/>
                <w:sz w:val="20"/>
                <w:szCs w:val="20"/>
              </w:rPr>
            </w:pPr>
            <w:r w:rsidRPr="00F63D0B">
              <w:rPr>
                <w:rFonts w:ascii="Arial" w:hAnsi="Arial" w:cs="Arial"/>
                <w:sz w:val="20"/>
                <w:szCs w:val="20"/>
              </w:rPr>
              <w:t>Final evaluation report</w:t>
            </w:r>
          </w:p>
        </w:tc>
        <w:tc>
          <w:tcPr>
            <w:tcW w:w="3348" w:type="dxa"/>
          </w:tcPr>
          <w:p w:rsidR="00334DDA" w:rsidRPr="00F63D0B" w:rsidRDefault="00334DDA" w:rsidP="00F63D0B">
            <w:pPr>
              <w:tabs>
                <w:tab w:val="clear" w:pos="432"/>
              </w:tabs>
              <w:spacing w:before="60" w:after="60" w:line="240" w:lineRule="auto"/>
              <w:ind w:firstLine="0"/>
              <w:jc w:val="left"/>
              <w:rPr>
                <w:rFonts w:ascii="Arial" w:hAnsi="Arial" w:cs="Arial"/>
                <w:sz w:val="20"/>
                <w:szCs w:val="20"/>
              </w:rPr>
            </w:pPr>
            <w:r w:rsidRPr="00F63D0B">
              <w:rPr>
                <w:rFonts w:ascii="Arial" w:hAnsi="Arial" w:cs="Arial"/>
                <w:sz w:val="20"/>
                <w:szCs w:val="20"/>
              </w:rPr>
              <w:t>July 29, 2015</w:t>
            </w:r>
          </w:p>
        </w:tc>
      </w:tr>
    </w:tbl>
    <w:p w:rsidR="00334DDA" w:rsidRDefault="00334DDA" w:rsidP="00334DDA">
      <w:pPr>
        <w:spacing w:line="240" w:lineRule="auto"/>
      </w:pPr>
    </w:p>
    <w:p w:rsidR="00334DDA" w:rsidRDefault="00334DDA" w:rsidP="00F63D0B">
      <w:pPr>
        <w:spacing w:line="240" w:lineRule="auto"/>
        <w:ind w:left="1260" w:firstLine="0"/>
      </w:pPr>
      <w:r>
        <w:t xml:space="preserve">The findings of the plan survey will be reported through an interim report submitted by the contractor to CMS in November 2013. A first and fundamental step in the analysis of survey results will be to examine the variables of interest for normality, identifying those with a skewed distribution and potentially transforming the data (e.g., log form) to impose normality. For continuous variables, this </w:t>
      </w:r>
      <w:proofErr w:type="spellStart"/>
      <w:r>
        <w:t>univariate</w:t>
      </w:r>
      <w:proofErr w:type="spellEnd"/>
      <w:r>
        <w:t xml:space="preserve"> analysis can be conducted with visual inspection of the variables through scatter plot matrixes, box-plots, and other graphical displays. Analysis of outliers will also be an important component of the </w:t>
      </w:r>
      <w:proofErr w:type="spellStart"/>
      <w:r>
        <w:t>univariate</w:t>
      </w:r>
      <w:proofErr w:type="spellEnd"/>
      <w:r>
        <w:t xml:space="preserve"> analysis.</w:t>
      </w:r>
      <w:r w:rsidR="009D2C2B">
        <w:t xml:space="preserve"> </w:t>
      </w:r>
      <w:r>
        <w:t>In addition, simple frequencies of study variables will be calculated for the population total and by stratum of interest (e.g., plan type, geography, program type</w:t>
      </w:r>
      <w:r w:rsidR="00044A66">
        <w:t>)</w:t>
      </w:r>
      <w:r>
        <w:t xml:space="preserve"> to provide a basic description of the study population. The next step will involve bivariate analyses to examine the relationships among the variables of interest. Again, visual inspection through graphical analyses will be performed to observe the directionality of the relationships.</w:t>
      </w:r>
    </w:p>
    <w:p w:rsidR="00334DDA" w:rsidRDefault="00334DDA" w:rsidP="00334DDA">
      <w:pPr>
        <w:spacing w:line="240" w:lineRule="auto"/>
      </w:pPr>
    </w:p>
    <w:p w:rsidR="00334DDA" w:rsidRDefault="00334DDA" w:rsidP="00F63D0B">
      <w:pPr>
        <w:spacing w:line="240" w:lineRule="auto"/>
        <w:ind w:left="1260" w:firstLine="0"/>
      </w:pPr>
      <w:r>
        <w:lastRenderedPageBreak/>
        <w:t xml:space="preserve">While this study is largely </w:t>
      </w:r>
      <w:r w:rsidRPr="00E04AD1">
        <w:t>descriptive, multivariate analyses can be instructive in identifying the magnitudes and likelihoods of relationships between health plan or quality improvement characteristics and outcomes of interest. For example, we can look at which characteristics might be associated with plan quality, payments, and changes in quality over time to help document the demonstration’s impact. The specific models will be developed after receipt of the data. However</w:t>
      </w:r>
      <w:r>
        <w:t>, a sample multivariate regression model can be summarized by the equation below along with brief examples of data elements.</w:t>
      </w:r>
    </w:p>
    <w:p w:rsidR="00334DDA" w:rsidRDefault="00334DDA" w:rsidP="00334DDA">
      <w:pPr>
        <w:spacing w:line="240" w:lineRule="auto"/>
      </w:pPr>
    </w:p>
    <w:p w:rsidR="00334DDA" w:rsidRDefault="00334DDA" w:rsidP="00F63D0B">
      <w:pPr>
        <w:spacing w:line="240" w:lineRule="auto"/>
        <w:ind w:left="720" w:firstLine="720"/>
      </w:pPr>
      <w:r>
        <w:t>Y</w:t>
      </w:r>
      <w:r>
        <w:rPr>
          <w:vertAlign w:val="subscript"/>
        </w:rPr>
        <w:t>i</w:t>
      </w:r>
      <w:r>
        <w:t xml:space="preserve"> = </w:t>
      </w:r>
      <w:r>
        <w:sym w:font="Symbol" w:char="F062"/>
      </w:r>
      <w:r>
        <w:rPr>
          <w:vertAlign w:val="subscript"/>
        </w:rPr>
        <w:t>0</w:t>
      </w:r>
      <w:r>
        <w:t xml:space="preserve"> + </w:t>
      </w:r>
      <w:r>
        <w:sym w:font="Symbol" w:char="F062"/>
      </w:r>
      <w:r>
        <w:rPr>
          <w:vertAlign w:val="subscript"/>
        </w:rPr>
        <w:t>1</w:t>
      </w:r>
      <w:r>
        <w:t>’X</w:t>
      </w:r>
      <w:r>
        <w:rPr>
          <w:vertAlign w:val="subscript"/>
        </w:rPr>
        <w:t>1</w:t>
      </w:r>
      <w:r>
        <w:t xml:space="preserve">’ + </w:t>
      </w:r>
      <w:r>
        <w:sym w:font="Symbol" w:char="F062"/>
      </w:r>
      <w:r>
        <w:rPr>
          <w:vertAlign w:val="subscript"/>
        </w:rPr>
        <w:t>2</w:t>
      </w:r>
      <w:r>
        <w:t>’X</w:t>
      </w:r>
      <w:r>
        <w:rPr>
          <w:vertAlign w:val="subscript"/>
        </w:rPr>
        <w:t>2</w:t>
      </w:r>
      <w:r>
        <w:t xml:space="preserve">’ + </w:t>
      </w:r>
      <w:r>
        <w:sym w:font="Symbol" w:char="F062"/>
      </w:r>
      <w:r>
        <w:rPr>
          <w:vertAlign w:val="subscript"/>
        </w:rPr>
        <w:t>3</w:t>
      </w:r>
      <w:r>
        <w:t>’X</w:t>
      </w:r>
      <w:r>
        <w:rPr>
          <w:vertAlign w:val="subscript"/>
        </w:rPr>
        <w:t>3</w:t>
      </w:r>
      <w:r>
        <w:t xml:space="preserve">’ + </w:t>
      </w:r>
      <w:r>
        <w:sym w:font="Symbol" w:char="F062"/>
      </w:r>
      <w:r>
        <w:rPr>
          <w:vertAlign w:val="subscript"/>
        </w:rPr>
        <w:t>4</w:t>
      </w:r>
      <w:r>
        <w:t>’X</w:t>
      </w:r>
      <w:r>
        <w:rPr>
          <w:vertAlign w:val="subscript"/>
        </w:rPr>
        <w:t>4</w:t>
      </w:r>
      <w:r>
        <w:t xml:space="preserve">’ + </w:t>
      </w:r>
      <w:r>
        <w:sym w:font="Symbol" w:char="F065"/>
      </w:r>
      <w:r>
        <w:rPr>
          <w:vertAlign w:val="subscript"/>
        </w:rPr>
        <w:t>i</w:t>
      </w:r>
    </w:p>
    <w:p w:rsidR="00334DDA" w:rsidRDefault="00334DDA" w:rsidP="00334DDA">
      <w:pPr>
        <w:spacing w:line="240" w:lineRule="auto"/>
      </w:pPr>
    </w:p>
    <w:p w:rsidR="00334DDA" w:rsidRDefault="00334DDA" w:rsidP="00F63D0B">
      <w:pPr>
        <w:spacing w:line="240" w:lineRule="auto"/>
        <w:ind w:left="1980" w:hanging="720"/>
      </w:pPr>
      <w:r>
        <w:t xml:space="preserve">i = </w:t>
      </w:r>
      <w:r>
        <w:tab/>
        <w:t>unique health plan (1 to n, where n=1</w:t>
      </w:r>
      <w:proofErr w:type="gramStart"/>
      <w:r>
        <w:t>,2,3</w:t>
      </w:r>
      <w:proofErr w:type="gramEnd"/>
      <w:r>
        <w:t>…sample size)</w:t>
      </w:r>
    </w:p>
    <w:p w:rsidR="00334DDA" w:rsidRDefault="00334DDA" w:rsidP="00F63D0B">
      <w:pPr>
        <w:spacing w:line="240" w:lineRule="auto"/>
        <w:ind w:left="1980" w:hanging="720"/>
      </w:pPr>
      <w:r>
        <w:t xml:space="preserve">Yi = </w:t>
      </w:r>
      <w:r>
        <w:tab/>
        <w:t>Outcome variable for health plan ‘i’ and may include:</w:t>
      </w:r>
    </w:p>
    <w:p w:rsidR="00334DDA" w:rsidRDefault="00334DDA" w:rsidP="00F63D0B">
      <w:pPr>
        <w:pStyle w:val="ListBullet"/>
      </w:pPr>
      <w:r>
        <w:t>Participation/attrition %</w:t>
      </w:r>
    </w:p>
    <w:p w:rsidR="00334DDA" w:rsidRDefault="00334DDA" w:rsidP="00F63D0B">
      <w:pPr>
        <w:spacing w:line="240" w:lineRule="auto"/>
        <w:ind w:left="1980" w:hanging="720"/>
      </w:pPr>
      <w:r>
        <w:t>X</w:t>
      </w:r>
      <w:r>
        <w:rPr>
          <w:vertAlign w:val="subscript"/>
        </w:rPr>
        <w:t>1</w:t>
      </w:r>
      <w:r>
        <w:t xml:space="preserve">’ = </w:t>
      </w:r>
      <w:r>
        <w:tab/>
        <w:t>represents the vector of health system/health plan characteristics and may include:</w:t>
      </w:r>
    </w:p>
    <w:p w:rsidR="00334DDA" w:rsidRDefault="00334DDA" w:rsidP="00F63D0B">
      <w:pPr>
        <w:pStyle w:val="ListBullet"/>
      </w:pPr>
      <w:r>
        <w:t>Health plan features (size, enrollment, model type/contracting)</w:t>
      </w:r>
    </w:p>
    <w:p w:rsidR="00334DDA" w:rsidRDefault="00334DDA" w:rsidP="00F63D0B">
      <w:pPr>
        <w:pStyle w:val="ListBullet"/>
      </w:pPr>
      <w:r>
        <w:t>Geography (region, state)</w:t>
      </w:r>
    </w:p>
    <w:p w:rsidR="00334DDA" w:rsidRDefault="00334DDA" w:rsidP="00F63D0B">
      <w:pPr>
        <w:spacing w:line="240" w:lineRule="auto"/>
        <w:ind w:left="1980" w:hanging="720"/>
      </w:pPr>
      <w:r>
        <w:t>X</w:t>
      </w:r>
      <w:r>
        <w:rPr>
          <w:vertAlign w:val="subscript"/>
        </w:rPr>
        <w:t>2</w:t>
      </w:r>
      <w:r>
        <w:t xml:space="preserve">’ = </w:t>
      </w:r>
      <w:r>
        <w:tab/>
        <w:t>represents the vector of program characteristics and may include:</w:t>
      </w:r>
    </w:p>
    <w:p w:rsidR="00334DDA" w:rsidRDefault="00334DDA" w:rsidP="00F63D0B">
      <w:pPr>
        <w:pStyle w:val="ListBullet"/>
      </w:pPr>
      <w:r>
        <w:t>Program orientation (e.g., patient/provider/both)</w:t>
      </w:r>
    </w:p>
    <w:p w:rsidR="00334DDA" w:rsidRDefault="00334DDA" w:rsidP="00F63D0B">
      <w:pPr>
        <w:pStyle w:val="ListBullet"/>
      </w:pPr>
      <w:r>
        <w:t>Data system type</w:t>
      </w:r>
    </w:p>
    <w:p w:rsidR="00334DDA" w:rsidRDefault="00334DDA" w:rsidP="00044A66">
      <w:pPr>
        <w:pStyle w:val="ListBullet"/>
      </w:pPr>
      <w:r>
        <w:t>Mode/frequency of identification approaches</w:t>
      </w:r>
    </w:p>
    <w:p w:rsidR="00334DDA" w:rsidRDefault="00334DDA" w:rsidP="00345DD1">
      <w:pPr>
        <w:pStyle w:val="ListBullet"/>
      </w:pPr>
      <w:r>
        <w:t>Monitoring/Education features</w:t>
      </w:r>
    </w:p>
    <w:p w:rsidR="00334DDA" w:rsidRDefault="00334DDA" w:rsidP="00345DD1">
      <w:pPr>
        <w:pStyle w:val="ListBullet"/>
      </w:pPr>
      <w:r>
        <w:t>Duration</w:t>
      </w:r>
    </w:p>
    <w:p w:rsidR="00334DDA" w:rsidRDefault="00334DDA" w:rsidP="00345DD1">
      <w:pPr>
        <w:pStyle w:val="ListBullet"/>
      </w:pPr>
      <w:r>
        <w:t>Provider support tools</w:t>
      </w:r>
    </w:p>
    <w:p w:rsidR="00334DDA" w:rsidRDefault="00334DDA" w:rsidP="00F63D0B">
      <w:pPr>
        <w:spacing w:line="240" w:lineRule="auto"/>
        <w:ind w:left="1980" w:hanging="720"/>
      </w:pPr>
      <w:r>
        <w:t>X</w:t>
      </w:r>
      <w:r>
        <w:rPr>
          <w:vertAlign w:val="subscript"/>
        </w:rPr>
        <w:t>3</w:t>
      </w:r>
      <w:r>
        <w:t xml:space="preserve">’ = </w:t>
      </w:r>
      <w:r>
        <w:tab/>
        <w:t>represents the vector of target population characteristics and may include:</w:t>
      </w:r>
    </w:p>
    <w:p w:rsidR="00334DDA" w:rsidRDefault="00334DDA" w:rsidP="00F63D0B">
      <w:pPr>
        <w:pStyle w:val="ListBullet"/>
      </w:pPr>
      <w:r>
        <w:t xml:space="preserve">General characteristics of enrollees (e.g., eligibility category, gender, race/ethnicity, dual eligible status, age) – we will pilot test capacity of plans to provide this </w:t>
      </w:r>
    </w:p>
    <w:p w:rsidR="00044A66" w:rsidRDefault="00334DDA" w:rsidP="00F63D0B">
      <w:pPr>
        <w:spacing w:line="240" w:lineRule="auto"/>
        <w:ind w:left="1980" w:hanging="720"/>
      </w:pPr>
      <w:r>
        <w:sym w:font="Symbol" w:char="F065"/>
      </w:r>
      <w:r>
        <w:rPr>
          <w:vertAlign w:val="subscript"/>
        </w:rPr>
        <w:t>i</w:t>
      </w:r>
      <w:r>
        <w:rPr>
          <w:sz w:val="28"/>
          <w:vertAlign w:val="subscript"/>
        </w:rPr>
        <w:t xml:space="preserve"> </w:t>
      </w:r>
      <w:r>
        <w:t xml:space="preserve">= </w:t>
      </w:r>
      <w:r>
        <w:tab/>
        <w:t>error term</w:t>
      </w:r>
    </w:p>
    <w:p w:rsidR="00334DDA" w:rsidRDefault="00334DDA" w:rsidP="00044A66">
      <w:pPr>
        <w:spacing w:line="240" w:lineRule="auto"/>
        <w:ind w:left="1980" w:hanging="720"/>
      </w:pPr>
    </w:p>
    <w:p w:rsidR="00334DDA" w:rsidRDefault="00334DDA" w:rsidP="00F63D0B">
      <w:pPr>
        <w:spacing w:line="240" w:lineRule="auto"/>
        <w:ind w:left="1260" w:firstLine="0"/>
      </w:pPr>
      <w:r>
        <w:t xml:space="preserve">A comprehensive analytic plan specifying the range of </w:t>
      </w:r>
      <w:proofErr w:type="spellStart"/>
      <w:r>
        <w:t>univariate</w:t>
      </w:r>
      <w:proofErr w:type="spellEnd"/>
      <w:r>
        <w:t xml:space="preserve">, bivariate, and multivariate analyses to be conducted will be submitted by the contractor to the CMS Project Officer for review following preliminary data inspection, but prior to formal data </w:t>
      </w:r>
      <w:r w:rsidRPr="00E04AD1">
        <w:t>analysis. We anticipate that this will include prevalence estimates of health plan and quality improvement characteristics. Assuming an 80% response rate for the survey, we anticipate approximately 440 observations will be available for analysis. This sample is sufficient for robust</w:t>
      </w:r>
      <w:r>
        <w:t xml:space="preserve"> multivariate analyses using the entire sample. However, the team will take care when conducting any stratified analyses to ensure that the sample size is still sufficient. However, these determinations will be made once the data are available and the distribution of observations across the strata of interest can be assessed. Depending on the distribution of the survey responses, we would explore the following types of research questions:</w:t>
      </w:r>
    </w:p>
    <w:p w:rsidR="00334DDA" w:rsidRDefault="00334DDA" w:rsidP="00457948">
      <w:pPr>
        <w:pStyle w:val="Bullet"/>
        <w:tabs>
          <w:tab w:val="num" w:pos="360"/>
        </w:tabs>
        <w:spacing w:before="120" w:after="0"/>
        <w:ind w:left="1980" w:hanging="360"/>
      </w:pPr>
      <w:r>
        <w:t>Were there significant quality improvements under the demonstration?</w:t>
      </w:r>
    </w:p>
    <w:p w:rsidR="00334DDA" w:rsidRDefault="00334DDA" w:rsidP="00457948">
      <w:pPr>
        <w:pStyle w:val="Bullet"/>
        <w:tabs>
          <w:tab w:val="num" w:pos="360"/>
        </w:tabs>
        <w:spacing w:before="120" w:after="0"/>
        <w:ind w:left="1980" w:hanging="360"/>
      </w:pPr>
      <w:r>
        <w:t>Was there improvement across the ratings continuum?</w:t>
      </w:r>
    </w:p>
    <w:p w:rsidR="00334DDA" w:rsidRDefault="00334DDA" w:rsidP="00457948">
      <w:pPr>
        <w:pStyle w:val="Bullet"/>
        <w:tabs>
          <w:tab w:val="num" w:pos="360"/>
        </w:tabs>
        <w:spacing w:before="120" w:after="0"/>
        <w:ind w:left="1980" w:hanging="360"/>
      </w:pPr>
      <w:r>
        <w:lastRenderedPageBreak/>
        <w:t>Which quality domains and measures showed the greatest improvement?</w:t>
      </w:r>
    </w:p>
    <w:p w:rsidR="00334DDA" w:rsidRDefault="00334DDA" w:rsidP="00457948">
      <w:pPr>
        <w:pStyle w:val="Bullet"/>
        <w:tabs>
          <w:tab w:val="num" w:pos="360"/>
        </w:tabs>
        <w:spacing w:before="120" w:after="0"/>
        <w:ind w:left="1980" w:hanging="360"/>
      </w:pPr>
      <w:r>
        <w:t>Did quality continue to improve throughout the three years of the demonstration?</w:t>
      </w:r>
    </w:p>
    <w:p w:rsidR="00334DDA" w:rsidRDefault="00334DDA" w:rsidP="00457948">
      <w:pPr>
        <w:pStyle w:val="Bullet"/>
        <w:tabs>
          <w:tab w:val="num" w:pos="360"/>
        </w:tabs>
        <w:spacing w:before="120" w:after="0"/>
        <w:ind w:left="1980" w:hanging="360"/>
      </w:pPr>
      <w:r>
        <w:t>What types of contracts showed the most improvement?</w:t>
      </w:r>
    </w:p>
    <w:p w:rsidR="00334DDA" w:rsidRDefault="00334DDA" w:rsidP="00457948">
      <w:pPr>
        <w:pStyle w:val="Bullet"/>
        <w:tabs>
          <w:tab w:val="num" w:pos="360"/>
        </w:tabs>
        <w:spacing w:before="120" w:after="0"/>
        <w:ind w:left="1980" w:hanging="360"/>
      </w:pPr>
      <w:r>
        <w:t>Did certain types of contracts show more improvements in selected quality domains?</w:t>
      </w:r>
    </w:p>
    <w:p w:rsidR="00334DDA" w:rsidRDefault="00334DDA" w:rsidP="00457948">
      <w:pPr>
        <w:pStyle w:val="Bullet"/>
        <w:tabs>
          <w:tab w:val="num" w:pos="360"/>
        </w:tabs>
        <w:spacing w:before="120" w:after="0"/>
        <w:ind w:left="1980" w:hanging="360"/>
      </w:pPr>
      <w:r>
        <w:t>How much money in QBPs was paid under the demonstration? How was the money distributed among MA organizations?</w:t>
      </w:r>
    </w:p>
    <w:p w:rsidR="00F63D0B" w:rsidRDefault="00334DDA" w:rsidP="00457948">
      <w:pPr>
        <w:pStyle w:val="Bullet"/>
        <w:tabs>
          <w:tab w:val="num" w:pos="360"/>
        </w:tabs>
        <w:spacing w:before="120" w:after="0"/>
        <w:ind w:left="1980" w:hanging="360"/>
      </w:pPr>
      <w:r>
        <w:t>Does enrollment increase in organizations with improving quality?</w:t>
      </w:r>
    </w:p>
    <w:p w:rsidR="00334DDA" w:rsidRDefault="00334DDA" w:rsidP="00457948">
      <w:pPr>
        <w:pStyle w:val="Bullet"/>
        <w:tabs>
          <w:tab w:val="num" w:pos="360"/>
        </w:tabs>
        <w:spacing w:before="120" w:after="0"/>
        <w:ind w:left="1980" w:hanging="360"/>
      </w:pPr>
      <w:r>
        <w:t>What quality domains appear to be associated with changes in enrollment patterns?</w:t>
      </w:r>
    </w:p>
    <w:p w:rsidR="00334DDA" w:rsidRDefault="00334DDA" w:rsidP="00334DDA">
      <w:pPr>
        <w:spacing w:line="240" w:lineRule="auto"/>
      </w:pPr>
    </w:p>
    <w:p w:rsidR="00334DDA" w:rsidRDefault="00334DDA" w:rsidP="00F63D0B">
      <w:pPr>
        <w:spacing w:line="240" w:lineRule="auto"/>
        <w:ind w:left="1260" w:firstLine="0"/>
      </w:pPr>
      <w:r>
        <w:t>The final report will include updated sections from the interim and case study reports, a detailed presentation of synthesized results by the Aims and research questions, and conclusions. The final report will be submitted to CMS in July 2015.</w:t>
      </w:r>
    </w:p>
    <w:p w:rsidR="00334DDA" w:rsidRDefault="00334DDA" w:rsidP="00334DDA">
      <w:pPr>
        <w:spacing w:line="240" w:lineRule="auto"/>
      </w:pPr>
    </w:p>
    <w:p w:rsidR="00D25678" w:rsidRPr="00AE6005" w:rsidRDefault="00D25678" w:rsidP="00D25678">
      <w:pPr>
        <w:pStyle w:val="MarkforTable"/>
        <w:ind w:left="1260"/>
        <w:rPr>
          <w:rFonts w:ascii="Arial" w:hAnsi="Arial" w:cs="Arial"/>
          <w:b/>
          <w:sz w:val="22"/>
          <w:szCs w:val="22"/>
        </w:rPr>
      </w:pPr>
      <w:r w:rsidRPr="00AE6005">
        <w:rPr>
          <w:rFonts w:ascii="Arial" w:hAnsi="Arial" w:cs="Arial"/>
          <w:b/>
          <w:sz w:val="22"/>
          <w:szCs w:val="22"/>
        </w:rPr>
        <w:t xml:space="preserve">PROPOSED </w:t>
      </w:r>
      <w:r w:rsidR="00FA4673">
        <w:rPr>
          <w:rFonts w:ascii="Arial" w:hAnsi="Arial" w:cs="Arial"/>
          <w:b/>
          <w:sz w:val="22"/>
          <w:szCs w:val="22"/>
        </w:rPr>
        <w:t>CASE STUDY</w:t>
      </w:r>
      <w:r w:rsidRPr="00AE6005">
        <w:rPr>
          <w:rFonts w:ascii="Arial" w:hAnsi="Arial" w:cs="Arial"/>
          <w:b/>
          <w:sz w:val="22"/>
          <w:szCs w:val="22"/>
        </w:rPr>
        <w:t xml:space="preserve"> SCHEDULE</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3348"/>
      </w:tblGrid>
      <w:tr w:rsidR="00D25678" w:rsidRPr="00F63D0B" w:rsidTr="00F95EBC">
        <w:tc>
          <w:tcPr>
            <w:tcW w:w="4860" w:type="dxa"/>
            <w:shd w:val="clear" w:color="auto" w:fill="E6E6E6"/>
          </w:tcPr>
          <w:p w:rsidR="00D25678" w:rsidRPr="00F63D0B" w:rsidRDefault="00D25678" w:rsidP="00F95EBC">
            <w:pPr>
              <w:tabs>
                <w:tab w:val="clear" w:pos="432"/>
              </w:tabs>
              <w:spacing w:before="60" w:after="60" w:line="240" w:lineRule="auto"/>
              <w:ind w:firstLine="0"/>
              <w:jc w:val="left"/>
              <w:rPr>
                <w:rFonts w:ascii="Arial" w:hAnsi="Arial" w:cs="Arial"/>
                <w:b/>
                <w:bCs/>
                <w:sz w:val="20"/>
                <w:szCs w:val="20"/>
              </w:rPr>
            </w:pPr>
            <w:r w:rsidRPr="00F63D0B">
              <w:rPr>
                <w:rFonts w:ascii="Arial" w:hAnsi="Arial" w:cs="Arial"/>
                <w:b/>
                <w:bCs/>
                <w:sz w:val="20"/>
                <w:szCs w:val="20"/>
              </w:rPr>
              <w:t>Activity</w:t>
            </w:r>
          </w:p>
        </w:tc>
        <w:tc>
          <w:tcPr>
            <w:tcW w:w="3348" w:type="dxa"/>
            <w:shd w:val="clear" w:color="auto" w:fill="E6E6E6"/>
          </w:tcPr>
          <w:p w:rsidR="00D25678" w:rsidRPr="00F63D0B" w:rsidRDefault="00D25678" w:rsidP="00F95EBC">
            <w:pPr>
              <w:tabs>
                <w:tab w:val="clear" w:pos="432"/>
              </w:tabs>
              <w:spacing w:before="60" w:after="60" w:line="240" w:lineRule="auto"/>
              <w:ind w:firstLine="0"/>
              <w:jc w:val="left"/>
              <w:rPr>
                <w:rFonts w:ascii="Arial" w:hAnsi="Arial" w:cs="Arial"/>
                <w:sz w:val="20"/>
                <w:szCs w:val="20"/>
              </w:rPr>
            </w:pPr>
            <w:r w:rsidRPr="00F63D0B">
              <w:rPr>
                <w:rFonts w:ascii="Arial" w:hAnsi="Arial" w:cs="Arial"/>
                <w:b/>
                <w:bCs/>
                <w:sz w:val="20"/>
                <w:szCs w:val="20"/>
              </w:rPr>
              <w:t xml:space="preserve">Time Frame </w:t>
            </w:r>
          </w:p>
        </w:tc>
      </w:tr>
      <w:tr w:rsidR="00D25678" w:rsidTr="00F95EBC">
        <w:tc>
          <w:tcPr>
            <w:tcW w:w="4860" w:type="dxa"/>
          </w:tcPr>
          <w:p w:rsidR="00D25678" w:rsidRPr="00F63D0B" w:rsidRDefault="00D25678" w:rsidP="00F95EBC">
            <w:pPr>
              <w:pStyle w:val="Header"/>
              <w:spacing w:before="60" w:after="60"/>
              <w:ind w:firstLine="0"/>
              <w:jc w:val="left"/>
              <w:rPr>
                <w:rFonts w:ascii="Arial" w:hAnsi="Arial" w:cs="Arial"/>
                <w:sz w:val="20"/>
                <w:szCs w:val="20"/>
              </w:rPr>
            </w:pPr>
            <w:r>
              <w:rPr>
                <w:rFonts w:ascii="Arial" w:hAnsi="Arial" w:cs="Arial"/>
                <w:sz w:val="20"/>
                <w:szCs w:val="20"/>
              </w:rPr>
              <w:t>Draft discussion guides</w:t>
            </w:r>
          </w:p>
        </w:tc>
        <w:tc>
          <w:tcPr>
            <w:tcW w:w="3348" w:type="dxa"/>
          </w:tcPr>
          <w:p w:rsidR="00D25678" w:rsidRPr="00F63D0B" w:rsidRDefault="00D25678" w:rsidP="00F95EBC">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July 31, 2013</w:t>
            </w:r>
          </w:p>
        </w:tc>
      </w:tr>
      <w:tr w:rsidR="00D25678" w:rsidTr="00F95EBC">
        <w:tc>
          <w:tcPr>
            <w:tcW w:w="4860" w:type="dxa"/>
          </w:tcPr>
          <w:p w:rsidR="00D25678" w:rsidRDefault="00D25678" w:rsidP="00F95EBC">
            <w:pPr>
              <w:pStyle w:val="Header"/>
              <w:spacing w:before="60" w:after="60"/>
              <w:ind w:firstLine="0"/>
              <w:jc w:val="left"/>
              <w:rPr>
                <w:rFonts w:ascii="Arial" w:hAnsi="Arial" w:cs="Arial"/>
                <w:sz w:val="20"/>
                <w:szCs w:val="20"/>
              </w:rPr>
            </w:pPr>
            <w:r>
              <w:rPr>
                <w:rFonts w:ascii="Arial" w:hAnsi="Arial" w:cs="Arial"/>
                <w:sz w:val="20"/>
                <w:szCs w:val="20"/>
              </w:rPr>
              <w:t>Final discussion guides</w:t>
            </w:r>
          </w:p>
        </w:tc>
        <w:tc>
          <w:tcPr>
            <w:tcW w:w="3348" w:type="dxa"/>
          </w:tcPr>
          <w:p w:rsidR="00D25678" w:rsidRDefault="00D25678" w:rsidP="00F95EBC">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August 30, 2013</w:t>
            </w:r>
          </w:p>
        </w:tc>
      </w:tr>
      <w:tr w:rsidR="00D25678" w:rsidTr="00F95EBC">
        <w:tc>
          <w:tcPr>
            <w:tcW w:w="4860" w:type="dxa"/>
          </w:tcPr>
          <w:p w:rsidR="00D25678" w:rsidRPr="00F63D0B" w:rsidRDefault="00D25678" w:rsidP="00D25678">
            <w:pPr>
              <w:pStyle w:val="Header"/>
              <w:spacing w:before="60" w:after="60"/>
              <w:ind w:firstLine="0"/>
              <w:jc w:val="left"/>
              <w:rPr>
                <w:rFonts w:ascii="Arial" w:hAnsi="Arial" w:cs="Arial"/>
                <w:sz w:val="20"/>
                <w:szCs w:val="20"/>
              </w:rPr>
            </w:pPr>
            <w:r>
              <w:rPr>
                <w:rFonts w:ascii="Arial" w:hAnsi="Arial" w:cs="Arial"/>
                <w:sz w:val="20"/>
                <w:szCs w:val="20"/>
              </w:rPr>
              <w:t>Finalize MAOs for case studies</w:t>
            </w:r>
            <w:r w:rsidRPr="00F63D0B">
              <w:rPr>
                <w:rFonts w:ascii="Arial" w:hAnsi="Arial" w:cs="Arial"/>
                <w:sz w:val="20"/>
                <w:szCs w:val="20"/>
              </w:rPr>
              <w:t xml:space="preserve"> </w:t>
            </w:r>
          </w:p>
        </w:tc>
        <w:tc>
          <w:tcPr>
            <w:tcW w:w="3348" w:type="dxa"/>
          </w:tcPr>
          <w:p w:rsidR="00D25678" w:rsidRPr="00F63D0B" w:rsidRDefault="00D25678" w:rsidP="00F95EBC">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January 31, 2014</w:t>
            </w:r>
          </w:p>
        </w:tc>
      </w:tr>
      <w:tr w:rsidR="00D25678" w:rsidTr="00F95EBC">
        <w:tc>
          <w:tcPr>
            <w:tcW w:w="4860" w:type="dxa"/>
          </w:tcPr>
          <w:p w:rsidR="00D25678" w:rsidRPr="00F63D0B" w:rsidRDefault="00D25678" w:rsidP="00F95EBC">
            <w:pPr>
              <w:pStyle w:val="Header"/>
              <w:spacing w:before="60" w:after="60"/>
              <w:ind w:firstLine="0"/>
              <w:jc w:val="left"/>
              <w:rPr>
                <w:rFonts w:ascii="Arial" w:hAnsi="Arial" w:cs="Arial"/>
                <w:sz w:val="20"/>
                <w:szCs w:val="20"/>
              </w:rPr>
            </w:pPr>
            <w:r>
              <w:rPr>
                <w:rFonts w:ascii="Arial" w:hAnsi="Arial" w:cs="Arial"/>
                <w:sz w:val="20"/>
                <w:szCs w:val="20"/>
              </w:rPr>
              <w:t>Recruit and schedule interviews</w:t>
            </w:r>
          </w:p>
        </w:tc>
        <w:tc>
          <w:tcPr>
            <w:tcW w:w="3348" w:type="dxa"/>
          </w:tcPr>
          <w:p w:rsidR="00D25678" w:rsidRPr="00F63D0B" w:rsidRDefault="00D25678" w:rsidP="00D25678">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February 1</w:t>
            </w:r>
            <w:r w:rsidRPr="00F63D0B">
              <w:rPr>
                <w:rFonts w:ascii="Arial" w:hAnsi="Arial" w:cs="Arial"/>
                <w:sz w:val="20"/>
                <w:szCs w:val="20"/>
              </w:rPr>
              <w:t xml:space="preserve"> – </w:t>
            </w:r>
            <w:r>
              <w:rPr>
                <w:rFonts w:ascii="Arial" w:hAnsi="Arial" w:cs="Arial"/>
                <w:sz w:val="20"/>
                <w:szCs w:val="20"/>
              </w:rPr>
              <w:t>February 28</w:t>
            </w:r>
            <w:r w:rsidRPr="00F63D0B">
              <w:rPr>
                <w:rFonts w:ascii="Arial" w:hAnsi="Arial" w:cs="Arial"/>
                <w:sz w:val="20"/>
                <w:szCs w:val="20"/>
              </w:rPr>
              <w:t>, 201</w:t>
            </w:r>
            <w:r>
              <w:rPr>
                <w:rFonts w:ascii="Arial" w:hAnsi="Arial" w:cs="Arial"/>
                <w:sz w:val="20"/>
                <w:szCs w:val="20"/>
              </w:rPr>
              <w:t>4</w:t>
            </w:r>
          </w:p>
        </w:tc>
      </w:tr>
      <w:tr w:rsidR="00D25678" w:rsidTr="00F95EBC">
        <w:tc>
          <w:tcPr>
            <w:tcW w:w="4860" w:type="dxa"/>
          </w:tcPr>
          <w:p w:rsidR="00D25678" w:rsidRPr="00F63D0B" w:rsidRDefault="00D25678" w:rsidP="00F95EBC">
            <w:pPr>
              <w:pStyle w:val="Header"/>
              <w:spacing w:before="60" w:after="60"/>
              <w:ind w:firstLine="0"/>
              <w:jc w:val="left"/>
              <w:rPr>
                <w:rFonts w:ascii="Arial" w:hAnsi="Arial" w:cs="Arial"/>
                <w:sz w:val="20"/>
                <w:szCs w:val="20"/>
              </w:rPr>
            </w:pPr>
            <w:r>
              <w:rPr>
                <w:rFonts w:ascii="Arial" w:hAnsi="Arial" w:cs="Arial"/>
                <w:sz w:val="20"/>
                <w:szCs w:val="20"/>
              </w:rPr>
              <w:t>Conduct site visits</w:t>
            </w:r>
          </w:p>
        </w:tc>
        <w:tc>
          <w:tcPr>
            <w:tcW w:w="3348" w:type="dxa"/>
          </w:tcPr>
          <w:p w:rsidR="00D25678" w:rsidRPr="00F63D0B" w:rsidRDefault="00D25678" w:rsidP="00F95EBC">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March 1 through April 30, 2014</w:t>
            </w:r>
          </w:p>
        </w:tc>
      </w:tr>
      <w:tr w:rsidR="00D25678" w:rsidTr="00F95EBC">
        <w:tc>
          <w:tcPr>
            <w:tcW w:w="4860" w:type="dxa"/>
          </w:tcPr>
          <w:p w:rsidR="00D25678" w:rsidRPr="00F63D0B" w:rsidRDefault="00D25678" w:rsidP="00F95EBC">
            <w:pPr>
              <w:pStyle w:val="Header"/>
              <w:spacing w:before="60" w:after="60"/>
              <w:ind w:firstLine="0"/>
              <w:jc w:val="left"/>
              <w:rPr>
                <w:rFonts w:ascii="Arial" w:hAnsi="Arial" w:cs="Arial"/>
                <w:sz w:val="20"/>
                <w:szCs w:val="20"/>
              </w:rPr>
            </w:pPr>
            <w:r>
              <w:rPr>
                <w:rFonts w:ascii="Arial" w:hAnsi="Arial" w:cs="Arial"/>
                <w:sz w:val="20"/>
                <w:szCs w:val="20"/>
              </w:rPr>
              <w:t>A</w:t>
            </w:r>
            <w:r w:rsidRPr="00F63D0B">
              <w:rPr>
                <w:rFonts w:ascii="Arial" w:hAnsi="Arial" w:cs="Arial"/>
                <w:sz w:val="20"/>
                <w:szCs w:val="20"/>
              </w:rPr>
              <w:t>nalyze data</w:t>
            </w:r>
          </w:p>
        </w:tc>
        <w:tc>
          <w:tcPr>
            <w:tcW w:w="3348" w:type="dxa"/>
          </w:tcPr>
          <w:p w:rsidR="00D25678" w:rsidRPr="00F63D0B" w:rsidRDefault="00D25678" w:rsidP="00F95EBC">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May 1 through May 30, 2014</w:t>
            </w:r>
          </w:p>
        </w:tc>
      </w:tr>
      <w:tr w:rsidR="00D25678" w:rsidTr="00F95EBC">
        <w:tc>
          <w:tcPr>
            <w:tcW w:w="4860" w:type="dxa"/>
          </w:tcPr>
          <w:p w:rsidR="00D25678" w:rsidRPr="00F63D0B" w:rsidRDefault="00D25678" w:rsidP="00D25678">
            <w:pPr>
              <w:pStyle w:val="Header"/>
              <w:spacing w:before="60" w:after="60"/>
              <w:ind w:firstLine="0"/>
              <w:jc w:val="left"/>
              <w:rPr>
                <w:rFonts w:ascii="Arial" w:hAnsi="Arial" w:cs="Arial"/>
                <w:sz w:val="20"/>
                <w:szCs w:val="20"/>
              </w:rPr>
            </w:pPr>
            <w:r>
              <w:rPr>
                <w:rFonts w:ascii="Arial" w:hAnsi="Arial" w:cs="Arial"/>
                <w:sz w:val="20"/>
                <w:szCs w:val="20"/>
              </w:rPr>
              <w:t>Draft case study</w:t>
            </w:r>
            <w:r w:rsidRPr="00F63D0B">
              <w:rPr>
                <w:rFonts w:ascii="Arial" w:hAnsi="Arial" w:cs="Arial"/>
                <w:sz w:val="20"/>
                <w:szCs w:val="20"/>
              </w:rPr>
              <w:t xml:space="preserve"> report </w:t>
            </w:r>
          </w:p>
        </w:tc>
        <w:tc>
          <w:tcPr>
            <w:tcW w:w="3348" w:type="dxa"/>
          </w:tcPr>
          <w:p w:rsidR="00D25678" w:rsidRPr="00F63D0B" w:rsidRDefault="00D25678" w:rsidP="00F95EBC">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May 30, 2014</w:t>
            </w:r>
          </w:p>
        </w:tc>
      </w:tr>
      <w:tr w:rsidR="00D25678" w:rsidTr="00F95EBC">
        <w:tc>
          <w:tcPr>
            <w:tcW w:w="4860" w:type="dxa"/>
          </w:tcPr>
          <w:p w:rsidR="00D25678" w:rsidRPr="00F63D0B" w:rsidRDefault="00D25678" w:rsidP="00F95EBC">
            <w:pPr>
              <w:pStyle w:val="Header"/>
              <w:spacing w:before="60" w:after="60"/>
              <w:ind w:firstLine="0"/>
              <w:jc w:val="left"/>
              <w:rPr>
                <w:rFonts w:ascii="Arial" w:hAnsi="Arial" w:cs="Arial"/>
                <w:sz w:val="20"/>
                <w:szCs w:val="20"/>
              </w:rPr>
            </w:pPr>
            <w:r w:rsidRPr="00F63D0B">
              <w:rPr>
                <w:rFonts w:ascii="Arial" w:hAnsi="Arial" w:cs="Arial"/>
                <w:sz w:val="20"/>
                <w:szCs w:val="20"/>
              </w:rPr>
              <w:t xml:space="preserve">Final </w:t>
            </w:r>
            <w:r>
              <w:rPr>
                <w:rFonts w:ascii="Arial" w:hAnsi="Arial" w:cs="Arial"/>
                <w:sz w:val="20"/>
                <w:szCs w:val="20"/>
              </w:rPr>
              <w:t>case study</w:t>
            </w:r>
            <w:r w:rsidRPr="00F63D0B">
              <w:rPr>
                <w:rFonts w:ascii="Arial" w:hAnsi="Arial" w:cs="Arial"/>
                <w:sz w:val="20"/>
                <w:szCs w:val="20"/>
              </w:rPr>
              <w:t xml:space="preserve"> report</w:t>
            </w:r>
          </w:p>
        </w:tc>
        <w:tc>
          <w:tcPr>
            <w:tcW w:w="3348" w:type="dxa"/>
          </w:tcPr>
          <w:p w:rsidR="00D25678" w:rsidRPr="00F63D0B" w:rsidRDefault="00D25678" w:rsidP="00F95EBC">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July 31, 2014</w:t>
            </w:r>
          </w:p>
        </w:tc>
      </w:tr>
    </w:tbl>
    <w:p w:rsidR="00345DD1" w:rsidRDefault="00345DD1" w:rsidP="00785313">
      <w:pPr>
        <w:tabs>
          <w:tab w:val="left" w:pos="1260"/>
        </w:tabs>
        <w:spacing w:line="240" w:lineRule="auto"/>
        <w:ind w:left="1260" w:firstLine="0"/>
      </w:pPr>
    </w:p>
    <w:p w:rsidR="00345DD1" w:rsidRPr="00E91B4C" w:rsidRDefault="00345DD1" w:rsidP="008C00CB">
      <w:pPr>
        <w:keepNext/>
        <w:spacing w:line="240" w:lineRule="auto"/>
        <w:ind w:left="1260" w:firstLine="0"/>
      </w:pPr>
      <w:r w:rsidRPr="00FA5343">
        <w:t xml:space="preserve">While onsite, the team will enter interview notes into a customized </w:t>
      </w:r>
      <w:r>
        <w:t xml:space="preserve">Access </w:t>
      </w:r>
      <w:r w:rsidRPr="00FA5343">
        <w:t xml:space="preserve">database to facilitate analysis. </w:t>
      </w:r>
      <w:r>
        <w:t xml:space="preserve">Following each site visit, the </w:t>
      </w:r>
      <w:r w:rsidRPr="00FA5343">
        <w:t xml:space="preserve">team will review the information housed in </w:t>
      </w:r>
      <w:r>
        <w:t xml:space="preserve">the </w:t>
      </w:r>
      <w:r w:rsidRPr="00FA5343">
        <w:t xml:space="preserve">Access database, in addition to other materials collected from the </w:t>
      </w:r>
      <w:r>
        <w:t>organization</w:t>
      </w:r>
      <w:r w:rsidRPr="00FA5343">
        <w:t xml:space="preserve">, and individually identify themes and findings by aim and question category. </w:t>
      </w:r>
      <w:r w:rsidRPr="00E91B4C">
        <w:t xml:space="preserve">Areas to be explored in greater detail with the case study sites will include questions about organizational decisions regarding investment in quality improvement activities such as: </w:t>
      </w:r>
    </w:p>
    <w:p w:rsidR="00345DD1" w:rsidRPr="00E91B4C" w:rsidRDefault="00345DD1" w:rsidP="00E04AD1">
      <w:pPr>
        <w:pStyle w:val="BulletLevel1-Short"/>
        <w:spacing w:before="240" w:after="240"/>
        <w:ind w:left="2160"/>
      </w:pPr>
      <w:r w:rsidRPr="00E91B4C">
        <w:t xml:space="preserve">What has been </w:t>
      </w:r>
      <w:r w:rsidR="008C00CB">
        <w:t>MAOs’</w:t>
      </w:r>
      <w:r w:rsidRPr="00E91B4C">
        <w:t xml:space="preserve"> experience with quality ratings and quality improvement activities thus far</w:t>
      </w:r>
      <w:r>
        <w:t>?</w:t>
      </w:r>
      <w:r w:rsidRPr="00E91B4C">
        <w:t xml:space="preserve"> </w:t>
      </w:r>
      <w:r>
        <w:t>I</w:t>
      </w:r>
      <w:r w:rsidRPr="00E91B4C">
        <w:t xml:space="preserve">n which areas (domains and individual measures) do </w:t>
      </w:r>
      <w:r w:rsidR="008C00CB">
        <w:t>MAOs</w:t>
      </w:r>
      <w:r w:rsidRPr="00E91B4C">
        <w:t xml:space="preserve"> believe they have the greatest ability to affect improvements? </w:t>
      </w:r>
      <w:r w:rsidR="008C00CB">
        <w:t>Why?</w:t>
      </w:r>
    </w:p>
    <w:p w:rsidR="00345DD1" w:rsidRPr="00E91B4C" w:rsidRDefault="00345DD1" w:rsidP="00E04AD1">
      <w:pPr>
        <w:pStyle w:val="BulletLevel1-Short"/>
        <w:spacing w:before="240" w:after="240"/>
        <w:ind w:left="2160"/>
      </w:pPr>
      <w:r w:rsidRPr="00E91B4C">
        <w:lastRenderedPageBreak/>
        <w:t xml:space="preserve">How have </w:t>
      </w:r>
      <w:r w:rsidR="008C00CB">
        <w:t>MAOs</w:t>
      </w:r>
      <w:r w:rsidRPr="00E91B4C">
        <w:t xml:space="preserve"> decided on their investments to improve quality, and to what extent are these activities in response to the demonstration and the expected associated payoff? What has been their investment of time and money specifically to improve quality in response to the demonstration?  </w:t>
      </w:r>
    </w:p>
    <w:p w:rsidR="00345DD1" w:rsidRPr="00E91B4C" w:rsidRDefault="00345DD1" w:rsidP="00E04AD1">
      <w:pPr>
        <w:pStyle w:val="BulletLevel1-Short"/>
        <w:spacing w:before="240" w:after="240"/>
        <w:ind w:left="2160"/>
      </w:pPr>
      <w:r w:rsidRPr="00E91B4C">
        <w:t>How have they weighed level of investment versus financial return under the d</w:t>
      </w:r>
      <w:r w:rsidR="008C00CB">
        <w:t>emonstration?</w:t>
      </w:r>
      <w:r w:rsidRPr="00E91B4C">
        <w:t xml:space="preserve"> How much investment do organizations consider necessary to produce sufficient qua</w:t>
      </w:r>
      <w:r>
        <w:t>lity improvement to increase a plan r</w:t>
      </w:r>
      <w:r w:rsidRPr="00E91B4C">
        <w:t>ating by one star? Are these efforts part of</w:t>
      </w:r>
      <w:r>
        <w:t xml:space="preserve"> long-</w:t>
      </w:r>
      <w:r w:rsidRPr="00E91B4C">
        <w:t>term</w:t>
      </w:r>
      <w:r>
        <w:t xml:space="preserve"> strategies or focused on short-</w:t>
      </w:r>
      <w:r w:rsidRPr="00E91B4C">
        <w:t>term results?</w:t>
      </w:r>
    </w:p>
    <w:p w:rsidR="00345DD1" w:rsidRDefault="00345DD1" w:rsidP="00345DD1">
      <w:pPr>
        <w:spacing w:line="240" w:lineRule="auto"/>
        <w:ind w:left="1260" w:firstLine="0"/>
      </w:pPr>
      <w:r w:rsidRPr="00FA5343">
        <w:t xml:space="preserve">The team will then synthesize findings from the case studies </w:t>
      </w:r>
      <w:r>
        <w:t>and submit the draft Case Study R</w:t>
      </w:r>
      <w:r w:rsidRPr="00FA5343">
        <w:t xml:space="preserve">eport </w:t>
      </w:r>
      <w:r>
        <w:t>by May 30, 2014</w:t>
      </w:r>
      <w:r>
        <w:rPr>
          <w:i/>
        </w:rPr>
        <w:t xml:space="preserve">, </w:t>
      </w:r>
      <w:r w:rsidRPr="00F0559E">
        <w:t xml:space="preserve">finalizing the report by July </w:t>
      </w:r>
      <w:r>
        <w:t xml:space="preserve">31, </w:t>
      </w:r>
      <w:r w:rsidRPr="00F0559E">
        <w:t>2014</w:t>
      </w:r>
      <w:r>
        <w:t>.</w:t>
      </w:r>
    </w:p>
    <w:p w:rsidR="00E02693" w:rsidRDefault="00E02693" w:rsidP="005868EC">
      <w:pPr>
        <w:spacing w:line="240" w:lineRule="auto"/>
        <w:ind w:left="1440" w:firstLine="0"/>
      </w:pPr>
    </w:p>
    <w:p w:rsidR="00E02693" w:rsidRDefault="00E02693" w:rsidP="00E04AD1">
      <w:pPr>
        <w:pStyle w:val="Heading3"/>
        <w:numPr>
          <w:ilvl w:val="0"/>
          <w:numId w:val="7"/>
        </w:numPr>
        <w:spacing w:after="0"/>
        <w:ind w:left="1260" w:hanging="540"/>
      </w:pPr>
      <w:bookmarkStart w:id="39" w:name="_Toc515165887"/>
      <w:bookmarkStart w:id="40" w:name="_Toc515179930"/>
      <w:bookmarkStart w:id="41" w:name="_Toc184631515"/>
      <w:bookmarkStart w:id="42" w:name="_Toc195336912"/>
      <w:r>
        <w:t>Expiration Date</w:t>
      </w:r>
      <w:bookmarkEnd w:id="39"/>
      <w:bookmarkEnd w:id="40"/>
      <w:bookmarkEnd w:id="41"/>
      <w:bookmarkEnd w:id="42"/>
    </w:p>
    <w:p w:rsidR="00E02693" w:rsidRDefault="00E02693" w:rsidP="00785313">
      <w:pPr>
        <w:spacing w:line="240" w:lineRule="auto"/>
        <w:ind w:left="1260" w:firstLine="0"/>
      </w:pPr>
      <w:r>
        <w:t>The OMB expiration date will be displayed on the mail questionnaire, on the letters, and on any advan</w:t>
      </w:r>
      <w:r w:rsidR="00376035">
        <w:t>ce material sent to respondents</w:t>
      </w:r>
      <w:r w:rsidR="008C00CB">
        <w:t>.</w:t>
      </w:r>
    </w:p>
    <w:p w:rsidR="00E02693" w:rsidRDefault="00E02693" w:rsidP="00E02693">
      <w:pPr>
        <w:spacing w:line="240" w:lineRule="auto"/>
      </w:pPr>
    </w:p>
    <w:p w:rsidR="00E02693" w:rsidRDefault="00E02693" w:rsidP="00E04AD1">
      <w:pPr>
        <w:pStyle w:val="Heading3"/>
        <w:numPr>
          <w:ilvl w:val="0"/>
          <w:numId w:val="7"/>
        </w:numPr>
        <w:spacing w:after="0"/>
        <w:ind w:left="1260" w:hanging="540"/>
      </w:pPr>
      <w:bookmarkStart w:id="43" w:name="_Toc515165888"/>
      <w:bookmarkStart w:id="44" w:name="_Toc515179931"/>
      <w:bookmarkStart w:id="45" w:name="_Toc184631516"/>
      <w:bookmarkStart w:id="46" w:name="_Toc195336913"/>
      <w:r>
        <w:t>Certification Statement</w:t>
      </w:r>
      <w:bookmarkEnd w:id="43"/>
      <w:bookmarkEnd w:id="44"/>
      <w:bookmarkEnd w:id="45"/>
      <w:bookmarkEnd w:id="46"/>
    </w:p>
    <w:p w:rsidR="00E02693" w:rsidRDefault="00E02693" w:rsidP="00785313">
      <w:pPr>
        <w:spacing w:line="240" w:lineRule="auto"/>
        <w:ind w:left="1260" w:firstLine="0"/>
      </w:pPr>
      <w:r>
        <w:t>The data collection will conform to all provisions of the Paperwork Reduction Act</w:t>
      </w:r>
      <w:r w:rsidR="002F00BB">
        <w:t xml:space="preserve"> and CMS does not request any exemptions from the certification statement.</w:t>
      </w:r>
    </w:p>
    <w:p w:rsidR="00D5611D" w:rsidRDefault="00D5611D" w:rsidP="00D5611D">
      <w:pPr>
        <w:spacing w:line="240" w:lineRule="auto"/>
      </w:pPr>
    </w:p>
    <w:p w:rsidR="00E02693" w:rsidRDefault="00E02693" w:rsidP="00E04AD1">
      <w:pPr>
        <w:pStyle w:val="Heading2"/>
        <w:numPr>
          <w:ilvl w:val="0"/>
          <w:numId w:val="8"/>
        </w:numPr>
        <w:tabs>
          <w:tab w:val="clear" w:pos="432"/>
        </w:tabs>
        <w:ind w:left="720" w:hanging="540"/>
      </w:pPr>
      <w:bookmarkStart w:id="47" w:name="_Toc184631517"/>
      <w:bookmarkStart w:id="48" w:name="_Toc195336914"/>
      <w:r>
        <w:rPr>
          <w:caps w:val="0"/>
        </w:rPr>
        <w:t>COLLECTION OF INFORMATION EMPLOYING STATISTICAL METHODS</w:t>
      </w:r>
      <w:bookmarkEnd w:id="47"/>
      <w:bookmarkEnd w:id="48"/>
      <w:r w:rsidR="00015ACD">
        <w:rPr>
          <w:caps w:val="0"/>
        </w:rPr>
        <w:t xml:space="preserve"> </w:t>
      </w:r>
    </w:p>
    <w:p w:rsidR="00837BDC" w:rsidRDefault="00837BDC" w:rsidP="00E04AD1">
      <w:pPr>
        <w:pStyle w:val="Heading3"/>
        <w:numPr>
          <w:ilvl w:val="1"/>
          <w:numId w:val="9"/>
        </w:numPr>
        <w:spacing w:after="0"/>
        <w:ind w:left="1260" w:hanging="540"/>
      </w:pPr>
      <w:bookmarkStart w:id="49" w:name="_Toc184631518"/>
      <w:bookmarkStart w:id="50" w:name="_Toc195336915"/>
      <w:r>
        <w:t>Respondent Universe and Sampling Methods</w:t>
      </w:r>
      <w:bookmarkEnd w:id="49"/>
      <w:bookmarkEnd w:id="50"/>
    </w:p>
    <w:p w:rsidR="003300F7" w:rsidRDefault="003300F7" w:rsidP="003300F7">
      <w:pPr>
        <w:spacing w:line="240" w:lineRule="auto"/>
        <w:ind w:left="1260" w:firstLine="0"/>
      </w:pPr>
      <w:r>
        <w:rPr>
          <w:szCs w:val="20"/>
        </w:rPr>
        <w:t xml:space="preserve">After removing any plans that are considered ineligible (such as </w:t>
      </w:r>
      <w:r>
        <w:t>1876 cost plans</w:t>
      </w:r>
      <w:r>
        <w:rPr>
          <w:szCs w:val="20"/>
        </w:rPr>
        <w:t xml:space="preserve"> or those not currently active), it is anticipated that approximately 550 plans will comprise the survey sample. </w:t>
      </w:r>
      <w:r w:rsidRPr="00485543">
        <w:t xml:space="preserve">We plan to survey all eligible MA plans and so will not sample from this population. </w:t>
      </w:r>
      <w:r w:rsidRPr="00485543">
        <w:rPr>
          <w:szCs w:val="20"/>
        </w:rPr>
        <w:t>The mail survey w</w:t>
      </w:r>
      <w:r>
        <w:rPr>
          <w:szCs w:val="20"/>
        </w:rPr>
        <w:t xml:space="preserve">ill be completed by about 440 (or 80 percent) of these plans. </w:t>
      </w:r>
      <w:r w:rsidRPr="00485543">
        <w:rPr>
          <w:szCs w:val="20"/>
        </w:rPr>
        <w:t xml:space="preserve">Contact </w:t>
      </w:r>
      <w:r w:rsidRPr="00485543">
        <w:t xml:space="preserve">information for MA plans will come from CMS’s contract and plan contact databases maintained in the </w:t>
      </w:r>
      <w:r>
        <w:t xml:space="preserve">HPMS. </w:t>
      </w:r>
    </w:p>
    <w:p w:rsidR="00FF7A10" w:rsidRDefault="00FF7A10" w:rsidP="00027F3F">
      <w:pPr>
        <w:spacing w:line="240" w:lineRule="auto"/>
        <w:ind w:left="1260" w:firstLine="0"/>
      </w:pPr>
    </w:p>
    <w:p w:rsidR="00EF645C" w:rsidRDefault="00FF7A10" w:rsidP="00027F3F">
      <w:pPr>
        <w:spacing w:line="240" w:lineRule="auto"/>
        <w:ind w:left="1260" w:firstLine="0"/>
      </w:pPr>
      <w:r>
        <w:t>For the case studies, the research team will select up to 10 MAOs, using data from the HPMS, the MAO survey</w:t>
      </w:r>
      <w:r w:rsidR="007F71E4">
        <w:t>,</w:t>
      </w:r>
      <w:r>
        <w:t xml:space="preserve"> and </w:t>
      </w:r>
      <w:r w:rsidR="00EF645C">
        <w:t>the environmental scan, to reflect diversity across the following types of characteristics:</w:t>
      </w:r>
    </w:p>
    <w:p w:rsidR="00EF645C" w:rsidRPr="00BD0CB7" w:rsidRDefault="00EF645C" w:rsidP="00E04AD1">
      <w:pPr>
        <w:pStyle w:val="BulletLevel1-Short"/>
        <w:numPr>
          <w:ilvl w:val="0"/>
          <w:numId w:val="12"/>
        </w:numPr>
        <w:ind w:left="1980"/>
      </w:pPr>
      <w:r w:rsidRPr="00BD0CB7">
        <w:t>Contract type</w:t>
      </w:r>
    </w:p>
    <w:p w:rsidR="00EF645C" w:rsidRPr="00BD0CB7" w:rsidRDefault="00EF645C" w:rsidP="00E04AD1">
      <w:pPr>
        <w:pStyle w:val="BulletLevel1-Short"/>
        <w:numPr>
          <w:ilvl w:val="0"/>
          <w:numId w:val="12"/>
        </w:numPr>
        <w:ind w:left="1980"/>
      </w:pPr>
      <w:r w:rsidRPr="00BD0CB7">
        <w:t>Basic plan structure (tightly managed group model HMO vs. looser HMO or PPO)</w:t>
      </w:r>
    </w:p>
    <w:p w:rsidR="00EF645C" w:rsidRPr="00BD0CB7" w:rsidRDefault="00EF645C" w:rsidP="00E04AD1">
      <w:pPr>
        <w:pStyle w:val="BulletLevel1-Short"/>
        <w:numPr>
          <w:ilvl w:val="0"/>
          <w:numId w:val="12"/>
        </w:numPr>
        <w:ind w:left="1980"/>
      </w:pPr>
      <w:r w:rsidRPr="00BD0CB7">
        <w:t>Geography and payment cohort</w:t>
      </w:r>
    </w:p>
    <w:p w:rsidR="00EF645C" w:rsidRPr="00BD0CB7" w:rsidRDefault="00EF645C" w:rsidP="00E04AD1">
      <w:pPr>
        <w:pStyle w:val="BulletLevel1-Short"/>
        <w:numPr>
          <w:ilvl w:val="0"/>
          <w:numId w:val="12"/>
        </w:numPr>
        <w:ind w:left="1980"/>
      </w:pPr>
      <w:r w:rsidRPr="00BD0CB7">
        <w:t>Beneficiary population</w:t>
      </w:r>
    </w:p>
    <w:p w:rsidR="00EF645C" w:rsidRPr="00BD0CB7" w:rsidRDefault="00EF645C" w:rsidP="00E04AD1">
      <w:pPr>
        <w:pStyle w:val="BulletLevel1-Short"/>
        <w:numPr>
          <w:ilvl w:val="0"/>
          <w:numId w:val="12"/>
        </w:numPr>
        <w:ind w:left="1980"/>
      </w:pPr>
      <w:r w:rsidRPr="00BD0CB7">
        <w:t>Star rating/quality scores</w:t>
      </w:r>
      <w:r>
        <w:t>, especially improvement in ratings</w:t>
      </w:r>
    </w:p>
    <w:p w:rsidR="00EF645C" w:rsidRDefault="00EF645C" w:rsidP="00E04AD1">
      <w:pPr>
        <w:pStyle w:val="BulletLevel1-Short"/>
        <w:numPr>
          <w:ilvl w:val="0"/>
          <w:numId w:val="12"/>
        </w:numPr>
        <w:ind w:left="1980"/>
      </w:pPr>
      <w:r w:rsidRPr="00BD0CB7">
        <w:t xml:space="preserve">Corporate ownership </w:t>
      </w:r>
    </w:p>
    <w:p w:rsidR="00E6574C" w:rsidRDefault="00E6574C" w:rsidP="00E6574C">
      <w:pPr>
        <w:spacing w:line="240" w:lineRule="auto"/>
        <w:ind w:left="1080" w:hanging="360"/>
      </w:pPr>
    </w:p>
    <w:p w:rsidR="00632933" w:rsidRDefault="00632933" w:rsidP="00E04AD1">
      <w:pPr>
        <w:pStyle w:val="Heading3"/>
        <w:numPr>
          <w:ilvl w:val="1"/>
          <w:numId w:val="9"/>
        </w:numPr>
        <w:spacing w:after="0"/>
        <w:ind w:left="1260" w:hanging="540"/>
      </w:pPr>
      <w:bookmarkStart w:id="51" w:name="_Toc184631519"/>
      <w:bookmarkStart w:id="52" w:name="_Toc195336916"/>
      <w:r>
        <w:lastRenderedPageBreak/>
        <w:t>Procedures for the Collection of Information</w:t>
      </w:r>
      <w:bookmarkEnd w:id="51"/>
      <w:bookmarkEnd w:id="52"/>
    </w:p>
    <w:p w:rsidR="00EA6992" w:rsidRPr="00EA6992" w:rsidRDefault="00EA6992" w:rsidP="00BD52C3">
      <w:pPr>
        <w:pStyle w:val="ListParagraph"/>
        <w:numPr>
          <w:ilvl w:val="0"/>
          <w:numId w:val="0"/>
        </w:numPr>
        <w:ind w:left="1260" w:right="0"/>
        <w:rPr>
          <w:szCs w:val="20"/>
        </w:rPr>
      </w:pPr>
      <w:r w:rsidRPr="00EA6992">
        <w:rPr>
          <w:szCs w:val="20"/>
        </w:rPr>
        <w:t xml:space="preserve">The survey will be conducted with all MA plans under contract with CMS in 2012. In order to identify a knowledgeable respondent and gain commitment to participate from the MA contract representative/survey </w:t>
      </w:r>
      <w:r w:rsidRPr="00590361">
        <w:rPr>
          <w:szCs w:val="20"/>
        </w:rPr>
        <w:t>respondent, letters will be mailed to the president</w:t>
      </w:r>
      <w:r w:rsidR="00457948" w:rsidRPr="00590361">
        <w:rPr>
          <w:szCs w:val="20"/>
        </w:rPr>
        <w:t xml:space="preserve"> or CEO</w:t>
      </w:r>
      <w:r w:rsidRPr="00590361">
        <w:rPr>
          <w:szCs w:val="20"/>
        </w:rPr>
        <w:t xml:space="preserve"> of each sampled health plan</w:t>
      </w:r>
      <w:r w:rsidR="003D064D" w:rsidRPr="00590361">
        <w:rPr>
          <w:szCs w:val="20"/>
        </w:rPr>
        <w:t xml:space="preserve"> (see Appen</w:t>
      </w:r>
      <w:r w:rsidR="00590361" w:rsidRPr="00590361">
        <w:rPr>
          <w:szCs w:val="20"/>
        </w:rPr>
        <w:t>dix B</w:t>
      </w:r>
      <w:r w:rsidR="003D064D" w:rsidRPr="00590361">
        <w:rPr>
          <w:szCs w:val="20"/>
        </w:rPr>
        <w:t>)</w:t>
      </w:r>
      <w:r w:rsidRPr="00590361">
        <w:rPr>
          <w:szCs w:val="20"/>
        </w:rPr>
        <w:t>. The letter will explain the purpose of the study and request that a survey respondent be designated. A contact name, phone number</w:t>
      </w:r>
      <w:r w:rsidR="00457948" w:rsidRPr="00590361">
        <w:rPr>
          <w:szCs w:val="20"/>
        </w:rPr>
        <w:t>,</w:t>
      </w:r>
      <w:r w:rsidRPr="00590361">
        <w:rPr>
          <w:szCs w:val="20"/>
        </w:rPr>
        <w:t xml:space="preserve"> and email address will be included in the letter to send back the survey respondent information. The ideal respondent will be a senior staff member who is most knowledgeable about the quality improvement activities conducted by the MA plan. Telephone interviewers will then contact the person to briefly introduce the survey, ask for a commitment to return the questionnaire quickly, and collect contact information needed to mail out the survey materials</w:t>
      </w:r>
      <w:r w:rsidR="003D064D" w:rsidRPr="00590361">
        <w:rPr>
          <w:szCs w:val="20"/>
        </w:rPr>
        <w:t xml:space="preserve"> </w:t>
      </w:r>
      <w:r w:rsidR="00590361" w:rsidRPr="00590361">
        <w:rPr>
          <w:szCs w:val="20"/>
        </w:rPr>
        <w:t>(see Appendix C</w:t>
      </w:r>
      <w:r w:rsidR="003D064D" w:rsidRPr="00590361">
        <w:rPr>
          <w:szCs w:val="20"/>
        </w:rPr>
        <w:t>)</w:t>
      </w:r>
      <w:r w:rsidRPr="00590361">
        <w:rPr>
          <w:szCs w:val="20"/>
        </w:rPr>
        <w:t xml:space="preserve">. Each MA plan respondent will then receive a cover letter on CMS stationary, a questionnaire, a fact sheet containing detailed information about the study, and a postage-paid return envelope. This material will be sent via FedEx because of the overnight delivery feature and the guarantee that the material will reach the correct person. When requested by a survey respondent, a </w:t>
      </w:r>
      <w:r w:rsidR="003D7C68" w:rsidRPr="00590361">
        <w:rPr>
          <w:szCs w:val="20"/>
        </w:rPr>
        <w:t xml:space="preserve">Microsoft </w:t>
      </w:r>
      <w:r w:rsidRPr="00590361">
        <w:rPr>
          <w:szCs w:val="20"/>
        </w:rPr>
        <w:t>Word version of the survey will be sent in an email attachment or by fax. Shortly after questionnaire delivery, respondents will be called to confirm that the materials have been received, respond to any questions or concerns, and emphasize the need for a timely response</w:t>
      </w:r>
      <w:r w:rsidR="003D064D" w:rsidRPr="00590361">
        <w:rPr>
          <w:szCs w:val="20"/>
        </w:rPr>
        <w:t xml:space="preserve"> </w:t>
      </w:r>
      <w:r w:rsidR="00590361" w:rsidRPr="00590361">
        <w:rPr>
          <w:szCs w:val="20"/>
        </w:rPr>
        <w:t>(see Appendix D</w:t>
      </w:r>
      <w:r w:rsidR="003D064D" w:rsidRPr="00590361">
        <w:rPr>
          <w:szCs w:val="20"/>
        </w:rPr>
        <w:t>)</w:t>
      </w:r>
      <w:r w:rsidRPr="00590361">
        <w:rPr>
          <w:szCs w:val="20"/>
        </w:rPr>
        <w:t xml:space="preserve">. Two weeks after the initial mailing, we will make telephone calls to all </w:t>
      </w:r>
      <w:proofErr w:type="spellStart"/>
      <w:r w:rsidRPr="00590361">
        <w:rPr>
          <w:szCs w:val="20"/>
        </w:rPr>
        <w:t>nonrespondents</w:t>
      </w:r>
      <w:proofErr w:type="spellEnd"/>
      <w:r w:rsidRPr="00EA6992">
        <w:rPr>
          <w:szCs w:val="20"/>
        </w:rPr>
        <w:t xml:space="preserve"> to encourage them to complete and return the mail questionnaire. We will also give them the option of completing the survey by telephone. Reminder calls will continue weekly throughout the field period.</w:t>
      </w:r>
    </w:p>
    <w:p w:rsidR="00AE3DD8" w:rsidRPr="00AE3DD8" w:rsidRDefault="00AE3DD8" w:rsidP="00A55329">
      <w:pPr>
        <w:spacing w:line="240" w:lineRule="auto"/>
        <w:ind w:left="1260" w:firstLine="0"/>
      </w:pPr>
      <w:r>
        <w:t xml:space="preserve">For the case studies, </w:t>
      </w:r>
      <w:r w:rsidRPr="00AE3DD8">
        <w:t xml:space="preserve">the team will begin outreach to the </w:t>
      </w:r>
      <w:r>
        <w:t xml:space="preserve">selected </w:t>
      </w:r>
      <w:r w:rsidR="00AE435C">
        <w:t>MAOs</w:t>
      </w:r>
      <w:r w:rsidR="00AE435C" w:rsidRPr="00AE3DD8">
        <w:t xml:space="preserve"> </w:t>
      </w:r>
      <w:r w:rsidRPr="00AE3DD8">
        <w:t>using a recruitment package that includes a description of the project, site visit process, types of staff members we would like to speak with, range of proposed dates, and time commitment required. We also propose to include an “endorsement” letter – a brief explanation of the project on CMS letterhead encouraging participation and assuring that participation does not impact their contracts. As appropriate, the team will also enlist the support of expert/stakeholder interviewees to lend further credence to research activities in the eyes of those identified for the case stud</w:t>
      </w:r>
      <w:r w:rsidR="007F71E4">
        <w:t>ies</w:t>
      </w:r>
      <w:r w:rsidRPr="00AE3DD8">
        <w:t>. Finally, it will be important to convey to the organizations that contract-specific data will only be shared in an aggregate format and that the team will take steps to mask the feedback of the participating organizations. The cover letter will address these issues and convey the willingness of the team to work with the plan to address any other privacy/confidentiality issues they may have.</w:t>
      </w:r>
    </w:p>
    <w:p w:rsidR="00AE3DD8" w:rsidRDefault="00AE3DD8" w:rsidP="00A55329">
      <w:pPr>
        <w:spacing w:line="240" w:lineRule="auto"/>
        <w:ind w:left="1260" w:firstLine="0"/>
      </w:pPr>
    </w:p>
    <w:p w:rsidR="00775477" w:rsidRDefault="00AE3DD8" w:rsidP="00775477">
      <w:pPr>
        <w:spacing w:line="240" w:lineRule="auto"/>
        <w:ind w:left="1260" w:firstLine="0"/>
      </w:pPr>
      <w:r w:rsidRPr="00AE3DD8">
        <w:t>Unless an appropriate contact has already been identified, the recruitment package will be sent to the president or CEO of the health plan. We will then follow up with the staff member to whom we are referred to schedule specific</w:t>
      </w:r>
      <w:r w:rsidR="00775477">
        <w:t xml:space="preserve"> dates and</w:t>
      </w:r>
      <w:r w:rsidRPr="00AE3DD8">
        <w:t xml:space="preserve"> time</w:t>
      </w:r>
      <w:r w:rsidR="00775477">
        <w:t>s</w:t>
      </w:r>
      <w:r w:rsidRPr="00AE3DD8">
        <w:t xml:space="preserve"> for site visits</w:t>
      </w:r>
      <w:r w:rsidR="00775477">
        <w:t>, depending on the availability of the MAO’s representatives</w:t>
      </w:r>
      <w:r w:rsidRPr="00AE3DD8">
        <w:t>.</w:t>
      </w:r>
    </w:p>
    <w:p w:rsidR="00775477" w:rsidRDefault="00775477" w:rsidP="00775477">
      <w:pPr>
        <w:spacing w:line="240" w:lineRule="auto"/>
        <w:ind w:left="1260" w:firstLine="0"/>
      </w:pPr>
    </w:p>
    <w:p w:rsidR="00775477" w:rsidRDefault="00775477" w:rsidP="00775477">
      <w:pPr>
        <w:spacing w:line="240" w:lineRule="auto"/>
        <w:ind w:left="1260" w:firstLine="0"/>
      </w:pPr>
      <w:r w:rsidRPr="001D2357">
        <w:t>The site visit team will consist of three project team members (two senior staff and one junior staff). Under the direction of the task leader, a research associate will work with each site to schedule the interview</w:t>
      </w:r>
      <w:r>
        <w:t>s</w:t>
      </w:r>
      <w:r w:rsidRPr="001D2357">
        <w:t xml:space="preserve"> at a convenient time. Each site visit </w:t>
      </w:r>
      <w:r w:rsidRPr="001D2357">
        <w:lastRenderedPageBreak/>
        <w:t>will include interviews with key administrators such as chief executives, operating officers, financial</w:t>
      </w:r>
      <w:r>
        <w:t>,</w:t>
      </w:r>
      <w:r w:rsidRPr="001D2357">
        <w:t xml:space="preserve"> medical</w:t>
      </w:r>
      <w:r>
        <w:t>,</w:t>
      </w:r>
      <w:r w:rsidRPr="001D2357">
        <w:t xml:space="preserve"> and quality improvement officers, and other key employees leading performance improvement efforts connected to quality scores. By meeting with multiple people within the case study sites, the site visit team </w:t>
      </w:r>
      <w:r>
        <w:t>will</w:t>
      </w:r>
      <w:r w:rsidRPr="001D2357">
        <w:t xml:space="preserve"> be able to better understand the environment within which each site is operating and their history in terms of quality improvement and star ratings. </w:t>
      </w:r>
      <w:r w:rsidRPr="00FA5343">
        <w:t>We will schedule three-day site visits to ensure flexibility in accommodating the schedules of the various health plan staff members that will be interviewed, and to minimize the need for follow-up telephone calls post site visit.</w:t>
      </w:r>
    </w:p>
    <w:p w:rsidR="00F670A8" w:rsidRDefault="00F670A8" w:rsidP="00632933">
      <w:pPr>
        <w:spacing w:line="240" w:lineRule="auto"/>
      </w:pPr>
    </w:p>
    <w:p w:rsidR="00471DCF" w:rsidRDefault="00F670A8" w:rsidP="00E04AD1">
      <w:pPr>
        <w:pStyle w:val="Heading3"/>
        <w:numPr>
          <w:ilvl w:val="1"/>
          <w:numId w:val="9"/>
        </w:numPr>
        <w:spacing w:after="0"/>
        <w:ind w:left="1260" w:hanging="540"/>
      </w:pPr>
      <w:bookmarkStart w:id="53" w:name="_Toc184631520"/>
      <w:bookmarkStart w:id="54" w:name="_Toc195336917"/>
      <w:r>
        <w:t>Methods to Maximize Response Rates and Deal with Nonresponse</w:t>
      </w:r>
      <w:bookmarkEnd w:id="53"/>
      <w:bookmarkEnd w:id="54"/>
    </w:p>
    <w:p w:rsidR="00471DCF" w:rsidRPr="00485543" w:rsidRDefault="00471DCF" w:rsidP="00471DCF">
      <w:pPr>
        <w:spacing w:line="240" w:lineRule="auto"/>
        <w:ind w:left="1260" w:firstLine="0"/>
        <w:rPr>
          <w:szCs w:val="20"/>
        </w:rPr>
      </w:pPr>
      <w:r w:rsidRPr="00485543">
        <w:rPr>
          <w:szCs w:val="20"/>
        </w:rPr>
        <w:t>Response rates in the mail survey of MA plans will be max</w:t>
      </w:r>
      <w:r>
        <w:rPr>
          <w:szCs w:val="20"/>
        </w:rPr>
        <w:t xml:space="preserve">imized in a number of ways. </w:t>
      </w:r>
      <w:r w:rsidRPr="00485543">
        <w:rPr>
          <w:szCs w:val="20"/>
        </w:rPr>
        <w:t xml:space="preserve">We will mail introductory letters on CMS stationery and follow </w:t>
      </w:r>
      <w:r>
        <w:rPr>
          <w:szCs w:val="20"/>
        </w:rPr>
        <w:t xml:space="preserve">up </w:t>
      </w:r>
      <w:r w:rsidRPr="00485543">
        <w:rPr>
          <w:szCs w:val="20"/>
        </w:rPr>
        <w:t>with telephone calls to det</w:t>
      </w:r>
      <w:r>
        <w:rPr>
          <w:szCs w:val="20"/>
        </w:rPr>
        <w:t xml:space="preserve">ermine whether selected MA plans are eligible for the survey. </w:t>
      </w:r>
      <w:r w:rsidRPr="00485543">
        <w:rPr>
          <w:szCs w:val="20"/>
        </w:rPr>
        <w:t>During these calls, we will also identify the person most knowledgeable about the</w:t>
      </w:r>
      <w:r>
        <w:rPr>
          <w:szCs w:val="20"/>
        </w:rPr>
        <w:t xml:space="preserve"> MA plan</w:t>
      </w:r>
      <w:r w:rsidRPr="00485543">
        <w:rPr>
          <w:szCs w:val="20"/>
        </w:rPr>
        <w:t>; we will then mail the survey to th</w:t>
      </w:r>
      <w:r>
        <w:rPr>
          <w:szCs w:val="20"/>
        </w:rPr>
        <w:t>e</w:t>
      </w:r>
      <w:r w:rsidRPr="00485543">
        <w:rPr>
          <w:szCs w:val="20"/>
        </w:rPr>
        <w:t xml:space="preserve"> designated survey </w:t>
      </w:r>
      <w:r>
        <w:rPr>
          <w:szCs w:val="20"/>
        </w:rPr>
        <w:t xml:space="preserve">respondent. </w:t>
      </w:r>
      <w:r w:rsidRPr="00485543">
        <w:rPr>
          <w:szCs w:val="20"/>
        </w:rPr>
        <w:t>The cover letter, which will be personal</w:t>
      </w:r>
      <w:r>
        <w:rPr>
          <w:szCs w:val="20"/>
        </w:rPr>
        <w:t xml:space="preserve">ized </w:t>
      </w:r>
      <w:r w:rsidRPr="00485543">
        <w:rPr>
          <w:szCs w:val="20"/>
        </w:rPr>
        <w:t xml:space="preserve">and </w:t>
      </w:r>
      <w:r>
        <w:rPr>
          <w:szCs w:val="20"/>
        </w:rPr>
        <w:t xml:space="preserve">printed </w:t>
      </w:r>
      <w:r w:rsidRPr="00485543">
        <w:rPr>
          <w:szCs w:val="20"/>
        </w:rPr>
        <w:t xml:space="preserve">on CMS letterhead, will include contact information </w:t>
      </w:r>
      <w:r>
        <w:rPr>
          <w:szCs w:val="20"/>
        </w:rPr>
        <w:t xml:space="preserve">for the </w:t>
      </w:r>
      <w:r w:rsidRPr="00485543">
        <w:rPr>
          <w:szCs w:val="20"/>
        </w:rPr>
        <w:t xml:space="preserve">CMS </w:t>
      </w:r>
      <w:r>
        <w:rPr>
          <w:szCs w:val="20"/>
        </w:rPr>
        <w:t>project offi</w:t>
      </w:r>
      <w:r w:rsidRPr="00485543">
        <w:rPr>
          <w:szCs w:val="20"/>
        </w:rPr>
        <w:t>cer</w:t>
      </w:r>
      <w:r>
        <w:rPr>
          <w:szCs w:val="20"/>
        </w:rPr>
        <w:t xml:space="preserve"> and a </w:t>
      </w:r>
      <w:r w:rsidRPr="00485543">
        <w:rPr>
          <w:szCs w:val="20"/>
        </w:rPr>
        <w:t>toll-free numb</w:t>
      </w:r>
      <w:r>
        <w:rPr>
          <w:szCs w:val="20"/>
        </w:rPr>
        <w:t xml:space="preserve">er at Mathematica to call for questions or to request a copy of the questionnaire. </w:t>
      </w:r>
      <w:r w:rsidRPr="00485543">
        <w:rPr>
          <w:szCs w:val="20"/>
        </w:rPr>
        <w:t>The letter will describe the evaluation and the purpose of the mail survey, and will provide instructi</w:t>
      </w:r>
      <w:r>
        <w:rPr>
          <w:szCs w:val="20"/>
        </w:rPr>
        <w:t xml:space="preserve">ons. </w:t>
      </w:r>
      <w:r w:rsidRPr="00485543">
        <w:rPr>
          <w:szCs w:val="20"/>
        </w:rPr>
        <w:t>It will indicate that the survey is voluntary and give the estimated time for completion.</w:t>
      </w:r>
    </w:p>
    <w:p w:rsidR="00471DCF" w:rsidRPr="00485543" w:rsidRDefault="00471DCF" w:rsidP="00471DCF">
      <w:pPr>
        <w:spacing w:line="240" w:lineRule="auto"/>
        <w:ind w:left="1260" w:firstLine="0"/>
        <w:rPr>
          <w:szCs w:val="20"/>
        </w:rPr>
      </w:pPr>
    </w:p>
    <w:p w:rsidR="00471DCF" w:rsidRPr="00485543" w:rsidRDefault="00471DCF" w:rsidP="00471DCF">
      <w:pPr>
        <w:spacing w:line="240" w:lineRule="auto"/>
        <w:ind w:left="1260" w:firstLine="0"/>
        <w:rPr>
          <w:szCs w:val="20"/>
        </w:rPr>
      </w:pPr>
      <w:r w:rsidRPr="00485543">
        <w:rPr>
          <w:szCs w:val="20"/>
        </w:rPr>
        <w:t>Follow-up telephone calls by trained interviewers (during which plans can complete th</w:t>
      </w:r>
      <w:r>
        <w:rPr>
          <w:szCs w:val="20"/>
        </w:rPr>
        <w:t xml:space="preserve">e survey) extend our strategy. </w:t>
      </w:r>
      <w:r w:rsidRPr="00485543">
        <w:rPr>
          <w:szCs w:val="20"/>
        </w:rPr>
        <w:t xml:space="preserve">We will send </w:t>
      </w:r>
      <w:r>
        <w:rPr>
          <w:szCs w:val="20"/>
        </w:rPr>
        <w:t xml:space="preserve">the initial </w:t>
      </w:r>
      <w:r w:rsidRPr="00485543">
        <w:rPr>
          <w:szCs w:val="20"/>
        </w:rPr>
        <w:t xml:space="preserve">questionnaire by mail and place a follow-up call if the </w:t>
      </w:r>
      <w:r>
        <w:rPr>
          <w:szCs w:val="20"/>
        </w:rPr>
        <w:t xml:space="preserve">respondent </w:t>
      </w:r>
      <w:r w:rsidRPr="00485543">
        <w:rPr>
          <w:szCs w:val="20"/>
        </w:rPr>
        <w:t>h</w:t>
      </w:r>
      <w:r>
        <w:rPr>
          <w:szCs w:val="20"/>
        </w:rPr>
        <w:t xml:space="preserve">as not returned the questionnaire within </w:t>
      </w:r>
      <w:r w:rsidRPr="008E1161">
        <w:rPr>
          <w:szCs w:val="20"/>
        </w:rPr>
        <w:t>two weeks</w:t>
      </w:r>
      <w:r>
        <w:rPr>
          <w:szCs w:val="20"/>
        </w:rPr>
        <w:t xml:space="preserve">. We will continue to place follow-up calls </w:t>
      </w:r>
      <w:r w:rsidRPr="008E1161">
        <w:rPr>
          <w:szCs w:val="20"/>
        </w:rPr>
        <w:t>weekly</w:t>
      </w:r>
      <w:r>
        <w:rPr>
          <w:szCs w:val="20"/>
        </w:rPr>
        <w:t xml:space="preserve"> throughout the field period to encourage response. We will offer multiple-mode options (mail, telephone, email</w:t>
      </w:r>
      <w:r w:rsidR="00BD52C3">
        <w:rPr>
          <w:szCs w:val="20"/>
        </w:rPr>
        <w:t>,</w:t>
      </w:r>
      <w:r>
        <w:rPr>
          <w:szCs w:val="20"/>
        </w:rPr>
        <w:t xml:space="preserve"> and fax). Interviewer training materials will emphasize tips for dealing with nonresponse. </w:t>
      </w:r>
      <w:r w:rsidRPr="00485543">
        <w:rPr>
          <w:szCs w:val="20"/>
        </w:rPr>
        <w:t>The questionnaire is relatively short and has only a few open-ended response categorie</w:t>
      </w:r>
      <w:r>
        <w:rPr>
          <w:szCs w:val="20"/>
        </w:rPr>
        <w:t xml:space="preserve">s. </w:t>
      </w:r>
      <w:r w:rsidRPr="00485543">
        <w:rPr>
          <w:szCs w:val="20"/>
        </w:rPr>
        <w:t>There are clear i</w:t>
      </w:r>
      <w:r>
        <w:rPr>
          <w:szCs w:val="20"/>
        </w:rPr>
        <w:t xml:space="preserve">nstructions on the first page. </w:t>
      </w:r>
      <w:r w:rsidRPr="00485543">
        <w:rPr>
          <w:szCs w:val="20"/>
        </w:rPr>
        <w:t>We considered making the survey available on the web but c</w:t>
      </w:r>
      <w:r>
        <w:rPr>
          <w:szCs w:val="20"/>
        </w:rPr>
        <w:t xml:space="preserve">oncluded </w:t>
      </w:r>
      <w:r w:rsidRPr="00CB57F2">
        <w:rPr>
          <w:szCs w:val="20"/>
        </w:rPr>
        <w:t xml:space="preserve">that </w:t>
      </w:r>
      <w:r>
        <w:rPr>
          <w:szCs w:val="20"/>
        </w:rPr>
        <w:t xml:space="preserve">it was not cost effective to expend resources to program a web survey instrument when we expect to complete </w:t>
      </w:r>
      <w:r w:rsidR="004A6CDD">
        <w:rPr>
          <w:szCs w:val="20"/>
        </w:rPr>
        <w:t xml:space="preserve">surveys with </w:t>
      </w:r>
      <w:r>
        <w:rPr>
          <w:szCs w:val="20"/>
        </w:rPr>
        <w:t xml:space="preserve">roughly 440 </w:t>
      </w:r>
      <w:r w:rsidR="004A6CDD">
        <w:rPr>
          <w:szCs w:val="20"/>
        </w:rPr>
        <w:t>MA plans</w:t>
      </w:r>
      <w:r>
        <w:rPr>
          <w:szCs w:val="20"/>
        </w:rPr>
        <w:t xml:space="preserve">. </w:t>
      </w:r>
    </w:p>
    <w:p w:rsidR="00471DCF" w:rsidRPr="00485543" w:rsidRDefault="00471DCF" w:rsidP="00471DCF">
      <w:pPr>
        <w:spacing w:line="240" w:lineRule="auto"/>
        <w:ind w:left="1260" w:firstLine="0"/>
        <w:rPr>
          <w:szCs w:val="20"/>
        </w:rPr>
      </w:pPr>
    </w:p>
    <w:p w:rsidR="00471DCF" w:rsidRPr="00485543" w:rsidRDefault="00471DCF" w:rsidP="00471DCF">
      <w:pPr>
        <w:spacing w:line="240" w:lineRule="auto"/>
        <w:ind w:left="1260" w:firstLine="0"/>
        <w:rPr>
          <w:szCs w:val="20"/>
        </w:rPr>
      </w:pPr>
      <w:r w:rsidRPr="00485543">
        <w:rPr>
          <w:szCs w:val="20"/>
        </w:rPr>
        <w:t xml:space="preserve">The response rate for the mail survey will be calculated as the number of MA plans that complete the questionnaire (either by mail or by telephone) divided by the total number of MA plans that were </w:t>
      </w:r>
      <w:r>
        <w:rPr>
          <w:szCs w:val="20"/>
        </w:rPr>
        <w:t xml:space="preserve">deemed eligible and </w:t>
      </w:r>
      <w:r w:rsidRPr="00485543">
        <w:rPr>
          <w:szCs w:val="20"/>
        </w:rPr>
        <w:t xml:space="preserve">mailed </w:t>
      </w:r>
      <w:r>
        <w:rPr>
          <w:szCs w:val="20"/>
        </w:rPr>
        <w:t xml:space="preserve">a questionnaire (all unique MA plans). </w:t>
      </w:r>
      <w:r w:rsidRPr="00485543">
        <w:rPr>
          <w:szCs w:val="20"/>
        </w:rPr>
        <w:t>Because we know the universe of approved, unique MA plans or contracts, the denominator of the response rate does not include ineligible plans or plans</w:t>
      </w:r>
      <w:r>
        <w:rPr>
          <w:szCs w:val="20"/>
        </w:rPr>
        <w:t xml:space="preserve"> whose eligibility is unknown. </w:t>
      </w:r>
      <w:r w:rsidRPr="00485543">
        <w:rPr>
          <w:szCs w:val="20"/>
        </w:rPr>
        <w:t>Response rate calculations are based on standards established by the Ame</w:t>
      </w:r>
      <w:r w:rsidRPr="00485543">
        <w:rPr>
          <w:rFonts w:ascii="Times" w:hAnsi="Times"/>
          <w:szCs w:val="20"/>
        </w:rPr>
        <w:t xml:space="preserve">rican Association for Public Opinion Research. </w:t>
      </w:r>
    </w:p>
    <w:p w:rsidR="00471DCF" w:rsidRPr="00485543" w:rsidRDefault="00471DCF" w:rsidP="00471DCF">
      <w:pPr>
        <w:spacing w:line="240" w:lineRule="auto"/>
        <w:ind w:left="1260" w:firstLine="0"/>
        <w:rPr>
          <w:szCs w:val="20"/>
        </w:rPr>
      </w:pPr>
    </w:p>
    <w:p w:rsidR="00471DCF" w:rsidRPr="00485543" w:rsidRDefault="00471DCF" w:rsidP="00471DCF">
      <w:pPr>
        <w:spacing w:line="240" w:lineRule="auto"/>
        <w:ind w:left="1260" w:firstLine="0"/>
        <w:rPr>
          <w:szCs w:val="20"/>
        </w:rPr>
      </w:pPr>
      <w:r w:rsidRPr="00485543">
        <w:rPr>
          <w:szCs w:val="20"/>
        </w:rPr>
        <w:t>Based on previous surveys with similar populations, we anticipate achieving a minimum response rate of 80 percent on the survey. For non-respondents, we will construct a profile based on characteristics of the plans drawn from the HPMS and data collected through the pre-survey screening outreach.</w:t>
      </w:r>
    </w:p>
    <w:p w:rsidR="00234BEA" w:rsidRDefault="00234BEA" w:rsidP="00A55329">
      <w:pPr>
        <w:spacing w:line="240" w:lineRule="auto"/>
        <w:ind w:left="1260" w:hanging="270"/>
      </w:pPr>
    </w:p>
    <w:p w:rsidR="004B4183" w:rsidRDefault="00AE435C" w:rsidP="004B4183">
      <w:pPr>
        <w:spacing w:line="240" w:lineRule="auto"/>
        <w:ind w:left="1260" w:firstLine="0"/>
      </w:pPr>
      <w:r>
        <w:lastRenderedPageBreak/>
        <w:t>To encourage participation in</w:t>
      </w:r>
      <w:r w:rsidR="004B4183">
        <w:t xml:space="preserve"> the case studies, </w:t>
      </w:r>
      <w:r w:rsidR="004B4183" w:rsidRPr="00AE3DD8">
        <w:t xml:space="preserve">the team will begin outreach to the </w:t>
      </w:r>
      <w:r w:rsidR="004B4183">
        <w:t xml:space="preserve">selected </w:t>
      </w:r>
      <w:r>
        <w:t>MAOs</w:t>
      </w:r>
      <w:r w:rsidR="004B4183" w:rsidRPr="00AE3DD8">
        <w:t xml:space="preserve"> using a recruitment package that includes a description of the project, site visit process, types of staff members we would like to speak with, range of proposed dates, and time commitment required. We also propose to include an “endorsement” letter – a brief explanation of the project on CMS letterhead encouraging participation and assuring that participation does not impact their contracts. As appropriate, the team will also enlist the support of expert/stakeholder interviewees to lend further credence to research activities in the eyes of those identified for the case stud</w:t>
      </w:r>
      <w:r w:rsidR="004B4183">
        <w:t>ies</w:t>
      </w:r>
      <w:r w:rsidR="004B4183" w:rsidRPr="00AE3DD8">
        <w:t>. Finally, it will be important to convey to the organizations that contract-specific data will only be shared in an aggregate format and that the team will take steps to mask the feedback of the participating organizations. The cover letter will address these issues and convey the willingness of the team to work with the plan to address any other privacy/confidentiality issues they may have.</w:t>
      </w:r>
    </w:p>
    <w:p w:rsidR="004B4183" w:rsidRDefault="004B4183" w:rsidP="004B4183">
      <w:pPr>
        <w:spacing w:line="240" w:lineRule="auto"/>
        <w:ind w:left="1260" w:firstLine="0"/>
      </w:pPr>
    </w:p>
    <w:p w:rsidR="004E3659" w:rsidRDefault="004B4183" w:rsidP="004B4183">
      <w:pPr>
        <w:spacing w:line="240" w:lineRule="auto"/>
        <w:ind w:left="1260" w:firstLine="0"/>
      </w:pPr>
      <w:r>
        <w:t xml:space="preserve">To facilitate MAO participation, the research team will </w:t>
      </w:r>
      <w:r w:rsidR="00AE435C">
        <w:t xml:space="preserve">travel to the MAO’s offices </w:t>
      </w:r>
      <w:r>
        <w:t>to conduct the interviews and schedule the interviews for dates and times that are convenient for the MAO representatives.</w:t>
      </w:r>
    </w:p>
    <w:p w:rsidR="004E3659" w:rsidRPr="00F670A8" w:rsidRDefault="004E3659" w:rsidP="00234BEA">
      <w:pPr>
        <w:spacing w:line="240" w:lineRule="auto"/>
        <w:ind w:left="990" w:hanging="270"/>
      </w:pPr>
    </w:p>
    <w:p w:rsidR="00234BEA" w:rsidRDefault="00234BEA" w:rsidP="00E04AD1">
      <w:pPr>
        <w:pStyle w:val="Heading3"/>
        <w:numPr>
          <w:ilvl w:val="1"/>
          <w:numId w:val="9"/>
        </w:numPr>
        <w:spacing w:after="0"/>
        <w:ind w:left="1260" w:hanging="540"/>
      </w:pPr>
      <w:bookmarkStart w:id="55" w:name="_Toc184631521"/>
      <w:bookmarkStart w:id="56" w:name="_Toc195336918"/>
      <w:r>
        <w:t>Tests of Procedures or Methods to Be Undertaken</w:t>
      </w:r>
      <w:bookmarkEnd w:id="55"/>
      <w:bookmarkEnd w:id="56"/>
    </w:p>
    <w:p w:rsidR="00471DCF" w:rsidRDefault="00471DCF" w:rsidP="00A55329">
      <w:pPr>
        <w:tabs>
          <w:tab w:val="clear" w:pos="432"/>
          <w:tab w:val="left" w:pos="1260"/>
        </w:tabs>
        <w:spacing w:line="240" w:lineRule="auto"/>
        <w:ind w:left="1260" w:firstLine="0"/>
      </w:pPr>
      <w:r>
        <w:rPr>
          <w:szCs w:val="20"/>
        </w:rPr>
        <w:t>Up to nine MA plans will be</w:t>
      </w:r>
      <w:r w:rsidRPr="00485543">
        <w:rPr>
          <w:szCs w:val="20"/>
        </w:rPr>
        <w:t xml:space="preserve"> selected to </w:t>
      </w:r>
      <w:r>
        <w:rPr>
          <w:szCs w:val="20"/>
        </w:rPr>
        <w:t xml:space="preserve">pretest the survey instrument. Plans that have a range of quality scores will be selected for the pretest so that the entire questionnaire can be efficiently tested. </w:t>
      </w:r>
      <w:r w:rsidRPr="00485543">
        <w:rPr>
          <w:szCs w:val="20"/>
        </w:rPr>
        <w:t>Th</w:t>
      </w:r>
      <w:r>
        <w:rPr>
          <w:szCs w:val="20"/>
        </w:rPr>
        <w:t>e pretest will identify any items that are</w:t>
      </w:r>
      <w:r w:rsidRPr="00485543">
        <w:rPr>
          <w:szCs w:val="20"/>
        </w:rPr>
        <w:t xml:space="preserve"> burdensome or difficult to </w:t>
      </w:r>
      <w:r>
        <w:rPr>
          <w:szCs w:val="20"/>
        </w:rPr>
        <w:t>respond to, and these items will be</w:t>
      </w:r>
      <w:r w:rsidRPr="00485543">
        <w:rPr>
          <w:szCs w:val="20"/>
        </w:rPr>
        <w:t xml:space="preserve"> r</w:t>
      </w:r>
      <w:r>
        <w:rPr>
          <w:szCs w:val="20"/>
        </w:rPr>
        <w:t xml:space="preserve">emoved or revised accordingly. </w:t>
      </w:r>
      <w:r w:rsidRPr="00485543">
        <w:rPr>
          <w:szCs w:val="20"/>
        </w:rPr>
        <w:t>An</w:t>
      </w:r>
      <w:r>
        <w:rPr>
          <w:szCs w:val="20"/>
        </w:rPr>
        <w:t xml:space="preserve"> average response time will be estimated from the pretest surveys. </w:t>
      </w:r>
    </w:p>
    <w:p w:rsidR="005E23A7" w:rsidRPr="00234BEA" w:rsidRDefault="005E23A7" w:rsidP="0078539D">
      <w:pPr>
        <w:spacing w:line="240" w:lineRule="auto"/>
        <w:ind w:firstLine="0"/>
      </w:pPr>
    </w:p>
    <w:p w:rsidR="005E23A7" w:rsidRDefault="005E23A7" w:rsidP="00E04AD1">
      <w:pPr>
        <w:pStyle w:val="Heading3"/>
        <w:numPr>
          <w:ilvl w:val="1"/>
          <w:numId w:val="9"/>
        </w:numPr>
        <w:tabs>
          <w:tab w:val="clear" w:pos="432"/>
          <w:tab w:val="left" w:pos="540"/>
        </w:tabs>
        <w:spacing w:after="0"/>
        <w:ind w:left="1260" w:hanging="540"/>
      </w:pPr>
      <w:bookmarkStart w:id="57" w:name="_Toc184631522"/>
      <w:bookmarkStart w:id="58" w:name="_Toc195336919"/>
      <w:r>
        <w:t>People Consulted on Statistical Aspects, and People Collecting or Analyzing Data</w:t>
      </w:r>
      <w:bookmarkEnd w:id="57"/>
      <w:bookmarkEnd w:id="58"/>
    </w:p>
    <w:p w:rsidR="00182523" w:rsidRDefault="00182523" w:rsidP="00D36317">
      <w:pPr>
        <w:spacing w:line="240" w:lineRule="auto"/>
        <w:ind w:left="1260" w:firstLine="0"/>
        <w:rPr>
          <w:szCs w:val="20"/>
        </w:rPr>
      </w:pPr>
      <w:r w:rsidRPr="00485543">
        <w:rPr>
          <w:szCs w:val="20"/>
        </w:rPr>
        <w:t xml:space="preserve">The following people have contributed to the </w:t>
      </w:r>
      <w:r>
        <w:rPr>
          <w:szCs w:val="20"/>
        </w:rPr>
        <w:t xml:space="preserve">questionnaire content and </w:t>
      </w:r>
      <w:r w:rsidRPr="00485543">
        <w:rPr>
          <w:szCs w:val="20"/>
        </w:rPr>
        <w:t>design</w:t>
      </w:r>
      <w:r>
        <w:rPr>
          <w:szCs w:val="20"/>
        </w:rPr>
        <w:t>, or to statistical or analytic features of the study</w:t>
      </w:r>
      <w:r w:rsidRPr="00485543">
        <w:rPr>
          <w:szCs w:val="20"/>
        </w:rPr>
        <w:t xml:space="preserve">:  </w:t>
      </w:r>
    </w:p>
    <w:p w:rsidR="00182523" w:rsidRDefault="00182523" w:rsidP="00182523">
      <w:pPr>
        <w:spacing w:line="240" w:lineRule="auto"/>
        <w:rPr>
          <w:szCs w:val="20"/>
        </w:rPr>
      </w:pPr>
    </w:p>
    <w:p w:rsidR="00182523" w:rsidRDefault="00182523" w:rsidP="00D36317">
      <w:pPr>
        <w:spacing w:line="240" w:lineRule="auto"/>
        <w:ind w:left="1800" w:firstLine="0"/>
        <w:rPr>
          <w:szCs w:val="20"/>
        </w:rPr>
      </w:pPr>
      <w:r>
        <w:rPr>
          <w:szCs w:val="20"/>
        </w:rPr>
        <w:t>Gerald Riley, Project Officer</w:t>
      </w:r>
    </w:p>
    <w:p w:rsidR="00182523" w:rsidRDefault="00182523" w:rsidP="00D36317">
      <w:pPr>
        <w:spacing w:line="240" w:lineRule="auto"/>
        <w:ind w:left="1800" w:firstLine="0"/>
        <w:rPr>
          <w:szCs w:val="20"/>
        </w:rPr>
      </w:pPr>
      <w:r>
        <w:rPr>
          <w:szCs w:val="20"/>
        </w:rPr>
        <w:t>Centers for Medicare &amp; Medicaid Services</w:t>
      </w:r>
    </w:p>
    <w:p w:rsidR="00182523" w:rsidRDefault="00182523" w:rsidP="00D36317">
      <w:pPr>
        <w:spacing w:line="240" w:lineRule="auto"/>
        <w:ind w:left="1800" w:firstLine="0"/>
        <w:rPr>
          <w:szCs w:val="20"/>
        </w:rPr>
      </w:pPr>
      <w:r>
        <w:rPr>
          <w:szCs w:val="20"/>
        </w:rPr>
        <w:t>(410) 786-6699</w:t>
      </w:r>
    </w:p>
    <w:p w:rsidR="00182523" w:rsidRDefault="006C1D14" w:rsidP="00D36317">
      <w:pPr>
        <w:spacing w:line="240" w:lineRule="auto"/>
        <w:ind w:left="1800" w:firstLine="0"/>
        <w:rPr>
          <w:szCs w:val="20"/>
        </w:rPr>
      </w:pPr>
      <w:hyperlink r:id="rId9" w:history="1">
        <w:r w:rsidR="00182523" w:rsidRPr="009E0FA7">
          <w:rPr>
            <w:rStyle w:val="Hyperlink"/>
            <w:bCs/>
            <w:szCs w:val="20"/>
          </w:rPr>
          <w:t>gerald</w:t>
        </w:r>
        <w:r w:rsidR="00182523" w:rsidRPr="009E0FA7">
          <w:rPr>
            <w:rStyle w:val="Hyperlink"/>
            <w:szCs w:val="20"/>
          </w:rPr>
          <w:t>.</w:t>
        </w:r>
        <w:r w:rsidR="00182523" w:rsidRPr="009E0FA7">
          <w:rPr>
            <w:rStyle w:val="Hyperlink"/>
            <w:bCs/>
            <w:szCs w:val="20"/>
          </w:rPr>
          <w:t>riley</w:t>
        </w:r>
        <w:r w:rsidR="00182523" w:rsidRPr="009E0FA7">
          <w:rPr>
            <w:rStyle w:val="Hyperlink"/>
            <w:szCs w:val="20"/>
          </w:rPr>
          <w:t>@</w:t>
        </w:r>
        <w:r w:rsidR="00182523" w:rsidRPr="009E0FA7">
          <w:rPr>
            <w:rStyle w:val="Hyperlink"/>
            <w:bCs/>
            <w:szCs w:val="20"/>
          </w:rPr>
          <w:t>cms</w:t>
        </w:r>
        <w:r w:rsidR="00182523" w:rsidRPr="009E0FA7">
          <w:rPr>
            <w:rStyle w:val="Hyperlink"/>
            <w:szCs w:val="20"/>
          </w:rPr>
          <w:t>.hhs.gov</w:t>
        </w:r>
      </w:hyperlink>
    </w:p>
    <w:p w:rsidR="00182523" w:rsidRDefault="00182523" w:rsidP="00D36317">
      <w:pPr>
        <w:spacing w:line="240" w:lineRule="auto"/>
        <w:ind w:left="1800" w:firstLine="0"/>
        <w:rPr>
          <w:szCs w:val="20"/>
        </w:rPr>
      </w:pPr>
    </w:p>
    <w:p w:rsidR="00182523" w:rsidRDefault="00182523" w:rsidP="00D36317">
      <w:pPr>
        <w:spacing w:line="240" w:lineRule="auto"/>
        <w:ind w:left="1800" w:firstLine="0"/>
        <w:rPr>
          <w:szCs w:val="20"/>
        </w:rPr>
      </w:pPr>
      <w:r>
        <w:rPr>
          <w:szCs w:val="20"/>
        </w:rPr>
        <w:t xml:space="preserve">Sarah </w:t>
      </w:r>
      <w:proofErr w:type="spellStart"/>
      <w:r>
        <w:rPr>
          <w:szCs w:val="20"/>
        </w:rPr>
        <w:t>Gaillot</w:t>
      </w:r>
      <w:proofErr w:type="spellEnd"/>
    </w:p>
    <w:p w:rsidR="00182523" w:rsidRDefault="00182523" w:rsidP="00D36317">
      <w:pPr>
        <w:spacing w:line="240" w:lineRule="auto"/>
        <w:ind w:left="1800" w:firstLine="0"/>
        <w:rPr>
          <w:szCs w:val="20"/>
        </w:rPr>
      </w:pPr>
      <w:r>
        <w:rPr>
          <w:szCs w:val="20"/>
        </w:rPr>
        <w:t>Centers for Medicare &amp; Medicaid Services</w:t>
      </w:r>
    </w:p>
    <w:p w:rsidR="00182523" w:rsidRPr="00D36317" w:rsidRDefault="00182523" w:rsidP="00D36317">
      <w:pPr>
        <w:spacing w:line="240" w:lineRule="auto"/>
        <w:ind w:left="1800" w:firstLine="0"/>
        <w:rPr>
          <w:szCs w:val="20"/>
        </w:rPr>
      </w:pPr>
      <w:r w:rsidRPr="00D36317">
        <w:rPr>
          <w:szCs w:val="20"/>
        </w:rPr>
        <w:t>(410) 786-</w:t>
      </w:r>
      <w:r w:rsidR="00D36317" w:rsidRPr="00D36317">
        <w:rPr>
          <w:color w:val="000000"/>
        </w:rPr>
        <w:t>4637</w:t>
      </w:r>
    </w:p>
    <w:p w:rsidR="00182523" w:rsidRDefault="006C1D14" w:rsidP="00D36317">
      <w:pPr>
        <w:spacing w:line="240" w:lineRule="auto"/>
        <w:ind w:left="1800" w:firstLine="0"/>
        <w:rPr>
          <w:szCs w:val="20"/>
        </w:rPr>
      </w:pPr>
      <w:hyperlink r:id="rId10" w:history="1">
        <w:r w:rsidR="00182523" w:rsidRPr="009E0FA7">
          <w:rPr>
            <w:rStyle w:val="Hyperlink"/>
            <w:szCs w:val="20"/>
          </w:rPr>
          <w:t>Sarah.gaillot@cms.hhs.gov</w:t>
        </w:r>
      </w:hyperlink>
    </w:p>
    <w:p w:rsidR="00182523" w:rsidRDefault="00182523" w:rsidP="00D36317">
      <w:pPr>
        <w:spacing w:line="240" w:lineRule="auto"/>
        <w:ind w:left="1800" w:firstLine="0"/>
        <w:rPr>
          <w:szCs w:val="20"/>
        </w:rPr>
      </w:pPr>
    </w:p>
    <w:p w:rsidR="00182523" w:rsidRDefault="00182523" w:rsidP="00D36317">
      <w:pPr>
        <w:spacing w:line="240" w:lineRule="auto"/>
        <w:ind w:left="1800" w:firstLine="0"/>
        <w:rPr>
          <w:szCs w:val="20"/>
        </w:rPr>
      </w:pPr>
      <w:r>
        <w:rPr>
          <w:szCs w:val="20"/>
        </w:rPr>
        <w:t>Dr. Lisa Green, Project Director</w:t>
      </w:r>
    </w:p>
    <w:p w:rsidR="00182523" w:rsidRDefault="00182523" w:rsidP="00D36317">
      <w:pPr>
        <w:spacing w:line="240" w:lineRule="auto"/>
        <w:ind w:left="1800" w:firstLine="0"/>
        <w:rPr>
          <w:szCs w:val="20"/>
        </w:rPr>
      </w:pPr>
      <w:r>
        <w:rPr>
          <w:szCs w:val="20"/>
        </w:rPr>
        <w:t>L&amp;M Policy Research</w:t>
      </w:r>
    </w:p>
    <w:p w:rsidR="00182523" w:rsidRDefault="00182523" w:rsidP="00D36317">
      <w:pPr>
        <w:spacing w:line="240" w:lineRule="auto"/>
        <w:ind w:left="1800" w:firstLine="0"/>
        <w:rPr>
          <w:szCs w:val="20"/>
        </w:rPr>
      </w:pPr>
      <w:r>
        <w:rPr>
          <w:sz w:val="23"/>
          <w:szCs w:val="23"/>
        </w:rPr>
        <w:t>(240) 476-6663</w:t>
      </w:r>
    </w:p>
    <w:p w:rsidR="00182523" w:rsidRDefault="006C1D14" w:rsidP="00D36317">
      <w:pPr>
        <w:spacing w:line="240" w:lineRule="auto"/>
        <w:ind w:left="1800" w:firstLine="0"/>
        <w:rPr>
          <w:szCs w:val="20"/>
        </w:rPr>
      </w:pPr>
      <w:hyperlink r:id="rId11" w:history="1">
        <w:r w:rsidR="00182523" w:rsidRPr="009E0FA7">
          <w:rPr>
            <w:rStyle w:val="Hyperlink"/>
            <w:szCs w:val="20"/>
          </w:rPr>
          <w:t>LGreen@LMpolicyresearch.com</w:t>
        </w:r>
      </w:hyperlink>
    </w:p>
    <w:p w:rsidR="00182523" w:rsidRDefault="00182523" w:rsidP="00D36317">
      <w:pPr>
        <w:spacing w:line="240" w:lineRule="auto"/>
        <w:ind w:left="1800" w:firstLine="0"/>
        <w:rPr>
          <w:szCs w:val="20"/>
        </w:rPr>
      </w:pPr>
    </w:p>
    <w:p w:rsidR="00182523" w:rsidRDefault="00182523" w:rsidP="00D36317">
      <w:pPr>
        <w:spacing w:line="240" w:lineRule="auto"/>
        <w:ind w:left="1800" w:firstLine="0"/>
        <w:rPr>
          <w:szCs w:val="20"/>
        </w:rPr>
      </w:pPr>
      <w:r>
        <w:rPr>
          <w:szCs w:val="20"/>
        </w:rPr>
        <w:t>Kelly Moriarty, Deputy Project Director</w:t>
      </w:r>
    </w:p>
    <w:p w:rsidR="00182523" w:rsidRDefault="00182523" w:rsidP="00D36317">
      <w:pPr>
        <w:spacing w:line="240" w:lineRule="auto"/>
        <w:ind w:left="1800" w:firstLine="0"/>
        <w:rPr>
          <w:szCs w:val="20"/>
        </w:rPr>
      </w:pPr>
      <w:r>
        <w:rPr>
          <w:szCs w:val="20"/>
        </w:rPr>
        <w:t>L&amp;M Policy Research</w:t>
      </w:r>
    </w:p>
    <w:p w:rsidR="00182523" w:rsidRDefault="00182523" w:rsidP="00D36317">
      <w:pPr>
        <w:spacing w:line="240" w:lineRule="auto"/>
        <w:ind w:left="1800" w:firstLine="0"/>
        <w:rPr>
          <w:szCs w:val="20"/>
        </w:rPr>
      </w:pPr>
      <w:r>
        <w:rPr>
          <w:szCs w:val="20"/>
        </w:rPr>
        <w:lastRenderedPageBreak/>
        <w:t>(</w:t>
      </w:r>
      <w:r w:rsidRPr="00A814D6">
        <w:rPr>
          <w:szCs w:val="20"/>
        </w:rPr>
        <w:t>310</w:t>
      </w:r>
      <w:r>
        <w:rPr>
          <w:szCs w:val="20"/>
        </w:rPr>
        <w:t xml:space="preserve">) </w:t>
      </w:r>
      <w:r w:rsidRPr="00A814D6">
        <w:rPr>
          <w:szCs w:val="20"/>
        </w:rPr>
        <w:t>428</w:t>
      </w:r>
      <w:r>
        <w:rPr>
          <w:szCs w:val="20"/>
        </w:rPr>
        <w:t>-</w:t>
      </w:r>
      <w:r w:rsidRPr="00A814D6">
        <w:rPr>
          <w:szCs w:val="20"/>
        </w:rPr>
        <w:t>7953</w:t>
      </w:r>
    </w:p>
    <w:p w:rsidR="00182523" w:rsidRDefault="006C1D14" w:rsidP="00D36317">
      <w:pPr>
        <w:spacing w:line="240" w:lineRule="auto"/>
        <w:ind w:left="1800" w:firstLine="0"/>
        <w:rPr>
          <w:szCs w:val="20"/>
        </w:rPr>
      </w:pPr>
      <w:hyperlink r:id="rId12" w:history="1">
        <w:r w:rsidR="00D36317" w:rsidRPr="00D36317">
          <w:rPr>
            <w:rStyle w:val="Hyperlink"/>
            <w:szCs w:val="20"/>
          </w:rPr>
          <w:t>kmoriarty@LMpolicyresearch.com</w:t>
        </w:r>
      </w:hyperlink>
    </w:p>
    <w:p w:rsidR="00182523" w:rsidRDefault="00182523" w:rsidP="00D36317">
      <w:pPr>
        <w:spacing w:line="240" w:lineRule="auto"/>
        <w:ind w:left="1800" w:firstLine="0"/>
        <w:rPr>
          <w:szCs w:val="20"/>
        </w:rPr>
      </w:pPr>
    </w:p>
    <w:p w:rsidR="00182523" w:rsidRDefault="00182523" w:rsidP="00D36317">
      <w:pPr>
        <w:spacing w:line="240" w:lineRule="auto"/>
        <w:ind w:left="1800" w:firstLine="0"/>
        <w:rPr>
          <w:szCs w:val="20"/>
        </w:rPr>
      </w:pPr>
      <w:r>
        <w:rPr>
          <w:szCs w:val="20"/>
        </w:rPr>
        <w:t>Julia Ann Doherty</w:t>
      </w:r>
    </w:p>
    <w:p w:rsidR="00182523" w:rsidRDefault="00182523" w:rsidP="00D36317">
      <w:pPr>
        <w:spacing w:line="240" w:lineRule="auto"/>
        <w:ind w:left="1800" w:firstLine="0"/>
        <w:rPr>
          <w:szCs w:val="20"/>
        </w:rPr>
      </w:pPr>
      <w:r>
        <w:rPr>
          <w:szCs w:val="20"/>
        </w:rPr>
        <w:t>L&amp;M Policy Research</w:t>
      </w:r>
    </w:p>
    <w:p w:rsidR="00182523" w:rsidRDefault="00182523" w:rsidP="00D36317">
      <w:pPr>
        <w:spacing w:line="240" w:lineRule="auto"/>
        <w:ind w:left="1800" w:firstLine="0"/>
        <w:rPr>
          <w:szCs w:val="20"/>
        </w:rPr>
      </w:pPr>
      <w:r>
        <w:rPr>
          <w:szCs w:val="20"/>
        </w:rPr>
        <w:t>(202) 688-2936</w:t>
      </w:r>
    </w:p>
    <w:p w:rsidR="00182523" w:rsidRDefault="006C1D14" w:rsidP="00D36317">
      <w:pPr>
        <w:spacing w:line="240" w:lineRule="auto"/>
        <w:ind w:left="1800" w:firstLine="0"/>
        <w:rPr>
          <w:szCs w:val="20"/>
        </w:rPr>
      </w:pPr>
      <w:hyperlink r:id="rId13" w:history="1">
        <w:r w:rsidR="00D36317" w:rsidRPr="00D36317">
          <w:rPr>
            <w:rStyle w:val="Hyperlink"/>
            <w:szCs w:val="20"/>
          </w:rPr>
          <w:t>jdoherty@LMpolicyresearch.com</w:t>
        </w:r>
      </w:hyperlink>
    </w:p>
    <w:p w:rsidR="00182523" w:rsidRDefault="00182523" w:rsidP="00D36317">
      <w:pPr>
        <w:spacing w:line="240" w:lineRule="auto"/>
        <w:ind w:left="1800" w:firstLine="0"/>
        <w:rPr>
          <w:szCs w:val="20"/>
        </w:rPr>
      </w:pPr>
    </w:p>
    <w:p w:rsidR="00182523" w:rsidRDefault="00182523" w:rsidP="00D36317">
      <w:pPr>
        <w:spacing w:line="240" w:lineRule="auto"/>
        <w:ind w:left="1800" w:firstLine="0"/>
        <w:rPr>
          <w:szCs w:val="20"/>
        </w:rPr>
      </w:pPr>
      <w:r>
        <w:rPr>
          <w:szCs w:val="20"/>
        </w:rPr>
        <w:t>Rachel Dolin</w:t>
      </w:r>
    </w:p>
    <w:p w:rsidR="00182523" w:rsidRDefault="00182523" w:rsidP="00D36317">
      <w:pPr>
        <w:spacing w:line="240" w:lineRule="auto"/>
        <w:ind w:left="1800" w:firstLine="0"/>
        <w:rPr>
          <w:szCs w:val="20"/>
        </w:rPr>
      </w:pPr>
      <w:r>
        <w:rPr>
          <w:szCs w:val="20"/>
        </w:rPr>
        <w:t>L&amp;M Policy Research</w:t>
      </w:r>
    </w:p>
    <w:p w:rsidR="00182523" w:rsidRDefault="00182523" w:rsidP="00D36317">
      <w:pPr>
        <w:spacing w:line="240" w:lineRule="auto"/>
        <w:ind w:left="1800" w:firstLine="0"/>
        <w:rPr>
          <w:szCs w:val="20"/>
        </w:rPr>
      </w:pPr>
      <w:r>
        <w:rPr>
          <w:szCs w:val="20"/>
        </w:rPr>
        <w:t xml:space="preserve">(202) 688-2936 </w:t>
      </w:r>
    </w:p>
    <w:p w:rsidR="00182523" w:rsidRDefault="006C1D14" w:rsidP="00D36317">
      <w:pPr>
        <w:spacing w:line="240" w:lineRule="auto"/>
        <w:ind w:left="1800" w:firstLine="0"/>
        <w:rPr>
          <w:szCs w:val="20"/>
        </w:rPr>
      </w:pPr>
      <w:hyperlink r:id="rId14" w:history="1">
        <w:r w:rsidR="00D36317" w:rsidRPr="00D36317">
          <w:rPr>
            <w:rStyle w:val="Hyperlink"/>
            <w:szCs w:val="20"/>
          </w:rPr>
          <w:t>rdolin@LMpolicyresearch.com</w:t>
        </w:r>
      </w:hyperlink>
    </w:p>
    <w:p w:rsidR="00182523" w:rsidRDefault="00182523" w:rsidP="00D36317">
      <w:pPr>
        <w:spacing w:line="240" w:lineRule="auto"/>
        <w:ind w:left="1800" w:firstLine="0"/>
        <w:rPr>
          <w:szCs w:val="20"/>
        </w:rPr>
      </w:pPr>
    </w:p>
    <w:p w:rsidR="00182523" w:rsidRDefault="00182523" w:rsidP="00D36317">
      <w:pPr>
        <w:spacing w:line="240" w:lineRule="auto"/>
        <w:ind w:left="1800" w:firstLine="0"/>
        <w:rPr>
          <w:szCs w:val="20"/>
        </w:rPr>
      </w:pPr>
      <w:r>
        <w:rPr>
          <w:szCs w:val="20"/>
        </w:rPr>
        <w:t>Martha Kovac, Survey Director</w:t>
      </w:r>
    </w:p>
    <w:p w:rsidR="00182523" w:rsidRDefault="00182523" w:rsidP="00D36317">
      <w:pPr>
        <w:spacing w:line="240" w:lineRule="auto"/>
        <w:ind w:left="1800" w:firstLine="0"/>
        <w:rPr>
          <w:szCs w:val="20"/>
        </w:rPr>
      </w:pPr>
      <w:r>
        <w:rPr>
          <w:szCs w:val="20"/>
        </w:rPr>
        <w:t>Mathematica Policy Research</w:t>
      </w:r>
    </w:p>
    <w:p w:rsidR="00182523" w:rsidRDefault="00182523" w:rsidP="00D36317">
      <w:pPr>
        <w:spacing w:line="240" w:lineRule="auto"/>
        <w:ind w:left="1800" w:firstLine="0"/>
        <w:rPr>
          <w:szCs w:val="20"/>
        </w:rPr>
      </w:pPr>
      <w:r w:rsidRPr="00D62133">
        <w:rPr>
          <w:szCs w:val="20"/>
        </w:rPr>
        <w:t>(609) 275-2331</w:t>
      </w:r>
    </w:p>
    <w:p w:rsidR="00182523" w:rsidRDefault="006C1D14" w:rsidP="00D36317">
      <w:pPr>
        <w:spacing w:line="240" w:lineRule="auto"/>
        <w:ind w:left="1800" w:firstLine="0"/>
        <w:rPr>
          <w:szCs w:val="20"/>
        </w:rPr>
      </w:pPr>
      <w:hyperlink r:id="rId15" w:history="1">
        <w:r w:rsidR="00182523" w:rsidRPr="009E0FA7">
          <w:rPr>
            <w:rStyle w:val="Hyperlink"/>
            <w:szCs w:val="20"/>
          </w:rPr>
          <w:t>MKovac@mathematica-mpr.com</w:t>
        </w:r>
      </w:hyperlink>
    </w:p>
    <w:p w:rsidR="00182523" w:rsidRDefault="00182523" w:rsidP="00D36317">
      <w:pPr>
        <w:spacing w:line="240" w:lineRule="auto"/>
        <w:ind w:left="1800" w:firstLine="0"/>
        <w:rPr>
          <w:szCs w:val="20"/>
        </w:rPr>
      </w:pPr>
    </w:p>
    <w:p w:rsidR="00182523" w:rsidRDefault="00182523" w:rsidP="00D36317">
      <w:pPr>
        <w:spacing w:line="240" w:lineRule="auto"/>
        <w:ind w:left="1800" w:firstLine="0"/>
        <w:rPr>
          <w:szCs w:val="20"/>
        </w:rPr>
      </w:pPr>
      <w:r>
        <w:rPr>
          <w:szCs w:val="20"/>
        </w:rPr>
        <w:t>Eric Grau, Statistician</w:t>
      </w:r>
    </w:p>
    <w:p w:rsidR="00182523" w:rsidRDefault="00182523" w:rsidP="00D36317">
      <w:pPr>
        <w:spacing w:line="240" w:lineRule="auto"/>
        <w:ind w:left="1800" w:firstLine="0"/>
        <w:rPr>
          <w:szCs w:val="20"/>
        </w:rPr>
      </w:pPr>
      <w:r>
        <w:rPr>
          <w:szCs w:val="20"/>
        </w:rPr>
        <w:t>Mathematica Policy Research</w:t>
      </w:r>
    </w:p>
    <w:p w:rsidR="00182523" w:rsidRDefault="00182523" w:rsidP="00D36317">
      <w:pPr>
        <w:spacing w:line="240" w:lineRule="auto"/>
        <w:ind w:left="1800" w:firstLine="0"/>
        <w:rPr>
          <w:szCs w:val="20"/>
        </w:rPr>
      </w:pPr>
      <w:r w:rsidRPr="00D62133">
        <w:rPr>
          <w:szCs w:val="20"/>
        </w:rPr>
        <w:t>(609) 945-3330</w:t>
      </w:r>
    </w:p>
    <w:p w:rsidR="00182523" w:rsidRDefault="006C1D14" w:rsidP="00D36317">
      <w:pPr>
        <w:spacing w:line="240" w:lineRule="auto"/>
        <w:ind w:left="1800" w:firstLine="0"/>
        <w:rPr>
          <w:szCs w:val="20"/>
        </w:rPr>
      </w:pPr>
      <w:hyperlink r:id="rId16" w:history="1">
        <w:r w:rsidR="00182523" w:rsidRPr="009E0FA7">
          <w:rPr>
            <w:rStyle w:val="Hyperlink"/>
            <w:szCs w:val="20"/>
          </w:rPr>
          <w:t>EGrau@mathematica-mpr.com</w:t>
        </w:r>
      </w:hyperlink>
    </w:p>
    <w:p w:rsidR="00182523" w:rsidRDefault="00182523" w:rsidP="00D36317">
      <w:pPr>
        <w:spacing w:line="240" w:lineRule="auto"/>
        <w:ind w:left="1800" w:firstLine="0"/>
        <w:rPr>
          <w:szCs w:val="20"/>
        </w:rPr>
      </w:pPr>
    </w:p>
    <w:p w:rsidR="00182523" w:rsidRDefault="00182523" w:rsidP="00D36317">
      <w:pPr>
        <w:spacing w:line="240" w:lineRule="auto"/>
        <w:ind w:left="1800" w:firstLine="0"/>
        <w:rPr>
          <w:szCs w:val="20"/>
        </w:rPr>
      </w:pPr>
      <w:r>
        <w:rPr>
          <w:szCs w:val="20"/>
        </w:rPr>
        <w:t xml:space="preserve">Lauren Maul, Survey Specialist </w:t>
      </w:r>
    </w:p>
    <w:p w:rsidR="00182523" w:rsidRDefault="00182523" w:rsidP="00D36317">
      <w:pPr>
        <w:spacing w:line="240" w:lineRule="auto"/>
        <w:ind w:left="1800" w:firstLine="0"/>
        <w:rPr>
          <w:szCs w:val="20"/>
        </w:rPr>
      </w:pPr>
      <w:r>
        <w:rPr>
          <w:szCs w:val="20"/>
        </w:rPr>
        <w:t>Mathematica Policy Research</w:t>
      </w:r>
    </w:p>
    <w:p w:rsidR="00182523" w:rsidRDefault="00182523" w:rsidP="00D36317">
      <w:pPr>
        <w:spacing w:line="240" w:lineRule="auto"/>
        <w:ind w:left="1800" w:firstLine="0"/>
        <w:rPr>
          <w:szCs w:val="20"/>
        </w:rPr>
      </w:pPr>
      <w:r>
        <w:rPr>
          <w:szCs w:val="20"/>
        </w:rPr>
        <w:t>(312) 994-1041</w:t>
      </w:r>
    </w:p>
    <w:p w:rsidR="00182523" w:rsidRDefault="006C1D14" w:rsidP="00D36317">
      <w:pPr>
        <w:spacing w:line="240" w:lineRule="auto"/>
        <w:ind w:left="1800" w:firstLine="0"/>
        <w:rPr>
          <w:szCs w:val="20"/>
        </w:rPr>
      </w:pPr>
      <w:hyperlink r:id="rId17" w:history="1">
        <w:r w:rsidR="00182523" w:rsidRPr="009E0FA7">
          <w:rPr>
            <w:rStyle w:val="Hyperlink"/>
            <w:szCs w:val="20"/>
          </w:rPr>
          <w:t>LMaul@mathematica-mpr.com</w:t>
        </w:r>
      </w:hyperlink>
    </w:p>
    <w:p w:rsidR="00182523" w:rsidRDefault="00182523" w:rsidP="00182523">
      <w:pPr>
        <w:spacing w:line="240" w:lineRule="auto"/>
        <w:rPr>
          <w:szCs w:val="20"/>
        </w:rPr>
      </w:pPr>
    </w:p>
    <w:p w:rsidR="00182523" w:rsidRDefault="00182523" w:rsidP="00D36317">
      <w:pPr>
        <w:spacing w:line="240" w:lineRule="auto"/>
        <w:ind w:firstLine="0"/>
      </w:pPr>
    </w:p>
    <w:p w:rsidR="005E23A7" w:rsidRPr="00590361" w:rsidRDefault="00B17B8F" w:rsidP="005E23A7">
      <w:pPr>
        <w:spacing w:line="240" w:lineRule="auto"/>
      </w:pPr>
      <w:r w:rsidRPr="00590361">
        <w:t xml:space="preserve">APPENDIX A: </w:t>
      </w:r>
      <w:r w:rsidR="00590361" w:rsidRPr="00590361">
        <w:t>MAIL SURVEY</w:t>
      </w:r>
    </w:p>
    <w:p w:rsidR="00B17B8F" w:rsidRDefault="00B17B8F" w:rsidP="005E23A7">
      <w:pPr>
        <w:spacing w:line="240" w:lineRule="auto"/>
      </w:pPr>
      <w:r w:rsidRPr="00590361">
        <w:t xml:space="preserve">APPENDIX B: </w:t>
      </w:r>
      <w:r w:rsidR="00590361" w:rsidRPr="00590361">
        <w:t>ADVANCE LETTER</w:t>
      </w:r>
    </w:p>
    <w:p w:rsidR="00B17B8F" w:rsidRDefault="00B17B8F" w:rsidP="005E23A7">
      <w:pPr>
        <w:spacing w:line="240" w:lineRule="auto"/>
      </w:pPr>
      <w:r>
        <w:t xml:space="preserve">APPENDIX C: </w:t>
      </w:r>
      <w:r w:rsidR="00590361">
        <w:t>INITIAL CALL FORM</w:t>
      </w:r>
    </w:p>
    <w:p w:rsidR="00B17B8F" w:rsidRDefault="00B17B8F" w:rsidP="005E23A7">
      <w:pPr>
        <w:spacing w:line="240" w:lineRule="auto"/>
      </w:pPr>
      <w:r>
        <w:t xml:space="preserve">APPENDIX D: </w:t>
      </w:r>
      <w:r w:rsidR="00590361">
        <w:t>REMINDER CALL SCRIPT</w:t>
      </w:r>
    </w:p>
    <w:p w:rsidR="00632933" w:rsidRPr="00837BDC" w:rsidRDefault="00CF7833" w:rsidP="00F43161">
      <w:pPr>
        <w:spacing w:line="240" w:lineRule="auto"/>
      </w:pPr>
      <w:r>
        <w:t xml:space="preserve">APPENDIX E: </w:t>
      </w:r>
      <w:r w:rsidR="00590361">
        <w:t>FREQUENTLY ASKED QUESTIONS</w:t>
      </w:r>
    </w:p>
    <w:sectPr w:rsidR="00632933" w:rsidRPr="00837BDC" w:rsidSect="003A1506">
      <w:footerReference w:type="default" r:id="rId18"/>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C2B" w:rsidRDefault="009D2C2B">
      <w:pPr>
        <w:spacing w:line="240" w:lineRule="auto"/>
        <w:ind w:firstLine="0"/>
      </w:pPr>
    </w:p>
  </w:endnote>
  <w:endnote w:type="continuationSeparator" w:id="0">
    <w:p w:rsidR="009D2C2B" w:rsidRDefault="009D2C2B">
      <w:pPr>
        <w:spacing w:line="240" w:lineRule="auto"/>
        <w:ind w:firstLine="0"/>
      </w:pPr>
    </w:p>
  </w:endnote>
  <w:endnote w:type="continuationNotice" w:id="1">
    <w:p w:rsidR="009D2C2B" w:rsidRDefault="009D2C2B">
      <w:pPr>
        <w:spacing w:line="240" w:lineRule="auto"/>
        <w:ind w:firstLine="0"/>
      </w:pPr>
    </w:p>
    <w:p w:rsidR="009D2C2B" w:rsidRDefault="009D2C2B"/>
    <w:p w:rsidR="009D2C2B" w:rsidRDefault="009D2C2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C:\Users\Niall Brennnan\AppData\Local\Microsoft\Windows\Temporary Internet Files\Content.IE5\E6GMBZ27\QBP_OMB PRA statement_08.16.2012.docx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C2B" w:rsidRDefault="009D2C2B">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C2B" w:rsidRDefault="009D2C2B">
      <w:pPr>
        <w:spacing w:line="240" w:lineRule="auto"/>
        <w:ind w:firstLine="0"/>
      </w:pPr>
      <w:r>
        <w:separator/>
      </w:r>
    </w:p>
  </w:footnote>
  <w:footnote w:type="continuationSeparator" w:id="0">
    <w:p w:rsidR="009D2C2B" w:rsidRDefault="009D2C2B">
      <w:pPr>
        <w:spacing w:line="240" w:lineRule="auto"/>
        <w:ind w:firstLine="0"/>
      </w:pPr>
      <w:r>
        <w:separator/>
      </w:r>
    </w:p>
    <w:p w:rsidR="009D2C2B" w:rsidRDefault="009D2C2B">
      <w:pPr>
        <w:spacing w:line="240" w:lineRule="auto"/>
        <w:ind w:firstLine="0"/>
        <w:rPr>
          <w:i/>
        </w:rPr>
      </w:pPr>
      <w:r>
        <w:rPr>
          <w:i/>
        </w:rPr>
        <w:t>(</w:t>
      </w:r>
      <w:proofErr w:type="gramStart"/>
      <w:r>
        <w:rPr>
          <w:i/>
        </w:rPr>
        <w:t>continued</w:t>
      </w:r>
      <w:proofErr w:type="gramEnd"/>
      <w:r>
        <w:rPr>
          <w:i/>
        </w:rPr>
        <w:t>)</w:t>
      </w:r>
    </w:p>
  </w:footnote>
  <w:footnote w:type="continuationNotice" w:id="1">
    <w:p w:rsidR="009D2C2B" w:rsidRDefault="009D2C2B">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F1A"/>
    <w:multiLevelType w:val="hybridMultilevel"/>
    <w:tmpl w:val="085E3826"/>
    <w:lvl w:ilvl="0" w:tplc="0409000F">
      <w:start w:val="1"/>
      <w:numFmt w:val="decimal"/>
      <w:lvlText w:val="%1."/>
      <w:lvlJc w:val="left"/>
      <w:pPr>
        <w:ind w:left="1707" w:hanging="360"/>
      </w:pPr>
    </w:lvl>
    <w:lvl w:ilvl="1" w:tplc="04090019" w:tentative="1">
      <w:start w:val="1"/>
      <w:numFmt w:val="lowerLetter"/>
      <w:lvlText w:val="%2."/>
      <w:lvlJc w:val="left"/>
      <w:pPr>
        <w:ind w:left="2427" w:hanging="360"/>
      </w:pPr>
    </w:lvl>
    <w:lvl w:ilvl="2" w:tplc="0409001B" w:tentative="1">
      <w:start w:val="1"/>
      <w:numFmt w:val="lowerRoman"/>
      <w:lvlText w:val="%3."/>
      <w:lvlJc w:val="right"/>
      <w:pPr>
        <w:ind w:left="3147" w:hanging="180"/>
      </w:pPr>
    </w:lvl>
    <w:lvl w:ilvl="3" w:tplc="0409000F" w:tentative="1">
      <w:start w:val="1"/>
      <w:numFmt w:val="decimal"/>
      <w:lvlText w:val="%4."/>
      <w:lvlJc w:val="left"/>
      <w:pPr>
        <w:ind w:left="3867" w:hanging="360"/>
      </w:pPr>
    </w:lvl>
    <w:lvl w:ilvl="4" w:tplc="04090019" w:tentative="1">
      <w:start w:val="1"/>
      <w:numFmt w:val="lowerLetter"/>
      <w:lvlText w:val="%5."/>
      <w:lvlJc w:val="left"/>
      <w:pPr>
        <w:ind w:left="4587" w:hanging="360"/>
      </w:pPr>
    </w:lvl>
    <w:lvl w:ilvl="5" w:tplc="0409001B" w:tentative="1">
      <w:start w:val="1"/>
      <w:numFmt w:val="lowerRoman"/>
      <w:lvlText w:val="%6."/>
      <w:lvlJc w:val="right"/>
      <w:pPr>
        <w:ind w:left="5307" w:hanging="180"/>
      </w:pPr>
    </w:lvl>
    <w:lvl w:ilvl="6" w:tplc="0409000F" w:tentative="1">
      <w:start w:val="1"/>
      <w:numFmt w:val="decimal"/>
      <w:lvlText w:val="%7."/>
      <w:lvlJc w:val="left"/>
      <w:pPr>
        <w:ind w:left="6027" w:hanging="360"/>
      </w:pPr>
    </w:lvl>
    <w:lvl w:ilvl="7" w:tplc="04090019" w:tentative="1">
      <w:start w:val="1"/>
      <w:numFmt w:val="lowerLetter"/>
      <w:lvlText w:val="%8."/>
      <w:lvlJc w:val="left"/>
      <w:pPr>
        <w:ind w:left="6747" w:hanging="360"/>
      </w:pPr>
    </w:lvl>
    <w:lvl w:ilvl="8" w:tplc="0409001B" w:tentative="1">
      <w:start w:val="1"/>
      <w:numFmt w:val="lowerRoman"/>
      <w:lvlText w:val="%9."/>
      <w:lvlJc w:val="right"/>
      <w:pPr>
        <w:ind w:left="7467" w:hanging="180"/>
      </w:pPr>
    </w:lvl>
  </w:abstractNum>
  <w:abstractNum w:abstractNumId="1">
    <w:nsid w:val="12F91364"/>
    <w:multiLevelType w:val="multilevel"/>
    <w:tmpl w:val="3682A38A"/>
    <w:lvl w:ilvl="0">
      <w:start w:val="1"/>
      <w:numFmt w:val="bullet"/>
      <w:lvlText w:val=""/>
      <w:lvlJc w:val="left"/>
      <w:pPr>
        <w:ind w:left="1530" w:hanging="360"/>
      </w:pPr>
      <w:rPr>
        <w:rFonts w:ascii="Symbol" w:hAnsi="Symbol" w:hint="default"/>
        <w:color w:val="949B50"/>
      </w:rPr>
    </w:lvl>
    <w:lvl w:ilvl="1">
      <w:start w:val="1"/>
      <w:numFmt w:val="bullet"/>
      <w:lvlText w:val="o"/>
      <w:lvlJc w:val="left"/>
      <w:pPr>
        <w:ind w:left="2250" w:hanging="360"/>
      </w:pPr>
      <w:rPr>
        <w:rFonts w:ascii="Courier New" w:hAnsi="Courier New" w:hint="default"/>
        <w:color w:val="3FA9C0"/>
      </w:rPr>
    </w:lvl>
    <w:lvl w:ilvl="2">
      <w:start w:val="1"/>
      <w:numFmt w:val="bullet"/>
      <w:lvlText w:val=""/>
      <w:lvlJc w:val="left"/>
      <w:pPr>
        <w:ind w:left="2970" w:hanging="360"/>
      </w:pPr>
      <w:rPr>
        <w:rFonts w:ascii="Wingdings" w:hAnsi="Wingdings" w:hint="default"/>
        <w:color w:val="949B50"/>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F0747B"/>
    <w:multiLevelType w:val="hybridMultilevel"/>
    <w:tmpl w:val="8362C384"/>
    <w:lvl w:ilvl="0" w:tplc="04090015">
      <w:start w:val="1"/>
      <w:numFmt w:val="upperLetter"/>
      <w:lvlText w:val="%1."/>
      <w:lvlJc w:val="left"/>
      <w:pPr>
        <w:ind w:left="1147" w:hanging="360"/>
      </w:pPr>
    </w:lvl>
    <w:lvl w:ilvl="1" w:tplc="5A3E7B22">
      <w:start w:val="1"/>
      <w:numFmt w:val="decimal"/>
      <w:lvlText w:val="%2."/>
      <w:lvlJc w:val="left"/>
      <w:pPr>
        <w:ind w:left="1867" w:hanging="360"/>
      </w:pPr>
      <w:rPr>
        <w:rFonts w:hint="default"/>
      </w:r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4">
    <w:nsid w:val="1BBC3254"/>
    <w:multiLevelType w:val="hybridMultilevel"/>
    <w:tmpl w:val="30BC2C80"/>
    <w:lvl w:ilvl="0" w:tplc="0409000F">
      <w:start w:val="1"/>
      <w:numFmt w:val="decimal"/>
      <w:lvlText w:val="%1."/>
      <w:lvlJc w:val="left"/>
      <w:pPr>
        <w:ind w:left="1147" w:hanging="360"/>
      </w:pPr>
    </w:lvl>
    <w:lvl w:ilvl="1" w:tplc="0409000F">
      <w:start w:val="1"/>
      <w:numFmt w:val="decimal"/>
      <w:lvlText w:val="%2."/>
      <w:lvlJc w:val="left"/>
      <w:pPr>
        <w:ind w:left="1707" w:hanging="360"/>
      </w:pPr>
    </w:lvl>
    <w:lvl w:ilvl="2" w:tplc="0409001B" w:tentative="1">
      <w:start w:val="1"/>
      <w:numFmt w:val="lowerRoman"/>
      <w:lvlText w:val="%3."/>
      <w:lvlJc w:val="right"/>
      <w:pPr>
        <w:ind w:left="2587" w:hanging="180"/>
      </w:pPr>
    </w:lvl>
    <w:lvl w:ilvl="3" w:tplc="0409000F" w:tentative="1">
      <w:start w:val="1"/>
      <w:numFmt w:val="decimal"/>
      <w:lvlText w:val="%4."/>
      <w:lvlJc w:val="left"/>
      <w:pPr>
        <w:ind w:left="3307" w:hanging="360"/>
      </w:pPr>
    </w:lvl>
    <w:lvl w:ilvl="4" w:tplc="04090019" w:tentative="1">
      <w:start w:val="1"/>
      <w:numFmt w:val="lowerLetter"/>
      <w:lvlText w:val="%5."/>
      <w:lvlJc w:val="left"/>
      <w:pPr>
        <w:ind w:left="4027" w:hanging="360"/>
      </w:pPr>
    </w:lvl>
    <w:lvl w:ilvl="5" w:tplc="0409001B" w:tentative="1">
      <w:start w:val="1"/>
      <w:numFmt w:val="lowerRoman"/>
      <w:lvlText w:val="%6."/>
      <w:lvlJc w:val="right"/>
      <w:pPr>
        <w:ind w:left="4747" w:hanging="180"/>
      </w:pPr>
    </w:lvl>
    <w:lvl w:ilvl="6" w:tplc="0409000F" w:tentative="1">
      <w:start w:val="1"/>
      <w:numFmt w:val="decimal"/>
      <w:lvlText w:val="%7."/>
      <w:lvlJc w:val="left"/>
      <w:pPr>
        <w:ind w:left="5467" w:hanging="360"/>
      </w:pPr>
    </w:lvl>
    <w:lvl w:ilvl="7" w:tplc="04090019" w:tentative="1">
      <w:start w:val="1"/>
      <w:numFmt w:val="lowerLetter"/>
      <w:lvlText w:val="%8."/>
      <w:lvlJc w:val="left"/>
      <w:pPr>
        <w:ind w:left="6187" w:hanging="360"/>
      </w:pPr>
    </w:lvl>
    <w:lvl w:ilvl="8" w:tplc="0409001B" w:tentative="1">
      <w:start w:val="1"/>
      <w:numFmt w:val="lowerRoman"/>
      <w:lvlText w:val="%9."/>
      <w:lvlJc w:val="right"/>
      <w:pPr>
        <w:ind w:left="6907" w:hanging="180"/>
      </w:pPr>
    </w:lvl>
  </w:abstractNum>
  <w:abstractNum w:abstractNumId="5">
    <w:nsid w:val="1E9D21EA"/>
    <w:multiLevelType w:val="hybridMultilevel"/>
    <w:tmpl w:val="A1B4DF9E"/>
    <w:lvl w:ilvl="0" w:tplc="C66A4868">
      <w:start w:val="1"/>
      <w:numFmt w:val="bullet"/>
      <w:pStyle w:val="BulletLevel1-Short"/>
      <w:lvlText w:val=""/>
      <w:lvlJc w:val="left"/>
      <w:pPr>
        <w:ind w:left="1707" w:hanging="360"/>
      </w:pPr>
      <w:rPr>
        <w:rFonts w:ascii="Symbol" w:hAnsi="Symbol" w:hint="default"/>
        <w:color w:val="auto"/>
      </w:r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C1903CE"/>
    <w:multiLevelType w:val="hybridMultilevel"/>
    <w:tmpl w:val="33189722"/>
    <w:lvl w:ilvl="0" w:tplc="CD6663DA">
      <w:start w:val="1"/>
      <w:numFmt w:val="bullet"/>
      <w:lvlText w:val=""/>
      <w:lvlJc w:val="left"/>
      <w:pPr>
        <w:ind w:left="1530" w:hanging="360"/>
      </w:pPr>
      <w:rPr>
        <w:rFonts w:ascii="Symbol" w:hAnsi="Symbol" w:hint="default"/>
        <w:color w:val="949B50"/>
      </w:rPr>
    </w:lvl>
    <w:lvl w:ilvl="1" w:tplc="AD04FCAA">
      <w:start w:val="1"/>
      <w:numFmt w:val="bullet"/>
      <w:lvlText w:val="o"/>
      <w:lvlJc w:val="left"/>
      <w:pPr>
        <w:ind w:left="2250" w:hanging="360"/>
      </w:pPr>
      <w:rPr>
        <w:rFonts w:ascii="Courier New" w:hAnsi="Courier New" w:hint="default"/>
        <w:color w:val="3FA9C0"/>
      </w:rPr>
    </w:lvl>
    <w:lvl w:ilvl="2" w:tplc="735636D6">
      <w:start w:val="1"/>
      <w:numFmt w:val="bullet"/>
      <w:pStyle w:val="BulletLevel3-Short"/>
      <w:lvlText w:val=""/>
      <w:lvlJc w:val="left"/>
      <w:pPr>
        <w:ind w:left="2970" w:hanging="360"/>
      </w:pPr>
      <w:rPr>
        <w:rFonts w:ascii="Wingdings" w:hAnsi="Wingdings" w:hint="default"/>
        <w:color w:val="949B50"/>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F2C2E8B"/>
    <w:multiLevelType w:val="singleLevel"/>
    <w:tmpl w:val="02408BD8"/>
    <w:lvl w:ilvl="0">
      <w:numFmt w:val="bullet"/>
      <w:pStyle w:val="ListBullet"/>
      <w:lvlText w:val="-"/>
      <w:lvlJc w:val="left"/>
      <w:pPr>
        <w:tabs>
          <w:tab w:val="num" w:pos="1080"/>
        </w:tabs>
        <w:ind w:left="1080" w:hanging="360"/>
      </w:pPr>
      <w:rPr>
        <w:rFonts w:hint="default"/>
      </w:rPr>
    </w:lvl>
  </w:abstractNum>
  <w:abstractNum w:abstractNumId="11">
    <w:nsid w:val="74BD3D44"/>
    <w:multiLevelType w:val="hybridMultilevel"/>
    <w:tmpl w:val="0FCA0D7E"/>
    <w:lvl w:ilvl="0" w:tplc="4A946B26">
      <w:start w:val="1"/>
      <w:numFmt w:val="decimal"/>
      <w:pStyle w:val="BulletLevel1-Long"/>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78B47693"/>
    <w:multiLevelType w:val="hybridMultilevel"/>
    <w:tmpl w:val="928A331E"/>
    <w:lvl w:ilvl="0" w:tplc="512A2D3C">
      <w:start w:val="1"/>
      <w:numFmt w:val="bullet"/>
      <w:lvlText w:val=""/>
      <w:lvlJc w:val="left"/>
      <w:pPr>
        <w:ind w:left="792" w:hanging="360"/>
      </w:pPr>
      <w:rPr>
        <w:rFonts w:ascii="Symbol" w:hAnsi="Symbol" w:hint="default"/>
        <w:color w:val="auto"/>
      </w:rPr>
    </w:lvl>
    <w:lvl w:ilvl="1" w:tplc="AD04FCAA">
      <w:start w:val="1"/>
      <w:numFmt w:val="bullet"/>
      <w:lvlText w:val="o"/>
      <w:lvlJc w:val="left"/>
      <w:pPr>
        <w:ind w:left="2250" w:hanging="360"/>
      </w:pPr>
      <w:rPr>
        <w:rFonts w:ascii="Courier New" w:hAnsi="Courier New" w:hint="default"/>
        <w:color w:val="3FA9C0"/>
      </w:rPr>
    </w:lvl>
    <w:lvl w:ilvl="2" w:tplc="735636D6">
      <w:start w:val="1"/>
      <w:numFmt w:val="bullet"/>
      <w:lvlText w:val=""/>
      <w:lvlJc w:val="left"/>
      <w:pPr>
        <w:ind w:left="2970" w:hanging="360"/>
      </w:pPr>
      <w:rPr>
        <w:rFonts w:ascii="Wingdings" w:hAnsi="Wingdings" w:hint="default"/>
        <w:color w:val="949B50"/>
      </w:rPr>
    </w:lvl>
    <w:lvl w:ilvl="3" w:tplc="0409000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8"/>
  </w:num>
  <w:num w:numId="2">
    <w:abstractNumId w:val="11"/>
  </w:num>
  <w:num w:numId="3">
    <w:abstractNumId w:val="13"/>
  </w:num>
  <w:num w:numId="4">
    <w:abstractNumId w:val="9"/>
  </w:num>
  <w:num w:numId="5">
    <w:abstractNumId w:val="2"/>
  </w:num>
  <w:num w:numId="6">
    <w:abstractNumId w:val="7"/>
  </w:num>
  <w:num w:numId="7">
    <w:abstractNumId w:val="0"/>
  </w:num>
  <w:num w:numId="8">
    <w:abstractNumId w:val="3"/>
  </w:num>
  <w:num w:numId="9">
    <w:abstractNumId w:val="4"/>
  </w:num>
  <w:num w:numId="10">
    <w:abstractNumId w:val="10"/>
  </w:num>
  <w:num w:numId="11">
    <w:abstractNumId w:val="6"/>
  </w:num>
  <w:num w:numId="12">
    <w:abstractNumId w:val="12"/>
  </w:num>
  <w:num w:numId="13">
    <w:abstractNumId w:val="1"/>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8C5925"/>
    <w:rsid w:val="0001098F"/>
    <w:rsid w:val="000119E3"/>
    <w:rsid w:val="00015ACD"/>
    <w:rsid w:val="0001781E"/>
    <w:rsid w:val="00027F3F"/>
    <w:rsid w:val="00030A7A"/>
    <w:rsid w:val="00033D2A"/>
    <w:rsid w:val="00037098"/>
    <w:rsid w:val="00044A66"/>
    <w:rsid w:val="00060D28"/>
    <w:rsid w:val="000812AE"/>
    <w:rsid w:val="00081D47"/>
    <w:rsid w:val="00081E58"/>
    <w:rsid w:val="000942EA"/>
    <w:rsid w:val="000B3A77"/>
    <w:rsid w:val="000C0118"/>
    <w:rsid w:val="000E6D11"/>
    <w:rsid w:val="000F2B77"/>
    <w:rsid w:val="001040E7"/>
    <w:rsid w:val="00105D23"/>
    <w:rsid w:val="00125B69"/>
    <w:rsid w:val="0013282C"/>
    <w:rsid w:val="00141A92"/>
    <w:rsid w:val="00171A6A"/>
    <w:rsid w:val="00175E9D"/>
    <w:rsid w:val="00176410"/>
    <w:rsid w:val="00182523"/>
    <w:rsid w:val="00184A2B"/>
    <w:rsid w:val="001933B1"/>
    <w:rsid w:val="001A07D4"/>
    <w:rsid w:val="001D24F6"/>
    <w:rsid w:val="00200B10"/>
    <w:rsid w:val="00216A44"/>
    <w:rsid w:val="0022049C"/>
    <w:rsid w:val="00224740"/>
    <w:rsid w:val="00234BEA"/>
    <w:rsid w:val="00236A9C"/>
    <w:rsid w:val="0028265B"/>
    <w:rsid w:val="002849EE"/>
    <w:rsid w:val="002921C1"/>
    <w:rsid w:val="002A26EA"/>
    <w:rsid w:val="002A5D37"/>
    <w:rsid w:val="002C413C"/>
    <w:rsid w:val="002E18F2"/>
    <w:rsid w:val="002F00BB"/>
    <w:rsid w:val="002F7C83"/>
    <w:rsid w:val="00314A87"/>
    <w:rsid w:val="003163A7"/>
    <w:rsid w:val="003300F7"/>
    <w:rsid w:val="0033288D"/>
    <w:rsid w:val="00334DDA"/>
    <w:rsid w:val="00336A60"/>
    <w:rsid w:val="00342CD8"/>
    <w:rsid w:val="00345DD1"/>
    <w:rsid w:val="00376035"/>
    <w:rsid w:val="003812B8"/>
    <w:rsid w:val="003834C4"/>
    <w:rsid w:val="003948D6"/>
    <w:rsid w:val="00396AD9"/>
    <w:rsid w:val="003A1506"/>
    <w:rsid w:val="003A1774"/>
    <w:rsid w:val="003A17E0"/>
    <w:rsid w:val="003A26BB"/>
    <w:rsid w:val="003A3600"/>
    <w:rsid w:val="003D064D"/>
    <w:rsid w:val="003D7C68"/>
    <w:rsid w:val="003E3AB5"/>
    <w:rsid w:val="00406A32"/>
    <w:rsid w:val="00417B7A"/>
    <w:rsid w:val="00417FDF"/>
    <w:rsid w:val="00446CE2"/>
    <w:rsid w:val="00457948"/>
    <w:rsid w:val="00471DCF"/>
    <w:rsid w:val="0047220D"/>
    <w:rsid w:val="0047478B"/>
    <w:rsid w:val="004A15FC"/>
    <w:rsid w:val="004A4174"/>
    <w:rsid w:val="004A6CDD"/>
    <w:rsid w:val="004B0D54"/>
    <w:rsid w:val="004B2D93"/>
    <w:rsid w:val="004B4183"/>
    <w:rsid w:val="004D62CD"/>
    <w:rsid w:val="004E3659"/>
    <w:rsid w:val="00514F75"/>
    <w:rsid w:val="00531424"/>
    <w:rsid w:val="00581EE2"/>
    <w:rsid w:val="005868EC"/>
    <w:rsid w:val="00590361"/>
    <w:rsid w:val="00591AE6"/>
    <w:rsid w:val="005A66CB"/>
    <w:rsid w:val="005C4914"/>
    <w:rsid w:val="005E23A7"/>
    <w:rsid w:val="0060790E"/>
    <w:rsid w:val="006150A8"/>
    <w:rsid w:val="00632933"/>
    <w:rsid w:val="00635EC3"/>
    <w:rsid w:val="00641AC0"/>
    <w:rsid w:val="006421F4"/>
    <w:rsid w:val="0066032F"/>
    <w:rsid w:val="00662C3A"/>
    <w:rsid w:val="00690B57"/>
    <w:rsid w:val="006959AF"/>
    <w:rsid w:val="006A7614"/>
    <w:rsid w:val="006C1D14"/>
    <w:rsid w:val="006E0BA7"/>
    <w:rsid w:val="006E2AEF"/>
    <w:rsid w:val="006E3640"/>
    <w:rsid w:val="006E3DE1"/>
    <w:rsid w:val="006F053F"/>
    <w:rsid w:val="00712A21"/>
    <w:rsid w:val="007214EF"/>
    <w:rsid w:val="007248AC"/>
    <w:rsid w:val="00726DD4"/>
    <w:rsid w:val="00745637"/>
    <w:rsid w:val="00747B99"/>
    <w:rsid w:val="0076322A"/>
    <w:rsid w:val="00775477"/>
    <w:rsid w:val="00785313"/>
    <w:rsid w:val="0078539D"/>
    <w:rsid w:val="00790E5D"/>
    <w:rsid w:val="007C4167"/>
    <w:rsid w:val="007D64C8"/>
    <w:rsid w:val="007E4B90"/>
    <w:rsid w:val="007F1C0F"/>
    <w:rsid w:val="007F686C"/>
    <w:rsid w:val="007F71E4"/>
    <w:rsid w:val="007F76BA"/>
    <w:rsid w:val="00816DF1"/>
    <w:rsid w:val="0083568B"/>
    <w:rsid w:val="00837BDC"/>
    <w:rsid w:val="0086314C"/>
    <w:rsid w:val="0086406D"/>
    <w:rsid w:val="00872CBC"/>
    <w:rsid w:val="00887446"/>
    <w:rsid w:val="00892A48"/>
    <w:rsid w:val="00893B1D"/>
    <w:rsid w:val="00895A2A"/>
    <w:rsid w:val="00895C75"/>
    <w:rsid w:val="008B032B"/>
    <w:rsid w:val="008B38FE"/>
    <w:rsid w:val="008C00CB"/>
    <w:rsid w:val="008C5925"/>
    <w:rsid w:val="008D149D"/>
    <w:rsid w:val="008E27F1"/>
    <w:rsid w:val="008F00F2"/>
    <w:rsid w:val="008F2689"/>
    <w:rsid w:val="008F5A8F"/>
    <w:rsid w:val="009009D0"/>
    <w:rsid w:val="00902B68"/>
    <w:rsid w:val="00912344"/>
    <w:rsid w:val="0092370B"/>
    <w:rsid w:val="00931BDB"/>
    <w:rsid w:val="00942A88"/>
    <w:rsid w:val="0095754B"/>
    <w:rsid w:val="00962E2E"/>
    <w:rsid w:val="009700E4"/>
    <w:rsid w:val="00976020"/>
    <w:rsid w:val="00980DB0"/>
    <w:rsid w:val="00985980"/>
    <w:rsid w:val="00994EDD"/>
    <w:rsid w:val="00997375"/>
    <w:rsid w:val="009B20BD"/>
    <w:rsid w:val="009B563B"/>
    <w:rsid w:val="009B61A1"/>
    <w:rsid w:val="009C15B3"/>
    <w:rsid w:val="009D2C2B"/>
    <w:rsid w:val="009D594D"/>
    <w:rsid w:val="009F3BCF"/>
    <w:rsid w:val="00A072C6"/>
    <w:rsid w:val="00A41A55"/>
    <w:rsid w:val="00A55329"/>
    <w:rsid w:val="00A60FFF"/>
    <w:rsid w:val="00A80A4F"/>
    <w:rsid w:val="00A9200B"/>
    <w:rsid w:val="00A97643"/>
    <w:rsid w:val="00AE3DD8"/>
    <w:rsid w:val="00AE435C"/>
    <w:rsid w:val="00AF046A"/>
    <w:rsid w:val="00B115A0"/>
    <w:rsid w:val="00B13000"/>
    <w:rsid w:val="00B17B8F"/>
    <w:rsid w:val="00B17F72"/>
    <w:rsid w:val="00B21B57"/>
    <w:rsid w:val="00B45A97"/>
    <w:rsid w:val="00B714B7"/>
    <w:rsid w:val="00B82E71"/>
    <w:rsid w:val="00B83493"/>
    <w:rsid w:val="00BA65A5"/>
    <w:rsid w:val="00BC1866"/>
    <w:rsid w:val="00BC1D9A"/>
    <w:rsid w:val="00BD165A"/>
    <w:rsid w:val="00BD52C3"/>
    <w:rsid w:val="00BE7E67"/>
    <w:rsid w:val="00C14296"/>
    <w:rsid w:val="00C2695D"/>
    <w:rsid w:val="00C450AE"/>
    <w:rsid w:val="00C758F5"/>
    <w:rsid w:val="00C90E85"/>
    <w:rsid w:val="00C92E5D"/>
    <w:rsid w:val="00C93509"/>
    <w:rsid w:val="00C9777C"/>
    <w:rsid w:val="00CA13C8"/>
    <w:rsid w:val="00CA58CB"/>
    <w:rsid w:val="00CB137C"/>
    <w:rsid w:val="00CB4E54"/>
    <w:rsid w:val="00CC602E"/>
    <w:rsid w:val="00CC69F5"/>
    <w:rsid w:val="00CD6F65"/>
    <w:rsid w:val="00CE16E0"/>
    <w:rsid w:val="00CF7833"/>
    <w:rsid w:val="00D14FDB"/>
    <w:rsid w:val="00D20BD0"/>
    <w:rsid w:val="00D25678"/>
    <w:rsid w:val="00D36317"/>
    <w:rsid w:val="00D42C39"/>
    <w:rsid w:val="00D451FE"/>
    <w:rsid w:val="00D5611D"/>
    <w:rsid w:val="00D62AA3"/>
    <w:rsid w:val="00D77566"/>
    <w:rsid w:val="00D9589F"/>
    <w:rsid w:val="00DA39C5"/>
    <w:rsid w:val="00DA7705"/>
    <w:rsid w:val="00DB2A55"/>
    <w:rsid w:val="00DC05C1"/>
    <w:rsid w:val="00E02693"/>
    <w:rsid w:val="00E03491"/>
    <w:rsid w:val="00E04AD1"/>
    <w:rsid w:val="00E0544B"/>
    <w:rsid w:val="00E33FB4"/>
    <w:rsid w:val="00E35802"/>
    <w:rsid w:val="00E5150B"/>
    <w:rsid w:val="00E6574C"/>
    <w:rsid w:val="00E85F62"/>
    <w:rsid w:val="00E94732"/>
    <w:rsid w:val="00EA6992"/>
    <w:rsid w:val="00EB5260"/>
    <w:rsid w:val="00ED1123"/>
    <w:rsid w:val="00ED269B"/>
    <w:rsid w:val="00ED2FFD"/>
    <w:rsid w:val="00ED47C6"/>
    <w:rsid w:val="00EF645C"/>
    <w:rsid w:val="00EF776D"/>
    <w:rsid w:val="00F142BF"/>
    <w:rsid w:val="00F1638F"/>
    <w:rsid w:val="00F40E54"/>
    <w:rsid w:val="00F43161"/>
    <w:rsid w:val="00F45261"/>
    <w:rsid w:val="00F5243D"/>
    <w:rsid w:val="00F63D0B"/>
    <w:rsid w:val="00F670A8"/>
    <w:rsid w:val="00F95EBC"/>
    <w:rsid w:val="00F96968"/>
    <w:rsid w:val="00FA4673"/>
    <w:rsid w:val="00FC5611"/>
    <w:rsid w:val="00FE4684"/>
    <w:rsid w:val="00FF7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4"/>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5"/>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3"/>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MarkforTable">
    <w:name w:val="Mark for Table"/>
    <w:next w:val="Normal"/>
    <w:rsid w:val="009F3BCF"/>
    <w:pPr>
      <w:spacing w:line="480" w:lineRule="auto"/>
      <w:jc w:val="center"/>
    </w:pPr>
    <w:rPr>
      <w:caps/>
      <w:szCs w:val="20"/>
    </w:rPr>
  </w:style>
  <w:style w:type="character" w:styleId="CommentReference">
    <w:name w:val="annotation reference"/>
    <w:basedOn w:val="DefaultParagraphFont"/>
    <w:uiPriority w:val="99"/>
    <w:semiHidden/>
    <w:unhideWhenUsed/>
    <w:rsid w:val="0022049C"/>
    <w:rPr>
      <w:sz w:val="16"/>
      <w:szCs w:val="16"/>
    </w:rPr>
  </w:style>
  <w:style w:type="paragraph" w:styleId="CommentText">
    <w:name w:val="annotation text"/>
    <w:basedOn w:val="Normal"/>
    <w:link w:val="CommentTextChar"/>
    <w:uiPriority w:val="99"/>
    <w:semiHidden/>
    <w:unhideWhenUsed/>
    <w:rsid w:val="0022049C"/>
    <w:pPr>
      <w:spacing w:line="240" w:lineRule="auto"/>
    </w:pPr>
    <w:rPr>
      <w:sz w:val="20"/>
      <w:szCs w:val="20"/>
    </w:rPr>
  </w:style>
  <w:style w:type="character" w:customStyle="1" w:styleId="CommentTextChar">
    <w:name w:val="Comment Text Char"/>
    <w:basedOn w:val="DefaultParagraphFont"/>
    <w:link w:val="CommentText"/>
    <w:uiPriority w:val="99"/>
    <w:semiHidden/>
    <w:rsid w:val="0022049C"/>
    <w:rPr>
      <w:sz w:val="20"/>
      <w:szCs w:val="20"/>
    </w:rPr>
  </w:style>
  <w:style w:type="paragraph" w:styleId="CommentSubject">
    <w:name w:val="annotation subject"/>
    <w:basedOn w:val="CommentText"/>
    <w:next w:val="CommentText"/>
    <w:link w:val="CommentSubjectChar"/>
    <w:uiPriority w:val="99"/>
    <w:semiHidden/>
    <w:unhideWhenUsed/>
    <w:rsid w:val="0022049C"/>
    <w:rPr>
      <w:b/>
      <w:bCs/>
    </w:rPr>
  </w:style>
  <w:style w:type="character" w:customStyle="1" w:styleId="CommentSubjectChar">
    <w:name w:val="Comment Subject Char"/>
    <w:basedOn w:val="CommentTextChar"/>
    <w:link w:val="CommentSubject"/>
    <w:uiPriority w:val="99"/>
    <w:semiHidden/>
    <w:rsid w:val="0022049C"/>
    <w:rPr>
      <w:b/>
      <w:bCs/>
      <w:sz w:val="20"/>
      <w:szCs w:val="20"/>
    </w:rPr>
  </w:style>
  <w:style w:type="paragraph" w:customStyle="1" w:styleId="BulletLevel1-Short">
    <w:name w:val="Bullet Level 1 - Short"/>
    <w:basedOn w:val="ListParagraph"/>
    <w:qFormat/>
    <w:rsid w:val="00EF645C"/>
    <w:pPr>
      <w:numPr>
        <w:numId w:val="14"/>
      </w:numPr>
      <w:tabs>
        <w:tab w:val="clear" w:pos="360"/>
      </w:tabs>
      <w:spacing w:before="120" w:after="120"/>
      <w:ind w:right="0"/>
      <w:contextualSpacing w:val="0"/>
    </w:pPr>
  </w:style>
  <w:style w:type="paragraph" w:customStyle="1" w:styleId="BulletLevel3-Short">
    <w:name w:val="Bullet Level 3 - Short"/>
    <w:basedOn w:val="ListParagraph"/>
    <w:qFormat/>
    <w:rsid w:val="00EF645C"/>
    <w:pPr>
      <w:numPr>
        <w:ilvl w:val="2"/>
        <w:numId w:val="6"/>
      </w:numPr>
      <w:tabs>
        <w:tab w:val="clear" w:pos="360"/>
      </w:tabs>
      <w:spacing w:before="120" w:after="120"/>
      <w:ind w:right="0"/>
      <w:contextualSpacing w:val="0"/>
    </w:pPr>
  </w:style>
  <w:style w:type="character" w:styleId="Hyperlink">
    <w:name w:val="Hyperlink"/>
    <w:basedOn w:val="DefaultParagraphFont"/>
    <w:uiPriority w:val="99"/>
    <w:unhideWhenUsed/>
    <w:rsid w:val="00182523"/>
    <w:rPr>
      <w:color w:val="0000FF" w:themeColor="hyperlink"/>
      <w:u w:val="single"/>
    </w:rPr>
  </w:style>
  <w:style w:type="paragraph" w:styleId="ListBullet">
    <w:name w:val="List Bullet"/>
    <w:basedOn w:val="Normal"/>
    <w:autoRedefine/>
    <w:semiHidden/>
    <w:rsid w:val="00F63D0B"/>
    <w:pPr>
      <w:numPr>
        <w:numId w:val="10"/>
      </w:numPr>
      <w:tabs>
        <w:tab w:val="clear" w:pos="432"/>
        <w:tab w:val="clear" w:pos="1080"/>
        <w:tab w:val="num" w:pos="1800"/>
      </w:tabs>
      <w:spacing w:line="240" w:lineRule="auto"/>
      <w:ind w:left="2700"/>
    </w:pPr>
  </w:style>
  <w:style w:type="paragraph" w:customStyle="1" w:styleId="QuestionChar">
    <w:name w:val="Question Char"/>
    <w:basedOn w:val="Normal"/>
    <w:rsid w:val="00334DDA"/>
    <w:pPr>
      <w:numPr>
        <w:numId w:val="11"/>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BulletLevel1-Long">
    <w:name w:val="Bullet Level 1 - Long"/>
    <w:basedOn w:val="BulletLevel1-Short"/>
    <w:qFormat/>
    <w:rsid w:val="00345DD1"/>
    <w:pPr>
      <w:numPr>
        <w:numId w:val="2"/>
      </w:numPr>
      <w:spacing w:before="240"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4"/>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5"/>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3"/>
      </w:numPr>
      <w:ind w:left="720" w:hanging="288"/>
      <w:contextualSpacing/>
    </w:pPr>
  </w:style>
  <w:style w:type="paragraph" w:styleId="Header">
    <w:name w:val="header"/>
    <w:basedOn w:val="Normal"/>
    <w:link w:val="HeaderChar"/>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MarkforTable">
    <w:name w:val="Mark for Table"/>
    <w:next w:val="Normal"/>
    <w:rsid w:val="009F3BCF"/>
    <w:pPr>
      <w:spacing w:line="480" w:lineRule="auto"/>
      <w:jc w:val="center"/>
    </w:pPr>
    <w:rPr>
      <w:caps/>
      <w:szCs w:val="20"/>
    </w:rPr>
  </w:style>
  <w:style w:type="character" w:styleId="CommentReference">
    <w:name w:val="annotation reference"/>
    <w:basedOn w:val="DefaultParagraphFont"/>
    <w:uiPriority w:val="99"/>
    <w:semiHidden/>
    <w:unhideWhenUsed/>
    <w:rsid w:val="0022049C"/>
    <w:rPr>
      <w:sz w:val="16"/>
      <w:szCs w:val="16"/>
    </w:rPr>
  </w:style>
  <w:style w:type="paragraph" w:styleId="CommentText">
    <w:name w:val="annotation text"/>
    <w:basedOn w:val="Normal"/>
    <w:link w:val="CommentTextChar"/>
    <w:uiPriority w:val="99"/>
    <w:semiHidden/>
    <w:unhideWhenUsed/>
    <w:rsid w:val="0022049C"/>
    <w:pPr>
      <w:spacing w:line="240" w:lineRule="auto"/>
    </w:pPr>
    <w:rPr>
      <w:sz w:val="20"/>
      <w:szCs w:val="20"/>
    </w:rPr>
  </w:style>
  <w:style w:type="character" w:customStyle="1" w:styleId="CommentTextChar">
    <w:name w:val="Comment Text Char"/>
    <w:basedOn w:val="DefaultParagraphFont"/>
    <w:link w:val="CommentText"/>
    <w:uiPriority w:val="99"/>
    <w:semiHidden/>
    <w:rsid w:val="0022049C"/>
    <w:rPr>
      <w:sz w:val="20"/>
      <w:szCs w:val="20"/>
    </w:rPr>
  </w:style>
  <w:style w:type="paragraph" w:styleId="CommentSubject">
    <w:name w:val="annotation subject"/>
    <w:basedOn w:val="CommentText"/>
    <w:next w:val="CommentText"/>
    <w:link w:val="CommentSubjectChar"/>
    <w:uiPriority w:val="99"/>
    <w:semiHidden/>
    <w:unhideWhenUsed/>
    <w:rsid w:val="0022049C"/>
    <w:rPr>
      <w:b/>
      <w:bCs/>
    </w:rPr>
  </w:style>
  <w:style w:type="character" w:customStyle="1" w:styleId="CommentSubjectChar">
    <w:name w:val="Comment Subject Char"/>
    <w:basedOn w:val="CommentTextChar"/>
    <w:link w:val="CommentSubject"/>
    <w:uiPriority w:val="99"/>
    <w:semiHidden/>
    <w:rsid w:val="0022049C"/>
    <w:rPr>
      <w:b/>
      <w:bCs/>
      <w:sz w:val="20"/>
      <w:szCs w:val="20"/>
    </w:rPr>
  </w:style>
  <w:style w:type="paragraph" w:customStyle="1" w:styleId="BulletLevel1-Short">
    <w:name w:val="Bullet Level 1 - Short"/>
    <w:basedOn w:val="ListParagraph"/>
    <w:qFormat/>
    <w:rsid w:val="00EF645C"/>
    <w:pPr>
      <w:numPr>
        <w:numId w:val="14"/>
      </w:numPr>
      <w:tabs>
        <w:tab w:val="clear" w:pos="360"/>
      </w:tabs>
      <w:spacing w:before="120" w:after="120"/>
      <w:ind w:right="0"/>
      <w:contextualSpacing w:val="0"/>
    </w:pPr>
  </w:style>
  <w:style w:type="paragraph" w:customStyle="1" w:styleId="BulletLevel3-Short">
    <w:name w:val="Bullet Level 3 - Short"/>
    <w:basedOn w:val="ListParagraph"/>
    <w:qFormat/>
    <w:rsid w:val="00EF645C"/>
    <w:pPr>
      <w:numPr>
        <w:ilvl w:val="2"/>
        <w:numId w:val="6"/>
      </w:numPr>
      <w:tabs>
        <w:tab w:val="clear" w:pos="360"/>
      </w:tabs>
      <w:spacing w:before="120" w:after="120"/>
      <w:ind w:right="0"/>
      <w:contextualSpacing w:val="0"/>
    </w:pPr>
  </w:style>
  <w:style w:type="character" w:styleId="Hyperlink">
    <w:name w:val="Hyperlink"/>
    <w:basedOn w:val="DefaultParagraphFont"/>
    <w:uiPriority w:val="99"/>
    <w:unhideWhenUsed/>
    <w:rsid w:val="00182523"/>
    <w:rPr>
      <w:color w:val="0000FF" w:themeColor="hyperlink"/>
      <w:u w:val="single"/>
    </w:rPr>
  </w:style>
  <w:style w:type="paragraph" w:styleId="ListBullet">
    <w:name w:val="List Bullet"/>
    <w:basedOn w:val="Normal"/>
    <w:autoRedefine/>
    <w:semiHidden/>
    <w:rsid w:val="00F63D0B"/>
    <w:pPr>
      <w:numPr>
        <w:numId w:val="10"/>
      </w:numPr>
      <w:tabs>
        <w:tab w:val="clear" w:pos="432"/>
        <w:tab w:val="clear" w:pos="1080"/>
        <w:tab w:val="num" w:pos="1800"/>
      </w:tabs>
      <w:spacing w:line="240" w:lineRule="auto"/>
      <w:ind w:left="2700"/>
    </w:pPr>
  </w:style>
  <w:style w:type="paragraph" w:customStyle="1" w:styleId="QuestionChar">
    <w:name w:val="Question Char"/>
    <w:basedOn w:val="Normal"/>
    <w:rsid w:val="00334DDA"/>
    <w:pPr>
      <w:numPr>
        <w:numId w:val="11"/>
      </w:numPr>
      <w:overflowPunct w:val="0"/>
      <w:autoSpaceDE w:val="0"/>
      <w:autoSpaceDN w:val="0"/>
      <w:adjustRightInd w:val="0"/>
      <w:spacing w:before="360" w:after="120" w:line="240" w:lineRule="auto"/>
      <w:jc w:val="left"/>
      <w:textAlignment w:val="baseline"/>
    </w:pPr>
    <w:rPr>
      <w:rFonts w:ascii="Arial" w:hAnsi="Arial"/>
      <w:b/>
      <w:sz w:val="21"/>
      <w:szCs w:val="20"/>
    </w:rPr>
  </w:style>
  <w:style w:type="paragraph" w:customStyle="1" w:styleId="BulletLevel1-Long">
    <w:name w:val="Bullet Level 1 - Long"/>
    <w:basedOn w:val="BulletLevel1-Short"/>
    <w:qFormat/>
    <w:rsid w:val="00345DD1"/>
    <w:pPr>
      <w:numPr>
        <w:numId w:val="2"/>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doherty@LMpolicyresearch.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moriarty@LMpolicyresearch.com" TargetMode="External"/><Relationship Id="rId17" Type="http://schemas.openxmlformats.org/officeDocument/2006/relationships/hyperlink" Target="mailto:LMaul@mathematica-mpr.com" TargetMode="External"/><Relationship Id="rId2" Type="http://schemas.openxmlformats.org/officeDocument/2006/relationships/numbering" Target="numbering.xml"/><Relationship Id="rId16" Type="http://schemas.openxmlformats.org/officeDocument/2006/relationships/hyperlink" Target="mailto:EGrau@mathematica-mp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Green@LMpolicyresearch.com" TargetMode="External"/><Relationship Id="rId5" Type="http://schemas.openxmlformats.org/officeDocument/2006/relationships/settings" Target="settings.xml"/><Relationship Id="rId15" Type="http://schemas.openxmlformats.org/officeDocument/2006/relationships/hyperlink" Target="mailto:MKovac@mathematica-mpr.com" TargetMode="External"/><Relationship Id="rId10" Type="http://schemas.openxmlformats.org/officeDocument/2006/relationships/hyperlink" Target="mailto:Sarah.gaillot@cms.hh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erald.riley@cms.hhs.gov" TargetMode="External"/><Relationship Id="rId14" Type="http://schemas.openxmlformats.org/officeDocument/2006/relationships/hyperlink" Target="mailto:rdolin@LMpolicy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B279B-86C1-41D0-BAE5-9A0804255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4519</Words>
  <Characters>25229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LMaul</dc:creator>
  <cp:lastModifiedBy>Denise King</cp:lastModifiedBy>
  <cp:revision>4</cp:revision>
  <cp:lastPrinted>2012-08-17T04:35:00Z</cp:lastPrinted>
  <dcterms:created xsi:type="dcterms:W3CDTF">2013-02-08T22:43:00Z</dcterms:created>
  <dcterms:modified xsi:type="dcterms:W3CDTF">2013-02-19T19:08:00Z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