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EFE" w:rsidRPr="00165C7E" w:rsidRDefault="00A23708" w:rsidP="00382DF1">
      <w:pPr>
        <w:pStyle w:val="C2-CtrSglSp"/>
        <w:rPr>
          <w:rFonts w:ascii="Franklin Gothic Medium" w:hAnsi="Franklin Gothic Medium"/>
          <w:b/>
          <w:i/>
          <w:sz w:val="40"/>
          <w:szCs w:val="40"/>
        </w:rPr>
      </w:pPr>
      <w:bookmarkStart w:id="0" w:name="_GoBack"/>
      <w:bookmarkEnd w:id="0"/>
      <w:r w:rsidRPr="00165C7E">
        <w:rPr>
          <w:rFonts w:ascii="Franklin Gothic Medium" w:hAnsi="Franklin Gothic Medium"/>
          <w:b/>
          <w:sz w:val="40"/>
          <w:szCs w:val="40"/>
        </w:rPr>
        <w:t>Supporting Statement A</w:t>
      </w:r>
      <w:r w:rsidRPr="00165C7E">
        <w:rPr>
          <w:rFonts w:ascii="Franklin Gothic Medium" w:hAnsi="Franklin Gothic Medium"/>
          <w:b/>
          <w:sz w:val="40"/>
          <w:szCs w:val="40"/>
        </w:rPr>
        <w:br/>
        <w:t>for</w:t>
      </w:r>
      <w:r w:rsidRPr="00165C7E">
        <w:rPr>
          <w:rFonts w:ascii="Franklin Gothic Medium" w:hAnsi="Franklin Gothic Medium"/>
          <w:b/>
          <w:sz w:val="40"/>
          <w:szCs w:val="40"/>
        </w:rPr>
        <w:br/>
      </w:r>
      <w:r w:rsidR="004A2EFE" w:rsidRPr="00165C7E">
        <w:rPr>
          <w:rFonts w:ascii="Franklin Gothic Medium" w:hAnsi="Franklin Gothic Medium"/>
          <w:b/>
          <w:sz w:val="40"/>
          <w:szCs w:val="40"/>
        </w:rPr>
        <w:t xml:space="preserve">Request for Generic Clearance </w:t>
      </w:r>
      <w:r w:rsidR="004A2EFE" w:rsidRPr="00165C7E">
        <w:rPr>
          <w:rFonts w:ascii="Franklin Gothic Medium" w:hAnsi="Franklin Gothic Medium"/>
          <w:b/>
          <w:sz w:val="40"/>
          <w:szCs w:val="40"/>
        </w:rPr>
        <w:br/>
      </w:r>
      <w:r w:rsidR="0010503D" w:rsidRPr="00165C7E">
        <w:rPr>
          <w:rFonts w:ascii="Franklin Gothic Medium" w:hAnsi="Franklin Gothic Medium"/>
          <w:b/>
          <w:sz w:val="40"/>
          <w:szCs w:val="40"/>
        </w:rPr>
        <w:t xml:space="preserve">for Methodological Studies </w:t>
      </w:r>
      <w:r w:rsidR="009F682C">
        <w:rPr>
          <w:rFonts w:ascii="Franklin Gothic Medium" w:hAnsi="Franklin Gothic Medium"/>
          <w:b/>
          <w:sz w:val="40"/>
          <w:szCs w:val="40"/>
        </w:rPr>
        <w:t xml:space="preserve">in </w:t>
      </w:r>
      <w:r w:rsidR="004A2EFE" w:rsidRPr="00165C7E">
        <w:rPr>
          <w:rFonts w:ascii="Franklin Gothic Medium" w:hAnsi="Franklin Gothic Medium"/>
          <w:b/>
          <w:sz w:val="40"/>
          <w:szCs w:val="40"/>
        </w:rPr>
        <w:t>the Population Assessment of Tobacco and Health (PATH) Study</w:t>
      </w:r>
      <w:r w:rsidR="00B40A41" w:rsidRPr="00165C7E">
        <w:rPr>
          <w:rFonts w:ascii="Franklin Gothic Medium" w:hAnsi="Franklin Gothic Medium"/>
          <w:b/>
          <w:sz w:val="40"/>
          <w:szCs w:val="40"/>
        </w:rPr>
        <w:t xml:space="preserve"> </w:t>
      </w:r>
      <w:r w:rsidR="00F20415" w:rsidRPr="00165C7E">
        <w:rPr>
          <w:rFonts w:ascii="Franklin Gothic Medium" w:hAnsi="Franklin Gothic Medium"/>
          <w:b/>
          <w:sz w:val="40"/>
          <w:szCs w:val="40"/>
        </w:rPr>
        <w:t>(NIDA)</w:t>
      </w:r>
    </w:p>
    <w:p w:rsidR="00A23708" w:rsidRPr="00165C7E" w:rsidRDefault="00A23708" w:rsidP="00382DF1">
      <w:pPr>
        <w:pStyle w:val="C2-CtrSglSp"/>
        <w:rPr>
          <w:rFonts w:ascii="Franklin Gothic Medium" w:hAnsi="Franklin Gothic Medium"/>
          <w:b/>
          <w:sz w:val="40"/>
          <w:szCs w:val="40"/>
        </w:rPr>
      </w:pPr>
    </w:p>
    <w:p w:rsidR="00A23708" w:rsidRPr="00165C7E" w:rsidRDefault="00A23708" w:rsidP="00382DF1">
      <w:pPr>
        <w:pStyle w:val="C2-CtrSglSp"/>
        <w:rPr>
          <w:rFonts w:ascii="Franklin Gothic Medium" w:hAnsi="Franklin Gothic Medium"/>
          <w:b/>
          <w:sz w:val="40"/>
          <w:szCs w:val="40"/>
        </w:rPr>
      </w:pPr>
    </w:p>
    <w:p w:rsidR="00A23708" w:rsidRPr="00165C7E" w:rsidRDefault="00A23708" w:rsidP="00382DF1">
      <w:pPr>
        <w:pStyle w:val="C2-CtrSglSp"/>
        <w:rPr>
          <w:rFonts w:ascii="Franklin Gothic Medium" w:hAnsi="Franklin Gothic Medium"/>
          <w:b/>
          <w:sz w:val="40"/>
          <w:szCs w:val="40"/>
        </w:rPr>
      </w:pPr>
    </w:p>
    <w:p w:rsidR="00A23708" w:rsidRPr="00165C7E" w:rsidRDefault="00A23708" w:rsidP="00382DF1">
      <w:pPr>
        <w:pStyle w:val="C2-CtrSglSp"/>
        <w:rPr>
          <w:rFonts w:ascii="Franklin Gothic Medium" w:hAnsi="Franklin Gothic Medium"/>
          <w:b/>
          <w:sz w:val="40"/>
          <w:szCs w:val="40"/>
        </w:rPr>
      </w:pPr>
    </w:p>
    <w:p w:rsidR="00A23708" w:rsidRPr="00165C7E" w:rsidRDefault="00A23708" w:rsidP="00382DF1">
      <w:pPr>
        <w:pStyle w:val="C2-CtrSglSp"/>
        <w:rPr>
          <w:rFonts w:ascii="Franklin Gothic Medium" w:hAnsi="Franklin Gothic Medium"/>
          <w:b/>
          <w:sz w:val="40"/>
          <w:szCs w:val="40"/>
        </w:rPr>
      </w:pPr>
    </w:p>
    <w:p w:rsidR="00A23708" w:rsidRPr="00165C7E" w:rsidRDefault="00A23708" w:rsidP="00382DF1">
      <w:pPr>
        <w:pStyle w:val="C2-CtrSglSp"/>
        <w:rPr>
          <w:rFonts w:ascii="Franklin Gothic Medium" w:hAnsi="Franklin Gothic Medium"/>
          <w:b/>
          <w:sz w:val="40"/>
          <w:szCs w:val="40"/>
        </w:rPr>
      </w:pPr>
    </w:p>
    <w:p w:rsidR="00A23708" w:rsidRPr="00165C7E" w:rsidRDefault="00944CD4" w:rsidP="00382DF1">
      <w:pPr>
        <w:pStyle w:val="Heading1"/>
        <w:jc w:val="center"/>
      </w:pPr>
      <w:r w:rsidRPr="007B51F5">
        <w:t>January</w:t>
      </w:r>
      <w:r w:rsidR="00FC0CCB" w:rsidRPr="007B51F5">
        <w:t xml:space="preserve"> </w:t>
      </w:r>
      <w:r w:rsidRPr="007B51F5">
        <w:t>2</w:t>
      </w:r>
      <w:r w:rsidR="008376F0" w:rsidRPr="007B51F5">
        <w:t>9</w:t>
      </w:r>
      <w:r w:rsidR="00A23708" w:rsidRPr="007B51F5">
        <w:t>, 201</w:t>
      </w:r>
      <w:r w:rsidR="0072231C" w:rsidRPr="007B51F5">
        <w:t>3</w:t>
      </w:r>
    </w:p>
    <w:p w:rsidR="00A23708" w:rsidRPr="00165C7E" w:rsidRDefault="00A23708" w:rsidP="00382DF1">
      <w:pPr>
        <w:pStyle w:val="L1-FlLSp12"/>
        <w:jc w:val="center"/>
      </w:pPr>
    </w:p>
    <w:p w:rsidR="00A23708" w:rsidRPr="00165C7E" w:rsidRDefault="00A23708" w:rsidP="00257CB6">
      <w:pPr>
        <w:pStyle w:val="L1-FlLSp12"/>
      </w:pPr>
    </w:p>
    <w:p w:rsidR="00A23708" w:rsidRPr="00165C7E" w:rsidRDefault="00A23708" w:rsidP="00257CB6">
      <w:pPr>
        <w:pStyle w:val="L1-FlLSp12"/>
      </w:pPr>
    </w:p>
    <w:p w:rsidR="00A23708" w:rsidRPr="00165C7E" w:rsidRDefault="00A23708" w:rsidP="00257CB6">
      <w:pPr>
        <w:pStyle w:val="L1-FlLSp12"/>
      </w:pPr>
    </w:p>
    <w:p w:rsidR="00A23708" w:rsidRPr="00165C7E" w:rsidRDefault="00A23708" w:rsidP="00257CB6">
      <w:pPr>
        <w:pStyle w:val="L1-FlLSp12"/>
      </w:pPr>
    </w:p>
    <w:p w:rsidR="008D50EC" w:rsidRPr="00165C7E" w:rsidRDefault="008D50EC" w:rsidP="00257CB6">
      <w:pPr>
        <w:pStyle w:val="L1-FlLSp12"/>
      </w:pPr>
    </w:p>
    <w:p w:rsidR="008D50EC" w:rsidRPr="00165C7E" w:rsidRDefault="008D50EC" w:rsidP="00257CB6">
      <w:pPr>
        <w:pStyle w:val="L1-FlLSp12"/>
      </w:pPr>
    </w:p>
    <w:p w:rsidR="008D50EC" w:rsidRPr="00165C7E" w:rsidRDefault="008D50EC" w:rsidP="00257CB6">
      <w:pPr>
        <w:pStyle w:val="L1-FlLSp12"/>
      </w:pPr>
    </w:p>
    <w:p w:rsidR="008D50EC" w:rsidRPr="00165C7E" w:rsidRDefault="008D50EC" w:rsidP="00257CB6">
      <w:pPr>
        <w:pStyle w:val="L1-FlLSp12"/>
      </w:pPr>
    </w:p>
    <w:p w:rsidR="008D50EC" w:rsidRPr="00165C7E" w:rsidRDefault="008D50EC" w:rsidP="00257CB6">
      <w:pPr>
        <w:pStyle w:val="L1-FlLSp12"/>
      </w:pPr>
    </w:p>
    <w:p w:rsidR="00A23708" w:rsidRPr="00165C7E" w:rsidRDefault="00A23708" w:rsidP="00257CB6">
      <w:pPr>
        <w:pStyle w:val="L1-FlLSp12"/>
      </w:pPr>
    </w:p>
    <w:p w:rsidR="00731BA1" w:rsidRPr="00165C7E" w:rsidRDefault="00731BA1" w:rsidP="00257CB6">
      <w:pPr>
        <w:pStyle w:val="SL-FlLftSgl"/>
        <w:rPr>
          <w:rFonts w:ascii="Franklin Gothic Medium" w:hAnsi="Franklin Gothic Medium"/>
        </w:rPr>
      </w:pPr>
      <w:r w:rsidRPr="00165C7E">
        <w:rPr>
          <w:rFonts w:ascii="Franklin Gothic Medium" w:hAnsi="Franklin Gothic Medium"/>
        </w:rPr>
        <w:t>Kevin P. Conway, Ph.D.</w:t>
      </w:r>
    </w:p>
    <w:p w:rsidR="00731BA1" w:rsidRPr="00165C7E" w:rsidRDefault="00731BA1" w:rsidP="00257CB6">
      <w:pPr>
        <w:pStyle w:val="SL-FlLftSgl"/>
        <w:rPr>
          <w:rFonts w:ascii="Franklin Gothic Medium" w:hAnsi="Franklin Gothic Medium"/>
        </w:rPr>
      </w:pPr>
      <w:r w:rsidRPr="00165C7E">
        <w:rPr>
          <w:rFonts w:ascii="Franklin Gothic Medium" w:hAnsi="Franklin Gothic Medium"/>
        </w:rPr>
        <w:t>Deputy Director</w:t>
      </w:r>
    </w:p>
    <w:p w:rsidR="00731BA1" w:rsidRPr="00165C7E" w:rsidRDefault="00731BA1" w:rsidP="00257CB6">
      <w:pPr>
        <w:pStyle w:val="SL-FlLftSgl"/>
        <w:rPr>
          <w:rFonts w:ascii="Franklin Gothic Medium" w:hAnsi="Franklin Gothic Medium"/>
        </w:rPr>
      </w:pPr>
      <w:r w:rsidRPr="00165C7E">
        <w:rPr>
          <w:rFonts w:ascii="Franklin Gothic Medium" w:hAnsi="Franklin Gothic Medium"/>
        </w:rPr>
        <w:t>Division of Epidemiology, Services, and Prevention Research</w:t>
      </w:r>
    </w:p>
    <w:p w:rsidR="00731BA1" w:rsidRPr="00165C7E" w:rsidRDefault="00731BA1" w:rsidP="00257CB6">
      <w:pPr>
        <w:pStyle w:val="SL-FlLftSgl"/>
        <w:rPr>
          <w:rFonts w:ascii="Franklin Gothic Medium" w:hAnsi="Franklin Gothic Medium"/>
        </w:rPr>
      </w:pPr>
      <w:r w:rsidRPr="00165C7E">
        <w:rPr>
          <w:rFonts w:ascii="Franklin Gothic Medium" w:hAnsi="Franklin Gothic Medium"/>
        </w:rPr>
        <w:t>National Institute on Drug Abuse</w:t>
      </w:r>
    </w:p>
    <w:p w:rsidR="00731BA1" w:rsidRPr="00165C7E" w:rsidRDefault="00731BA1" w:rsidP="00257CB6">
      <w:pPr>
        <w:pStyle w:val="SL-FlLftSgl"/>
        <w:rPr>
          <w:rFonts w:ascii="Franklin Gothic Medium" w:hAnsi="Franklin Gothic Medium"/>
        </w:rPr>
      </w:pPr>
      <w:r w:rsidRPr="00165C7E">
        <w:rPr>
          <w:rFonts w:ascii="Franklin Gothic Medium" w:hAnsi="Franklin Gothic Medium"/>
        </w:rPr>
        <w:t>6001 Executive Blvd., Room 5185</w:t>
      </w:r>
    </w:p>
    <w:p w:rsidR="00731BA1" w:rsidRPr="00165C7E" w:rsidRDefault="00731BA1" w:rsidP="00257CB6">
      <w:pPr>
        <w:pStyle w:val="SL-FlLftSgl"/>
        <w:rPr>
          <w:rFonts w:ascii="Franklin Gothic Medium" w:hAnsi="Franklin Gothic Medium"/>
        </w:rPr>
      </w:pPr>
      <w:r w:rsidRPr="00165C7E">
        <w:rPr>
          <w:rFonts w:ascii="Franklin Gothic Medium" w:hAnsi="Franklin Gothic Medium"/>
        </w:rPr>
        <w:t>Rockville, MD 20852</w:t>
      </w:r>
    </w:p>
    <w:p w:rsidR="00731BA1" w:rsidRPr="00165C7E" w:rsidRDefault="00731BA1" w:rsidP="00257CB6">
      <w:pPr>
        <w:pStyle w:val="SL-FlLftSgl"/>
        <w:rPr>
          <w:rFonts w:ascii="Franklin Gothic Medium" w:hAnsi="Franklin Gothic Medium"/>
        </w:rPr>
      </w:pPr>
      <w:r w:rsidRPr="00165C7E">
        <w:rPr>
          <w:rFonts w:ascii="Franklin Gothic Medium" w:hAnsi="Franklin Gothic Medium"/>
        </w:rPr>
        <w:t>Phone: 301-443-8755</w:t>
      </w:r>
    </w:p>
    <w:p w:rsidR="00731BA1" w:rsidRPr="00165C7E" w:rsidRDefault="00731BA1" w:rsidP="00257CB6">
      <w:pPr>
        <w:pStyle w:val="SL-FlLftSgl"/>
        <w:rPr>
          <w:rFonts w:ascii="Franklin Gothic Medium" w:hAnsi="Franklin Gothic Medium"/>
        </w:rPr>
      </w:pPr>
      <w:r w:rsidRPr="00165C7E">
        <w:rPr>
          <w:rFonts w:ascii="Franklin Gothic Medium" w:hAnsi="Franklin Gothic Medium"/>
        </w:rPr>
        <w:t xml:space="preserve">Email: </w:t>
      </w:r>
      <w:hyperlink r:id="rId10" w:history="1">
        <w:r w:rsidRPr="00165C7E">
          <w:rPr>
            <w:rFonts w:ascii="Franklin Gothic Medium" w:hAnsi="Franklin Gothic Medium"/>
          </w:rPr>
          <w:t>PATHprojectofficer@mail.nih.gov</w:t>
        </w:r>
      </w:hyperlink>
    </w:p>
    <w:p w:rsidR="00731BA1" w:rsidRPr="00165C7E" w:rsidRDefault="00731BA1" w:rsidP="00257CB6">
      <w:pPr>
        <w:pStyle w:val="SL-FlLftSgl"/>
      </w:pPr>
    </w:p>
    <w:p w:rsidR="00A23708" w:rsidRPr="00165C7E" w:rsidRDefault="00A23708" w:rsidP="00257CB6">
      <w:pPr>
        <w:pStyle w:val="SL-FlLftSgl"/>
      </w:pPr>
    </w:p>
    <w:p w:rsidR="002F7ABC" w:rsidRPr="00165C7E" w:rsidRDefault="006657C8" w:rsidP="00257CB6">
      <w:pPr>
        <w:pStyle w:val="TC-TableofContentsHeading"/>
        <w:jc w:val="left"/>
      </w:pPr>
      <w:r w:rsidRPr="00165C7E">
        <w:lastRenderedPageBreak/>
        <w:t>Table of Contents</w:t>
      </w:r>
    </w:p>
    <w:p w:rsidR="006657C8" w:rsidRPr="00165C7E" w:rsidRDefault="00A23708" w:rsidP="00257CB6">
      <w:pPr>
        <w:pStyle w:val="T0-ChapPgHd"/>
      </w:pPr>
      <w:r w:rsidRPr="00165C7E">
        <w:t>Section</w:t>
      </w:r>
      <w:r w:rsidRPr="00165C7E">
        <w:tab/>
        <w:t>Page</w:t>
      </w:r>
    </w:p>
    <w:p w:rsidR="00A23708" w:rsidRPr="00165C7E" w:rsidRDefault="00A23708" w:rsidP="00257CB6">
      <w:pPr>
        <w:pStyle w:val="T0-ChapPgHd"/>
      </w:pPr>
    </w:p>
    <w:p w:rsidR="005E2AA5" w:rsidRPr="00165C7E" w:rsidRDefault="005E2AA5" w:rsidP="005E2AA5">
      <w:pPr>
        <w:pStyle w:val="TOC1"/>
        <w:rPr>
          <w:rFonts w:eastAsiaTheme="minorEastAsia"/>
        </w:rPr>
      </w:pPr>
      <w:r w:rsidRPr="00165C7E">
        <w:t>A.</w:t>
      </w:r>
      <w:r w:rsidRPr="00165C7E">
        <w:rPr>
          <w:rFonts w:eastAsiaTheme="minorEastAsia"/>
        </w:rPr>
        <w:tab/>
      </w:r>
      <w:r w:rsidRPr="00165C7E">
        <w:t>Justification</w:t>
      </w:r>
      <w:r w:rsidRPr="00165C7E">
        <w:tab/>
      </w:r>
      <w:r w:rsidRPr="00165C7E">
        <w:tab/>
        <w:t>1</w:t>
      </w:r>
    </w:p>
    <w:p w:rsidR="005E2AA5" w:rsidRPr="00165C7E" w:rsidRDefault="005E2AA5" w:rsidP="005E2AA5">
      <w:pPr>
        <w:pStyle w:val="TOC2"/>
      </w:pPr>
    </w:p>
    <w:p w:rsidR="005E2AA5" w:rsidRPr="00165C7E" w:rsidRDefault="005E2AA5" w:rsidP="005E2AA5">
      <w:pPr>
        <w:pStyle w:val="TOC2"/>
        <w:rPr>
          <w:rFonts w:eastAsiaTheme="minorEastAsia"/>
        </w:rPr>
      </w:pPr>
      <w:r w:rsidRPr="00165C7E">
        <w:t>A.1</w:t>
      </w:r>
      <w:r w:rsidRPr="00165C7E">
        <w:rPr>
          <w:rFonts w:eastAsiaTheme="minorEastAsia"/>
        </w:rPr>
        <w:tab/>
      </w:r>
      <w:r w:rsidRPr="00165C7E">
        <w:t>Circumstances Making the Collection of Information Necessary</w:t>
      </w:r>
      <w:r w:rsidRPr="00165C7E">
        <w:tab/>
      </w:r>
      <w:r w:rsidRPr="00165C7E">
        <w:tab/>
        <w:t>1</w:t>
      </w:r>
    </w:p>
    <w:p w:rsidR="005E2AA5" w:rsidRPr="00165C7E" w:rsidRDefault="005E2AA5" w:rsidP="005E2AA5">
      <w:pPr>
        <w:pStyle w:val="TOC2"/>
      </w:pPr>
    </w:p>
    <w:p w:rsidR="005E2AA5" w:rsidRPr="00165C7E" w:rsidRDefault="005E2AA5" w:rsidP="005E2AA5">
      <w:pPr>
        <w:pStyle w:val="TOC2"/>
        <w:rPr>
          <w:rFonts w:eastAsiaTheme="minorEastAsia"/>
        </w:rPr>
      </w:pPr>
      <w:r w:rsidRPr="00165C7E">
        <w:t>A.2</w:t>
      </w:r>
      <w:r w:rsidRPr="00165C7E">
        <w:rPr>
          <w:rFonts w:eastAsiaTheme="minorEastAsia"/>
        </w:rPr>
        <w:tab/>
      </w:r>
      <w:r w:rsidRPr="00165C7E">
        <w:t>Purpose and Use of the Information Collection</w:t>
      </w:r>
      <w:r w:rsidRPr="00165C7E">
        <w:tab/>
      </w:r>
      <w:r w:rsidRPr="00165C7E">
        <w:tab/>
      </w:r>
      <w:r w:rsidR="004438F2">
        <w:t>4</w:t>
      </w:r>
    </w:p>
    <w:p w:rsidR="005E2AA5" w:rsidRPr="00165C7E" w:rsidRDefault="005E2AA5" w:rsidP="005E2AA5">
      <w:pPr>
        <w:pStyle w:val="TOC2"/>
      </w:pPr>
    </w:p>
    <w:p w:rsidR="005E2AA5" w:rsidRPr="00165C7E" w:rsidRDefault="005E2AA5" w:rsidP="005E2AA5">
      <w:pPr>
        <w:pStyle w:val="TOC2"/>
        <w:rPr>
          <w:rFonts w:eastAsiaTheme="minorEastAsia"/>
        </w:rPr>
      </w:pPr>
      <w:r w:rsidRPr="00165C7E">
        <w:t>A.3</w:t>
      </w:r>
      <w:r w:rsidRPr="00165C7E">
        <w:rPr>
          <w:rFonts w:eastAsiaTheme="minorEastAsia"/>
        </w:rPr>
        <w:tab/>
      </w:r>
      <w:r w:rsidRPr="00165C7E">
        <w:t>Use of Information Technology and Burden Reduction</w:t>
      </w:r>
      <w:r w:rsidRPr="00165C7E">
        <w:tab/>
      </w:r>
      <w:r w:rsidRPr="00165C7E">
        <w:tab/>
        <w:t>9</w:t>
      </w:r>
    </w:p>
    <w:p w:rsidR="005E2AA5" w:rsidRPr="00165C7E" w:rsidRDefault="005E2AA5" w:rsidP="005E2AA5">
      <w:pPr>
        <w:pStyle w:val="TOC2"/>
      </w:pPr>
    </w:p>
    <w:p w:rsidR="005E2AA5" w:rsidRPr="00165C7E" w:rsidRDefault="005E2AA5" w:rsidP="005E2AA5">
      <w:pPr>
        <w:pStyle w:val="TOC2"/>
        <w:rPr>
          <w:rFonts w:eastAsiaTheme="minorEastAsia"/>
        </w:rPr>
      </w:pPr>
      <w:r w:rsidRPr="00165C7E">
        <w:t>A.4</w:t>
      </w:r>
      <w:r w:rsidRPr="00165C7E">
        <w:rPr>
          <w:rFonts w:eastAsiaTheme="minorEastAsia"/>
        </w:rPr>
        <w:tab/>
      </w:r>
      <w:r w:rsidRPr="00165C7E">
        <w:t>Efforts to Identify Duplication and Use of Similar Information</w:t>
      </w:r>
      <w:r w:rsidRPr="00165C7E">
        <w:tab/>
      </w:r>
      <w:r w:rsidRPr="00165C7E">
        <w:tab/>
      </w:r>
      <w:r w:rsidR="004438F2">
        <w:t>9</w:t>
      </w:r>
    </w:p>
    <w:p w:rsidR="005E2AA5" w:rsidRPr="00165C7E" w:rsidRDefault="005E2AA5" w:rsidP="005E2AA5">
      <w:pPr>
        <w:pStyle w:val="TOC2"/>
      </w:pPr>
    </w:p>
    <w:p w:rsidR="005E2AA5" w:rsidRPr="00165C7E" w:rsidRDefault="005E2AA5" w:rsidP="005E2AA5">
      <w:pPr>
        <w:pStyle w:val="TOC2"/>
        <w:rPr>
          <w:rFonts w:eastAsiaTheme="minorEastAsia"/>
        </w:rPr>
      </w:pPr>
      <w:r w:rsidRPr="00165C7E">
        <w:t>A.5</w:t>
      </w:r>
      <w:r w:rsidRPr="00165C7E">
        <w:rPr>
          <w:rFonts w:eastAsiaTheme="minorEastAsia"/>
        </w:rPr>
        <w:tab/>
      </w:r>
      <w:r w:rsidRPr="00165C7E">
        <w:t>Impact on Small Businesses or Other Small Entities</w:t>
      </w:r>
      <w:r w:rsidRPr="00165C7E">
        <w:tab/>
      </w:r>
      <w:r w:rsidRPr="00165C7E">
        <w:tab/>
      </w:r>
      <w:r w:rsidR="00B97F4F">
        <w:t>10</w:t>
      </w:r>
    </w:p>
    <w:p w:rsidR="005E2AA5" w:rsidRPr="00165C7E" w:rsidRDefault="005E2AA5" w:rsidP="005E2AA5">
      <w:pPr>
        <w:pStyle w:val="TOC2"/>
      </w:pPr>
    </w:p>
    <w:p w:rsidR="005E2AA5" w:rsidRPr="00165C7E" w:rsidRDefault="005E2AA5" w:rsidP="005E2AA5">
      <w:pPr>
        <w:pStyle w:val="TOC2"/>
        <w:rPr>
          <w:rFonts w:eastAsiaTheme="minorEastAsia"/>
        </w:rPr>
      </w:pPr>
      <w:r w:rsidRPr="00165C7E">
        <w:t>A.6</w:t>
      </w:r>
      <w:r w:rsidRPr="00165C7E">
        <w:rPr>
          <w:rFonts w:eastAsiaTheme="minorEastAsia"/>
        </w:rPr>
        <w:tab/>
      </w:r>
      <w:r w:rsidRPr="00165C7E">
        <w:t>Consequences of Collecting the Information Less Frequently</w:t>
      </w:r>
      <w:r w:rsidRPr="00165C7E">
        <w:tab/>
      </w:r>
      <w:r w:rsidRPr="00165C7E">
        <w:tab/>
      </w:r>
      <w:r w:rsidR="00B97F4F">
        <w:t>10</w:t>
      </w:r>
    </w:p>
    <w:p w:rsidR="005E2AA5" w:rsidRPr="00165C7E" w:rsidRDefault="005E2AA5" w:rsidP="005E2AA5">
      <w:pPr>
        <w:pStyle w:val="TOC2"/>
      </w:pPr>
    </w:p>
    <w:p w:rsidR="005E2AA5" w:rsidRPr="00165C7E" w:rsidRDefault="005E2AA5" w:rsidP="005E2AA5">
      <w:pPr>
        <w:pStyle w:val="TOC2"/>
        <w:rPr>
          <w:rFonts w:eastAsiaTheme="minorEastAsia"/>
        </w:rPr>
      </w:pPr>
      <w:r w:rsidRPr="00165C7E">
        <w:t>A.7</w:t>
      </w:r>
      <w:r w:rsidRPr="00165C7E">
        <w:rPr>
          <w:rFonts w:eastAsiaTheme="minorEastAsia"/>
        </w:rPr>
        <w:tab/>
      </w:r>
      <w:r w:rsidRPr="00165C7E">
        <w:t>Special Circumstances Relating to the Guidelines of 5 CFR 1320.5</w:t>
      </w:r>
      <w:r w:rsidRPr="00165C7E">
        <w:tab/>
      </w:r>
      <w:r w:rsidRPr="00165C7E">
        <w:tab/>
        <w:t>1</w:t>
      </w:r>
      <w:r w:rsidR="004438F2">
        <w:t>0</w:t>
      </w:r>
    </w:p>
    <w:p w:rsidR="005E2AA5" w:rsidRPr="00165C7E" w:rsidRDefault="005E2AA5" w:rsidP="005E2AA5">
      <w:pPr>
        <w:pStyle w:val="TOC2"/>
      </w:pPr>
    </w:p>
    <w:p w:rsidR="005E2AA5" w:rsidRPr="00165C7E" w:rsidRDefault="005E2AA5" w:rsidP="005E2AA5">
      <w:pPr>
        <w:pStyle w:val="TOC2"/>
        <w:rPr>
          <w:rFonts w:eastAsiaTheme="minorEastAsia"/>
        </w:rPr>
      </w:pPr>
      <w:r w:rsidRPr="00165C7E">
        <w:t>A.8</w:t>
      </w:r>
      <w:r w:rsidRPr="00165C7E">
        <w:rPr>
          <w:rFonts w:eastAsiaTheme="minorEastAsia"/>
        </w:rPr>
        <w:tab/>
      </w:r>
      <w:r w:rsidRPr="00165C7E">
        <w:t>Comments in Response to the Federal Register Notice and Efforts to Consult Outside Agency</w:t>
      </w:r>
      <w:r w:rsidRPr="00165C7E">
        <w:tab/>
      </w:r>
      <w:r w:rsidRPr="00165C7E">
        <w:tab/>
        <w:t>1</w:t>
      </w:r>
      <w:r w:rsidR="004438F2">
        <w:t>0</w:t>
      </w:r>
    </w:p>
    <w:p w:rsidR="005E2AA5" w:rsidRPr="00165C7E" w:rsidRDefault="005E2AA5" w:rsidP="005E2AA5">
      <w:pPr>
        <w:pStyle w:val="TOC2"/>
      </w:pPr>
    </w:p>
    <w:p w:rsidR="005E2AA5" w:rsidRPr="00165C7E" w:rsidRDefault="005E2AA5" w:rsidP="005E2AA5">
      <w:pPr>
        <w:pStyle w:val="TOC2"/>
        <w:rPr>
          <w:rFonts w:eastAsiaTheme="minorEastAsia"/>
        </w:rPr>
      </w:pPr>
      <w:r w:rsidRPr="00165C7E">
        <w:t>A.9</w:t>
      </w:r>
      <w:r w:rsidRPr="00165C7E">
        <w:rPr>
          <w:rFonts w:eastAsiaTheme="minorEastAsia"/>
        </w:rPr>
        <w:tab/>
      </w:r>
      <w:r w:rsidRPr="00165C7E">
        <w:t>Explanation of Any Payment or Gift to Respondents</w:t>
      </w:r>
      <w:r w:rsidRPr="00165C7E">
        <w:tab/>
      </w:r>
      <w:r w:rsidRPr="00165C7E">
        <w:tab/>
        <w:t>11</w:t>
      </w:r>
    </w:p>
    <w:p w:rsidR="005E2AA5" w:rsidRPr="00165C7E" w:rsidRDefault="005E2AA5" w:rsidP="005E2AA5">
      <w:pPr>
        <w:pStyle w:val="TOC2"/>
      </w:pPr>
    </w:p>
    <w:p w:rsidR="005E2AA5" w:rsidRPr="00165C7E" w:rsidRDefault="005E2AA5" w:rsidP="005E2AA5">
      <w:pPr>
        <w:pStyle w:val="TOC2"/>
        <w:rPr>
          <w:rFonts w:eastAsiaTheme="minorEastAsia"/>
        </w:rPr>
      </w:pPr>
      <w:r w:rsidRPr="00165C7E">
        <w:t>A.10</w:t>
      </w:r>
      <w:r w:rsidRPr="00165C7E">
        <w:rPr>
          <w:rFonts w:eastAsiaTheme="minorEastAsia"/>
        </w:rPr>
        <w:tab/>
      </w:r>
      <w:r w:rsidRPr="00165C7E">
        <w:t>Assurances of Confidentiality Provided to Respondents</w:t>
      </w:r>
      <w:r w:rsidRPr="00165C7E">
        <w:tab/>
      </w:r>
      <w:r w:rsidRPr="00165C7E">
        <w:tab/>
        <w:t>1</w:t>
      </w:r>
      <w:r w:rsidR="00B97F4F">
        <w:t>2</w:t>
      </w:r>
    </w:p>
    <w:p w:rsidR="005E2AA5" w:rsidRPr="00165C7E" w:rsidRDefault="005E2AA5" w:rsidP="005E2AA5">
      <w:pPr>
        <w:pStyle w:val="TOC2"/>
      </w:pPr>
    </w:p>
    <w:p w:rsidR="005E2AA5" w:rsidRPr="00165C7E" w:rsidRDefault="005E2AA5" w:rsidP="005E2AA5">
      <w:pPr>
        <w:pStyle w:val="TOC2"/>
        <w:rPr>
          <w:rFonts w:eastAsiaTheme="minorEastAsia"/>
        </w:rPr>
      </w:pPr>
      <w:r w:rsidRPr="00165C7E">
        <w:t>A.11</w:t>
      </w:r>
      <w:r w:rsidRPr="00165C7E">
        <w:rPr>
          <w:rFonts w:eastAsiaTheme="minorEastAsia"/>
        </w:rPr>
        <w:tab/>
      </w:r>
      <w:r w:rsidRPr="00165C7E">
        <w:t>Justification for Sensitive Questions</w:t>
      </w:r>
      <w:r w:rsidRPr="00165C7E">
        <w:tab/>
      </w:r>
      <w:r w:rsidRPr="00165C7E">
        <w:tab/>
        <w:t>1</w:t>
      </w:r>
      <w:r w:rsidR="004438F2">
        <w:t>3</w:t>
      </w:r>
    </w:p>
    <w:p w:rsidR="005E2AA5" w:rsidRPr="00165C7E" w:rsidRDefault="005E2AA5" w:rsidP="005E2AA5">
      <w:pPr>
        <w:pStyle w:val="TOC2"/>
      </w:pPr>
    </w:p>
    <w:p w:rsidR="005E2AA5" w:rsidRPr="00165C7E" w:rsidRDefault="005E2AA5" w:rsidP="005E2AA5">
      <w:pPr>
        <w:pStyle w:val="TOC2"/>
        <w:rPr>
          <w:rFonts w:eastAsiaTheme="minorEastAsia"/>
        </w:rPr>
      </w:pPr>
      <w:r w:rsidRPr="00165C7E">
        <w:t>A.12</w:t>
      </w:r>
      <w:r w:rsidRPr="00165C7E">
        <w:rPr>
          <w:rFonts w:eastAsiaTheme="minorEastAsia"/>
        </w:rPr>
        <w:tab/>
      </w:r>
      <w:r w:rsidRPr="00165C7E">
        <w:t>Estimates of Hour Burden Including Annualized Hourly Costs</w:t>
      </w:r>
      <w:r w:rsidRPr="00165C7E">
        <w:tab/>
      </w:r>
      <w:r w:rsidRPr="00165C7E">
        <w:tab/>
        <w:t>1</w:t>
      </w:r>
      <w:r w:rsidR="00B97F4F">
        <w:t>4</w:t>
      </w:r>
    </w:p>
    <w:p w:rsidR="005E2AA5" w:rsidRPr="00165C7E" w:rsidRDefault="005E2AA5" w:rsidP="005E2AA5">
      <w:pPr>
        <w:pStyle w:val="TOC2"/>
      </w:pPr>
    </w:p>
    <w:p w:rsidR="005E2AA5" w:rsidRPr="00165C7E" w:rsidRDefault="005E2AA5" w:rsidP="005E2AA5">
      <w:pPr>
        <w:pStyle w:val="TOC2"/>
        <w:rPr>
          <w:rFonts w:eastAsiaTheme="minorEastAsia"/>
        </w:rPr>
      </w:pPr>
      <w:r w:rsidRPr="00165C7E">
        <w:t>A.13</w:t>
      </w:r>
      <w:r w:rsidRPr="00165C7E">
        <w:rPr>
          <w:rFonts w:eastAsiaTheme="minorEastAsia"/>
        </w:rPr>
        <w:tab/>
      </w:r>
      <w:r w:rsidRPr="00165C7E">
        <w:t>Estimate of Other Total Annual Cost Burden to Respondents or Record Keepers</w:t>
      </w:r>
      <w:r w:rsidRPr="00165C7E">
        <w:tab/>
      </w:r>
      <w:r w:rsidRPr="00165C7E">
        <w:tab/>
        <w:t>15</w:t>
      </w:r>
    </w:p>
    <w:p w:rsidR="005E2AA5" w:rsidRPr="00165C7E" w:rsidRDefault="005E2AA5" w:rsidP="005E2AA5">
      <w:pPr>
        <w:pStyle w:val="TOC2"/>
      </w:pPr>
    </w:p>
    <w:p w:rsidR="005E2AA5" w:rsidRPr="00165C7E" w:rsidRDefault="005E2AA5" w:rsidP="005E2AA5">
      <w:pPr>
        <w:pStyle w:val="TOC2"/>
        <w:rPr>
          <w:rFonts w:eastAsiaTheme="minorEastAsia"/>
        </w:rPr>
      </w:pPr>
      <w:r w:rsidRPr="00165C7E">
        <w:t>A.14</w:t>
      </w:r>
      <w:r w:rsidRPr="00165C7E">
        <w:rPr>
          <w:rFonts w:eastAsiaTheme="minorEastAsia"/>
        </w:rPr>
        <w:tab/>
      </w:r>
      <w:r w:rsidRPr="00165C7E">
        <w:t>Annualized Cost to the Federal Government</w:t>
      </w:r>
      <w:r w:rsidRPr="00165C7E">
        <w:tab/>
      </w:r>
      <w:r w:rsidRPr="00165C7E">
        <w:tab/>
        <w:t>1</w:t>
      </w:r>
      <w:r w:rsidR="00B97F4F">
        <w:t>6</w:t>
      </w:r>
    </w:p>
    <w:p w:rsidR="005E2AA5" w:rsidRPr="00165C7E" w:rsidRDefault="005E2AA5" w:rsidP="005E2AA5">
      <w:pPr>
        <w:pStyle w:val="TOC2"/>
      </w:pPr>
    </w:p>
    <w:p w:rsidR="005E2AA5" w:rsidRPr="00165C7E" w:rsidRDefault="005E2AA5" w:rsidP="005E2AA5">
      <w:pPr>
        <w:pStyle w:val="TOC2"/>
        <w:rPr>
          <w:rFonts w:eastAsiaTheme="minorEastAsia"/>
        </w:rPr>
      </w:pPr>
      <w:r w:rsidRPr="00165C7E">
        <w:t>A.15</w:t>
      </w:r>
      <w:r w:rsidRPr="00165C7E">
        <w:rPr>
          <w:rFonts w:eastAsiaTheme="minorEastAsia"/>
        </w:rPr>
        <w:tab/>
      </w:r>
      <w:r w:rsidRPr="00165C7E">
        <w:t>Explanation for Pr</w:t>
      </w:r>
      <w:r w:rsidR="004438F2">
        <w:t>ogram Changes or Adjustments</w:t>
      </w:r>
      <w:r w:rsidR="004438F2">
        <w:tab/>
      </w:r>
      <w:r w:rsidR="004438F2">
        <w:tab/>
        <w:t>1</w:t>
      </w:r>
      <w:r w:rsidR="00B97F4F">
        <w:t>6</w:t>
      </w:r>
    </w:p>
    <w:p w:rsidR="005E2AA5" w:rsidRPr="00165C7E" w:rsidRDefault="005E2AA5" w:rsidP="005E2AA5">
      <w:pPr>
        <w:pStyle w:val="TOC2"/>
      </w:pPr>
    </w:p>
    <w:p w:rsidR="005E2AA5" w:rsidRPr="00165C7E" w:rsidRDefault="005E2AA5" w:rsidP="005E2AA5">
      <w:pPr>
        <w:pStyle w:val="TOC2"/>
        <w:rPr>
          <w:rFonts w:eastAsiaTheme="minorEastAsia"/>
        </w:rPr>
      </w:pPr>
      <w:r w:rsidRPr="00165C7E">
        <w:t>A.16</w:t>
      </w:r>
      <w:r w:rsidRPr="00165C7E">
        <w:rPr>
          <w:rFonts w:eastAsiaTheme="minorEastAsia"/>
        </w:rPr>
        <w:tab/>
      </w:r>
      <w:r w:rsidRPr="00165C7E">
        <w:t>Plans for Tabulation and Publication and Project Time Schedule</w:t>
      </w:r>
      <w:r w:rsidRPr="00165C7E">
        <w:tab/>
      </w:r>
      <w:r w:rsidRPr="00165C7E">
        <w:tab/>
        <w:t>16</w:t>
      </w:r>
    </w:p>
    <w:p w:rsidR="005E2AA5" w:rsidRPr="00165C7E" w:rsidRDefault="005E2AA5" w:rsidP="005E2AA5">
      <w:pPr>
        <w:pStyle w:val="TOC2"/>
        <w:rPr>
          <w:rFonts w:eastAsiaTheme="minorEastAsia"/>
        </w:rPr>
      </w:pPr>
      <w:r w:rsidRPr="00165C7E">
        <w:lastRenderedPageBreak/>
        <w:t>A.17</w:t>
      </w:r>
      <w:r w:rsidRPr="00165C7E">
        <w:rPr>
          <w:rFonts w:eastAsiaTheme="minorEastAsia"/>
        </w:rPr>
        <w:tab/>
      </w:r>
      <w:r w:rsidRPr="00165C7E">
        <w:t>Reason(s) Display of OMB Expiration Date is Inappropriate</w:t>
      </w:r>
      <w:r w:rsidRPr="00165C7E">
        <w:tab/>
      </w:r>
      <w:r w:rsidRPr="00165C7E">
        <w:tab/>
        <w:t>16</w:t>
      </w:r>
    </w:p>
    <w:p w:rsidR="005E2AA5" w:rsidRPr="00165C7E" w:rsidRDefault="005E2AA5" w:rsidP="005E2AA5">
      <w:pPr>
        <w:pStyle w:val="TOC2"/>
      </w:pPr>
    </w:p>
    <w:p w:rsidR="005E2AA5" w:rsidRPr="00165C7E" w:rsidRDefault="005E2AA5" w:rsidP="005E2AA5">
      <w:pPr>
        <w:pStyle w:val="TOC2"/>
        <w:rPr>
          <w:rFonts w:eastAsiaTheme="minorEastAsia"/>
        </w:rPr>
      </w:pPr>
      <w:r w:rsidRPr="00165C7E">
        <w:t>A.18</w:t>
      </w:r>
      <w:r w:rsidRPr="00165C7E">
        <w:rPr>
          <w:rFonts w:eastAsiaTheme="minorEastAsia"/>
        </w:rPr>
        <w:tab/>
      </w:r>
      <w:r w:rsidRPr="00165C7E">
        <w:t>Exceptions to Certification for Paperwork Reduction Act Submissions</w:t>
      </w:r>
      <w:r w:rsidRPr="00165C7E">
        <w:tab/>
      </w:r>
      <w:r w:rsidRPr="00165C7E">
        <w:tab/>
        <w:t>1</w:t>
      </w:r>
      <w:r w:rsidR="00B97F4F">
        <w:t>7</w:t>
      </w:r>
    </w:p>
    <w:p w:rsidR="005E2AA5" w:rsidRPr="00165C7E" w:rsidRDefault="005E2AA5" w:rsidP="005E2AA5">
      <w:pPr>
        <w:pStyle w:val="TOC5"/>
      </w:pPr>
    </w:p>
    <w:p w:rsidR="005E2AA5" w:rsidRPr="00165C7E" w:rsidRDefault="005E2AA5" w:rsidP="005E2AA5">
      <w:pPr>
        <w:pStyle w:val="C2-CtrSglSp"/>
        <w:jc w:val="left"/>
        <w:rPr>
          <w:b/>
        </w:rPr>
      </w:pPr>
      <w:r w:rsidRPr="00165C7E">
        <w:rPr>
          <w:b/>
        </w:rPr>
        <w:t>LIST OF TABLES</w:t>
      </w:r>
    </w:p>
    <w:p w:rsidR="005E2AA5" w:rsidRPr="00165C7E" w:rsidRDefault="005E2AA5" w:rsidP="005E2AA5">
      <w:pPr>
        <w:pStyle w:val="TOC5"/>
      </w:pPr>
    </w:p>
    <w:p w:rsidR="005E2AA5" w:rsidRPr="00165C7E" w:rsidRDefault="00E40BEE" w:rsidP="005E2AA5">
      <w:pPr>
        <w:pStyle w:val="TOC5"/>
        <w:rPr>
          <w:rFonts w:eastAsiaTheme="minorEastAsia"/>
        </w:rPr>
      </w:pPr>
      <w:r>
        <w:t>1</w:t>
      </w:r>
      <w:r w:rsidR="005E2AA5" w:rsidRPr="00165C7E">
        <w:rPr>
          <w:rFonts w:eastAsiaTheme="minorEastAsia"/>
        </w:rPr>
        <w:tab/>
      </w:r>
      <w:r w:rsidR="005E2AA5" w:rsidRPr="00165C7E">
        <w:t>Hour burden estimates for PATH Study methodological studies</w:t>
      </w:r>
      <w:r w:rsidR="005E2AA5" w:rsidRPr="00165C7E">
        <w:tab/>
      </w:r>
      <w:r w:rsidR="005E2AA5" w:rsidRPr="00165C7E">
        <w:tab/>
        <w:t>14</w:t>
      </w:r>
    </w:p>
    <w:p w:rsidR="005E2AA5" w:rsidRPr="00165C7E" w:rsidRDefault="005E2AA5" w:rsidP="005E2AA5">
      <w:pPr>
        <w:pStyle w:val="TOC5"/>
      </w:pPr>
    </w:p>
    <w:p w:rsidR="005E2AA5" w:rsidRPr="00165C7E" w:rsidRDefault="00E40BEE" w:rsidP="005E2AA5">
      <w:pPr>
        <w:pStyle w:val="TOC5"/>
        <w:rPr>
          <w:rFonts w:eastAsiaTheme="minorEastAsia"/>
        </w:rPr>
      </w:pPr>
      <w:r>
        <w:t>2</w:t>
      </w:r>
      <w:r w:rsidR="005E2AA5" w:rsidRPr="00165C7E">
        <w:rPr>
          <w:rFonts w:eastAsiaTheme="minorEastAsia"/>
        </w:rPr>
        <w:tab/>
      </w:r>
      <w:r w:rsidR="005E2AA5" w:rsidRPr="00165C7E">
        <w:t>Annualized cost to respondents for PATH Study methodological studies</w:t>
      </w:r>
      <w:r w:rsidR="005E2AA5" w:rsidRPr="00165C7E">
        <w:tab/>
      </w:r>
      <w:r w:rsidR="005E2AA5" w:rsidRPr="00165C7E">
        <w:tab/>
        <w:t>1</w:t>
      </w:r>
      <w:r w:rsidR="00B97F4F">
        <w:t>5</w:t>
      </w:r>
    </w:p>
    <w:p w:rsidR="005E2AA5" w:rsidRPr="00165C7E" w:rsidRDefault="005E2AA5"/>
    <w:p w:rsidR="005E2AA5" w:rsidRPr="00165C7E" w:rsidRDefault="005E2AA5"/>
    <w:p w:rsidR="00A23708" w:rsidRPr="00165C7E" w:rsidRDefault="00A23708" w:rsidP="00257CB6">
      <w:pPr>
        <w:pStyle w:val="C2-CtrSglSp"/>
        <w:jc w:val="left"/>
        <w:rPr>
          <w:b/>
        </w:rPr>
      </w:pPr>
      <w:r w:rsidRPr="00165C7E">
        <w:rPr>
          <w:b/>
        </w:rPr>
        <w:t>LIST OF ATTACHMENTS</w:t>
      </w:r>
    </w:p>
    <w:p w:rsidR="00A23708" w:rsidRPr="00165C7E" w:rsidRDefault="00A23708" w:rsidP="00257CB6">
      <w:pPr>
        <w:rPr>
          <w:b/>
        </w:rPr>
      </w:pPr>
      <w:r w:rsidRPr="00165C7E">
        <w:rPr>
          <w:b/>
        </w:rPr>
        <w:t>(In order of appearance in Supporting Statement A)</w:t>
      </w:r>
    </w:p>
    <w:p w:rsidR="00A23708" w:rsidRPr="00165C7E" w:rsidRDefault="00A23708" w:rsidP="00257CB6"/>
    <w:p w:rsidR="00280E16" w:rsidRPr="00165C7E" w:rsidRDefault="00280E16" w:rsidP="00257CB6">
      <w:pPr>
        <w:tabs>
          <w:tab w:val="left" w:pos="720"/>
          <w:tab w:val="left" w:pos="1440"/>
          <w:tab w:val="left" w:pos="2160"/>
          <w:tab w:val="left" w:pos="2880"/>
          <w:tab w:val="right" w:leader="dot" w:pos="8820"/>
        </w:tabs>
        <w:rPr>
          <w:color w:val="000000"/>
        </w:rPr>
      </w:pPr>
      <w:r w:rsidRPr="00165C7E">
        <w:rPr>
          <w:color w:val="000000"/>
        </w:rPr>
        <w:t xml:space="preserve">Attachment 1. </w:t>
      </w:r>
      <w:r w:rsidR="00E40BEE" w:rsidRPr="00165C7E">
        <w:t>Examples of potential methodological studies to inform the PATH Study</w:t>
      </w:r>
      <w:r w:rsidR="00E40BEE">
        <w:tab/>
      </w:r>
      <w:r w:rsidR="00B97F4F">
        <w:t>9</w:t>
      </w:r>
    </w:p>
    <w:p w:rsidR="00374672" w:rsidRPr="00165C7E" w:rsidRDefault="00374672" w:rsidP="00257CB6">
      <w:pPr>
        <w:tabs>
          <w:tab w:val="left" w:pos="720"/>
          <w:tab w:val="left" w:pos="1440"/>
          <w:tab w:val="left" w:pos="2160"/>
          <w:tab w:val="left" w:pos="2880"/>
          <w:tab w:val="right" w:leader="dot" w:pos="8820"/>
        </w:tabs>
        <w:rPr>
          <w:color w:val="000000"/>
        </w:rPr>
      </w:pPr>
    </w:p>
    <w:p w:rsidR="00944CD4" w:rsidRPr="00A1214F" w:rsidRDefault="00280E16" w:rsidP="00257CB6">
      <w:pPr>
        <w:tabs>
          <w:tab w:val="left" w:pos="720"/>
          <w:tab w:val="left" w:pos="1440"/>
          <w:tab w:val="left" w:pos="2160"/>
          <w:tab w:val="left" w:pos="2880"/>
          <w:tab w:val="right" w:leader="dot" w:pos="8820"/>
        </w:tabs>
        <w:rPr>
          <w:color w:val="000000"/>
        </w:rPr>
      </w:pPr>
      <w:r w:rsidRPr="00A1214F">
        <w:rPr>
          <w:color w:val="000000"/>
        </w:rPr>
        <w:t xml:space="preserve">Attachment </w:t>
      </w:r>
      <w:r w:rsidR="009F682C" w:rsidRPr="00A1214F">
        <w:rPr>
          <w:color w:val="000000"/>
        </w:rPr>
        <w:t>2</w:t>
      </w:r>
      <w:r w:rsidRPr="00A1214F">
        <w:rPr>
          <w:color w:val="000000"/>
        </w:rPr>
        <w:t>.</w:t>
      </w:r>
      <w:r w:rsidR="00944CD4" w:rsidRPr="00A1214F">
        <w:t xml:space="preserve"> Public Comments to 60-Day FRN</w:t>
      </w:r>
      <w:r w:rsidR="00944CD4" w:rsidRPr="00A1214F">
        <w:tab/>
      </w:r>
      <w:r w:rsidR="0033231A" w:rsidRPr="00A1214F">
        <w:t>1</w:t>
      </w:r>
      <w:r w:rsidR="00B97F4F" w:rsidRPr="00A1214F">
        <w:t>1</w:t>
      </w:r>
    </w:p>
    <w:p w:rsidR="00944CD4" w:rsidRPr="00A1214F" w:rsidRDefault="00944CD4" w:rsidP="00257CB6">
      <w:pPr>
        <w:tabs>
          <w:tab w:val="left" w:pos="720"/>
          <w:tab w:val="left" w:pos="1440"/>
          <w:tab w:val="left" w:pos="2160"/>
          <w:tab w:val="left" w:pos="2880"/>
          <w:tab w:val="right" w:leader="dot" w:pos="8820"/>
        </w:tabs>
        <w:rPr>
          <w:color w:val="000000"/>
        </w:rPr>
      </w:pPr>
    </w:p>
    <w:p w:rsidR="00374672" w:rsidRPr="00A1214F" w:rsidRDefault="00944CD4" w:rsidP="00257CB6">
      <w:pPr>
        <w:tabs>
          <w:tab w:val="left" w:pos="720"/>
          <w:tab w:val="left" w:pos="1440"/>
          <w:tab w:val="left" w:pos="2160"/>
          <w:tab w:val="left" w:pos="2880"/>
          <w:tab w:val="right" w:leader="dot" w:pos="8820"/>
        </w:tabs>
        <w:rPr>
          <w:color w:val="000000"/>
        </w:rPr>
      </w:pPr>
      <w:r w:rsidRPr="00A1214F">
        <w:rPr>
          <w:color w:val="000000"/>
        </w:rPr>
        <w:t xml:space="preserve">Attachment 3. </w:t>
      </w:r>
      <w:r w:rsidR="00D82014" w:rsidRPr="00A1214F">
        <w:rPr>
          <w:color w:val="000000"/>
        </w:rPr>
        <w:t>List of</w:t>
      </w:r>
      <w:r w:rsidR="00661302" w:rsidRPr="00A1214F">
        <w:rPr>
          <w:color w:val="000000"/>
        </w:rPr>
        <w:t xml:space="preserve"> </w:t>
      </w:r>
      <w:r w:rsidR="00CD09E2" w:rsidRPr="00A1214F">
        <w:rPr>
          <w:color w:val="000000"/>
        </w:rPr>
        <w:t>consultants</w:t>
      </w:r>
      <w:r w:rsidR="00D65B63" w:rsidRPr="00A1214F">
        <w:tab/>
      </w:r>
      <w:r w:rsidR="00165C7E" w:rsidRPr="00A1214F">
        <w:t>1</w:t>
      </w:r>
      <w:r w:rsidR="00B97F4F" w:rsidRPr="00A1214F">
        <w:t>1</w:t>
      </w:r>
    </w:p>
    <w:p w:rsidR="00575E44" w:rsidRPr="00A1214F" w:rsidRDefault="00575E44" w:rsidP="00257CB6">
      <w:pPr>
        <w:tabs>
          <w:tab w:val="left" w:pos="720"/>
          <w:tab w:val="left" w:pos="1440"/>
          <w:tab w:val="left" w:pos="2160"/>
          <w:tab w:val="left" w:pos="2880"/>
          <w:tab w:val="right" w:leader="dot" w:pos="8820"/>
        </w:tabs>
        <w:rPr>
          <w:color w:val="000000"/>
        </w:rPr>
      </w:pPr>
    </w:p>
    <w:p w:rsidR="0039596F" w:rsidRPr="00A1214F" w:rsidRDefault="00280E16" w:rsidP="00257CB6">
      <w:pPr>
        <w:tabs>
          <w:tab w:val="left" w:pos="720"/>
          <w:tab w:val="left" w:pos="1440"/>
          <w:tab w:val="left" w:pos="2160"/>
          <w:tab w:val="left" w:pos="2880"/>
          <w:tab w:val="right" w:leader="dot" w:pos="8820"/>
        </w:tabs>
        <w:rPr>
          <w:color w:val="000000"/>
        </w:rPr>
      </w:pPr>
      <w:r w:rsidRPr="00A1214F">
        <w:rPr>
          <w:color w:val="000000"/>
        </w:rPr>
        <w:t xml:space="preserve">Attachment </w:t>
      </w:r>
      <w:r w:rsidR="00944CD4" w:rsidRPr="00A1214F">
        <w:rPr>
          <w:color w:val="000000"/>
        </w:rPr>
        <w:t>4</w:t>
      </w:r>
      <w:r w:rsidRPr="00A1214F">
        <w:rPr>
          <w:color w:val="000000"/>
        </w:rPr>
        <w:t xml:space="preserve">. </w:t>
      </w:r>
      <w:r w:rsidR="0039596F" w:rsidRPr="00A1214F">
        <w:rPr>
          <w:color w:val="000000"/>
        </w:rPr>
        <w:t>Certificate of Confidentiality</w:t>
      </w:r>
      <w:r w:rsidR="00D65B63" w:rsidRPr="00A1214F">
        <w:tab/>
      </w:r>
      <w:r w:rsidR="00165C7E" w:rsidRPr="00A1214F">
        <w:t>12</w:t>
      </w:r>
    </w:p>
    <w:p w:rsidR="0039596F" w:rsidRPr="00A1214F" w:rsidRDefault="0039596F" w:rsidP="00257CB6">
      <w:pPr>
        <w:tabs>
          <w:tab w:val="left" w:pos="720"/>
          <w:tab w:val="left" w:pos="1440"/>
          <w:tab w:val="left" w:pos="2160"/>
          <w:tab w:val="left" w:pos="2880"/>
          <w:tab w:val="right" w:leader="dot" w:pos="8820"/>
        </w:tabs>
        <w:rPr>
          <w:color w:val="000000"/>
        </w:rPr>
      </w:pPr>
    </w:p>
    <w:p w:rsidR="00880BFD" w:rsidRPr="0033231A" w:rsidRDefault="0039596F" w:rsidP="00257CB6">
      <w:pPr>
        <w:tabs>
          <w:tab w:val="left" w:pos="720"/>
          <w:tab w:val="left" w:pos="1440"/>
          <w:tab w:val="left" w:pos="2160"/>
          <w:tab w:val="left" w:pos="2880"/>
          <w:tab w:val="right" w:leader="dot" w:pos="8820"/>
        </w:tabs>
      </w:pPr>
      <w:r w:rsidRPr="00A1214F">
        <w:rPr>
          <w:color w:val="000000"/>
        </w:rPr>
        <w:t xml:space="preserve">Attachment </w:t>
      </w:r>
      <w:r w:rsidR="00944CD4" w:rsidRPr="00A1214F">
        <w:rPr>
          <w:color w:val="000000"/>
        </w:rPr>
        <w:t>5</w:t>
      </w:r>
      <w:r w:rsidRPr="00A1214F">
        <w:rPr>
          <w:color w:val="000000"/>
        </w:rPr>
        <w:t xml:space="preserve">. </w:t>
      </w:r>
      <w:r w:rsidR="00D82014" w:rsidRPr="00A1214F">
        <w:rPr>
          <w:color w:val="000000"/>
        </w:rPr>
        <w:t xml:space="preserve">NIH </w:t>
      </w:r>
      <w:r w:rsidR="00CD09E2" w:rsidRPr="00A1214F">
        <w:rPr>
          <w:color w:val="000000"/>
        </w:rPr>
        <w:t>Privacy Act</w:t>
      </w:r>
      <w:r w:rsidR="00E40BEE" w:rsidRPr="00A1214F">
        <w:rPr>
          <w:color w:val="000000"/>
        </w:rPr>
        <w:t xml:space="preserve"> and </w:t>
      </w:r>
      <w:r w:rsidR="00CD09E2" w:rsidRPr="00A1214F">
        <w:rPr>
          <w:color w:val="000000"/>
        </w:rPr>
        <w:t>S</w:t>
      </w:r>
      <w:r w:rsidR="00D82014" w:rsidRPr="00A1214F">
        <w:rPr>
          <w:color w:val="000000"/>
        </w:rPr>
        <w:t>ystems of Record Notice</w:t>
      </w:r>
      <w:r w:rsidR="00E40BEE" w:rsidRPr="00A1214F">
        <w:rPr>
          <w:color w:val="000000"/>
        </w:rPr>
        <w:t xml:space="preserve"> (SORN)</w:t>
      </w:r>
      <w:r w:rsidR="00D65B63" w:rsidRPr="00A1214F">
        <w:tab/>
      </w:r>
      <w:r w:rsidR="00165C7E" w:rsidRPr="00A1214F">
        <w:t>13</w:t>
      </w:r>
    </w:p>
    <w:p w:rsidR="009F682C" w:rsidRPr="0033231A" w:rsidRDefault="009F682C" w:rsidP="00257CB6">
      <w:pPr>
        <w:tabs>
          <w:tab w:val="left" w:pos="720"/>
          <w:tab w:val="left" w:pos="1440"/>
          <w:tab w:val="left" w:pos="2160"/>
          <w:tab w:val="left" w:pos="2880"/>
          <w:tab w:val="right" w:leader="dot" w:pos="8820"/>
        </w:tabs>
      </w:pPr>
    </w:p>
    <w:p w:rsidR="009F682C" w:rsidRPr="00165C7E" w:rsidRDefault="009F682C" w:rsidP="00257CB6">
      <w:pPr>
        <w:tabs>
          <w:tab w:val="left" w:pos="720"/>
          <w:tab w:val="left" w:pos="1440"/>
          <w:tab w:val="left" w:pos="2160"/>
          <w:tab w:val="left" w:pos="2880"/>
          <w:tab w:val="right" w:leader="dot" w:pos="8820"/>
        </w:tabs>
        <w:rPr>
          <w:color w:val="000000"/>
        </w:rPr>
      </w:pPr>
      <w:r w:rsidRPr="0033231A">
        <w:t xml:space="preserve">Attachment </w:t>
      </w:r>
      <w:r w:rsidR="00944CD4" w:rsidRPr="0033231A">
        <w:t>6</w:t>
      </w:r>
      <w:r w:rsidRPr="0033231A">
        <w:t>. Privacy Impact Assessments</w:t>
      </w:r>
      <w:r w:rsidR="00B97F4F" w:rsidRPr="0033231A">
        <w:tab/>
      </w:r>
      <w:r w:rsidRPr="0033231A">
        <w:t>13</w:t>
      </w:r>
    </w:p>
    <w:p w:rsidR="00A23708" w:rsidRPr="00165C7E" w:rsidRDefault="00A23708" w:rsidP="00257CB6">
      <w:pPr>
        <w:tabs>
          <w:tab w:val="left" w:pos="720"/>
          <w:tab w:val="left" w:pos="1440"/>
          <w:tab w:val="left" w:pos="2160"/>
          <w:tab w:val="left" w:pos="2880"/>
          <w:tab w:val="right" w:leader="dot" w:pos="8820"/>
        </w:tabs>
        <w:rPr>
          <w:color w:val="000000"/>
        </w:rPr>
      </w:pPr>
    </w:p>
    <w:p w:rsidR="00CD09E2" w:rsidRPr="00165C7E" w:rsidRDefault="00CD09E2" w:rsidP="00257CB6">
      <w:pPr>
        <w:tabs>
          <w:tab w:val="left" w:pos="720"/>
          <w:tab w:val="left" w:pos="1440"/>
          <w:tab w:val="left" w:pos="2160"/>
          <w:tab w:val="left" w:pos="2880"/>
          <w:tab w:val="right" w:leader="dot" w:pos="8820"/>
        </w:tabs>
        <w:rPr>
          <w:color w:val="000000"/>
        </w:rPr>
        <w:sectPr w:rsidR="00CD09E2" w:rsidRPr="00165C7E" w:rsidSect="00A23708">
          <w:footerReference w:type="default" r:id="rId11"/>
          <w:pgSz w:w="12240" w:h="15840"/>
          <w:pgMar w:top="1440" w:right="1440" w:bottom="1440" w:left="1440" w:header="720" w:footer="576" w:gutter="0"/>
          <w:pgNumType w:fmt="lowerRoman" w:start="3"/>
          <w:cols w:space="720"/>
          <w:docGrid w:linePitch="360"/>
        </w:sectPr>
      </w:pPr>
    </w:p>
    <w:p w:rsidR="002F7ABC" w:rsidRPr="00165C7E" w:rsidRDefault="002F7ABC" w:rsidP="005661E2">
      <w:pPr>
        <w:pStyle w:val="Heading1"/>
        <w:ind w:left="0" w:firstLine="0"/>
      </w:pPr>
      <w:r w:rsidRPr="00165C7E">
        <w:lastRenderedPageBreak/>
        <w:t>A.</w:t>
      </w:r>
      <w:r w:rsidRPr="00165C7E">
        <w:tab/>
        <w:t>Justification</w:t>
      </w:r>
    </w:p>
    <w:p w:rsidR="00F361EE" w:rsidRPr="00165C7E" w:rsidRDefault="00F361EE" w:rsidP="00257CB6">
      <w:pPr>
        <w:pStyle w:val="Heading2"/>
      </w:pPr>
      <w:r w:rsidRPr="00165C7E">
        <w:t>A.1</w:t>
      </w:r>
      <w:r w:rsidR="00C82C56" w:rsidRPr="00165C7E">
        <w:tab/>
      </w:r>
      <w:r w:rsidRPr="00165C7E">
        <w:t>Circumstances Making the Collection of Information Necessary</w:t>
      </w:r>
    </w:p>
    <w:p w:rsidR="00A23708" w:rsidRPr="00165C7E" w:rsidRDefault="002808ED" w:rsidP="00257CB6">
      <w:pPr>
        <w:pStyle w:val="L1-FlLSp12"/>
      </w:pPr>
      <w:r w:rsidRPr="00165C7E">
        <w:t xml:space="preserve">This request is for Office of Management and Budget (OMB) approval for </w:t>
      </w:r>
      <w:r w:rsidR="00DE3FCE" w:rsidRPr="00165C7E">
        <w:t xml:space="preserve">methodological studies </w:t>
      </w:r>
      <w:r w:rsidR="00F361EE" w:rsidRPr="00165C7E">
        <w:t>in</w:t>
      </w:r>
      <w:r w:rsidRPr="00165C7E">
        <w:t xml:space="preserve"> the Population Assessment of Tobacco and Health (PATH) </w:t>
      </w:r>
      <w:r w:rsidR="009F682C">
        <w:t>S</w:t>
      </w:r>
      <w:r w:rsidRPr="00165C7E">
        <w:t>tudy.</w:t>
      </w:r>
      <w:r w:rsidR="00A23708" w:rsidRPr="00165C7E">
        <w:t xml:space="preserve"> </w:t>
      </w:r>
      <w:r w:rsidR="00B75A3D" w:rsidRPr="00165C7E">
        <w:t>T</w:t>
      </w:r>
      <w:r w:rsidRPr="00165C7E">
        <w:t>he National Institutes of Health (NIH), through the National Institute on Drug Abuse (NIDA</w:t>
      </w:r>
      <w:r w:rsidR="005810F5" w:rsidRPr="00165C7E">
        <w:t>)</w:t>
      </w:r>
      <w:r w:rsidR="008E08F1" w:rsidRPr="00165C7E">
        <w:t xml:space="preserve"> and</w:t>
      </w:r>
      <w:r w:rsidR="005810F5" w:rsidRPr="00165C7E">
        <w:t xml:space="preserve"> in partnership with the Food and Drug Administration</w:t>
      </w:r>
      <w:r w:rsidR="00C87CE3" w:rsidRPr="00165C7E">
        <w:t>’s</w:t>
      </w:r>
      <w:r w:rsidR="005810F5" w:rsidRPr="00165C7E">
        <w:t xml:space="preserve"> (FDA</w:t>
      </w:r>
      <w:r w:rsidR="00C87CE3" w:rsidRPr="00165C7E">
        <w:t>’s</w:t>
      </w:r>
      <w:r w:rsidRPr="00165C7E">
        <w:t>)</w:t>
      </w:r>
      <w:r w:rsidR="002075E9" w:rsidRPr="00165C7E">
        <w:t xml:space="preserve"> Center on Tobacco Products</w:t>
      </w:r>
      <w:r w:rsidR="00B75A3D" w:rsidRPr="00165C7E">
        <w:t xml:space="preserve">, is </w:t>
      </w:r>
      <w:r w:rsidR="00C87CE3" w:rsidRPr="00165C7E">
        <w:t xml:space="preserve">overseeing </w:t>
      </w:r>
      <w:r w:rsidR="00B75A3D" w:rsidRPr="00165C7E">
        <w:t xml:space="preserve">the </w:t>
      </w:r>
      <w:r w:rsidR="00661302" w:rsidRPr="00165C7E">
        <w:t>PATH Study</w:t>
      </w:r>
      <w:r w:rsidR="00B75A3D" w:rsidRPr="00165C7E">
        <w:t>.</w:t>
      </w:r>
      <w:r w:rsidR="00A23708" w:rsidRPr="00165C7E">
        <w:t xml:space="preserve"> </w:t>
      </w:r>
      <w:r w:rsidRPr="00165C7E">
        <w:t>This is a new</w:t>
      </w:r>
      <w:r w:rsidR="001A566D" w:rsidRPr="00165C7E">
        <w:t xml:space="preserve"> 3-year clearance request</w:t>
      </w:r>
      <w:r w:rsidR="00577BEB" w:rsidRPr="00165C7E">
        <w:t xml:space="preserve"> for methodological studies</w:t>
      </w:r>
      <w:r w:rsidR="00B35F6D" w:rsidRPr="00165C7E">
        <w:t xml:space="preserve"> </w:t>
      </w:r>
      <w:r w:rsidR="00C7740D" w:rsidRPr="00165C7E">
        <w:t>that will</w:t>
      </w:r>
      <w:r w:rsidR="00B35F6D" w:rsidRPr="00165C7E">
        <w:t xml:space="preserve"> support the </w:t>
      </w:r>
      <w:r w:rsidR="00661302" w:rsidRPr="00165C7E">
        <w:t>PATH Study</w:t>
      </w:r>
      <w:r w:rsidR="001A566D" w:rsidRPr="00165C7E">
        <w:t>.</w:t>
      </w:r>
    </w:p>
    <w:p w:rsidR="0033450C" w:rsidRPr="00165C7E" w:rsidRDefault="0033450C" w:rsidP="00257CB6">
      <w:pPr>
        <w:pStyle w:val="L1-FlLSp12"/>
        <w:rPr>
          <w:i/>
        </w:rPr>
      </w:pPr>
    </w:p>
    <w:p w:rsidR="001F534E" w:rsidRPr="00165C7E" w:rsidRDefault="00E17EF4" w:rsidP="001F534E">
      <w:pPr>
        <w:pStyle w:val="L1-FlLSp12"/>
      </w:pPr>
      <w:r w:rsidRPr="00165C7E">
        <w:rPr>
          <w:b/>
        </w:rPr>
        <w:t>The PATH Study</w:t>
      </w:r>
      <w:r w:rsidR="002B4545" w:rsidRPr="00165C7E">
        <w:rPr>
          <w:b/>
        </w:rPr>
        <w:t>.</w:t>
      </w:r>
      <w:r w:rsidR="002B4545" w:rsidRPr="00165C7E">
        <w:rPr>
          <w:i/>
        </w:rPr>
        <w:t xml:space="preserve"> </w:t>
      </w:r>
      <w:r w:rsidR="001F534E" w:rsidRPr="00165C7E">
        <w:t xml:space="preserve">On June 22, 2009, the Family Smoking Prevention and Tobacco Control Act (FSPTCA) was signed into law, authorizing the FDA to regulate tobacco product advertising, labeling, marketing, constituents, ingredients, and additives. A major goal of the PATH Study is to establish a science framework for </w:t>
      </w:r>
      <w:r w:rsidR="00AA0873" w:rsidRPr="00A2734E">
        <w:t xml:space="preserve">FDA’s tracking of potential behavioral and health impacts </w:t>
      </w:r>
      <w:r w:rsidR="00AA0873">
        <w:t>associated with changes in tobacco products</w:t>
      </w:r>
      <w:r w:rsidR="00CA0F71">
        <w:t xml:space="preserve"> in the U.S.</w:t>
      </w:r>
      <w:r w:rsidR="00AA0873">
        <w:t>, including those enacted under the FSPTCA.</w:t>
      </w:r>
      <w:r w:rsidR="00AA0873" w:rsidRPr="00A2734E">
        <w:t xml:space="preserve"> </w:t>
      </w:r>
      <w:r w:rsidR="001F534E" w:rsidRPr="00165C7E">
        <w:t>The major objectives and requirements of the PATH Study are covered by the study’s main information clearance request</w:t>
      </w:r>
      <w:r w:rsidR="008B06F2">
        <w:t xml:space="preserve"> </w:t>
      </w:r>
      <w:r w:rsidR="00E06F0C">
        <w:t xml:space="preserve">approved by OMB on 11/27/2012 </w:t>
      </w:r>
      <w:r w:rsidR="008B06F2">
        <w:t>(OMB Control No. 0925-0664)</w:t>
      </w:r>
      <w:r w:rsidR="001F534E" w:rsidRPr="00165C7E">
        <w:t xml:space="preserve">; a separate generic clearance for cognitive testing was </w:t>
      </w:r>
      <w:r w:rsidR="008B06F2">
        <w:t xml:space="preserve">approved </w:t>
      </w:r>
      <w:r w:rsidR="00E06F0C">
        <w:t xml:space="preserve">by OMB on 11/27/2012 </w:t>
      </w:r>
      <w:r w:rsidR="008B06F2">
        <w:t xml:space="preserve">(OMB Control No. </w:t>
      </w:r>
      <w:r w:rsidR="00E06F0C">
        <w:t xml:space="preserve">0925-0663) </w:t>
      </w:r>
      <w:r w:rsidR="001F534E" w:rsidRPr="00165C7E">
        <w:t xml:space="preserve">to support the cognitive testing needs of the </w:t>
      </w:r>
      <w:r w:rsidR="00207687">
        <w:t>PATH</w:t>
      </w:r>
      <w:r w:rsidR="00207687" w:rsidRPr="00165C7E">
        <w:t xml:space="preserve"> </w:t>
      </w:r>
      <w:r w:rsidR="00207687">
        <w:t>S</w:t>
      </w:r>
      <w:r w:rsidR="001F534E" w:rsidRPr="00165C7E">
        <w:t>tudy.</w:t>
      </w:r>
      <w:r w:rsidR="006E6839" w:rsidRPr="00165C7E">
        <w:t xml:space="preserve"> </w:t>
      </w:r>
    </w:p>
    <w:p w:rsidR="001F534E" w:rsidRPr="00165C7E" w:rsidRDefault="001F534E" w:rsidP="00257CB6">
      <w:pPr>
        <w:pStyle w:val="L1-FlLSp12"/>
      </w:pPr>
    </w:p>
    <w:p w:rsidR="00976627" w:rsidRDefault="00A7154E" w:rsidP="00257CB6">
      <w:pPr>
        <w:pStyle w:val="L1-FlLSp12"/>
      </w:pPr>
      <w:r w:rsidRPr="00165C7E">
        <w:t>Under data collection authorization of Title 42 USC 285</w:t>
      </w:r>
      <w:r w:rsidR="00DA29E2" w:rsidRPr="00165C7E">
        <w:t>o</w:t>
      </w:r>
      <w:r w:rsidR="007C7AC3" w:rsidRPr="00165C7E">
        <w:t>,</w:t>
      </w:r>
      <w:r w:rsidRPr="00165C7E">
        <w:t xml:space="preserve"> </w:t>
      </w:r>
      <w:r w:rsidR="00C87CE3" w:rsidRPr="00165C7E">
        <w:t xml:space="preserve">NIDA, in partnership with FDA, awarded the contract to conduct </w:t>
      </w:r>
      <w:r w:rsidR="00C80A95" w:rsidRPr="00165C7E">
        <w:t xml:space="preserve">the </w:t>
      </w:r>
      <w:r w:rsidR="00661302" w:rsidRPr="00165C7E">
        <w:t>PATH Study</w:t>
      </w:r>
      <w:r w:rsidR="00C80A95" w:rsidRPr="00165C7E">
        <w:t xml:space="preserve"> </w:t>
      </w:r>
      <w:r w:rsidR="00C87CE3" w:rsidRPr="00165C7E">
        <w:t xml:space="preserve">to </w:t>
      </w:r>
      <w:r w:rsidRPr="00165C7E">
        <w:t xml:space="preserve">Westat, </w:t>
      </w:r>
      <w:r w:rsidR="00DC7506" w:rsidRPr="00165C7E">
        <w:t>(the prime contractor)</w:t>
      </w:r>
      <w:r w:rsidRPr="00165C7E">
        <w:t>.</w:t>
      </w:r>
      <w:r w:rsidR="00A23708" w:rsidRPr="00165C7E">
        <w:t xml:space="preserve"> </w:t>
      </w:r>
      <w:r w:rsidR="00976627" w:rsidRPr="00165C7E">
        <w:t>T</w:t>
      </w:r>
      <w:r w:rsidRPr="00165C7E">
        <w:t>h</w:t>
      </w:r>
      <w:r w:rsidR="005533E0" w:rsidRPr="00165C7E">
        <w:t>is longitudinal cohort</w:t>
      </w:r>
      <w:r w:rsidR="000E5E5F" w:rsidRPr="00165C7E">
        <w:t xml:space="preserve"> </w:t>
      </w:r>
      <w:r w:rsidRPr="00165C7E">
        <w:t xml:space="preserve">study will </w:t>
      </w:r>
      <w:r w:rsidR="00976627" w:rsidRPr="00165C7E">
        <w:t xml:space="preserve">use computer-assisted interviews to </w:t>
      </w:r>
      <w:r w:rsidRPr="00165C7E">
        <w:t>collect baseline and follow-up information on tobacco-use patterns; trends in risk perceptions and attitudes regarding harmful constituents</w:t>
      </w:r>
      <w:r w:rsidR="002B4545" w:rsidRPr="00165C7E">
        <w:t xml:space="preserve"> and new and emerging </w:t>
      </w:r>
      <w:r w:rsidR="008E08F1" w:rsidRPr="00165C7E">
        <w:t xml:space="preserve">tobacco </w:t>
      </w:r>
      <w:r w:rsidR="002B4545" w:rsidRPr="00165C7E">
        <w:t>products</w:t>
      </w:r>
      <w:r w:rsidRPr="00165C7E">
        <w:t xml:space="preserve">; </w:t>
      </w:r>
      <w:r w:rsidR="000E12A4" w:rsidRPr="00165C7E">
        <w:t xml:space="preserve">and </w:t>
      </w:r>
      <w:r w:rsidRPr="00165C7E">
        <w:t>tobacco</w:t>
      </w:r>
      <w:r w:rsidR="008E08F1" w:rsidRPr="00165C7E">
        <w:t>-use</w:t>
      </w:r>
      <w:r w:rsidRPr="00165C7E">
        <w:t xml:space="preserve"> initiation, cessation</w:t>
      </w:r>
      <w:r w:rsidR="00236908" w:rsidRPr="00165C7E">
        <w:t>,</w:t>
      </w:r>
      <w:r w:rsidRPr="00165C7E">
        <w:t xml:space="preserve"> and relapse behaviors</w:t>
      </w:r>
      <w:r w:rsidR="002B4545" w:rsidRPr="00165C7E">
        <w:t xml:space="preserve"> </w:t>
      </w:r>
      <w:r w:rsidRPr="00165C7E">
        <w:t xml:space="preserve">among </w:t>
      </w:r>
      <w:r w:rsidR="002B4545" w:rsidRPr="00165C7E">
        <w:t xml:space="preserve">youth aged 12-17 and </w:t>
      </w:r>
      <w:r w:rsidRPr="00165C7E">
        <w:t>adults ages 18 and older</w:t>
      </w:r>
      <w:r w:rsidR="002B4545" w:rsidRPr="00165C7E">
        <w:t>.</w:t>
      </w:r>
      <w:r w:rsidR="00A23708" w:rsidRPr="00165C7E">
        <w:t xml:space="preserve"> </w:t>
      </w:r>
      <w:r w:rsidR="002B4545" w:rsidRPr="00165C7E">
        <w:t xml:space="preserve">The </w:t>
      </w:r>
      <w:r w:rsidR="00661302" w:rsidRPr="00165C7E">
        <w:t>PATH Study</w:t>
      </w:r>
      <w:r w:rsidR="002B4545" w:rsidRPr="00165C7E">
        <w:t xml:space="preserve"> will also </w:t>
      </w:r>
      <w:r w:rsidR="00976627" w:rsidRPr="00165C7E">
        <w:t xml:space="preserve">collect biospecimens (buccal cells, urine, and blood) from consenting adults to </w:t>
      </w:r>
      <w:r w:rsidR="002B4545" w:rsidRPr="00165C7E">
        <w:t>examine</w:t>
      </w:r>
      <w:r w:rsidRPr="00165C7E">
        <w:t xml:space="preserve"> intermediate endpoints and incident health outcomes associated with tobacco-use and related disease processes</w:t>
      </w:r>
      <w:r w:rsidR="00976627" w:rsidRPr="00165C7E">
        <w:t>.</w:t>
      </w:r>
      <w:r w:rsidR="00A23708" w:rsidRPr="00165C7E">
        <w:t xml:space="preserve"> </w:t>
      </w:r>
      <w:r w:rsidR="005533E0" w:rsidRPr="00165C7E">
        <w:t xml:space="preserve">The planned sample size is </w:t>
      </w:r>
      <w:r w:rsidR="00E06F0C">
        <w:t xml:space="preserve">approximately </w:t>
      </w:r>
      <w:r w:rsidR="00EF5786" w:rsidRPr="00165C7E">
        <w:t>59,</w:t>
      </w:r>
      <w:r w:rsidR="00E06F0C">
        <w:t>800</w:t>
      </w:r>
      <w:r w:rsidR="00EF5786" w:rsidRPr="00165C7E">
        <w:t xml:space="preserve"> (42,730 adults and 1</w:t>
      </w:r>
      <w:r w:rsidR="00E06F0C">
        <w:t>7</w:t>
      </w:r>
      <w:r w:rsidR="00EF5786" w:rsidRPr="00165C7E">
        <w:t>,</w:t>
      </w:r>
      <w:r w:rsidR="00134CD1">
        <w:t xml:space="preserve"> </w:t>
      </w:r>
      <w:r w:rsidR="00E06F0C">
        <w:t>070</w:t>
      </w:r>
      <w:r w:rsidR="00EF5786" w:rsidRPr="00165C7E">
        <w:t xml:space="preserve"> youth).</w:t>
      </w:r>
      <w:r w:rsidR="005533E0" w:rsidRPr="00165C7E">
        <w:t xml:space="preserve"> </w:t>
      </w:r>
      <w:r w:rsidRPr="00165C7E">
        <w:t>The target population is the civilian non-institutionalized population in the United States (U.S.), including Alaska and Hawaii</w:t>
      </w:r>
      <w:r w:rsidR="002B76DE" w:rsidRPr="00165C7E">
        <w:t>; and will</w:t>
      </w:r>
      <w:r w:rsidRPr="00165C7E">
        <w:t xml:space="preserve"> </w:t>
      </w:r>
      <w:r w:rsidR="002B76DE" w:rsidRPr="00165C7E">
        <w:t>i</w:t>
      </w:r>
      <w:r w:rsidRPr="00165C7E">
        <w:t xml:space="preserve">nclude persons </w:t>
      </w:r>
      <w:r w:rsidR="00134CD1">
        <w:t xml:space="preserve">(excluding active duty military) </w:t>
      </w:r>
      <w:r w:rsidRPr="00165C7E">
        <w:t>living in households</w:t>
      </w:r>
      <w:r w:rsidR="00134CD1">
        <w:t>.</w:t>
      </w:r>
      <w:r w:rsidRPr="00165C7E">
        <w:t xml:space="preserve"> </w:t>
      </w:r>
    </w:p>
    <w:p w:rsidR="00134CD1" w:rsidRPr="00165C7E" w:rsidRDefault="00134CD1" w:rsidP="00257CB6">
      <w:pPr>
        <w:pStyle w:val="L1-FlLSp12"/>
      </w:pPr>
    </w:p>
    <w:p w:rsidR="006E6839" w:rsidRPr="00165C7E" w:rsidRDefault="001F534E" w:rsidP="001F534E">
      <w:pPr>
        <w:pStyle w:val="L1-FlLSp12"/>
      </w:pPr>
      <w:r w:rsidRPr="00165C7E">
        <w:t xml:space="preserve">The </w:t>
      </w:r>
      <w:r w:rsidR="00134CD1">
        <w:t xml:space="preserve">first annual field test for </w:t>
      </w:r>
      <w:r w:rsidRPr="00165C7E">
        <w:t xml:space="preserve">the PATH Study </w:t>
      </w:r>
      <w:r w:rsidR="00134CD1">
        <w:t xml:space="preserve">began in the fall of 2012; the </w:t>
      </w:r>
      <w:r w:rsidR="00134CD1" w:rsidRPr="00165C7E">
        <w:t xml:space="preserve">first (baseline) annual wave of data and biospecimen collection </w:t>
      </w:r>
      <w:r w:rsidR="00134CD1">
        <w:t xml:space="preserve">for the study is scheduled to begin </w:t>
      </w:r>
      <w:r w:rsidRPr="00165C7E">
        <w:t xml:space="preserve">in September 2013. </w:t>
      </w:r>
      <w:r w:rsidR="00134CD1">
        <w:t xml:space="preserve"> </w:t>
      </w:r>
      <w:r w:rsidRPr="00165C7E">
        <w:t xml:space="preserve">It </w:t>
      </w:r>
      <w:r w:rsidRPr="00165C7E">
        <w:lastRenderedPageBreak/>
        <w:t xml:space="preserve">will be followed immediately by the second annual field test and wave of data and biospecimen collection, then by the third, then the fourth, with the expectation of continuing to follow participants for at least </w:t>
      </w:r>
      <w:r w:rsidR="00437DEC" w:rsidRPr="00165C7E">
        <w:t>3</w:t>
      </w:r>
      <w:r w:rsidRPr="00165C7E">
        <w:t xml:space="preserve"> years.</w:t>
      </w:r>
    </w:p>
    <w:p w:rsidR="001F534E" w:rsidRPr="00165C7E" w:rsidRDefault="001F534E" w:rsidP="00257CB6">
      <w:pPr>
        <w:pStyle w:val="L1-FlLSp12"/>
      </w:pPr>
    </w:p>
    <w:p w:rsidR="00D77A37" w:rsidRPr="00165C7E" w:rsidRDefault="002075E9" w:rsidP="00257CB6">
      <w:pPr>
        <w:pStyle w:val="L1-FlLSp12"/>
      </w:pPr>
      <w:r w:rsidRPr="00165C7E">
        <w:rPr>
          <w:b/>
        </w:rPr>
        <w:t>M</w:t>
      </w:r>
      <w:r w:rsidR="00644408" w:rsidRPr="00165C7E">
        <w:rPr>
          <w:b/>
        </w:rPr>
        <w:t xml:space="preserve">ethodological Studies. </w:t>
      </w:r>
      <w:r w:rsidR="00DB6F82" w:rsidRPr="00165C7E">
        <w:t xml:space="preserve">Given that the </w:t>
      </w:r>
      <w:r w:rsidR="00661302" w:rsidRPr="00165C7E">
        <w:t>PATH Study</w:t>
      </w:r>
      <w:r w:rsidR="00DB6F82" w:rsidRPr="00165C7E">
        <w:t xml:space="preserve"> is a national longitudinal cohort study that involves annual follow-up of study participants, its methods </w:t>
      </w:r>
      <w:r w:rsidR="002E56A3" w:rsidRPr="00165C7E">
        <w:t>require ongoing</w:t>
      </w:r>
      <w:r w:rsidR="00DB6F82" w:rsidRPr="00165C7E">
        <w:t xml:space="preserve"> assess</w:t>
      </w:r>
      <w:r w:rsidR="002E56A3" w:rsidRPr="00165C7E">
        <w:t xml:space="preserve">ment </w:t>
      </w:r>
      <w:r w:rsidR="00DB6F82" w:rsidRPr="00165C7E">
        <w:t xml:space="preserve">and </w:t>
      </w:r>
      <w:r w:rsidR="00134CD1">
        <w:t>refinement</w:t>
      </w:r>
      <w:r w:rsidR="002E56A3" w:rsidRPr="00165C7E">
        <w:t xml:space="preserve"> </w:t>
      </w:r>
      <w:r w:rsidR="00DB6F82" w:rsidRPr="00165C7E">
        <w:t xml:space="preserve">to assure </w:t>
      </w:r>
      <w:r w:rsidR="002E56A3" w:rsidRPr="00165C7E">
        <w:t xml:space="preserve">the study </w:t>
      </w:r>
      <w:r w:rsidR="00DB6F82" w:rsidRPr="00165C7E">
        <w:t>is</w:t>
      </w:r>
      <w:r w:rsidR="002E56A3" w:rsidRPr="00165C7E">
        <w:t xml:space="preserve"> </w:t>
      </w:r>
      <w:r w:rsidR="00E15619" w:rsidRPr="00165C7E">
        <w:t xml:space="preserve">achieving </w:t>
      </w:r>
      <w:r w:rsidR="00DB6F82" w:rsidRPr="00165C7E">
        <w:t>its</w:t>
      </w:r>
      <w:r w:rsidR="002E56A3" w:rsidRPr="00165C7E">
        <w:t xml:space="preserve"> </w:t>
      </w:r>
      <w:r w:rsidR="00DB6F82" w:rsidRPr="00165C7E">
        <w:t>objectives</w:t>
      </w:r>
      <w:r w:rsidR="00D77A37" w:rsidRPr="00165C7E">
        <w:t>.</w:t>
      </w:r>
      <w:r w:rsidR="006E6839" w:rsidRPr="00165C7E">
        <w:t xml:space="preserve"> </w:t>
      </w:r>
      <w:r w:rsidR="00D77A37" w:rsidRPr="00165C7E">
        <w:t>The</w:t>
      </w:r>
      <w:r w:rsidR="002E56A3" w:rsidRPr="00165C7E">
        <w:t xml:space="preserve"> </w:t>
      </w:r>
      <w:r w:rsidR="00D77A37" w:rsidRPr="00165C7E">
        <w:t xml:space="preserve">methodological studies </w:t>
      </w:r>
      <w:r w:rsidR="00E15619" w:rsidRPr="00165C7E">
        <w:t xml:space="preserve">described </w:t>
      </w:r>
      <w:r w:rsidR="002E56A3" w:rsidRPr="00165C7E">
        <w:t xml:space="preserve">herein </w:t>
      </w:r>
      <w:r w:rsidR="00E15619" w:rsidRPr="00165C7E">
        <w:t xml:space="preserve">are designed </w:t>
      </w:r>
      <w:r w:rsidR="002A6145" w:rsidRPr="00165C7E">
        <w:t xml:space="preserve">for that specific purpose </w:t>
      </w:r>
      <w:r w:rsidR="006C58B5">
        <w:t>(</w:t>
      </w:r>
      <w:r w:rsidR="002A6145" w:rsidRPr="00165C7E">
        <w:t xml:space="preserve">i.e., </w:t>
      </w:r>
      <w:r w:rsidR="00E15619" w:rsidRPr="00165C7E">
        <w:t xml:space="preserve">to </w:t>
      </w:r>
      <w:r w:rsidR="002A6145" w:rsidRPr="00165C7E">
        <w:t xml:space="preserve">identify ways </w:t>
      </w:r>
      <w:r w:rsidR="009150C2" w:rsidRPr="00165C7E">
        <w:t xml:space="preserve">to improve </w:t>
      </w:r>
      <w:r w:rsidR="00A17E5D">
        <w:t>the methodology underlying</w:t>
      </w:r>
      <w:r w:rsidR="009150C2" w:rsidRPr="00165C7E">
        <w:t xml:space="preserve"> the </w:t>
      </w:r>
      <w:r w:rsidR="00661302" w:rsidRPr="00165C7E">
        <w:t>PATH Study</w:t>
      </w:r>
      <w:r w:rsidR="006C58B5">
        <w:t>)</w:t>
      </w:r>
      <w:r w:rsidR="00A17E5D">
        <w:t>.  Methodological studies covered under this clearance include those designed to streamline</w:t>
      </w:r>
      <w:r w:rsidR="009150C2" w:rsidRPr="00165C7E">
        <w:t xml:space="preserve"> </w:t>
      </w:r>
      <w:r w:rsidR="00D77A37" w:rsidRPr="00165C7E">
        <w:t>data collection procedures</w:t>
      </w:r>
      <w:r w:rsidR="00A17E5D">
        <w:t xml:space="preserve"> (e.g., increase precision of measures</w:t>
      </w:r>
      <w:r w:rsidR="00E15619" w:rsidRPr="00165C7E">
        <w:t xml:space="preserve"> and</w:t>
      </w:r>
      <w:r w:rsidR="00A17E5D">
        <w:t>/or reduce burden of measures)</w:t>
      </w:r>
      <w:r w:rsidR="006C58B5">
        <w:t>;</w:t>
      </w:r>
      <w:r w:rsidR="003A5E37" w:rsidRPr="00165C7E">
        <w:t xml:space="preserve"> and </w:t>
      </w:r>
      <w:r w:rsidR="00A17E5D">
        <w:t>improve recruitment,</w:t>
      </w:r>
      <w:r w:rsidR="003A5E37" w:rsidRPr="00165C7E">
        <w:t xml:space="preserve"> response</w:t>
      </w:r>
      <w:r w:rsidR="00A17E5D">
        <w:t xml:space="preserve"> rates</w:t>
      </w:r>
      <w:r w:rsidR="003A5E37" w:rsidRPr="00165C7E">
        <w:t xml:space="preserve">, </w:t>
      </w:r>
      <w:r w:rsidR="00CA5889">
        <w:t>study</w:t>
      </w:r>
      <w:r w:rsidR="003A5E37" w:rsidRPr="00165C7E">
        <w:t xml:space="preserve"> </w:t>
      </w:r>
      <w:r w:rsidR="00E15619" w:rsidRPr="00165C7E">
        <w:t>retention</w:t>
      </w:r>
      <w:r w:rsidR="003A5E37" w:rsidRPr="00165C7E">
        <w:t>,</w:t>
      </w:r>
      <w:r w:rsidR="00E15619" w:rsidRPr="00165C7E">
        <w:t xml:space="preserve"> and follow</w:t>
      </w:r>
      <w:r w:rsidR="007D2A5F">
        <w:t>-</w:t>
      </w:r>
      <w:r w:rsidR="00E15619" w:rsidRPr="00165C7E">
        <w:t>up</w:t>
      </w:r>
      <w:r w:rsidR="003A5E37" w:rsidRPr="00165C7E">
        <w:t xml:space="preserve"> rates</w:t>
      </w:r>
      <w:r w:rsidR="00E15619" w:rsidRPr="00165C7E">
        <w:t>.</w:t>
      </w:r>
      <w:r w:rsidR="006E6839" w:rsidRPr="00165C7E">
        <w:t xml:space="preserve"> </w:t>
      </w:r>
      <w:r w:rsidR="009150C2" w:rsidRPr="00165C7E">
        <w:t>T</w:t>
      </w:r>
      <w:r w:rsidR="00B44839">
        <w:t>wo</w:t>
      </w:r>
      <w:r w:rsidR="00352E58" w:rsidRPr="00165C7E">
        <w:t xml:space="preserve"> </w:t>
      </w:r>
      <w:r w:rsidR="00D77A37" w:rsidRPr="00165C7E">
        <w:t>stud</w:t>
      </w:r>
      <w:r w:rsidR="00B44839">
        <w:t xml:space="preserve">ies described in this information clearance request, one </w:t>
      </w:r>
      <w:r w:rsidR="00D77A37" w:rsidRPr="00165C7E">
        <w:t>o</w:t>
      </w:r>
      <w:r w:rsidR="00352E58" w:rsidRPr="00165C7E">
        <w:t xml:space="preserve">n </w:t>
      </w:r>
      <w:r w:rsidR="00B44839">
        <w:t xml:space="preserve">the </w:t>
      </w:r>
      <w:r w:rsidR="00D77A37" w:rsidRPr="00165C7E">
        <w:t xml:space="preserve">reliability of the questionnaires </w:t>
      </w:r>
      <w:r w:rsidR="00352E58" w:rsidRPr="00165C7E">
        <w:t xml:space="preserve">and </w:t>
      </w:r>
      <w:r w:rsidR="00B44839">
        <w:t xml:space="preserve">another on </w:t>
      </w:r>
      <w:r w:rsidR="006B5A5E" w:rsidRPr="00165C7E">
        <w:t>compar</w:t>
      </w:r>
      <w:r w:rsidR="009150C2" w:rsidRPr="00165C7E">
        <w:t>ing</w:t>
      </w:r>
      <w:r w:rsidR="00CF3D9D" w:rsidRPr="00165C7E">
        <w:t xml:space="preserve"> interview data with biological markers to assess </w:t>
      </w:r>
      <w:r w:rsidR="009150C2" w:rsidRPr="00165C7E">
        <w:t xml:space="preserve">levels of </w:t>
      </w:r>
      <w:r w:rsidR="00CF3D9D" w:rsidRPr="00165C7E">
        <w:t xml:space="preserve">misreporting of tobacco use </w:t>
      </w:r>
      <w:r w:rsidR="00352E58" w:rsidRPr="00165C7E">
        <w:t xml:space="preserve">among </w:t>
      </w:r>
      <w:r w:rsidR="00CF3D9D" w:rsidRPr="00165C7E">
        <w:t>respondents</w:t>
      </w:r>
      <w:r w:rsidR="00B44839">
        <w:t>,</w:t>
      </w:r>
      <w:r w:rsidR="00CF3D9D" w:rsidRPr="00165C7E">
        <w:t xml:space="preserve"> </w:t>
      </w:r>
      <w:r w:rsidR="00352E58" w:rsidRPr="00165C7E">
        <w:t xml:space="preserve">are </w:t>
      </w:r>
      <w:r w:rsidR="009150C2" w:rsidRPr="00165C7E">
        <w:t>examples of</w:t>
      </w:r>
      <w:r w:rsidR="00B44839">
        <w:t xml:space="preserve"> planned</w:t>
      </w:r>
      <w:r w:rsidR="009150C2" w:rsidRPr="00165C7E">
        <w:t xml:space="preserve"> methodological studies </w:t>
      </w:r>
      <w:r w:rsidR="00B44839">
        <w:t xml:space="preserve">that are </w:t>
      </w:r>
      <w:r w:rsidR="00352E58" w:rsidRPr="00165C7E">
        <w:t xml:space="preserve">expected to </w:t>
      </w:r>
      <w:r w:rsidR="00D77A37" w:rsidRPr="00165C7E">
        <w:t>pro</w:t>
      </w:r>
      <w:r w:rsidR="00CF3D9D" w:rsidRPr="00165C7E">
        <w:t>vide information</w:t>
      </w:r>
      <w:r w:rsidR="004C63A6" w:rsidRPr="00165C7E">
        <w:t xml:space="preserve"> </w:t>
      </w:r>
      <w:r w:rsidR="00B44839">
        <w:t>that will help to</w:t>
      </w:r>
      <w:r w:rsidR="00352E58" w:rsidRPr="00165C7E">
        <w:t xml:space="preserve"> </w:t>
      </w:r>
      <w:r w:rsidR="006B5A5E" w:rsidRPr="00165C7E">
        <w:t>improv</w:t>
      </w:r>
      <w:r w:rsidR="00B44839">
        <w:t>e</w:t>
      </w:r>
      <w:r w:rsidR="006B5A5E" w:rsidRPr="00165C7E">
        <w:t xml:space="preserve"> </w:t>
      </w:r>
      <w:r w:rsidR="00352E58" w:rsidRPr="00165C7E">
        <w:t xml:space="preserve">the study’s </w:t>
      </w:r>
      <w:r w:rsidR="006B5A5E" w:rsidRPr="00165C7E">
        <w:t>data collection protocol.</w:t>
      </w:r>
      <w:r w:rsidR="00024082">
        <w:t xml:space="preserve"> </w:t>
      </w:r>
      <w:r w:rsidR="00510B91">
        <w:t>O</w:t>
      </w:r>
      <w:r w:rsidR="00510B91" w:rsidRPr="00DF0573">
        <w:t xml:space="preserve">ther examples of methodological studies that may </w:t>
      </w:r>
      <w:r w:rsidR="00510B91">
        <w:t xml:space="preserve">be </w:t>
      </w:r>
      <w:r w:rsidR="00510B91" w:rsidRPr="00DF0573">
        <w:t>submitted under this generic clearance</w:t>
      </w:r>
      <w:r w:rsidR="00510B91">
        <w:t xml:space="preserve"> include </w:t>
      </w:r>
      <w:r w:rsidR="00510B91" w:rsidRPr="00DF0573">
        <w:t xml:space="preserve">small-scale field tests of variations in the study protocol to assess their potential for use in a full wave (e.g., changes in the biospecimen collection protocol). </w:t>
      </w:r>
    </w:p>
    <w:p w:rsidR="00D77A37" w:rsidRPr="00165C7E" w:rsidRDefault="00D77A37" w:rsidP="00257CB6">
      <w:pPr>
        <w:pStyle w:val="L1-FlLSp12"/>
      </w:pPr>
    </w:p>
    <w:p w:rsidR="003E2BF1" w:rsidRPr="00165C7E" w:rsidRDefault="00A17E5D" w:rsidP="00257CB6">
      <w:pPr>
        <w:pStyle w:val="L1-FlLSp12"/>
      </w:pPr>
      <w:r>
        <w:t xml:space="preserve">Collections submitted under this generic </w:t>
      </w:r>
      <w:r w:rsidR="00BA55AB">
        <w:t xml:space="preserve">clearance </w:t>
      </w:r>
      <w:r>
        <w:t>will be limited to</w:t>
      </w:r>
      <w:r w:rsidR="003A53C2" w:rsidRPr="00165C7E">
        <w:t xml:space="preserve"> methodological studies</w:t>
      </w:r>
      <w:r w:rsidR="00BA55AB">
        <w:t>; each</w:t>
      </w:r>
      <w:r w:rsidR="00366771" w:rsidRPr="00165C7E">
        <w:t xml:space="preserve"> </w:t>
      </w:r>
      <w:r w:rsidR="003A53C2" w:rsidRPr="00165C7E">
        <w:t xml:space="preserve">will be </w:t>
      </w:r>
      <w:r w:rsidR="003E2BF1" w:rsidRPr="00165C7E">
        <w:t xml:space="preserve">limited in size, scope, and duration. </w:t>
      </w:r>
      <w:r w:rsidR="009150C2" w:rsidRPr="00165C7E">
        <w:t>P</w:t>
      </w:r>
      <w:r w:rsidR="003E2BF1" w:rsidRPr="00165C7E">
        <w:t xml:space="preserve">articular samples will vary </w:t>
      </w:r>
      <w:r w:rsidR="003A53C2" w:rsidRPr="00165C7E">
        <w:t xml:space="preserve">by </w:t>
      </w:r>
      <w:r w:rsidR="003E2BF1" w:rsidRPr="00165C7E">
        <w:t>study and will be specified in each memo</w:t>
      </w:r>
      <w:r w:rsidR="009150C2" w:rsidRPr="00165C7E">
        <w:t xml:space="preserve"> </w:t>
      </w:r>
      <w:r w:rsidR="003E2BF1" w:rsidRPr="00165C7E">
        <w:t xml:space="preserve">submitted </w:t>
      </w:r>
      <w:r w:rsidR="003A53C2" w:rsidRPr="00165C7E">
        <w:t xml:space="preserve">under this generic clearance request </w:t>
      </w:r>
      <w:r w:rsidR="003E2BF1" w:rsidRPr="00165C7E">
        <w:t>to OMB.</w:t>
      </w:r>
      <w:r w:rsidR="006E6839" w:rsidRPr="00165C7E">
        <w:t xml:space="preserve"> </w:t>
      </w:r>
      <w:r w:rsidR="003E2BF1" w:rsidRPr="00165C7E">
        <w:t xml:space="preserve">The request memo for each specific </w:t>
      </w:r>
      <w:r>
        <w:t xml:space="preserve">methodological </w:t>
      </w:r>
      <w:r w:rsidR="003E2BF1" w:rsidRPr="00165C7E">
        <w:t>study under this generic request w</w:t>
      </w:r>
      <w:r w:rsidR="003A53C2" w:rsidRPr="00165C7E">
        <w:t xml:space="preserve">ill </w:t>
      </w:r>
      <w:r w:rsidR="003E2BF1" w:rsidRPr="00165C7E">
        <w:t>clearly describe the study</w:t>
      </w:r>
      <w:r w:rsidR="003A53C2" w:rsidRPr="00165C7E">
        <w:t>’s</w:t>
      </w:r>
      <w:r w:rsidR="003E2BF1" w:rsidRPr="00165C7E">
        <w:t xml:space="preserve"> purpose, scope, and duration</w:t>
      </w:r>
      <w:r w:rsidR="005978BA">
        <w:t>.  It will</w:t>
      </w:r>
      <w:r w:rsidR="003E2BF1" w:rsidRPr="00165C7E">
        <w:t xml:space="preserve"> </w:t>
      </w:r>
      <w:r w:rsidR="00224CEF" w:rsidRPr="00165C7E">
        <w:t xml:space="preserve">explain why and </w:t>
      </w:r>
      <w:r w:rsidR="003E2BF1" w:rsidRPr="00165C7E">
        <w:t xml:space="preserve">how the study is </w:t>
      </w:r>
      <w:r w:rsidR="003A53C2" w:rsidRPr="00165C7E">
        <w:t xml:space="preserve">timely and </w:t>
      </w:r>
      <w:r w:rsidR="003E2BF1" w:rsidRPr="00165C7E">
        <w:t xml:space="preserve">consistent with the </w:t>
      </w:r>
      <w:r w:rsidR="005978BA">
        <w:t>purpose</w:t>
      </w:r>
      <w:r w:rsidR="003E2BF1" w:rsidRPr="00165C7E">
        <w:t xml:space="preserve"> of </w:t>
      </w:r>
      <w:r w:rsidR="005978BA">
        <w:t xml:space="preserve">this generic clearance </w:t>
      </w:r>
      <w:r w:rsidR="006C58B5">
        <w:t>(</w:t>
      </w:r>
      <w:r w:rsidR="005978BA">
        <w:t>i.e., to improve</w:t>
      </w:r>
      <w:r>
        <w:t xml:space="preserve"> </w:t>
      </w:r>
      <w:r w:rsidR="003E2BF1" w:rsidRPr="00165C7E">
        <w:t xml:space="preserve">the </w:t>
      </w:r>
      <w:r>
        <w:t xml:space="preserve">data collection and </w:t>
      </w:r>
      <w:r w:rsidR="005978BA">
        <w:t>its</w:t>
      </w:r>
      <w:r>
        <w:t xml:space="preserve"> implementation</w:t>
      </w:r>
      <w:r w:rsidR="006C58B5">
        <w:t>)</w:t>
      </w:r>
      <w:r w:rsidR="00CA5889">
        <w:t xml:space="preserve">.  </w:t>
      </w:r>
      <w:r w:rsidR="005978BA">
        <w:t>Finally, e</w:t>
      </w:r>
      <w:r w:rsidR="00CA5889">
        <w:t xml:space="preserve">ach </w:t>
      </w:r>
      <w:r w:rsidR="005978BA">
        <w:t>information collection submitted under this clearance</w:t>
      </w:r>
      <w:r w:rsidR="00CA5889">
        <w:t xml:space="preserve"> will</w:t>
      </w:r>
      <w:r w:rsidR="006B5A5E" w:rsidRPr="00165C7E">
        <w:t xml:space="preserve"> </w:t>
      </w:r>
      <w:r w:rsidR="00224CEF" w:rsidRPr="00165C7E">
        <w:t>include relevant forms</w:t>
      </w:r>
      <w:r w:rsidR="004B65E3" w:rsidRPr="00165C7E">
        <w:t>, guides, or outlines</w:t>
      </w:r>
      <w:r w:rsidR="009150C2" w:rsidRPr="00165C7E">
        <w:t xml:space="preserve"> </w:t>
      </w:r>
      <w:r w:rsidR="00224CEF" w:rsidRPr="00165C7E">
        <w:t>for the study’s data collection</w:t>
      </w:r>
      <w:r w:rsidR="005978BA">
        <w:t xml:space="preserve"> as well as</w:t>
      </w:r>
      <w:r w:rsidR="006B5A5E" w:rsidRPr="00165C7E">
        <w:t xml:space="preserve"> its individual approval </w:t>
      </w:r>
      <w:r w:rsidR="001E191F" w:rsidRPr="00165C7E">
        <w:t>from</w:t>
      </w:r>
      <w:r w:rsidR="006B5A5E" w:rsidRPr="00165C7E">
        <w:t xml:space="preserve"> the </w:t>
      </w:r>
      <w:r w:rsidR="00CD09E2" w:rsidRPr="00165C7E">
        <w:t>prime contractor’s</w:t>
      </w:r>
      <w:r w:rsidR="00D971E4" w:rsidRPr="00165C7E">
        <w:t xml:space="preserve"> </w:t>
      </w:r>
      <w:r w:rsidR="006B5A5E" w:rsidRPr="00165C7E">
        <w:t>Institutional Review Board</w:t>
      </w:r>
      <w:r w:rsidR="001E191F" w:rsidRPr="00165C7E">
        <w:t xml:space="preserve"> (IRB)</w:t>
      </w:r>
      <w:r w:rsidR="003E2BF1" w:rsidRPr="00165C7E">
        <w:t>.</w:t>
      </w:r>
    </w:p>
    <w:p w:rsidR="006E6839" w:rsidRPr="00165C7E" w:rsidRDefault="006E6839" w:rsidP="00257CB6">
      <w:pPr>
        <w:pStyle w:val="L1-FlLSp12"/>
      </w:pPr>
    </w:p>
    <w:p w:rsidR="00655A67" w:rsidRPr="00165C7E" w:rsidRDefault="00405CA7" w:rsidP="00257CB6">
      <w:pPr>
        <w:pStyle w:val="L1-FlLSp12"/>
      </w:pPr>
      <w:r w:rsidRPr="00165C7E">
        <w:t>D</w:t>
      </w:r>
      <w:r w:rsidR="004C63A6" w:rsidRPr="00165C7E">
        <w:t xml:space="preserve">ata collection </w:t>
      </w:r>
      <w:r w:rsidR="00655A67" w:rsidRPr="00165C7E">
        <w:t xml:space="preserve">methods to be </w:t>
      </w:r>
      <w:r w:rsidRPr="00165C7E">
        <w:t xml:space="preserve">examined </w:t>
      </w:r>
      <w:r w:rsidR="00655A67" w:rsidRPr="00165C7E">
        <w:t>in the</w:t>
      </w:r>
      <w:r w:rsidR="004C63A6" w:rsidRPr="00165C7E">
        <w:t xml:space="preserve"> methodological </w:t>
      </w:r>
      <w:r w:rsidR="00655A67" w:rsidRPr="00165C7E">
        <w:t xml:space="preserve">studies </w:t>
      </w:r>
      <w:r w:rsidR="00B44839">
        <w:t xml:space="preserve">planned </w:t>
      </w:r>
      <w:r w:rsidR="004C63A6" w:rsidRPr="00165C7E">
        <w:t xml:space="preserve">under this generic clearance </w:t>
      </w:r>
      <w:r w:rsidR="00655A67" w:rsidRPr="00165C7E">
        <w:t>include</w:t>
      </w:r>
      <w:r w:rsidR="00EF76BA" w:rsidRPr="00165C7E">
        <w:t xml:space="preserve"> the following</w:t>
      </w:r>
      <w:r w:rsidR="00167574" w:rsidRPr="00165C7E">
        <w:t>.</w:t>
      </w:r>
    </w:p>
    <w:p w:rsidR="00B43041" w:rsidRPr="00165C7E" w:rsidRDefault="00B43041" w:rsidP="00257CB6">
      <w:pPr>
        <w:pStyle w:val="L1-FlLSp12"/>
      </w:pPr>
    </w:p>
    <w:p w:rsidR="006E6839" w:rsidRDefault="00A42476" w:rsidP="00257CB6">
      <w:pPr>
        <w:pStyle w:val="L1-FlLSp12"/>
      </w:pPr>
      <w:r w:rsidRPr="00165C7E">
        <w:rPr>
          <w:i/>
        </w:rPr>
        <w:t>T</w:t>
      </w:r>
      <w:r w:rsidR="00907320" w:rsidRPr="00165C7E">
        <w:rPr>
          <w:i/>
        </w:rPr>
        <w:t>elephone</w:t>
      </w:r>
      <w:r w:rsidRPr="00165C7E">
        <w:rPr>
          <w:i/>
        </w:rPr>
        <w:t xml:space="preserve"> and in-person surveys.</w:t>
      </w:r>
      <w:r w:rsidR="006E6839" w:rsidRPr="00165C7E">
        <w:t xml:space="preserve"> </w:t>
      </w:r>
      <w:r w:rsidR="002B6CD5" w:rsidRPr="00165C7E">
        <w:t xml:space="preserve">The </w:t>
      </w:r>
      <w:r w:rsidR="00661302" w:rsidRPr="00165C7E">
        <w:t>PATH Study</w:t>
      </w:r>
      <w:r w:rsidR="002B6CD5" w:rsidRPr="00165C7E">
        <w:t xml:space="preserve"> is </w:t>
      </w:r>
      <w:r w:rsidR="00F155A3" w:rsidRPr="00165C7E">
        <w:t>conducting</w:t>
      </w:r>
      <w:r w:rsidR="002B6CD5" w:rsidRPr="00165C7E">
        <w:t xml:space="preserve"> </w:t>
      </w:r>
      <w:r w:rsidR="00856C80" w:rsidRPr="00165C7E">
        <w:t xml:space="preserve">two types of interviews: (1) </w:t>
      </w:r>
      <w:r w:rsidR="002B6CD5" w:rsidRPr="00165C7E">
        <w:t>i</w:t>
      </w:r>
      <w:r w:rsidR="00907320" w:rsidRPr="00165C7E">
        <w:t xml:space="preserve">n-person interviews </w:t>
      </w:r>
      <w:r w:rsidR="002B6CD5" w:rsidRPr="00165C7E">
        <w:t xml:space="preserve">in which </w:t>
      </w:r>
      <w:r w:rsidR="00F155A3" w:rsidRPr="00165C7E">
        <w:t xml:space="preserve">interviewers ask respondents questions and enter their responses into a computer (Computer Assisted Personal Interview – CAPI) and </w:t>
      </w:r>
      <w:r w:rsidR="00856C80" w:rsidRPr="00165C7E">
        <w:t xml:space="preserve">(2) </w:t>
      </w:r>
      <w:r w:rsidR="00F155A3" w:rsidRPr="00165C7E">
        <w:t xml:space="preserve">interviews where </w:t>
      </w:r>
      <w:r w:rsidR="002B6CD5" w:rsidRPr="00165C7E">
        <w:t xml:space="preserve">respondents </w:t>
      </w:r>
      <w:r w:rsidR="00907320" w:rsidRPr="00165C7E">
        <w:t>enter</w:t>
      </w:r>
      <w:r w:rsidR="002B6CD5" w:rsidRPr="00165C7E">
        <w:t xml:space="preserve"> </w:t>
      </w:r>
      <w:r w:rsidR="00907320" w:rsidRPr="00165C7E">
        <w:t>their responses</w:t>
      </w:r>
      <w:r w:rsidRPr="00165C7E">
        <w:t xml:space="preserve"> </w:t>
      </w:r>
      <w:r w:rsidR="002B6CD5" w:rsidRPr="00165C7E">
        <w:t>directly into the interviewer’s computer (Audio Computer Assisted Self</w:t>
      </w:r>
      <w:r w:rsidR="002075E9" w:rsidRPr="00165C7E">
        <w:t xml:space="preserve"> </w:t>
      </w:r>
      <w:r w:rsidR="002075E9" w:rsidRPr="00165C7E">
        <w:lastRenderedPageBreak/>
        <w:t>Interview - ACASI).</w:t>
      </w:r>
      <w:r w:rsidR="006E6839" w:rsidRPr="00165C7E">
        <w:t xml:space="preserve"> </w:t>
      </w:r>
      <w:r w:rsidR="007832B5" w:rsidRPr="00165C7E">
        <w:t>A</w:t>
      </w:r>
      <w:r w:rsidR="00856C80" w:rsidRPr="00165C7E">
        <w:t xml:space="preserve"> third type </w:t>
      </w:r>
      <w:r w:rsidR="004B65E3" w:rsidRPr="00165C7E">
        <w:t xml:space="preserve">of interview of interest to the </w:t>
      </w:r>
      <w:r w:rsidR="00661302" w:rsidRPr="00165C7E">
        <w:t>PATH Study</w:t>
      </w:r>
      <w:r w:rsidR="004B65E3" w:rsidRPr="00165C7E">
        <w:t xml:space="preserve"> </w:t>
      </w:r>
      <w:r w:rsidR="00856C80" w:rsidRPr="00165C7E">
        <w:t xml:space="preserve">involves the use of the telephone. Telephone interviews can be cost efficient and less burdensome for respondents when compared with in-person interviews. </w:t>
      </w:r>
      <w:r w:rsidR="00CA5889">
        <w:t>Under</w:t>
      </w:r>
      <w:r w:rsidR="00B44839">
        <w:t xml:space="preserve"> this </w:t>
      </w:r>
      <w:r w:rsidR="00E74F4C">
        <w:t>g</w:t>
      </w:r>
      <w:r w:rsidR="00CA5889">
        <w:t xml:space="preserve">eneric </w:t>
      </w:r>
      <w:r w:rsidR="00E74F4C">
        <w:t>c</w:t>
      </w:r>
      <w:r w:rsidR="00CA5889">
        <w:t>learance, a methodological study might be conducted to determine how</w:t>
      </w:r>
      <w:r w:rsidR="004B65E3" w:rsidRPr="00165C7E">
        <w:t xml:space="preserve"> helpful </w:t>
      </w:r>
      <w:r w:rsidR="00CA5889" w:rsidRPr="00E74F4C">
        <w:t>telephone methods are</w:t>
      </w:r>
      <w:r w:rsidR="004B65E3" w:rsidRPr="00E74F4C">
        <w:t xml:space="preserve"> </w:t>
      </w:r>
      <w:r w:rsidR="00B44839">
        <w:t>in</w:t>
      </w:r>
      <w:r w:rsidR="004B65E3" w:rsidRPr="00165C7E">
        <w:t xml:space="preserve"> achieving the </w:t>
      </w:r>
      <w:r w:rsidR="00423CFC" w:rsidRPr="00165C7E">
        <w:t>study</w:t>
      </w:r>
      <w:r w:rsidR="004B65E3" w:rsidRPr="00165C7E">
        <w:t>’s</w:t>
      </w:r>
      <w:r w:rsidR="00423CFC" w:rsidRPr="00165C7E">
        <w:t xml:space="preserve"> </w:t>
      </w:r>
      <w:r w:rsidR="004B65E3" w:rsidRPr="00165C7E">
        <w:t xml:space="preserve">goals of </w:t>
      </w:r>
      <w:r w:rsidR="00423CFC" w:rsidRPr="00165C7E">
        <w:t>high response, retention, and follow</w:t>
      </w:r>
      <w:r w:rsidR="007D2A5F">
        <w:t>-</w:t>
      </w:r>
      <w:r w:rsidR="00423CFC" w:rsidRPr="00165C7E">
        <w:t>up rates among respondents</w:t>
      </w:r>
      <w:r w:rsidR="00B44839">
        <w:t>, especially those</w:t>
      </w:r>
      <w:r w:rsidR="00423CFC" w:rsidRPr="00165C7E">
        <w:t xml:space="preserve"> who </w:t>
      </w:r>
      <w:r w:rsidR="004B65E3" w:rsidRPr="00165C7E">
        <w:t xml:space="preserve">may be </w:t>
      </w:r>
      <w:r w:rsidR="00423CFC" w:rsidRPr="00165C7E">
        <w:t xml:space="preserve">mobile or difficult to contact </w:t>
      </w:r>
      <w:r w:rsidR="001C1DAC" w:rsidRPr="00165C7E">
        <w:t xml:space="preserve">for their interviews </w:t>
      </w:r>
      <w:r w:rsidR="00423CFC" w:rsidRPr="00165C7E">
        <w:t>at the household location.</w:t>
      </w:r>
    </w:p>
    <w:p w:rsidR="007226BD" w:rsidRPr="00165C7E" w:rsidRDefault="007226BD" w:rsidP="00257CB6">
      <w:pPr>
        <w:pStyle w:val="L1-FlLSp12"/>
      </w:pPr>
    </w:p>
    <w:p w:rsidR="006E6839" w:rsidRPr="00165C7E" w:rsidRDefault="001232CA" w:rsidP="00257CB6">
      <w:pPr>
        <w:pStyle w:val="L1-FlLSp12"/>
      </w:pPr>
      <w:r w:rsidRPr="00165C7E">
        <w:rPr>
          <w:i/>
        </w:rPr>
        <w:t>Web</w:t>
      </w:r>
      <w:r w:rsidR="00A42476" w:rsidRPr="00165C7E">
        <w:rPr>
          <w:i/>
        </w:rPr>
        <w:t xml:space="preserve"> and smartphone/mobile telephone surveys</w:t>
      </w:r>
      <w:r w:rsidR="00A42476" w:rsidRPr="00165C7E">
        <w:t>.</w:t>
      </w:r>
      <w:r w:rsidR="006E6839" w:rsidRPr="00165C7E">
        <w:t xml:space="preserve"> </w:t>
      </w:r>
      <w:r w:rsidR="00A42476" w:rsidRPr="00165C7E">
        <w:t xml:space="preserve">Surveys </w:t>
      </w:r>
      <w:r w:rsidR="001C1DAC" w:rsidRPr="00165C7E">
        <w:t xml:space="preserve">are increasingly </w:t>
      </w:r>
      <w:r w:rsidR="00A42476" w:rsidRPr="00165C7E">
        <w:t xml:space="preserve">conducted </w:t>
      </w:r>
      <w:r w:rsidR="00C82E44" w:rsidRPr="00165C7E">
        <w:t>using</w:t>
      </w:r>
      <w:r w:rsidR="00A42476" w:rsidRPr="00165C7E">
        <w:t xml:space="preserve"> the internet (i.e., </w:t>
      </w:r>
      <w:r w:rsidRPr="00165C7E">
        <w:t>Web</w:t>
      </w:r>
      <w:r w:rsidR="00A42476" w:rsidRPr="00165C7E">
        <w:t xml:space="preserve"> survey) </w:t>
      </w:r>
      <w:r w:rsidR="001C1DAC" w:rsidRPr="00165C7E">
        <w:t xml:space="preserve">as well by </w:t>
      </w:r>
      <w:r w:rsidR="00054482" w:rsidRPr="00165C7E">
        <w:t>s</w:t>
      </w:r>
      <w:r w:rsidR="00A42476" w:rsidRPr="00165C7E">
        <w:t>mart</w:t>
      </w:r>
      <w:r w:rsidR="00C82E44" w:rsidRPr="00165C7E">
        <w:t xml:space="preserve">phone </w:t>
      </w:r>
      <w:r w:rsidR="001C1DAC" w:rsidRPr="00165C7E">
        <w:t>or m</w:t>
      </w:r>
      <w:r w:rsidR="00A42476" w:rsidRPr="00165C7E">
        <w:t>obile</w:t>
      </w:r>
      <w:r w:rsidR="001C1DAC" w:rsidRPr="00165C7E">
        <w:t xml:space="preserve"> </w:t>
      </w:r>
      <w:r w:rsidR="00A42476" w:rsidRPr="00165C7E">
        <w:t>phone</w:t>
      </w:r>
      <w:r w:rsidR="001C1DAC" w:rsidRPr="00165C7E">
        <w:t>s</w:t>
      </w:r>
      <w:r w:rsidR="00A42476" w:rsidRPr="00165C7E">
        <w:t xml:space="preserve">. </w:t>
      </w:r>
      <w:r w:rsidR="001C1DAC" w:rsidRPr="00165C7E">
        <w:t>W</w:t>
      </w:r>
      <w:r w:rsidR="007832B5" w:rsidRPr="00165C7E">
        <w:t>eb surveys</w:t>
      </w:r>
      <w:r w:rsidR="001C1DAC" w:rsidRPr="00165C7E">
        <w:t xml:space="preserve"> </w:t>
      </w:r>
      <w:r w:rsidR="00F214A7" w:rsidRPr="00165C7E">
        <w:t>can be conveniently</w:t>
      </w:r>
      <w:r w:rsidR="001C1DAC" w:rsidRPr="00165C7E">
        <w:t xml:space="preserve"> accessed by respondent</w:t>
      </w:r>
      <w:r w:rsidR="00F214A7" w:rsidRPr="00165C7E">
        <w:t>s</w:t>
      </w:r>
      <w:r w:rsidR="001C1DAC" w:rsidRPr="00165C7E">
        <w:t xml:space="preserve"> on secure </w:t>
      </w:r>
      <w:r w:rsidR="00437DEC" w:rsidRPr="00165C7E">
        <w:t>w</w:t>
      </w:r>
      <w:r w:rsidRPr="00165C7E">
        <w:t>eb</w:t>
      </w:r>
      <w:r w:rsidR="001C1DAC" w:rsidRPr="00165C7E">
        <w:t>sites</w:t>
      </w:r>
      <w:r w:rsidR="00C82E44" w:rsidRPr="00165C7E">
        <w:t xml:space="preserve"> </w:t>
      </w:r>
      <w:r w:rsidR="004B65E3" w:rsidRPr="00165C7E">
        <w:t>who</w:t>
      </w:r>
      <w:r w:rsidR="00C82E44" w:rsidRPr="00165C7E">
        <w:t xml:space="preserve">, </w:t>
      </w:r>
      <w:r w:rsidR="004B65E3" w:rsidRPr="00165C7E">
        <w:t xml:space="preserve">by using the study’s </w:t>
      </w:r>
      <w:r w:rsidR="00F214A7" w:rsidRPr="00165C7E">
        <w:t xml:space="preserve">individualized user ID and password, </w:t>
      </w:r>
      <w:r w:rsidR="00C82E44" w:rsidRPr="00165C7E">
        <w:t xml:space="preserve">can </w:t>
      </w:r>
      <w:r w:rsidR="001C1DAC" w:rsidRPr="00165C7E">
        <w:t xml:space="preserve">complete </w:t>
      </w:r>
      <w:r w:rsidR="00C82E44" w:rsidRPr="00165C7E">
        <w:t xml:space="preserve">their </w:t>
      </w:r>
      <w:r w:rsidR="004B65E3" w:rsidRPr="00165C7E">
        <w:t>interviews</w:t>
      </w:r>
      <w:r w:rsidR="00C82E44" w:rsidRPr="00165C7E">
        <w:t xml:space="preserve"> </w:t>
      </w:r>
      <w:r w:rsidR="001C1DAC" w:rsidRPr="00165C7E">
        <w:t xml:space="preserve">online. </w:t>
      </w:r>
      <w:r w:rsidR="007832B5" w:rsidRPr="00165C7E">
        <w:t xml:space="preserve">Surveys </w:t>
      </w:r>
      <w:r w:rsidR="00A10E19">
        <w:t xml:space="preserve">can be securely </w:t>
      </w:r>
      <w:r w:rsidR="007832B5" w:rsidRPr="00165C7E">
        <w:t xml:space="preserve">administered </w:t>
      </w:r>
      <w:r w:rsidR="00A10E19">
        <w:t xml:space="preserve">and completed </w:t>
      </w:r>
      <w:r w:rsidR="00C82E44" w:rsidRPr="00165C7E">
        <w:t>by</w:t>
      </w:r>
      <w:r w:rsidR="007832B5" w:rsidRPr="00165C7E">
        <w:t xml:space="preserve"> </w:t>
      </w:r>
      <w:r w:rsidR="00054482" w:rsidRPr="00165C7E">
        <w:t>s</w:t>
      </w:r>
      <w:r w:rsidR="007832B5" w:rsidRPr="00165C7E">
        <w:t xml:space="preserve">martphone or mobile telephone using a </w:t>
      </w:r>
      <w:r w:rsidR="00054482" w:rsidRPr="00165C7E">
        <w:t>s</w:t>
      </w:r>
      <w:r w:rsidR="00F214A7" w:rsidRPr="00165C7E">
        <w:t>martphone</w:t>
      </w:r>
      <w:r w:rsidR="007832B5" w:rsidRPr="00165C7E">
        <w:t xml:space="preserve"> application, a simple messaging service</w:t>
      </w:r>
      <w:r w:rsidR="006203E7" w:rsidRPr="00165C7E">
        <w:t xml:space="preserve"> </w:t>
      </w:r>
      <w:r w:rsidR="007832B5" w:rsidRPr="00165C7E">
        <w:t xml:space="preserve">(SMS), or interactive voice response technology (IVR). The use of one or more of these data collection approaches could be </w:t>
      </w:r>
      <w:r w:rsidR="00C82E44" w:rsidRPr="00165C7E">
        <w:t>important as a backup for interviewing cohort respondents who have moved or are unable to keep face</w:t>
      </w:r>
      <w:r w:rsidR="004B65E3" w:rsidRPr="00165C7E">
        <w:t>-</w:t>
      </w:r>
      <w:r w:rsidR="00C82E44" w:rsidRPr="00165C7E">
        <w:t>to</w:t>
      </w:r>
      <w:r w:rsidR="004B65E3" w:rsidRPr="00165C7E">
        <w:t>-</w:t>
      </w:r>
      <w:r w:rsidR="00C82E44" w:rsidRPr="00165C7E">
        <w:t>face annual appointments at their household.</w:t>
      </w:r>
      <w:r w:rsidR="006E6839" w:rsidRPr="00165C7E">
        <w:t xml:space="preserve"> </w:t>
      </w:r>
      <w:r w:rsidR="003236D6" w:rsidRPr="00165C7E">
        <w:t xml:space="preserve">A methodological study under this generic clearance </w:t>
      </w:r>
      <w:r w:rsidR="00A10E19">
        <w:t>is planned to</w:t>
      </w:r>
      <w:r w:rsidR="003236D6" w:rsidRPr="00165C7E">
        <w:t xml:space="preserve"> assess the strengths and weaknesses of these techniques as</w:t>
      </w:r>
      <w:r w:rsidR="00C82E44" w:rsidRPr="00165C7E">
        <w:t xml:space="preserve"> </w:t>
      </w:r>
      <w:r w:rsidR="003236D6" w:rsidRPr="00165C7E">
        <w:t xml:space="preserve">potential </w:t>
      </w:r>
      <w:r w:rsidR="00C82E44" w:rsidRPr="00165C7E">
        <w:t>alternatives to the household interview</w:t>
      </w:r>
      <w:r w:rsidR="003236D6" w:rsidRPr="00165C7E">
        <w:t>.</w:t>
      </w:r>
      <w:r w:rsidR="006E6839" w:rsidRPr="00165C7E">
        <w:t xml:space="preserve"> </w:t>
      </w:r>
      <w:r w:rsidR="00CA5889">
        <w:t xml:space="preserve">Under this </w:t>
      </w:r>
      <w:r w:rsidR="00E74F4C">
        <w:t>g</w:t>
      </w:r>
      <w:r w:rsidR="00CA5889">
        <w:t xml:space="preserve">eneric </w:t>
      </w:r>
      <w:r w:rsidR="00E74F4C">
        <w:t>c</w:t>
      </w:r>
      <w:r w:rsidR="00CA5889">
        <w:t xml:space="preserve">learance, a methodological study may be conducted to </w:t>
      </w:r>
      <w:r w:rsidR="00CA5889" w:rsidRPr="00E74F4C">
        <w:t>determine i</w:t>
      </w:r>
      <w:r w:rsidR="007832B5" w:rsidRPr="00E74F4C">
        <w:t xml:space="preserve">f </w:t>
      </w:r>
      <w:r w:rsidR="00CA5889" w:rsidRPr="00E74F4C">
        <w:t>smartphones are</w:t>
      </w:r>
      <w:r w:rsidR="007832B5" w:rsidRPr="00165C7E">
        <w:t xml:space="preserve"> appropriate</w:t>
      </w:r>
      <w:r w:rsidR="003236D6" w:rsidRPr="00165C7E">
        <w:t xml:space="preserve"> for the </w:t>
      </w:r>
      <w:r w:rsidR="00661302" w:rsidRPr="00165C7E">
        <w:t>PATH Study</w:t>
      </w:r>
      <w:r w:rsidR="003236D6" w:rsidRPr="00165C7E">
        <w:t xml:space="preserve">’s data collection, </w:t>
      </w:r>
      <w:r w:rsidR="00CA5889" w:rsidRPr="00E74F4C">
        <w:t xml:space="preserve">thus </w:t>
      </w:r>
      <w:r w:rsidR="00A10E19" w:rsidRPr="00E74F4C">
        <w:t>help</w:t>
      </w:r>
      <w:r w:rsidR="00CA5889" w:rsidRPr="00E74F4C">
        <w:t>ing to</w:t>
      </w:r>
      <w:r w:rsidR="00A10E19">
        <w:t xml:space="preserve"> facilitate</w:t>
      </w:r>
      <w:r w:rsidR="003236D6" w:rsidRPr="00165C7E">
        <w:t xml:space="preserve"> </w:t>
      </w:r>
      <w:r w:rsidR="00A73CE0" w:rsidRPr="00165C7E">
        <w:t xml:space="preserve">the </w:t>
      </w:r>
      <w:r w:rsidR="00DD2B4A" w:rsidRPr="00165C7E">
        <w:t>s</w:t>
      </w:r>
      <w:r w:rsidR="00A73CE0" w:rsidRPr="00165C7E">
        <w:t>tudy</w:t>
      </w:r>
      <w:r w:rsidR="00DD2B4A" w:rsidRPr="00165C7E">
        <w:t>’s</w:t>
      </w:r>
      <w:r w:rsidR="00A73CE0" w:rsidRPr="00165C7E">
        <w:t xml:space="preserve"> efforts to maintain high </w:t>
      </w:r>
      <w:r w:rsidR="00323B61" w:rsidRPr="00165C7E">
        <w:t xml:space="preserve">rates of </w:t>
      </w:r>
      <w:r w:rsidR="00A73CE0" w:rsidRPr="00165C7E">
        <w:t>response</w:t>
      </w:r>
      <w:r w:rsidR="00DD2B4A" w:rsidRPr="00165C7E">
        <w:t xml:space="preserve">, retention, </w:t>
      </w:r>
      <w:r w:rsidR="003236D6" w:rsidRPr="00165C7E">
        <w:t>and follow</w:t>
      </w:r>
      <w:r w:rsidR="007D2A5F">
        <w:t>-</w:t>
      </w:r>
      <w:r w:rsidR="003236D6" w:rsidRPr="00165C7E">
        <w:t>up</w:t>
      </w:r>
      <w:r w:rsidR="00323B61" w:rsidRPr="00165C7E">
        <w:t>,</w:t>
      </w:r>
      <w:r w:rsidR="00A73CE0" w:rsidRPr="00165C7E">
        <w:t xml:space="preserve"> </w:t>
      </w:r>
      <w:r w:rsidR="00DD2B4A" w:rsidRPr="00165C7E">
        <w:t xml:space="preserve">and to </w:t>
      </w:r>
      <w:r w:rsidR="00A73CE0" w:rsidRPr="00165C7E">
        <w:t xml:space="preserve">make participation less </w:t>
      </w:r>
      <w:r w:rsidR="007832B5" w:rsidRPr="00165C7E">
        <w:t>burdensome for the respondent.</w:t>
      </w:r>
    </w:p>
    <w:p w:rsidR="00A42476" w:rsidRPr="00165C7E" w:rsidRDefault="00A42476" w:rsidP="00257CB6">
      <w:pPr>
        <w:pStyle w:val="L1-FlLSp12"/>
        <w:rPr>
          <w:i/>
        </w:rPr>
      </w:pPr>
    </w:p>
    <w:p w:rsidR="006E6839" w:rsidRPr="00165C7E" w:rsidRDefault="00655A67" w:rsidP="00257CB6">
      <w:pPr>
        <w:pStyle w:val="L1-FlLSp12"/>
      </w:pPr>
      <w:r w:rsidRPr="00165C7E">
        <w:rPr>
          <w:i/>
        </w:rPr>
        <w:t>Focus group</w:t>
      </w:r>
      <w:r w:rsidR="001E191F" w:rsidRPr="00165C7E">
        <w:rPr>
          <w:i/>
        </w:rPr>
        <w:t xml:space="preserve">s and </w:t>
      </w:r>
      <w:r w:rsidR="001F534E" w:rsidRPr="00165C7E">
        <w:rPr>
          <w:i/>
        </w:rPr>
        <w:t>individual in-depth</w:t>
      </w:r>
      <w:r w:rsidR="001E191F" w:rsidRPr="00165C7E">
        <w:rPr>
          <w:i/>
        </w:rPr>
        <w:t xml:space="preserve"> qualitative interviews</w:t>
      </w:r>
      <w:r w:rsidR="00907320" w:rsidRPr="00165C7E">
        <w:t>.</w:t>
      </w:r>
      <w:r w:rsidR="006E6839" w:rsidRPr="00165C7E">
        <w:t xml:space="preserve"> </w:t>
      </w:r>
      <w:r w:rsidR="00233CA2" w:rsidRPr="00165C7E">
        <w:t>Focus groups are</w:t>
      </w:r>
      <w:r w:rsidR="00907320" w:rsidRPr="00165C7E">
        <w:t xml:space="preserve"> group sessions guided by a moderator who follows a topical outline </w:t>
      </w:r>
      <w:r w:rsidR="001F534E" w:rsidRPr="00165C7E">
        <w:t>(</w:t>
      </w:r>
      <w:r w:rsidR="00DD2B4A" w:rsidRPr="00165C7E">
        <w:t>or script</w:t>
      </w:r>
      <w:r w:rsidR="001F534E" w:rsidRPr="00165C7E">
        <w:t>)</w:t>
      </w:r>
      <w:r w:rsidR="00DD2B4A" w:rsidRPr="00165C7E">
        <w:t xml:space="preserve"> </w:t>
      </w:r>
      <w:r w:rsidR="00907320" w:rsidRPr="00165C7E">
        <w:t>containing questions or topics on a specific issue rather than adhering to a standard questionnaire.</w:t>
      </w:r>
      <w:r w:rsidR="001E191F" w:rsidRPr="00165C7E">
        <w:t xml:space="preserve"> </w:t>
      </w:r>
      <w:r w:rsidR="001F534E" w:rsidRPr="00165C7E">
        <w:t>Individual in-depth</w:t>
      </w:r>
      <w:r w:rsidR="001E191F" w:rsidRPr="00165C7E">
        <w:t xml:space="preserve"> qualitative interviews also </w:t>
      </w:r>
      <w:r w:rsidR="00DD2B4A" w:rsidRPr="00165C7E">
        <w:t xml:space="preserve">use informal </w:t>
      </w:r>
      <w:r w:rsidR="001E191F" w:rsidRPr="00165C7E">
        <w:t>topical outline</w:t>
      </w:r>
      <w:r w:rsidR="00DD2B4A" w:rsidRPr="00165C7E">
        <w:t>s,</w:t>
      </w:r>
      <w:r w:rsidR="001E191F" w:rsidRPr="00165C7E">
        <w:t xml:space="preserve"> but are conducted with a single individual rather than </w:t>
      </w:r>
      <w:r w:rsidR="00D03378" w:rsidRPr="00165C7E">
        <w:t xml:space="preserve">with </w:t>
      </w:r>
      <w:r w:rsidR="001E191F" w:rsidRPr="00165C7E">
        <w:t>a group</w:t>
      </w:r>
      <w:r w:rsidR="00D03378" w:rsidRPr="00165C7E">
        <w:t xml:space="preserve">. </w:t>
      </w:r>
      <w:r w:rsidR="00233CA2" w:rsidRPr="00165C7E">
        <w:t xml:space="preserve">Methodological studies </w:t>
      </w:r>
      <w:r w:rsidR="00DD2B4A" w:rsidRPr="00165C7E">
        <w:t xml:space="preserve">under this generic clearance </w:t>
      </w:r>
      <w:r w:rsidR="00C237AD">
        <w:t xml:space="preserve">may potentially </w:t>
      </w:r>
      <w:r w:rsidR="00DD2B4A" w:rsidRPr="00165C7E">
        <w:t xml:space="preserve">involve the use of </w:t>
      </w:r>
      <w:r w:rsidR="00233CA2" w:rsidRPr="00165C7E">
        <w:t xml:space="preserve">focus groups </w:t>
      </w:r>
      <w:r w:rsidR="00DD2B4A" w:rsidRPr="00165C7E">
        <w:t>and/</w:t>
      </w:r>
      <w:r w:rsidR="001E191F" w:rsidRPr="00165C7E">
        <w:t>or i</w:t>
      </w:r>
      <w:r w:rsidR="001A6488" w:rsidRPr="00165C7E">
        <w:t xml:space="preserve">ndividual </w:t>
      </w:r>
      <w:r w:rsidR="001E191F" w:rsidRPr="00165C7E">
        <w:t xml:space="preserve">qualitative interviews </w:t>
      </w:r>
      <w:r w:rsidR="00DD2B4A" w:rsidRPr="00165C7E">
        <w:t xml:space="preserve">for </w:t>
      </w:r>
      <w:r w:rsidR="002A6145" w:rsidRPr="00165C7E">
        <w:t xml:space="preserve">the </w:t>
      </w:r>
      <w:r w:rsidR="00DD2B4A" w:rsidRPr="00165C7E">
        <w:t>purpose of</w:t>
      </w:r>
      <w:r w:rsidR="00233CA2" w:rsidRPr="00165C7E">
        <w:t xml:space="preserve"> </w:t>
      </w:r>
      <w:r w:rsidR="00D03378" w:rsidRPr="00165C7E">
        <w:t xml:space="preserve">gathering </w:t>
      </w:r>
      <w:r w:rsidR="001A6488" w:rsidRPr="00165C7E">
        <w:t xml:space="preserve">in-depth </w:t>
      </w:r>
      <w:r w:rsidR="00D03378" w:rsidRPr="00165C7E">
        <w:t>information from local-area residents about c</w:t>
      </w:r>
      <w:r w:rsidR="00B131DE" w:rsidRPr="00165C7E">
        <w:t>ontextual, environmental, social, and cultural factors th</w:t>
      </w:r>
      <w:r w:rsidR="00D03378" w:rsidRPr="00165C7E">
        <w:t xml:space="preserve">ey perceive as </w:t>
      </w:r>
      <w:r w:rsidR="00B131DE" w:rsidRPr="00165C7E">
        <w:t>influen</w:t>
      </w:r>
      <w:r w:rsidR="00D03378" w:rsidRPr="00165C7E">
        <w:t xml:space="preserve">tial in shaping </w:t>
      </w:r>
      <w:r w:rsidR="00B131DE" w:rsidRPr="00165C7E">
        <w:t>tobacco-product use attitudes and behaviors</w:t>
      </w:r>
      <w:r w:rsidR="00233CA2" w:rsidRPr="00165C7E">
        <w:t xml:space="preserve">. </w:t>
      </w:r>
      <w:r w:rsidR="00CA5889">
        <w:t xml:space="preserve">Conducting focus groups studies under this </w:t>
      </w:r>
      <w:r w:rsidR="007F7AE6">
        <w:t>g</w:t>
      </w:r>
      <w:r w:rsidR="00CA5889">
        <w:t xml:space="preserve">eneric </w:t>
      </w:r>
      <w:r w:rsidR="007F7AE6">
        <w:t>c</w:t>
      </w:r>
      <w:r w:rsidR="00CA5889">
        <w:t xml:space="preserve">learance </w:t>
      </w:r>
      <w:r w:rsidR="007F7AE6">
        <w:t xml:space="preserve">may </w:t>
      </w:r>
      <w:r w:rsidR="008D2840">
        <w:t xml:space="preserve">help </w:t>
      </w:r>
      <w:r w:rsidR="007F7AE6">
        <w:t>in</w:t>
      </w:r>
      <w:r w:rsidR="008D2840">
        <w:t xml:space="preserve"> </w:t>
      </w:r>
      <w:r w:rsidR="00C237AD">
        <w:t xml:space="preserve">formulating new </w:t>
      </w:r>
      <w:r w:rsidR="00925DB0" w:rsidRPr="00165C7E">
        <w:t>questions</w:t>
      </w:r>
      <w:r w:rsidR="00D03378" w:rsidRPr="00165C7E">
        <w:t xml:space="preserve"> </w:t>
      </w:r>
      <w:r w:rsidR="00C237AD">
        <w:t xml:space="preserve">about </w:t>
      </w:r>
      <w:r w:rsidR="008D2840">
        <w:t xml:space="preserve">factors </w:t>
      </w:r>
      <w:r w:rsidR="003F1E7F">
        <w:t xml:space="preserve">and </w:t>
      </w:r>
      <w:r w:rsidR="00A32A05" w:rsidRPr="00165C7E">
        <w:t xml:space="preserve">emerging </w:t>
      </w:r>
      <w:r w:rsidR="00233CA2" w:rsidRPr="00165C7E">
        <w:t xml:space="preserve">issues </w:t>
      </w:r>
      <w:r w:rsidR="003F1E7F">
        <w:t>that may affect</w:t>
      </w:r>
      <w:r w:rsidR="00233CA2" w:rsidRPr="00165C7E">
        <w:t xml:space="preserve"> tobacco use behaviors</w:t>
      </w:r>
      <w:r w:rsidR="002A6145" w:rsidRPr="00165C7E">
        <w:t xml:space="preserve"> </w:t>
      </w:r>
      <w:r w:rsidR="003F1E7F">
        <w:t xml:space="preserve">and health </w:t>
      </w:r>
      <w:r w:rsidR="00233CA2" w:rsidRPr="00165C7E">
        <w:t>in</w:t>
      </w:r>
      <w:r w:rsidR="001A566D" w:rsidRPr="00165C7E">
        <w:t xml:space="preserve"> the </w:t>
      </w:r>
      <w:r w:rsidR="00661302" w:rsidRPr="00165C7E">
        <w:t>PATH Study</w:t>
      </w:r>
      <w:r w:rsidR="001A566D" w:rsidRPr="00165C7E">
        <w:t xml:space="preserve"> </w:t>
      </w:r>
      <w:r w:rsidR="00233CA2" w:rsidRPr="00165C7E">
        <w:t>questionnaires.</w:t>
      </w:r>
    </w:p>
    <w:p w:rsidR="006B5A5E" w:rsidRDefault="006B5A5E" w:rsidP="00257CB6">
      <w:pPr>
        <w:pStyle w:val="L1-FlLSp12"/>
      </w:pPr>
    </w:p>
    <w:p w:rsidR="00944CD4" w:rsidRDefault="00944CD4" w:rsidP="00944CD4">
      <w:pPr>
        <w:pStyle w:val="L1-FlLSp12"/>
      </w:pPr>
      <w:r w:rsidRPr="00F85E57">
        <w:rPr>
          <w:i/>
        </w:rPr>
        <w:t>Biospecimen collection</w:t>
      </w:r>
      <w:r>
        <w:t xml:space="preserve">.  As in the main PATH Study, biospecimens may be collected from consenting adult respondents in some </w:t>
      </w:r>
      <w:r w:rsidR="00C012DC">
        <w:t>methodological</w:t>
      </w:r>
      <w:r>
        <w:t xml:space="preserve"> studies proposed under this generic clearance.  Biospecimens provide objective measures of nicotine exposure </w:t>
      </w:r>
      <w:r w:rsidRPr="00A2734E">
        <w:t xml:space="preserve">and </w:t>
      </w:r>
      <w:r>
        <w:t xml:space="preserve">can provide information to </w:t>
      </w:r>
      <w:r w:rsidRPr="00A2734E">
        <w:t>prospectively monitor indicators of tobacco use-related harm.</w:t>
      </w:r>
      <w:r>
        <w:t xml:space="preserve">  Examples of biospecimens that may </w:t>
      </w:r>
      <w:r>
        <w:lastRenderedPageBreak/>
        <w:t xml:space="preserve">be proposed for collection </w:t>
      </w:r>
      <w:r w:rsidR="007F7AE6">
        <w:t xml:space="preserve">in some studies </w:t>
      </w:r>
      <w:r>
        <w:t>include: blood, urine, and buccal cells.</w:t>
      </w:r>
      <w:r w:rsidR="00CA5889">
        <w:t xml:space="preserve"> Under this</w:t>
      </w:r>
      <w:r w:rsidR="007F7AE6">
        <w:t xml:space="preserve"> g</w:t>
      </w:r>
      <w:r w:rsidR="00CA5889">
        <w:t xml:space="preserve">eneric </w:t>
      </w:r>
      <w:r w:rsidR="007F7AE6">
        <w:t>c</w:t>
      </w:r>
      <w:r w:rsidR="00CA5889">
        <w:t>learance</w:t>
      </w:r>
      <w:r w:rsidR="006C58B5">
        <w:t>,</w:t>
      </w:r>
      <w:r w:rsidR="00CA5889">
        <w:t xml:space="preserve"> </w:t>
      </w:r>
      <w:r w:rsidR="007F7AE6">
        <w:t xml:space="preserve">studies </w:t>
      </w:r>
      <w:r w:rsidR="007F7AE6" w:rsidRPr="00CB3424">
        <w:t>may be submittedto</w:t>
      </w:r>
      <w:r w:rsidR="007F7AE6">
        <w:t xml:space="preserve"> help </w:t>
      </w:r>
      <w:r w:rsidR="00CA5889">
        <w:t>streamlin</w:t>
      </w:r>
      <w:r w:rsidR="00F64F69">
        <w:t>e</w:t>
      </w:r>
      <w:r w:rsidR="00CA5889">
        <w:t xml:space="preserve"> the frequency</w:t>
      </w:r>
      <w:r w:rsidR="00F64F69">
        <w:t xml:space="preserve"> and</w:t>
      </w:r>
      <w:r w:rsidR="00CA5889">
        <w:t xml:space="preserve"> amount</w:t>
      </w:r>
      <w:r w:rsidR="007F7AE6">
        <w:t>s</w:t>
      </w:r>
      <w:r w:rsidR="00F64F69">
        <w:t xml:space="preserve"> of type</w:t>
      </w:r>
      <w:r w:rsidR="007F7AE6">
        <w:t>s</w:t>
      </w:r>
      <w:r w:rsidR="00F64F69">
        <w:t xml:space="preserve"> of </w:t>
      </w:r>
      <w:r w:rsidR="00CB3E37">
        <w:t xml:space="preserve">biological </w:t>
      </w:r>
      <w:r w:rsidR="00F64F69">
        <w:t>sample</w:t>
      </w:r>
      <w:r w:rsidR="007F7AE6">
        <w:t>s</w:t>
      </w:r>
      <w:r w:rsidR="00F64F69">
        <w:t xml:space="preserve"> collected, and </w:t>
      </w:r>
      <w:r w:rsidR="007F7AE6">
        <w:t xml:space="preserve">to </w:t>
      </w:r>
      <w:r w:rsidR="00F64F69">
        <w:t>reduce po</w:t>
      </w:r>
      <w:r w:rsidR="00CA5889">
        <w:t xml:space="preserve">tential overlap </w:t>
      </w:r>
      <w:r w:rsidR="00F64F69">
        <w:t xml:space="preserve">in the information </w:t>
      </w:r>
      <w:r w:rsidR="007F7AE6">
        <w:t>that can be obtained from different</w:t>
      </w:r>
      <w:r w:rsidR="00F64F69">
        <w:t xml:space="preserve"> types of </w:t>
      </w:r>
      <w:r w:rsidR="00CA5889">
        <w:t xml:space="preserve">samples. </w:t>
      </w:r>
      <w:r w:rsidR="007F7AE6">
        <w:t>Each of these would als</w:t>
      </w:r>
      <w:r w:rsidR="003D298D">
        <w:t>o</w:t>
      </w:r>
      <w:r w:rsidR="007F7AE6">
        <w:t xml:space="preserve"> help to reduce participant </w:t>
      </w:r>
      <w:r w:rsidR="003D298D">
        <w:t>burden</w:t>
      </w:r>
      <w:r>
        <w:t>.</w:t>
      </w:r>
    </w:p>
    <w:p w:rsidR="00944CD4" w:rsidRPr="00165C7E" w:rsidRDefault="00944CD4" w:rsidP="00257CB6">
      <w:pPr>
        <w:pStyle w:val="L1-FlLSp12"/>
      </w:pPr>
    </w:p>
    <w:p w:rsidR="00644CA7" w:rsidRPr="00165C7E" w:rsidRDefault="008835E0" w:rsidP="00257CB6">
      <w:pPr>
        <w:pStyle w:val="L1-FlLSp12"/>
      </w:pPr>
      <w:r w:rsidRPr="00165C7E">
        <w:t xml:space="preserve">As shown in section A.12, approval is sought for </w:t>
      </w:r>
      <w:r w:rsidR="009671CB">
        <w:t xml:space="preserve">methodological studies to improve data and biospecimen collection in the PATH Study </w:t>
      </w:r>
      <w:r w:rsidR="006203E7" w:rsidRPr="00165C7E">
        <w:t>with</w:t>
      </w:r>
      <w:r w:rsidR="00A32A05" w:rsidRPr="00165C7E">
        <w:t xml:space="preserve"> </w:t>
      </w:r>
      <w:r w:rsidR="006B5A5E" w:rsidRPr="00165C7E">
        <w:t xml:space="preserve">approximately </w:t>
      </w:r>
      <w:r w:rsidR="002A3D9A">
        <w:t>20</w:t>
      </w:r>
      <w:r w:rsidR="00145F4B">
        <w:t>,</w:t>
      </w:r>
      <w:r w:rsidR="002A3D9A">
        <w:t>0</w:t>
      </w:r>
      <w:r w:rsidR="00145F4B">
        <w:t xml:space="preserve">00 </w:t>
      </w:r>
      <w:r w:rsidR="000123DB" w:rsidRPr="00165C7E">
        <w:t>participants</w:t>
      </w:r>
      <w:r w:rsidRPr="00165C7E">
        <w:t xml:space="preserve"> annually.</w:t>
      </w:r>
      <w:r w:rsidR="00A23708" w:rsidRPr="00165C7E">
        <w:t xml:space="preserve"> </w:t>
      </w:r>
      <w:r w:rsidR="00F24D79" w:rsidRPr="00165C7E">
        <w:t>Upon</w:t>
      </w:r>
      <w:r w:rsidR="000E5E5F" w:rsidRPr="00165C7E">
        <w:t xml:space="preserve"> </w:t>
      </w:r>
      <w:r w:rsidR="00222E5F" w:rsidRPr="00165C7E">
        <w:t>approval</w:t>
      </w:r>
      <w:r w:rsidR="00F24D79" w:rsidRPr="00165C7E">
        <w:t>,</w:t>
      </w:r>
      <w:r w:rsidR="00222E5F" w:rsidRPr="00165C7E">
        <w:t xml:space="preserve"> NIDA will submit individual or bundled studies under this generic</w:t>
      </w:r>
      <w:r w:rsidR="00741155" w:rsidRPr="00165C7E">
        <w:t xml:space="preserve"> clearance. </w:t>
      </w:r>
      <w:r w:rsidR="00632366" w:rsidRPr="00165C7E">
        <w:t xml:space="preserve">Only </w:t>
      </w:r>
      <w:r w:rsidR="00B86845" w:rsidRPr="00165C7E">
        <w:t>studies</w:t>
      </w:r>
      <w:r w:rsidR="00445571" w:rsidRPr="00165C7E">
        <w:t xml:space="preserve"> </w:t>
      </w:r>
      <w:r w:rsidR="00632366" w:rsidRPr="00165C7E">
        <w:t xml:space="preserve">that have been approved by the </w:t>
      </w:r>
      <w:r w:rsidR="00CD09E2" w:rsidRPr="00165C7E">
        <w:t>prime contractor’s</w:t>
      </w:r>
      <w:r w:rsidR="00632366" w:rsidRPr="00165C7E">
        <w:t xml:space="preserve"> IRB will be included in requests submitted under this generic clearance.</w:t>
      </w:r>
      <w:r w:rsidR="00A23708" w:rsidRPr="00165C7E">
        <w:t xml:space="preserve"> </w:t>
      </w:r>
    </w:p>
    <w:p w:rsidR="003D298D" w:rsidRPr="00165C7E" w:rsidRDefault="003D298D" w:rsidP="00257CB6">
      <w:pPr>
        <w:pStyle w:val="L1-FlLSp12"/>
      </w:pPr>
    </w:p>
    <w:p w:rsidR="002F7ABC" w:rsidRPr="00165C7E" w:rsidRDefault="002F7ABC" w:rsidP="00257CB6">
      <w:pPr>
        <w:pStyle w:val="Heading2"/>
      </w:pPr>
      <w:r w:rsidRPr="00165C7E">
        <w:t>A.2</w:t>
      </w:r>
      <w:r w:rsidRPr="00165C7E">
        <w:tab/>
        <w:t>Purpose and Use of the Information Collection</w:t>
      </w:r>
    </w:p>
    <w:p w:rsidR="0067343D" w:rsidRPr="00165C7E" w:rsidRDefault="00457A78" w:rsidP="000B792F">
      <w:pPr>
        <w:pStyle w:val="L1-FlLSp12"/>
      </w:pPr>
      <w:r w:rsidRPr="00165C7E">
        <w:t xml:space="preserve">The data collected under this generic clearance will be used </w:t>
      </w:r>
      <w:r w:rsidR="003A6F73" w:rsidRPr="00165C7E">
        <w:t xml:space="preserve">to improve </w:t>
      </w:r>
      <w:r w:rsidRPr="00165C7E">
        <w:t xml:space="preserve">the </w:t>
      </w:r>
      <w:r w:rsidR="00661302" w:rsidRPr="00165C7E">
        <w:t>PATH Study</w:t>
      </w:r>
      <w:r w:rsidR="00523624" w:rsidRPr="00165C7E">
        <w:t>’s implementation, data collection procedures, and techniques for attai</w:t>
      </w:r>
      <w:r w:rsidR="003A6F73" w:rsidRPr="00165C7E">
        <w:t>n</w:t>
      </w:r>
      <w:r w:rsidR="00523624" w:rsidRPr="00165C7E">
        <w:t>ing high response, retention, and follow</w:t>
      </w:r>
      <w:r w:rsidR="007D2A5F">
        <w:t>-</w:t>
      </w:r>
      <w:r w:rsidR="00523624" w:rsidRPr="00165C7E">
        <w:t>up rates</w:t>
      </w:r>
      <w:r w:rsidR="006F0E13" w:rsidRPr="00165C7E">
        <w:t xml:space="preserve">. </w:t>
      </w:r>
      <w:r w:rsidR="009671CB">
        <w:t xml:space="preserve"> Data from these studies </w:t>
      </w:r>
      <w:r w:rsidR="00526E35" w:rsidRPr="00165C7E">
        <w:t>will</w:t>
      </w:r>
      <w:r w:rsidR="009671CB">
        <w:t xml:space="preserve"> help to </w:t>
      </w:r>
      <w:r w:rsidR="003A6F73" w:rsidRPr="00165C7E">
        <w:t>inform the</w:t>
      </w:r>
      <w:r w:rsidR="00600761" w:rsidRPr="00165C7E">
        <w:t xml:space="preserve"> </w:t>
      </w:r>
      <w:r w:rsidR="00D971E4" w:rsidRPr="00165C7E">
        <w:t>o</w:t>
      </w:r>
      <w:r w:rsidR="00526E35" w:rsidRPr="00165C7E">
        <w:t xml:space="preserve">ngoing assessment and refinement of </w:t>
      </w:r>
      <w:r w:rsidR="00600761" w:rsidRPr="00165C7E">
        <w:t xml:space="preserve">the </w:t>
      </w:r>
      <w:r w:rsidR="00661302" w:rsidRPr="00165C7E">
        <w:t>PATH Study</w:t>
      </w:r>
      <w:r w:rsidR="00600761" w:rsidRPr="00165C7E">
        <w:t xml:space="preserve">’s methods to assure </w:t>
      </w:r>
      <w:r w:rsidR="0083285A" w:rsidRPr="00165C7E">
        <w:t xml:space="preserve">that they </w:t>
      </w:r>
      <w:r w:rsidR="00600761" w:rsidRPr="00165C7E">
        <w:t xml:space="preserve">are </w:t>
      </w:r>
      <w:r w:rsidR="00C53E71" w:rsidRPr="00165C7E">
        <w:t>optimal</w:t>
      </w:r>
      <w:r w:rsidR="00BD3D0F" w:rsidRPr="00165C7E">
        <w:t xml:space="preserve"> </w:t>
      </w:r>
      <w:r w:rsidR="00C53E71" w:rsidRPr="00165C7E">
        <w:t xml:space="preserve">for </w:t>
      </w:r>
      <w:r w:rsidR="00600761" w:rsidRPr="00165C7E">
        <w:t>measuring and accurately re</w:t>
      </w:r>
      <w:r w:rsidR="00BD3D0F" w:rsidRPr="00165C7E">
        <w:t>port</w:t>
      </w:r>
      <w:r w:rsidR="00600761" w:rsidRPr="00165C7E">
        <w:t>ing population-based</w:t>
      </w:r>
      <w:r w:rsidR="00BD3D0F" w:rsidRPr="00165C7E">
        <w:t xml:space="preserve"> behavioral and health effects associated with </w:t>
      </w:r>
      <w:r w:rsidR="0025746A">
        <w:t xml:space="preserve">the use of </w:t>
      </w:r>
      <w:r w:rsidR="00BD3D0F" w:rsidRPr="00165C7E">
        <w:t>tobacco product</w:t>
      </w:r>
      <w:r w:rsidR="0025746A">
        <w:t>s</w:t>
      </w:r>
      <w:r w:rsidR="00BD3D0F" w:rsidRPr="00165C7E">
        <w:t xml:space="preserve"> in the U.S.</w:t>
      </w:r>
      <w:r w:rsidR="006E6839" w:rsidRPr="00165C7E">
        <w:t xml:space="preserve"> </w:t>
      </w:r>
      <w:r w:rsidR="009671CB">
        <w:t xml:space="preserve"> </w:t>
      </w:r>
      <w:r w:rsidR="000B792F" w:rsidRPr="00165C7E">
        <w:t>Methodological s</w:t>
      </w:r>
      <w:r w:rsidR="003A6F73" w:rsidRPr="00165C7E">
        <w:t xml:space="preserve">tudies </w:t>
      </w:r>
      <w:r w:rsidR="0025746A">
        <w:t xml:space="preserve">planned </w:t>
      </w:r>
      <w:r w:rsidR="003A6F73" w:rsidRPr="00165C7E">
        <w:t>under this</w:t>
      </w:r>
      <w:r w:rsidR="0083285A" w:rsidRPr="00165C7E">
        <w:t xml:space="preserve"> generic clearance </w:t>
      </w:r>
      <w:r w:rsidR="0025746A">
        <w:t>are expected to improve</w:t>
      </w:r>
      <w:r w:rsidR="0083285A" w:rsidRPr="00165C7E">
        <w:t xml:space="preserve"> </w:t>
      </w:r>
      <w:r w:rsidR="00C53E71" w:rsidRPr="00165C7E">
        <w:t xml:space="preserve">the </w:t>
      </w:r>
      <w:r w:rsidR="0083285A" w:rsidRPr="00165C7E">
        <w:t xml:space="preserve">overall </w:t>
      </w:r>
      <w:r w:rsidR="00C53E71" w:rsidRPr="00165C7E">
        <w:t xml:space="preserve">design and efficiency of the </w:t>
      </w:r>
      <w:r w:rsidR="00661302" w:rsidRPr="00165C7E">
        <w:t>PATH Study</w:t>
      </w:r>
      <w:r w:rsidR="0025746A">
        <w:t>’s data collection</w:t>
      </w:r>
      <w:r w:rsidR="000B792F" w:rsidRPr="00165C7E">
        <w:t xml:space="preserve"> protocols.</w:t>
      </w:r>
      <w:r w:rsidR="006E6839" w:rsidRPr="00165C7E">
        <w:t xml:space="preserve"> </w:t>
      </w:r>
      <w:r w:rsidR="0025746A">
        <w:t xml:space="preserve"> These</w:t>
      </w:r>
      <w:r w:rsidR="0025746A" w:rsidRPr="00165C7E">
        <w:t xml:space="preserve"> </w:t>
      </w:r>
      <w:r w:rsidR="000B792F" w:rsidRPr="00165C7E">
        <w:t xml:space="preserve">improvements </w:t>
      </w:r>
      <w:r w:rsidR="0025746A">
        <w:t xml:space="preserve">are also expected to </w:t>
      </w:r>
      <w:r w:rsidR="000B792F" w:rsidRPr="00165C7E">
        <w:t xml:space="preserve">help </w:t>
      </w:r>
      <w:r w:rsidR="0025746A">
        <w:t>in minimizing</w:t>
      </w:r>
      <w:r w:rsidR="000B792F" w:rsidRPr="00165C7E">
        <w:t xml:space="preserve"> the </w:t>
      </w:r>
      <w:r w:rsidR="00661302" w:rsidRPr="00165C7E">
        <w:t>PATH Study</w:t>
      </w:r>
      <w:r w:rsidR="000B792F" w:rsidRPr="00165C7E">
        <w:t>’s</w:t>
      </w:r>
      <w:r w:rsidR="00526E35" w:rsidRPr="00165C7E">
        <w:t xml:space="preserve"> public information collection burden</w:t>
      </w:r>
      <w:r w:rsidR="00C53E71" w:rsidRPr="00165C7E">
        <w:t>.</w:t>
      </w:r>
      <w:r w:rsidR="006E6839" w:rsidRPr="00165C7E">
        <w:t xml:space="preserve"> </w:t>
      </w:r>
      <w:r w:rsidR="000B792F" w:rsidRPr="00165C7E">
        <w:t>This</w:t>
      </w:r>
      <w:r w:rsidR="00E37FB9" w:rsidRPr="00165C7E">
        <w:t xml:space="preserve"> generic clearance </w:t>
      </w:r>
      <w:r w:rsidR="000B792F" w:rsidRPr="00165C7E">
        <w:t xml:space="preserve">request </w:t>
      </w:r>
      <w:r w:rsidR="0025746A">
        <w:t xml:space="preserve">is </w:t>
      </w:r>
      <w:r w:rsidR="000B792F" w:rsidRPr="00165C7E">
        <w:t>focuse</w:t>
      </w:r>
      <w:r w:rsidR="0025746A">
        <w:t>d on answering</w:t>
      </w:r>
      <w:r w:rsidR="000B792F" w:rsidRPr="00165C7E">
        <w:t xml:space="preserve"> the </w:t>
      </w:r>
      <w:r w:rsidR="00E37FB9" w:rsidRPr="00165C7E">
        <w:t>following:</w:t>
      </w:r>
    </w:p>
    <w:p w:rsidR="0067343D" w:rsidRPr="00165C7E" w:rsidRDefault="0067343D" w:rsidP="00257CB6">
      <w:pPr>
        <w:pStyle w:val="L1-FlLSp12"/>
      </w:pPr>
    </w:p>
    <w:p w:rsidR="0048141F" w:rsidRPr="00165C7E" w:rsidRDefault="0048141F" w:rsidP="006E6839">
      <w:pPr>
        <w:pStyle w:val="N1-1stBullet"/>
        <w:numPr>
          <w:ilvl w:val="0"/>
          <w:numId w:val="27"/>
        </w:numPr>
      </w:pPr>
      <w:r w:rsidRPr="00165C7E">
        <w:t xml:space="preserve">What are the most efficient </w:t>
      </w:r>
      <w:r w:rsidR="00A32A05" w:rsidRPr="00165C7E">
        <w:t xml:space="preserve">and </w:t>
      </w:r>
      <w:r w:rsidRPr="00165C7E">
        <w:t>le</w:t>
      </w:r>
      <w:r w:rsidR="00A32A05" w:rsidRPr="00165C7E">
        <w:t xml:space="preserve">ast </w:t>
      </w:r>
      <w:r w:rsidRPr="00165C7E">
        <w:t xml:space="preserve">burdensome methods for collecting self-report data and </w:t>
      </w:r>
      <w:r w:rsidR="00A32A05" w:rsidRPr="00165C7E">
        <w:t xml:space="preserve">for </w:t>
      </w:r>
      <w:r w:rsidR="00803BA6" w:rsidRPr="00165C7E">
        <w:t>collecting/</w:t>
      </w:r>
      <w:r w:rsidRPr="00165C7E">
        <w:t>shipping/</w:t>
      </w:r>
      <w:r w:rsidR="00803BA6" w:rsidRPr="00165C7E">
        <w:t xml:space="preserve">and </w:t>
      </w:r>
      <w:r w:rsidRPr="00165C7E">
        <w:t xml:space="preserve">storing biospecimens </w:t>
      </w:r>
      <w:r w:rsidR="00803BA6" w:rsidRPr="00165C7E">
        <w:t>to achieve</w:t>
      </w:r>
      <w:r w:rsidRPr="00165C7E">
        <w:t xml:space="preserve"> </w:t>
      </w:r>
      <w:r w:rsidR="00803BA6" w:rsidRPr="00165C7E">
        <w:t xml:space="preserve">consistently </w:t>
      </w:r>
      <w:r w:rsidR="00A32A05" w:rsidRPr="00165C7E">
        <w:t xml:space="preserve">high levels of </w:t>
      </w:r>
      <w:r w:rsidRPr="00165C7E">
        <w:t xml:space="preserve">accuracy and precision in </w:t>
      </w:r>
      <w:r w:rsidR="00803BA6" w:rsidRPr="00165C7E">
        <w:t xml:space="preserve">the measurement of </w:t>
      </w:r>
      <w:r w:rsidRPr="00165C7E">
        <w:t xml:space="preserve">tobacco use </w:t>
      </w:r>
      <w:r w:rsidR="00803BA6" w:rsidRPr="00165C7E">
        <w:t xml:space="preserve">behaviors </w:t>
      </w:r>
      <w:r w:rsidRPr="00165C7E">
        <w:t>and health?</w:t>
      </w:r>
    </w:p>
    <w:p w:rsidR="00414D8D" w:rsidRDefault="000D4E5F" w:rsidP="00257CB6">
      <w:pPr>
        <w:pStyle w:val="L1-FlLSp12"/>
      </w:pPr>
      <w:r w:rsidRPr="00165C7E">
        <w:t xml:space="preserve">Identifying and testing </w:t>
      </w:r>
      <w:r w:rsidR="0048141F" w:rsidRPr="00165C7E">
        <w:t xml:space="preserve">options for the collection </w:t>
      </w:r>
      <w:r w:rsidR="005D4B58" w:rsidRPr="00165C7E">
        <w:t xml:space="preserve">of </w:t>
      </w:r>
      <w:r w:rsidR="0048141F" w:rsidRPr="00165C7E">
        <w:t>self-report data</w:t>
      </w:r>
      <w:r w:rsidR="009C7B88" w:rsidRPr="00165C7E">
        <w:t xml:space="preserve"> and </w:t>
      </w:r>
      <w:r w:rsidR="00803BA6" w:rsidRPr="00165C7E">
        <w:t>for collecting/</w:t>
      </w:r>
      <w:r w:rsidR="009C7B88" w:rsidRPr="00165C7E">
        <w:t>shipping/</w:t>
      </w:r>
      <w:r w:rsidR="00803BA6" w:rsidRPr="00165C7E">
        <w:t xml:space="preserve">and </w:t>
      </w:r>
      <w:r w:rsidR="009C7B88" w:rsidRPr="00165C7E">
        <w:t xml:space="preserve">storage of biospecimens </w:t>
      </w:r>
      <w:r w:rsidR="008D1F00">
        <w:t xml:space="preserve">is expected to lead to </w:t>
      </w:r>
      <w:r w:rsidR="00012D54" w:rsidRPr="00165C7E">
        <w:t xml:space="preserve">improvements in </w:t>
      </w:r>
      <w:r w:rsidR="0021571F">
        <w:t xml:space="preserve">the efficiency of administration of the </w:t>
      </w:r>
      <w:r w:rsidR="00012D54">
        <w:t xml:space="preserve">PATH Study’s </w:t>
      </w:r>
      <w:r w:rsidR="0021571F">
        <w:t>instruments and the precision of its measures</w:t>
      </w:r>
      <w:r w:rsidR="00FF0E26">
        <w:t>, both of which will help to reduce</w:t>
      </w:r>
      <w:r w:rsidR="00012D54" w:rsidRPr="00165C7E">
        <w:t xml:space="preserve"> respondent burden</w:t>
      </w:r>
      <w:r w:rsidR="00FF0E26">
        <w:t>.</w:t>
      </w:r>
      <w:r w:rsidR="009C7B88" w:rsidRPr="00165C7E">
        <w:t xml:space="preserve"> </w:t>
      </w:r>
      <w:r w:rsidR="00414D8D" w:rsidRPr="00165C7E">
        <w:t xml:space="preserve">For example, </w:t>
      </w:r>
      <w:r w:rsidR="001232CA" w:rsidRPr="00165C7E">
        <w:t>Web</w:t>
      </w:r>
      <w:r w:rsidR="00414D8D" w:rsidRPr="00165C7E">
        <w:t xml:space="preserve"> data collection </w:t>
      </w:r>
      <w:r w:rsidR="00FF0E26">
        <w:t xml:space="preserve">has potential </w:t>
      </w:r>
      <w:r w:rsidR="00414D8D" w:rsidRPr="00165C7E">
        <w:t xml:space="preserve">for collecting follow-up information from </w:t>
      </w:r>
      <w:r w:rsidR="00FF0E26">
        <w:t xml:space="preserve">respondents who </w:t>
      </w:r>
      <w:r w:rsidR="00414D8D" w:rsidRPr="00165C7E">
        <w:t>move</w:t>
      </w:r>
      <w:r w:rsidR="00FF0E26">
        <w:t xml:space="preserve"> and </w:t>
      </w:r>
      <w:r w:rsidR="00414D8D" w:rsidRPr="00165C7E">
        <w:t>for whom ACASI da</w:t>
      </w:r>
      <w:r w:rsidR="008D24AF" w:rsidRPr="00165C7E">
        <w:t xml:space="preserve">ta collection </w:t>
      </w:r>
      <w:r w:rsidR="00FF0E26">
        <w:t xml:space="preserve">would be </w:t>
      </w:r>
      <w:r w:rsidR="008D24AF" w:rsidRPr="00165C7E">
        <w:t>costly</w:t>
      </w:r>
      <w:r w:rsidR="00FF0E26">
        <w:t xml:space="preserve">.  It may also prove more cost-effective for respondents who move to collect, package, and send their </w:t>
      </w:r>
      <w:r w:rsidR="00414D8D" w:rsidRPr="00165C7E">
        <w:t>urine</w:t>
      </w:r>
      <w:r w:rsidR="00FF0E26">
        <w:t xml:space="preserve"> specimens</w:t>
      </w:r>
      <w:r w:rsidR="00414D8D" w:rsidRPr="00165C7E">
        <w:t xml:space="preserve"> via the mail </w:t>
      </w:r>
      <w:r w:rsidR="00FF0E26">
        <w:t xml:space="preserve">at the </w:t>
      </w:r>
      <w:r w:rsidR="005D4B58" w:rsidRPr="00165C7E">
        <w:t xml:space="preserve">follow-up </w:t>
      </w:r>
      <w:r w:rsidR="00FF0E26">
        <w:t xml:space="preserve">appointment </w:t>
      </w:r>
      <w:r w:rsidR="008D24AF" w:rsidRPr="00165C7E">
        <w:t xml:space="preserve">than </w:t>
      </w:r>
      <w:r w:rsidR="00FF0E26">
        <w:t xml:space="preserve">to arrange </w:t>
      </w:r>
      <w:r w:rsidR="008D24AF" w:rsidRPr="00165C7E">
        <w:t xml:space="preserve">in-person </w:t>
      </w:r>
      <w:r w:rsidR="00FF0E26">
        <w:t>visits to collect this biospecimen.</w:t>
      </w:r>
    </w:p>
    <w:p w:rsidR="00FF0E26" w:rsidRPr="00165C7E" w:rsidRDefault="00FF0E26" w:rsidP="00257CB6">
      <w:pPr>
        <w:pStyle w:val="L1-FlLSp12"/>
      </w:pPr>
    </w:p>
    <w:p w:rsidR="006E6839" w:rsidRPr="00165C7E" w:rsidRDefault="0048141F" w:rsidP="006E6839">
      <w:pPr>
        <w:pStyle w:val="N1-1stBullet"/>
        <w:numPr>
          <w:ilvl w:val="0"/>
          <w:numId w:val="27"/>
        </w:numPr>
      </w:pPr>
      <w:r w:rsidRPr="00165C7E">
        <w:lastRenderedPageBreak/>
        <w:t>What are the best methods for incorporating new technologies to collect data in a longitudinal study?</w:t>
      </w:r>
      <w:r w:rsidR="006E6839" w:rsidRPr="00165C7E">
        <w:t xml:space="preserve"> </w:t>
      </w:r>
    </w:p>
    <w:p w:rsidR="002F1BF0" w:rsidRPr="00165C7E" w:rsidRDefault="002F1BF0" w:rsidP="00257CB6">
      <w:pPr>
        <w:pStyle w:val="L1-FlLSp12"/>
      </w:pPr>
      <w:r w:rsidRPr="00165C7E">
        <w:t xml:space="preserve">The </w:t>
      </w:r>
      <w:r w:rsidR="00661302" w:rsidRPr="00165C7E">
        <w:t>PATH Study</w:t>
      </w:r>
      <w:r w:rsidRPr="00165C7E">
        <w:t xml:space="preserve"> is a longitudinal study</w:t>
      </w:r>
      <w:r w:rsidR="00B844E7">
        <w:t>.  As such, it will</w:t>
      </w:r>
      <w:r w:rsidR="000D4E5F" w:rsidRPr="00165C7E">
        <w:t xml:space="preserve"> face the challenges of maintaining contact with participants over time, </w:t>
      </w:r>
      <w:r w:rsidR="00B844E7">
        <w:t xml:space="preserve">retaining the </w:t>
      </w:r>
      <w:r w:rsidR="000D4E5F" w:rsidRPr="00165C7E">
        <w:t>cohort</w:t>
      </w:r>
      <w:r w:rsidR="00B844E7">
        <w:t>,</w:t>
      </w:r>
      <w:r w:rsidR="008E603E" w:rsidRPr="00165C7E">
        <w:t xml:space="preserve"> and </w:t>
      </w:r>
      <w:r w:rsidR="000D4E5F" w:rsidRPr="00165C7E">
        <w:t xml:space="preserve">achieving high response rates. </w:t>
      </w:r>
      <w:r w:rsidR="00557CDF" w:rsidRPr="00165C7E">
        <w:t>Testing n</w:t>
      </w:r>
      <w:r w:rsidR="008E603E" w:rsidRPr="00165C7E">
        <w:t xml:space="preserve">ew technologies </w:t>
      </w:r>
      <w:r w:rsidR="000D4E5F" w:rsidRPr="00165C7E">
        <w:t>t</w:t>
      </w:r>
      <w:r w:rsidR="00DC1D85" w:rsidRPr="00165C7E">
        <w:t>o</w:t>
      </w:r>
      <w:r w:rsidR="008E603E" w:rsidRPr="00165C7E">
        <w:t xml:space="preserve"> </w:t>
      </w:r>
      <w:r w:rsidR="00557CDF" w:rsidRPr="00165C7E">
        <w:t xml:space="preserve">determine </w:t>
      </w:r>
      <w:r w:rsidR="00D9705D" w:rsidRPr="00165C7E">
        <w:t xml:space="preserve">whether they </w:t>
      </w:r>
      <w:r w:rsidR="00B844E7">
        <w:t>can</w:t>
      </w:r>
      <w:r w:rsidR="00D9705D" w:rsidRPr="00165C7E">
        <w:t xml:space="preserve"> improve how t</w:t>
      </w:r>
      <w:r w:rsidR="000D4E5F" w:rsidRPr="00165C7E">
        <w:t>he</w:t>
      </w:r>
      <w:r w:rsidR="00D9705D" w:rsidRPr="00165C7E">
        <w:t xml:space="preserve"> study meets these </w:t>
      </w:r>
      <w:r w:rsidR="000D4E5F" w:rsidRPr="00165C7E">
        <w:t xml:space="preserve">challenges </w:t>
      </w:r>
      <w:r w:rsidR="00D9705D" w:rsidRPr="00165C7E">
        <w:t>is of great interest and potentia</w:t>
      </w:r>
      <w:r w:rsidR="00964905" w:rsidRPr="00165C7E">
        <w:t>l</w:t>
      </w:r>
      <w:r w:rsidR="00D9705D" w:rsidRPr="00165C7E">
        <w:t>l</w:t>
      </w:r>
      <w:r w:rsidR="00964905" w:rsidRPr="00165C7E">
        <w:t>y high</w:t>
      </w:r>
      <w:r w:rsidR="00D9705D" w:rsidRPr="00165C7E">
        <w:t xml:space="preserve"> benefit </w:t>
      </w:r>
      <w:r w:rsidR="00235B9B" w:rsidRPr="00165C7E">
        <w:t xml:space="preserve">to the </w:t>
      </w:r>
      <w:r w:rsidR="00661302" w:rsidRPr="00165C7E">
        <w:t>PATH Study</w:t>
      </w:r>
      <w:r w:rsidR="00235B9B" w:rsidRPr="00165C7E">
        <w:t xml:space="preserve">. </w:t>
      </w:r>
      <w:r w:rsidR="00CE5A71" w:rsidRPr="00165C7E">
        <w:t xml:space="preserve">For example, </w:t>
      </w:r>
      <w:r w:rsidR="00B844E7" w:rsidRPr="00165C7E">
        <w:t>techniques</w:t>
      </w:r>
      <w:r w:rsidR="00B844E7">
        <w:t xml:space="preserve"> that </w:t>
      </w:r>
      <w:r w:rsidR="00235B9B" w:rsidRPr="00165C7E">
        <w:t>prompt and</w:t>
      </w:r>
      <w:r w:rsidR="00DC1D85" w:rsidRPr="00165C7E">
        <w:t xml:space="preserve"> improve recall</w:t>
      </w:r>
      <w:r w:rsidR="00B844E7">
        <w:t>, such as</w:t>
      </w:r>
      <w:r w:rsidR="00DC1D85" w:rsidRPr="00165C7E">
        <w:t xml:space="preserve"> </w:t>
      </w:r>
      <w:r w:rsidR="00CE5A71" w:rsidRPr="00165C7E">
        <w:t>provid</w:t>
      </w:r>
      <w:r w:rsidR="00DC1D85" w:rsidRPr="00165C7E">
        <w:t>ing</w:t>
      </w:r>
      <w:r w:rsidR="00CE5A71" w:rsidRPr="00165C7E">
        <w:t xml:space="preserve"> respondents with the</w:t>
      </w:r>
      <w:r w:rsidR="00DC1D85" w:rsidRPr="00165C7E">
        <w:t>ir response</w:t>
      </w:r>
      <w:r w:rsidR="00CE5A71" w:rsidRPr="00165C7E">
        <w:t>s to specific questionnaire item</w:t>
      </w:r>
      <w:r w:rsidR="00DC1D85" w:rsidRPr="00165C7E">
        <w:t>s</w:t>
      </w:r>
      <w:r w:rsidR="00CE5A71" w:rsidRPr="00165C7E">
        <w:t xml:space="preserve"> </w:t>
      </w:r>
      <w:r w:rsidR="00DC1D85" w:rsidRPr="00165C7E">
        <w:t>from the</w:t>
      </w:r>
      <w:r w:rsidR="00CE5A71" w:rsidRPr="00165C7E">
        <w:t xml:space="preserve"> previous wav</w:t>
      </w:r>
      <w:r w:rsidR="00CE1876" w:rsidRPr="00165C7E">
        <w:t>e of data collection</w:t>
      </w:r>
      <w:r w:rsidR="00B844E7">
        <w:t>, may be helpful to the PATH Study</w:t>
      </w:r>
      <w:r w:rsidR="00CE1876" w:rsidRPr="00165C7E">
        <w:t>.</w:t>
      </w:r>
      <w:r w:rsidR="006E6839" w:rsidRPr="00165C7E">
        <w:t xml:space="preserve"> </w:t>
      </w:r>
      <w:r w:rsidR="00CE1876" w:rsidRPr="00165C7E">
        <w:t xml:space="preserve">A study </w:t>
      </w:r>
      <w:r w:rsidR="00235B9B" w:rsidRPr="00165C7E">
        <w:t>to</w:t>
      </w:r>
      <w:r w:rsidR="00CE1876" w:rsidRPr="00165C7E">
        <w:t xml:space="preserve"> compare the results of respondents who were provided with their previous answers (i.e., dependent interviewing) to those who were not provided with their previous answers</w:t>
      </w:r>
      <w:r w:rsidR="00CE5A71" w:rsidRPr="00165C7E">
        <w:t xml:space="preserve"> (i.e., independent interviewing) </w:t>
      </w:r>
      <w:r w:rsidR="00235B9B" w:rsidRPr="00165C7E">
        <w:t xml:space="preserve">would </w:t>
      </w:r>
      <w:r w:rsidR="00964905" w:rsidRPr="00165C7E">
        <w:t xml:space="preserve">provide a way to </w:t>
      </w:r>
      <w:r w:rsidR="00235B9B" w:rsidRPr="00165C7E">
        <w:t xml:space="preserve">determine </w:t>
      </w:r>
      <w:r w:rsidR="00964905" w:rsidRPr="00165C7E">
        <w:t>how they differ, e.g.,</w:t>
      </w:r>
      <w:r w:rsidR="00235B9B" w:rsidRPr="00165C7E">
        <w:t xml:space="preserve"> whether one method yields </w:t>
      </w:r>
      <w:r w:rsidR="00CE5A71" w:rsidRPr="00165C7E">
        <w:t xml:space="preserve">more </w:t>
      </w:r>
      <w:r w:rsidR="00964905" w:rsidRPr="00165C7E">
        <w:t xml:space="preserve">or less </w:t>
      </w:r>
      <w:r w:rsidR="00CE5A71" w:rsidRPr="00165C7E">
        <w:t>reliable data</w:t>
      </w:r>
      <w:r w:rsidR="00235B9B" w:rsidRPr="00165C7E">
        <w:t xml:space="preserve"> than the other</w:t>
      </w:r>
      <w:r w:rsidR="00B426F7" w:rsidRPr="00165C7E">
        <w:t xml:space="preserve">, </w:t>
      </w:r>
      <w:r w:rsidR="00235B9B" w:rsidRPr="00165C7E">
        <w:t>and if so, to what extent</w:t>
      </w:r>
      <w:r w:rsidR="00CE5A71" w:rsidRPr="00165C7E">
        <w:t>.</w:t>
      </w:r>
    </w:p>
    <w:p w:rsidR="002F1BF0" w:rsidRPr="00165C7E" w:rsidRDefault="002F1BF0" w:rsidP="00257CB6">
      <w:pPr>
        <w:pStyle w:val="L1-FlLSp12"/>
      </w:pPr>
    </w:p>
    <w:p w:rsidR="006E6839" w:rsidRPr="00165C7E" w:rsidRDefault="0048141F" w:rsidP="006E6839">
      <w:pPr>
        <w:pStyle w:val="N1-1stBullet"/>
        <w:numPr>
          <w:ilvl w:val="0"/>
          <w:numId w:val="27"/>
        </w:numPr>
      </w:pPr>
      <w:r w:rsidRPr="00165C7E">
        <w:t xml:space="preserve">What are the psychometric properties of the self-report measures of tobacco use and health used in the </w:t>
      </w:r>
      <w:r w:rsidR="00661302" w:rsidRPr="00165C7E">
        <w:t>PATH Study</w:t>
      </w:r>
      <w:r w:rsidRPr="00165C7E">
        <w:t>?</w:t>
      </w:r>
      <w:r w:rsidR="006E6839" w:rsidRPr="00165C7E">
        <w:t xml:space="preserve"> </w:t>
      </w:r>
    </w:p>
    <w:p w:rsidR="0075090A" w:rsidRPr="00165C7E" w:rsidRDefault="00B4443B" w:rsidP="00257CB6">
      <w:pPr>
        <w:pStyle w:val="L1-FlLSp12"/>
      </w:pPr>
      <w:r w:rsidRPr="00165C7E">
        <w:t xml:space="preserve">A major goal of the </w:t>
      </w:r>
      <w:r w:rsidR="00661302" w:rsidRPr="00165C7E">
        <w:t>PATH Study</w:t>
      </w:r>
      <w:r w:rsidRPr="00165C7E">
        <w:t xml:space="preserve"> is to provide timely, accurate, population-based data </w:t>
      </w:r>
      <w:r w:rsidR="004D7F94">
        <w:t xml:space="preserve">on tobacco use behaviors and health that FDA can use as a basis for </w:t>
      </w:r>
      <w:r w:rsidR="0061697C" w:rsidRPr="0061697C">
        <w:t>examin</w:t>
      </w:r>
      <w:r w:rsidR="0061697C">
        <w:t xml:space="preserve">ing </w:t>
      </w:r>
      <w:r w:rsidR="0061697C" w:rsidRPr="0061697C">
        <w:t>behavioral and health impacts of specific FS</w:t>
      </w:r>
      <w:r w:rsidR="00D435C7">
        <w:t>P</w:t>
      </w:r>
      <w:r w:rsidR="0061697C" w:rsidRPr="0061697C">
        <w:t>TCA</w:t>
      </w:r>
      <w:r w:rsidR="00D435C7">
        <w:t>-</w:t>
      </w:r>
      <w:r w:rsidR="0061697C" w:rsidRPr="0061697C">
        <w:t>related programs</w:t>
      </w:r>
      <w:r w:rsidR="00AA0873">
        <w:t>.</w:t>
      </w:r>
      <w:r w:rsidR="004D7F94">
        <w:t xml:space="preserve"> Realizing </w:t>
      </w:r>
      <w:r w:rsidRPr="00165C7E">
        <w:t xml:space="preserve">this goal requires that the </w:t>
      </w:r>
      <w:r w:rsidR="00661302" w:rsidRPr="00165C7E">
        <w:t>PATH Study</w:t>
      </w:r>
      <w:r w:rsidRPr="00165C7E">
        <w:t xml:space="preserve"> instruments have </w:t>
      </w:r>
      <w:r w:rsidR="008A6FBC" w:rsidRPr="00165C7E">
        <w:t xml:space="preserve">proven </w:t>
      </w:r>
      <w:r w:rsidRPr="00165C7E">
        <w:t xml:space="preserve">high reliability (measurement </w:t>
      </w:r>
      <w:r w:rsidR="008A6FBC" w:rsidRPr="00165C7E">
        <w:t>precision or consistency</w:t>
      </w:r>
      <w:r w:rsidRPr="00165C7E">
        <w:t>) and validity (</w:t>
      </w:r>
      <w:r w:rsidR="008A6FBC" w:rsidRPr="00165C7E">
        <w:t>measurement accuracy).</w:t>
      </w:r>
      <w:r w:rsidR="006E6839" w:rsidRPr="00165C7E">
        <w:t xml:space="preserve"> </w:t>
      </w:r>
      <w:r w:rsidR="00A32A05" w:rsidRPr="00165C7E">
        <w:t>M</w:t>
      </w:r>
      <w:r w:rsidR="00030A00" w:rsidRPr="00165C7E">
        <w:t xml:space="preserve">any </w:t>
      </w:r>
      <w:r w:rsidR="0075090A" w:rsidRPr="00165C7E">
        <w:t xml:space="preserve">surveys </w:t>
      </w:r>
      <w:r w:rsidR="004D7F94">
        <w:t>have</w:t>
      </w:r>
      <w:r w:rsidR="0075090A" w:rsidRPr="00165C7E">
        <w:t xml:space="preserve"> not assess</w:t>
      </w:r>
      <w:r w:rsidR="004D7F94">
        <w:t>ed</w:t>
      </w:r>
      <w:r w:rsidR="0075090A" w:rsidRPr="00165C7E">
        <w:t xml:space="preserve"> the </w:t>
      </w:r>
      <w:r w:rsidR="004D7F94" w:rsidRPr="00165C7E">
        <w:t>consistency</w:t>
      </w:r>
      <w:r w:rsidR="004D7F94">
        <w:t xml:space="preserve"> or reliability </w:t>
      </w:r>
      <w:r w:rsidR="0075090A" w:rsidRPr="00165C7E">
        <w:t xml:space="preserve">of </w:t>
      </w:r>
      <w:r w:rsidR="004D7F94">
        <w:t>participant r</w:t>
      </w:r>
      <w:r w:rsidR="0075090A" w:rsidRPr="00165C7E">
        <w:t xml:space="preserve">esponses </w:t>
      </w:r>
      <w:r w:rsidR="004D7F94">
        <w:t xml:space="preserve">to their questions. </w:t>
      </w:r>
      <w:r w:rsidR="00030A00" w:rsidRPr="00165C7E">
        <w:t>Th</w:t>
      </w:r>
      <w:r w:rsidR="004D7F94">
        <w:t>ose</w:t>
      </w:r>
      <w:r w:rsidR="00030A00" w:rsidRPr="00165C7E">
        <w:t xml:space="preserve"> that </w:t>
      </w:r>
      <w:r w:rsidR="008A6FBC" w:rsidRPr="00165C7E">
        <w:t xml:space="preserve">have generally </w:t>
      </w:r>
      <w:r w:rsidR="004D7F94">
        <w:t xml:space="preserve">have </w:t>
      </w:r>
      <w:r w:rsidR="0075090A" w:rsidRPr="00165C7E">
        <w:t>use</w:t>
      </w:r>
      <w:r w:rsidR="008A6FBC" w:rsidRPr="00165C7E">
        <w:t>d</w:t>
      </w:r>
      <w:r w:rsidR="0075090A" w:rsidRPr="00165C7E">
        <w:t xml:space="preserve"> </w:t>
      </w:r>
      <w:r w:rsidR="004D7F94">
        <w:t xml:space="preserve">the </w:t>
      </w:r>
      <w:r w:rsidR="00CB156F" w:rsidRPr="00165C7E">
        <w:t>reinterview</w:t>
      </w:r>
      <w:r w:rsidR="008A6FBC" w:rsidRPr="00165C7E">
        <w:t>.</w:t>
      </w:r>
      <w:r w:rsidR="006E6839" w:rsidRPr="00165C7E">
        <w:t xml:space="preserve"> </w:t>
      </w:r>
      <w:r w:rsidR="0075090A" w:rsidRPr="00165C7E">
        <w:t xml:space="preserve">Respondents complete the main interview and then within a relatively short period of time (e.g., 10 to 14 days) are recontacted and asked to complete all or some of </w:t>
      </w:r>
      <w:r w:rsidR="007F79DE" w:rsidRPr="00165C7E">
        <w:t>the same items a second time.</w:t>
      </w:r>
      <w:r w:rsidR="006E6839" w:rsidRPr="00165C7E">
        <w:t xml:space="preserve"> </w:t>
      </w:r>
      <w:r w:rsidR="0075090A" w:rsidRPr="00165C7E">
        <w:t>For items that are time-dependent, the same reference period is used in both the initial interview and the reinterview.</w:t>
      </w:r>
      <w:r w:rsidR="006E6839" w:rsidRPr="00165C7E">
        <w:t xml:space="preserve"> </w:t>
      </w:r>
      <w:r w:rsidR="00580324" w:rsidRPr="00165C7E">
        <w:t>S</w:t>
      </w:r>
      <w:r w:rsidR="00D82493" w:rsidRPr="00165C7E">
        <w:t xml:space="preserve">urvey responses </w:t>
      </w:r>
      <w:r w:rsidR="00580324" w:rsidRPr="00165C7E">
        <w:t xml:space="preserve">to the same items are expected </w:t>
      </w:r>
      <w:r w:rsidR="00D82493" w:rsidRPr="00165C7E">
        <w:t xml:space="preserve">to change </w:t>
      </w:r>
      <w:r w:rsidR="00B85A8C" w:rsidRPr="00165C7E">
        <w:t xml:space="preserve">in the annual interval between </w:t>
      </w:r>
      <w:r w:rsidR="00580324" w:rsidRPr="00165C7E">
        <w:t xml:space="preserve">follow-up interviews </w:t>
      </w:r>
      <w:r w:rsidR="00D82493" w:rsidRPr="00165C7E">
        <w:t xml:space="preserve">in the </w:t>
      </w:r>
      <w:r w:rsidR="00661302" w:rsidRPr="00165C7E">
        <w:t>PATH Study</w:t>
      </w:r>
      <w:r w:rsidR="00B85A8C" w:rsidRPr="00165C7E">
        <w:t>. It</w:t>
      </w:r>
      <w:r w:rsidR="008A6FBC" w:rsidRPr="00165C7E">
        <w:t xml:space="preserve"> is </w:t>
      </w:r>
      <w:r w:rsidR="00B85A8C" w:rsidRPr="00165C7E">
        <w:t xml:space="preserve">therefore </w:t>
      </w:r>
      <w:r w:rsidR="008A6FBC" w:rsidRPr="00165C7E">
        <w:t xml:space="preserve">important </w:t>
      </w:r>
      <w:r w:rsidR="00B85A8C" w:rsidRPr="00165C7E">
        <w:t>that</w:t>
      </w:r>
      <w:r w:rsidR="008A6FBC" w:rsidRPr="00165C7E">
        <w:t xml:space="preserve"> the study </w:t>
      </w:r>
      <w:r w:rsidR="00D82493" w:rsidRPr="00165C7E">
        <w:t xml:space="preserve">conduct </w:t>
      </w:r>
      <w:r w:rsidR="00580324" w:rsidRPr="00165C7E">
        <w:t xml:space="preserve">a </w:t>
      </w:r>
      <w:r w:rsidR="00CB156F" w:rsidRPr="00165C7E">
        <w:t>reinterview</w:t>
      </w:r>
      <w:r w:rsidR="00580324" w:rsidRPr="00165C7E">
        <w:t xml:space="preserve"> of</w:t>
      </w:r>
      <w:r w:rsidR="00D82493" w:rsidRPr="00165C7E">
        <w:t xml:space="preserve"> respondents </w:t>
      </w:r>
      <w:r w:rsidR="00580324" w:rsidRPr="00165C7E">
        <w:t>within a relatively short period</w:t>
      </w:r>
      <w:r w:rsidR="00282C0A" w:rsidRPr="00165C7E">
        <w:t xml:space="preserve"> of time</w:t>
      </w:r>
      <w:r w:rsidR="00B85A8C" w:rsidRPr="00165C7E">
        <w:t xml:space="preserve"> to ascertain the </w:t>
      </w:r>
      <w:r w:rsidR="00D82493" w:rsidRPr="00165C7E">
        <w:t xml:space="preserve">reliability of </w:t>
      </w:r>
      <w:r w:rsidR="0055502C">
        <w:t xml:space="preserve">responses to the same </w:t>
      </w:r>
      <w:r w:rsidR="00D82493" w:rsidRPr="00165C7E">
        <w:t>questionnaire</w:t>
      </w:r>
      <w:r w:rsidR="0055502C">
        <w:t xml:space="preserve"> items</w:t>
      </w:r>
      <w:r w:rsidR="00282C0A" w:rsidRPr="00165C7E">
        <w:t xml:space="preserve"> and to </w:t>
      </w:r>
      <w:r w:rsidR="00A32A05" w:rsidRPr="00165C7E">
        <w:t xml:space="preserve">distinguish </w:t>
      </w:r>
      <w:r w:rsidR="0055502C">
        <w:t xml:space="preserve">between what may be </w:t>
      </w:r>
      <w:r w:rsidR="00A32A05" w:rsidRPr="00165C7E">
        <w:t>unreliabl</w:t>
      </w:r>
      <w:r w:rsidR="0055502C">
        <w:t>e or inconsistent in a reinterview f</w:t>
      </w:r>
      <w:r w:rsidR="00A32A05" w:rsidRPr="00165C7E">
        <w:t xml:space="preserve">rom </w:t>
      </w:r>
      <w:r w:rsidR="0055502C">
        <w:t xml:space="preserve">what may be </w:t>
      </w:r>
      <w:r w:rsidR="00A32A05" w:rsidRPr="00165C7E">
        <w:t>true change over time.</w:t>
      </w:r>
    </w:p>
    <w:p w:rsidR="00DC1D85" w:rsidRPr="00165C7E" w:rsidRDefault="00DC1D85" w:rsidP="00257CB6">
      <w:pPr>
        <w:pStyle w:val="L1-FlLSp12"/>
      </w:pPr>
    </w:p>
    <w:p w:rsidR="006E6839" w:rsidRPr="00165C7E" w:rsidRDefault="00D82493" w:rsidP="00257CB6">
      <w:pPr>
        <w:pStyle w:val="L1-FlLSp12"/>
      </w:pPr>
      <w:r w:rsidRPr="00165C7E">
        <w:t xml:space="preserve">To test the validity of the </w:t>
      </w:r>
      <w:r w:rsidR="00661302" w:rsidRPr="00165C7E">
        <w:t>PATH Study</w:t>
      </w:r>
      <w:r w:rsidRPr="00165C7E">
        <w:t xml:space="preserve"> questionnaires, </w:t>
      </w:r>
      <w:r w:rsidR="00282C0A" w:rsidRPr="00165C7E">
        <w:t xml:space="preserve">it </w:t>
      </w:r>
      <w:r w:rsidR="00B85A8C" w:rsidRPr="00165C7E">
        <w:t xml:space="preserve">will be necessary </w:t>
      </w:r>
      <w:r w:rsidR="00282C0A" w:rsidRPr="00165C7E">
        <w:t>to</w:t>
      </w:r>
      <w:r w:rsidRPr="00165C7E">
        <w:t xml:space="preserve"> verify the accuracy of information reported by respondents.</w:t>
      </w:r>
      <w:r w:rsidR="006E6839" w:rsidRPr="00165C7E">
        <w:t xml:space="preserve"> </w:t>
      </w:r>
      <w:r w:rsidRPr="00165C7E">
        <w:t xml:space="preserve">Most studies that have examined the accuracy of reports about </w:t>
      </w:r>
      <w:r w:rsidR="00B85A8C" w:rsidRPr="00165C7E">
        <w:t>tobacco use</w:t>
      </w:r>
      <w:r w:rsidRPr="00165C7E">
        <w:t xml:space="preserve"> have found relatively low levels of underreporting, except </w:t>
      </w:r>
      <w:r w:rsidR="00B85A8C" w:rsidRPr="00165C7E">
        <w:t xml:space="preserve">among specific </w:t>
      </w:r>
      <w:r w:rsidRPr="00165C7E">
        <w:t>subpopulations, such as teenagers and pregnant women.</w:t>
      </w:r>
      <w:r w:rsidR="006E6839" w:rsidRPr="00165C7E">
        <w:t xml:space="preserve"> </w:t>
      </w:r>
      <w:r w:rsidRPr="00165C7E">
        <w:t>However,</w:t>
      </w:r>
      <w:r w:rsidR="00282C0A" w:rsidRPr="00165C7E">
        <w:t xml:space="preserve"> in many areas of the U.S., </w:t>
      </w:r>
      <w:r w:rsidRPr="00165C7E">
        <w:t xml:space="preserve">smoking and other forms of tobacco use </w:t>
      </w:r>
      <w:r w:rsidR="00282C0A" w:rsidRPr="00165C7E">
        <w:t xml:space="preserve">have become more socially undesirable and </w:t>
      </w:r>
      <w:r w:rsidRPr="00165C7E">
        <w:t xml:space="preserve">sensitive </w:t>
      </w:r>
      <w:r w:rsidR="00282C0A" w:rsidRPr="00165C7E">
        <w:t xml:space="preserve">in </w:t>
      </w:r>
      <w:r w:rsidR="00282C0A" w:rsidRPr="00165C7E">
        <w:lastRenderedPageBreak/>
        <w:t>recent years</w:t>
      </w:r>
      <w:r w:rsidRPr="00165C7E">
        <w:t xml:space="preserve"> </w:t>
      </w:r>
      <w:r w:rsidR="00282C0A" w:rsidRPr="00165C7E">
        <w:t xml:space="preserve">in parallel with declines in </w:t>
      </w:r>
      <w:r w:rsidRPr="00165C7E">
        <w:t>the overall prevalence of smoking</w:t>
      </w:r>
      <w:r w:rsidR="00282C0A" w:rsidRPr="00165C7E">
        <w:t xml:space="preserve"> a</w:t>
      </w:r>
      <w:r w:rsidRPr="00165C7E">
        <w:t>nd</w:t>
      </w:r>
      <w:r w:rsidR="00282C0A" w:rsidRPr="00165C7E">
        <w:t xml:space="preserve"> with</w:t>
      </w:r>
      <w:r w:rsidRPr="00165C7E">
        <w:t xml:space="preserve"> </w:t>
      </w:r>
      <w:r w:rsidR="00282C0A" w:rsidRPr="00165C7E">
        <w:t xml:space="preserve">greater recognition of </w:t>
      </w:r>
      <w:r w:rsidRPr="00165C7E">
        <w:t>the health risks associated with tobacco use</w:t>
      </w:r>
      <w:r w:rsidR="00282C0A" w:rsidRPr="00165C7E">
        <w:t>.</w:t>
      </w:r>
      <w:r w:rsidR="006E6839" w:rsidRPr="00165C7E">
        <w:t xml:space="preserve"> </w:t>
      </w:r>
      <w:r w:rsidRPr="00165C7E">
        <w:t>As a result, mis</w:t>
      </w:r>
      <w:r w:rsidR="00282C0A" w:rsidRPr="00165C7E">
        <w:t xml:space="preserve">reporting </w:t>
      </w:r>
      <w:r w:rsidR="00480044" w:rsidRPr="00165C7E">
        <w:t xml:space="preserve">and </w:t>
      </w:r>
      <w:r w:rsidR="00282C0A" w:rsidRPr="00165C7E">
        <w:t>underr</w:t>
      </w:r>
      <w:r w:rsidRPr="00165C7E">
        <w:t xml:space="preserve">eporting </w:t>
      </w:r>
      <w:r w:rsidR="00480044" w:rsidRPr="00165C7E">
        <w:t xml:space="preserve">of </w:t>
      </w:r>
      <w:r w:rsidRPr="00165C7E">
        <w:t xml:space="preserve">tobacco use </w:t>
      </w:r>
      <w:r w:rsidR="00282C0A" w:rsidRPr="00165C7E">
        <w:t xml:space="preserve">behaviors </w:t>
      </w:r>
      <w:r w:rsidRPr="00165C7E">
        <w:t xml:space="preserve">may </w:t>
      </w:r>
      <w:r w:rsidR="00282C0A" w:rsidRPr="00165C7E">
        <w:t xml:space="preserve">be more likely today than </w:t>
      </w:r>
      <w:r w:rsidRPr="00165C7E">
        <w:t>was true 30 years ago.</w:t>
      </w:r>
      <w:r w:rsidR="006E6839" w:rsidRPr="00165C7E">
        <w:t xml:space="preserve"> </w:t>
      </w:r>
      <w:r w:rsidR="00480044" w:rsidRPr="00165C7E">
        <w:t xml:space="preserve">For this reason, it will be important for the </w:t>
      </w:r>
      <w:r w:rsidR="00661302" w:rsidRPr="00165C7E">
        <w:t>PATH Study</w:t>
      </w:r>
      <w:r w:rsidR="00480044" w:rsidRPr="00165C7E">
        <w:t xml:space="preserve"> </w:t>
      </w:r>
      <w:r w:rsidR="00282C0A" w:rsidRPr="00165C7E">
        <w:t xml:space="preserve">to </w:t>
      </w:r>
      <w:r w:rsidR="00480044" w:rsidRPr="00165C7E">
        <w:t>examine and verify the accuracy of respondent self-report data through comparisons with other measures, such as biomarker data collected at the same time.</w:t>
      </w:r>
      <w:r w:rsidR="006E6839" w:rsidRPr="00165C7E">
        <w:t xml:space="preserve"> </w:t>
      </w:r>
      <w:r w:rsidR="000B6D8A" w:rsidRPr="00165C7E">
        <w:t>The use of biomarker data to validate the accuracy of self-report</w:t>
      </w:r>
      <w:r w:rsidR="006C58B5">
        <w:t>s</w:t>
      </w:r>
      <w:r w:rsidR="000B6D8A" w:rsidRPr="00165C7E">
        <w:t xml:space="preserve"> can </w:t>
      </w:r>
      <w:r w:rsidR="00E83821">
        <w:t>help to</w:t>
      </w:r>
      <w:r w:rsidR="000B6D8A" w:rsidRPr="00165C7E">
        <w:t xml:space="preserve"> identify items </w:t>
      </w:r>
      <w:r w:rsidR="001A5CE5" w:rsidRPr="00165C7E">
        <w:t xml:space="preserve">associated with </w:t>
      </w:r>
      <w:r w:rsidR="00EB5360" w:rsidRPr="00165C7E">
        <w:t xml:space="preserve">invalid responses </w:t>
      </w:r>
      <w:r w:rsidR="00E83821">
        <w:t>for purposes of re-wording or refining item</w:t>
      </w:r>
      <w:r w:rsidR="00A60C6A">
        <w:t>s</w:t>
      </w:r>
      <w:r w:rsidR="00E83821">
        <w:t xml:space="preserve"> or for making </w:t>
      </w:r>
      <w:r w:rsidR="00A76AE4" w:rsidRPr="00165C7E">
        <w:t>statistical adjustment</w:t>
      </w:r>
      <w:r w:rsidR="00A60C6A">
        <w:t>s</w:t>
      </w:r>
      <w:r w:rsidR="00A76AE4" w:rsidRPr="00165C7E">
        <w:t xml:space="preserve"> in the analysis. </w:t>
      </w:r>
      <w:r w:rsidR="001A6488" w:rsidRPr="00165C7E">
        <w:t xml:space="preserve">Additionally, </w:t>
      </w:r>
      <w:r w:rsidR="00204A6B">
        <w:t xml:space="preserve">the flux in </w:t>
      </w:r>
      <w:r w:rsidR="00E83821">
        <w:t xml:space="preserve">types of </w:t>
      </w:r>
      <w:r w:rsidR="001A6488" w:rsidRPr="00165C7E">
        <w:t>tobacco p</w:t>
      </w:r>
      <w:r w:rsidR="00910D12" w:rsidRPr="00165C7E">
        <w:t>roducts</w:t>
      </w:r>
      <w:r w:rsidR="00204A6B">
        <w:t xml:space="preserve"> that reach</w:t>
      </w:r>
      <w:r w:rsidR="00E83821">
        <w:t xml:space="preserve"> the marketplace point</w:t>
      </w:r>
      <w:r w:rsidR="00204A6B">
        <w:t>s</w:t>
      </w:r>
      <w:r w:rsidR="00E83821">
        <w:t xml:space="preserve"> to </w:t>
      </w:r>
      <w:r w:rsidR="00910D12" w:rsidRPr="00165C7E">
        <w:t xml:space="preserve">the </w:t>
      </w:r>
      <w:r w:rsidR="00A60C6A">
        <w:t>need for</w:t>
      </w:r>
      <w:r w:rsidR="00910D12" w:rsidRPr="00165C7E">
        <w:t xml:space="preserve"> </w:t>
      </w:r>
      <w:r w:rsidR="00E83821">
        <w:t>ongoing validity</w:t>
      </w:r>
      <w:r w:rsidR="00204A6B">
        <w:t xml:space="preserve"> assessments</w:t>
      </w:r>
      <w:r w:rsidR="00E83821">
        <w:t xml:space="preserve"> to </w:t>
      </w:r>
      <w:r w:rsidR="00204A6B">
        <w:t xml:space="preserve">examine </w:t>
      </w:r>
      <w:r w:rsidR="00E83821">
        <w:t xml:space="preserve">the accuracy of </w:t>
      </w:r>
      <w:r w:rsidR="00204A6B">
        <w:t xml:space="preserve">self-reported data relative to </w:t>
      </w:r>
      <w:r w:rsidR="00E83821">
        <w:t xml:space="preserve">these </w:t>
      </w:r>
      <w:r w:rsidR="00910D12" w:rsidRPr="00165C7E">
        <w:t>new products.</w:t>
      </w:r>
    </w:p>
    <w:p w:rsidR="00A76AE4" w:rsidRPr="00165C7E" w:rsidRDefault="00A76AE4" w:rsidP="00257CB6">
      <w:pPr>
        <w:pStyle w:val="L1-FlLSp12"/>
      </w:pPr>
    </w:p>
    <w:p w:rsidR="006E6839" w:rsidRPr="00165C7E" w:rsidRDefault="0048141F" w:rsidP="006E6839">
      <w:pPr>
        <w:pStyle w:val="N1-1stBullet"/>
        <w:numPr>
          <w:ilvl w:val="0"/>
          <w:numId w:val="27"/>
        </w:numPr>
      </w:pPr>
      <w:r w:rsidRPr="00165C7E">
        <w:t xml:space="preserve">What are the optimal levels </w:t>
      </w:r>
      <w:r w:rsidR="001D4DD9" w:rsidRPr="00165C7E">
        <w:t xml:space="preserve">and frequencies of </w:t>
      </w:r>
      <w:r w:rsidR="00711DFF" w:rsidRPr="00165C7E">
        <w:t>providing incentives</w:t>
      </w:r>
      <w:r w:rsidRPr="00165C7E">
        <w:t xml:space="preserve"> for achieving target response </w:t>
      </w:r>
      <w:r w:rsidR="001D4DD9" w:rsidRPr="00165C7E">
        <w:t xml:space="preserve">and retention </w:t>
      </w:r>
      <w:r w:rsidRPr="00165C7E">
        <w:t>rate</w:t>
      </w:r>
      <w:r w:rsidR="001D4DD9" w:rsidRPr="00165C7E">
        <w:t>s</w:t>
      </w:r>
      <w:r w:rsidRPr="00165C7E">
        <w:t xml:space="preserve"> </w:t>
      </w:r>
      <w:r w:rsidR="001D4DD9" w:rsidRPr="00165C7E">
        <w:t xml:space="preserve">in </w:t>
      </w:r>
      <w:r w:rsidRPr="00165C7E">
        <w:t xml:space="preserve">the </w:t>
      </w:r>
      <w:r w:rsidR="00661302" w:rsidRPr="00165C7E">
        <w:t>PATH Study</w:t>
      </w:r>
      <w:r w:rsidRPr="00165C7E">
        <w:t>?</w:t>
      </w:r>
      <w:r w:rsidR="006E6839" w:rsidRPr="00165C7E">
        <w:t xml:space="preserve"> </w:t>
      </w:r>
    </w:p>
    <w:p w:rsidR="0048141F" w:rsidRPr="00165C7E" w:rsidRDefault="005D4B58" w:rsidP="00257CB6">
      <w:pPr>
        <w:pStyle w:val="L1-FlLSp12"/>
      </w:pPr>
      <w:r w:rsidRPr="00165C7E">
        <w:t xml:space="preserve">Because </w:t>
      </w:r>
      <w:r w:rsidR="000F3E50" w:rsidRPr="00165C7E">
        <w:t xml:space="preserve">the </w:t>
      </w:r>
      <w:r w:rsidR="00661302" w:rsidRPr="00165C7E">
        <w:t>PATH Study</w:t>
      </w:r>
      <w:r w:rsidR="000F3E50" w:rsidRPr="00165C7E">
        <w:t xml:space="preserve"> is a longitudinal study</w:t>
      </w:r>
      <w:r w:rsidR="004C1857" w:rsidRPr="00165C7E">
        <w:t xml:space="preserve">, </w:t>
      </w:r>
      <w:r w:rsidR="00A76AE4" w:rsidRPr="00165C7E">
        <w:t xml:space="preserve">achieving and maintaining high </w:t>
      </w:r>
      <w:r w:rsidR="004C1857" w:rsidRPr="00165C7E">
        <w:t xml:space="preserve">response </w:t>
      </w:r>
      <w:r w:rsidR="001D4DD9" w:rsidRPr="00165C7E">
        <w:t xml:space="preserve">and retention </w:t>
      </w:r>
      <w:r w:rsidR="004C1857" w:rsidRPr="00165C7E">
        <w:t>rates over ti</w:t>
      </w:r>
      <w:r w:rsidR="00167574" w:rsidRPr="00165C7E">
        <w:t>m</w:t>
      </w:r>
      <w:r w:rsidR="004C1857" w:rsidRPr="00165C7E">
        <w:t>e</w:t>
      </w:r>
      <w:r w:rsidRPr="00165C7E">
        <w:t xml:space="preserve"> </w:t>
      </w:r>
      <w:r w:rsidR="004B0023" w:rsidRPr="00165C7E">
        <w:t>are</w:t>
      </w:r>
      <w:r w:rsidR="00A76AE4" w:rsidRPr="00165C7E">
        <w:t xml:space="preserve"> of paramount </w:t>
      </w:r>
      <w:r w:rsidRPr="00165C7E">
        <w:t>importan</w:t>
      </w:r>
      <w:r w:rsidR="00A76AE4" w:rsidRPr="00165C7E">
        <w:t>ce</w:t>
      </w:r>
      <w:r w:rsidR="004C1857" w:rsidRPr="00165C7E">
        <w:t>.</w:t>
      </w:r>
      <w:r w:rsidR="006E6839" w:rsidRPr="00165C7E">
        <w:t xml:space="preserve"> </w:t>
      </w:r>
      <w:r w:rsidR="004B0023" w:rsidRPr="00165C7E">
        <w:t xml:space="preserve">The literature shows that incentives are effective for </w:t>
      </w:r>
      <w:r w:rsidR="004C1857" w:rsidRPr="00165C7E">
        <w:t xml:space="preserve">achieving target response </w:t>
      </w:r>
      <w:r w:rsidR="00AD7849" w:rsidRPr="00165C7E">
        <w:t xml:space="preserve">and retention </w:t>
      </w:r>
      <w:r w:rsidR="004C1857" w:rsidRPr="00165C7E">
        <w:t xml:space="preserve">rates </w:t>
      </w:r>
      <w:r w:rsidR="004B0023" w:rsidRPr="00165C7E">
        <w:t xml:space="preserve">among </w:t>
      </w:r>
      <w:r w:rsidR="004C1857" w:rsidRPr="00165C7E">
        <w:t>research participa</w:t>
      </w:r>
      <w:r w:rsidR="004B0023" w:rsidRPr="00165C7E">
        <w:t>nts.</w:t>
      </w:r>
      <w:r w:rsidR="006E6839" w:rsidRPr="00165C7E">
        <w:t xml:space="preserve"> </w:t>
      </w:r>
      <w:r w:rsidR="007F79DE" w:rsidRPr="00165C7E">
        <w:t>However, research is less clear about the optimal amount of an incentive to provide</w:t>
      </w:r>
      <w:r w:rsidR="00C1529B" w:rsidRPr="00165C7E">
        <w:t>, how often to provide an incentive,</w:t>
      </w:r>
      <w:r w:rsidR="007F79DE" w:rsidRPr="00165C7E">
        <w:t xml:space="preserve"> and when it should be given to respondents to ensure their </w:t>
      </w:r>
      <w:r w:rsidR="00C1529B" w:rsidRPr="00165C7E">
        <w:t xml:space="preserve">long-term </w:t>
      </w:r>
      <w:r w:rsidR="007F79DE" w:rsidRPr="00165C7E">
        <w:t>participation</w:t>
      </w:r>
      <w:r w:rsidR="00C1529B" w:rsidRPr="00165C7E">
        <w:t xml:space="preserve"> in a longitudinal study</w:t>
      </w:r>
      <w:r w:rsidR="007F79DE" w:rsidRPr="00165C7E">
        <w:t>.</w:t>
      </w:r>
      <w:r w:rsidR="00CB156F" w:rsidRPr="00165C7E">
        <w:t xml:space="preserve"> </w:t>
      </w:r>
      <w:r w:rsidR="00172F9F" w:rsidRPr="00165C7E">
        <w:t>For example, a participant may become committed to participating</w:t>
      </w:r>
      <w:r w:rsidR="007F79DE" w:rsidRPr="00165C7E">
        <w:t xml:space="preserve"> in the study</w:t>
      </w:r>
      <w:r w:rsidR="00172F9F" w:rsidRPr="00165C7E">
        <w:t xml:space="preserve"> as time goes on, such that reducing the </w:t>
      </w:r>
      <w:r w:rsidR="00DA29AE" w:rsidRPr="00165C7E">
        <w:t xml:space="preserve">incentive amounts </w:t>
      </w:r>
      <w:r w:rsidR="00172F9F" w:rsidRPr="00165C7E">
        <w:t>w</w:t>
      </w:r>
      <w:r w:rsidR="005D5719" w:rsidRPr="00165C7E">
        <w:t xml:space="preserve">ill </w:t>
      </w:r>
      <w:r w:rsidR="00172F9F" w:rsidRPr="00165C7E">
        <w:t xml:space="preserve">have little effect on his or her </w:t>
      </w:r>
      <w:r w:rsidR="007C6CBA" w:rsidRPr="00165C7E">
        <w:t>response rates</w:t>
      </w:r>
      <w:r w:rsidR="00A32A05" w:rsidRPr="00165C7E">
        <w:t xml:space="preserve"> in later waves</w:t>
      </w:r>
      <w:r w:rsidR="007F79DE" w:rsidRPr="00165C7E">
        <w:t xml:space="preserve"> of data collection</w:t>
      </w:r>
      <w:r w:rsidR="007C6CBA" w:rsidRPr="00165C7E">
        <w:t>.</w:t>
      </w:r>
      <w:r w:rsidR="00172F9F" w:rsidRPr="00165C7E">
        <w:t xml:space="preserve"> </w:t>
      </w:r>
      <w:r w:rsidR="002E621D">
        <w:t>A methodological study of high interest for the PATH Study is to d</w:t>
      </w:r>
      <w:r w:rsidR="005D5719" w:rsidRPr="00165C7E">
        <w:t>etermin</w:t>
      </w:r>
      <w:r w:rsidR="002E621D">
        <w:t>e</w:t>
      </w:r>
      <w:r w:rsidR="005D5719" w:rsidRPr="00165C7E">
        <w:t xml:space="preserve"> the</w:t>
      </w:r>
      <w:r w:rsidR="005A7F13">
        <w:t xml:space="preserve"> effectiveness of different </w:t>
      </w:r>
      <w:r w:rsidR="00172F9F" w:rsidRPr="00165C7E">
        <w:t xml:space="preserve">levels </w:t>
      </w:r>
      <w:r w:rsidR="005D5719" w:rsidRPr="00165C7E">
        <w:t xml:space="preserve">and frequencies </w:t>
      </w:r>
      <w:r w:rsidR="00172F9F" w:rsidRPr="00165C7E">
        <w:t>of incentives</w:t>
      </w:r>
      <w:r w:rsidR="005A7F13">
        <w:t xml:space="preserve"> over time for achieving and maintaining </w:t>
      </w:r>
      <w:r w:rsidR="00172F9F" w:rsidRPr="00165C7E">
        <w:t xml:space="preserve">target response </w:t>
      </w:r>
      <w:r w:rsidR="001D4DD9" w:rsidRPr="00165C7E">
        <w:t xml:space="preserve">and </w:t>
      </w:r>
      <w:r w:rsidR="005A7F13">
        <w:t xml:space="preserve">cohort </w:t>
      </w:r>
      <w:r w:rsidR="001D4DD9" w:rsidRPr="00165C7E">
        <w:t xml:space="preserve">retention </w:t>
      </w:r>
      <w:r w:rsidR="00172F9F" w:rsidRPr="00165C7E">
        <w:t>rates</w:t>
      </w:r>
      <w:r w:rsidR="005A7F13">
        <w:t xml:space="preserve">.  Such data would </w:t>
      </w:r>
      <w:r w:rsidR="00172F9F" w:rsidRPr="00165C7E">
        <w:t xml:space="preserve">provide </w:t>
      </w:r>
      <w:r w:rsidR="001D4DD9" w:rsidRPr="00165C7E">
        <w:t>an empirical</w:t>
      </w:r>
      <w:r w:rsidR="00172F9F" w:rsidRPr="00165C7E">
        <w:t xml:space="preserve"> basis for </w:t>
      </w:r>
      <w:r w:rsidR="005A7F13">
        <w:t xml:space="preserve">deciding on the </w:t>
      </w:r>
      <w:r w:rsidR="005A7F13" w:rsidRPr="00165C7E">
        <w:t xml:space="preserve">most cost-effective </w:t>
      </w:r>
      <w:r w:rsidR="005A7F13">
        <w:t xml:space="preserve">incentives per wave of longitudinal data collection in </w:t>
      </w:r>
      <w:r w:rsidR="00172F9F" w:rsidRPr="00165C7E">
        <w:t xml:space="preserve">the </w:t>
      </w:r>
      <w:r w:rsidR="00661302" w:rsidRPr="00165C7E">
        <w:t>PATH Study</w:t>
      </w:r>
      <w:r w:rsidR="005A7F13">
        <w:t>, and in other such large longitudinal studies.</w:t>
      </w:r>
    </w:p>
    <w:p w:rsidR="0048141F" w:rsidRPr="00165C7E" w:rsidRDefault="0048141F" w:rsidP="00257CB6">
      <w:pPr>
        <w:pStyle w:val="L1-FlLSp12"/>
      </w:pPr>
    </w:p>
    <w:p w:rsidR="006E6839" w:rsidRPr="00165C7E" w:rsidRDefault="0048141F" w:rsidP="006E6839">
      <w:pPr>
        <w:pStyle w:val="N1-1stBullet"/>
        <w:numPr>
          <w:ilvl w:val="0"/>
          <w:numId w:val="27"/>
        </w:numPr>
      </w:pPr>
      <w:r w:rsidRPr="00165C7E">
        <w:t xml:space="preserve">Should the </w:t>
      </w:r>
      <w:r w:rsidR="00661302" w:rsidRPr="00165C7E">
        <w:t>PATH Study</w:t>
      </w:r>
      <w:r w:rsidRPr="00165C7E">
        <w:t xml:space="preserve"> consider </w:t>
      </w:r>
      <w:r w:rsidR="00AD7849" w:rsidRPr="00165C7E">
        <w:t xml:space="preserve">other </w:t>
      </w:r>
      <w:r w:rsidRPr="00165C7E">
        <w:t xml:space="preserve">measures to assess aspects of tobacco use and health not currently included in </w:t>
      </w:r>
      <w:r w:rsidR="00815629" w:rsidRPr="00165C7E">
        <w:t xml:space="preserve">the </w:t>
      </w:r>
      <w:r w:rsidR="00661302" w:rsidRPr="00165C7E">
        <w:t>PATH Study</w:t>
      </w:r>
      <w:r w:rsidRPr="00165C7E">
        <w:t>?</w:t>
      </w:r>
      <w:r w:rsidR="006E6839" w:rsidRPr="00165C7E">
        <w:t xml:space="preserve"> </w:t>
      </w:r>
    </w:p>
    <w:p w:rsidR="001E191F" w:rsidRPr="00165C7E" w:rsidRDefault="00AD7849" w:rsidP="001E191F">
      <w:pPr>
        <w:pStyle w:val="L1-FlLSp12"/>
      </w:pPr>
      <w:r w:rsidRPr="00165C7E">
        <w:t xml:space="preserve">It is anticipated that the </w:t>
      </w:r>
      <w:r w:rsidR="00661302" w:rsidRPr="00165C7E">
        <w:t>PATH Study</w:t>
      </w:r>
      <w:r w:rsidR="001207B5" w:rsidRPr="00165C7E">
        <w:t xml:space="preserve"> questionnaires </w:t>
      </w:r>
      <w:r w:rsidRPr="00165C7E">
        <w:t xml:space="preserve">will change </w:t>
      </w:r>
      <w:r w:rsidR="00963620" w:rsidRPr="00165C7E">
        <w:t>for each</w:t>
      </w:r>
      <w:r w:rsidRPr="00165C7E">
        <w:t xml:space="preserve"> data wave to capture</w:t>
      </w:r>
      <w:r w:rsidR="001207B5" w:rsidRPr="00165C7E">
        <w:t xml:space="preserve"> </w:t>
      </w:r>
      <w:r w:rsidRPr="00165C7E">
        <w:t xml:space="preserve">new </w:t>
      </w:r>
      <w:r w:rsidR="001207B5" w:rsidRPr="00165C7E">
        <w:t xml:space="preserve">information </w:t>
      </w:r>
      <w:r w:rsidRPr="00165C7E">
        <w:t xml:space="preserve">on tobacco product use and health that is </w:t>
      </w:r>
      <w:r w:rsidR="00963620" w:rsidRPr="00165C7E">
        <w:t xml:space="preserve">contemporary with </w:t>
      </w:r>
      <w:r w:rsidR="007D3D24" w:rsidRPr="00165C7E">
        <w:t xml:space="preserve">changing demographics, social and environmental influences, and </w:t>
      </w:r>
      <w:r w:rsidR="00963620" w:rsidRPr="00165C7E">
        <w:t xml:space="preserve">the </w:t>
      </w:r>
      <w:r w:rsidRPr="00165C7E">
        <w:t>ever-changing marketplace</w:t>
      </w:r>
      <w:r w:rsidR="007D3D24" w:rsidRPr="00165C7E">
        <w:t>.</w:t>
      </w:r>
      <w:r w:rsidR="006E6839" w:rsidRPr="00165C7E">
        <w:t xml:space="preserve"> </w:t>
      </w:r>
      <w:r w:rsidR="00963620" w:rsidRPr="00165C7E">
        <w:t xml:space="preserve">The capacity to stay flexible, such that items can be replaced or updated for each </w:t>
      </w:r>
      <w:r w:rsidR="00D835BD" w:rsidRPr="00165C7E">
        <w:t xml:space="preserve">field test and corresponding </w:t>
      </w:r>
      <w:r w:rsidR="00963620" w:rsidRPr="00165C7E">
        <w:t xml:space="preserve">wave, is a major challenge for the </w:t>
      </w:r>
      <w:r w:rsidR="00661302" w:rsidRPr="00165C7E">
        <w:t>PATH Study</w:t>
      </w:r>
      <w:r w:rsidR="00963620" w:rsidRPr="00165C7E">
        <w:t xml:space="preserve">, but one that must </w:t>
      </w:r>
      <w:r w:rsidR="007D3D24" w:rsidRPr="00165C7E">
        <w:t xml:space="preserve">be </w:t>
      </w:r>
      <w:r w:rsidR="00963620" w:rsidRPr="00165C7E">
        <w:t>met to measur</w:t>
      </w:r>
      <w:r w:rsidR="007D3D24" w:rsidRPr="00165C7E">
        <w:t>e</w:t>
      </w:r>
      <w:r w:rsidR="00963620" w:rsidRPr="00165C7E">
        <w:t xml:space="preserve"> and accurately report</w:t>
      </w:r>
      <w:r w:rsidR="007D3D24" w:rsidRPr="00165C7E">
        <w:t xml:space="preserve"> </w:t>
      </w:r>
      <w:r w:rsidR="00AA0873">
        <w:t xml:space="preserve">potential </w:t>
      </w:r>
      <w:r w:rsidR="00963620" w:rsidRPr="00165C7E">
        <w:t xml:space="preserve">population-based behavioral and health </w:t>
      </w:r>
      <w:r w:rsidR="00AA0873">
        <w:t>impacts</w:t>
      </w:r>
      <w:r w:rsidR="00963620" w:rsidRPr="00165C7E">
        <w:t xml:space="preserve"> associated with </w:t>
      </w:r>
      <w:r w:rsidR="00AA0873">
        <w:t xml:space="preserve">changes in </w:t>
      </w:r>
      <w:r w:rsidR="00963620" w:rsidRPr="00165C7E">
        <w:t>tobacco product</w:t>
      </w:r>
      <w:r w:rsidR="00AA0873">
        <w:t xml:space="preserve">s, including </w:t>
      </w:r>
      <w:r w:rsidR="00EE2D7A">
        <w:t xml:space="preserve">changes </w:t>
      </w:r>
      <w:r w:rsidR="004A7536">
        <w:t xml:space="preserve">that are </w:t>
      </w:r>
      <w:r w:rsidR="00EE2D7A">
        <w:t xml:space="preserve">based on </w:t>
      </w:r>
      <w:r w:rsidR="00AA0873">
        <w:t xml:space="preserve">the 2009 FSPTCA. </w:t>
      </w:r>
      <w:r w:rsidR="00A4008F" w:rsidRPr="00165C7E">
        <w:t xml:space="preserve">This flexibility </w:t>
      </w:r>
      <w:r w:rsidR="00AB507B" w:rsidRPr="00165C7E">
        <w:t xml:space="preserve">means </w:t>
      </w:r>
      <w:r w:rsidR="00D835BD" w:rsidRPr="00165C7E">
        <w:t xml:space="preserve">the PATH </w:t>
      </w:r>
      <w:r w:rsidR="00D835BD" w:rsidRPr="00165C7E">
        <w:lastRenderedPageBreak/>
        <w:t xml:space="preserve">Study </w:t>
      </w:r>
      <w:r w:rsidR="00AB507B" w:rsidRPr="00165C7E">
        <w:t xml:space="preserve">will be able </w:t>
      </w:r>
      <w:r w:rsidR="00D835BD" w:rsidRPr="00165C7E">
        <w:t>to formulate and test</w:t>
      </w:r>
      <w:r w:rsidR="007D3D24" w:rsidRPr="00165C7E">
        <w:t xml:space="preserve"> new </w:t>
      </w:r>
      <w:r w:rsidR="001207B5" w:rsidRPr="00165C7E">
        <w:t>self-report measure</w:t>
      </w:r>
      <w:r w:rsidR="007D3D24" w:rsidRPr="00165C7E">
        <w:t>s</w:t>
      </w:r>
      <w:r w:rsidR="001207B5" w:rsidRPr="00165C7E">
        <w:t xml:space="preserve"> about </w:t>
      </w:r>
      <w:r w:rsidR="007D3D24" w:rsidRPr="00165C7E">
        <w:t xml:space="preserve">the </w:t>
      </w:r>
      <w:r w:rsidR="001207B5" w:rsidRPr="00165C7E">
        <w:t xml:space="preserve">use of </w:t>
      </w:r>
      <w:r w:rsidR="007D3D24" w:rsidRPr="00165C7E">
        <w:t xml:space="preserve">one or more </w:t>
      </w:r>
      <w:r w:rsidR="001207B5" w:rsidRPr="00165C7E">
        <w:t>new tobacco product</w:t>
      </w:r>
      <w:r w:rsidR="007D3D24" w:rsidRPr="00165C7E">
        <w:t>s</w:t>
      </w:r>
      <w:r w:rsidR="00D835BD" w:rsidRPr="00165C7E">
        <w:t xml:space="preserve"> or new</w:t>
      </w:r>
      <w:r w:rsidR="007D3D24" w:rsidRPr="00165C7E">
        <w:t xml:space="preserve"> items on different brands or types of </w:t>
      </w:r>
      <w:r w:rsidR="001207B5" w:rsidRPr="00165C7E">
        <w:t xml:space="preserve">tobacco products </w:t>
      </w:r>
      <w:r w:rsidR="007D3D24" w:rsidRPr="00165C7E">
        <w:t xml:space="preserve">that have </w:t>
      </w:r>
      <w:r w:rsidR="00D835BD" w:rsidRPr="00165C7E">
        <w:t xml:space="preserve">recently come </w:t>
      </w:r>
      <w:r w:rsidR="007D3D24" w:rsidRPr="00165C7E">
        <w:t>to the U.S. marketplace</w:t>
      </w:r>
      <w:r w:rsidR="00A4008F" w:rsidRPr="00165C7E">
        <w:t xml:space="preserve">, and to do so within a limited </w:t>
      </w:r>
      <w:r w:rsidR="00AB507B" w:rsidRPr="00165C7E">
        <w:t>time period in order</w:t>
      </w:r>
      <w:r w:rsidR="00D835BD" w:rsidRPr="00165C7E">
        <w:t xml:space="preserve"> to </w:t>
      </w:r>
      <w:r w:rsidR="00AB507B" w:rsidRPr="00165C7E">
        <w:t xml:space="preserve">include those new measures or items </w:t>
      </w:r>
      <w:r w:rsidR="001E191F" w:rsidRPr="00165C7E">
        <w:t xml:space="preserve">in the next version of </w:t>
      </w:r>
      <w:r w:rsidR="00207687">
        <w:t>a</w:t>
      </w:r>
      <w:r w:rsidR="00207687" w:rsidRPr="00165C7E">
        <w:t xml:space="preserve"> </w:t>
      </w:r>
      <w:r w:rsidR="00207687">
        <w:t>PATH S</w:t>
      </w:r>
      <w:r w:rsidR="001E191F" w:rsidRPr="00165C7E">
        <w:t>tudy questionnaire.</w:t>
      </w:r>
    </w:p>
    <w:p w:rsidR="005C2D7F" w:rsidRPr="00165C7E" w:rsidRDefault="005C2D7F" w:rsidP="00257CB6">
      <w:pPr>
        <w:pStyle w:val="L1-FlLSp12"/>
      </w:pPr>
    </w:p>
    <w:p w:rsidR="006E6839" w:rsidRPr="00165C7E" w:rsidRDefault="00910D12" w:rsidP="00257CB6">
      <w:pPr>
        <w:pStyle w:val="L1-FlLSp12"/>
      </w:pPr>
      <w:r w:rsidRPr="00165C7E">
        <w:t xml:space="preserve">Examples of </w:t>
      </w:r>
      <w:r w:rsidR="00980154" w:rsidRPr="00165C7E">
        <w:t xml:space="preserve">the </w:t>
      </w:r>
      <w:r w:rsidR="00733E59" w:rsidRPr="00165C7E">
        <w:t xml:space="preserve">types of </w:t>
      </w:r>
      <w:r w:rsidR="005867BC" w:rsidRPr="00165C7E">
        <w:t>methodological</w:t>
      </w:r>
      <w:r w:rsidR="005D4B58" w:rsidRPr="00165C7E">
        <w:t xml:space="preserve"> </w:t>
      </w:r>
      <w:r w:rsidR="00733E59" w:rsidRPr="00165C7E">
        <w:t>studies and information to be collected under the scope of th</w:t>
      </w:r>
      <w:r w:rsidR="005D4B58" w:rsidRPr="00165C7E">
        <w:t>e</w:t>
      </w:r>
      <w:r w:rsidR="00733E59" w:rsidRPr="00165C7E">
        <w:t xml:space="preserve"> generic clearance</w:t>
      </w:r>
      <w:r w:rsidR="005D4B58" w:rsidRPr="00165C7E">
        <w:t xml:space="preserve"> requested</w:t>
      </w:r>
      <w:r w:rsidRPr="00165C7E">
        <w:t xml:space="preserve"> are presented below</w:t>
      </w:r>
      <w:r w:rsidR="00733E59" w:rsidRPr="00165C7E">
        <w:t>.</w:t>
      </w:r>
      <w:r w:rsidR="006E6839" w:rsidRPr="00165C7E">
        <w:t xml:space="preserve"> </w:t>
      </w:r>
      <w:r w:rsidRPr="00165C7E">
        <w:t>This is not an exhaustive list of all the studies to be submitted</w:t>
      </w:r>
      <w:r w:rsidR="00733E59" w:rsidRPr="00165C7E">
        <w:t xml:space="preserve"> for review under this clearance</w:t>
      </w:r>
      <w:r w:rsidR="00057EDE" w:rsidRPr="00165C7E">
        <w:t xml:space="preserve"> mechanism once </w:t>
      </w:r>
      <w:r w:rsidR="00145F4B" w:rsidRPr="00165C7E">
        <w:t>established;</w:t>
      </w:r>
      <w:r w:rsidR="00057EDE" w:rsidRPr="00165C7E">
        <w:t xml:space="preserve"> they are</w:t>
      </w:r>
      <w:r w:rsidRPr="00165C7E">
        <w:t xml:space="preserve"> illustrative examples of studies </w:t>
      </w:r>
      <w:r w:rsidR="00057EDE" w:rsidRPr="00165C7E">
        <w:t>to be proposed</w:t>
      </w:r>
      <w:r w:rsidRPr="00165C7E">
        <w:t>.</w:t>
      </w:r>
      <w:r w:rsidR="006E6839" w:rsidRPr="00165C7E">
        <w:t xml:space="preserve"> </w:t>
      </w:r>
      <w:r w:rsidRPr="00165C7E">
        <w:t>Overall</w:t>
      </w:r>
      <w:r w:rsidR="006E1AF3" w:rsidRPr="00165C7E">
        <w:t>,</w:t>
      </w:r>
      <w:r w:rsidRPr="00165C7E">
        <w:t xml:space="preserve"> the studies submitted under this generic clearance </w:t>
      </w:r>
      <w:r w:rsidR="006E1AF3" w:rsidRPr="00165C7E">
        <w:t>are expected to</w:t>
      </w:r>
      <w:r w:rsidRPr="00165C7E">
        <w:t xml:space="preserve"> </w:t>
      </w:r>
      <w:r w:rsidR="001232CA" w:rsidRPr="00165C7E">
        <w:t>reduce respondent burden and improve the cost-effectiveness of methods</w:t>
      </w:r>
      <w:r w:rsidR="006521A0" w:rsidRPr="00165C7E">
        <w:t xml:space="preserve"> for the </w:t>
      </w:r>
      <w:r w:rsidR="00661302" w:rsidRPr="00165C7E">
        <w:t>PATH Study</w:t>
      </w:r>
      <w:r w:rsidR="001232CA" w:rsidRPr="00165C7E">
        <w:t xml:space="preserve">’s </w:t>
      </w:r>
      <w:r w:rsidR="006521A0" w:rsidRPr="00165C7E">
        <w:t xml:space="preserve">collection of self-report data </w:t>
      </w:r>
      <w:r w:rsidR="005D4B58" w:rsidRPr="00165C7E">
        <w:t xml:space="preserve">and biospecimens </w:t>
      </w:r>
      <w:r w:rsidR="006521A0" w:rsidRPr="00165C7E">
        <w:t>on tobacco use and health.</w:t>
      </w:r>
    </w:p>
    <w:p w:rsidR="00314861" w:rsidRPr="00165C7E" w:rsidRDefault="00314861" w:rsidP="00257CB6">
      <w:pPr>
        <w:pStyle w:val="L1-FlLSp12"/>
      </w:pPr>
    </w:p>
    <w:p w:rsidR="00AB21DD" w:rsidRDefault="005F47A5" w:rsidP="00980154">
      <w:pPr>
        <w:pStyle w:val="L1-FlLSp12"/>
      </w:pPr>
      <w:r w:rsidRPr="00165C7E">
        <w:rPr>
          <w:b/>
        </w:rPr>
        <w:t xml:space="preserve">Comparison of </w:t>
      </w:r>
      <w:r w:rsidR="001232CA" w:rsidRPr="00165C7E">
        <w:rPr>
          <w:b/>
        </w:rPr>
        <w:t>Web</w:t>
      </w:r>
      <w:r w:rsidRPr="00165C7E">
        <w:rPr>
          <w:b/>
        </w:rPr>
        <w:t xml:space="preserve"> and ACASI </w:t>
      </w:r>
      <w:r w:rsidR="00980154" w:rsidRPr="00165C7E">
        <w:rPr>
          <w:b/>
        </w:rPr>
        <w:t>A</w:t>
      </w:r>
      <w:r w:rsidRPr="00165C7E">
        <w:rPr>
          <w:b/>
        </w:rPr>
        <w:t xml:space="preserve">dministration of the PATH </w:t>
      </w:r>
      <w:r w:rsidR="00980154" w:rsidRPr="00165C7E">
        <w:rPr>
          <w:b/>
        </w:rPr>
        <w:t>S</w:t>
      </w:r>
      <w:r w:rsidRPr="00165C7E">
        <w:rPr>
          <w:b/>
        </w:rPr>
        <w:t xml:space="preserve">tudy </w:t>
      </w:r>
      <w:r w:rsidR="00980154" w:rsidRPr="00165C7E">
        <w:rPr>
          <w:b/>
        </w:rPr>
        <w:t>Q</w:t>
      </w:r>
      <w:r w:rsidRPr="00165C7E">
        <w:rPr>
          <w:b/>
        </w:rPr>
        <w:t>uestionnaires</w:t>
      </w:r>
      <w:r w:rsidR="00EC4F9C" w:rsidRPr="00165C7E">
        <w:rPr>
          <w:b/>
        </w:rPr>
        <w:t>.</w:t>
      </w:r>
      <w:r w:rsidR="00980154" w:rsidRPr="00165C7E">
        <w:t xml:space="preserve"> </w:t>
      </w:r>
      <w:r w:rsidR="00BE4CAF">
        <w:t>One o</w:t>
      </w:r>
      <w:r w:rsidR="008A003A">
        <w:t>r</w:t>
      </w:r>
      <w:r w:rsidR="00BE4CAF">
        <w:t xml:space="preserve"> more small-scale m</w:t>
      </w:r>
      <w:r w:rsidR="00E56F8C" w:rsidRPr="00BE4CAF">
        <w:t>ethodological stud</w:t>
      </w:r>
      <w:r w:rsidR="00BE4CAF">
        <w:t xml:space="preserve">ies may be submitted </w:t>
      </w:r>
      <w:r w:rsidR="00E56F8C" w:rsidRPr="00BE4CAF">
        <w:t xml:space="preserve">under </w:t>
      </w:r>
      <w:r w:rsidRPr="00165C7E">
        <w:t xml:space="preserve">this </w:t>
      </w:r>
      <w:r w:rsidR="00E56F8C" w:rsidRPr="00BE4CAF">
        <w:t xml:space="preserve">generic clearance </w:t>
      </w:r>
      <w:r w:rsidR="008A003A">
        <w:t>to</w:t>
      </w:r>
      <w:r w:rsidR="00E56F8C" w:rsidRPr="00BE4CAF">
        <w:t xml:space="preserve"> develop and test Web-based survey</w:t>
      </w:r>
      <w:r w:rsidR="008A003A">
        <w:t>s</w:t>
      </w:r>
      <w:r w:rsidR="00E56F8C" w:rsidRPr="00BE4CAF">
        <w:t xml:space="preserve"> for the PATH Study. The </w:t>
      </w:r>
      <w:r w:rsidR="00AB21DD">
        <w:t>aim</w:t>
      </w:r>
      <w:r w:rsidRPr="00165C7E">
        <w:t xml:space="preserve"> would be to </w:t>
      </w:r>
      <w:r w:rsidR="00AB21DD">
        <w:t>establish</w:t>
      </w:r>
      <w:r w:rsidRPr="00165C7E">
        <w:t xml:space="preserve"> the equivalence of </w:t>
      </w:r>
      <w:r w:rsidR="00E56F8C" w:rsidRPr="00BE4CAF">
        <w:t xml:space="preserve">data collected by the </w:t>
      </w:r>
      <w:r w:rsidR="001232CA" w:rsidRPr="00165C7E">
        <w:t>W</w:t>
      </w:r>
      <w:r w:rsidRPr="00165C7E">
        <w:t xml:space="preserve">eb </w:t>
      </w:r>
      <w:r w:rsidR="00E56F8C" w:rsidRPr="00BE4CAF">
        <w:t>v</w:t>
      </w:r>
      <w:r w:rsidR="007D6EE0">
        <w:t>ersus</w:t>
      </w:r>
      <w:r w:rsidRPr="00165C7E">
        <w:t xml:space="preserve"> ACASI</w:t>
      </w:r>
      <w:r w:rsidR="004A4C7F">
        <w:t xml:space="preserve"> </w:t>
      </w:r>
      <w:r w:rsidR="00134C22">
        <w:t xml:space="preserve">mode </w:t>
      </w:r>
      <w:r w:rsidR="004A4C7F">
        <w:t xml:space="preserve">for possible use of </w:t>
      </w:r>
      <w:r w:rsidR="00E56F8C" w:rsidRPr="00BE4CAF">
        <w:t>the Web-based version in a follow</w:t>
      </w:r>
      <w:r w:rsidR="007D2A5F">
        <w:t>-</w:t>
      </w:r>
      <w:r w:rsidR="00E56F8C" w:rsidRPr="00BE4CAF">
        <w:t xml:space="preserve">up wave. </w:t>
      </w:r>
      <w:r w:rsidR="00D11846" w:rsidRPr="00303B5F">
        <w:t xml:space="preserve">First, however, </w:t>
      </w:r>
      <w:r w:rsidR="00895A1F" w:rsidRPr="00303B5F">
        <w:t>o</w:t>
      </w:r>
      <w:r w:rsidR="003B0203" w:rsidRPr="00303B5F">
        <w:t xml:space="preserve">ther research and findings on </w:t>
      </w:r>
      <w:r w:rsidR="00D11846" w:rsidRPr="00303B5F">
        <w:t xml:space="preserve">the </w:t>
      </w:r>
      <w:r w:rsidR="00895A1F" w:rsidRPr="00303B5F">
        <w:t xml:space="preserve">use of Web-based surveys </w:t>
      </w:r>
      <w:r w:rsidR="00B7596E" w:rsidRPr="00303B5F">
        <w:t>w</w:t>
      </w:r>
      <w:r w:rsidR="00303B5F">
        <w:t>ould</w:t>
      </w:r>
      <w:r w:rsidR="00B7596E" w:rsidRPr="00303B5F">
        <w:t xml:space="preserve"> be examined </w:t>
      </w:r>
      <w:r w:rsidR="00895A1F" w:rsidRPr="00303B5F">
        <w:t xml:space="preserve">to </w:t>
      </w:r>
      <w:r w:rsidR="00D11846" w:rsidRPr="00303B5F">
        <w:t>ensure that th</w:t>
      </w:r>
      <w:r w:rsidR="00303B5F">
        <w:t>is work</w:t>
      </w:r>
      <w:r w:rsidR="00D11846" w:rsidRPr="00303B5F">
        <w:t xml:space="preserve"> </w:t>
      </w:r>
      <w:r w:rsidR="00895A1F" w:rsidRPr="00303B5F">
        <w:t>build</w:t>
      </w:r>
      <w:r w:rsidR="00303B5F">
        <w:t>s</w:t>
      </w:r>
      <w:r w:rsidR="00895A1F" w:rsidRPr="00303B5F">
        <w:t xml:space="preserve"> on the existing evidence base and avoid</w:t>
      </w:r>
      <w:r w:rsidR="00303B5F">
        <w:t>s</w:t>
      </w:r>
      <w:r w:rsidR="00895A1F" w:rsidRPr="00303B5F">
        <w:t xml:space="preserve"> duplication.</w:t>
      </w:r>
    </w:p>
    <w:p w:rsidR="00AB21DD" w:rsidRDefault="00AB21DD" w:rsidP="00980154">
      <w:pPr>
        <w:pStyle w:val="L1-FlLSp12"/>
      </w:pPr>
    </w:p>
    <w:p w:rsidR="006E6839" w:rsidRDefault="003B0203" w:rsidP="00802622">
      <w:pPr>
        <w:pStyle w:val="L1-FlLSp12"/>
      </w:pPr>
      <w:r>
        <w:t>R</w:t>
      </w:r>
      <w:r w:rsidR="00AB21DD">
        <w:t>esearch</w:t>
      </w:r>
      <w:r w:rsidR="005F47A5" w:rsidRPr="00165C7E">
        <w:t xml:space="preserve"> (</w:t>
      </w:r>
      <w:r w:rsidR="005D4B58" w:rsidRPr="00165C7E">
        <w:t xml:space="preserve">e.g., </w:t>
      </w:r>
      <w:r w:rsidR="005F47A5" w:rsidRPr="00165C7E">
        <w:t xml:space="preserve">Kreuter, </w:t>
      </w:r>
      <w:r w:rsidR="00EE2D7A">
        <w:t>et al.,</w:t>
      </w:r>
      <w:r w:rsidR="005F47A5" w:rsidRPr="00165C7E">
        <w:t xml:space="preserve"> 2008) </w:t>
      </w:r>
      <w:r w:rsidR="005F47A5" w:rsidRPr="00BE4CAF">
        <w:t>suggest</w:t>
      </w:r>
      <w:r w:rsidR="00AB21DD">
        <w:t>s</w:t>
      </w:r>
      <w:r w:rsidR="005F47A5" w:rsidRPr="00165C7E">
        <w:t xml:space="preserve"> that </w:t>
      </w:r>
      <w:r w:rsidR="001232CA" w:rsidRPr="00165C7E">
        <w:t>W</w:t>
      </w:r>
      <w:r w:rsidR="005F47A5" w:rsidRPr="00165C7E">
        <w:t>eb</w:t>
      </w:r>
      <w:r w:rsidR="007D01D5">
        <w:t>-based</w:t>
      </w:r>
      <w:r w:rsidR="005F47A5" w:rsidRPr="00165C7E">
        <w:t xml:space="preserve"> surveys </w:t>
      </w:r>
      <w:r w:rsidR="001B119F">
        <w:t>not only have</w:t>
      </w:r>
      <w:r w:rsidR="005F47A5" w:rsidRPr="00165C7E">
        <w:t xml:space="preserve"> the </w:t>
      </w:r>
      <w:r w:rsidR="001B119F">
        <w:t>same</w:t>
      </w:r>
      <w:r w:rsidR="005F47A5" w:rsidRPr="00BE4CAF">
        <w:t xml:space="preserve"> </w:t>
      </w:r>
      <w:r w:rsidR="001B119F">
        <w:t>attributes</w:t>
      </w:r>
      <w:r>
        <w:t xml:space="preserve"> </w:t>
      </w:r>
      <w:r w:rsidR="001B119F">
        <w:t>as</w:t>
      </w:r>
      <w:r w:rsidR="005F47A5" w:rsidRPr="00165C7E">
        <w:t xml:space="preserve"> other methods of self-administration</w:t>
      </w:r>
      <w:r w:rsidR="001B119F">
        <w:t xml:space="preserve">, they offer key </w:t>
      </w:r>
      <w:r w:rsidR="00AB21DD">
        <w:t xml:space="preserve">advantages </w:t>
      </w:r>
      <w:r w:rsidR="005F47A5" w:rsidRPr="00165C7E">
        <w:t xml:space="preserve">that </w:t>
      </w:r>
      <w:r w:rsidR="001B119F">
        <w:t xml:space="preserve">can be especially </w:t>
      </w:r>
      <w:r w:rsidR="00AB21DD">
        <w:t>helpful for the PATH Study</w:t>
      </w:r>
      <w:r w:rsidR="001B119F">
        <w:t xml:space="preserve">’s need </w:t>
      </w:r>
      <w:r w:rsidR="00AB21DD">
        <w:t>to achieve high respondent retention at each follow</w:t>
      </w:r>
      <w:r w:rsidR="007D2A5F">
        <w:t>-</w:t>
      </w:r>
      <w:r w:rsidR="00AB21DD">
        <w:t xml:space="preserve">up wave. </w:t>
      </w:r>
      <w:r w:rsidR="001A17CB">
        <w:t>In addition, the e</w:t>
      </w:r>
      <w:r w:rsidR="00AB21DD">
        <w:t>fficiency</w:t>
      </w:r>
      <w:r w:rsidR="001A17CB">
        <w:t>, accessibility, and “user-friendliness” of the Web</w:t>
      </w:r>
      <w:r w:rsidR="007D01D5">
        <w:t xml:space="preserve"> </w:t>
      </w:r>
      <w:r w:rsidR="001A17CB">
        <w:t>mode of survey administration can help to reduce respondent burden and lower survey administration costs.</w:t>
      </w:r>
      <w:r w:rsidR="00177D48">
        <w:t xml:space="preserve"> </w:t>
      </w:r>
      <w:r w:rsidR="00303B5F">
        <w:t>Be</w:t>
      </w:r>
      <w:r w:rsidR="003F3DD1">
        <w:t>fore determining whether the Web</w:t>
      </w:r>
      <w:r w:rsidR="007D01D5">
        <w:t xml:space="preserve"> mode</w:t>
      </w:r>
      <w:r w:rsidR="00EC4F9C" w:rsidRPr="00165C7E">
        <w:t xml:space="preserve"> would be </w:t>
      </w:r>
      <w:r w:rsidR="003F3DD1">
        <w:t>an appropriate</w:t>
      </w:r>
      <w:r w:rsidR="001232CA" w:rsidRPr="00165C7E">
        <w:t xml:space="preserve"> method </w:t>
      </w:r>
      <w:r w:rsidR="003F3DD1">
        <w:t>for full-</w:t>
      </w:r>
      <w:r w:rsidR="001232CA" w:rsidRPr="00165C7E">
        <w:t>scale</w:t>
      </w:r>
      <w:r w:rsidR="003F3DD1">
        <w:t xml:space="preserve"> adoption by the</w:t>
      </w:r>
      <w:r w:rsidR="004D3F8C" w:rsidRPr="00165C7E">
        <w:t xml:space="preserve"> </w:t>
      </w:r>
      <w:r w:rsidR="00207687">
        <w:t>PATH Study</w:t>
      </w:r>
      <w:r w:rsidR="003F3DD1">
        <w:t>,</w:t>
      </w:r>
      <w:r w:rsidR="00303B5F">
        <w:t xml:space="preserve"> however,</w:t>
      </w:r>
      <w:r w:rsidR="003F3DD1">
        <w:t xml:space="preserve"> </w:t>
      </w:r>
      <w:r w:rsidR="00B7596E">
        <w:t>it</w:t>
      </w:r>
      <w:r w:rsidR="006C58B5">
        <w:t xml:space="preserve"> should be</w:t>
      </w:r>
      <w:r w:rsidR="00B2224A">
        <w:t xml:space="preserve"> </w:t>
      </w:r>
      <w:r w:rsidR="003F3DD1">
        <w:t>test</w:t>
      </w:r>
      <w:r w:rsidR="006C58B5">
        <w:t xml:space="preserve">ed </w:t>
      </w:r>
      <w:r w:rsidR="003F3DD1">
        <w:t>and compa</w:t>
      </w:r>
      <w:r w:rsidR="006C58B5">
        <w:t xml:space="preserve">red </w:t>
      </w:r>
      <w:r w:rsidR="003F3DD1">
        <w:t xml:space="preserve">to </w:t>
      </w:r>
      <w:r w:rsidR="00134C22">
        <w:t xml:space="preserve">the </w:t>
      </w:r>
      <w:r w:rsidR="003F3DD1">
        <w:t xml:space="preserve">ACASI </w:t>
      </w:r>
      <w:r w:rsidR="007D01D5">
        <w:t xml:space="preserve">mode </w:t>
      </w:r>
      <w:r w:rsidR="003F3DD1">
        <w:t xml:space="preserve">in focused methodological studies. </w:t>
      </w:r>
      <w:r w:rsidR="00303B5F">
        <w:t>Potential</w:t>
      </w:r>
      <w:r w:rsidR="00F211B4">
        <w:t xml:space="preserve"> methodological studies under this generic clearance </w:t>
      </w:r>
      <w:r w:rsidR="00303B5F">
        <w:t>would focus on assessing</w:t>
      </w:r>
      <w:r w:rsidR="00134C22">
        <w:t>: (1)</w:t>
      </w:r>
      <w:r w:rsidR="00303B5F">
        <w:t xml:space="preserve"> </w:t>
      </w:r>
      <w:r w:rsidR="007D01D5">
        <w:t xml:space="preserve">the </w:t>
      </w:r>
      <w:r w:rsidR="00802622">
        <w:t xml:space="preserve">differences </w:t>
      </w:r>
      <w:r w:rsidR="007D01D5">
        <w:t xml:space="preserve">between the Web and ACASI modes on </w:t>
      </w:r>
      <w:r w:rsidR="00303B5F">
        <w:t xml:space="preserve">the </w:t>
      </w:r>
      <w:r w:rsidR="00802622">
        <w:t>quality of data collected</w:t>
      </w:r>
      <w:r w:rsidR="007D01D5">
        <w:t xml:space="preserve"> </w:t>
      </w:r>
      <w:r w:rsidR="00303B5F">
        <w:t>from a</w:t>
      </w:r>
      <w:r w:rsidR="00F211B4">
        <w:t xml:space="preserve"> sample of </w:t>
      </w:r>
      <w:r w:rsidR="002D3CAD">
        <w:t xml:space="preserve">PATH Study </w:t>
      </w:r>
      <w:r w:rsidR="00F211B4">
        <w:t>adult</w:t>
      </w:r>
      <w:r w:rsidR="005F47A5" w:rsidRPr="00165C7E">
        <w:t xml:space="preserve"> respondents </w:t>
      </w:r>
      <w:r w:rsidR="00466732">
        <w:t>who have internet access</w:t>
      </w:r>
      <w:r w:rsidR="00303B5F">
        <w:t xml:space="preserve">; </w:t>
      </w:r>
      <w:r w:rsidR="00802622">
        <w:t xml:space="preserve">(2) </w:t>
      </w:r>
      <w:r w:rsidR="00303B5F">
        <w:t xml:space="preserve">the potential effects of internet-access bias; </w:t>
      </w:r>
      <w:r w:rsidR="00F4376C">
        <w:t xml:space="preserve">and </w:t>
      </w:r>
      <w:r w:rsidR="00802622">
        <w:t xml:space="preserve">(3) the </w:t>
      </w:r>
      <w:r w:rsidR="00F4376C">
        <w:t xml:space="preserve">potential variations in response rates by mode of administration as well as </w:t>
      </w:r>
      <w:r w:rsidR="00B2224A">
        <w:t>by</w:t>
      </w:r>
      <w:r w:rsidR="00F4376C">
        <w:t xml:space="preserve"> specific items or forms of tobacco use.  Identifying potential differences in survey data collected by the Web versus by ACASI </w:t>
      </w:r>
      <w:r w:rsidR="00802622">
        <w:t xml:space="preserve">mode </w:t>
      </w:r>
      <w:r w:rsidR="00F4376C">
        <w:t xml:space="preserve">is important for understanding the relative strengths and limitations </w:t>
      </w:r>
      <w:r w:rsidR="00802622">
        <w:t xml:space="preserve">of the </w:t>
      </w:r>
      <w:r w:rsidR="00F4376C">
        <w:t>different methods</w:t>
      </w:r>
      <w:r w:rsidR="007D01D5">
        <w:t>,</w:t>
      </w:r>
      <w:r w:rsidR="00F4376C">
        <w:t xml:space="preserve"> and for </w:t>
      </w:r>
      <w:r w:rsidR="00B2224A">
        <w:t xml:space="preserve">making </w:t>
      </w:r>
      <w:r w:rsidR="00F4376C">
        <w:t xml:space="preserve">necessary </w:t>
      </w:r>
      <w:r w:rsidR="00B6438D" w:rsidRPr="00165C7E">
        <w:t xml:space="preserve">statistical </w:t>
      </w:r>
      <w:r w:rsidR="00815B17" w:rsidRPr="00165C7E">
        <w:t>adjustments</w:t>
      </w:r>
      <w:r w:rsidR="005F47A5" w:rsidRPr="00165C7E">
        <w:t xml:space="preserve"> </w:t>
      </w:r>
      <w:r w:rsidR="00B2224A">
        <w:t>in comparisons</w:t>
      </w:r>
      <w:r w:rsidR="00F4376C">
        <w:t xml:space="preserve"> </w:t>
      </w:r>
      <w:r w:rsidR="00802622">
        <w:t xml:space="preserve">of </w:t>
      </w:r>
      <w:r w:rsidR="00B6438D" w:rsidRPr="00165C7E">
        <w:t>groups</w:t>
      </w:r>
      <w:r w:rsidR="00802622">
        <w:t xml:space="preserve"> using the different modes</w:t>
      </w:r>
      <w:r w:rsidR="00B6438D" w:rsidRPr="00165C7E">
        <w:t>.</w:t>
      </w:r>
    </w:p>
    <w:p w:rsidR="00831947" w:rsidRDefault="00831947" w:rsidP="00621D3B">
      <w:pPr>
        <w:pStyle w:val="L1-FlLSp12"/>
      </w:pPr>
    </w:p>
    <w:p w:rsidR="00CB156F" w:rsidRPr="00165C7E" w:rsidRDefault="005F47A5" w:rsidP="00980154">
      <w:pPr>
        <w:pStyle w:val="L1-FlLSp12"/>
        <w:rPr>
          <w:b/>
        </w:rPr>
      </w:pPr>
      <w:r w:rsidRPr="00165C7E">
        <w:rPr>
          <w:b/>
        </w:rPr>
        <w:lastRenderedPageBreak/>
        <w:t xml:space="preserve">Comparison of the </w:t>
      </w:r>
      <w:r w:rsidR="00980154" w:rsidRPr="00165C7E">
        <w:rPr>
          <w:b/>
        </w:rPr>
        <w:t>C</w:t>
      </w:r>
      <w:r w:rsidRPr="00165C7E">
        <w:rPr>
          <w:b/>
        </w:rPr>
        <w:t xml:space="preserve">ollection of </w:t>
      </w:r>
      <w:r w:rsidR="00980154" w:rsidRPr="00165C7E">
        <w:rPr>
          <w:b/>
        </w:rPr>
        <w:t>B</w:t>
      </w:r>
      <w:r w:rsidRPr="00165C7E">
        <w:rPr>
          <w:b/>
        </w:rPr>
        <w:t xml:space="preserve">iospecimens via the </w:t>
      </w:r>
      <w:r w:rsidR="00980154" w:rsidRPr="00165C7E">
        <w:rPr>
          <w:b/>
        </w:rPr>
        <w:t>M</w:t>
      </w:r>
      <w:r w:rsidRPr="00165C7E">
        <w:rPr>
          <w:b/>
        </w:rPr>
        <w:t xml:space="preserve">ail versus </w:t>
      </w:r>
      <w:r w:rsidR="00980154" w:rsidRPr="00165C7E">
        <w:rPr>
          <w:b/>
        </w:rPr>
        <w:t>I</w:t>
      </w:r>
      <w:r w:rsidRPr="00165C7E">
        <w:rPr>
          <w:b/>
        </w:rPr>
        <w:t>n-</w:t>
      </w:r>
      <w:r w:rsidR="00980154" w:rsidRPr="00165C7E">
        <w:rPr>
          <w:b/>
        </w:rPr>
        <w:t>P</w:t>
      </w:r>
      <w:r w:rsidRPr="00165C7E">
        <w:rPr>
          <w:b/>
        </w:rPr>
        <w:t>erson</w:t>
      </w:r>
      <w:r w:rsidR="005867BC" w:rsidRPr="00165C7E">
        <w:rPr>
          <w:b/>
        </w:rPr>
        <w:t>.</w:t>
      </w:r>
      <w:r w:rsidR="006E6839" w:rsidRPr="00165C7E">
        <w:t xml:space="preserve"> </w:t>
      </w:r>
      <w:r w:rsidR="00B7378D">
        <w:t>The PATH Study has interest in examining</w:t>
      </w:r>
      <w:r w:rsidRPr="00165C7E">
        <w:t xml:space="preserve"> </w:t>
      </w:r>
      <w:r w:rsidR="00F50BE1">
        <w:t>procedures involved</w:t>
      </w:r>
      <w:r w:rsidRPr="00165C7E">
        <w:t xml:space="preserve"> and </w:t>
      </w:r>
      <w:r w:rsidR="00F50BE1">
        <w:t xml:space="preserve">the </w:t>
      </w:r>
      <w:r w:rsidRPr="00165C7E">
        <w:t xml:space="preserve">outcomes of collecting urine </w:t>
      </w:r>
      <w:r w:rsidR="00B6438D" w:rsidRPr="00165C7E">
        <w:t>by</w:t>
      </w:r>
      <w:r w:rsidRPr="00165C7E">
        <w:t xml:space="preserve"> mail </w:t>
      </w:r>
      <w:r w:rsidR="00CB156F" w:rsidRPr="00165C7E">
        <w:t>(</w:t>
      </w:r>
      <w:r w:rsidR="00323B61" w:rsidRPr="00165C7E">
        <w:t xml:space="preserve">i.e., </w:t>
      </w:r>
      <w:r w:rsidR="00CB156F" w:rsidRPr="00165C7E">
        <w:t>guaranteed overnight delivery</w:t>
      </w:r>
      <w:r w:rsidR="00323B61" w:rsidRPr="00165C7E">
        <w:t>)</w:t>
      </w:r>
      <w:r w:rsidR="00CB156F" w:rsidRPr="00165C7E">
        <w:t xml:space="preserve"> </w:t>
      </w:r>
      <w:r w:rsidR="00E61544" w:rsidRPr="00165C7E">
        <w:t xml:space="preserve">rather than in-person </w:t>
      </w:r>
      <w:r w:rsidR="00B7378D">
        <w:t xml:space="preserve">for potential use in </w:t>
      </w:r>
      <w:r w:rsidR="007D2A5F">
        <w:t>a</w:t>
      </w:r>
      <w:r w:rsidR="0008753F" w:rsidRPr="00B7378D">
        <w:t xml:space="preserve"> </w:t>
      </w:r>
      <w:r w:rsidR="00E61544" w:rsidRPr="00165C7E">
        <w:t>follow-up interview.</w:t>
      </w:r>
      <w:r w:rsidRPr="00165C7E">
        <w:t xml:space="preserve"> </w:t>
      </w:r>
      <w:r w:rsidR="00B7378D">
        <w:t xml:space="preserve"> </w:t>
      </w:r>
      <w:r w:rsidR="007D2A5F">
        <w:t>B</w:t>
      </w:r>
      <w:r w:rsidR="0030726B">
        <w:t xml:space="preserve">efore a study is submitted </w:t>
      </w:r>
      <w:r w:rsidR="008F6862">
        <w:t xml:space="preserve">under this generic clearance, </w:t>
      </w:r>
      <w:r w:rsidR="0030726B">
        <w:t>a</w:t>
      </w:r>
      <w:r w:rsidR="00B7596E">
        <w:t xml:space="preserve"> full</w:t>
      </w:r>
      <w:r w:rsidR="0030726B">
        <w:t xml:space="preserve"> review of other research and findings on this topic </w:t>
      </w:r>
      <w:r w:rsidR="007D2A5F">
        <w:t xml:space="preserve">would be necessary </w:t>
      </w:r>
      <w:r w:rsidR="0030726B">
        <w:t>to</w:t>
      </w:r>
      <w:r w:rsidR="00B7378D">
        <w:t xml:space="preserve"> </w:t>
      </w:r>
      <w:r w:rsidR="008F6862">
        <w:t>make sure the study</w:t>
      </w:r>
      <w:r w:rsidR="0030726B">
        <w:t xml:space="preserve"> </w:t>
      </w:r>
      <w:r w:rsidR="00B7378D">
        <w:t>builds on and extends</w:t>
      </w:r>
      <w:r w:rsidR="0030726B">
        <w:t xml:space="preserve"> </w:t>
      </w:r>
      <w:r w:rsidR="00B7378D">
        <w:t>the existing evidence base</w:t>
      </w:r>
      <w:r w:rsidR="0030726B">
        <w:t xml:space="preserve"> and avoids potential duplication. </w:t>
      </w:r>
      <w:r w:rsidR="008F6862">
        <w:t xml:space="preserve">A study likely to be proposed on this topic would randomly assign </w:t>
      </w:r>
      <w:r w:rsidRPr="00165C7E">
        <w:t xml:space="preserve">PATH </w:t>
      </w:r>
      <w:r w:rsidR="00E33758" w:rsidRPr="00165C7E">
        <w:t xml:space="preserve">Study </w:t>
      </w:r>
      <w:r w:rsidRPr="00165C7E">
        <w:t>respondents who provide a</w:t>
      </w:r>
      <w:r w:rsidR="00E61544" w:rsidRPr="00165C7E">
        <w:t xml:space="preserve"> </w:t>
      </w:r>
      <w:r w:rsidRPr="00165C7E">
        <w:t xml:space="preserve">urine sample </w:t>
      </w:r>
      <w:r w:rsidR="00E61544" w:rsidRPr="00165C7E">
        <w:t xml:space="preserve">at </w:t>
      </w:r>
      <w:r w:rsidRPr="00165C7E">
        <w:t>baseline to one of two conditions</w:t>
      </w:r>
      <w:r w:rsidR="00E61544" w:rsidRPr="00165C7E">
        <w:t xml:space="preserve"> for the follow-up</w:t>
      </w:r>
      <w:r w:rsidRPr="00165C7E">
        <w:t>.</w:t>
      </w:r>
      <w:r w:rsidR="006E6839" w:rsidRPr="001C2B5E">
        <w:t xml:space="preserve"> </w:t>
      </w:r>
      <w:r w:rsidR="006E6839" w:rsidRPr="00165C7E">
        <w:t xml:space="preserve"> </w:t>
      </w:r>
      <w:r w:rsidRPr="00165C7E">
        <w:t>In one</w:t>
      </w:r>
      <w:r w:rsidR="00EC4F9C" w:rsidRPr="00165C7E">
        <w:t xml:space="preserve"> condition</w:t>
      </w:r>
      <w:r w:rsidRPr="00165C7E">
        <w:t xml:space="preserve">, </w:t>
      </w:r>
      <w:r w:rsidR="0008753F">
        <w:t>after</w:t>
      </w:r>
      <w:r w:rsidR="00E61544" w:rsidRPr="00165C7E">
        <w:t xml:space="preserve"> the in-person interview, </w:t>
      </w:r>
      <w:r w:rsidRPr="00165C7E">
        <w:t>respondents w</w:t>
      </w:r>
      <w:r w:rsidR="0008753F">
        <w:t>ill</w:t>
      </w:r>
      <w:r w:rsidRPr="00165C7E">
        <w:t xml:space="preserve"> receive a urine collection kit in the mail with instructions on </w:t>
      </w:r>
      <w:r w:rsidR="0008753F">
        <w:t>collecting, packaging, and mailing</w:t>
      </w:r>
      <w:r w:rsidRPr="00165C7E">
        <w:t xml:space="preserve"> a urine specimen</w:t>
      </w:r>
      <w:r w:rsidR="00EC4F9C" w:rsidRPr="00165C7E">
        <w:t>;</w:t>
      </w:r>
      <w:r w:rsidRPr="00165C7E">
        <w:t xml:space="preserve"> </w:t>
      </w:r>
      <w:r w:rsidR="00EC4F9C" w:rsidRPr="00165C7E">
        <w:t>t</w:t>
      </w:r>
      <w:r w:rsidRPr="00165C7E">
        <w:t>hese respondents w</w:t>
      </w:r>
      <w:r w:rsidR="0008753F">
        <w:t>ill</w:t>
      </w:r>
      <w:r w:rsidRPr="00165C7E">
        <w:t xml:space="preserve"> also be asked a brief set of questions about their experience by a telephone interviewer after </w:t>
      </w:r>
      <w:r w:rsidR="0008753F">
        <w:t xml:space="preserve">they have </w:t>
      </w:r>
      <w:r w:rsidRPr="00165C7E">
        <w:t>mail</w:t>
      </w:r>
      <w:r w:rsidR="0008753F">
        <w:t>ed</w:t>
      </w:r>
      <w:r w:rsidRPr="00165C7E">
        <w:t xml:space="preserve"> the specimen.</w:t>
      </w:r>
      <w:r w:rsidR="006E6839" w:rsidRPr="00165C7E">
        <w:t xml:space="preserve"> </w:t>
      </w:r>
      <w:r w:rsidR="0008753F">
        <w:t>The standard protocol will be used in the other condition such that r</w:t>
      </w:r>
      <w:r w:rsidRPr="00165C7E">
        <w:t>espondents w</w:t>
      </w:r>
      <w:r w:rsidR="0008753F">
        <w:t>ill</w:t>
      </w:r>
      <w:r w:rsidRPr="00165C7E">
        <w:t xml:space="preserve"> be asked to provide a urine specimen by </w:t>
      </w:r>
      <w:r w:rsidR="0008753F">
        <w:t xml:space="preserve">the </w:t>
      </w:r>
      <w:r w:rsidRPr="00165C7E">
        <w:t xml:space="preserve">PATH </w:t>
      </w:r>
      <w:r w:rsidR="00E33758" w:rsidRPr="00165C7E">
        <w:t xml:space="preserve">Study </w:t>
      </w:r>
      <w:r w:rsidRPr="00165C7E">
        <w:t xml:space="preserve">field interviewer </w:t>
      </w:r>
      <w:r w:rsidR="0008753F">
        <w:t xml:space="preserve">as part of the </w:t>
      </w:r>
      <w:r w:rsidRPr="00165C7E">
        <w:t xml:space="preserve">in-person </w:t>
      </w:r>
      <w:r w:rsidR="00B4226C" w:rsidRPr="00165C7E">
        <w:t>follow-up</w:t>
      </w:r>
      <w:r w:rsidRPr="00165C7E">
        <w:t xml:space="preserve"> interview.</w:t>
      </w:r>
      <w:r w:rsidR="006E6839" w:rsidRPr="00165C7E">
        <w:t xml:space="preserve"> </w:t>
      </w:r>
      <w:r w:rsidRPr="00165C7E">
        <w:t xml:space="preserve">If urine specimens provided via the mail </w:t>
      </w:r>
      <w:r w:rsidR="00E61544" w:rsidRPr="00165C7E">
        <w:t xml:space="preserve">are </w:t>
      </w:r>
      <w:r w:rsidRPr="00165C7E">
        <w:t xml:space="preserve">comparable to those </w:t>
      </w:r>
      <w:r w:rsidR="00E61544" w:rsidRPr="00165C7E">
        <w:t>collected</w:t>
      </w:r>
      <w:r w:rsidRPr="00165C7E">
        <w:t xml:space="preserve"> </w:t>
      </w:r>
      <w:r w:rsidR="00E61544" w:rsidRPr="00165C7E">
        <w:t xml:space="preserve">at the </w:t>
      </w:r>
      <w:r w:rsidRPr="00165C7E">
        <w:t xml:space="preserve">in-person interviews and do not create more burden </w:t>
      </w:r>
      <w:r w:rsidR="00E61544" w:rsidRPr="00165C7E">
        <w:t>for</w:t>
      </w:r>
      <w:r w:rsidRPr="00165C7E">
        <w:t xml:space="preserve"> respondents, it would </w:t>
      </w:r>
      <w:r w:rsidR="00B6438D" w:rsidRPr="00165C7E">
        <w:t xml:space="preserve">suggest </w:t>
      </w:r>
      <w:r w:rsidR="008F6862">
        <w:t xml:space="preserve">that </w:t>
      </w:r>
      <w:r w:rsidR="00B6438D" w:rsidRPr="00165C7E">
        <w:t xml:space="preserve">this </w:t>
      </w:r>
      <w:r w:rsidR="00CB156F" w:rsidRPr="00165C7E">
        <w:t xml:space="preserve">method of collection and shipment for urine specimens </w:t>
      </w:r>
      <w:r w:rsidR="0008753F">
        <w:t xml:space="preserve">is an acceptable alternative </w:t>
      </w:r>
      <w:r w:rsidR="00E90485">
        <w:t xml:space="preserve">for meeting </w:t>
      </w:r>
      <w:r w:rsidR="008472EE">
        <w:t xml:space="preserve">the </w:t>
      </w:r>
      <w:r w:rsidR="00E90485">
        <w:t>requirements of</w:t>
      </w:r>
      <w:r w:rsidR="00CB156F" w:rsidRPr="00165C7E">
        <w:t xml:space="preserve"> the </w:t>
      </w:r>
      <w:r w:rsidR="00661302" w:rsidRPr="00165C7E">
        <w:t>PATH Study</w:t>
      </w:r>
      <w:r w:rsidR="00CB156F" w:rsidRPr="00165C7E">
        <w:t>.</w:t>
      </w:r>
    </w:p>
    <w:p w:rsidR="00314861" w:rsidRPr="00165C7E" w:rsidRDefault="00314861" w:rsidP="00980154">
      <w:pPr>
        <w:pStyle w:val="L1-FlLSp12"/>
        <w:rPr>
          <w:b/>
        </w:rPr>
      </w:pPr>
    </w:p>
    <w:p w:rsidR="006E6839" w:rsidRPr="00165C7E" w:rsidRDefault="005F47A5" w:rsidP="00980154">
      <w:pPr>
        <w:pStyle w:val="L1-FlLSp12"/>
      </w:pPr>
      <w:r w:rsidRPr="00A1214F">
        <w:rPr>
          <w:b/>
        </w:rPr>
        <w:t xml:space="preserve">Reliability of </w:t>
      </w:r>
      <w:r w:rsidR="00661302" w:rsidRPr="00A1214F">
        <w:rPr>
          <w:b/>
        </w:rPr>
        <w:t>PATH Study</w:t>
      </w:r>
      <w:r w:rsidRPr="00A1214F">
        <w:rPr>
          <w:b/>
        </w:rPr>
        <w:t xml:space="preserve"> </w:t>
      </w:r>
      <w:r w:rsidR="00980154" w:rsidRPr="00A1214F">
        <w:rPr>
          <w:b/>
        </w:rPr>
        <w:t>Q</w:t>
      </w:r>
      <w:r w:rsidRPr="00A1214F">
        <w:rPr>
          <w:b/>
        </w:rPr>
        <w:t>uestionnaires</w:t>
      </w:r>
      <w:r w:rsidRPr="00A1214F">
        <w:t>.</w:t>
      </w:r>
      <w:r w:rsidR="006E6839" w:rsidRPr="00A1214F">
        <w:t xml:space="preserve"> </w:t>
      </w:r>
      <w:r w:rsidR="00F64F69" w:rsidRPr="00A1214F">
        <w:t xml:space="preserve">A study </w:t>
      </w:r>
      <w:r w:rsidR="003766A9" w:rsidRPr="00A1214F">
        <w:t xml:space="preserve">is </w:t>
      </w:r>
      <w:r w:rsidR="00A10FA3" w:rsidRPr="00A1214F">
        <w:t xml:space="preserve">planned </w:t>
      </w:r>
      <w:r w:rsidR="003766A9" w:rsidRPr="00A1214F">
        <w:t>under this generic clearance to</w:t>
      </w:r>
      <w:r w:rsidRPr="00165C7E">
        <w:t xml:space="preserve"> test the reliability of the </w:t>
      </w:r>
      <w:r w:rsidR="00661302" w:rsidRPr="00165C7E">
        <w:t>PATH Study</w:t>
      </w:r>
      <w:r w:rsidRPr="00165C7E">
        <w:t xml:space="preserve"> questionnaires</w:t>
      </w:r>
      <w:r w:rsidR="003766A9">
        <w:t xml:space="preserve"> among</w:t>
      </w:r>
      <w:r w:rsidRPr="00165C7E">
        <w:t xml:space="preserve"> a subsample of the baseline respondents </w:t>
      </w:r>
      <w:r w:rsidR="003766A9">
        <w:t>who accept invitations</w:t>
      </w:r>
      <w:r w:rsidR="00875BF3" w:rsidRPr="00165C7E">
        <w:t xml:space="preserve"> for a reinterview</w:t>
      </w:r>
      <w:r w:rsidRPr="00165C7E">
        <w:t xml:space="preserve"> within 10 to 14 days after the initial interview.</w:t>
      </w:r>
      <w:r w:rsidR="006E6839" w:rsidRPr="00165C7E">
        <w:t xml:space="preserve"> </w:t>
      </w:r>
      <w:r w:rsidRPr="00165C7E">
        <w:t>The reinterview questionnaire w</w:t>
      </w:r>
      <w:r w:rsidR="008472EE">
        <w:t xml:space="preserve">ill be </w:t>
      </w:r>
      <w:r w:rsidRPr="00165C7E">
        <w:t>the entire extended interview</w:t>
      </w:r>
      <w:r w:rsidR="00875BF3" w:rsidRPr="00165C7E">
        <w:t>,</w:t>
      </w:r>
      <w:r w:rsidRPr="00165C7E">
        <w:t xml:space="preserve"> but not the Phase 1 screener or the specimen collections (and their associated questionnaires).</w:t>
      </w:r>
      <w:r w:rsidR="006E6839" w:rsidRPr="00165C7E">
        <w:t xml:space="preserve"> </w:t>
      </w:r>
      <w:r w:rsidR="00D8701E" w:rsidRPr="00165C7E">
        <w:t>Both a</w:t>
      </w:r>
      <w:r w:rsidRPr="00165C7E">
        <w:t xml:space="preserve">dult </w:t>
      </w:r>
      <w:r w:rsidR="00D8701E" w:rsidRPr="00165C7E">
        <w:t xml:space="preserve">and </w:t>
      </w:r>
      <w:r w:rsidRPr="00165C7E">
        <w:t>youth respondents</w:t>
      </w:r>
      <w:r w:rsidR="00875BF3" w:rsidRPr="00165C7E">
        <w:t xml:space="preserve"> w</w:t>
      </w:r>
      <w:r w:rsidR="008472EE">
        <w:t>ill</w:t>
      </w:r>
      <w:r w:rsidR="00875BF3" w:rsidRPr="00165C7E">
        <w:t xml:space="preserve"> be invited to participate in reinterviews</w:t>
      </w:r>
      <w:r w:rsidR="00D8701E" w:rsidRPr="00165C7E">
        <w:t>; and t</w:t>
      </w:r>
      <w:r w:rsidRPr="00165C7E">
        <w:t xml:space="preserve">he adult reinterview sample would </w:t>
      </w:r>
      <w:r w:rsidR="00D8701E" w:rsidRPr="00165C7E">
        <w:t xml:space="preserve">include both </w:t>
      </w:r>
      <w:r w:rsidRPr="00165C7E">
        <w:t>tobacco users and non-users.</w:t>
      </w:r>
    </w:p>
    <w:p w:rsidR="005F47A5" w:rsidRPr="00165C7E" w:rsidRDefault="005F47A5" w:rsidP="00257CB6">
      <w:pPr>
        <w:pStyle w:val="L1-FlLSp12"/>
      </w:pPr>
    </w:p>
    <w:p w:rsidR="005F47A5" w:rsidRPr="00165C7E" w:rsidRDefault="00875BF3" w:rsidP="00980154">
      <w:pPr>
        <w:pStyle w:val="L1-FlLSp12"/>
      </w:pPr>
      <w:r w:rsidRPr="00165C7E">
        <w:t>To optimize its efficiency, the reinterview study w</w:t>
      </w:r>
      <w:r w:rsidR="008472EE">
        <w:t>ill</w:t>
      </w:r>
      <w:r w:rsidRPr="00165C7E">
        <w:t xml:space="preserve"> be conducted </w:t>
      </w:r>
      <w:r w:rsidR="00CB156F" w:rsidRPr="00165C7E">
        <w:t xml:space="preserve">with </w:t>
      </w:r>
      <w:r w:rsidRPr="00165C7E">
        <w:t>a subsample</w:t>
      </w:r>
      <w:r w:rsidR="00D8701E" w:rsidRPr="00165C7E">
        <w:t xml:space="preserve"> </w:t>
      </w:r>
      <w:r w:rsidR="00CB156F" w:rsidRPr="00165C7E">
        <w:t>of respondents</w:t>
      </w:r>
      <w:r w:rsidR="008472EE">
        <w:t xml:space="preserve"> selected</w:t>
      </w:r>
      <w:r w:rsidR="00CB156F" w:rsidRPr="00165C7E">
        <w:t xml:space="preserve"> from </w:t>
      </w:r>
      <w:r w:rsidR="00D8701E" w:rsidRPr="00165C7E">
        <w:t xml:space="preserve">a subset of </w:t>
      </w:r>
      <w:r w:rsidR="00661302" w:rsidRPr="00165C7E">
        <w:t>PATH Study</w:t>
      </w:r>
      <w:r w:rsidR="00D8701E" w:rsidRPr="00165C7E">
        <w:t xml:space="preserve"> </w:t>
      </w:r>
      <w:r w:rsidRPr="00165C7E">
        <w:t>primary sampling units (PSUs).</w:t>
      </w:r>
      <w:r w:rsidR="006E6839" w:rsidRPr="00165C7E">
        <w:t xml:space="preserve"> </w:t>
      </w:r>
      <w:r w:rsidR="005F47A5" w:rsidRPr="00165C7E">
        <w:t xml:space="preserve">Within these PSUs, individual cases </w:t>
      </w:r>
      <w:r w:rsidRPr="00165C7E">
        <w:t>w</w:t>
      </w:r>
      <w:r w:rsidR="008472EE">
        <w:t>ill</w:t>
      </w:r>
      <w:r w:rsidRPr="00165C7E">
        <w:t xml:space="preserve"> be selected </w:t>
      </w:r>
      <w:r w:rsidR="005F47A5" w:rsidRPr="00165C7E">
        <w:t>for reinterview with subsampling probabilities inversely related to the initial selection probabilities.</w:t>
      </w:r>
      <w:r w:rsidR="006E6839" w:rsidRPr="00165C7E">
        <w:t xml:space="preserve"> </w:t>
      </w:r>
      <w:r w:rsidRPr="00165C7E">
        <w:t>T</w:t>
      </w:r>
      <w:r w:rsidR="005F47A5" w:rsidRPr="00165C7E">
        <w:t>his w</w:t>
      </w:r>
      <w:r w:rsidRPr="00165C7E">
        <w:t>ill provide</w:t>
      </w:r>
      <w:r w:rsidR="005F47A5" w:rsidRPr="00165C7E">
        <w:t xml:space="preserve"> self-weighting samples within each of </w:t>
      </w:r>
      <w:r w:rsidRPr="00165C7E">
        <w:t xml:space="preserve">the </w:t>
      </w:r>
      <w:r w:rsidR="005F47A5" w:rsidRPr="00165C7E">
        <w:t xml:space="preserve">three </w:t>
      </w:r>
      <w:r w:rsidR="00CB156F" w:rsidRPr="00165C7E">
        <w:t xml:space="preserve">key </w:t>
      </w:r>
      <w:r w:rsidR="005F47A5" w:rsidRPr="00165C7E">
        <w:t>groups (adult tobacco users, adult non-tobacco users, and youth)</w:t>
      </w:r>
      <w:r w:rsidRPr="00165C7E">
        <w:t xml:space="preserve"> to </w:t>
      </w:r>
      <w:r w:rsidR="00CB156F" w:rsidRPr="00165C7E">
        <w:t xml:space="preserve">help </w:t>
      </w:r>
      <w:r w:rsidR="005F47A5" w:rsidRPr="00165C7E">
        <w:t>simplify the analysis.</w:t>
      </w:r>
      <w:r w:rsidR="006E6839" w:rsidRPr="00165C7E">
        <w:t xml:space="preserve"> </w:t>
      </w:r>
      <w:r w:rsidRPr="00165C7E">
        <w:t>Item</w:t>
      </w:r>
      <w:r w:rsidR="005B5F3A" w:rsidRPr="00165C7E">
        <w:t xml:space="preserve"> responses and </w:t>
      </w:r>
      <w:r w:rsidR="009C4F04">
        <w:t xml:space="preserve">response </w:t>
      </w:r>
      <w:r w:rsidR="005B5F3A" w:rsidRPr="00165C7E">
        <w:t xml:space="preserve">discrepancies </w:t>
      </w:r>
      <w:r w:rsidRPr="00165C7E">
        <w:t>w</w:t>
      </w:r>
      <w:r w:rsidR="008472EE">
        <w:t>ill</w:t>
      </w:r>
      <w:r w:rsidRPr="00165C7E">
        <w:t xml:space="preserve"> be </w:t>
      </w:r>
      <w:r w:rsidR="00FB160F" w:rsidRPr="00165C7E">
        <w:t xml:space="preserve">compared with </w:t>
      </w:r>
      <w:r w:rsidR="005B5F3A" w:rsidRPr="00165C7E">
        <w:t xml:space="preserve">those </w:t>
      </w:r>
      <w:r w:rsidR="009C4F04">
        <w:t>from</w:t>
      </w:r>
      <w:r w:rsidR="00FB160F" w:rsidRPr="00165C7E">
        <w:t xml:space="preserve"> the first interview using </w:t>
      </w:r>
      <w:r w:rsidR="005F47A5" w:rsidRPr="00165C7E">
        <w:t>standard measures of consistency.</w:t>
      </w:r>
    </w:p>
    <w:p w:rsidR="005F47A5" w:rsidRPr="00165C7E" w:rsidRDefault="005F47A5" w:rsidP="00257CB6">
      <w:pPr>
        <w:pStyle w:val="L1-FlLSp12"/>
        <w:rPr>
          <w:b/>
        </w:rPr>
      </w:pPr>
    </w:p>
    <w:p w:rsidR="002B512E" w:rsidRDefault="005F47A5" w:rsidP="00257CB6">
      <w:pPr>
        <w:pStyle w:val="L1-FlLSp12"/>
      </w:pPr>
      <w:r w:rsidRPr="00165C7E">
        <w:rPr>
          <w:b/>
        </w:rPr>
        <w:t xml:space="preserve">Comparison of </w:t>
      </w:r>
      <w:r w:rsidR="00980154" w:rsidRPr="00165C7E">
        <w:rPr>
          <w:b/>
        </w:rPr>
        <w:t>Self-R</w:t>
      </w:r>
      <w:r w:rsidRPr="00165C7E">
        <w:rPr>
          <w:b/>
        </w:rPr>
        <w:t xml:space="preserve">eports with </w:t>
      </w:r>
      <w:r w:rsidR="00980154" w:rsidRPr="00165C7E">
        <w:rPr>
          <w:b/>
        </w:rPr>
        <w:t>C</w:t>
      </w:r>
      <w:r w:rsidRPr="00165C7E">
        <w:rPr>
          <w:b/>
        </w:rPr>
        <w:t xml:space="preserve">arbon </w:t>
      </w:r>
      <w:r w:rsidR="00980154" w:rsidRPr="00165C7E">
        <w:rPr>
          <w:b/>
        </w:rPr>
        <w:t>M</w:t>
      </w:r>
      <w:r w:rsidRPr="00165C7E">
        <w:rPr>
          <w:b/>
        </w:rPr>
        <w:t xml:space="preserve">onoxide (CO) or </w:t>
      </w:r>
      <w:r w:rsidR="00980154" w:rsidRPr="00165C7E">
        <w:rPr>
          <w:b/>
        </w:rPr>
        <w:t>C</w:t>
      </w:r>
      <w:r w:rsidRPr="00165C7E">
        <w:rPr>
          <w:b/>
        </w:rPr>
        <w:t>otinine.</w:t>
      </w:r>
      <w:r w:rsidR="006E6839" w:rsidRPr="00165C7E">
        <w:t xml:space="preserve"> </w:t>
      </w:r>
      <w:r w:rsidR="005B5F3A" w:rsidRPr="00165C7E">
        <w:t xml:space="preserve">A </w:t>
      </w:r>
      <w:r w:rsidR="00F64F69">
        <w:t xml:space="preserve">study </w:t>
      </w:r>
      <w:r w:rsidR="00C47A0B">
        <w:t>that may be submitted under this generic clearance would seek</w:t>
      </w:r>
      <w:r w:rsidR="005B5F3A" w:rsidRPr="00165C7E">
        <w:t xml:space="preserve"> to </w:t>
      </w:r>
      <w:r w:rsidRPr="00165C7E">
        <w:t xml:space="preserve">validate the </w:t>
      </w:r>
      <w:r w:rsidR="00661302" w:rsidRPr="00165C7E">
        <w:t>PATH Study</w:t>
      </w:r>
      <w:r w:rsidRPr="00165C7E">
        <w:t xml:space="preserve"> questionnaires</w:t>
      </w:r>
      <w:r w:rsidR="005B5F3A" w:rsidRPr="00165C7E">
        <w:t xml:space="preserve"> </w:t>
      </w:r>
      <w:r w:rsidR="00C47A0B">
        <w:t xml:space="preserve">among a </w:t>
      </w:r>
      <w:r w:rsidRPr="00165C7E">
        <w:t xml:space="preserve">random </w:t>
      </w:r>
      <w:r w:rsidR="005B5F3A" w:rsidRPr="00165C7E">
        <w:t>selection</w:t>
      </w:r>
      <w:r w:rsidRPr="00165C7E">
        <w:t xml:space="preserve"> of PATH</w:t>
      </w:r>
      <w:r w:rsidR="00E33758" w:rsidRPr="00165C7E">
        <w:t xml:space="preserve"> Study</w:t>
      </w:r>
      <w:r w:rsidRPr="00165C7E">
        <w:t xml:space="preserve"> respondents</w:t>
      </w:r>
      <w:r w:rsidR="005B5F3A" w:rsidRPr="00165C7E">
        <w:t xml:space="preserve"> to </w:t>
      </w:r>
      <w:r w:rsidRPr="00165C7E">
        <w:t xml:space="preserve">compare </w:t>
      </w:r>
      <w:r w:rsidR="005B5F3A" w:rsidRPr="00165C7E">
        <w:t xml:space="preserve">their </w:t>
      </w:r>
      <w:r w:rsidR="006C2306">
        <w:t>self-reported data on</w:t>
      </w:r>
      <w:r w:rsidRPr="00165C7E">
        <w:t xml:space="preserve"> </w:t>
      </w:r>
      <w:r w:rsidRPr="00165C7E">
        <w:lastRenderedPageBreak/>
        <w:t xml:space="preserve">recent tobacco use to </w:t>
      </w:r>
      <w:r w:rsidR="006C2306">
        <w:t xml:space="preserve">measures of </w:t>
      </w:r>
      <w:r w:rsidRPr="00165C7E">
        <w:t>carbon monoxide in the breath or cotinine in the urine.</w:t>
      </w:r>
      <w:r w:rsidR="006E6839" w:rsidRPr="00165C7E">
        <w:t xml:space="preserve"> </w:t>
      </w:r>
      <w:r w:rsidR="005B5F3A" w:rsidRPr="00165C7E">
        <w:t>Such comparison</w:t>
      </w:r>
      <w:r w:rsidR="006C2306">
        <w:t>s</w:t>
      </w:r>
      <w:r w:rsidR="005B5F3A" w:rsidRPr="00165C7E">
        <w:t xml:space="preserve"> w</w:t>
      </w:r>
      <w:r w:rsidR="000F4BE6">
        <w:t>ill help in assessing the extent of potential under- or</w:t>
      </w:r>
      <w:r w:rsidR="004427DA" w:rsidRPr="00165C7E">
        <w:t xml:space="preserve"> </w:t>
      </w:r>
      <w:r w:rsidRPr="00165C7E">
        <w:t xml:space="preserve">misreporting among </w:t>
      </w:r>
      <w:r w:rsidR="00661302" w:rsidRPr="00165C7E">
        <w:t>PATH Study</w:t>
      </w:r>
      <w:r w:rsidRPr="00165C7E">
        <w:t xml:space="preserve"> respondents</w:t>
      </w:r>
      <w:r w:rsidR="005B5F3A" w:rsidRPr="00165C7E">
        <w:t xml:space="preserve">. </w:t>
      </w:r>
      <w:r w:rsidR="000F4BE6">
        <w:t xml:space="preserve"> Biological marker data can also be used to identify r</w:t>
      </w:r>
      <w:r w:rsidRPr="00165C7E">
        <w:t xml:space="preserve">espondents </w:t>
      </w:r>
      <w:r w:rsidR="002B512E">
        <w:t>who are</w:t>
      </w:r>
      <w:r w:rsidR="000F4BE6">
        <w:t xml:space="preserve"> </w:t>
      </w:r>
      <w:r w:rsidRPr="00165C7E">
        <w:t>tobacco use</w:t>
      </w:r>
      <w:r w:rsidR="000F4BE6">
        <w:t>rs</w:t>
      </w:r>
      <w:r w:rsidRPr="00165C7E">
        <w:t xml:space="preserve"> or non-use</w:t>
      </w:r>
      <w:r w:rsidR="000F4BE6">
        <w:t xml:space="preserve">rs and </w:t>
      </w:r>
      <w:r w:rsidR="002B512E">
        <w:t xml:space="preserve">then to </w:t>
      </w:r>
      <w:r w:rsidR="005B5F3A" w:rsidRPr="00165C7E">
        <w:t>c</w:t>
      </w:r>
      <w:r w:rsidRPr="00165C7E">
        <w:t>ompare</w:t>
      </w:r>
      <w:r w:rsidR="00054482" w:rsidRPr="00165C7E">
        <w:t xml:space="preserve"> </w:t>
      </w:r>
      <w:r w:rsidRPr="00165C7E">
        <w:t>th</w:t>
      </w:r>
      <w:r w:rsidR="002B512E">
        <w:t xml:space="preserve">is to their self-reported </w:t>
      </w:r>
      <w:r w:rsidR="00054482" w:rsidRPr="00165C7E">
        <w:t>response</w:t>
      </w:r>
      <w:r w:rsidR="002B512E">
        <w:t>s</w:t>
      </w:r>
      <w:r w:rsidR="00054482" w:rsidRPr="00165C7E">
        <w:t xml:space="preserve"> </w:t>
      </w:r>
      <w:r w:rsidR="002B512E">
        <w:t>in</w:t>
      </w:r>
      <w:r w:rsidR="00054482" w:rsidRPr="00165C7E">
        <w:t xml:space="preserve"> the </w:t>
      </w:r>
      <w:r w:rsidR="002B512E">
        <w:t>interview</w:t>
      </w:r>
      <w:r w:rsidR="00054482" w:rsidRPr="00165C7E">
        <w:t>.</w:t>
      </w:r>
      <w:r w:rsidR="006E6839" w:rsidRPr="00165C7E">
        <w:t xml:space="preserve"> </w:t>
      </w:r>
      <w:r w:rsidR="002B512E">
        <w:t xml:space="preserve"> </w:t>
      </w:r>
      <w:r w:rsidRPr="00165C7E">
        <w:t>In addition to examining overall levels of misreporting</w:t>
      </w:r>
      <w:r w:rsidR="00054482" w:rsidRPr="00165C7E">
        <w:t xml:space="preserve"> and</w:t>
      </w:r>
      <w:r w:rsidRPr="00165C7E">
        <w:t xml:space="preserve"> underreporting among those who test positive for tobacco use, </w:t>
      </w:r>
      <w:r w:rsidR="00054482" w:rsidRPr="00165C7E">
        <w:t>this method w</w:t>
      </w:r>
      <w:r w:rsidR="002B512E">
        <w:t xml:space="preserve">ill </w:t>
      </w:r>
      <w:r w:rsidR="00054482" w:rsidRPr="00165C7E">
        <w:t xml:space="preserve"> be used to analyze </w:t>
      </w:r>
      <w:r w:rsidRPr="00165C7E">
        <w:t xml:space="preserve">differences in </w:t>
      </w:r>
      <w:r w:rsidR="00054482" w:rsidRPr="00165C7E">
        <w:t xml:space="preserve">the </w:t>
      </w:r>
      <w:r w:rsidRPr="00165C7E">
        <w:t xml:space="preserve">accuracy </w:t>
      </w:r>
      <w:r w:rsidR="00054482" w:rsidRPr="00165C7E">
        <w:t>of self-report within and between</w:t>
      </w:r>
      <w:r w:rsidR="006E6839" w:rsidRPr="00165C7E">
        <w:t xml:space="preserve"> </w:t>
      </w:r>
      <w:r w:rsidRPr="00165C7E">
        <w:t xml:space="preserve">subgroups of </w:t>
      </w:r>
      <w:r w:rsidR="00054482" w:rsidRPr="00165C7E">
        <w:t xml:space="preserve"> </w:t>
      </w:r>
      <w:r w:rsidR="00661302" w:rsidRPr="00165C7E">
        <w:t>PATH Study</w:t>
      </w:r>
      <w:r w:rsidR="00054482" w:rsidRPr="00165C7E">
        <w:t xml:space="preserve"> </w:t>
      </w:r>
      <w:r w:rsidR="002B512E">
        <w:t>respondents</w:t>
      </w:r>
      <w:r w:rsidRPr="00165C7E">
        <w:t>.</w:t>
      </w:r>
    </w:p>
    <w:p w:rsidR="002B512E" w:rsidRDefault="002B512E" w:rsidP="00257CB6">
      <w:pPr>
        <w:pStyle w:val="L1-FlLSp12"/>
      </w:pPr>
    </w:p>
    <w:p w:rsidR="005F47A5" w:rsidRPr="00165C7E" w:rsidRDefault="002B512E" w:rsidP="00257CB6">
      <w:pPr>
        <w:pStyle w:val="L1-FlLSp12"/>
      </w:pPr>
      <w:r>
        <w:t>T</w:t>
      </w:r>
      <w:r w:rsidR="00B2428E" w:rsidRPr="00165C7E">
        <w:t xml:space="preserve">he purpose, study design, and intended study outcome(s) </w:t>
      </w:r>
      <w:r w:rsidR="00167574" w:rsidRPr="00165C7E">
        <w:t xml:space="preserve">of these examples </w:t>
      </w:r>
      <w:r w:rsidR="00B2428E" w:rsidRPr="00165C7E">
        <w:t xml:space="preserve">are presented in </w:t>
      </w:r>
      <w:r w:rsidR="00E40BEE">
        <w:t>Attachment</w:t>
      </w:r>
      <w:r w:rsidR="00E40BEE" w:rsidRPr="00165C7E">
        <w:t> </w:t>
      </w:r>
      <w:r w:rsidR="00B2428E" w:rsidRPr="00165C7E">
        <w:t>1.</w:t>
      </w:r>
    </w:p>
    <w:p w:rsidR="00C47DA9" w:rsidRDefault="00C47DA9">
      <w:pPr>
        <w:spacing w:line="240" w:lineRule="auto"/>
      </w:pPr>
    </w:p>
    <w:p w:rsidR="00C47A0B" w:rsidRPr="00165C7E" w:rsidRDefault="00C47A0B">
      <w:pPr>
        <w:spacing w:line="240" w:lineRule="auto"/>
      </w:pPr>
    </w:p>
    <w:p w:rsidR="002F7ABC" w:rsidRPr="00165C7E" w:rsidRDefault="002F7ABC" w:rsidP="00257CB6">
      <w:pPr>
        <w:pStyle w:val="Heading2"/>
      </w:pPr>
      <w:r w:rsidRPr="00165C7E">
        <w:t>A.3</w:t>
      </w:r>
      <w:r w:rsidRPr="00165C7E">
        <w:tab/>
        <w:t>Use of Information Technology and Burden Reduction</w:t>
      </w:r>
    </w:p>
    <w:p w:rsidR="00DE4537" w:rsidRDefault="000146F5" w:rsidP="006E6839">
      <w:pPr>
        <w:pStyle w:val="L1-FlLSp12"/>
      </w:pPr>
      <w:r w:rsidRPr="00165C7E">
        <w:t xml:space="preserve">A </w:t>
      </w:r>
      <w:r w:rsidR="00C47A0B">
        <w:t>major reason the PATH St</w:t>
      </w:r>
      <w:r w:rsidR="0097298F">
        <w:t>u</w:t>
      </w:r>
      <w:r w:rsidR="00C47A0B">
        <w:t xml:space="preserve">dy </w:t>
      </w:r>
      <w:r w:rsidR="0097298F">
        <w:t xml:space="preserve">has for using </w:t>
      </w:r>
      <w:r w:rsidRPr="00165C7E">
        <w:t xml:space="preserve">this generic clearance </w:t>
      </w:r>
      <w:r w:rsidR="0097298F">
        <w:t>mechanism</w:t>
      </w:r>
      <w:r w:rsidRPr="00165C7E">
        <w:t xml:space="preserve"> is to conduct </w:t>
      </w:r>
      <w:r w:rsidR="0097298F">
        <w:t xml:space="preserve">methodological </w:t>
      </w:r>
      <w:r w:rsidRPr="00165C7E">
        <w:t xml:space="preserve">studies to test the use of new technologies and data collection methods </w:t>
      </w:r>
      <w:r w:rsidR="00DE4537">
        <w:t>to</w:t>
      </w:r>
      <w:r w:rsidRPr="00165C7E">
        <w:t xml:space="preserve"> increase the efficiency of data collection procedures </w:t>
      </w:r>
      <w:r w:rsidR="00727D78">
        <w:t>and reduce respondent burden</w:t>
      </w:r>
      <w:r w:rsidR="0097298F">
        <w:t>.</w:t>
      </w:r>
      <w:r w:rsidR="006E6839" w:rsidRPr="00165C7E">
        <w:t xml:space="preserve"> </w:t>
      </w:r>
      <w:r w:rsidR="00150A45">
        <w:t xml:space="preserve">Because it is a longitudinal cohort study, </w:t>
      </w:r>
      <w:r w:rsidR="00CA5B6A" w:rsidRPr="00165C7E">
        <w:t xml:space="preserve">the </w:t>
      </w:r>
      <w:r w:rsidR="00150A45">
        <w:t xml:space="preserve">PATH Study </w:t>
      </w:r>
      <w:r w:rsidR="006C58B5">
        <w:t xml:space="preserve">should </w:t>
      </w:r>
      <w:r w:rsidR="00150A45">
        <w:t>achieve high participant response and retention rates</w:t>
      </w:r>
      <w:r w:rsidR="002B63EA">
        <w:t xml:space="preserve"> from one year to the next</w:t>
      </w:r>
      <w:r w:rsidR="00150A45">
        <w:t>. Reducing</w:t>
      </w:r>
      <w:r w:rsidR="00CA5B6A" w:rsidRPr="00165C7E">
        <w:t xml:space="preserve"> respondent burden</w:t>
      </w:r>
      <w:r w:rsidR="00DE4537">
        <w:t xml:space="preserve"> </w:t>
      </w:r>
      <w:r w:rsidR="00150A45">
        <w:t xml:space="preserve">can benefit response rates </w:t>
      </w:r>
      <w:r w:rsidR="00DE4537">
        <w:t>and</w:t>
      </w:r>
      <w:r w:rsidR="00CA5B6A" w:rsidRPr="00165C7E">
        <w:t xml:space="preserve"> </w:t>
      </w:r>
      <w:r w:rsidR="00150A45">
        <w:t xml:space="preserve">retention as well as </w:t>
      </w:r>
      <w:r w:rsidR="00CA5B6A" w:rsidRPr="00165C7E">
        <w:t>study costs</w:t>
      </w:r>
      <w:r w:rsidR="00150A45">
        <w:t xml:space="preserve">. </w:t>
      </w:r>
      <w:r w:rsidRPr="00165C7E">
        <w:t>T</w:t>
      </w:r>
      <w:r w:rsidR="00727D78">
        <w:t>h</w:t>
      </w:r>
      <w:r w:rsidR="002B63EA">
        <w:t xml:space="preserve">is generic clearance mechanism will </w:t>
      </w:r>
      <w:r w:rsidR="006C58B5">
        <w:t xml:space="preserve">permit </w:t>
      </w:r>
      <w:r w:rsidR="002B63EA">
        <w:t xml:space="preserve">the PATH Study to test new technologies, including </w:t>
      </w:r>
      <w:r w:rsidR="00CA5B6A" w:rsidRPr="00165C7E">
        <w:t xml:space="preserve">automated </w:t>
      </w:r>
      <w:r w:rsidR="00727D78">
        <w:t xml:space="preserve">data collection </w:t>
      </w:r>
      <w:r w:rsidR="00B021F4">
        <w:t>methods</w:t>
      </w:r>
      <w:r w:rsidR="002B63EA">
        <w:t xml:space="preserve">, </w:t>
      </w:r>
      <w:r w:rsidR="00DE4537">
        <w:t xml:space="preserve">to </w:t>
      </w:r>
      <w:r w:rsidR="00CA5B6A" w:rsidRPr="00165C7E">
        <w:t xml:space="preserve">improve </w:t>
      </w:r>
      <w:r w:rsidR="00727D78">
        <w:t>data</w:t>
      </w:r>
      <w:r w:rsidR="00CA5B6A" w:rsidRPr="00165C7E">
        <w:t xml:space="preserve"> accuracy</w:t>
      </w:r>
      <w:r w:rsidR="00DE4537">
        <w:t xml:space="preserve">, </w:t>
      </w:r>
      <w:r w:rsidR="00CA5B6A" w:rsidRPr="00165C7E">
        <w:t>quality</w:t>
      </w:r>
      <w:r w:rsidR="00DE4537">
        <w:t xml:space="preserve">, and utility </w:t>
      </w:r>
      <w:r w:rsidR="002B63EA">
        <w:t xml:space="preserve">while also reducing respondent burden, maintaining high response and retention rates, and controlling study costs. </w:t>
      </w:r>
      <w:r w:rsidR="00B021F4">
        <w:t>Examples</w:t>
      </w:r>
      <w:r w:rsidR="00DE4537">
        <w:t xml:space="preserve"> of t</w:t>
      </w:r>
      <w:r w:rsidR="00CA5B6A" w:rsidRPr="00165C7E">
        <w:t xml:space="preserve">hese </w:t>
      </w:r>
      <w:r w:rsidR="0097298F">
        <w:t xml:space="preserve">automated </w:t>
      </w:r>
      <w:r w:rsidR="00CA5B6A" w:rsidRPr="00165C7E">
        <w:t xml:space="preserve">methods include computer-assisted interviewing, automated data collection, </w:t>
      </w:r>
      <w:r w:rsidR="001232CA" w:rsidRPr="00165C7E">
        <w:t>Web</w:t>
      </w:r>
      <w:r w:rsidR="00CA5B6A" w:rsidRPr="00165C7E">
        <w:t xml:space="preserve"> surveys, smartphone/mobile phone surveys, text messaging, and IVR technology.</w:t>
      </w:r>
      <w:r w:rsidR="00777472">
        <w:t xml:space="preserve"> </w:t>
      </w:r>
    </w:p>
    <w:p w:rsidR="00C012DC" w:rsidRPr="00165C7E" w:rsidRDefault="00C012DC" w:rsidP="006E6839">
      <w:pPr>
        <w:pStyle w:val="L1-FlLSp12"/>
      </w:pPr>
    </w:p>
    <w:p w:rsidR="00C13D14" w:rsidRPr="00165C7E" w:rsidRDefault="002F7ABC" w:rsidP="00257CB6">
      <w:pPr>
        <w:pStyle w:val="Heading2"/>
      </w:pPr>
      <w:r w:rsidRPr="00165C7E">
        <w:t>A.4</w:t>
      </w:r>
      <w:r w:rsidRPr="00165C7E">
        <w:tab/>
        <w:t>Efforts to Identify Duplication and Use of Similar Information</w:t>
      </w:r>
    </w:p>
    <w:p w:rsidR="00A23708" w:rsidRPr="00165C7E" w:rsidRDefault="00B021F4" w:rsidP="006E6839">
      <w:pPr>
        <w:pStyle w:val="L1-FlLSp12"/>
      </w:pPr>
      <w:r>
        <w:t>S</w:t>
      </w:r>
      <w:r w:rsidR="00062A6A" w:rsidRPr="00165C7E">
        <w:t xml:space="preserve">tudies to be conducted under this generic clearance </w:t>
      </w:r>
      <w:r w:rsidR="00D06538" w:rsidRPr="00165C7E">
        <w:t>do not duplicate other work being done</w:t>
      </w:r>
      <w:r w:rsidR="00062A6A" w:rsidRPr="00165C7E">
        <w:t xml:space="preserve"> on the </w:t>
      </w:r>
      <w:r w:rsidR="00661302" w:rsidRPr="00165C7E">
        <w:t>PATH Study</w:t>
      </w:r>
      <w:r w:rsidR="00062A6A" w:rsidRPr="00165C7E">
        <w:t xml:space="preserve"> or </w:t>
      </w:r>
      <w:r w:rsidR="00633640" w:rsidRPr="00165C7E">
        <w:t>by other research studies</w:t>
      </w:r>
      <w:r w:rsidR="00D06538" w:rsidRPr="00165C7E">
        <w:t>.</w:t>
      </w:r>
      <w:r w:rsidR="006E6839" w:rsidRPr="00165C7E">
        <w:t xml:space="preserve"> </w:t>
      </w:r>
      <w:r>
        <w:t>D</w:t>
      </w:r>
      <w:r w:rsidR="00D06538" w:rsidRPr="00165C7E">
        <w:t xml:space="preserve">ata collected under this generic clearance </w:t>
      </w:r>
      <w:r>
        <w:t>are specific to</w:t>
      </w:r>
      <w:r w:rsidR="00597A02" w:rsidRPr="00165C7E">
        <w:t xml:space="preserve"> the </w:t>
      </w:r>
      <w:r>
        <w:t>needs of</w:t>
      </w:r>
      <w:r w:rsidR="00597A02" w:rsidRPr="00165C7E">
        <w:t xml:space="preserve"> the PATH Study</w:t>
      </w:r>
      <w:r w:rsidR="00203840" w:rsidRPr="00165C7E">
        <w:t xml:space="preserve">: </w:t>
      </w:r>
      <w:r w:rsidR="00D06538" w:rsidRPr="00165C7E">
        <w:t>to</w:t>
      </w:r>
      <w:r w:rsidR="00E54EF9" w:rsidRPr="00165C7E">
        <w:t xml:space="preserve"> improve </w:t>
      </w:r>
      <w:r w:rsidR="00597A02" w:rsidRPr="00165C7E">
        <w:t>its</w:t>
      </w:r>
      <w:r w:rsidR="00E54EF9" w:rsidRPr="00165C7E">
        <w:t xml:space="preserve"> implementation, data collection procedures, and techniques for attaining high response, retention, and follow-up rates</w:t>
      </w:r>
      <w:r w:rsidR="008F1EAD" w:rsidRPr="00165C7E">
        <w:t xml:space="preserve">, all </w:t>
      </w:r>
      <w:r w:rsidR="00203840" w:rsidRPr="00165C7E">
        <w:t>of which are necessary</w:t>
      </w:r>
      <w:r w:rsidR="00597A02" w:rsidRPr="00165C7E">
        <w:t xml:space="preserve"> </w:t>
      </w:r>
      <w:r w:rsidR="008F1EAD" w:rsidRPr="00165C7E">
        <w:t>to ensure the PATH Study meets its</w:t>
      </w:r>
      <w:r w:rsidR="00597A02" w:rsidRPr="00165C7E">
        <w:t xml:space="preserve"> objectives of measuring and accurately reporting population-based behavioral and health effects associated with tobacco product use </w:t>
      </w:r>
      <w:r w:rsidR="008F1EAD" w:rsidRPr="00165C7E">
        <w:t>in the U.S.</w:t>
      </w:r>
      <w:r w:rsidR="006E6839" w:rsidRPr="00165C7E">
        <w:t xml:space="preserve"> </w:t>
      </w:r>
      <w:r w:rsidR="00203840" w:rsidRPr="00165C7E">
        <w:t>In addition, t</w:t>
      </w:r>
      <w:r w:rsidR="008F1EAD" w:rsidRPr="00165C7E">
        <w:t xml:space="preserve">he methodological improvements and efficiencies </w:t>
      </w:r>
      <w:r w:rsidR="00203840" w:rsidRPr="00165C7E">
        <w:t xml:space="preserve">gained </w:t>
      </w:r>
      <w:r w:rsidR="008F1EAD" w:rsidRPr="00165C7E">
        <w:t xml:space="preserve">from studies conducted under this generic clearance </w:t>
      </w:r>
      <w:r w:rsidR="00203840" w:rsidRPr="00165C7E">
        <w:t xml:space="preserve">are expected to </w:t>
      </w:r>
      <w:r w:rsidR="008F1EAD" w:rsidRPr="00165C7E">
        <w:t xml:space="preserve">help </w:t>
      </w:r>
      <w:r w:rsidR="00203840" w:rsidRPr="00165C7E">
        <w:t xml:space="preserve">reduce </w:t>
      </w:r>
      <w:r w:rsidR="008F1EAD" w:rsidRPr="00165C7E">
        <w:t xml:space="preserve">the PATH Study’s public information collection burden. </w:t>
      </w:r>
      <w:r w:rsidR="008F0846" w:rsidRPr="00165C7E">
        <w:t xml:space="preserve">It </w:t>
      </w:r>
      <w:r w:rsidR="008F0846" w:rsidRPr="00165C7E">
        <w:lastRenderedPageBreak/>
        <w:t xml:space="preserve">would not be possible to collect these data </w:t>
      </w:r>
      <w:r w:rsidR="00062A6A" w:rsidRPr="00165C7E">
        <w:t>under other circumstances due to the time constraints of seeking clearance for each individual data collection. Existing data sources will be used to the maximum extent possible before attempting to utilize a</w:t>
      </w:r>
      <w:r w:rsidR="007428B9" w:rsidRPr="00165C7E">
        <w:t xml:space="preserve">dditional field work </w:t>
      </w:r>
      <w:r w:rsidR="00FE0ECA" w:rsidRPr="00165C7E">
        <w:t xml:space="preserve">and burden hours </w:t>
      </w:r>
      <w:r w:rsidR="007428B9" w:rsidRPr="00165C7E">
        <w:t>sought under this clearance.</w:t>
      </w:r>
    </w:p>
    <w:p w:rsidR="00062A6A" w:rsidRPr="00165C7E" w:rsidRDefault="00062A6A" w:rsidP="006E6839">
      <w:pPr>
        <w:pStyle w:val="L1-FlLSp12"/>
      </w:pPr>
    </w:p>
    <w:p w:rsidR="006E6839" w:rsidRPr="00165C7E" w:rsidRDefault="006E6839" w:rsidP="006E6839">
      <w:pPr>
        <w:pStyle w:val="L1-FlLSp12"/>
      </w:pPr>
    </w:p>
    <w:p w:rsidR="002F7ABC" w:rsidRPr="00165C7E" w:rsidRDefault="002F7ABC" w:rsidP="00257CB6">
      <w:pPr>
        <w:pStyle w:val="Heading2"/>
      </w:pPr>
      <w:r w:rsidRPr="00165C7E">
        <w:t>A.5</w:t>
      </w:r>
      <w:r w:rsidRPr="00165C7E">
        <w:tab/>
        <w:t xml:space="preserve">Impact on Small Businesses </w:t>
      </w:r>
      <w:r w:rsidR="00DE245D" w:rsidRPr="00165C7E">
        <w:t>or</w:t>
      </w:r>
      <w:r w:rsidRPr="00165C7E">
        <w:t xml:space="preserve"> Other Small Entities</w:t>
      </w:r>
    </w:p>
    <w:p w:rsidR="0011137D" w:rsidRPr="00165C7E" w:rsidRDefault="0011137D" w:rsidP="006E6839">
      <w:pPr>
        <w:pStyle w:val="L1-FlLSp12"/>
      </w:pPr>
      <w:r w:rsidRPr="00165C7E">
        <w:t>There will be no impact on small businesses or other small entities. Small business entities or other small organizations will not be involved in the study.</w:t>
      </w:r>
    </w:p>
    <w:p w:rsidR="002F7ABC" w:rsidRPr="00165C7E" w:rsidRDefault="002F7ABC" w:rsidP="006E6839">
      <w:pPr>
        <w:pStyle w:val="L1-FlLSp12"/>
      </w:pPr>
    </w:p>
    <w:p w:rsidR="00A23708" w:rsidRPr="00165C7E" w:rsidRDefault="00A23708" w:rsidP="006E6839">
      <w:pPr>
        <w:pStyle w:val="L1-FlLSp12"/>
      </w:pPr>
    </w:p>
    <w:p w:rsidR="00D81BAE" w:rsidRPr="00165C7E" w:rsidRDefault="002F7ABC" w:rsidP="006E6839">
      <w:pPr>
        <w:pStyle w:val="Heading2"/>
        <w:rPr>
          <w:rFonts w:ascii="Garamond" w:hAnsi="Garamond"/>
        </w:rPr>
      </w:pPr>
      <w:r w:rsidRPr="00165C7E">
        <w:t>A.6</w:t>
      </w:r>
      <w:r w:rsidRPr="00165C7E">
        <w:tab/>
        <w:t>Consequences of Collecting the Information Less Frequently</w:t>
      </w:r>
    </w:p>
    <w:p w:rsidR="00592871" w:rsidRPr="00165C7E" w:rsidRDefault="00680239" w:rsidP="006E6839">
      <w:pPr>
        <w:pStyle w:val="L1-FlLSp12"/>
      </w:pPr>
      <w:r w:rsidRPr="00165C7E">
        <w:t xml:space="preserve">These methodological studies </w:t>
      </w:r>
      <w:r w:rsidR="00240A40" w:rsidRPr="00165C7E">
        <w:t xml:space="preserve">are planned to be </w:t>
      </w:r>
      <w:r w:rsidRPr="00165C7E">
        <w:t xml:space="preserve">on-going and concurrent </w:t>
      </w:r>
      <w:r w:rsidR="00240A40" w:rsidRPr="00165C7E">
        <w:t>over the 3-year period of this request</w:t>
      </w:r>
      <w:r w:rsidRPr="00165C7E">
        <w:t>.</w:t>
      </w:r>
      <w:r w:rsidR="006E6839" w:rsidRPr="00165C7E">
        <w:t xml:space="preserve"> </w:t>
      </w:r>
      <w:r w:rsidRPr="00165C7E">
        <w:t xml:space="preserve">They focus on </w:t>
      </w:r>
      <w:r w:rsidR="00240A40" w:rsidRPr="00165C7E">
        <w:t xml:space="preserve">enhancing </w:t>
      </w:r>
      <w:r w:rsidRPr="00165C7E">
        <w:t xml:space="preserve">the </w:t>
      </w:r>
      <w:r w:rsidR="00661302" w:rsidRPr="00165C7E">
        <w:t>PATH Study</w:t>
      </w:r>
      <w:r w:rsidR="00240A40" w:rsidRPr="00165C7E">
        <w:t>’s</w:t>
      </w:r>
      <w:r w:rsidRPr="00165C7E">
        <w:t xml:space="preserve"> design</w:t>
      </w:r>
      <w:r w:rsidR="00455B8E" w:rsidRPr="00165C7E">
        <w:t>,</w:t>
      </w:r>
      <w:r w:rsidR="00240A40" w:rsidRPr="00165C7E">
        <w:t xml:space="preserve"> </w:t>
      </w:r>
      <w:r w:rsidRPr="00165C7E">
        <w:t>instrumentation</w:t>
      </w:r>
      <w:r w:rsidR="00455B8E" w:rsidRPr="00165C7E">
        <w:t>, and data collection procedures</w:t>
      </w:r>
      <w:r w:rsidRPr="00165C7E">
        <w:t xml:space="preserve">. </w:t>
      </w:r>
      <w:r w:rsidR="00455B8E" w:rsidRPr="00165C7E">
        <w:t xml:space="preserve">It is necessary for the </w:t>
      </w:r>
      <w:r w:rsidR="00661302" w:rsidRPr="00165C7E">
        <w:t>PATH Study</w:t>
      </w:r>
      <w:r w:rsidR="003979D3" w:rsidRPr="00165C7E">
        <w:t xml:space="preserve"> </w:t>
      </w:r>
      <w:r w:rsidR="00240A40" w:rsidRPr="00165C7E">
        <w:t xml:space="preserve">to </w:t>
      </w:r>
      <w:r w:rsidR="00455B8E" w:rsidRPr="00165C7E">
        <w:t xml:space="preserve">have the capacity to </w:t>
      </w:r>
      <w:r w:rsidR="00240A40" w:rsidRPr="00165C7E">
        <w:t xml:space="preserve">conduct these </w:t>
      </w:r>
      <w:r w:rsidRPr="00165C7E">
        <w:t>small studies</w:t>
      </w:r>
      <w:r w:rsidR="00240A40" w:rsidRPr="00165C7E">
        <w:t xml:space="preserve"> </w:t>
      </w:r>
      <w:r w:rsidR="00521DDD" w:rsidRPr="00165C7E">
        <w:t xml:space="preserve">to </w:t>
      </w:r>
      <w:r w:rsidR="00455B8E" w:rsidRPr="00165C7E">
        <w:t>assess its protocols on an ongoing basis</w:t>
      </w:r>
      <w:r w:rsidR="004907AE" w:rsidRPr="00165C7E">
        <w:t xml:space="preserve">. </w:t>
      </w:r>
      <w:r w:rsidR="00455B8E" w:rsidRPr="00165C7E">
        <w:t xml:space="preserve">This </w:t>
      </w:r>
      <w:r w:rsidR="004907AE" w:rsidRPr="00165C7E">
        <w:t>will help to</w:t>
      </w:r>
      <w:r w:rsidR="00455B8E" w:rsidRPr="00165C7E">
        <w:t xml:space="preserve"> </w:t>
      </w:r>
      <w:r w:rsidR="00521DDD" w:rsidRPr="00165C7E">
        <w:t>assure</w:t>
      </w:r>
      <w:r w:rsidR="004907AE" w:rsidRPr="00165C7E">
        <w:t xml:space="preserve"> </w:t>
      </w:r>
      <w:r w:rsidR="0067606B">
        <w:t>that its data advance the scientific knowledge base on tobacco use behaviors and health in the U.S. population, thereby serving as a s</w:t>
      </w:r>
      <w:r w:rsidR="00521DDD" w:rsidRPr="00165C7E">
        <w:t xml:space="preserve">cience framework </w:t>
      </w:r>
      <w:r w:rsidR="0067606B">
        <w:t>for</w:t>
      </w:r>
      <w:r w:rsidR="00521DDD" w:rsidRPr="00165C7E">
        <w:t xml:space="preserve"> FDA’s</w:t>
      </w:r>
      <w:r w:rsidR="0061697C" w:rsidRPr="0061697C">
        <w:t xml:space="preserve"> examination of </w:t>
      </w:r>
      <w:r w:rsidR="00D435C7">
        <w:t xml:space="preserve">potential </w:t>
      </w:r>
      <w:r w:rsidR="0061697C" w:rsidRPr="0061697C">
        <w:t>behavioral and health impacts of specific FS</w:t>
      </w:r>
      <w:r w:rsidR="00D435C7">
        <w:t>P</w:t>
      </w:r>
      <w:r w:rsidR="0061697C" w:rsidRPr="0061697C">
        <w:t>TCA related programs</w:t>
      </w:r>
      <w:r w:rsidR="00AA0873">
        <w:t xml:space="preserve">. </w:t>
      </w:r>
      <w:r w:rsidR="00BB3504" w:rsidRPr="00165C7E">
        <w:t xml:space="preserve">Without these studies, data collection for the main </w:t>
      </w:r>
      <w:r w:rsidR="00661302" w:rsidRPr="00165C7E">
        <w:t>PATH Study</w:t>
      </w:r>
      <w:r w:rsidR="00BB3504" w:rsidRPr="00165C7E">
        <w:t xml:space="preserve"> </w:t>
      </w:r>
      <w:r w:rsidR="00203840" w:rsidRPr="00165C7E">
        <w:t xml:space="preserve">will likely </w:t>
      </w:r>
      <w:r w:rsidR="00455B8E" w:rsidRPr="00165C7E">
        <w:t xml:space="preserve">be </w:t>
      </w:r>
      <w:r w:rsidR="00BB3504" w:rsidRPr="00165C7E">
        <w:t xml:space="preserve">less </w:t>
      </w:r>
      <w:r w:rsidR="00455B8E" w:rsidRPr="00165C7E">
        <w:t>effective</w:t>
      </w:r>
      <w:r w:rsidR="0067606B">
        <w:t xml:space="preserve">, less </w:t>
      </w:r>
      <w:r w:rsidR="00BB3504" w:rsidRPr="00165C7E">
        <w:t>efficient</w:t>
      </w:r>
      <w:r w:rsidR="0067606B">
        <w:t xml:space="preserve">, and ultimately less informative </w:t>
      </w:r>
      <w:r w:rsidR="00BB3504" w:rsidRPr="00165C7E">
        <w:t xml:space="preserve">than it </w:t>
      </w:r>
      <w:r w:rsidR="0067606B">
        <w:t xml:space="preserve">is required </w:t>
      </w:r>
      <w:r w:rsidR="00455B8E" w:rsidRPr="00165C7E">
        <w:t>to</w:t>
      </w:r>
      <w:r w:rsidR="0067606B">
        <w:t xml:space="preserve"> </w:t>
      </w:r>
      <w:r w:rsidR="00455B8E" w:rsidRPr="00165C7E">
        <w:t>be</w:t>
      </w:r>
      <w:r w:rsidR="00BB3504" w:rsidRPr="00165C7E">
        <w:t>.</w:t>
      </w:r>
    </w:p>
    <w:p w:rsidR="006E6839" w:rsidRPr="00165C7E" w:rsidRDefault="006E6839" w:rsidP="006E6839">
      <w:pPr>
        <w:pStyle w:val="L1-FlLSp12"/>
      </w:pPr>
    </w:p>
    <w:p w:rsidR="002F7ABC" w:rsidRPr="00165C7E" w:rsidRDefault="002F7ABC" w:rsidP="006E6839">
      <w:pPr>
        <w:pStyle w:val="Heading2"/>
      </w:pPr>
      <w:r w:rsidRPr="00165C7E">
        <w:t>A.7</w:t>
      </w:r>
      <w:r w:rsidRPr="00165C7E">
        <w:tab/>
        <w:t>Special Circumstances Relating to the Guidelines of 5 CFR 1320.5</w:t>
      </w:r>
    </w:p>
    <w:p w:rsidR="002F7ABC" w:rsidRPr="00165C7E" w:rsidRDefault="002F7ABC" w:rsidP="006E6839">
      <w:pPr>
        <w:pStyle w:val="L1-FlLSp12"/>
      </w:pPr>
      <w:r w:rsidRPr="00165C7E">
        <w:t>This project fully complies with the guidelines of 5 C</w:t>
      </w:r>
      <w:r w:rsidR="00831C63" w:rsidRPr="00165C7E">
        <w:t>F</w:t>
      </w:r>
      <w:r w:rsidRPr="00165C7E">
        <w:t>R 1320.5.</w:t>
      </w:r>
    </w:p>
    <w:p w:rsidR="002F7ABC" w:rsidRPr="00165C7E" w:rsidRDefault="002F7ABC" w:rsidP="006E6839">
      <w:pPr>
        <w:pStyle w:val="L1-FlLSp12"/>
      </w:pPr>
    </w:p>
    <w:p w:rsidR="00A23708" w:rsidRPr="00165C7E" w:rsidRDefault="00A23708" w:rsidP="006E6839">
      <w:pPr>
        <w:pStyle w:val="L1-FlLSp12"/>
      </w:pPr>
    </w:p>
    <w:p w:rsidR="002F7ABC" w:rsidRPr="00165C7E" w:rsidRDefault="002F7ABC" w:rsidP="006E6839">
      <w:pPr>
        <w:pStyle w:val="Heading2"/>
      </w:pPr>
      <w:r w:rsidRPr="00165C7E">
        <w:t>A.8</w:t>
      </w:r>
      <w:r w:rsidRPr="00165C7E">
        <w:tab/>
        <w:t>Comments in Response to the Federal Register Notice and Efforts to Consult Outside Agency</w:t>
      </w:r>
    </w:p>
    <w:p w:rsidR="006E6839" w:rsidRPr="00165C7E" w:rsidRDefault="00D21122" w:rsidP="006E6839">
      <w:pPr>
        <w:pStyle w:val="L1-FlLSp12"/>
      </w:pPr>
      <w:r w:rsidRPr="00165C7E">
        <w:t>T</w:t>
      </w:r>
      <w:r w:rsidR="002F7ABC" w:rsidRPr="00165C7E">
        <w:t xml:space="preserve">he </w:t>
      </w:r>
      <w:r w:rsidR="00831C63" w:rsidRPr="00165C7E">
        <w:t xml:space="preserve">60-day </w:t>
      </w:r>
      <w:r w:rsidR="002F7ABC" w:rsidRPr="00165C7E">
        <w:t xml:space="preserve">Federal Register Notice, required by 5 CFR 1320.8 (d), soliciting comments on the information collection prior to submission to the OMB, was published on </w:t>
      </w:r>
      <w:r w:rsidR="00712736">
        <w:t>November 26, 2012</w:t>
      </w:r>
      <w:r w:rsidR="00A42B87" w:rsidRPr="00165C7E">
        <w:t xml:space="preserve"> </w:t>
      </w:r>
      <w:r w:rsidR="002F7ABC" w:rsidRPr="00165C7E">
        <w:t xml:space="preserve"> in the Federal Register (</w:t>
      </w:r>
      <w:r w:rsidR="005215AA" w:rsidRPr="00165C7E">
        <w:t xml:space="preserve">Vol. </w:t>
      </w:r>
      <w:r w:rsidR="00712736">
        <w:t>77</w:t>
      </w:r>
      <w:r w:rsidR="005215AA" w:rsidRPr="00165C7E">
        <w:t xml:space="preserve">, No. </w:t>
      </w:r>
      <w:r w:rsidR="00712736">
        <w:t xml:space="preserve">227, </w:t>
      </w:r>
      <w:r w:rsidR="005215AA" w:rsidRPr="00165C7E">
        <w:t xml:space="preserve">p. </w:t>
      </w:r>
      <w:r w:rsidR="00712736">
        <w:t>70451</w:t>
      </w:r>
      <w:r w:rsidR="002F7ABC" w:rsidRPr="00165C7E">
        <w:t>).</w:t>
      </w:r>
      <w:r w:rsidR="00944CD4">
        <w:t xml:space="preserve"> </w:t>
      </w:r>
      <w:r w:rsidR="00537725">
        <w:t xml:space="preserve">Two comments were received.  One was a letter in </w:t>
      </w:r>
      <w:r w:rsidR="00944CD4">
        <w:t xml:space="preserve">support of this request. </w:t>
      </w:r>
      <w:r w:rsidR="00537725">
        <w:t xml:space="preserve">The other was a resubmission of a letter submitted in response to the main </w:t>
      </w:r>
      <w:r w:rsidR="00537725">
        <w:lastRenderedPageBreak/>
        <w:t xml:space="preserve">PATH Study OMB clearance request.  </w:t>
      </w:r>
      <w:r w:rsidR="00944CD4" w:rsidRPr="00A2734E">
        <w:t>The comment</w:t>
      </w:r>
      <w:r w:rsidR="00537725">
        <w:t>s</w:t>
      </w:r>
      <w:r w:rsidR="00944CD4" w:rsidRPr="00A2734E">
        <w:t xml:space="preserve"> and NIDA’s responses to these comments are included in Attachment </w:t>
      </w:r>
      <w:r w:rsidR="0033231A">
        <w:t>2</w:t>
      </w:r>
      <w:r w:rsidR="00944CD4" w:rsidRPr="00A2734E">
        <w:t>.</w:t>
      </w:r>
    </w:p>
    <w:p w:rsidR="002F7ABC" w:rsidRPr="00165C7E" w:rsidRDefault="002F7ABC" w:rsidP="006E6839">
      <w:pPr>
        <w:pStyle w:val="L1-FlLSp12"/>
      </w:pPr>
    </w:p>
    <w:p w:rsidR="00665135" w:rsidRPr="00165C7E" w:rsidRDefault="00665135" w:rsidP="006E6839">
      <w:pPr>
        <w:pStyle w:val="L1-FlLSp12"/>
      </w:pPr>
      <w:r w:rsidRPr="00165C7E">
        <w:t xml:space="preserve">Consultation </w:t>
      </w:r>
      <w:r w:rsidRPr="00E15D45">
        <w:t xml:space="preserve">with </w:t>
      </w:r>
      <w:r w:rsidR="004C3758" w:rsidRPr="00E15D45">
        <w:t xml:space="preserve">project </w:t>
      </w:r>
      <w:r w:rsidRPr="00E15D45">
        <w:t xml:space="preserve">staff from </w:t>
      </w:r>
      <w:r w:rsidR="004C3758" w:rsidRPr="00E15D45">
        <w:t xml:space="preserve">NIDA and </w:t>
      </w:r>
      <w:r w:rsidRPr="00E15D45">
        <w:t>FDA,</w:t>
      </w:r>
      <w:r w:rsidRPr="00165C7E">
        <w:t xml:space="preserve"> and </w:t>
      </w:r>
      <w:r w:rsidR="004C3758">
        <w:t xml:space="preserve">with </w:t>
      </w:r>
      <w:r w:rsidRPr="00165C7E">
        <w:t xml:space="preserve">numerous outside agencies, institutions, and universities </w:t>
      </w:r>
      <w:r w:rsidR="00A47912" w:rsidRPr="00165C7E">
        <w:t>will occur in preparation for and in conjunction with the fielding of data collections under this generic clearance request.</w:t>
      </w:r>
      <w:r w:rsidRPr="00165C7E">
        <w:t xml:space="preserve"> The</w:t>
      </w:r>
      <w:r w:rsidR="000055A7" w:rsidRPr="00165C7E">
        <w:t>se</w:t>
      </w:r>
      <w:r w:rsidRPr="00165C7E">
        <w:t xml:space="preserve"> individuals include the </w:t>
      </w:r>
      <w:r w:rsidR="00661302" w:rsidRPr="00165C7E">
        <w:t>PATH Study</w:t>
      </w:r>
      <w:r w:rsidRPr="00165C7E">
        <w:t xml:space="preserve"> questionnaire workgroup and sampling workgroup, which include individuals from Roswell Park Cancer Institute, Legacy/</w:t>
      </w:r>
      <w:r w:rsidR="00895B72" w:rsidRPr="00165C7E">
        <w:t>t</w:t>
      </w:r>
      <w:r w:rsidRPr="00165C7E">
        <w:t>he Schroeder Institute for Tobacco, Pinney Associates, University of California</w:t>
      </w:r>
      <w:r w:rsidR="000146F5" w:rsidRPr="00165C7E">
        <w:t>,</w:t>
      </w:r>
      <w:r w:rsidRPr="00165C7E">
        <w:t xml:space="preserve"> San Diego Moores Cancer Center, University of Waterloo, Dartmouth College, University of Illinois at Chicago, Westat, and </w:t>
      </w:r>
      <w:r w:rsidR="005C0B0A">
        <w:t xml:space="preserve">PATH Study </w:t>
      </w:r>
      <w:r w:rsidR="004C3758">
        <w:t xml:space="preserve">project staff from NIDA and </w:t>
      </w:r>
      <w:r w:rsidRPr="00165C7E">
        <w:t xml:space="preserve">FDA. These </w:t>
      </w:r>
      <w:r w:rsidR="004C3758">
        <w:t>individuals have expertise</w:t>
      </w:r>
      <w:r w:rsidR="000055A7" w:rsidRPr="00165C7E">
        <w:t xml:space="preserve"> in the fields of tobacco research</w:t>
      </w:r>
      <w:r w:rsidR="005C0B0A">
        <w:t xml:space="preserve">, applied population-based research, and the use of both quantitative and qualitative research methodologies. </w:t>
      </w:r>
      <w:r w:rsidR="004F59E6">
        <w:t xml:space="preserve"> O</w:t>
      </w:r>
      <w:r w:rsidR="005C0B0A">
        <w:t>ther than project staff at NIDA and FDA</w:t>
      </w:r>
      <w:r w:rsidR="004F59E6">
        <w:t>, persons</w:t>
      </w:r>
      <w:r w:rsidR="005C0B0A">
        <w:t xml:space="preserve"> </w:t>
      </w:r>
      <w:r w:rsidR="000055A7" w:rsidRPr="00165C7E">
        <w:t xml:space="preserve">who may be consulted on one or more studies to be submitted under this request </w:t>
      </w:r>
      <w:r w:rsidR="005C0B0A">
        <w:t>are listed</w:t>
      </w:r>
      <w:r w:rsidR="000055A7" w:rsidRPr="00165C7E">
        <w:t xml:space="preserve"> in Attachment</w:t>
      </w:r>
      <w:r w:rsidR="006E6839" w:rsidRPr="00165C7E">
        <w:t> </w:t>
      </w:r>
      <w:r w:rsidR="0033231A">
        <w:t>3</w:t>
      </w:r>
      <w:r w:rsidR="000055A7" w:rsidRPr="00165C7E">
        <w:t>.</w:t>
      </w:r>
    </w:p>
    <w:p w:rsidR="00665135" w:rsidRPr="00165C7E" w:rsidRDefault="00665135" w:rsidP="006E6839">
      <w:pPr>
        <w:pStyle w:val="L1-FlLSp12"/>
        <w:rPr>
          <w:rFonts w:ascii="TimesNewRoman" w:hAnsi="TimesNewRoman" w:cs="TimesNewRoman"/>
        </w:rPr>
      </w:pPr>
    </w:p>
    <w:p w:rsidR="006E6839" w:rsidRPr="00165C7E" w:rsidRDefault="006E6839" w:rsidP="006E6839">
      <w:pPr>
        <w:pStyle w:val="L1-FlLSp12"/>
        <w:rPr>
          <w:rFonts w:ascii="TimesNewRoman" w:hAnsi="TimesNewRoman" w:cs="TimesNewRoman"/>
        </w:rPr>
      </w:pPr>
    </w:p>
    <w:p w:rsidR="008F5FA1" w:rsidRPr="00165C7E" w:rsidRDefault="008F5FA1" w:rsidP="00257CB6">
      <w:pPr>
        <w:pStyle w:val="Heading2"/>
      </w:pPr>
      <w:r w:rsidRPr="00165C7E">
        <w:t>A.9</w:t>
      </w:r>
      <w:r w:rsidRPr="00165C7E">
        <w:tab/>
        <w:t>Explanation of Any Payment or Gift to Respondents</w:t>
      </w:r>
    </w:p>
    <w:p w:rsidR="0036119B" w:rsidRPr="00165C7E" w:rsidRDefault="00794420" w:rsidP="006E6839">
      <w:pPr>
        <w:pStyle w:val="L1-FlLSp12"/>
      </w:pPr>
      <w:r>
        <w:rPr>
          <w:rFonts w:eastAsiaTheme="minorHAnsi" w:cstheme="minorBidi"/>
          <w:color w:val="000000"/>
        </w:rPr>
        <w:t xml:space="preserve">As with respondents </w:t>
      </w:r>
      <w:r w:rsidR="007C1AD2">
        <w:rPr>
          <w:rFonts w:eastAsiaTheme="minorHAnsi" w:cstheme="minorBidi"/>
          <w:color w:val="000000"/>
        </w:rPr>
        <w:t>in</w:t>
      </w:r>
      <w:r>
        <w:rPr>
          <w:rFonts w:eastAsiaTheme="minorHAnsi" w:cstheme="minorBidi"/>
          <w:color w:val="000000"/>
        </w:rPr>
        <w:t xml:space="preserve"> the main PATH Study </w:t>
      </w:r>
      <w:r w:rsidR="007C1AD2">
        <w:rPr>
          <w:rFonts w:eastAsiaTheme="minorHAnsi" w:cstheme="minorBidi"/>
          <w:color w:val="000000"/>
        </w:rPr>
        <w:t xml:space="preserve">and in its studies for </w:t>
      </w:r>
      <w:r>
        <w:rPr>
          <w:rFonts w:eastAsiaTheme="minorHAnsi" w:cstheme="minorBidi"/>
          <w:color w:val="000000"/>
        </w:rPr>
        <w:t xml:space="preserve">cognitive testing (OMB </w:t>
      </w:r>
      <w:r w:rsidR="007C1AD2">
        <w:rPr>
          <w:rFonts w:eastAsiaTheme="minorHAnsi" w:cstheme="minorBidi"/>
          <w:color w:val="000000"/>
        </w:rPr>
        <w:t xml:space="preserve">Control No. </w:t>
      </w:r>
      <w:r>
        <w:rPr>
          <w:rFonts w:eastAsiaTheme="minorHAnsi" w:cstheme="minorBidi"/>
          <w:color w:val="000000"/>
        </w:rPr>
        <w:t xml:space="preserve">0925-0046 and OMB </w:t>
      </w:r>
      <w:r w:rsidR="007C1AD2">
        <w:rPr>
          <w:rFonts w:eastAsiaTheme="minorHAnsi" w:cstheme="minorBidi"/>
          <w:color w:val="000000"/>
        </w:rPr>
        <w:t xml:space="preserve">Control No. </w:t>
      </w:r>
      <w:r>
        <w:rPr>
          <w:rFonts w:eastAsiaTheme="minorHAnsi" w:cstheme="minorBidi"/>
          <w:color w:val="000000"/>
        </w:rPr>
        <w:t>0925-0589</w:t>
      </w:r>
      <w:r w:rsidR="007C1AD2">
        <w:rPr>
          <w:rFonts w:eastAsiaTheme="minorHAnsi" w:cstheme="minorBidi"/>
          <w:color w:val="000000"/>
        </w:rPr>
        <w:t>, respectively</w:t>
      </w:r>
      <w:r>
        <w:rPr>
          <w:rFonts w:eastAsiaTheme="minorHAnsi" w:cstheme="minorBidi"/>
          <w:color w:val="000000"/>
        </w:rPr>
        <w:t>), r</w:t>
      </w:r>
      <w:r w:rsidR="00665135" w:rsidRPr="00165C7E">
        <w:rPr>
          <w:rFonts w:cs="TimesNewRoman"/>
        </w:rPr>
        <w:t xml:space="preserve">espondents </w:t>
      </w:r>
      <w:r w:rsidR="000055A7" w:rsidRPr="00165C7E">
        <w:rPr>
          <w:rFonts w:cs="TimesNewRoman"/>
        </w:rPr>
        <w:t>in</w:t>
      </w:r>
      <w:r w:rsidR="00665135" w:rsidRPr="00165C7E">
        <w:rPr>
          <w:rFonts w:cs="TimesNewRoman"/>
        </w:rPr>
        <w:t xml:space="preserve"> the </w:t>
      </w:r>
      <w:r w:rsidR="000055A7" w:rsidRPr="00165C7E">
        <w:rPr>
          <w:rFonts w:cs="TimesNewRoman"/>
        </w:rPr>
        <w:t xml:space="preserve">studies to be submitted </w:t>
      </w:r>
      <w:r w:rsidR="00665135" w:rsidRPr="00165C7E">
        <w:rPr>
          <w:rFonts w:cs="TimesNewRoman"/>
        </w:rPr>
        <w:t xml:space="preserve">under this </w:t>
      </w:r>
      <w:r w:rsidR="000055A7" w:rsidRPr="00165C7E">
        <w:rPr>
          <w:rFonts w:cs="TimesNewRoman"/>
        </w:rPr>
        <w:t xml:space="preserve">generic </w:t>
      </w:r>
      <w:r w:rsidR="00665135" w:rsidRPr="00165C7E">
        <w:rPr>
          <w:rFonts w:cs="TimesNewRoman"/>
        </w:rPr>
        <w:t xml:space="preserve">clearance </w:t>
      </w:r>
      <w:r w:rsidR="00BA469C">
        <w:rPr>
          <w:rFonts w:cs="TimesNewRoman"/>
        </w:rPr>
        <w:t>may</w:t>
      </w:r>
      <w:r w:rsidR="000055A7" w:rsidRPr="00165C7E">
        <w:rPr>
          <w:rFonts w:cs="TimesNewRoman"/>
        </w:rPr>
        <w:t xml:space="preserve"> </w:t>
      </w:r>
      <w:r w:rsidR="00665135" w:rsidRPr="00165C7E">
        <w:rPr>
          <w:rFonts w:cs="TimesNewRoman"/>
        </w:rPr>
        <w:t>receive an incentive</w:t>
      </w:r>
      <w:r w:rsidR="000055A7" w:rsidRPr="00165C7E">
        <w:rPr>
          <w:rFonts w:cs="TimesNewRoman"/>
        </w:rPr>
        <w:t xml:space="preserve"> </w:t>
      </w:r>
      <w:r w:rsidR="000055A7" w:rsidRPr="00165C7E">
        <w:rPr>
          <w:rFonts w:eastAsiaTheme="minorHAnsi" w:cstheme="minorBidi"/>
          <w:color w:val="000000"/>
        </w:rPr>
        <w:t>for their time</w:t>
      </w:r>
      <w:r w:rsidR="00BA469C">
        <w:rPr>
          <w:rFonts w:eastAsiaTheme="minorHAnsi" w:cstheme="minorBidi"/>
          <w:color w:val="000000"/>
        </w:rPr>
        <w:t xml:space="preserve"> and</w:t>
      </w:r>
      <w:r w:rsidR="000055A7" w:rsidRPr="00165C7E">
        <w:rPr>
          <w:rFonts w:eastAsiaTheme="minorHAnsi" w:cstheme="minorBidi"/>
          <w:color w:val="000000"/>
        </w:rPr>
        <w:t xml:space="preserve"> effort</w:t>
      </w:r>
      <w:r w:rsidR="00BA469C">
        <w:rPr>
          <w:rFonts w:eastAsiaTheme="minorHAnsi" w:cstheme="minorBidi"/>
          <w:color w:val="000000"/>
        </w:rPr>
        <w:t xml:space="preserve"> (including</w:t>
      </w:r>
      <w:r w:rsidR="000055A7" w:rsidRPr="00165C7E">
        <w:rPr>
          <w:rFonts w:eastAsiaTheme="minorHAnsi" w:cstheme="minorBidi"/>
          <w:color w:val="000000"/>
        </w:rPr>
        <w:t xml:space="preserve"> any expenses incurred (for example, transportation costs)</w:t>
      </w:r>
      <w:r w:rsidR="00665135" w:rsidRPr="00165C7E">
        <w:rPr>
          <w:rFonts w:cs="TimesNewRoman"/>
        </w:rPr>
        <w:t>.</w:t>
      </w:r>
      <w:r w:rsidR="007C1AD2">
        <w:rPr>
          <w:rFonts w:cs="TimesNewRoman"/>
        </w:rPr>
        <w:t xml:space="preserve"> </w:t>
      </w:r>
      <w:r w:rsidR="000B3936">
        <w:t>O</w:t>
      </w:r>
      <w:r w:rsidR="00665135" w:rsidRPr="00165C7E">
        <w:t xml:space="preserve">ffering an incentive </w:t>
      </w:r>
      <w:r w:rsidR="000B3936">
        <w:t>to help</w:t>
      </w:r>
      <w:r w:rsidR="00665135" w:rsidRPr="00165C7E">
        <w:t xml:space="preserve"> attract the full range of needed </w:t>
      </w:r>
      <w:r w:rsidR="00CA5B6A" w:rsidRPr="00165C7E">
        <w:t>participant types is important.</w:t>
      </w:r>
      <w:r w:rsidR="006E6839" w:rsidRPr="00165C7E">
        <w:t xml:space="preserve"> </w:t>
      </w:r>
      <w:r w:rsidR="007C1AD2">
        <w:t>For example,</w:t>
      </w:r>
      <w:r w:rsidR="0036119B" w:rsidRPr="00165C7E">
        <w:t xml:space="preserve"> </w:t>
      </w:r>
      <w:r w:rsidR="007C1AD2">
        <w:t xml:space="preserve">a potential methodological study </w:t>
      </w:r>
      <w:r w:rsidR="0036119B" w:rsidRPr="00165C7E">
        <w:t xml:space="preserve">submitted under this generic clearance </w:t>
      </w:r>
      <w:r w:rsidR="007C1AD2">
        <w:t>could assess different levels and frequencies of</w:t>
      </w:r>
      <w:r w:rsidR="0036119B" w:rsidRPr="00165C7E">
        <w:t xml:space="preserve"> incentive</w:t>
      </w:r>
      <w:r w:rsidR="007C1AD2">
        <w:t xml:space="preserve">s </w:t>
      </w:r>
      <w:r w:rsidR="00280668">
        <w:t xml:space="preserve">compared to the standard remuneration </w:t>
      </w:r>
      <w:r w:rsidR="007C1AD2">
        <w:t xml:space="preserve">for different aspects of data collection or at different data collection waves to determine the </w:t>
      </w:r>
      <w:r w:rsidR="00280668">
        <w:t xml:space="preserve">relative </w:t>
      </w:r>
      <w:r w:rsidR="007C1AD2">
        <w:t xml:space="preserve">effectiveness </w:t>
      </w:r>
      <w:r w:rsidR="00280668">
        <w:t xml:space="preserve">of different incentive levels and frequencies </w:t>
      </w:r>
      <w:r w:rsidR="007C1AD2">
        <w:t>in cohort retention over time, in achieving the target response rates, or</w:t>
      </w:r>
      <w:r w:rsidR="00280668">
        <w:t xml:space="preserve"> in</w:t>
      </w:r>
      <w:r w:rsidR="007C1AD2">
        <w:t xml:space="preserve"> recruiting and retaining difficult-to-reach</w:t>
      </w:r>
      <w:r w:rsidR="0036119B" w:rsidRPr="00165C7E">
        <w:t xml:space="preserve"> participants</w:t>
      </w:r>
      <w:r w:rsidR="007C1AD2">
        <w:t xml:space="preserve"> or those who are</w:t>
      </w:r>
      <w:r w:rsidR="0036119B" w:rsidRPr="00165C7E">
        <w:t xml:space="preserve"> mobile or live in dense metropolitan v</w:t>
      </w:r>
      <w:r w:rsidR="00314861" w:rsidRPr="00165C7E">
        <w:t>ersu</w:t>
      </w:r>
      <w:r w:rsidR="0036119B" w:rsidRPr="00165C7E">
        <w:t>s rural areas.</w:t>
      </w:r>
    </w:p>
    <w:p w:rsidR="00314861" w:rsidRPr="00165C7E" w:rsidRDefault="00314861" w:rsidP="006E6839">
      <w:pPr>
        <w:pStyle w:val="L1-FlLSp12"/>
        <w:rPr>
          <w:rFonts w:eastAsiaTheme="minorHAnsi" w:cstheme="minorBidi"/>
          <w:color w:val="000000"/>
        </w:rPr>
      </w:pPr>
    </w:p>
    <w:p w:rsidR="000B3936" w:rsidRDefault="00EE37F1" w:rsidP="000B3936">
      <w:pPr>
        <w:pStyle w:val="L1-FlLSp12"/>
      </w:pPr>
      <w:r>
        <w:rPr>
          <w:rFonts w:eastAsiaTheme="minorHAnsi" w:cstheme="minorBidi"/>
          <w:b/>
          <w:color w:val="000000"/>
        </w:rPr>
        <w:t>On-site testing</w:t>
      </w:r>
      <w:r w:rsidR="00BA469C">
        <w:rPr>
          <w:rFonts w:eastAsiaTheme="minorHAnsi" w:cstheme="minorBidi"/>
          <w:color w:val="000000"/>
        </w:rPr>
        <w:t xml:space="preserve">:  </w:t>
      </w:r>
      <w:r w:rsidR="00665135" w:rsidRPr="00165C7E">
        <w:rPr>
          <w:rFonts w:eastAsiaTheme="minorHAnsi" w:cstheme="minorBidi"/>
          <w:color w:val="000000"/>
        </w:rPr>
        <w:t>The</w:t>
      </w:r>
      <w:r w:rsidR="000B3936" w:rsidRPr="000B3936">
        <w:t xml:space="preserve"> </w:t>
      </w:r>
      <w:r w:rsidR="000B3936">
        <w:t>Federal government’s s</w:t>
      </w:r>
      <w:r w:rsidR="000B3936" w:rsidRPr="0040068F">
        <w:t xml:space="preserve">tandard </w:t>
      </w:r>
      <w:r w:rsidR="00BA469C">
        <w:t>incentive</w:t>
      </w:r>
      <w:r w:rsidR="000B3936" w:rsidRPr="0040068F">
        <w:t xml:space="preserve"> for </w:t>
      </w:r>
      <w:r w:rsidR="000B3936">
        <w:t xml:space="preserve">participating in </w:t>
      </w:r>
      <w:r w:rsidR="00BA469C">
        <w:t>60-90 minute cognitive testing</w:t>
      </w:r>
      <w:r w:rsidR="000B3936">
        <w:t xml:space="preserve"> </w:t>
      </w:r>
      <w:r w:rsidR="00BA469C">
        <w:t xml:space="preserve">interviews or similar usability </w:t>
      </w:r>
      <w:r>
        <w:t>tests</w:t>
      </w:r>
      <w:r w:rsidR="000B3936">
        <w:t xml:space="preserve"> is </w:t>
      </w:r>
      <w:r w:rsidR="000B3936" w:rsidRPr="0040068F">
        <w:t>$40.00</w:t>
      </w:r>
      <w:r w:rsidR="000B3936">
        <w:t>.</w:t>
      </w:r>
      <w:r w:rsidR="000B3936" w:rsidRPr="0040068F">
        <w:t xml:space="preserve"> This incentive is assumed to cover participant expenses</w:t>
      </w:r>
      <w:r w:rsidR="000B3936">
        <w:t>.</w:t>
      </w:r>
      <w:r w:rsidR="000B3936" w:rsidRPr="0040068F">
        <w:t xml:space="preserve"> </w:t>
      </w:r>
      <w:r w:rsidR="00BA469C">
        <w:t>In limited situations, justifications</w:t>
      </w:r>
      <w:r w:rsidR="000B3936">
        <w:t xml:space="preserve"> may be </w:t>
      </w:r>
      <w:r w:rsidR="00BA469C">
        <w:t>provided</w:t>
      </w:r>
      <w:r w:rsidR="000B3936" w:rsidRPr="0040068F">
        <w:t xml:space="preserve"> on a case-by-case basis for </w:t>
      </w:r>
      <w:r w:rsidR="00264611">
        <w:t xml:space="preserve">studies with </w:t>
      </w:r>
      <w:r w:rsidR="000B3936" w:rsidRPr="0040068F">
        <w:t>particularly difficult recruitments</w:t>
      </w:r>
      <w:r w:rsidR="00264611">
        <w:t xml:space="preserve"> or that involve the collection of biospecimens.</w:t>
      </w:r>
      <w:r w:rsidR="000B3936">
        <w:t xml:space="preserve"> NI</w:t>
      </w:r>
      <w:r w:rsidR="00330472">
        <w:t xml:space="preserve">DA </w:t>
      </w:r>
      <w:r w:rsidR="000B3936">
        <w:t xml:space="preserve">understands that </w:t>
      </w:r>
      <w:r w:rsidR="00B550A7">
        <w:t xml:space="preserve">the bar </w:t>
      </w:r>
      <w:r w:rsidR="000B3936">
        <w:t>is high for offering more than the Federal standard</w:t>
      </w:r>
      <w:r w:rsidR="00630FDF">
        <w:t xml:space="preserve"> and will therefore </w:t>
      </w:r>
      <w:r w:rsidR="000B3936">
        <w:t>provide</w:t>
      </w:r>
      <w:r w:rsidR="00630FDF">
        <w:t xml:space="preserve"> full</w:t>
      </w:r>
      <w:r w:rsidR="000B3936">
        <w:t xml:space="preserve"> justification to OMB in the mini-supporting statement </w:t>
      </w:r>
      <w:r w:rsidR="00630FDF">
        <w:t xml:space="preserve">for any request to use more than </w:t>
      </w:r>
      <w:r w:rsidR="00BA469C">
        <w:lastRenderedPageBreak/>
        <w:t xml:space="preserve">the standard </w:t>
      </w:r>
      <w:r w:rsidR="000B3936">
        <w:t xml:space="preserve">incentive </w:t>
      </w:r>
      <w:r w:rsidR="00BA469C">
        <w:t>of</w:t>
      </w:r>
      <w:r w:rsidR="000B3936">
        <w:t xml:space="preserve"> $40.  Unless otherwise noted in a given request, all incentives will be provided in cash.</w:t>
      </w:r>
    </w:p>
    <w:p w:rsidR="00BA469C" w:rsidRDefault="00BA469C" w:rsidP="006E6839">
      <w:pPr>
        <w:pStyle w:val="L1-FlLSp12"/>
        <w:rPr>
          <w:rFonts w:eastAsiaTheme="minorHAnsi" w:cstheme="minorBidi"/>
          <w:color w:val="000000"/>
        </w:rPr>
      </w:pPr>
    </w:p>
    <w:p w:rsidR="006E6839" w:rsidRDefault="00EE37F1" w:rsidP="006E6839">
      <w:pPr>
        <w:pStyle w:val="L1-FlLSp12"/>
      </w:pPr>
      <w:r>
        <w:rPr>
          <w:rFonts w:eastAsiaTheme="minorHAnsi" w:cstheme="minorBidi"/>
          <w:color w:val="000000"/>
        </w:rPr>
        <w:t>Other types of studies</w:t>
      </w:r>
      <w:r w:rsidR="00BA469C">
        <w:rPr>
          <w:rFonts w:eastAsiaTheme="minorHAnsi" w:cstheme="minorBidi"/>
          <w:color w:val="000000"/>
        </w:rPr>
        <w:t>:</w:t>
      </w:r>
      <w:r w:rsidR="00665135" w:rsidRPr="00165C7E">
        <w:rPr>
          <w:rFonts w:eastAsiaTheme="minorHAnsi" w:cstheme="minorBidi"/>
          <w:color w:val="000000"/>
        </w:rPr>
        <w:t xml:space="preserve"> </w:t>
      </w:r>
      <w:r w:rsidR="00BA469C">
        <w:rPr>
          <w:rFonts w:eastAsiaTheme="minorHAnsi" w:cstheme="minorBidi"/>
          <w:color w:val="000000"/>
        </w:rPr>
        <w:t xml:space="preserve"> </w:t>
      </w:r>
      <w:r>
        <w:rPr>
          <w:rFonts w:eastAsiaTheme="minorHAnsi" w:cstheme="minorBidi"/>
          <w:color w:val="000000"/>
        </w:rPr>
        <w:t>Incentive</w:t>
      </w:r>
      <w:r w:rsidR="00630FDF">
        <w:rPr>
          <w:rFonts w:eastAsiaTheme="minorHAnsi" w:cstheme="minorBidi"/>
          <w:color w:val="000000"/>
        </w:rPr>
        <w:t>s</w:t>
      </w:r>
      <w:r>
        <w:rPr>
          <w:rFonts w:eastAsiaTheme="minorHAnsi" w:cstheme="minorBidi"/>
          <w:color w:val="000000"/>
        </w:rPr>
        <w:t xml:space="preserve"> are not the default for standard phone or </w:t>
      </w:r>
      <w:r w:rsidR="00630FDF">
        <w:rPr>
          <w:rFonts w:eastAsiaTheme="minorHAnsi" w:cstheme="minorBidi"/>
          <w:color w:val="000000"/>
        </w:rPr>
        <w:t>W</w:t>
      </w:r>
      <w:r>
        <w:rPr>
          <w:rFonts w:eastAsiaTheme="minorHAnsi" w:cstheme="minorBidi"/>
          <w:color w:val="000000"/>
        </w:rPr>
        <w:t xml:space="preserve">eb-based surveys.    </w:t>
      </w:r>
      <w:r w:rsidR="00630FDF">
        <w:rPr>
          <w:rFonts w:eastAsiaTheme="minorHAnsi" w:cstheme="minorBidi"/>
          <w:color w:val="000000"/>
        </w:rPr>
        <w:t>For this reason, NIDA will provide a detailed justification to OMB</w:t>
      </w:r>
      <w:r w:rsidR="00264611">
        <w:rPr>
          <w:rFonts w:eastAsiaTheme="minorHAnsi" w:cstheme="minorBidi"/>
          <w:color w:val="000000"/>
        </w:rPr>
        <w:t xml:space="preserve"> when proposing to use an incentive in a study of phone or Web-based survey methods.  </w:t>
      </w:r>
    </w:p>
    <w:p w:rsidR="00264611" w:rsidRDefault="00264611" w:rsidP="006E6839">
      <w:pPr>
        <w:pStyle w:val="L1-FlLSp12"/>
      </w:pPr>
    </w:p>
    <w:p w:rsidR="006E6839" w:rsidRPr="00165C7E" w:rsidRDefault="006E6839" w:rsidP="006E6839">
      <w:pPr>
        <w:pStyle w:val="L1-FlLSp12"/>
      </w:pPr>
    </w:p>
    <w:p w:rsidR="008F5FA1" w:rsidRPr="00165C7E" w:rsidRDefault="008F5FA1" w:rsidP="006E6839">
      <w:pPr>
        <w:pStyle w:val="Heading2"/>
      </w:pPr>
      <w:r w:rsidRPr="00165C7E">
        <w:t>A.10</w:t>
      </w:r>
      <w:r w:rsidRPr="00165C7E">
        <w:tab/>
        <w:t>Assurances of Confidentiality Provided to Respondents</w:t>
      </w:r>
    </w:p>
    <w:p w:rsidR="006E6839" w:rsidRDefault="00CD09E2" w:rsidP="006E6839">
      <w:pPr>
        <w:pStyle w:val="L1-FlLSp12"/>
      </w:pPr>
      <w:r w:rsidRPr="00165C7E">
        <w:t xml:space="preserve">Concern for privacy plays a central role in the implementation of the main </w:t>
      </w:r>
      <w:r w:rsidR="00661302" w:rsidRPr="00165C7E">
        <w:t>PATH Study</w:t>
      </w:r>
      <w:r w:rsidRPr="00165C7E">
        <w:t xml:space="preserve"> as well as the methodological studies. </w:t>
      </w:r>
      <w:r w:rsidR="00894EE6" w:rsidRPr="00165C7E">
        <w:t>In accordance with the provisions of section 301(d) of the Public Health Service Act (</w:t>
      </w:r>
      <w:r w:rsidRPr="00165C7E">
        <w:t>42 U.S.C. 241(d)</w:t>
      </w:r>
      <w:r w:rsidR="00894EE6" w:rsidRPr="00165C7E">
        <w:t xml:space="preserve">), the </w:t>
      </w:r>
      <w:r w:rsidR="00661302" w:rsidRPr="00165C7E">
        <w:t>PATH Study</w:t>
      </w:r>
      <w:r w:rsidR="00894EE6" w:rsidRPr="00165C7E">
        <w:t xml:space="preserve"> was issued a Certificate of Confidentiality </w:t>
      </w:r>
      <w:r w:rsidR="00380D14" w:rsidRPr="00165C7E">
        <w:t xml:space="preserve">(COC) </w:t>
      </w:r>
      <w:r w:rsidR="00894EE6" w:rsidRPr="00165C7E">
        <w:t>by the NIH and under the authority vested in the Secretary of the Department of Health and Human Services</w:t>
      </w:r>
      <w:r w:rsidR="006E6839" w:rsidRPr="00165C7E">
        <w:t xml:space="preserve"> </w:t>
      </w:r>
      <w:r w:rsidR="00894EE6" w:rsidRPr="00165C7E">
        <w:t>on August 31, 2012.</w:t>
      </w:r>
      <w:r w:rsidR="006E6839" w:rsidRPr="00165C7E">
        <w:t xml:space="preserve"> </w:t>
      </w:r>
      <w:r w:rsidR="00894EE6" w:rsidRPr="00165C7E">
        <w:t>The C</w:t>
      </w:r>
      <w:r w:rsidR="00380D14" w:rsidRPr="00165C7E">
        <w:t>OC</w:t>
      </w:r>
      <w:r w:rsidR="00894EE6" w:rsidRPr="00165C7E">
        <w:t xml:space="preserve"> authorizes all </w:t>
      </w:r>
      <w:r w:rsidRPr="00165C7E">
        <w:t>person engaged in</w:t>
      </w:r>
      <w:r w:rsidR="00894EE6" w:rsidRPr="00165C7E">
        <w:t xml:space="preserve"> conducting the </w:t>
      </w:r>
      <w:r w:rsidR="00661302" w:rsidRPr="00165C7E">
        <w:t>PATH Study</w:t>
      </w:r>
      <w:r w:rsidR="00894EE6" w:rsidRPr="00165C7E">
        <w:t xml:space="preserve"> to protect the privacy of individuals who are the subjects of research from all persons not connected with the conduct of the research</w:t>
      </w:r>
      <w:r w:rsidR="00380D14" w:rsidRPr="00165C7E">
        <w:t>.</w:t>
      </w:r>
      <w:r w:rsidR="006E6839" w:rsidRPr="00165C7E">
        <w:t xml:space="preserve"> </w:t>
      </w:r>
      <w:r w:rsidRPr="00165C7E">
        <w:t xml:space="preserve">Persons </w:t>
      </w:r>
      <w:r w:rsidR="00380D14" w:rsidRPr="00165C7E">
        <w:t xml:space="preserve">so </w:t>
      </w:r>
      <w:r w:rsidRPr="00165C7E">
        <w:t>authorized may not be compelled in any federal, state, or local civil, criminal, administrative, legislative, or other proceedings to identify them by name or other identifying characteristic.</w:t>
      </w:r>
      <w:r w:rsidR="006E6839" w:rsidRPr="00165C7E">
        <w:t xml:space="preserve"> </w:t>
      </w:r>
      <w:r w:rsidRPr="00165C7E">
        <w:t xml:space="preserve">Because biospecimens </w:t>
      </w:r>
      <w:r w:rsidR="00602107">
        <w:t>may</w:t>
      </w:r>
      <w:r w:rsidR="00602107" w:rsidRPr="00165C7E">
        <w:t xml:space="preserve"> </w:t>
      </w:r>
      <w:r w:rsidRPr="00165C7E">
        <w:t>be collected</w:t>
      </w:r>
      <w:r w:rsidR="00602107">
        <w:t xml:space="preserve"> in some methodological studies</w:t>
      </w:r>
      <w:r w:rsidRPr="00165C7E">
        <w:t xml:space="preserve"> and some questions may be of a sensitive nature, the COC</w:t>
      </w:r>
      <w:r w:rsidR="00380D14" w:rsidRPr="00165C7E">
        <w:t xml:space="preserve"> will help researchers avoid </w:t>
      </w:r>
      <w:r w:rsidRPr="00165C7E">
        <w:t>involuntary disclosure</w:t>
      </w:r>
      <w:r w:rsidR="00380D14" w:rsidRPr="00165C7E">
        <w:t xml:space="preserve"> that could expose subjects or their families to adverse economic, legal, psychological, and social consequences. The C</w:t>
      </w:r>
      <w:r w:rsidR="005B2003" w:rsidRPr="00165C7E">
        <w:t xml:space="preserve">OC </w:t>
      </w:r>
      <w:r w:rsidR="00380D14" w:rsidRPr="00165C7E">
        <w:t>issued to</w:t>
      </w:r>
      <w:r w:rsidR="005B2003" w:rsidRPr="00165C7E">
        <w:t xml:space="preserve"> the </w:t>
      </w:r>
      <w:r w:rsidR="00661302" w:rsidRPr="00165C7E">
        <w:t>PATH Study</w:t>
      </w:r>
      <w:r w:rsidR="0039596F" w:rsidRPr="00165C7E">
        <w:t xml:space="preserve"> </w:t>
      </w:r>
      <w:r w:rsidR="00380D14" w:rsidRPr="00165C7E">
        <w:t xml:space="preserve">on August 31, 2012 is included in </w:t>
      </w:r>
      <w:r w:rsidR="0039596F" w:rsidRPr="00165C7E">
        <w:t>Attachment</w:t>
      </w:r>
      <w:r w:rsidR="006E6839" w:rsidRPr="00165C7E">
        <w:t> </w:t>
      </w:r>
      <w:r w:rsidR="0033231A">
        <w:t>4</w:t>
      </w:r>
      <w:r w:rsidR="0039596F" w:rsidRPr="00165C7E">
        <w:t>.</w:t>
      </w:r>
    </w:p>
    <w:p w:rsidR="00F07A82" w:rsidRPr="00165C7E" w:rsidRDefault="00F07A82" w:rsidP="006E6839">
      <w:pPr>
        <w:pStyle w:val="L1-FlLSp12"/>
      </w:pPr>
    </w:p>
    <w:p w:rsidR="004E73D4" w:rsidRDefault="00CD09E2" w:rsidP="006E6839">
      <w:pPr>
        <w:pStyle w:val="L1-FlLSp12"/>
        <w:rPr>
          <w:snapToGrid w:val="0"/>
        </w:rPr>
      </w:pPr>
      <w:r w:rsidRPr="00165C7E">
        <w:t>Law governing Federal employees conducting th</w:t>
      </w:r>
      <w:r w:rsidR="004E73D4" w:rsidRPr="00165C7E">
        <w:t>ese methodological studies</w:t>
      </w:r>
      <w:r w:rsidRPr="00165C7E">
        <w:t>, 18 U.S.C. 1905,</w:t>
      </w:r>
      <w:r w:rsidR="004E73D4" w:rsidRPr="00165C7E">
        <w:t xml:space="preserve"> (which prohibits disclosure of individuals’ identifying information or confidential statistical data by Federal employees)</w:t>
      </w:r>
      <w:r w:rsidRPr="00165C7E">
        <w:t xml:space="preserve"> is also relevant to the maintenance of confidentiality of data</w:t>
      </w:r>
      <w:r w:rsidR="004E73D4" w:rsidRPr="00165C7E">
        <w:t xml:space="preserve">. </w:t>
      </w:r>
      <w:r w:rsidRPr="00165C7E">
        <w:t xml:space="preserve">In addition, all </w:t>
      </w:r>
      <w:r w:rsidR="004E73D4" w:rsidRPr="00165C7E">
        <w:t xml:space="preserve">study </w:t>
      </w:r>
      <w:r w:rsidRPr="00165C7E">
        <w:t>activities</w:t>
      </w:r>
      <w:r w:rsidR="004E73D4" w:rsidRPr="00165C7E">
        <w:t xml:space="preserve"> conducted</w:t>
      </w:r>
      <w:r w:rsidRPr="00165C7E">
        <w:t xml:space="preserve"> under this </w:t>
      </w:r>
      <w:r w:rsidR="004E73D4" w:rsidRPr="00165C7E">
        <w:t>generic clearance</w:t>
      </w:r>
      <w:r w:rsidRPr="00165C7E">
        <w:t xml:space="preserve"> will be in compliance with 45 CFR Part 46, Protection of Human Subjects, HHSAR 352.270-8(a) (January 2006), the Privacy Act of 1974, and the Systems of Records Notice 09-25-0200 (regulations pertaining to confidentiality of data).</w:t>
      </w:r>
      <w:r w:rsidR="006E6839" w:rsidRPr="00165C7E">
        <w:t xml:space="preserve"> </w:t>
      </w:r>
      <w:r w:rsidR="004E73D4" w:rsidRPr="00165C7E">
        <w:t>All data collection materials and instruments to be used in methodological studies to be conducted under this generic clearance will be reviewed and approved by the prime contractor’s Institutional Review Board (IRB) to ensure that human subjects are protected. The IRB review and approval process will be completed before any contacts with human subjects.</w:t>
      </w:r>
      <w:r w:rsidR="00DE4537">
        <w:t xml:space="preserve">  </w:t>
      </w:r>
    </w:p>
    <w:p w:rsidR="00812073" w:rsidRPr="00165C7E" w:rsidRDefault="00812073" w:rsidP="006E6839">
      <w:pPr>
        <w:pStyle w:val="L1-FlLSp12"/>
        <w:rPr>
          <w:snapToGrid w:val="0"/>
        </w:rPr>
      </w:pPr>
    </w:p>
    <w:p w:rsidR="006E6839" w:rsidRPr="00165C7E" w:rsidRDefault="00ED2AA1" w:rsidP="006E6839">
      <w:pPr>
        <w:pStyle w:val="L1-FlLSp12"/>
      </w:pPr>
      <w:r w:rsidRPr="00165C7E">
        <w:lastRenderedPageBreak/>
        <w:t xml:space="preserve">Every methodological study request submitted under this generic clearance will include, as part of the request memo, a plan for ensuring that personally identifiable information (PII) is </w:t>
      </w:r>
      <w:r w:rsidR="00712736">
        <w:t>protected</w:t>
      </w:r>
      <w:r w:rsidRPr="00165C7E">
        <w:t xml:space="preserve"> and a consent form.</w:t>
      </w:r>
      <w:r w:rsidR="006E6839" w:rsidRPr="00165C7E">
        <w:t xml:space="preserve"> </w:t>
      </w:r>
      <w:r w:rsidR="00A21C59" w:rsidRPr="00165C7E">
        <w:rPr>
          <w:snapToGrid w:val="0"/>
        </w:rPr>
        <w:t xml:space="preserve">As in the main </w:t>
      </w:r>
      <w:r w:rsidR="00661302" w:rsidRPr="00165C7E">
        <w:rPr>
          <w:snapToGrid w:val="0"/>
        </w:rPr>
        <w:t>PATH Study</w:t>
      </w:r>
      <w:r w:rsidR="00A21C59" w:rsidRPr="00165C7E">
        <w:rPr>
          <w:snapToGrid w:val="0"/>
        </w:rPr>
        <w:t>, respondent</w:t>
      </w:r>
      <w:r w:rsidRPr="00165C7E">
        <w:rPr>
          <w:snapToGrid w:val="0"/>
        </w:rPr>
        <w:t>’</w:t>
      </w:r>
      <w:r w:rsidR="00A21C59" w:rsidRPr="00165C7E">
        <w:rPr>
          <w:snapToGrid w:val="0"/>
        </w:rPr>
        <w:t>s</w:t>
      </w:r>
      <w:r w:rsidRPr="00165C7E">
        <w:rPr>
          <w:snapToGrid w:val="0"/>
        </w:rPr>
        <w:t xml:space="preserve"> PII</w:t>
      </w:r>
      <w:r w:rsidR="00A21C59" w:rsidRPr="00165C7E">
        <w:rPr>
          <w:snapToGrid w:val="0"/>
        </w:rPr>
        <w:t xml:space="preserve"> will be protected in multiple ways.</w:t>
      </w:r>
      <w:r w:rsidR="006E6839" w:rsidRPr="00165C7E">
        <w:rPr>
          <w:snapToGrid w:val="0"/>
        </w:rPr>
        <w:t xml:space="preserve"> </w:t>
      </w:r>
      <w:r w:rsidR="00A21C59" w:rsidRPr="00165C7E">
        <w:rPr>
          <w:snapToGrid w:val="0"/>
        </w:rPr>
        <w:t xml:space="preserve">All staff involved in these studies </w:t>
      </w:r>
      <w:r w:rsidR="00CD09E2" w:rsidRPr="00165C7E">
        <w:rPr>
          <w:snapToGrid w:val="0"/>
        </w:rPr>
        <w:t xml:space="preserve">will be proficient in data security, confidentiality, and privacy issues and procedures. </w:t>
      </w:r>
      <w:r w:rsidR="00A21C59" w:rsidRPr="00165C7E">
        <w:rPr>
          <w:snapToGrid w:val="0"/>
        </w:rPr>
        <w:t xml:space="preserve">All data gathered </w:t>
      </w:r>
      <w:r w:rsidR="009B6965" w:rsidRPr="00165C7E">
        <w:t>will be identified by unique identification numbers assigned to each respondent</w:t>
      </w:r>
      <w:r w:rsidR="009E30C4" w:rsidRPr="00165C7E">
        <w:t xml:space="preserve">; and crosswalks that match these numbers to PII will be stored in secure, encrypted files accessible only to authorized staff whose roles on the study necessitate access. NIDA will not have access to identifying information, and personal identifiers will not be included in the data received by NIDA. </w:t>
      </w:r>
      <w:r w:rsidR="00A21C59" w:rsidRPr="00165C7E">
        <w:rPr>
          <w:snapToGrid w:val="0"/>
        </w:rPr>
        <w:t xml:space="preserve">As appropriate, data gathered in the field will be collected </w:t>
      </w:r>
      <w:r w:rsidR="00CD09E2" w:rsidRPr="00165C7E">
        <w:t>on laptop computers that use advanced data encryption to protect confidentiality of data. Data from the laptops will be transmitted securely and directly to the research data warehouse maintained by the prime contractor, reducing risks associated with unsecured electronic data collected on laptops or transported on removable media.</w:t>
      </w:r>
    </w:p>
    <w:p w:rsidR="00CD09E2" w:rsidRPr="00165C7E" w:rsidRDefault="00CD09E2" w:rsidP="006E6839">
      <w:pPr>
        <w:pStyle w:val="L1-FlLSp12"/>
      </w:pPr>
    </w:p>
    <w:p w:rsidR="006E6839" w:rsidRPr="00165C7E" w:rsidRDefault="00CD09E2" w:rsidP="006E6839">
      <w:pPr>
        <w:pStyle w:val="L1-FlLSp12"/>
      </w:pPr>
      <w:r w:rsidRPr="00165C7E">
        <w:t xml:space="preserve">All </w:t>
      </w:r>
      <w:r w:rsidR="009E30C4" w:rsidRPr="00165C7E">
        <w:t xml:space="preserve">methodological study </w:t>
      </w:r>
      <w:r w:rsidRPr="00165C7E">
        <w:t>respondents will be informed</w:t>
      </w:r>
      <w:r w:rsidR="006A0012" w:rsidRPr="00165C7E">
        <w:t xml:space="preserve"> in writing</w:t>
      </w:r>
      <w:r w:rsidR="00E15D45">
        <w:t>,</w:t>
      </w:r>
      <w:r w:rsidRPr="00165C7E">
        <w:t xml:space="preserve"> </w:t>
      </w:r>
      <w:r w:rsidR="00E15D45">
        <w:t xml:space="preserve">(in a consent form to be submitted with each study request to OMB), </w:t>
      </w:r>
      <w:r w:rsidRPr="00165C7E">
        <w:t>of the sponsor, the nature, purpose and uses of the data</w:t>
      </w:r>
      <w:r w:rsidR="009E30C4" w:rsidRPr="00165C7E">
        <w:t xml:space="preserve"> to be collected</w:t>
      </w:r>
      <w:r w:rsidRPr="00165C7E">
        <w:t xml:space="preserve">, legal authorities, the voluntary nature of the </w:t>
      </w:r>
      <w:r w:rsidR="009E30C4" w:rsidRPr="00165C7E">
        <w:t>data collection</w:t>
      </w:r>
      <w:r w:rsidRPr="00165C7E">
        <w:t>, and the protection of the</w:t>
      </w:r>
      <w:r w:rsidR="009E30C4" w:rsidRPr="00165C7E">
        <w:t>ir</w:t>
      </w:r>
      <w:r w:rsidRPr="00165C7E">
        <w:t xml:space="preserve"> information</w:t>
      </w:r>
      <w:r w:rsidR="009E30C4" w:rsidRPr="00165C7E">
        <w:t>.</w:t>
      </w:r>
      <w:r w:rsidR="006E6839" w:rsidRPr="00165C7E">
        <w:t xml:space="preserve"> </w:t>
      </w:r>
      <w:r w:rsidR="009E30C4" w:rsidRPr="00165C7E">
        <w:t>The</w:t>
      </w:r>
      <w:r w:rsidR="00E15D45">
        <w:t xml:space="preserve"> consent form will also explain that </w:t>
      </w:r>
      <w:r w:rsidRPr="00165C7E">
        <w:t>the information they provide will be kept private under the Privacy Act.</w:t>
      </w:r>
    </w:p>
    <w:p w:rsidR="009E30C4" w:rsidRPr="00165C7E" w:rsidRDefault="009E30C4" w:rsidP="006E6839">
      <w:pPr>
        <w:pStyle w:val="L1-FlLSp12"/>
      </w:pPr>
    </w:p>
    <w:p w:rsidR="00812073" w:rsidRPr="00165C7E" w:rsidRDefault="00ED2AA1" w:rsidP="00812073">
      <w:pPr>
        <w:pStyle w:val="L1-FlLSp12"/>
      </w:pPr>
      <w:r w:rsidRPr="00165C7E">
        <w:t>The NIH Privacy Act Officer has reviewed the information contained herein and determined that the Privacy Act applies to data collected under this generic clearance.</w:t>
      </w:r>
      <w:r w:rsidR="006E6839" w:rsidRPr="00165C7E">
        <w:t xml:space="preserve"> </w:t>
      </w:r>
      <w:r w:rsidRPr="00165C7E">
        <w:t xml:space="preserve">Information collected under this generic clearance is covered by NIH Privacy Act SORN 09-25-0200, “Clinical, Basic, and Population-based Research Studies of the National Institutes of Health (NIH), HHS/NIH/OD” published in the Federal Register on September 26, 2002 (67 FR 60776) (Attachment </w:t>
      </w:r>
      <w:r w:rsidR="0033231A">
        <w:t>5</w:t>
      </w:r>
      <w:r w:rsidRPr="00165C7E">
        <w:t>)</w:t>
      </w:r>
      <w:r w:rsidRPr="00D61ADA">
        <w:t>.</w:t>
      </w:r>
      <w:r w:rsidR="00812073" w:rsidRPr="00D61ADA">
        <w:t xml:space="preserve">  In addition, Privacy Impact Assessments (PIAs) for the main PATH Study were promoted on July 6, 2012 (see Attachment </w:t>
      </w:r>
      <w:r w:rsidR="0033231A">
        <w:t>6</w:t>
      </w:r>
      <w:r w:rsidR="00812073" w:rsidRPr="00D61ADA">
        <w:t>). This generic clearance request for methodological studies uses the same system and security environment and applications as the main PATH Study.</w:t>
      </w:r>
      <w:r w:rsidR="00812073">
        <w:t xml:space="preserve"> </w:t>
      </w:r>
    </w:p>
    <w:p w:rsidR="00812073" w:rsidRPr="00165C7E" w:rsidRDefault="00812073" w:rsidP="00812073">
      <w:pPr>
        <w:pStyle w:val="L1-FlLSp12"/>
        <w:rPr>
          <w:snapToGrid w:val="0"/>
        </w:rPr>
      </w:pPr>
    </w:p>
    <w:p w:rsidR="008F5FA1" w:rsidRPr="00165C7E" w:rsidRDefault="008F5FA1" w:rsidP="00245804">
      <w:pPr>
        <w:pStyle w:val="Heading2"/>
        <w:ind w:left="0" w:firstLine="0"/>
      </w:pPr>
      <w:r w:rsidRPr="00165C7E">
        <w:t>A.11</w:t>
      </w:r>
      <w:r w:rsidRPr="00165C7E">
        <w:tab/>
        <w:t>Justification for Sensitive Questions</w:t>
      </w:r>
    </w:p>
    <w:p w:rsidR="00245804" w:rsidRDefault="003A52D1" w:rsidP="006E6839">
      <w:pPr>
        <w:pStyle w:val="L1-FlLSp12"/>
      </w:pPr>
      <w:r w:rsidRPr="00165C7E">
        <w:t>Many of the questions that will be included in the data collection activities to be proposed under this generic clearance will not be of a sensitive nature and should not pose a problem to respondents.</w:t>
      </w:r>
      <w:r w:rsidR="006E6839" w:rsidRPr="00165C7E">
        <w:t xml:space="preserve"> </w:t>
      </w:r>
    </w:p>
    <w:p w:rsidR="006E6839" w:rsidRPr="00165C7E" w:rsidRDefault="003A52D1" w:rsidP="006E6839">
      <w:pPr>
        <w:pStyle w:val="L1-FlLSp12"/>
      </w:pPr>
      <w:r w:rsidRPr="00165C7E">
        <w:t>However, it is possible that some sensitive questions may be included in stu</w:t>
      </w:r>
      <w:r w:rsidR="00EC70CB" w:rsidRPr="00165C7E">
        <w:t xml:space="preserve">dies proposed under this request. As mentioned in Section A.1, a major goal of the PATH Study is to establish a science framework </w:t>
      </w:r>
      <w:r w:rsidR="00AA0873">
        <w:t xml:space="preserve">based on the measurement and accurate reporting of </w:t>
      </w:r>
      <w:r w:rsidR="00CA0F71">
        <w:t>po</w:t>
      </w:r>
      <w:r w:rsidR="00EC70CB" w:rsidRPr="00165C7E">
        <w:t xml:space="preserve">pulation-based behavioral and </w:t>
      </w:r>
      <w:r w:rsidR="00EC70CB" w:rsidRPr="00165C7E">
        <w:lastRenderedPageBreak/>
        <w:t xml:space="preserve">health </w:t>
      </w:r>
      <w:r w:rsidR="00CA0F71">
        <w:t xml:space="preserve">data </w:t>
      </w:r>
      <w:r w:rsidR="00EC70CB" w:rsidRPr="00165C7E">
        <w:t xml:space="preserve">associated with </w:t>
      </w:r>
      <w:r w:rsidR="00AA0873">
        <w:t xml:space="preserve">the use of </w:t>
      </w:r>
      <w:r w:rsidR="00EC70CB" w:rsidRPr="00165C7E">
        <w:t>tobacco product</w:t>
      </w:r>
      <w:r w:rsidR="00AA0873">
        <w:t>s</w:t>
      </w:r>
      <w:r w:rsidR="00CA0F71">
        <w:t xml:space="preserve"> in the U.S</w:t>
      </w:r>
      <w:r w:rsidR="00AA0873">
        <w:t xml:space="preserve">.  </w:t>
      </w:r>
      <w:r w:rsidR="00CA0F71">
        <w:t xml:space="preserve">These data </w:t>
      </w:r>
      <w:r w:rsidR="00AA0873">
        <w:t xml:space="preserve">will help to </w:t>
      </w:r>
      <w:r w:rsidR="00EC70CB" w:rsidRPr="00165C7E">
        <w:t xml:space="preserve">inform FDA’s </w:t>
      </w:r>
      <w:r w:rsidR="00AA0873">
        <w:t xml:space="preserve">decisions about </w:t>
      </w:r>
      <w:r w:rsidR="00280668">
        <w:t xml:space="preserve">future </w:t>
      </w:r>
      <w:r w:rsidR="00AA0873">
        <w:t xml:space="preserve">changes in tobacco products </w:t>
      </w:r>
      <w:r w:rsidR="00280668">
        <w:t>to</w:t>
      </w:r>
      <w:r w:rsidR="00F07A82">
        <w:t xml:space="preserve"> meet</w:t>
      </w:r>
      <w:r w:rsidR="00280668">
        <w:t xml:space="preserve"> the </w:t>
      </w:r>
      <w:r w:rsidR="00F07A82">
        <w:t xml:space="preserve">objectives of </w:t>
      </w:r>
      <w:r w:rsidR="00AA0873">
        <w:t>the 2009 FSPTCA.</w:t>
      </w:r>
      <w:r w:rsidR="006E6839" w:rsidRPr="00165C7E">
        <w:t xml:space="preserve"> </w:t>
      </w:r>
      <w:r w:rsidR="00EC70CB" w:rsidRPr="00165C7E">
        <w:t xml:space="preserve">To </w:t>
      </w:r>
      <w:r w:rsidR="00CA0F71">
        <w:t>achieve</w:t>
      </w:r>
      <w:r w:rsidR="00EC70CB" w:rsidRPr="00165C7E">
        <w:t xml:space="preserve"> this purpose, the PATH study asks questions about tobacco use </w:t>
      </w:r>
      <w:r w:rsidR="00280668">
        <w:t xml:space="preserve">behavior </w:t>
      </w:r>
      <w:r w:rsidR="00EC70CB" w:rsidRPr="00165C7E">
        <w:t xml:space="preserve">and </w:t>
      </w:r>
      <w:r w:rsidR="00280668">
        <w:t>health, including</w:t>
      </w:r>
      <w:r w:rsidR="00EC70CB" w:rsidRPr="00165C7E">
        <w:t xml:space="preserve"> major correlates of tobacco use and health (e.g., substance abuse, income, psychological problems and conditions; and sexual identity, orientation, and attraction).</w:t>
      </w:r>
      <w:r w:rsidR="00245804">
        <w:t xml:space="preserve">  As</w:t>
      </w:r>
      <w:r w:rsidR="00280668">
        <w:t xml:space="preserve"> noted</w:t>
      </w:r>
      <w:r w:rsidR="00245804">
        <w:t xml:space="preserve"> in A.10, PII may be collected from respondents.  For these studies, the request memo submitted under this generic clearance will include a plan for ensuring that</w:t>
      </w:r>
      <w:r w:rsidR="00D61ADA">
        <w:t xml:space="preserve"> respondents</w:t>
      </w:r>
      <w:r w:rsidR="00245804">
        <w:t xml:space="preserve"> PII is </w:t>
      </w:r>
      <w:r w:rsidR="00D61ADA">
        <w:t>protected</w:t>
      </w:r>
      <w:r w:rsidR="00245804">
        <w:t>.</w:t>
      </w:r>
    </w:p>
    <w:p w:rsidR="006E7601" w:rsidRPr="00165C7E" w:rsidRDefault="006E7601" w:rsidP="006E6839">
      <w:pPr>
        <w:pStyle w:val="L1-FlLSp12"/>
      </w:pPr>
    </w:p>
    <w:p w:rsidR="00EC70CB" w:rsidRPr="00165C7E" w:rsidRDefault="00EC70CB" w:rsidP="006E6839">
      <w:pPr>
        <w:pStyle w:val="L1-FlLSp12"/>
      </w:pPr>
      <w:r w:rsidRPr="00165C7E">
        <w:t>As all of the studies to be submitted under this clearance will be related to the goals of the PATH Study, some questions of a sensitive nature may be included in some studies.</w:t>
      </w:r>
      <w:r w:rsidR="006E6839" w:rsidRPr="00165C7E">
        <w:t xml:space="preserve"> </w:t>
      </w:r>
      <w:r w:rsidR="003A52D1" w:rsidRPr="00165C7E">
        <w:t>For these studies, a full explanation of the need for the sensitive questions will be included in the memo submitted to OMB.</w:t>
      </w:r>
      <w:r w:rsidR="006E6839" w:rsidRPr="00165C7E">
        <w:t xml:space="preserve"> </w:t>
      </w:r>
      <w:r w:rsidRPr="00165C7E">
        <w:t xml:space="preserve">Additionally, all data collection materials and instruments </w:t>
      </w:r>
      <w:r w:rsidR="002277B9" w:rsidRPr="00165C7E">
        <w:t xml:space="preserve">for these studies </w:t>
      </w:r>
      <w:r w:rsidRPr="00165C7E">
        <w:t xml:space="preserve">will be reviewed and approved by the prime contractor’s IRB prior to </w:t>
      </w:r>
      <w:r w:rsidR="002277B9" w:rsidRPr="00165C7E">
        <w:t>submission to OMB</w:t>
      </w:r>
      <w:r w:rsidRPr="00165C7E">
        <w:t>.</w:t>
      </w:r>
    </w:p>
    <w:p w:rsidR="00EC70CB" w:rsidRPr="00165C7E" w:rsidRDefault="00EC70CB" w:rsidP="006E6839">
      <w:pPr>
        <w:pStyle w:val="L1-FlLSp12"/>
      </w:pPr>
    </w:p>
    <w:p w:rsidR="006E6839" w:rsidRPr="00165C7E" w:rsidRDefault="006E6839" w:rsidP="006E6839">
      <w:pPr>
        <w:pStyle w:val="L1-FlLSp12"/>
      </w:pPr>
    </w:p>
    <w:p w:rsidR="002E59EB" w:rsidRPr="00165C7E" w:rsidRDefault="002E59EB" w:rsidP="006E6839">
      <w:pPr>
        <w:pStyle w:val="Heading2"/>
      </w:pPr>
      <w:r w:rsidRPr="00165C7E">
        <w:t>A.1</w:t>
      </w:r>
      <w:r w:rsidR="00F97985" w:rsidRPr="00165C7E">
        <w:t>2</w:t>
      </w:r>
      <w:r w:rsidRPr="00165C7E">
        <w:tab/>
      </w:r>
      <w:r w:rsidR="00F97985" w:rsidRPr="00165C7E">
        <w:t>Estimates of Hour Burden Including Annualized Hourly Costs</w:t>
      </w:r>
    </w:p>
    <w:p w:rsidR="00F97985" w:rsidRPr="00165C7E" w:rsidRDefault="00EF4702" w:rsidP="006E6839">
      <w:pPr>
        <w:pStyle w:val="L1-FlLSp12"/>
      </w:pPr>
      <w:r w:rsidRPr="00165C7E">
        <w:t>The a</w:t>
      </w:r>
      <w:r w:rsidR="001F7658" w:rsidRPr="00165C7E">
        <w:t xml:space="preserve">verage </w:t>
      </w:r>
      <w:r w:rsidR="007B799C" w:rsidRPr="00165C7E">
        <w:t xml:space="preserve">annual </w:t>
      </w:r>
      <w:r w:rsidR="001F7658" w:rsidRPr="00165C7E">
        <w:t>h</w:t>
      </w:r>
      <w:r w:rsidR="00F97985" w:rsidRPr="00165C7E">
        <w:t xml:space="preserve">our burden for the </w:t>
      </w:r>
      <w:r w:rsidR="00661302" w:rsidRPr="00165C7E">
        <w:t>PATH Study</w:t>
      </w:r>
      <w:r w:rsidR="00D909EB" w:rsidRPr="00165C7E">
        <w:t xml:space="preserve"> </w:t>
      </w:r>
      <w:r w:rsidR="00155CBB" w:rsidRPr="00165C7E">
        <w:t xml:space="preserve">methodological studies </w:t>
      </w:r>
      <w:r w:rsidR="00F97985" w:rsidRPr="00165C7E">
        <w:t>is</w:t>
      </w:r>
      <w:r w:rsidR="00DF4569" w:rsidRPr="00165C7E">
        <w:t xml:space="preserve"> </w:t>
      </w:r>
      <w:r w:rsidR="00155CBB" w:rsidRPr="00165C7E">
        <w:t>presented in Table</w:t>
      </w:r>
      <w:r w:rsidR="006E6839" w:rsidRPr="00165C7E">
        <w:t> </w:t>
      </w:r>
      <w:r w:rsidR="00E40BEE">
        <w:t>1</w:t>
      </w:r>
      <w:r w:rsidR="00DF4569" w:rsidRPr="00165C7E">
        <w:t>.</w:t>
      </w:r>
    </w:p>
    <w:p w:rsidR="00155CBB" w:rsidRPr="00165C7E" w:rsidRDefault="00155CBB" w:rsidP="006E6839">
      <w:pPr>
        <w:pStyle w:val="L1-FlLSp12"/>
        <w:rPr>
          <w:szCs w:val="24"/>
        </w:rPr>
      </w:pPr>
    </w:p>
    <w:p w:rsidR="006E6839" w:rsidRPr="00165C7E" w:rsidRDefault="00155CBB" w:rsidP="006E6839">
      <w:pPr>
        <w:pStyle w:val="TT-TableTitle"/>
      </w:pPr>
      <w:r w:rsidRPr="00165C7E">
        <w:t xml:space="preserve">Table </w:t>
      </w:r>
      <w:r w:rsidR="00E40BEE">
        <w:t>1</w:t>
      </w:r>
      <w:r w:rsidR="00AF36ED" w:rsidRPr="00165C7E">
        <w:t>.</w:t>
      </w:r>
      <w:r w:rsidR="006E6839" w:rsidRPr="00165C7E">
        <w:tab/>
      </w:r>
      <w:r w:rsidR="00AF36ED" w:rsidRPr="00165C7E">
        <w:t xml:space="preserve">Hour burden estimates for </w:t>
      </w:r>
      <w:r w:rsidR="00661302" w:rsidRPr="00165C7E">
        <w:t>PATH Study</w:t>
      </w:r>
      <w:r w:rsidRPr="00165C7E">
        <w:t xml:space="preserve"> methodological studies</w:t>
      </w:r>
    </w:p>
    <w:p w:rsidR="006E6839" w:rsidRPr="00165C7E" w:rsidRDefault="006E6839" w:rsidP="006E6839">
      <w:pPr>
        <w:pStyle w:val="TT-TableTitle"/>
      </w:pPr>
    </w:p>
    <w:tbl>
      <w:tblPr>
        <w:tblStyle w:val="TableWestatStandardFormat"/>
        <w:tblW w:w="8617" w:type="dxa"/>
        <w:tblLook w:val="04A0" w:firstRow="1" w:lastRow="0" w:firstColumn="1" w:lastColumn="0" w:noHBand="0" w:noVBand="1"/>
      </w:tblPr>
      <w:tblGrid>
        <w:gridCol w:w="2178"/>
        <w:gridCol w:w="1249"/>
        <w:gridCol w:w="1480"/>
        <w:gridCol w:w="1400"/>
        <w:gridCol w:w="1300"/>
        <w:gridCol w:w="1010"/>
      </w:tblGrid>
      <w:tr w:rsidR="004B668A" w:rsidRPr="00165C7E" w:rsidTr="006E6839">
        <w:trPr>
          <w:cnfStyle w:val="100000000000" w:firstRow="1" w:lastRow="0" w:firstColumn="0" w:lastColumn="0" w:oddVBand="0" w:evenVBand="0" w:oddHBand="0" w:evenHBand="0" w:firstRowFirstColumn="0" w:firstRowLastColumn="0" w:lastRowFirstColumn="0" w:lastRowLastColumn="0"/>
        </w:trPr>
        <w:tc>
          <w:tcPr>
            <w:tcW w:w="2178" w:type="dxa"/>
            <w:hideMark/>
          </w:tcPr>
          <w:p w:rsidR="004B668A" w:rsidRPr="00165C7E" w:rsidRDefault="004B668A" w:rsidP="006E6839">
            <w:pPr>
              <w:pStyle w:val="TH-TableHeading"/>
            </w:pPr>
            <w:r w:rsidRPr="00165C7E">
              <w:t>Data Collection Activity</w:t>
            </w:r>
          </w:p>
        </w:tc>
        <w:tc>
          <w:tcPr>
            <w:tcW w:w="1249" w:type="dxa"/>
            <w:hideMark/>
          </w:tcPr>
          <w:p w:rsidR="004B668A" w:rsidRPr="00165C7E" w:rsidRDefault="004B668A" w:rsidP="00C012DC">
            <w:pPr>
              <w:pStyle w:val="TH-TableHeading"/>
            </w:pPr>
            <w:r w:rsidRPr="00165C7E">
              <w:t>Type of Respondent</w:t>
            </w:r>
          </w:p>
        </w:tc>
        <w:tc>
          <w:tcPr>
            <w:tcW w:w="1480" w:type="dxa"/>
            <w:hideMark/>
          </w:tcPr>
          <w:p w:rsidR="004B668A" w:rsidRPr="00165C7E" w:rsidRDefault="004B668A" w:rsidP="00C012DC">
            <w:pPr>
              <w:pStyle w:val="TH-TableHeading"/>
            </w:pPr>
            <w:r w:rsidRPr="00165C7E">
              <w:t>Number of Respondents</w:t>
            </w:r>
          </w:p>
        </w:tc>
        <w:tc>
          <w:tcPr>
            <w:tcW w:w="1400" w:type="dxa"/>
            <w:hideMark/>
          </w:tcPr>
          <w:p w:rsidR="004B668A" w:rsidRPr="00165C7E" w:rsidRDefault="004B668A" w:rsidP="00C012DC">
            <w:pPr>
              <w:pStyle w:val="TH-TableHeading"/>
            </w:pPr>
            <w:r w:rsidRPr="00165C7E">
              <w:t>Responses Per Respondent</w:t>
            </w:r>
          </w:p>
        </w:tc>
        <w:tc>
          <w:tcPr>
            <w:tcW w:w="1300" w:type="dxa"/>
            <w:hideMark/>
          </w:tcPr>
          <w:p w:rsidR="004B668A" w:rsidRPr="00165C7E" w:rsidRDefault="004B668A" w:rsidP="00C012DC">
            <w:pPr>
              <w:pStyle w:val="TH-TableHeading"/>
            </w:pPr>
            <w:r w:rsidRPr="00165C7E">
              <w:t>Hours Per Response</w:t>
            </w:r>
          </w:p>
        </w:tc>
        <w:tc>
          <w:tcPr>
            <w:tcW w:w="1010" w:type="dxa"/>
            <w:hideMark/>
          </w:tcPr>
          <w:p w:rsidR="004B668A" w:rsidRPr="00165C7E" w:rsidRDefault="004B668A" w:rsidP="00C012DC">
            <w:pPr>
              <w:pStyle w:val="TH-TableHeading"/>
            </w:pPr>
            <w:r w:rsidRPr="00165C7E">
              <w:t>Annual Hour Burden</w:t>
            </w:r>
          </w:p>
        </w:tc>
      </w:tr>
      <w:tr w:rsidR="00460C54" w:rsidRPr="00165C7E" w:rsidTr="006E6839">
        <w:trPr>
          <w:trHeight w:val="300"/>
        </w:trPr>
        <w:tc>
          <w:tcPr>
            <w:tcW w:w="2178" w:type="dxa"/>
            <w:vMerge w:val="restart"/>
            <w:hideMark/>
          </w:tcPr>
          <w:p w:rsidR="00460C54" w:rsidRPr="00165C7E" w:rsidRDefault="00460C54" w:rsidP="00093385">
            <w:pPr>
              <w:pStyle w:val="TX-TableText"/>
              <w:spacing w:before="120"/>
            </w:pPr>
            <w:r w:rsidRPr="00165C7E">
              <w:t>In-person and telephone surveys</w:t>
            </w:r>
          </w:p>
        </w:tc>
        <w:tc>
          <w:tcPr>
            <w:tcW w:w="1249" w:type="dxa"/>
            <w:hideMark/>
          </w:tcPr>
          <w:p w:rsidR="00460C54" w:rsidRPr="00165C7E" w:rsidRDefault="00460C54" w:rsidP="00C012DC">
            <w:pPr>
              <w:pStyle w:val="TX-TableText"/>
              <w:spacing w:before="120"/>
              <w:jc w:val="center"/>
            </w:pPr>
            <w:r w:rsidRPr="00165C7E">
              <w:t>Adults</w:t>
            </w:r>
          </w:p>
        </w:tc>
        <w:tc>
          <w:tcPr>
            <w:tcW w:w="1480" w:type="dxa"/>
            <w:noWrap/>
            <w:hideMark/>
          </w:tcPr>
          <w:p w:rsidR="00460C54" w:rsidRPr="00165C7E" w:rsidRDefault="004C6AA7" w:rsidP="00C012DC">
            <w:pPr>
              <w:pStyle w:val="TX-TableText"/>
              <w:spacing w:before="120"/>
              <w:jc w:val="center"/>
            </w:pPr>
            <w:r>
              <w:t>5</w:t>
            </w:r>
            <w:r w:rsidR="00460C54" w:rsidRPr="00165C7E">
              <w:t>,000</w:t>
            </w:r>
          </w:p>
        </w:tc>
        <w:tc>
          <w:tcPr>
            <w:tcW w:w="1400" w:type="dxa"/>
            <w:noWrap/>
            <w:hideMark/>
          </w:tcPr>
          <w:p w:rsidR="00460C54" w:rsidRPr="00165C7E" w:rsidRDefault="00460C54" w:rsidP="00C012DC">
            <w:pPr>
              <w:pStyle w:val="TX-TableText"/>
              <w:spacing w:before="120"/>
              <w:jc w:val="center"/>
            </w:pPr>
            <w:r w:rsidRPr="00165C7E">
              <w:t>1</w:t>
            </w:r>
          </w:p>
        </w:tc>
        <w:tc>
          <w:tcPr>
            <w:tcW w:w="1300" w:type="dxa"/>
            <w:noWrap/>
            <w:hideMark/>
          </w:tcPr>
          <w:p w:rsidR="00460C54" w:rsidRPr="00165C7E" w:rsidRDefault="0061794B" w:rsidP="00C012DC">
            <w:pPr>
              <w:pStyle w:val="TX-TableText"/>
              <w:spacing w:before="120"/>
              <w:jc w:val="center"/>
            </w:pPr>
            <w:r>
              <w:rPr>
                <w:sz w:val="24"/>
                <w:szCs w:val="24"/>
                <w:vertAlign w:val="superscript"/>
              </w:rPr>
              <w:t>90</w:t>
            </w:r>
            <w:r w:rsidRPr="00A954A5">
              <w:rPr>
                <w:sz w:val="24"/>
                <w:szCs w:val="24"/>
                <w:vertAlign w:val="superscript"/>
              </w:rPr>
              <w:t>/60</w:t>
            </w:r>
          </w:p>
        </w:tc>
        <w:tc>
          <w:tcPr>
            <w:tcW w:w="1010" w:type="dxa"/>
            <w:noWrap/>
            <w:hideMark/>
          </w:tcPr>
          <w:p w:rsidR="00460C54" w:rsidRPr="00165C7E" w:rsidRDefault="004C6AA7" w:rsidP="00C012DC">
            <w:pPr>
              <w:pStyle w:val="TX-TableText"/>
              <w:spacing w:before="120"/>
              <w:jc w:val="center"/>
            </w:pPr>
            <w:r>
              <w:t>7</w:t>
            </w:r>
            <w:r w:rsidR="00460C54" w:rsidRPr="00165C7E">
              <w:t>,500</w:t>
            </w:r>
          </w:p>
        </w:tc>
      </w:tr>
      <w:tr w:rsidR="0061794B" w:rsidRPr="00165C7E" w:rsidTr="006E6839">
        <w:trPr>
          <w:trHeight w:val="315"/>
        </w:trPr>
        <w:tc>
          <w:tcPr>
            <w:tcW w:w="2178" w:type="dxa"/>
            <w:vMerge/>
            <w:tcBorders>
              <w:bottom w:val="single" w:sz="4" w:space="0" w:color="auto"/>
            </w:tcBorders>
            <w:hideMark/>
          </w:tcPr>
          <w:p w:rsidR="0061794B" w:rsidRPr="00165C7E" w:rsidRDefault="0061794B" w:rsidP="006E6839">
            <w:pPr>
              <w:pStyle w:val="TX-TableText"/>
            </w:pPr>
          </w:p>
        </w:tc>
        <w:tc>
          <w:tcPr>
            <w:tcW w:w="1249" w:type="dxa"/>
            <w:tcBorders>
              <w:bottom w:val="single" w:sz="4" w:space="0" w:color="auto"/>
            </w:tcBorders>
            <w:hideMark/>
          </w:tcPr>
          <w:p w:rsidR="0061794B" w:rsidRPr="00165C7E" w:rsidRDefault="0061794B" w:rsidP="00C012DC">
            <w:pPr>
              <w:pStyle w:val="TX-TableText"/>
              <w:jc w:val="center"/>
            </w:pPr>
            <w:r w:rsidRPr="00165C7E">
              <w:t>Youth</w:t>
            </w:r>
          </w:p>
        </w:tc>
        <w:tc>
          <w:tcPr>
            <w:tcW w:w="1480" w:type="dxa"/>
            <w:tcBorders>
              <w:bottom w:val="single" w:sz="4" w:space="0" w:color="auto"/>
            </w:tcBorders>
            <w:noWrap/>
            <w:hideMark/>
          </w:tcPr>
          <w:p w:rsidR="0061794B" w:rsidRPr="00165C7E" w:rsidRDefault="0061794B" w:rsidP="004C6AA7">
            <w:pPr>
              <w:pStyle w:val="TX-TableText"/>
              <w:jc w:val="center"/>
            </w:pPr>
            <w:r>
              <w:t>3</w:t>
            </w:r>
            <w:r w:rsidRPr="00165C7E">
              <w:t>,</w:t>
            </w:r>
            <w:r>
              <w:t>5</w:t>
            </w:r>
            <w:r w:rsidRPr="00165C7E">
              <w:t>00</w:t>
            </w:r>
          </w:p>
        </w:tc>
        <w:tc>
          <w:tcPr>
            <w:tcW w:w="1400" w:type="dxa"/>
            <w:tcBorders>
              <w:bottom w:val="single" w:sz="4" w:space="0" w:color="auto"/>
            </w:tcBorders>
            <w:noWrap/>
            <w:hideMark/>
          </w:tcPr>
          <w:p w:rsidR="0061794B" w:rsidRPr="00165C7E" w:rsidRDefault="0061794B" w:rsidP="00C012DC">
            <w:pPr>
              <w:pStyle w:val="TX-TableText"/>
              <w:jc w:val="center"/>
            </w:pPr>
            <w:r w:rsidRPr="00165C7E">
              <w:t>1</w:t>
            </w:r>
          </w:p>
        </w:tc>
        <w:tc>
          <w:tcPr>
            <w:tcW w:w="1300" w:type="dxa"/>
            <w:tcBorders>
              <w:bottom w:val="single" w:sz="4" w:space="0" w:color="auto"/>
            </w:tcBorders>
            <w:noWrap/>
            <w:hideMark/>
          </w:tcPr>
          <w:p w:rsidR="0061794B" w:rsidRPr="0061794B" w:rsidRDefault="0061794B" w:rsidP="0061794B">
            <w:pPr>
              <w:pStyle w:val="TX-TableText"/>
              <w:spacing w:before="120"/>
              <w:jc w:val="center"/>
              <w:rPr>
                <w:sz w:val="24"/>
                <w:szCs w:val="24"/>
                <w:vertAlign w:val="superscript"/>
              </w:rPr>
            </w:pPr>
            <w:r w:rsidRPr="008860A9">
              <w:rPr>
                <w:sz w:val="24"/>
                <w:szCs w:val="24"/>
                <w:vertAlign w:val="superscript"/>
              </w:rPr>
              <w:t>90/60</w:t>
            </w:r>
          </w:p>
        </w:tc>
        <w:tc>
          <w:tcPr>
            <w:tcW w:w="1010" w:type="dxa"/>
            <w:tcBorders>
              <w:bottom w:val="single" w:sz="4" w:space="0" w:color="auto"/>
            </w:tcBorders>
            <w:noWrap/>
            <w:hideMark/>
          </w:tcPr>
          <w:p w:rsidR="0061794B" w:rsidRPr="00165C7E" w:rsidRDefault="0061794B" w:rsidP="004C6AA7">
            <w:pPr>
              <w:pStyle w:val="TX-TableText"/>
              <w:jc w:val="center"/>
            </w:pPr>
            <w:r>
              <w:t>5</w:t>
            </w:r>
            <w:r w:rsidRPr="00165C7E">
              <w:t>,</w:t>
            </w:r>
            <w:r>
              <w:t>25</w:t>
            </w:r>
            <w:r w:rsidRPr="00165C7E">
              <w:t>0</w:t>
            </w:r>
          </w:p>
        </w:tc>
      </w:tr>
      <w:tr w:rsidR="0061794B" w:rsidRPr="00165C7E" w:rsidTr="006E6839">
        <w:trPr>
          <w:trHeight w:val="435"/>
        </w:trPr>
        <w:tc>
          <w:tcPr>
            <w:tcW w:w="2178" w:type="dxa"/>
            <w:vMerge w:val="restart"/>
            <w:tcBorders>
              <w:top w:val="single" w:sz="4" w:space="0" w:color="auto"/>
              <w:bottom w:val="nil"/>
            </w:tcBorders>
            <w:hideMark/>
          </w:tcPr>
          <w:p w:rsidR="0061794B" w:rsidRPr="00165C7E" w:rsidRDefault="0061794B" w:rsidP="00093385">
            <w:pPr>
              <w:pStyle w:val="TX-TableText"/>
              <w:spacing w:before="120"/>
            </w:pPr>
            <w:r w:rsidRPr="00165C7E">
              <w:t>Web and smartphone/mobile phone surveys</w:t>
            </w:r>
          </w:p>
        </w:tc>
        <w:tc>
          <w:tcPr>
            <w:tcW w:w="1249" w:type="dxa"/>
            <w:tcBorders>
              <w:top w:val="single" w:sz="4" w:space="0" w:color="auto"/>
              <w:bottom w:val="nil"/>
            </w:tcBorders>
            <w:hideMark/>
          </w:tcPr>
          <w:p w:rsidR="0061794B" w:rsidRPr="00165C7E" w:rsidRDefault="0061794B" w:rsidP="00C012DC">
            <w:pPr>
              <w:pStyle w:val="TX-TableText"/>
              <w:spacing w:before="120"/>
              <w:jc w:val="center"/>
            </w:pPr>
            <w:r w:rsidRPr="00165C7E">
              <w:t>Adults</w:t>
            </w:r>
          </w:p>
        </w:tc>
        <w:tc>
          <w:tcPr>
            <w:tcW w:w="1480" w:type="dxa"/>
            <w:tcBorders>
              <w:top w:val="single" w:sz="4" w:space="0" w:color="auto"/>
              <w:bottom w:val="nil"/>
            </w:tcBorders>
            <w:noWrap/>
            <w:hideMark/>
          </w:tcPr>
          <w:p w:rsidR="0061794B" w:rsidRPr="00165C7E" w:rsidRDefault="0061794B" w:rsidP="00C012DC">
            <w:pPr>
              <w:pStyle w:val="TX-TableText"/>
              <w:spacing w:before="120"/>
              <w:jc w:val="center"/>
            </w:pPr>
            <w:r>
              <w:t>5</w:t>
            </w:r>
            <w:r w:rsidRPr="00165C7E">
              <w:t>,000</w:t>
            </w:r>
          </w:p>
        </w:tc>
        <w:tc>
          <w:tcPr>
            <w:tcW w:w="1400" w:type="dxa"/>
            <w:tcBorders>
              <w:top w:val="single" w:sz="4" w:space="0" w:color="auto"/>
              <w:bottom w:val="nil"/>
            </w:tcBorders>
            <w:noWrap/>
            <w:hideMark/>
          </w:tcPr>
          <w:p w:rsidR="0061794B" w:rsidRPr="00165C7E" w:rsidRDefault="0061794B" w:rsidP="00C012DC">
            <w:pPr>
              <w:pStyle w:val="TX-TableText"/>
              <w:spacing w:before="120"/>
              <w:jc w:val="center"/>
            </w:pPr>
            <w:r w:rsidRPr="00165C7E">
              <w:t>1</w:t>
            </w:r>
          </w:p>
        </w:tc>
        <w:tc>
          <w:tcPr>
            <w:tcW w:w="1300" w:type="dxa"/>
            <w:tcBorders>
              <w:top w:val="single" w:sz="4" w:space="0" w:color="auto"/>
              <w:bottom w:val="nil"/>
            </w:tcBorders>
            <w:noWrap/>
            <w:hideMark/>
          </w:tcPr>
          <w:p w:rsidR="0061794B" w:rsidRPr="0061794B" w:rsidRDefault="0061794B" w:rsidP="0061794B">
            <w:pPr>
              <w:pStyle w:val="TX-TableText"/>
              <w:spacing w:before="120"/>
              <w:jc w:val="center"/>
              <w:rPr>
                <w:sz w:val="24"/>
                <w:szCs w:val="24"/>
                <w:vertAlign w:val="superscript"/>
              </w:rPr>
            </w:pPr>
            <w:r w:rsidRPr="008860A9">
              <w:rPr>
                <w:sz w:val="24"/>
                <w:szCs w:val="24"/>
                <w:vertAlign w:val="superscript"/>
              </w:rPr>
              <w:t>90/60</w:t>
            </w:r>
          </w:p>
        </w:tc>
        <w:tc>
          <w:tcPr>
            <w:tcW w:w="1010" w:type="dxa"/>
            <w:tcBorders>
              <w:top w:val="single" w:sz="4" w:space="0" w:color="auto"/>
              <w:bottom w:val="nil"/>
            </w:tcBorders>
            <w:noWrap/>
            <w:hideMark/>
          </w:tcPr>
          <w:p w:rsidR="0061794B" w:rsidRPr="00165C7E" w:rsidRDefault="0061794B" w:rsidP="00C012DC">
            <w:pPr>
              <w:pStyle w:val="TX-TableText"/>
              <w:spacing w:before="120"/>
              <w:jc w:val="center"/>
            </w:pPr>
            <w:r>
              <w:t>7</w:t>
            </w:r>
            <w:r w:rsidRPr="00165C7E">
              <w:t>,500</w:t>
            </w:r>
          </w:p>
        </w:tc>
      </w:tr>
      <w:tr w:rsidR="0061794B" w:rsidRPr="00165C7E" w:rsidTr="006E6839">
        <w:trPr>
          <w:trHeight w:val="405"/>
        </w:trPr>
        <w:tc>
          <w:tcPr>
            <w:tcW w:w="2178" w:type="dxa"/>
            <w:vMerge/>
            <w:tcBorders>
              <w:top w:val="nil"/>
              <w:bottom w:val="single" w:sz="4" w:space="0" w:color="auto"/>
            </w:tcBorders>
            <w:hideMark/>
          </w:tcPr>
          <w:p w:rsidR="0061794B" w:rsidRPr="00165C7E" w:rsidRDefault="0061794B" w:rsidP="006E6839">
            <w:pPr>
              <w:pStyle w:val="TX-TableText"/>
            </w:pPr>
          </w:p>
        </w:tc>
        <w:tc>
          <w:tcPr>
            <w:tcW w:w="1249" w:type="dxa"/>
            <w:tcBorders>
              <w:top w:val="nil"/>
              <w:bottom w:val="single" w:sz="4" w:space="0" w:color="auto"/>
            </w:tcBorders>
            <w:hideMark/>
          </w:tcPr>
          <w:p w:rsidR="0061794B" w:rsidRPr="00165C7E" w:rsidRDefault="0061794B" w:rsidP="00C012DC">
            <w:pPr>
              <w:pStyle w:val="TX-TableText"/>
              <w:jc w:val="center"/>
            </w:pPr>
            <w:r w:rsidRPr="00165C7E">
              <w:t>Youth</w:t>
            </w:r>
          </w:p>
        </w:tc>
        <w:tc>
          <w:tcPr>
            <w:tcW w:w="1480" w:type="dxa"/>
            <w:tcBorders>
              <w:top w:val="nil"/>
              <w:bottom w:val="single" w:sz="4" w:space="0" w:color="auto"/>
            </w:tcBorders>
            <w:noWrap/>
            <w:hideMark/>
          </w:tcPr>
          <w:p w:rsidR="0061794B" w:rsidRPr="00165C7E" w:rsidRDefault="0061794B" w:rsidP="004C6AA7">
            <w:pPr>
              <w:pStyle w:val="TX-TableText"/>
              <w:jc w:val="center"/>
            </w:pPr>
            <w:r>
              <w:t>3</w:t>
            </w:r>
            <w:r w:rsidRPr="00165C7E">
              <w:t>,</w:t>
            </w:r>
            <w:r>
              <w:t>5</w:t>
            </w:r>
            <w:r w:rsidRPr="00165C7E">
              <w:t>00</w:t>
            </w:r>
          </w:p>
        </w:tc>
        <w:tc>
          <w:tcPr>
            <w:tcW w:w="1400" w:type="dxa"/>
            <w:tcBorders>
              <w:top w:val="nil"/>
              <w:bottom w:val="single" w:sz="4" w:space="0" w:color="auto"/>
            </w:tcBorders>
            <w:noWrap/>
            <w:hideMark/>
          </w:tcPr>
          <w:p w:rsidR="0061794B" w:rsidRPr="00165C7E" w:rsidRDefault="0061794B" w:rsidP="00C012DC">
            <w:pPr>
              <w:pStyle w:val="TX-TableText"/>
              <w:jc w:val="center"/>
            </w:pPr>
            <w:r w:rsidRPr="00165C7E">
              <w:t>1</w:t>
            </w:r>
          </w:p>
        </w:tc>
        <w:tc>
          <w:tcPr>
            <w:tcW w:w="1300" w:type="dxa"/>
            <w:tcBorders>
              <w:top w:val="nil"/>
              <w:bottom w:val="single" w:sz="4" w:space="0" w:color="auto"/>
            </w:tcBorders>
            <w:noWrap/>
            <w:hideMark/>
          </w:tcPr>
          <w:p w:rsidR="0061794B" w:rsidRPr="0061794B" w:rsidRDefault="0061794B" w:rsidP="0061794B">
            <w:pPr>
              <w:pStyle w:val="TX-TableText"/>
              <w:spacing w:before="120"/>
              <w:jc w:val="center"/>
              <w:rPr>
                <w:sz w:val="24"/>
                <w:szCs w:val="24"/>
                <w:vertAlign w:val="superscript"/>
              </w:rPr>
            </w:pPr>
            <w:r w:rsidRPr="008860A9">
              <w:rPr>
                <w:sz w:val="24"/>
                <w:szCs w:val="24"/>
                <w:vertAlign w:val="superscript"/>
              </w:rPr>
              <w:t>90/60</w:t>
            </w:r>
          </w:p>
        </w:tc>
        <w:tc>
          <w:tcPr>
            <w:tcW w:w="1010" w:type="dxa"/>
            <w:tcBorders>
              <w:top w:val="nil"/>
              <w:bottom w:val="single" w:sz="4" w:space="0" w:color="auto"/>
            </w:tcBorders>
            <w:noWrap/>
            <w:hideMark/>
          </w:tcPr>
          <w:p w:rsidR="0061794B" w:rsidRPr="00165C7E" w:rsidRDefault="0061794B" w:rsidP="004C6AA7">
            <w:pPr>
              <w:pStyle w:val="TX-TableText"/>
              <w:jc w:val="center"/>
            </w:pPr>
            <w:r>
              <w:t>5</w:t>
            </w:r>
            <w:r w:rsidRPr="00165C7E">
              <w:t>,</w:t>
            </w:r>
            <w:r>
              <w:t>25</w:t>
            </w:r>
            <w:r w:rsidRPr="00165C7E">
              <w:t>0</w:t>
            </w:r>
          </w:p>
        </w:tc>
      </w:tr>
      <w:tr w:rsidR="00460C54" w:rsidRPr="00165C7E" w:rsidTr="006E6839">
        <w:trPr>
          <w:trHeight w:val="300"/>
        </w:trPr>
        <w:tc>
          <w:tcPr>
            <w:tcW w:w="2178" w:type="dxa"/>
            <w:vMerge w:val="restart"/>
            <w:tcBorders>
              <w:top w:val="single" w:sz="4" w:space="0" w:color="auto"/>
              <w:bottom w:val="nil"/>
            </w:tcBorders>
            <w:noWrap/>
            <w:hideMark/>
          </w:tcPr>
          <w:p w:rsidR="00460C54" w:rsidRPr="00165C7E" w:rsidRDefault="00460C54" w:rsidP="00093385">
            <w:pPr>
              <w:pStyle w:val="TX-TableText"/>
              <w:spacing w:before="120"/>
            </w:pPr>
            <w:r w:rsidRPr="00165C7E">
              <w:t xml:space="preserve">Focus groups and </w:t>
            </w:r>
            <w:r w:rsidR="009D291F" w:rsidRPr="00165C7E">
              <w:t>individual in-depth qualitative interviews</w:t>
            </w:r>
          </w:p>
        </w:tc>
        <w:tc>
          <w:tcPr>
            <w:tcW w:w="1249" w:type="dxa"/>
            <w:tcBorders>
              <w:top w:val="single" w:sz="4" w:space="0" w:color="auto"/>
              <w:bottom w:val="nil"/>
            </w:tcBorders>
            <w:hideMark/>
          </w:tcPr>
          <w:p w:rsidR="00460C54" w:rsidRPr="00165C7E" w:rsidRDefault="00460C54" w:rsidP="00C012DC">
            <w:pPr>
              <w:pStyle w:val="TX-TableText"/>
              <w:spacing w:before="120"/>
              <w:jc w:val="center"/>
            </w:pPr>
            <w:r w:rsidRPr="00165C7E">
              <w:t>Adults</w:t>
            </w:r>
          </w:p>
        </w:tc>
        <w:tc>
          <w:tcPr>
            <w:tcW w:w="1480" w:type="dxa"/>
            <w:tcBorders>
              <w:top w:val="single" w:sz="4" w:space="0" w:color="auto"/>
              <w:bottom w:val="nil"/>
            </w:tcBorders>
            <w:noWrap/>
            <w:hideMark/>
          </w:tcPr>
          <w:p w:rsidR="00460C54" w:rsidRPr="00165C7E" w:rsidRDefault="004C6AA7" w:rsidP="00C012DC">
            <w:pPr>
              <w:pStyle w:val="TX-TableText"/>
              <w:spacing w:before="120"/>
              <w:jc w:val="center"/>
            </w:pPr>
            <w:r>
              <w:t>10</w:t>
            </w:r>
            <w:r w:rsidR="00460C54" w:rsidRPr="00165C7E">
              <w:t>00</w:t>
            </w:r>
          </w:p>
        </w:tc>
        <w:tc>
          <w:tcPr>
            <w:tcW w:w="1400" w:type="dxa"/>
            <w:tcBorders>
              <w:top w:val="single" w:sz="4" w:space="0" w:color="auto"/>
              <w:bottom w:val="nil"/>
            </w:tcBorders>
            <w:noWrap/>
            <w:hideMark/>
          </w:tcPr>
          <w:p w:rsidR="00460C54" w:rsidRPr="00165C7E" w:rsidRDefault="00460C54" w:rsidP="00C012DC">
            <w:pPr>
              <w:pStyle w:val="TX-TableText"/>
              <w:spacing w:before="120"/>
              <w:jc w:val="center"/>
            </w:pPr>
            <w:r w:rsidRPr="00165C7E">
              <w:t>1</w:t>
            </w:r>
          </w:p>
        </w:tc>
        <w:tc>
          <w:tcPr>
            <w:tcW w:w="1300" w:type="dxa"/>
            <w:tcBorders>
              <w:top w:val="single" w:sz="4" w:space="0" w:color="auto"/>
              <w:bottom w:val="nil"/>
            </w:tcBorders>
            <w:noWrap/>
            <w:hideMark/>
          </w:tcPr>
          <w:p w:rsidR="00460C54" w:rsidRPr="00165C7E" w:rsidRDefault="00460C54" w:rsidP="00C012DC">
            <w:pPr>
              <w:pStyle w:val="TX-TableText"/>
              <w:spacing w:before="120"/>
              <w:jc w:val="center"/>
            </w:pPr>
            <w:r w:rsidRPr="00165C7E">
              <w:t>2</w:t>
            </w:r>
          </w:p>
        </w:tc>
        <w:tc>
          <w:tcPr>
            <w:tcW w:w="1010" w:type="dxa"/>
            <w:tcBorders>
              <w:top w:val="single" w:sz="4" w:space="0" w:color="auto"/>
              <w:bottom w:val="nil"/>
            </w:tcBorders>
            <w:noWrap/>
            <w:hideMark/>
          </w:tcPr>
          <w:p w:rsidR="00460C54" w:rsidRPr="00165C7E" w:rsidRDefault="004C6AA7" w:rsidP="004C6AA7">
            <w:pPr>
              <w:pStyle w:val="TX-TableText"/>
              <w:spacing w:before="120"/>
              <w:jc w:val="center"/>
            </w:pPr>
            <w:r>
              <w:t>2,0</w:t>
            </w:r>
            <w:r w:rsidR="00460C54" w:rsidRPr="00165C7E">
              <w:t>00</w:t>
            </w:r>
          </w:p>
        </w:tc>
      </w:tr>
      <w:tr w:rsidR="00460C54" w:rsidRPr="00165C7E" w:rsidTr="006E6839">
        <w:trPr>
          <w:trHeight w:val="315"/>
        </w:trPr>
        <w:tc>
          <w:tcPr>
            <w:tcW w:w="2178" w:type="dxa"/>
            <w:vMerge/>
            <w:tcBorders>
              <w:top w:val="nil"/>
              <w:bottom w:val="single" w:sz="4" w:space="0" w:color="auto"/>
            </w:tcBorders>
            <w:hideMark/>
          </w:tcPr>
          <w:p w:rsidR="00460C54" w:rsidRPr="00165C7E" w:rsidRDefault="00460C54" w:rsidP="006E6839">
            <w:pPr>
              <w:pStyle w:val="TX-TableText"/>
            </w:pPr>
          </w:p>
        </w:tc>
        <w:tc>
          <w:tcPr>
            <w:tcW w:w="1249" w:type="dxa"/>
            <w:tcBorders>
              <w:top w:val="nil"/>
              <w:bottom w:val="single" w:sz="4" w:space="0" w:color="auto"/>
            </w:tcBorders>
            <w:hideMark/>
          </w:tcPr>
          <w:p w:rsidR="00460C54" w:rsidRPr="00165C7E" w:rsidRDefault="00460C54" w:rsidP="00C012DC">
            <w:pPr>
              <w:pStyle w:val="TX-TableText"/>
              <w:jc w:val="center"/>
            </w:pPr>
            <w:r w:rsidRPr="00165C7E">
              <w:t>Youth</w:t>
            </w:r>
          </w:p>
        </w:tc>
        <w:tc>
          <w:tcPr>
            <w:tcW w:w="1480" w:type="dxa"/>
            <w:tcBorders>
              <w:top w:val="nil"/>
              <w:bottom w:val="single" w:sz="4" w:space="0" w:color="auto"/>
            </w:tcBorders>
            <w:noWrap/>
            <w:hideMark/>
          </w:tcPr>
          <w:p w:rsidR="00460C54" w:rsidRPr="00165C7E" w:rsidRDefault="004C6AA7" w:rsidP="00C012DC">
            <w:pPr>
              <w:pStyle w:val="TX-TableText"/>
              <w:jc w:val="center"/>
            </w:pPr>
            <w:r>
              <w:t>10</w:t>
            </w:r>
            <w:r w:rsidR="00460C54" w:rsidRPr="00165C7E">
              <w:t>00</w:t>
            </w:r>
          </w:p>
        </w:tc>
        <w:tc>
          <w:tcPr>
            <w:tcW w:w="1400" w:type="dxa"/>
            <w:tcBorders>
              <w:top w:val="nil"/>
              <w:bottom w:val="single" w:sz="4" w:space="0" w:color="auto"/>
            </w:tcBorders>
            <w:noWrap/>
            <w:hideMark/>
          </w:tcPr>
          <w:p w:rsidR="00460C54" w:rsidRPr="00165C7E" w:rsidRDefault="00460C54" w:rsidP="00C012DC">
            <w:pPr>
              <w:pStyle w:val="TX-TableText"/>
              <w:jc w:val="center"/>
            </w:pPr>
            <w:r w:rsidRPr="00165C7E">
              <w:t>1</w:t>
            </w:r>
          </w:p>
        </w:tc>
        <w:tc>
          <w:tcPr>
            <w:tcW w:w="1300" w:type="dxa"/>
            <w:tcBorders>
              <w:top w:val="nil"/>
              <w:bottom w:val="single" w:sz="4" w:space="0" w:color="auto"/>
            </w:tcBorders>
            <w:noWrap/>
            <w:hideMark/>
          </w:tcPr>
          <w:p w:rsidR="00460C54" w:rsidRPr="00165C7E" w:rsidRDefault="00460C54" w:rsidP="00C012DC">
            <w:pPr>
              <w:pStyle w:val="TX-TableText"/>
              <w:jc w:val="center"/>
            </w:pPr>
            <w:r w:rsidRPr="00165C7E">
              <w:t>2</w:t>
            </w:r>
          </w:p>
        </w:tc>
        <w:tc>
          <w:tcPr>
            <w:tcW w:w="1010" w:type="dxa"/>
            <w:tcBorders>
              <w:top w:val="nil"/>
              <w:bottom w:val="single" w:sz="4" w:space="0" w:color="auto"/>
            </w:tcBorders>
            <w:noWrap/>
            <w:hideMark/>
          </w:tcPr>
          <w:p w:rsidR="00460C54" w:rsidRPr="00165C7E" w:rsidRDefault="004C6AA7" w:rsidP="004C6AA7">
            <w:pPr>
              <w:pStyle w:val="TX-TableText"/>
              <w:jc w:val="center"/>
            </w:pPr>
            <w:r>
              <w:t>2</w:t>
            </w:r>
            <w:r w:rsidR="00460C54" w:rsidRPr="00165C7E">
              <w:t>,</w:t>
            </w:r>
            <w:r>
              <w:t>0</w:t>
            </w:r>
            <w:r w:rsidR="00460C54" w:rsidRPr="00165C7E">
              <w:t>00</w:t>
            </w:r>
          </w:p>
        </w:tc>
      </w:tr>
      <w:tr w:rsidR="00944CD4" w:rsidRPr="00165C7E" w:rsidTr="002279B4">
        <w:trPr>
          <w:trHeight w:val="315"/>
        </w:trPr>
        <w:tc>
          <w:tcPr>
            <w:tcW w:w="2178" w:type="dxa"/>
            <w:tcBorders>
              <w:top w:val="single" w:sz="4" w:space="0" w:color="auto"/>
              <w:bottom w:val="single" w:sz="4" w:space="0" w:color="auto"/>
            </w:tcBorders>
          </w:tcPr>
          <w:p w:rsidR="00944CD4" w:rsidRPr="00165C7E" w:rsidRDefault="00944CD4" w:rsidP="002279B4">
            <w:pPr>
              <w:pStyle w:val="TX-TableText"/>
            </w:pPr>
            <w:r>
              <w:t>Biospecimen collection</w:t>
            </w:r>
          </w:p>
        </w:tc>
        <w:tc>
          <w:tcPr>
            <w:tcW w:w="1249" w:type="dxa"/>
            <w:tcBorders>
              <w:top w:val="single" w:sz="4" w:space="0" w:color="auto"/>
              <w:bottom w:val="single" w:sz="4" w:space="0" w:color="auto"/>
            </w:tcBorders>
          </w:tcPr>
          <w:p w:rsidR="00944CD4" w:rsidRPr="00165C7E" w:rsidRDefault="00944CD4" w:rsidP="00C012DC">
            <w:pPr>
              <w:pStyle w:val="TX-TableText"/>
              <w:spacing w:before="120"/>
              <w:jc w:val="center"/>
            </w:pPr>
            <w:r>
              <w:t>Adults</w:t>
            </w:r>
          </w:p>
        </w:tc>
        <w:tc>
          <w:tcPr>
            <w:tcW w:w="1480" w:type="dxa"/>
            <w:tcBorders>
              <w:top w:val="single" w:sz="4" w:space="0" w:color="auto"/>
              <w:bottom w:val="single" w:sz="4" w:space="0" w:color="auto"/>
            </w:tcBorders>
            <w:noWrap/>
          </w:tcPr>
          <w:p w:rsidR="00944CD4" w:rsidRPr="00165C7E" w:rsidRDefault="00944CD4" w:rsidP="00C012DC">
            <w:pPr>
              <w:pStyle w:val="TX-TableText"/>
              <w:spacing w:before="120"/>
              <w:jc w:val="center"/>
            </w:pPr>
            <w:r>
              <w:t>1,000</w:t>
            </w:r>
          </w:p>
        </w:tc>
        <w:tc>
          <w:tcPr>
            <w:tcW w:w="1400" w:type="dxa"/>
            <w:tcBorders>
              <w:top w:val="single" w:sz="4" w:space="0" w:color="auto"/>
              <w:bottom w:val="single" w:sz="4" w:space="0" w:color="auto"/>
            </w:tcBorders>
            <w:noWrap/>
          </w:tcPr>
          <w:p w:rsidR="00944CD4" w:rsidRPr="00165C7E" w:rsidRDefault="00944CD4" w:rsidP="00C012DC">
            <w:pPr>
              <w:pStyle w:val="TX-TableText"/>
              <w:spacing w:before="120"/>
              <w:jc w:val="center"/>
            </w:pPr>
            <w:r>
              <w:t>1</w:t>
            </w:r>
          </w:p>
        </w:tc>
        <w:tc>
          <w:tcPr>
            <w:tcW w:w="1300" w:type="dxa"/>
            <w:tcBorders>
              <w:top w:val="single" w:sz="4" w:space="0" w:color="auto"/>
              <w:bottom w:val="single" w:sz="4" w:space="0" w:color="auto"/>
            </w:tcBorders>
            <w:noWrap/>
          </w:tcPr>
          <w:p w:rsidR="00944CD4" w:rsidRPr="00A954A5" w:rsidRDefault="00944CD4" w:rsidP="00C012DC">
            <w:pPr>
              <w:pStyle w:val="TX-TableText"/>
              <w:spacing w:before="120"/>
              <w:jc w:val="center"/>
              <w:rPr>
                <w:sz w:val="24"/>
                <w:szCs w:val="24"/>
              </w:rPr>
            </w:pPr>
            <w:r w:rsidRPr="00A954A5">
              <w:rPr>
                <w:sz w:val="24"/>
                <w:szCs w:val="24"/>
                <w:vertAlign w:val="superscript"/>
              </w:rPr>
              <w:t>15/60</w:t>
            </w:r>
          </w:p>
        </w:tc>
        <w:tc>
          <w:tcPr>
            <w:tcW w:w="1010" w:type="dxa"/>
            <w:tcBorders>
              <w:top w:val="single" w:sz="4" w:space="0" w:color="auto"/>
              <w:bottom w:val="single" w:sz="4" w:space="0" w:color="auto"/>
            </w:tcBorders>
            <w:noWrap/>
          </w:tcPr>
          <w:p w:rsidR="00944CD4" w:rsidRPr="00165C7E" w:rsidRDefault="00944CD4" w:rsidP="00C012DC">
            <w:pPr>
              <w:pStyle w:val="TX-TableText"/>
              <w:spacing w:before="120"/>
              <w:jc w:val="center"/>
            </w:pPr>
            <w:r>
              <w:t>250</w:t>
            </w:r>
          </w:p>
        </w:tc>
      </w:tr>
      <w:tr w:rsidR="00460C54" w:rsidRPr="00165C7E" w:rsidTr="006E6839">
        <w:trPr>
          <w:trHeight w:val="315"/>
        </w:trPr>
        <w:tc>
          <w:tcPr>
            <w:tcW w:w="2178" w:type="dxa"/>
            <w:tcBorders>
              <w:top w:val="single" w:sz="4" w:space="0" w:color="auto"/>
              <w:bottom w:val="single" w:sz="4" w:space="0" w:color="auto"/>
            </w:tcBorders>
            <w:hideMark/>
          </w:tcPr>
          <w:p w:rsidR="00460C54" w:rsidRPr="00165C7E" w:rsidRDefault="00460C54" w:rsidP="006E6839">
            <w:pPr>
              <w:pStyle w:val="TX-TableText"/>
            </w:pPr>
            <w:r w:rsidRPr="00165C7E">
              <w:t>TOTAL</w:t>
            </w:r>
          </w:p>
        </w:tc>
        <w:tc>
          <w:tcPr>
            <w:tcW w:w="1249" w:type="dxa"/>
            <w:tcBorders>
              <w:top w:val="single" w:sz="4" w:space="0" w:color="auto"/>
              <w:bottom w:val="single" w:sz="4" w:space="0" w:color="auto"/>
            </w:tcBorders>
            <w:hideMark/>
          </w:tcPr>
          <w:p w:rsidR="00460C54" w:rsidRPr="00165C7E" w:rsidRDefault="00460C54" w:rsidP="00C012DC">
            <w:pPr>
              <w:pStyle w:val="TX-TableText"/>
              <w:jc w:val="center"/>
            </w:pPr>
          </w:p>
        </w:tc>
        <w:tc>
          <w:tcPr>
            <w:tcW w:w="1480" w:type="dxa"/>
            <w:tcBorders>
              <w:top w:val="single" w:sz="4" w:space="0" w:color="auto"/>
              <w:bottom w:val="single" w:sz="4" w:space="0" w:color="auto"/>
            </w:tcBorders>
            <w:noWrap/>
            <w:hideMark/>
          </w:tcPr>
          <w:p w:rsidR="00460C54" w:rsidRPr="00165C7E" w:rsidRDefault="007C742B" w:rsidP="004C6AA7">
            <w:pPr>
              <w:pStyle w:val="TX-TableText"/>
              <w:jc w:val="center"/>
            </w:pPr>
            <w:r>
              <w:t>2</w:t>
            </w:r>
            <w:r w:rsidR="004C6AA7">
              <w:t>0</w:t>
            </w:r>
            <w:r w:rsidR="00460C54" w:rsidRPr="00165C7E">
              <w:t>,</w:t>
            </w:r>
            <w:r w:rsidR="004C6AA7">
              <w:t>0</w:t>
            </w:r>
            <w:r w:rsidR="00460C54" w:rsidRPr="00165C7E">
              <w:t>00</w:t>
            </w:r>
          </w:p>
        </w:tc>
        <w:tc>
          <w:tcPr>
            <w:tcW w:w="1400" w:type="dxa"/>
            <w:tcBorders>
              <w:top w:val="single" w:sz="4" w:space="0" w:color="auto"/>
              <w:bottom w:val="single" w:sz="4" w:space="0" w:color="auto"/>
            </w:tcBorders>
            <w:noWrap/>
            <w:hideMark/>
          </w:tcPr>
          <w:p w:rsidR="00460C54" w:rsidRPr="00165C7E" w:rsidRDefault="00460C54" w:rsidP="00C012DC">
            <w:pPr>
              <w:pStyle w:val="TX-TableText"/>
              <w:jc w:val="center"/>
            </w:pPr>
          </w:p>
        </w:tc>
        <w:tc>
          <w:tcPr>
            <w:tcW w:w="1300" w:type="dxa"/>
            <w:tcBorders>
              <w:top w:val="single" w:sz="4" w:space="0" w:color="auto"/>
              <w:bottom w:val="single" w:sz="4" w:space="0" w:color="auto"/>
            </w:tcBorders>
            <w:noWrap/>
            <w:hideMark/>
          </w:tcPr>
          <w:p w:rsidR="00460C54" w:rsidRPr="00165C7E" w:rsidRDefault="00460C54" w:rsidP="00C012DC">
            <w:pPr>
              <w:pStyle w:val="TX-TableText"/>
              <w:jc w:val="center"/>
            </w:pPr>
          </w:p>
        </w:tc>
        <w:tc>
          <w:tcPr>
            <w:tcW w:w="1010" w:type="dxa"/>
            <w:tcBorders>
              <w:top w:val="single" w:sz="4" w:space="0" w:color="auto"/>
              <w:bottom w:val="single" w:sz="4" w:space="0" w:color="auto"/>
            </w:tcBorders>
            <w:noWrap/>
          </w:tcPr>
          <w:p w:rsidR="00460C54" w:rsidRPr="00165C7E" w:rsidRDefault="004C6AA7" w:rsidP="004C6AA7">
            <w:pPr>
              <w:pStyle w:val="TX-TableText"/>
              <w:jc w:val="center"/>
            </w:pPr>
            <w:r>
              <w:t>29</w:t>
            </w:r>
            <w:r w:rsidR="00460C54" w:rsidRPr="00165C7E">
              <w:t>,</w:t>
            </w:r>
            <w:r>
              <w:t>7</w:t>
            </w:r>
            <w:r w:rsidR="007C742B">
              <w:t>50</w:t>
            </w:r>
          </w:p>
        </w:tc>
      </w:tr>
    </w:tbl>
    <w:p w:rsidR="00665A6C" w:rsidRPr="00165C7E" w:rsidRDefault="00665A6C" w:rsidP="00257CB6">
      <w:pPr>
        <w:pStyle w:val="L1-FlLSp12"/>
      </w:pPr>
    </w:p>
    <w:p w:rsidR="006E6839" w:rsidRPr="00165C7E" w:rsidRDefault="00D909EB" w:rsidP="006E6839">
      <w:pPr>
        <w:pStyle w:val="L1-FlLSp12"/>
      </w:pPr>
      <w:r w:rsidRPr="00165C7E">
        <w:t xml:space="preserve">The average annual participant burden is estimated to be </w:t>
      </w:r>
      <w:r w:rsidR="005F0225">
        <w:t>29</w:t>
      </w:r>
      <w:r w:rsidR="009356DE" w:rsidRPr="00165C7E">
        <w:t>,</w:t>
      </w:r>
      <w:r w:rsidR="005F0225">
        <w:t>7</w:t>
      </w:r>
      <w:r w:rsidR="007C742B">
        <w:t>50</w:t>
      </w:r>
      <w:r w:rsidRPr="00165C7E">
        <w:t xml:space="preserve"> hours, </w:t>
      </w:r>
      <w:r w:rsidR="007B799C" w:rsidRPr="00165C7E">
        <w:t>and</w:t>
      </w:r>
      <w:r w:rsidRPr="00165C7E">
        <w:t xml:space="preserve"> a total of </w:t>
      </w:r>
      <w:r w:rsidR="005F0225">
        <w:t>89</w:t>
      </w:r>
      <w:r w:rsidR="00003D4E" w:rsidRPr="00165C7E">
        <w:t>,</w:t>
      </w:r>
      <w:r w:rsidR="005F0225">
        <w:t>25</w:t>
      </w:r>
      <w:r w:rsidR="00003D4E" w:rsidRPr="00165C7E">
        <w:t>0</w:t>
      </w:r>
      <w:r w:rsidR="005C03CE" w:rsidRPr="00165C7E">
        <w:t xml:space="preserve"> </w:t>
      </w:r>
      <w:r w:rsidRPr="00165C7E">
        <w:t xml:space="preserve">hours over </w:t>
      </w:r>
      <w:r w:rsidR="007B799C" w:rsidRPr="00165C7E">
        <w:t xml:space="preserve">the </w:t>
      </w:r>
      <w:r w:rsidR="00D24E2B" w:rsidRPr="00165C7E">
        <w:t>3</w:t>
      </w:r>
      <w:r w:rsidRPr="00165C7E">
        <w:t>-year approval period.</w:t>
      </w:r>
    </w:p>
    <w:p w:rsidR="00314861" w:rsidRPr="00165C7E" w:rsidRDefault="00314861" w:rsidP="006E6839">
      <w:pPr>
        <w:pStyle w:val="L1-FlLSp12"/>
      </w:pPr>
    </w:p>
    <w:p w:rsidR="00D909EB" w:rsidRPr="00165C7E" w:rsidRDefault="00D909EB" w:rsidP="006E6839">
      <w:pPr>
        <w:pStyle w:val="L1-FlLSp12"/>
      </w:pPr>
      <w:r w:rsidRPr="00165C7E">
        <w:t xml:space="preserve">Annualized cost to </w:t>
      </w:r>
      <w:r w:rsidR="000123DB" w:rsidRPr="00165C7E">
        <w:t>participants</w:t>
      </w:r>
      <w:r w:rsidRPr="00165C7E">
        <w:t xml:space="preserve"> associated with the </w:t>
      </w:r>
      <w:r w:rsidR="00661302" w:rsidRPr="00165C7E">
        <w:t>PATH Study</w:t>
      </w:r>
      <w:r w:rsidR="00390296" w:rsidRPr="00165C7E">
        <w:t xml:space="preserve"> </w:t>
      </w:r>
      <w:r w:rsidR="00AF36ED" w:rsidRPr="00165C7E">
        <w:t xml:space="preserve">methodological studies </w:t>
      </w:r>
      <w:r w:rsidR="009F6174" w:rsidRPr="00165C7E">
        <w:t>is</w:t>
      </w:r>
      <w:r w:rsidR="00665A6C" w:rsidRPr="00165C7E">
        <w:t xml:space="preserve"> </w:t>
      </w:r>
      <w:r w:rsidR="00155CBB" w:rsidRPr="00165C7E">
        <w:t xml:space="preserve">presented in Table </w:t>
      </w:r>
      <w:r w:rsidR="00E40BEE">
        <w:t>2</w:t>
      </w:r>
      <w:r w:rsidR="00665A6C" w:rsidRPr="00165C7E">
        <w:t>.</w:t>
      </w:r>
    </w:p>
    <w:p w:rsidR="004C5C94" w:rsidRPr="00165C7E" w:rsidRDefault="004C5C94" w:rsidP="006E6839">
      <w:pPr>
        <w:pStyle w:val="L1-FlLSp12"/>
      </w:pPr>
    </w:p>
    <w:p w:rsidR="00155CBB" w:rsidRPr="00165C7E" w:rsidRDefault="00155CBB" w:rsidP="006E6839">
      <w:pPr>
        <w:pStyle w:val="TT-TableTitle"/>
      </w:pPr>
      <w:r w:rsidRPr="00165C7E">
        <w:t xml:space="preserve">Table </w:t>
      </w:r>
      <w:r w:rsidR="00E40BEE">
        <w:t>2</w:t>
      </w:r>
      <w:r w:rsidRPr="00165C7E">
        <w:t>.</w:t>
      </w:r>
      <w:r w:rsidR="006E6839" w:rsidRPr="00165C7E">
        <w:tab/>
      </w:r>
      <w:r w:rsidR="00AF36ED" w:rsidRPr="00165C7E">
        <w:t xml:space="preserve">Annualized cost to respondents for </w:t>
      </w:r>
      <w:r w:rsidR="00661302" w:rsidRPr="00165C7E">
        <w:t>PATH Study</w:t>
      </w:r>
      <w:r w:rsidRPr="00165C7E">
        <w:t xml:space="preserve"> </w:t>
      </w:r>
      <w:r w:rsidR="00AF36ED" w:rsidRPr="00165C7E">
        <w:t>methodological studies</w:t>
      </w:r>
    </w:p>
    <w:p w:rsidR="006E6839" w:rsidRPr="00165C7E" w:rsidRDefault="006E6839" w:rsidP="006E6839">
      <w:pPr>
        <w:pStyle w:val="TT-TableTitle"/>
      </w:pPr>
    </w:p>
    <w:tbl>
      <w:tblPr>
        <w:tblStyle w:val="TableWestatStandardFormat"/>
        <w:tblW w:w="9810" w:type="dxa"/>
        <w:tblLayout w:type="fixed"/>
        <w:tblLook w:val="04A0" w:firstRow="1" w:lastRow="0" w:firstColumn="1" w:lastColumn="0" w:noHBand="0" w:noVBand="1"/>
      </w:tblPr>
      <w:tblGrid>
        <w:gridCol w:w="1440"/>
        <w:gridCol w:w="1340"/>
        <w:gridCol w:w="1360"/>
        <w:gridCol w:w="1170"/>
        <w:gridCol w:w="1260"/>
        <w:gridCol w:w="885"/>
        <w:gridCol w:w="930"/>
        <w:gridCol w:w="1425"/>
      </w:tblGrid>
      <w:tr w:rsidR="004B668A" w:rsidRPr="00165C7E" w:rsidTr="006E6839">
        <w:trPr>
          <w:cnfStyle w:val="100000000000" w:firstRow="1" w:lastRow="0" w:firstColumn="0" w:lastColumn="0" w:oddVBand="0" w:evenVBand="0" w:oddHBand="0" w:evenHBand="0" w:firstRowFirstColumn="0" w:firstRowLastColumn="0" w:lastRowFirstColumn="0" w:lastRowLastColumn="0"/>
        </w:trPr>
        <w:tc>
          <w:tcPr>
            <w:tcW w:w="1440" w:type="dxa"/>
            <w:hideMark/>
          </w:tcPr>
          <w:p w:rsidR="004B668A" w:rsidRPr="00165C7E" w:rsidRDefault="004B668A" w:rsidP="006E6839">
            <w:pPr>
              <w:pStyle w:val="TH-TableHeading"/>
            </w:pPr>
            <w:r w:rsidRPr="00165C7E">
              <w:t>Data Collection Activity</w:t>
            </w:r>
          </w:p>
        </w:tc>
        <w:tc>
          <w:tcPr>
            <w:tcW w:w="1340" w:type="dxa"/>
            <w:hideMark/>
          </w:tcPr>
          <w:p w:rsidR="004B668A" w:rsidRPr="00165C7E" w:rsidRDefault="004B668A" w:rsidP="00E3196F">
            <w:pPr>
              <w:pStyle w:val="TH-TableHeading"/>
            </w:pPr>
            <w:r w:rsidRPr="00165C7E">
              <w:t>Type of Respondents</w:t>
            </w:r>
          </w:p>
        </w:tc>
        <w:tc>
          <w:tcPr>
            <w:tcW w:w="1360" w:type="dxa"/>
            <w:hideMark/>
          </w:tcPr>
          <w:p w:rsidR="004B668A" w:rsidRPr="00165C7E" w:rsidRDefault="004B668A" w:rsidP="00E3196F">
            <w:pPr>
              <w:pStyle w:val="TH-TableHeading"/>
            </w:pPr>
            <w:r w:rsidRPr="00165C7E">
              <w:t>Number of Respondents</w:t>
            </w:r>
          </w:p>
        </w:tc>
        <w:tc>
          <w:tcPr>
            <w:tcW w:w="1170" w:type="dxa"/>
            <w:hideMark/>
          </w:tcPr>
          <w:p w:rsidR="004B668A" w:rsidRPr="00165C7E" w:rsidRDefault="004B668A" w:rsidP="00E3196F">
            <w:pPr>
              <w:pStyle w:val="TH-TableHeading"/>
            </w:pPr>
            <w:r w:rsidRPr="00165C7E">
              <w:t>Frequency of Response</w:t>
            </w:r>
          </w:p>
        </w:tc>
        <w:tc>
          <w:tcPr>
            <w:tcW w:w="1260" w:type="dxa"/>
            <w:hideMark/>
          </w:tcPr>
          <w:p w:rsidR="004B668A" w:rsidRPr="00165C7E" w:rsidRDefault="004B668A" w:rsidP="00E3196F">
            <w:pPr>
              <w:pStyle w:val="TH-TableHeading"/>
            </w:pPr>
            <w:r w:rsidRPr="00165C7E">
              <w:t>Average Time per Respondent</w:t>
            </w:r>
          </w:p>
        </w:tc>
        <w:tc>
          <w:tcPr>
            <w:tcW w:w="885" w:type="dxa"/>
            <w:hideMark/>
          </w:tcPr>
          <w:p w:rsidR="004B668A" w:rsidRPr="00165C7E" w:rsidRDefault="004B668A" w:rsidP="00E3196F">
            <w:pPr>
              <w:pStyle w:val="TH-TableHeading"/>
            </w:pPr>
            <w:r w:rsidRPr="00165C7E">
              <w:t>Annual Hour Burden</w:t>
            </w:r>
          </w:p>
        </w:tc>
        <w:tc>
          <w:tcPr>
            <w:tcW w:w="930" w:type="dxa"/>
            <w:hideMark/>
          </w:tcPr>
          <w:p w:rsidR="004B668A" w:rsidRPr="00165C7E" w:rsidRDefault="004B668A" w:rsidP="00E3196F">
            <w:pPr>
              <w:pStyle w:val="TH-TableHeading"/>
            </w:pPr>
            <w:r w:rsidRPr="00165C7E">
              <w:t>Hourly Wage Rate</w:t>
            </w:r>
          </w:p>
        </w:tc>
        <w:tc>
          <w:tcPr>
            <w:tcW w:w="1425" w:type="dxa"/>
            <w:hideMark/>
          </w:tcPr>
          <w:p w:rsidR="004B668A" w:rsidRPr="00165C7E" w:rsidRDefault="004B668A" w:rsidP="00E3196F">
            <w:pPr>
              <w:pStyle w:val="TH-TableHeading"/>
            </w:pPr>
            <w:r w:rsidRPr="00165C7E">
              <w:t>Respondent Cost</w:t>
            </w:r>
          </w:p>
        </w:tc>
      </w:tr>
      <w:tr w:rsidR="0061794B" w:rsidRPr="00165C7E" w:rsidTr="006E6839">
        <w:trPr>
          <w:trHeight w:val="300"/>
        </w:trPr>
        <w:tc>
          <w:tcPr>
            <w:tcW w:w="1440" w:type="dxa"/>
            <w:vMerge w:val="restart"/>
            <w:hideMark/>
          </w:tcPr>
          <w:p w:rsidR="0061794B" w:rsidRPr="00165C7E" w:rsidRDefault="0061794B" w:rsidP="00093385">
            <w:pPr>
              <w:pStyle w:val="TX-TableText"/>
              <w:spacing w:before="120"/>
            </w:pPr>
            <w:r w:rsidRPr="00165C7E">
              <w:t>In-person and telephone surveys</w:t>
            </w:r>
          </w:p>
        </w:tc>
        <w:tc>
          <w:tcPr>
            <w:tcW w:w="1340" w:type="dxa"/>
            <w:hideMark/>
          </w:tcPr>
          <w:p w:rsidR="0061794B" w:rsidRPr="00165C7E" w:rsidRDefault="0061794B" w:rsidP="00E3196F">
            <w:pPr>
              <w:pStyle w:val="TX-TableText"/>
              <w:spacing w:before="120"/>
              <w:jc w:val="center"/>
            </w:pPr>
            <w:r w:rsidRPr="00165C7E">
              <w:t>Adults</w:t>
            </w:r>
          </w:p>
        </w:tc>
        <w:tc>
          <w:tcPr>
            <w:tcW w:w="1360" w:type="dxa"/>
            <w:noWrap/>
            <w:hideMark/>
          </w:tcPr>
          <w:p w:rsidR="0061794B" w:rsidRPr="00165C7E" w:rsidRDefault="0061794B" w:rsidP="00EF337C">
            <w:pPr>
              <w:pStyle w:val="TX-TableText"/>
              <w:spacing w:before="120"/>
              <w:jc w:val="center"/>
            </w:pPr>
            <w:r>
              <w:t>5</w:t>
            </w:r>
            <w:r w:rsidRPr="00165C7E">
              <w:t>,000</w:t>
            </w:r>
          </w:p>
        </w:tc>
        <w:tc>
          <w:tcPr>
            <w:tcW w:w="1170" w:type="dxa"/>
            <w:noWrap/>
            <w:hideMark/>
          </w:tcPr>
          <w:p w:rsidR="0061794B" w:rsidRPr="00165C7E" w:rsidRDefault="0061794B" w:rsidP="00E3196F">
            <w:pPr>
              <w:pStyle w:val="TX-TableText"/>
              <w:spacing w:before="120"/>
              <w:jc w:val="center"/>
            </w:pPr>
            <w:r w:rsidRPr="00165C7E">
              <w:t>1</w:t>
            </w:r>
          </w:p>
        </w:tc>
        <w:tc>
          <w:tcPr>
            <w:tcW w:w="1260" w:type="dxa"/>
            <w:noWrap/>
            <w:hideMark/>
          </w:tcPr>
          <w:p w:rsidR="0061794B" w:rsidRPr="0061794B" w:rsidRDefault="0061794B" w:rsidP="0061794B">
            <w:pPr>
              <w:pStyle w:val="TX-TableText"/>
              <w:spacing w:before="120"/>
              <w:jc w:val="center"/>
              <w:rPr>
                <w:sz w:val="24"/>
                <w:szCs w:val="24"/>
                <w:vertAlign w:val="superscript"/>
              </w:rPr>
            </w:pPr>
            <w:r w:rsidRPr="00CB1356">
              <w:rPr>
                <w:sz w:val="24"/>
                <w:szCs w:val="24"/>
                <w:vertAlign w:val="superscript"/>
              </w:rPr>
              <w:t>90/60</w:t>
            </w:r>
          </w:p>
        </w:tc>
        <w:tc>
          <w:tcPr>
            <w:tcW w:w="885" w:type="dxa"/>
            <w:noWrap/>
            <w:hideMark/>
          </w:tcPr>
          <w:p w:rsidR="0061794B" w:rsidRPr="00165C7E" w:rsidRDefault="0061794B" w:rsidP="00EF337C">
            <w:pPr>
              <w:pStyle w:val="TX-TableText"/>
              <w:spacing w:before="120"/>
              <w:jc w:val="center"/>
            </w:pPr>
            <w:r>
              <w:t>7</w:t>
            </w:r>
            <w:r w:rsidRPr="00165C7E">
              <w:t>,500</w:t>
            </w:r>
          </w:p>
        </w:tc>
        <w:tc>
          <w:tcPr>
            <w:tcW w:w="930" w:type="dxa"/>
            <w:noWrap/>
            <w:hideMark/>
          </w:tcPr>
          <w:p w:rsidR="0061794B" w:rsidRPr="00165C7E" w:rsidRDefault="0061794B" w:rsidP="00E3196F">
            <w:pPr>
              <w:pStyle w:val="TX-TableText"/>
              <w:spacing w:before="120"/>
              <w:jc w:val="center"/>
            </w:pPr>
            <w:r w:rsidRPr="00165C7E">
              <w:t>$16.27</w:t>
            </w:r>
          </w:p>
        </w:tc>
        <w:tc>
          <w:tcPr>
            <w:tcW w:w="1425" w:type="dxa"/>
            <w:noWrap/>
          </w:tcPr>
          <w:p w:rsidR="0061794B" w:rsidRPr="00165C7E" w:rsidRDefault="0061794B" w:rsidP="004C6AA7">
            <w:pPr>
              <w:pStyle w:val="TX-TableText"/>
              <w:spacing w:before="120"/>
              <w:jc w:val="center"/>
            </w:pPr>
            <w:r w:rsidRPr="00165C7E">
              <w:t>$</w:t>
            </w:r>
            <w:r>
              <w:t>122</w:t>
            </w:r>
            <w:r w:rsidRPr="00165C7E">
              <w:t>,</w:t>
            </w:r>
            <w:r>
              <w:t>025</w:t>
            </w:r>
          </w:p>
        </w:tc>
      </w:tr>
      <w:tr w:rsidR="0061794B" w:rsidRPr="00165C7E" w:rsidTr="006E6839">
        <w:trPr>
          <w:trHeight w:val="315"/>
        </w:trPr>
        <w:tc>
          <w:tcPr>
            <w:tcW w:w="1440" w:type="dxa"/>
            <w:vMerge/>
            <w:tcBorders>
              <w:bottom w:val="single" w:sz="4" w:space="0" w:color="auto"/>
            </w:tcBorders>
            <w:hideMark/>
          </w:tcPr>
          <w:p w:rsidR="0061794B" w:rsidRPr="00165C7E" w:rsidRDefault="0061794B" w:rsidP="006E6839">
            <w:pPr>
              <w:pStyle w:val="TX-TableText"/>
            </w:pPr>
          </w:p>
        </w:tc>
        <w:tc>
          <w:tcPr>
            <w:tcW w:w="1340" w:type="dxa"/>
            <w:tcBorders>
              <w:bottom w:val="single" w:sz="4" w:space="0" w:color="auto"/>
            </w:tcBorders>
            <w:hideMark/>
          </w:tcPr>
          <w:p w:rsidR="0061794B" w:rsidRPr="00165C7E" w:rsidRDefault="0061794B" w:rsidP="00E3196F">
            <w:pPr>
              <w:pStyle w:val="TX-TableText"/>
              <w:jc w:val="center"/>
            </w:pPr>
            <w:r w:rsidRPr="00165C7E">
              <w:t>Youth</w:t>
            </w:r>
          </w:p>
        </w:tc>
        <w:tc>
          <w:tcPr>
            <w:tcW w:w="1360" w:type="dxa"/>
            <w:tcBorders>
              <w:bottom w:val="single" w:sz="4" w:space="0" w:color="auto"/>
            </w:tcBorders>
            <w:noWrap/>
            <w:hideMark/>
          </w:tcPr>
          <w:p w:rsidR="0061794B" w:rsidRPr="00165C7E" w:rsidRDefault="0061794B" w:rsidP="00EF337C">
            <w:pPr>
              <w:pStyle w:val="TX-TableText"/>
              <w:jc w:val="center"/>
            </w:pPr>
            <w:r>
              <w:t>3</w:t>
            </w:r>
            <w:r w:rsidRPr="00165C7E">
              <w:t>,</w:t>
            </w:r>
            <w:r>
              <w:t>5</w:t>
            </w:r>
            <w:r w:rsidRPr="00165C7E">
              <w:t>00</w:t>
            </w:r>
          </w:p>
        </w:tc>
        <w:tc>
          <w:tcPr>
            <w:tcW w:w="1170" w:type="dxa"/>
            <w:tcBorders>
              <w:bottom w:val="single" w:sz="4" w:space="0" w:color="auto"/>
            </w:tcBorders>
            <w:noWrap/>
            <w:hideMark/>
          </w:tcPr>
          <w:p w:rsidR="0061794B" w:rsidRPr="00165C7E" w:rsidRDefault="0061794B" w:rsidP="00E3196F">
            <w:pPr>
              <w:pStyle w:val="TX-TableText"/>
              <w:jc w:val="center"/>
            </w:pPr>
            <w:r w:rsidRPr="00165C7E">
              <w:t>1</w:t>
            </w:r>
          </w:p>
        </w:tc>
        <w:tc>
          <w:tcPr>
            <w:tcW w:w="1260" w:type="dxa"/>
            <w:tcBorders>
              <w:bottom w:val="single" w:sz="4" w:space="0" w:color="auto"/>
            </w:tcBorders>
            <w:noWrap/>
            <w:hideMark/>
          </w:tcPr>
          <w:p w:rsidR="0061794B" w:rsidRPr="0061794B" w:rsidRDefault="0061794B" w:rsidP="0061794B">
            <w:pPr>
              <w:pStyle w:val="TX-TableText"/>
              <w:spacing w:before="120"/>
              <w:jc w:val="center"/>
              <w:rPr>
                <w:sz w:val="24"/>
                <w:szCs w:val="24"/>
                <w:vertAlign w:val="superscript"/>
              </w:rPr>
            </w:pPr>
            <w:r w:rsidRPr="00CB1356">
              <w:rPr>
                <w:sz w:val="24"/>
                <w:szCs w:val="24"/>
                <w:vertAlign w:val="superscript"/>
              </w:rPr>
              <w:t>90/60</w:t>
            </w:r>
          </w:p>
        </w:tc>
        <w:tc>
          <w:tcPr>
            <w:tcW w:w="885" w:type="dxa"/>
            <w:tcBorders>
              <w:bottom w:val="single" w:sz="4" w:space="0" w:color="auto"/>
            </w:tcBorders>
            <w:noWrap/>
            <w:hideMark/>
          </w:tcPr>
          <w:p w:rsidR="0061794B" w:rsidRPr="00165C7E" w:rsidRDefault="0061794B" w:rsidP="00EF337C">
            <w:pPr>
              <w:pStyle w:val="TX-TableText"/>
              <w:jc w:val="center"/>
            </w:pPr>
            <w:r>
              <w:t>5</w:t>
            </w:r>
            <w:r w:rsidRPr="00165C7E">
              <w:t>,</w:t>
            </w:r>
            <w:r>
              <w:t>25</w:t>
            </w:r>
            <w:r w:rsidRPr="00165C7E">
              <w:t>0</w:t>
            </w:r>
          </w:p>
        </w:tc>
        <w:tc>
          <w:tcPr>
            <w:tcW w:w="930" w:type="dxa"/>
            <w:tcBorders>
              <w:bottom w:val="single" w:sz="4" w:space="0" w:color="auto"/>
            </w:tcBorders>
            <w:noWrap/>
            <w:hideMark/>
          </w:tcPr>
          <w:p w:rsidR="0061794B" w:rsidRPr="00165C7E" w:rsidRDefault="0061794B" w:rsidP="00E3196F">
            <w:pPr>
              <w:pStyle w:val="TX-TableText"/>
              <w:jc w:val="center"/>
            </w:pPr>
            <w:r w:rsidRPr="00165C7E">
              <w:t>$7.25</w:t>
            </w:r>
          </w:p>
        </w:tc>
        <w:tc>
          <w:tcPr>
            <w:tcW w:w="1425" w:type="dxa"/>
            <w:tcBorders>
              <w:bottom w:val="single" w:sz="4" w:space="0" w:color="auto"/>
            </w:tcBorders>
            <w:noWrap/>
          </w:tcPr>
          <w:p w:rsidR="0061794B" w:rsidRPr="00165C7E" w:rsidRDefault="0061794B" w:rsidP="004C6AA7">
            <w:pPr>
              <w:pStyle w:val="TX-TableText"/>
              <w:jc w:val="center"/>
            </w:pPr>
            <w:r w:rsidRPr="00165C7E">
              <w:t>$</w:t>
            </w:r>
            <w:r>
              <w:t>38</w:t>
            </w:r>
            <w:r w:rsidRPr="00165C7E">
              <w:t>,</w:t>
            </w:r>
            <w:r>
              <w:t>063</w:t>
            </w:r>
          </w:p>
        </w:tc>
      </w:tr>
      <w:tr w:rsidR="0061794B" w:rsidRPr="00165C7E" w:rsidTr="006E6839">
        <w:trPr>
          <w:trHeight w:val="450"/>
        </w:trPr>
        <w:tc>
          <w:tcPr>
            <w:tcW w:w="1440" w:type="dxa"/>
            <w:vMerge w:val="restart"/>
            <w:tcBorders>
              <w:top w:val="single" w:sz="4" w:space="0" w:color="auto"/>
              <w:bottom w:val="nil"/>
            </w:tcBorders>
            <w:hideMark/>
          </w:tcPr>
          <w:p w:rsidR="0061794B" w:rsidRPr="00165C7E" w:rsidRDefault="0061794B" w:rsidP="00093385">
            <w:pPr>
              <w:pStyle w:val="TX-TableText"/>
              <w:spacing w:before="120"/>
            </w:pPr>
            <w:r w:rsidRPr="00165C7E">
              <w:t>Web and smartphone/mobile phone surveys</w:t>
            </w:r>
          </w:p>
        </w:tc>
        <w:tc>
          <w:tcPr>
            <w:tcW w:w="1340" w:type="dxa"/>
            <w:tcBorders>
              <w:top w:val="single" w:sz="4" w:space="0" w:color="auto"/>
              <w:bottom w:val="nil"/>
            </w:tcBorders>
            <w:hideMark/>
          </w:tcPr>
          <w:p w:rsidR="0061794B" w:rsidRPr="00165C7E" w:rsidRDefault="0061794B" w:rsidP="00E3196F">
            <w:pPr>
              <w:pStyle w:val="TX-TableText"/>
              <w:spacing w:before="120"/>
              <w:jc w:val="center"/>
            </w:pPr>
            <w:r w:rsidRPr="00165C7E">
              <w:t>Adults</w:t>
            </w:r>
          </w:p>
        </w:tc>
        <w:tc>
          <w:tcPr>
            <w:tcW w:w="1360" w:type="dxa"/>
            <w:tcBorders>
              <w:top w:val="single" w:sz="4" w:space="0" w:color="auto"/>
              <w:bottom w:val="nil"/>
            </w:tcBorders>
            <w:noWrap/>
            <w:hideMark/>
          </w:tcPr>
          <w:p w:rsidR="0061794B" w:rsidRPr="00165C7E" w:rsidRDefault="0061794B" w:rsidP="00EF337C">
            <w:pPr>
              <w:pStyle w:val="TX-TableText"/>
              <w:spacing w:before="120"/>
              <w:jc w:val="center"/>
            </w:pPr>
            <w:r>
              <w:t>5</w:t>
            </w:r>
            <w:r w:rsidRPr="00165C7E">
              <w:t>,000</w:t>
            </w:r>
          </w:p>
        </w:tc>
        <w:tc>
          <w:tcPr>
            <w:tcW w:w="1170" w:type="dxa"/>
            <w:tcBorders>
              <w:top w:val="single" w:sz="4" w:space="0" w:color="auto"/>
              <w:bottom w:val="nil"/>
            </w:tcBorders>
            <w:noWrap/>
            <w:hideMark/>
          </w:tcPr>
          <w:p w:rsidR="0061794B" w:rsidRPr="00165C7E" w:rsidRDefault="0061794B" w:rsidP="00E3196F">
            <w:pPr>
              <w:pStyle w:val="TX-TableText"/>
              <w:spacing w:before="120"/>
              <w:jc w:val="center"/>
            </w:pPr>
            <w:r w:rsidRPr="00165C7E">
              <w:t>1</w:t>
            </w:r>
          </w:p>
        </w:tc>
        <w:tc>
          <w:tcPr>
            <w:tcW w:w="1260" w:type="dxa"/>
            <w:tcBorders>
              <w:top w:val="single" w:sz="4" w:space="0" w:color="auto"/>
              <w:bottom w:val="nil"/>
            </w:tcBorders>
            <w:noWrap/>
            <w:hideMark/>
          </w:tcPr>
          <w:p w:rsidR="0061794B" w:rsidRPr="0061794B" w:rsidRDefault="0061794B" w:rsidP="0061794B">
            <w:pPr>
              <w:pStyle w:val="TX-TableText"/>
              <w:spacing w:before="120"/>
              <w:jc w:val="center"/>
              <w:rPr>
                <w:sz w:val="24"/>
                <w:szCs w:val="24"/>
                <w:vertAlign w:val="superscript"/>
              </w:rPr>
            </w:pPr>
            <w:r w:rsidRPr="00CB1356">
              <w:rPr>
                <w:sz w:val="24"/>
                <w:szCs w:val="24"/>
                <w:vertAlign w:val="superscript"/>
              </w:rPr>
              <w:t>90/60</w:t>
            </w:r>
          </w:p>
        </w:tc>
        <w:tc>
          <w:tcPr>
            <w:tcW w:w="885" w:type="dxa"/>
            <w:tcBorders>
              <w:top w:val="single" w:sz="4" w:space="0" w:color="auto"/>
              <w:bottom w:val="nil"/>
            </w:tcBorders>
            <w:noWrap/>
            <w:hideMark/>
          </w:tcPr>
          <w:p w:rsidR="0061794B" w:rsidRPr="00165C7E" w:rsidRDefault="0061794B" w:rsidP="00EF337C">
            <w:pPr>
              <w:pStyle w:val="TX-TableText"/>
              <w:spacing w:before="120"/>
              <w:jc w:val="center"/>
            </w:pPr>
            <w:r>
              <w:t>7</w:t>
            </w:r>
            <w:r w:rsidRPr="00165C7E">
              <w:t>,500</w:t>
            </w:r>
          </w:p>
        </w:tc>
        <w:tc>
          <w:tcPr>
            <w:tcW w:w="930" w:type="dxa"/>
            <w:tcBorders>
              <w:top w:val="single" w:sz="4" w:space="0" w:color="auto"/>
              <w:bottom w:val="nil"/>
            </w:tcBorders>
            <w:noWrap/>
            <w:hideMark/>
          </w:tcPr>
          <w:p w:rsidR="0061794B" w:rsidRPr="00165C7E" w:rsidRDefault="0061794B" w:rsidP="00E3196F">
            <w:pPr>
              <w:pStyle w:val="TX-TableText"/>
              <w:spacing w:before="120"/>
              <w:jc w:val="center"/>
            </w:pPr>
            <w:r w:rsidRPr="00165C7E">
              <w:t>$16.27</w:t>
            </w:r>
          </w:p>
        </w:tc>
        <w:tc>
          <w:tcPr>
            <w:tcW w:w="1425" w:type="dxa"/>
            <w:tcBorders>
              <w:top w:val="single" w:sz="4" w:space="0" w:color="auto"/>
              <w:bottom w:val="nil"/>
            </w:tcBorders>
            <w:noWrap/>
          </w:tcPr>
          <w:p w:rsidR="0061794B" w:rsidRPr="00165C7E" w:rsidRDefault="0061794B" w:rsidP="004C6AA7">
            <w:pPr>
              <w:pStyle w:val="TX-TableText"/>
              <w:spacing w:before="120"/>
              <w:jc w:val="center"/>
            </w:pPr>
            <w:r w:rsidRPr="00165C7E">
              <w:t>$</w:t>
            </w:r>
            <w:r>
              <w:t>122</w:t>
            </w:r>
            <w:r w:rsidRPr="00165C7E">
              <w:t>,</w:t>
            </w:r>
            <w:r>
              <w:t>025</w:t>
            </w:r>
          </w:p>
        </w:tc>
      </w:tr>
      <w:tr w:rsidR="0061794B" w:rsidRPr="00165C7E" w:rsidTr="006E6839">
        <w:trPr>
          <w:trHeight w:val="420"/>
        </w:trPr>
        <w:tc>
          <w:tcPr>
            <w:tcW w:w="1440" w:type="dxa"/>
            <w:vMerge/>
            <w:tcBorders>
              <w:top w:val="nil"/>
              <w:bottom w:val="single" w:sz="4" w:space="0" w:color="auto"/>
            </w:tcBorders>
            <w:hideMark/>
          </w:tcPr>
          <w:p w:rsidR="0061794B" w:rsidRPr="00165C7E" w:rsidRDefault="0061794B" w:rsidP="006E6839">
            <w:pPr>
              <w:pStyle w:val="TX-TableText"/>
            </w:pPr>
          </w:p>
        </w:tc>
        <w:tc>
          <w:tcPr>
            <w:tcW w:w="1340" w:type="dxa"/>
            <w:tcBorders>
              <w:top w:val="nil"/>
              <w:bottom w:val="single" w:sz="4" w:space="0" w:color="auto"/>
            </w:tcBorders>
            <w:hideMark/>
          </w:tcPr>
          <w:p w:rsidR="0061794B" w:rsidRPr="00165C7E" w:rsidRDefault="0061794B" w:rsidP="00E3196F">
            <w:pPr>
              <w:pStyle w:val="TX-TableText"/>
              <w:jc w:val="center"/>
            </w:pPr>
            <w:r w:rsidRPr="00165C7E">
              <w:t>Youth</w:t>
            </w:r>
          </w:p>
        </w:tc>
        <w:tc>
          <w:tcPr>
            <w:tcW w:w="1360" w:type="dxa"/>
            <w:tcBorders>
              <w:top w:val="nil"/>
              <w:bottom w:val="single" w:sz="4" w:space="0" w:color="auto"/>
            </w:tcBorders>
            <w:noWrap/>
            <w:hideMark/>
          </w:tcPr>
          <w:p w:rsidR="0061794B" w:rsidRPr="00165C7E" w:rsidRDefault="0061794B" w:rsidP="00EF337C">
            <w:pPr>
              <w:pStyle w:val="TX-TableText"/>
              <w:jc w:val="center"/>
            </w:pPr>
            <w:r>
              <w:t>3</w:t>
            </w:r>
            <w:r w:rsidRPr="00165C7E">
              <w:t>,</w:t>
            </w:r>
            <w:r>
              <w:t>5</w:t>
            </w:r>
            <w:r w:rsidRPr="00165C7E">
              <w:t>00</w:t>
            </w:r>
          </w:p>
        </w:tc>
        <w:tc>
          <w:tcPr>
            <w:tcW w:w="1170" w:type="dxa"/>
            <w:tcBorders>
              <w:top w:val="nil"/>
              <w:bottom w:val="single" w:sz="4" w:space="0" w:color="auto"/>
            </w:tcBorders>
            <w:noWrap/>
            <w:hideMark/>
          </w:tcPr>
          <w:p w:rsidR="0061794B" w:rsidRPr="00165C7E" w:rsidRDefault="0061794B" w:rsidP="00E3196F">
            <w:pPr>
              <w:pStyle w:val="TX-TableText"/>
              <w:jc w:val="center"/>
            </w:pPr>
            <w:r w:rsidRPr="00165C7E">
              <w:t>1</w:t>
            </w:r>
          </w:p>
        </w:tc>
        <w:tc>
          <w:tcPr>
            <w:tcW w:w="1260" w:type="dxa"/>
            <w:tcBorders>
              <w:top w:val="nil"/>
              <w:bottom w:val="single" w:sz="4" w:space="0" w:color="auto"/>
            </w:tcBorders>
            <w:noWrap/>
            <w:hideMark/>
          </w:tcPr>
          <w:p w:rsidR="0061794B" w:rsidRPr="0061794B" w:rsidRDefault="0061794B" w:rsidP="0061794B">
            <w:pPr>
              <w:pStyle w:val="TX-TableText"/>
              <w:spacing w:before="120"/>
              <w:jc w:val="center"/>
              <w:rPr>
                <w:sz w:val="24"/>
                <w:szCs w:val="24"/>
                <w:vertAlign w:val="superscript"/>
              </w:rPr>
            </w:pPr>
            <w:r w:rsidRPr="00CB1356">
              <w:rPr>
                <w:sz w:val="24"/>
                <w:szCs w:val="24"/>
                <w:vertAlign w:val="superscript"/>
              </w:rPr>
              <w:t>90/60</w:t>
            </w:r>
          </w:p>
        </w:tc>
        <w:tc>
          <w:tcPr>
            <w:tcW w:w="885" w:type="dxa"/>
            <w:tcBorders>
              <w:top w:val="nil"/>
              <w:bottom w:val="single" w:sz="4" w:space="0" w:color="auto"/>
            </w:tcBorders>
            <w:noWrap/>
            <w:hideMark/>
          </w:tcPr>
          <w:p w:rsidR="0061794B" w:rsidRPr="00165C7E" w:rsidRDefault="0061794B" w:rsidP="00EF337C">
            <w:pPr>
              <w:pStyle w:val="TX-TableText"/>
              <w:jc w:val="center"/>
            </w:pPr>
            <w:r>
              <w:t>5</w:t>
            </w:r>
            <w:r w:rsidRPr="00165C7E">
              <w:t>,</w:t>
            </w:r>
            <w:r>
              <w:t>25</w:t>
            </w:r>
            <w:r w:rsidRPr="00165C7E">
              <w:t>0</w:t>
            </w:r>
          </w:p>
        </w:tc>
        <w:tc>
          <w:tcPr>
            <w:tcW w:w="930" w:type="dxa"/>
            <w:tcBorders>
              <w:top w:val="nil"/>
              <w:bottom w:val="single" w:sz="4" w:space="0" w:color="auto"/>
            </w:tcBorders>
            <w:noWrap/>
            <w:hideMark/>
          </w:tcPr>
          <w:p w:rsidR="0061794B" w:rsidRPr="00165C7E" w:rsidRDefault="0061794B" w:rsidP="00E3196F">
            <w:pPr>
              <w:pStyle w:val="TX-TableText"/>
              <w:jc w:val="center"/>
            </w:pPr>
            <w:r w:rsidRPr="00165C7E">
              <w:t>$7.25</w:t>
            </w:r>
          </w:p>
        </w:tc>
        <w:tc>
          <w:tcPr>
            <w:tcW w:w="1425" w:type="dxa"/>
            <w:tcBorders>
              <w:top w:val="nil"/>
              <w:bottom w:val="single" w:sz="4" w:space="0" w:color="auto"/>
            </w:tcBorders>
            <w:noWrap/>
          </w:tcPr>
          <w:p w:rsidR="0061794B" w:rsidRPr="00165C7E" w:rsidRDefault="0061794B" w:rsidP="004C6AA7">
            <w:pPr>
              <w:pStyle w:val="TX-TableText"/>
              <w:jc w:val="center"/>
            </w:pPr>
            <w:r w:rsidRPr="00165C7E">
              <w:t>$</w:t>
            </w:r>
            <w:r>
              <w:t>38</w:t>
            </w:r>
            <w:r w:rsidRPr="00165C7E">
              <w:t>,</w:t>
            </w:r>
            <w:r>
              <w:t>063</w:t>
            </w:r>
          </w:p>
        </w:tc>
      </w:tr>
      <w:tr w:rsidR="004C6AA7" w:rsidRPr="00165C7E" w:rsidTr="006E6839">
        <w:trPr>
          <w:trHeight w:val="300"/>
        </w:trPr>
        <w:tc>
          <w:tcPr>
            <w:tcW w:w="1440" w:type="dxa"/>
            <w:vMerge w:val="restart"/>
            <w:tcBorders>
              <w:top w:val="single" w:sz="4" w:space="0" w:color="auto"/>
              <w:bottom w:val="nil"/>
            </w:tcBorders>
            <w:noWrap/>
            <w:hideMark/>
          </w:tcPr>
          <w:p w:rsidR="004C6AA7" w:rsidRPr="00165C7E" w:rsidRDefault="004C6AA7" w:rsidP="00093385">
            <w:pPr>
              <w:pStyle w:val="TX-TableText"/>
              <w:spacing w:before="120"/>
            </w:pPr>
            <w:r w:rsidRPr="00165C7E">
              <w:t>Focus groups and individual in-depth qualitative interviews</w:t>
            </w:r>
          </w:p>
        </w:tc>
        <w:tc>
          <w:tcPr>
            <w:tcW w:w="1340" w:type="dxa"/>
            <w:tcBorders>
              <w:top w:val="single" w:sz="4" w:space="0" w:color="auto"/>
              <w:bottom w:val="nil"/>
            </w:tcBorders>
            <w:hideMark/>
          </w:tcPr>
          <w:p w:rsidR="004C6AA7" w:rsidRPr="00165C7E" w:rsidRDefault="004C6AA7" w:rsidP="00E3196F">
            <w:pPr>
              <w:pStyle w:val="TX-TableText"/>
              <w:spacing w:before="120"/>
              <w:jc w:val="center"/>
            </w:pPr>
            <w:r w:rsidRPr="00165C7E">
              <w:t>Adults</w:t>
            </w:r>
          </w:p>
        </w:tc>
        <w:tc>
          <w:tcPr>
            <w:tcW w:w="1360" w:type="dxa"/>
            <w:tcBorders>
              <w:top w:val="single" w:sz="4" w:space="0" w:color="auto"/>
              <w:bottom w:val="nil"/>
            </w:tcBorders>
            <w:noWrap/>
            <w:hideMark/>
          </w:tcPr>
          <w:p w:rsidR="004C6AA7" w:rsidRPr="00165C7E" w:rsidRDefault="004C6AA7" w:rsidP="00EF337C">
            <w:pPr>
              <w:pStyle w:val="TX-TableText"/>
              <w:spacing w:before="120"/>
              <w:jc w:val="center"/>
            </w:pPr>
            <w:r>
              <w:t>10</w:t>
            </w:r>
            <w:r w:rsidRPr="00165C7E">
              <w:t>00</w:t>
            </w:r>
          </w:p>
        </w:tc>
        <w:tc>
          <w:tcPr>
            <w:tcW w:w="1170" w:type="dxa"/>
            <w:tcBorders>
              <w:top w:val="single" w:sz="4" w:space="0" w:color="auto"/>
              <w:bottom w:val="nil"/>
            </w:tcBorders>
            <w:noWrap/>
            <w:hideMark/>
          </w:tcPr>
          <w:p w:rsidR="004C6AA7" w:rsidRPr="00165C7E" w:rsidRDefault="004C6AA7" w:rsidP="00E3196F">
            <w:pPr>
              <w:pStyle w:val="TX-TableText"/>
              <w:spacing w:before="120"/>
              <w:jc w:val="center"/>
            </w:pPr>
            <w:r w:rsidRPr="00165C7E">
              <w:t>1</w:t>
            </w:r>
          </w:p>
        </w:tc>
        <w:tc>
          <w:tcPr>
            <w:tcW w:w="1260" w:type="dxa"/>
            <w:tcBorders>
              <w:top w:val="single" w:sz="4" w:space="0" w:color="auto"/>
              <w:bottom w:val="nil"/>
            </w:tcBorders>
            <w:noWrap/>
            <w:hideMark/>
          </w:tcPr>
          <w:p w:rsidR="004C6AA7" w:rsidRPr="00165C7E" w:rsidRDefault="004C6AA7" w:rsidP="00E3196F">
            <w:pPr>
              <w:pStyle w:val="TX-TableText"/>
              <w:spacing w:before="120"/>
              <w:jc w:val="center"/>
            </w:pPr>
            <w:r w:rsidRPr="00165C7E">
              <w:t>2</w:t>
            </w:r>
          </w:p>
        </w:tc>
        <w:tc>
          <w:tcPr>
            <w:tcW w:w="885" w:type="dxa"/>
            <w:tcBorders>
              <w:top w:val="single" w:sz="4" w:space="0" w:color="auto"/>
              <w:bottom w:val="nil"/>
            </w:tcBorders>
            <w:noWrap/>
            <w:hideMark/>
          </w:tcPr>
          <w:p w:rsidR="004C6AA7" w:rsidRPr="00165C7E" w:rsidRDefault="004C6AA7" w:rsidP="00EF337C">
            <w:pPr>
              <w:pStyle w:val="TX-TableText"/>
              <w:spacing w:before="120"/>
              <w:jc w:val="center"/>
            </w:pPr>
            <w:r>
              <w:t>2,0</w:t>
            </w:r>
            <w:r w:rsidRPr="00165C7E">
              <w:t>00</w:t>
            </w:r>
          </w:p>
        </w:tc>
        <w:tc>
          <w:tcPr>
            <w:tcW w:w="930" w:type="dxa"/>
            <w:tcBorders>
              <w:top w:val="single" w:sz="4" w:space="0" w:color="auto"/>
              <w:bottom w:val="nil"/>
            </w:tcBorders>
            <w:noWrap/>
            <w:hideMark/>
          </w:tcPr>
          <w:p w:rsidR="004C6AA7" w:rsidRPr="00165C7E" w:rsidRDefault="004C6AA7" w:rsidP="00E3196F">
            <w:pPr>
              <w:pStyle w:val="TX-TableText"/>
              <w:spacing w:before="120"/>
              <w:jc w:val="center"/>
            </w:pPr>
            <w:r w:rsidRPr="00165C7E">
              <w:t>$16.27</w:t>
            </w:r>
          </w:p>
        </w:tc>
        <w:tc>
          <w:tcPr>
            <w:tcW w:w="1425" w:type="dxa"/>
            <w:tcBorders>
              <w:top w:val="single" w:sz="4" w:space="0" w:color="auto"/>
              <w:bottom w:val="nil"/>
            </w:tcBorders>
            <w:noWrap/>
          </w:tcPr>
          <w:p w:rsidR="004C6AA7" w:rsidRPr="00165C7E" w:rsidRDefault="004C6AA7" w:rsidP="004C6AA7">
            <w:pPr>
              <w:pStyle w:val="TX-TableText"/>
              <w:spacing w:before="120"/>
              <w:jc w:val="center"/>
            </w:pPr>
            <w:r w:rsidRPr="00165C7E">
              <w:t>$</w:t>
            </w:r>
            <w:r>
              <w:t>32</w:t>
            </w:r>
            <w:r w:rsidRPr="00165C7E">
              <w:t>,</w:t>
            </w:r>
            <w:r>
              <w:t>540</w:t>
            </w:r>
          </w:p>
        </w:tc>
      </w:tr>
      <w:tr w:rsidR="004C6AA7" w:rsidRPr="00165C7E" w:rsidTr="006E6839">
        <w:trPr>
          <w:trHeight w:val="315"/>
        </w:trPr>
        <w:tc>
          <w:tcPr>
            <w:tcW w:w="1440" w:type="dxa"/>
            <w:vMerge/>
            <w:tcBorders>
              <w:top w:val="nil"/>
              <w:bottom w:val="single" w:sz="4" w:space="0" w:color="auto"/>
            </w:tcBorders>
            <w:hideMark/>
          </w:tcPr>
          <w:p w:rsidR="004C6AA7" w:rsidRPr="00165C7E" w:rsidRDefault="004C6AA7" w:rsidP="006E6839">
            <w:pPr>
              <w:pStyle w:val="TX-TableText"/>
            </w:pPr>
          </w:p>
        </w:tc>
        <w:tc>
          <w:tcPr>
            <w:tcW w:w="1340" w:type="dxa"/>
            <w:tcBorders>
              <w:top w:val="nil"/>
              <w:bottom w:val="single" w:sz="4" w:space="0" w:color="auto"/>
            </w:tcBorders>
            <w:hideMark/>
          </w:tcPr>
          <w:p w:rsidR="004C6AA7" w:rsidRPr="00165C7E" w:rsidRDefault="004C6AA7" w:rsidP="00E3196F">
            <w:pPr>
              <w:pStyle w:val="TX-TableText"/>
              <w:jc w:val="center"/>
            </w:pPr>
            <w:r w:rsidRPr="00165C7E">
              <w:t>Youth</w:t>
            </w:r>
          </w:p>
        </w:tc>
        <w:tc>
          <w:tcPr>
            <w:tcW w:w="1360" w:type="dxa"/>
            <w:tcBorders>
              <w:top w:val="nil"/>
              <w:bottom w:val="single" w:sz="4" w:space="0" w:color="auto"/>
            </w:tcBorders>
            <w:noWrap/>
            <w:hideMark/>
          </w:tcPr>
          <w:p w:rsidR="004C6AA7" w:rsidRPr="00165C7E" w:rsidRDefault="004C6AA7" w:rsidP="00EF337C">
            <w:pPr>
              <w:pStyle w:val="TX-TableText"/>
              <w:jc w:val="center"/>
            </w:pPr>
            <w:r>
              <w:t>10</w:t>
            </w:r>
            <w:r w:rsidRPr="00165C7E">
              <w:t>00</w:t>
            </w:r>
          </w:p>
        </w:tc>
        <w:tc>
          <w:tcPr>
            <w:tcW w:w="1170" w:type="dxa"/>
            <w:tcBorders>
              <w:top w:val="nil"/>
              <w:bottom w:val="single" w:sz="4" w:space="0" w:color="auto"/>
            </w:tcBorders>
            <w:noWrap/>
            <w:hideMark/>
          </w:tcPr>
          <w:p w:rsidR="004C6AA7" w:rsidRPr="00165C7E" w:rsidRDefault="004C6AA7" w:rsidP="00E3196F">
            <w:pPr>
              <w:pStyle w:val="TX-TableText"/>
              <w:jc w:val="center"/>
            </w:pPr>
            <w:r w:rsidRPr="00165C7E">
              <w:t>1</w:t>
            </w:r>
          </w:p>
        </w:tc>
        <w:tc>
          <w:tcPr>
            <w:tcW w:w="1260" w:type="dxa"/>
            <w:tcBorders>
              <w:top w:val="nil"/>
              <w:bottom w:val="single" w:sz="4" w:space="0" w:color="auto"/>
            </w:tcBorders>
            <w:noWrap/>
            <w:hideMark/>
          </w:tcPr>
          <w:p w:rsidR="004C6AA7" w:rsidRPr="00165C7E" w:rsidRDefault="004C6AA7" w:rsidP="00E3196F">
            <w:pPr>
              <w:pStyle w:val="TX-TableText"/>
              <w:jc w:val="center"/>
            </w:pPr>
          </w:p>
          <w:p w:rsidR="004C6AA7" w:rsidRPr="00165C7E" w:rsidRDefault="004C6AA7" w:rsidP="00E3196F">
            <w:pPr>
              <w:pStyle w:val="TX-TableText"/>
              <w:jc w:val="center"/>
            </w:pPr>
            <w:r w:rsidRPr="00165C7E">
              <w:t>2</w:t>
            </w:r>
          </w:p>
        </w:tc>
        <w:tc>
          <w:tcPr>
            <w:tcW w:w="885" w:type="dxa"/>
            <w:tcBorders>
              <w:top w:val="nil"/>
              <w:bottom w:val="single" w:sz="4" w:space="0" w:color="auto"/>
            </w:tcBorders>
            <w:noWrap/>
            <w:hideMark/>
          </w:tcPr>
          <w:p w:rsidR="004C6AA7" w:rsidRPr="00165C7E" w:rsidRDefault="004C6AA7" w:rsidP="00EF337C">
            <w:pPr>
              <w:pStyle w:val="TX-TableText"/>
              <w:jc w:val="center"/>
            </w:pPr>
            <w:r>
              <w:t>2</w:t>
            </w:r>
            <w:r w:rsidRPr="00165C7E">
              <w:t>,</w:t>
            </w:r>
            <w:r>
              <w:t>0</w:t>
            </w:r>
            <w:r w:rsidRPr="00165C7E">
              <w:t>00</w:t>
            </w:r>
          </w:p>
        </w:tc>
        <w:tc>
          <w:tcPr>
            <w:tcW w:w="930" w:type="dxa"/>
            <w:tcBorders>
              <w:top w:val="nil"/>
              <w:bottom w:val="single" w:sz="4" w:space="0" w:color="auto"/>
            </w:tcBorders>
            <w:noWrap/>
            <w:hideMark/>
          </w:tcPr>
          <w:p w:rsidR="004C6AA7" w:rsidRPr="00165C7E" w:rsidRDefault="004C6AA7" w:rsidP="00E3196F">
            <w:pPr>
              <w:pStyle w:val="TX-TableText"/>
              <w:jc w:val="center"/>
            </w:pPr>
            <w:r w:rsidRPr="00165C7E">
              <w:t>$7.25</w:t>
            </w:r>
          </w:p>
        </w:tc>
        <w:tc>
          <w:tcPr>
            <w:tcW w:w="1425" w:type="dxa"/>
            <w:tcBorders>
              <w:top w:val="nil"/>
              <w:bottom w:val="single" w:sz="4" w:space="0" w:color="auto"/>
            </w:tcBorders>
            <w:noWrap/>
          </w:tcPr>
          <w:p w:rsidR="004C6AA7" w:rsidRPr="00165C7E" w:rsidRDefault="004C6AA7" w:rsidP="004C6AA7">
            <w:pPr>
              <w:pStyle w:val="TX-TableText"/>
              <w:jc w:val="center"/>
            </w:pPr>
            <w:r w:rsidRPr="00165C7E">
              <w:t>$1</w:t>
            </w:r>
            <w:r>
              <w:t>4</w:t>
            </w:r>
            <w:r w:rsidRPr="00165C7E">
              <w:t>,</w:t>
            </w:r>
            <w:r>
              <w:t>5</w:t>
            </w:r>
            <w:r w:rsidRPr="00165C7E">
              <w:t>00</w:t>
            </w:r>
          </w:p>
        </w:tc>
      </w:tr>
      <w:tr w:rsidR="004C6AA7" w:rsidRPr="00165C7E" w:rsidTr="002279B4">
        <w:trPr>
          <w:trHeight w:val="315"/>
        </w:trPr>
        <w:tc>
          <w:tcPr>
            <w:tcW w:w="1440" w:type="dxa"/>
            <w:tcBorders>
              <w:top w:val="single" w:sz="4" w:space="0" w:color="auto"/>
              <w:bottom w:val="single" w:sz="4" w:space="0" w:color="auto"/>
            </w:tcBorders>
          </w:tcPr>
          <w:p w:rsidR="004C6AA7" w:rsidRPr="00165C7E" w:rsidRDefault="004C6AA7" w:rsidP="002279B4">
            <w:pPr>
              <w:pStyle w:val="TX-TableText"/>
            </w:pPr>
            <w:r>
              <w:t>Biospecimen collection</w:t>
            </w:r>
          </w:p>
        </w:tc>
        <w:tc>
          <w:tcPr>
            <w:tcW w:w="1340" w:type="dxa"/>
            <w:tcBorders>
              <w:top w:val="single" w:sz="4" w:space="0" w:color="auto"/>
              <w:bottom w:val="single" w:sz="4" w:space="0" w:color="auto"/>
            </w:tcBorders>
          </w:tcPr>
          <w:p w:rsidR="004C6AA7" w:rsidRPr="00165C7E" w:rsidRDefault="004C6AA7" w:rsidP="004C6AA7">
            <w:pPr>
              <w:pStyle w:val="TX-TableText"/>
              <w:spacing w:before="120"/>
              <w:jc w:val="center"/>
            </w:pPr>
            <w:r w:rsidRPr="00165C7E">
              <w:t>Adults</w:t>
            </w:r>
          </w:p>
        </w:tc>
        <w:tc>
          <w:tcPr>
            <w:tcW w:w="1360" w:type="dxa"/>
            <w:tcBorders>
              <w:top w:val="single" w:sz="4" w:space="0" w:color="auto"/>
              <w:bottom w:val="single" w:sz="4" w:space="0" w:color="auto"/>
            </w:tcBorders>
            <w:noWrap/>
          </w:tcPr>
          <w:p w:rsidR="004C6AA7" w:rsidRPr="00165C7E" w:rsidRDefault="004C6AA7" w:rsidP="00EF337C">
            <w:pPr>
              <w:pStyle w:val="TX-TableText"/>
              <w:spacing w:before="120"/>
              <w:jc w:val="center"/>
            </w:pPr>
            <w:r>
              <w:t>1,000</w:t>
            </w:r>
          </w:p>
        </w:tc>
        <w:tc>
          <w:tcPr>
            <w:tcW w:w="1170" w:type="dxa"/>
            <w:tcBorders>
              <w:top w:val="single" w:sz="4" w:space="0" w:color="auto"/>
              <w:bottom w:val="single" w:sz="4" w:space="0" w:color="auto"/>
            </w:tcBorders>
            <w:noWrap/>
          </w:tcPr>
          <w:p w:rsidR="004C6AA7" w:rsidRPr="00165C7E" w:rsidRDefault="004C6AA7" w:rsidP="004C6AA7">
            <w:pPr>
              <w:pStyle w:val="TX-TableText"/>
              <w:spacing w:before="120"/>
              <w:jc w:val="center"/>
            </w:pPr>
            <w:r>
              <w:t>1</w:t>
            </w:r>
          </w:p>
        </w:tc>
        <w:tc>
          <w:tcPr>
            <w:tcW w:w="1260" w:type="dxa"/>
            <w:tcBorders>
              <w:top w:val="single" w:sz="4" w:space="0" w:color="auto"/>
              <w:bottom w:val="single" w:sz="4" w:space="0" w:color="auto"/>
            </w:tcBorders>
            <w:noWrap/>
          </w:tcPr>
          <w:p w:rsidR="004C6AA7" w:rsidRPr="00A954A5" w:rsidRDefault="004C6AA7" w:rsidP="00E3196F">
            <w:pPr>
              <w:pStyle w:val="TX-TableText"/>
              <w:spacing w:before="120"/>
              <w:jc w:val="center"/>
              <w:rPr>
                <w:sz w:val="24"/>
                <w:szCs w:val="24"/>
              </w:rPr>
            </w:pPr>
            <w:r w:rsidRPr="00A954A5">
              <w:rPr>
                <w:sz w:val="24"/>
                <w:szCs w:val="24"/>
                <w:vertAlign w:val="superscript"/>
              </w:rPr>
              <w:t>15/60</w:t>
            </w:r>
          </w:p>
        </w:tc>
        <w:tc>
          <w:tcPr>
            <w:tcW w:w="885" w:type="dxa"/>
            <w:tcBorders>
              <w:top w:val="single" w:sz="4" w:space="0" w:color="auto"/>
              <w:bottom w:val="single" w:sz="4" w:space="0" w:color="auto"/>
            </w:tcBorders>
            <w:noWrap/>
          </w:tcPr>
          <w:p w:rsidR="004C6AA7" w:rsidRPr="00165C7E" w:rsidRDefault="004C6AA7" w:rsidP="00EF337C">
            <w:pPr>
              <w:pStyle w:val="TX-TableText"/>
              <w:spacing w:before="120"/>
              <w:jc w:val="center"/>
            </w:pPr>
            <w:r>
              <w:t>250</w:t>
            </w:r>
          </w:p>
        </w:tc>
        <w:tc>
          <w:tcPr>
            <w:tcW w:w="930" w:type="dxa"/>
            <w:tcBorders>
              <w:top w:val="single" w:sz="4" w:space="0" w:color="auto"/>
              <w:bottom w:val="single" w:sz="4" w:space="0" w:color="auto"/>
            </w:tcBorders>
            <w:noWrap/>
          </w:tcPr>
          <w:p w:rsidR="004C6AA7" w:rsidRPr="00165C7E" w:rsidRDefault="004C6AA7" w:rsidP="00E3196F">
            <w:pPr>
              <w:pStyle w:val="TX-TableText"/>
              <w:spacing w:before="120"/>
              <w:jc w:val="center"/>
            </w:pPr>
            <w:r>
              <w:t>$16.27</w:t>
            </w:r>
          </w:p>
        </w:tc>
        <w:tc>
          <w:tcPr>
            <w:tcW w:w="1425" w:type="dxa"/>
            <w:tcBorders>
              <w:top w:val="single" w:sz="4" w:space="0" w:color="auto"/>
              <w:bottom w:val="single" w:sz="4" w:space="0" w:color="auto"/>
            </w:tcBorders>
            <w:noWrap/>
          </w:tcPr>
          <w:p w:rsidR="004C6AA7" w:rsidRPr="00165C7E" w:rsidRDefault="004C6AA7" w:rsidP="00E3196F">
            <w:pPr>
              <w:pStyle w:val="TX-TableText"/>
              <w:spacing w:before="120"/>
              <w:jc w:val="center"/>
            </w:pPr>
            <w:r>
              <w:t>$4,068</w:t>
            </w:r>
          </w:p>
        </w:tc>
      </w:tr>
      <w:tr w:rsidR="004C6AA7" w:rsidRPr="00165C7E" w:rsidTr="006E6839">
        <w:trPr>
          <w:trHeight w:val="315"/>
        </w:trPr>
        <w:tc>
          <w:tcPr>
            <w:tcW w:w="1440" w:type="dxa"/>
            <w:tcBorders>
              <w:top w:val="single" w:sz="4" w:space="0" w:color="auto"/>
              <w:bottom w:val="single" w:sz="4" w:space="0" w:color="auto"/>
            </w:tcBorders>
            <w:hideMark/>
          </w:tcPr>
          <w:p w:rsidR="004C6AA7" w:rsidRPr="00165C7E" w:rsidRDefault="004C6AA7" w:rsidP="006E6839">
            <w:pPr>
              <w:pStyle w:val="TX-TableText"/>
            </w:pPr>
            <w:r w:rsidRPr="00165C7E">
              <w:t>TOTAL</w:t>
            </w:r>
          </w:p>
        </w:tc>
        <w:tc>
          <w:tcPr>
            <w:tcW w:w="1340" w:type="dxa"/>
            <w:tcBorders>
              <w:top w:val="single" w:sz="4" w:space="0" w:color="auto"/>
              <w:bottom w:val="single" w:sz="4" w:space="0" w:color="auto"/>
            </w:tcBorders>
            <w:hideMark/>
          </w:tcPr>
          <w:p w:rsidR="004C6AA7" w:rsidRPr="00165C7E" w:rsidRDefault="004C6AA7" w:rsidP="00E3196F">
            <w:pPr>
              <w:pStyle w:val="TX-TableText"/>
              <w:jc w:val="center"/>
            </w:pPr>
          </w:p>
        </w:tc>
        <w:tc>
          <w:tcPr>
            <w:tcW w:w="1360" w:type="dxa"/>
            <w:tcBorders>
              <w:top w:val="single" w:sz="4" w:space="0" w:color="auto"/>
              <w:bottom w:val="single" w:sz="4" w:space="0" w:color="auto"/>
            </w:tcBorders>
            <w:noWrap/>
            <w:hideMark/>
          </w:tcPr>
          <w:p w:rsidR="004C6AA7" w:rsidRPr="00165C7E" w:rsidRDefault="004C6AA7" w:rsidP="00EF337C">
            <w:pPr>
              <w:pStyle w:val="TX-TableText"/>
              <w:jc w:val="center"/>
            </w:pPr>
            <w:r>
              <w:t>20</w:t>
            </w:r>
            <w:r w:rsidRPr="00165C7E">
              <w:t>,</w:t>
            </w:r>
            <w:r>
              <w:t>0</w:t>
            </w:r>
            <w:r w:rsidRPr="00165C7E">
              <w:t>00</w:t>
            </w:r>
          </w:p>
        </w:tc>
        <w:tc>
          <w:tcPr>
            <w:tcW w:w="1170" w:type="dxa"/>
            <w:tcBorders>
              <w:top w:val="single" w:sz="4" w:space="0" w:color="auto"/>
              <w:bottom w:val="single" w:sz="4" w:space="0" w:color="auto"/>
            </w:tcBorders>
            <w:noWrap/>
            <w:hideMark/>
          </w:tcPr>
          <w:p w:rsidR="004C6AA7" w:rsidRPr="00165C7E" w:rsidRDefault="004C6AA7" w:rsidP="00E3196F">
            <w:pPr>
              <w:pStyle w:val="TX-TableText"/>
              <w:jc w:val="center"/>
            </w:pPr>
          </w:p>
        </w:tc>
        <w:tc>
          <w:tcPr>
            <w:tcW w:w="1260" w:type="dxa"/>
            <w:tcBorders>
              <w:top w:val="single" w:sz="4" w:space="0" w:color="auto"/>
              <w:bottom w:val="single" w:sz="4" w:space="0" w:color="auto"/>
            </w:tcBorders>
            <w:noWrap/>
            <w:hideMark/>
          </w:tcPr>
          <w:p w:rsidR="004C6AA7" w:rsidRPr="00165C7E" w:rsidRDefault="004C6AA7" w:rsidP="00E3196F">
            <w:pPr>
              <w:pStyle w:val="TX-TableText"/>
              <w:jc w:val="center"/>
            </w:pPr>
          </w:p>
        </w:tc>
        <w:tc>
          <w:tcPr>
            <w:tcW w:w="885" w:type="dxa"/>
            <w:tcBorders>
              <w:top w:val="single" w:sz="4" w:space="0" w:color="auto"/>
              <w:bottom w:val="single" w:sz="4" w:space="0" w:color="auto"/>
            </w:tcBorders>
            <w:noWrap/>
            <w:hideMark/>
          </w:tcPr>
          <w:p w:rsidR="004C6AA7" w:rsidRPr="00165C7E" w:rsidRDefault="004C6AA7" w:rsidP="00EF337C">
            <w:pPr>
              <w:pStyle w:val="TX-TableText"/>
              <w:jc w:val="center"/>
            </w:pPr>
            <w:r>
              <w:t>29</w:t>
            </w:r>
            <w:r w:rsidRPr="00165C7E">
              <w:t>,</w:t>
            </w:r>
            <w:r>
              <w:t>750</w:t>
            </w:r>
          </w:p>
        </w:tc>
        <w:tc>
          <w:tcPr>
            <w:tcW w:w="930" w:type="dxa"/>
            <w:tcBorders>
              <w:top w:val="single" w:sz="4" w:space="0" w:color="auto"/>
              <w:bottom w:val="single" w:sz="4" w:space="0" w:color="auto"/>
            </w:tcBorders>
            <w:noWrap/>
            <w:hideMark/>
          </w:tcPr>
          <w:p w:rsidR="004C6AA7" w:rsidRPr="00165C7E" w:rsidRDefault="004C6AA7" w:rsidP="00E3196F">
            <w:pPr>
              <w:pStyle w:val="TX-TableText"/>
              <w:jc w:val="center"/>
            </w:pPr>
          </w:p>
        </w:tc>
        <w:tc>
          <w:tcPr>
            <w:tcW w:w="1425" w:type="dxa"/>
            <w:tcBorders>
              <w:top w:val="single" w:sz="4" w:space="0" w:color="auto"/>
              <w:bottom w:val="single" w:sz="4" w:space="0" w:color="auto"/>
            </w:tcBorders>
            <w:noWrap/>
          </w:tcPr>
          <w:p w:rsidR="004C6AA7" w:rsidRPr="00165C7E" w:rsidRDefault="004C6AA7" w:rsidP="005F0225">
            <w:pPr>
              <w:pStyle w:val="TX-TableText"/>
              <w:jc w:val="center"/>
            </w:pPr>
            <w:r w:rsidRPr="00165C7E">
              <w:t>$</w:t>
            </w:r>
            <w:r>
              <w:t>371</w:t>
            </w:r>
            <w:r w:rsidRPr="00165C7E">
              <w:t>,</w:t>
            </w:r>
            <w:r>
              <w:t>28</w:t>
            </w:r>
            <w:r w:rsidR="005F0225">
              <w:t>4</w:t>
            </w:r>
          </w:p>
        </w:tc>
      </w:tr>
    </w:tbl>
    <w:p w:rsidR="0095550A" w:rsidRPr="00165C7E" w:rsidRDefault="0095550A" w:rsidP="006E6839">
      <w:pPr>
        <w:pStyle w:val="L1-FlLSp12"/>
      </w:pPr>
    </w:p>
    <w:p w:rsidR="00A23708" w:rsidRPr="00165C7E" w:rsidRDefault="006C72BD" w:rsidP="006E6839">
      <w:pPr>
        <w:pStyle w:val="L1-FlLSp12"/>
      </w:pPr>
      <w:r w:rsidRPr="00165C7E">
        <w:t xml:space="preserve">The estimates for hourly wage of adult </w:t>
      </w:r>
      <w:r w:rsidR="000123DB" w:rsidRPr="00165C7E">
        <w:t>participants</w:t>
      </w:r>
      <w:r w:rsidRPr="00165C7E">
        <w:t xml:space="preserve"> </w:t>
      </w:r>
      <w:r w:rsidR="007B799C" w:rsidRPr="00165C7E">
        <w:t>are</w:t>
      </w:r>
      <w:r w:rsidRPr="00165C7E">
        <w:t xml:space="preserve"> based on the national median hourly estimate for all occupations reported in the Bureau of Labor Statistics’ Occupational Employment Statistics, May 2010 National Occupational Employment and Wage Estimates United States.</w:t>
      </w:r>
      <w:r w:rsidR="00A23708" w:rsidRPr="00165C7E">
        <w:t xml:space="preserve"> </w:t>
      </w:r>
      <w:r w:rsidRPr="00165C7E">
        <w:t xml:space="preserve">See </w:t>
      </w:r>
      <w:hyperlink r:id="rId12" w:history="1">
        <w:r w:rsidRPr="00165C7E">
          <w:rPr>
            <w:rStyle w:val="Hyperlink"/>
          </w:rPr>
          <w:t>http://www.bls.gov/oes/current/oes_nat.htm</w:t>
        </w:r>
      </w:hyperlink>
      <w:r w:rsidRPr="00165C7E">
        <w:t>.</w:t>
      </w:r>
      <w:r w:rsidR="00A23708" w:rsidRPr="00165C7E">
        <w:t xml:space="preserve"> </w:t>
      </w:r>
      <w:r w:rsidRPr="00165C7E">
        <w:t>Estimates for youth hourly wages are based on the federal minimum wage.</w:t>
      </w:r>
      <w:r w:rsidR="00A23708" w:rsidRPr="00165C7E">
        <w:t xml:space="preserve"> </w:t>
      </w:r>
      <w:r w:rsidRPr="00165C7E">
        <w:t xml:space="preserve">See </w:t>
      </w:r>
      <w:hyperlink r:id="rId13" w:history="1">
        <w:r w:rsidRPr="00165C7E">
          <w:rPr>
            <w:rStyle w:val="Hyperlink"/>
          </w:rPr>
          <w:t>http://www.dol.gov/dol/topic/wages/minimumwage.htm</w:t>
        </w:r>
      </w:hyperlink>
      <w:r w:rsidRPr="00165C7E">
        <w:t>.</w:t>
      </w:r>
    </w:p>
    <w:p w:rsidR="006C72BD" w:rsidRPr="00165C7E" w:rsidRDefault="006C72BD" w:rsidP="006E6839">
      <w:pPr>
        <w:pStyle w:val="L1-FlLSp12"/>
      </w:pPr>
    </w:p>
    <w:p w:rsidR="00A23708" w:rsidRPr="00165C7E" w:rsidRDefault="00A23708" w:rsidP="006E6839">
      <w:pPr>
        <w:pStyle w:val="L1-FlLSp12"/>
      </w:pPr>
    </w:p>
    <w:p w:rsidR="00F97985" w:rsidRPr="00165C7E" w:rsidRDefault="00F97985" w:rsidP="006E6839">
      <w:pPr>
        <w:pStyle w:val="Heading2"/>
      </w:pPr>
      <w:r w:rsidRPr="00165C7E">
        <w:t>A.13</w:t>
      </w:r>
      <w:r w:rsidRPr="00165C7E">
        <w:tab/>
        <w:t xml:space="preserve">Estimate of Other Total Annual Cost Burden </w:t>
      </w:r>
      <w:r w:rsidR="00DE245D" w:rsidRPr="00165C7E">
        <w:t xml:space="preserve">to Respondents </w:t>
      </w:r>
      <w:r w:rsidRPr="00165C7E">
        <w:t>or Record Keepers</w:t>
      </w:r>
    </w:p>
    <w:p w:rsidR="00F97985" w:rsidRPr="00165C7E" w:rsidRDefault="00F97985" w:rsidP="006E6839">
      <w:pPr>
        <w:pStyle w:val="L1-FlLSp12"/>
      </w:pPr>
      <w:r w:rsidRPr="00165C7E">
        <w:t xml:space="preserve">There is no other annual cost burden to respondents or </w:t>
      </w:r>
      <w:r w:rsidR="00665A6C" w:rsidRPr="00165C7E">
        <w:t>r</w:t>
      </w:r>
      <w:r w:rsidRPr="00165C7E">
        <w:t xml:space="preserve">ecord </w:t>
      </w:r>
      <w:r w:rsidR="00665A6C" w:rsidRPr="00165C7E">
        <w:t>k</w:t>
      </w:r>
      <w:r w:rsidRPr="00165C7E">
        <w:t>eepers in this survey. There are no capital, operation</w:t>
      </w:r>
      <w:r w:rsidR="00665A6C" w:rsidRPr="00165C7E">
        <w:t>,</w:t>
      </w:r>
      <w:r w:rsidRPr="00165C7E">
        <w:t xml:space="preserve"> or maintenance costs for the </w:t>
      </w:r>
      <w:r w:rsidR="00661302" w:rsidRPr="00165C7E">
        <w:t>PATH Study</w:t>
      </w:r>
      <w:r w:rsidRPr="00165C7E">
        <w:t>.</w:t>
      </w:r>
    </w:p>
    <w:p w:rsidR="000E5E5F" w:rsidRPr="00165C7E" w:rsidRDefault="000E5E5F" w:rsidP="006E6839">
      <w:pPr>
        <w:pStyle w:val="L1-FlLSp12"/>
      </w:pPr>
    </w:p>
    <w:p w:rsidR="000E5E5F" w:rsidRPr="00165C7E" w:rsidRDefault="000E5E5F" w:rsidP="006E6839">
      <w:pPr>
        <w:pStyle w:val="L1-FlLSp12"/>
      </w:pPr>
    </w:p>
    <w:p w:rsidR="00F97985" w:rsidRPr="00165C7E" w:rsidRDefault="00F97985" w:rsidP="006E6839">
      <w:pPr>
        <w:pStyle w:val="Heading2"/>
      </w:pPr>
      <w:r w:rsidRPr="00165C7E">
        <w:lastRenderedPageBreak/>
        <w:t>A.14</w:t>
      </w:r>
      <w:r w:rsidRPr="00165C7E">
        <w:tab/>
        <w:t>Annualized Cost to the Federal Government</w:t>
      </w:r>
    </w:p>
    <w:p w:rsidR="00956A8D" w:rsidRPr="00165C7E" w:rsidRDefault="00956A8D" w:rsidP="006E6839">
      <w:pPr>
        <w:pStyle w:val="L1-FlLSp12"/>
      </w:pPr>
      <w:r w:rsidRPr="00165C7E">
        <w:t xml:space="preserve">The cost to the Federal government for oversight of the methodological studies of the </w:t>
      </w:r>
      <w:r w:rsidR="00661302" w:rsidRPr="00165C7E">
        <w:t>PATH Study</w:t>
      </w:r>
      <w:r w:rsidR="00025C20" w:rsidRPr="00165C7E">
        <w:t xml:space="preserve"> is $</w:t>
      </w:r>
      <w:r w:rsidR="00433B52">
        <w:t>1,392,</w:t>
      </w:r>
      <w:r w:rsidRPr="00165C7E">
        <w:t>000 for all 3 years or $</w:t>
      </w:r>
      <w:r w:rsidR="00433B52">
        <w:t>464</w:t>
      </w:r>
      <w:r w:rsidRPr="00165C7E">
        <w:t xml:space="preserve">,000 annually. This estimate is based on the mean loaded salary (average of $116,000) of </w:t>
      </w:r>
      <w:r w:rsidR="00433B52">
        <w:t>four</w:t>
      </w:r>
      <w:r w:rsidR="00025C20" w:rsidRPr="00165C7E">
        <w:t xml:space="preserve"> </w:t>
      </w:r>
      <w:r w:rsidRPr="00165C7E">
        <w:t>FTE Federal government employee</w:t>
      </w:r>
      <w:r w:rsidR="00433B52">
        <w:t>s</w:t>
      </w:r>
      <w:r w:rsidRPr="00165C7E">
        <w:t xml:space="preserve"> responsible for overseeing this work. In addition, contractor expenses for conducting the methodological studies of the </w:t>
      </w:r>
      <w:r w:rsidR="00661302" w:rsidRPr="00165C7E">
        <w:t>PATH Study</w:t>
      </w:r>
      <w:r w:rsidRPr="00165C7E">
        <w:t xml:space="preserve"> </w:t>
      </w:r>
      <w:r w:rsidR="00661302" w:rsidRPr="00165C7E">
        <w:t>are</w:t>
      </w:r>
      <w:r w:rsidRPr="00165C7E">
        <w:t xml:space="preserve"> estimated to be</w:t>
      </w:r>
      <w:r w:rsidR="00D0737E" w:rsidRPr="00165C7E">
        <w:t xml:space="preserve"> $2,292,000 or </w:t>
      </w:r>
      <w:r w:rsidR="003B111C" w:rsidRPr="00165C7E">
        <w:t>$</w:t>
      </w:r>
      <w:r w:rsidR="0080416E" w:rsidRPr="00165C7E">
        <w:t>76</w:t>
      </w:r>
      <w:r w:rsidR="00FA3174" w:rsidRPr="00165C7E">
        <w:t>4</w:t>
      </w:r>
      <w:r w:rsidR="0080416E" w:rsidRPr="00165C7E">
        <w:t>,</w:t>
      </w:r>
      <w:r w:rsidR="00FA3174" w:rsidRPr="00165C7E">
        <w:t>000</w:t>
      </w:r>
      <w:r w:rsidR="00D0737E" w:rsidRPr="00165C7E">
        <w:t xml:space="preserve"> annually</w:t>
      </w:r>
      <w:r w:rsidR="0080416E" w:rsidRPr="00165C7E">
        <w:t>.</w:t>
      </w:r>
      <w:r w:rsidRPr="00165C7E">
        <w:t xml:space="preserve"> These costs are for</w:t>
      </w:r>
      <w:r w:rsidR="003B111C" w:rsidRPr="00165C7E">
        <w:t>:</w:t>
      </w:r>
      <w:r w:rsidRPr="00165C7E">
        <w:t xml:space="preserve"> </w:t>
      </w:r>
      <w:r w:rsidR="003B111C" w:rsidRPr="00165C7E">
        <w:t>study design; development</w:t>
      </w:r>
      <w:r w:rsidR="00DF4569" w:rsidRPr="00165C7E">
        <w:t xml:space="preserve"> of</w:t>
      </w:r>
      <w:r w:rsidR="003B111C" w:rsidRPr="00165C7E">
        <w:t xml:space="preserve"> data collection materials and instruments; </w:t>
      </w:r>
      <w:r w:rsidRPr="00165C7E">
        <w:t>participant recruitment</w:t>
      </w:r>
      <w:r w:rsidR="003B111C" w:rsidRPr="00165C7E">
        <w:t>;</w:t>
      </w:r>
      <w:r w:rsidRPr="00165C7E">
        <w:t xml:space="preserve"> </w:t>
      </w:r>
      <w:r w:rsidR="003B111C" w:rsidRPr="00165C7E">
        <w:t xml:space="preserve">data collection; </w:t>
      </w:r>
      <w:r w:rsidRPr="00165C7E">
        <w:t>incentives</w:t>
      </w:r>
      <w:r w:rsidR="003B111C" w:rsidRPr="00165C7E">
        <w:t xml:space="preserve"> for participation;</w:t>
      </w:r>
      <w:r w:rsidRPr="00165C7E">
        <w:t xml:space="preserve"> </w:t>
      </w:r>
      <w:r w:rsidR="003B111C" w:rsidRPr="00165C7E">
        <w:t>data analysis;</w:t>
      </w:r>
      <w:r w:rsidRPr="00165C7E">
        <w:t xml:space="preserve"> and reporting of results. All of the costs to the Federal government are a subset of the cost of the entire </w:t>
      </w:r>
      <w:r w:rsidR="00661302" w:rsidRPr="00165C7E">
        <w:t>PATH Study</w:t>
      </w:r>
      <w:r w:rsidRPr="00165C7E">
        <w:t>, and are not an addition.</w:t>
      </w:r>
      <w:r w:rsidR="006E6839" w:rsidRPr="00165C7E">
        <w:t xml:space="preserve"> </w:t>
      </w:r>
      <w:r w:rsidR="00FA3174" w:rsidRPr="00165C7E">
        <w:t xml:space="preserve">An </w:t>
      </w:r>
      <w:r w:rsidR="008A1C6D" w:rsidRPr="00165C7E">
        <w:t xml:space="preserve">additional </w:t>
      </w:r>
      <w:r w:rsidR="004427DA" w:rsidRPr="00165C7E">
        <w:t>$</w:t>
      </w:r>
      <w:r w:rsidR="00C134FC" w:rsidRPr="00165C7E">
        <w:t xml:space="preserve">340,000 </w:t>
      </w:r>
      <w:r w:rsidR="00FA3174" w:rsidRPr="00165C7E">
        <w:t>of government funds could be allocated for contractor expenses to conduct these methodological studies if necessary as part of the prime contractor’s contract with the government.</w:t>
      </w:r>
      <w:r w:rsidR="006E6839" w:rsidRPr="00165C7E">
        <w:t xml:space="preserve"> </w:t>
      </w:r>
      <w:r w:rsidR="00FA3174" w:rsidRPr="00165C7E">
        <w:t xml:space="preserve">These funds are in addition to the </w:t>
      </w:r>
      <w:r w:rsidR="00661302" w:rsidRPr="00165C7E">
        <w:t>PATH Study</w:t>
      </w:r>
      <w:r w:rsidR="00FA3174" w:rsidRPr="00165C7E">
        <w:t>.</w:t>
      </w:r>
    </w:p>
    <w:p w:rsidR="00FA3174" w:rsidRPr="00165C7E" w:rsidRDefault="00FA3174" w:rsidP="006E6839">
      <w:pPr>
        <w:pStyle w:val="L1-FlLSp12"/>
      </w:pPr>
    </w:p>
    <w:p w:rsidR="00FA3174" w:rsidRPr="00165C7E" w:rsidRDefault="00FA3174" w:rsidP="006E6839">
      <w:pPr>
        <w:pStyle w:val="L1-FlLSp12"/>
      </w:pPr>
    </w:p>
    <w:p w:rsidR="00446941" w:rsidRPr="00165C7E" w:rsidRDefault="00446941" w:rsidP="006E6839">
      <w:pPr>
        <w:pStyle w:val="Heading2"/>
      </w:pPr>
      <w:r w:rsidRPr="00165C7E">
        <w:t>A.15</w:t>
      </w:r>
      <w:r w:rsidRPr="00165C7E">
        <w:tab/>
        <w:t xml:space="preserve">Explanation for Program Changes or </w:t>
      </w:r>
      <w:r w:rsidR="002843D6" w:rsidRPr="00165C7E">
        <w:t>Adjustments</w:t>
      </w:r>
    </w:p>
    <w:p w:rsidR="00446941" w:rsidRPr="00165C7E" w:rsidRDefault="00446941" w:rsidP="006E6839">
      <w:pPr>
        <w:pStyle w:val="L1-FlLSp12"/>
      </w:pPr>
      <w:r w:rsidRPr="00165C7E">
        <w:t>This is a new collection of information.</w:t>
      </w:r>
    </w:p>
    <w:p w:rsidR="00446941" w:rsidRPr="00165C7E" w:rsidRDefault="00446941" w:rsidP="006E6839">
      <w:pPr>
        <w:pStyle w:val="L1-FlLSp12"/>
      </w:pPr>
    </w:p>
    <w:p w:rsidR="00A23708" w:rsidRPr="00165C7E" w:rsidRDefault="00A23708" w:rsidP="006E6839">
      <w:pPr>
        <w:pStyle w:val="L1-FlLSp12"/>
      </w:pPr>
    </w:p>
    <w:p w:rsidR="00A23708" w:rsidRPr="00165C7E" w:rsidRDefault="00446941" w:rsidP="006E6839">
      <w:pPr>
        <w:pStyle w:val="Heading2"/>
      </w:pPr>
      <w:r w:rsidRPr="00165C7E">
        <w:t>A.16</w:t>
      </w:r>
      <w:r w:rsidRPr="00165C7E">
        <w:tab/>
        <w:t>Plans for Tabulation and Publication and Project Time Schedule</w:t>
      </w:r>
    </w:p>
    <w:p w:rsidR="00410B8D" w:rsidRPr="00165C7E" w:rsidRDefault="00410B8D" w:rsidP="006E6839">
      <w:pPr>
        <w:pStyle w:val="L1-FlLSp12"/>
      </w:pPr>
      <w:r w:rsidRPr="00165C7E">
        <w:t xml:space="preserve">Due to the nature of this clearance, there is no definite or tentative time schedule at this point. </w:t>
      </w:r>
      <w:r w:rsidR="00280668">
        <w:t xml:space="preserve">Studies to be conducted under this generic clearance are expected </w:t>
      </w:r>
      <w:r w:rsidRPr="00165C7E">
        <w:t xml:space="preserve">to continue </w:t>
      </w:r>
      <w:r w:rsidR="00280668">
        <w:t xml:space="preserve">until the </w:t>
      </w:r>
      <w:r w:rsidR="00551B43">
        <w:t xml:space="preserve">OMB approval </w:t>
      </w:r>
      <w:r w:rsidR="00280668">
        <w:t>expiration date</w:t>
      </w:r>
      <w:r w:rsidR="00551B43">
        <w:t xml:space="preserve">. </w:t>
      </w:r>
      <w:r w:rsidR="006E6839" w:rsidRPr="00165C7E">
        <w:t xml:space="preserve"> </w:t>
      </w:r>
      <w:r w:rsidR="00551B43">
        <w:t xml:space="preserve">Each study submitted under this generic information clearance request will include a corresponding </w:t>
      </w:r>
      <w:r w:rsidRPr="00165C7E">
        <w:t xml:space="preserve">schedule for </w:t>
      </w:r>
      <w:r w:rsidR="00551B43">
        <w:t>its activities and completion.</w:t>
      </w:r>
    </w:p>
    <w:p w:rsidR="003D4CDF" w:rsidRPr="00165C7E" w:rsidRDefault="003D4CDF" w:rsidP="006E6839">
      <w:pPr>
        <w:pStyle w:val="L1-FlLSp12"/>
      </w:pPr>
    </w:p>
    <w:p w:rsidR="00A23708" w:rsidRPr="00165C7E" w:rsidRDefault="00A23708" w:rsidP="006E6839">
      <w:pPr>
        <w:pStyle w:val="L1-FlLSp12"/>
      </w:pPr>
    </w:p>
    <w:p w:rsidR="003D214C" w:rsidRPr="00165C7E" w:rsidRDefault="003D214C" w:rsidP="006E6839">
      <w:pPr>
        <w:pStyle w:val="Heading2"/>
      </w:pPr>
      <w:r w:rsidRPr="00165C7E">
        <w:t>A.17</w:t>
      </w:r>
      <w:r w:rsidRPr="00165C7E">
        <w:tab/>
        <w:t>Reason</w:t>
      </w:r>
      <w:r w:rsidR="00DE245D" w:rsidRPr="00165C7E">
        <w:t>(s)</w:t>
      </w:r>
      <w:r w:rsidRPr="00165C7E">
        <w:t xml:space="preserve"> Display of OMB Expiration Date is Inappropriate</w:t>
      </w:r>
    </w:p>
    <w:p w:rsidR="003D214C" w:rsidRPr="00165C7E" w:rsidRDefault="003D214C" w:rsidP="006E6839">
      <w:pPr>
        <w:pStyle w:val="L1-FlLSp12"/>
      </w:pPr>
      <w:r w:rsidRPr="00165C7E">
        <w:t>This data collection activity does not seek approval</w:t>
      </w:r>
      <w:r w:rsidR="00FB70EE" w:rsidRPr="00165C7E">
        <w:t xml:space="preserve"> to</w:t>
      </w:r>
      <w:r w:rsidRPr="00165C7E">
        <w:t xml:space="preserve"> not display the expiration date for OMB.</w:t>
      </w:r>
    </w:p>
    <w:p w:rsidR="003D214C" w:rsidRPr="00165C7E" w:rsidRDefault="003D214C" w:rsidP="006E6839">
      <w:pPr>
        <w:pStyle w:val="L1-FlLSp12"/>
      </w:pPr>
    </w:p>
    <w:p w:rsidR="00A23708" w:rsidRPr="00165C7E" w:rsidRDefault="00A23708" w:rsidP="006E6839">
      <w:pPr>
        <w:pStyle w:val="L1-FlLSp12"/>
      </w:pPr>
    </w:p>
    <w:p w:rsidR="003D214C" w:rsidRPr="00165C7E" w:rsidRDefault="003D214C" w:rsidP="006E6839">
      <w:pPr>
        <w:pStyle w:val="Heading2"/>
      </w:pPr>
      <w:r w:rsidRPr="00165C7E">
        <w:lastRenderedPageBreak/>
        <w:t>A.18</w:t>
      </w:r>
      <w:r w:rsidRPr="00165C7E">
        <w:tab/>
        <w:t>Exceptions to Certification for Paperwork Reduction Act Submissions</w:t>
      </w:r>
    </w:p>
    <w:p w:rsidR="003D214C" w:rsidRPr="00165C7E" w:rsidRDefault="003D214C" w:rsidP="006E6839">
      <w:pPr>
        <w:pStyle w:val="L1-FlLSp12"/>
      </w:pPr>
      <w:r w:rsidRPr="00165C7E">
        <w:t>This data collection activity does not seek any exception to the certification statement associated with 5 CFR.1320.9, Certification for Paperwork Reduction Act Submissions.</w:t>
      </w:r>
    </w:p>
    <w:p w:rsidR="0039596F" w:rsidRPr="00165C7E" w:rsidRDefault="0039596F" w:rsidP="006E6839">
      <w:pPr>
        <w:pStyle w:val="L1-FlLSp12"/>
      </w:pPr>
    </w:p>
    <w:p w:rsidR="0039596F" w:rsidRPr="00165C7E" w:rsidRDefault="0039596F">
      <w:pPr>
        <w:spacing w:line="240" w:lineRule="auto"/>
      </w:pPr>
      <w:r w:rsidRPr="00165C7E">
        <w:br w:type="page"/>
      </w:r>
    </w:p>
    <w:p w:rsidR="0039596F" w:rsidRPr="00165C7E" w:rsidRDefault="0039596F" w:rsidP="006E6839">
      <w:pPr>
        <w:pStyle w:val="C1-CtrBoldHd"/>
      </w:pPr>
      <w:r w:rsidRPr="00165C7E">
        <w:lastRenderedPageBreak/>
        <w:t>References</w:t>
      </w:r>
    </w:p>
    <w:p w:rsidR="006E6839" w:rsidRPr="00165C7E" w:rsidRDefault="00A42F18" w:rsidP="006E6839">
      <w:pPr>
        <w:pStyle w:val="N0-FlLftBullet"/>
      </w:pPr>
      <w:r w:rsidRPr="00165C7E">
        <w:t xml:space="preserve">Kreuter, F., Presser, S., </w:t>
      </w:r>
      <w:r w:rsidR="006E6839" w:rsidRPr="00165C7E">
        <w:t>and</w:t>
      </w:r>
      <w:r w:rsidRPr="00165C7E">
        <w:t xml:space="preserve"> Tourangeau, R. </w:t>
      </w:r>
      <w:r w:rsidR="00913D32" w:rsidRPr="00165C7E">
        <w:t>(2008). Social desirability bias in CATI, IVR, and Web surveys: The effects of mode and question sensitivity.</w:t>
      </w:r>
      <w:r w:rsidR="006E6839" w:rsidRPr="00165C7E">
        <w:t xml:space="preserve"> </w:t>
      </w:r>
      <w:r w:rsidRPr="00165C7E">
        <w:rPr>
          <w:i/>
          <w:iCs/>
        </w:rPr>
        <w:t>Public Opinion Quarterly</w:t>
      </w:r>
      <w:r w:rsidRPr="00165C7E">
        <w:t>, 72, 847-865</w:t>
      </w:r>
      <w:r w:rsidR="006E6839" w:rsidRPr="00165C7E">
        <w:t>.</w:t>
      </w:r>
    </w:p>
    <w:p w:rsidR="00A42F18" w:rsidRPr="003B7312" w:rsidRDefault="00A42F18" w:rsidP="00551B43">
      <w:pPr>
        <w:pStyle w:val="N0-FlLftBullet"/>
      </w:pPr>
    </w:p>
    <w:sectPr w:rsidR="00A42F18" w:rsidRPr="003B7312" w:rsidSect="00A23708">
      <w:footerReference w:type="default" r:id="rId14"/>
      <w:pgSz w:w="12240" w:h="15840"/>
      <w:pgMar w:top="1440"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668" w:rsidRDefault="00280668" w:rsidP="002F7ABC">
      <w:r>
        <w:separator/>
      </w:r>
    </w:p>
  </w:endnote>
  <w:endnote w:type="continuationSeparator" w:id="0">
    <w:p w:rsidR="00280668" w:rsidRDefault="00280668" w:rsidP="002F7ABC">
      <w:r>
        <w:continuationSeparator/>
      </w:r>
    </w:p>
  </w:endnote>
  <w:endnote w:type="continuationNotice" w:id="1">
    <w:p w:rsidR="001677D3" w:rsidRDefault="001677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668" w:rsidRDefault="00280668" w:rsidP="004A2EFE">
    <w:pPr>
      <w:pStyle w:val="Footer"/>
      <w:rPr>
        <w:sz w:val="20"/>
      </w:rPr>
    </w:pPr>
    <w:r>
      <w:rPr>
        <w:sz w:val="20"/>
      </w:rPr>
      <w:t>PATH Study Generic Clearance for Methodological Studies</w:t>
    </w:r>
    <w:r w:rsidRPr="00C37D06">
      <w:rPr>
        <w:sz w:val="20"/>
      </w:rPr>
      <w:t xml:space="preserve"> Supporting Statement A</w:t>
    </w:r>
  </w:p>
  <w:p w:rsidR="00280668" w:rsidRPr="00E97984" w:rsidRDefault="003821D5" w:rsidP="004A2EFE">
    <w:pPr>
      <w:pStyle w:val="C2-CtrSglSp"/>
    </w:pPr>
    <w:r>
      <w:fldChar w:fldCharType="begin"/>
    </w:r>
    <w:r w:rsidR="0061697C">
      <w:instrText xml:space="preserve"> PAGE   \* MERGEFORMAT </w:instrText>
    </w:r>
    <w:r>
      <w:fldChar w:fldCharType="separate"/>
    </w:r>
    <w:r w:rsidR="00DF4B13">
      <w:rPr>
        <w:noProof/>
      </w:rPr>
      <w:t>v</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668" w:rsidRDefault="00280668" w:rsidP="00A23708">
    <w:pPr>
      <w:pStyle w:val="Footer"/>
      <w:rPr>
        <w:sz w:val="20"/>
      </w:rPr>
    </w:pPr>
    <w:r w:rsidRPr="00C37D06">
      <w:rPr>
        <w:sz w:val="20"/>
      </w:rPr>
      <w:t xml:space="preserve">PATH Study </w:t>
    </w:r>
    <w:r>
      <w:rPr>
        <w:sz w:val="20"/>
      </w:rPr>
      <w:t xml:space="preserve">Generic Clearance for Methodological Studies </w:t>
    </w:r>
    <w:r w:rsidRPr="00C37D06">
      <w:rPr>
        <w:sz w:val="20"/>
      </w:rPr>
      <w:t>Supporting Statement A</w:t>
    </w:r>
  </w:p>
  <w:p w:rsidR="00280668" w:rsidRPr="00E97984" w:rsidRDefault="003821D5" w:rsidP="00A23708">
    <w:pPr>
      <w:pStyle w:val="C2-CtrSglSp"/>
    </w:pPr>
    <w:r>
      <w:fldChar w:fldCharType="begin"/>
    </w:r>
    <w:r w:rsidR="0061697C">
      <w:instrText xml:space="preserve"> PAGE   \* MERGEFORMAT </w:instrText>
    </w:r>
    <w:r>
      <w:fldChar w:fldCharType="separate"/>
    </w:r>
    <w:r w:rsidR="00DF4B13">
      <w:rPr>
        <w:noProof/>
      </w:rPr>
      <w:t>18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668" w:rsidRDefault="00280668" w:rsidP="002F7ABC">
      <w:r>
        <w:separator/>
      </w:r>
    </w:p>
  </w:footnote>
  <w:footnote w:type="continuationSeparator" w:id="0">
    <w:p w:rsidR="00280668" w:rsidRDefault="00280668" w:rsidP="002F7ABC">
      <w:r>
        <w:continuationSeparator/>
      </w:r>
    </w:p>
  </w:footnote>
  <w:footnote w:type="continuationNotice" w:id="1">
    <w:p w:rsidR="001677D3" w:rsidRDefault="001677D3">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64753"/>
    <w:multiLevelType w:val="hybridMultilevel"/>
    <w:tmpl w:val="D8E09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BC2D63"/>
    <w:multiLevelType w:val="hybridMultilevel"/>
    <w:tmpl w:val="ED64D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F8A2952"/>
    <w:multiLevelType w:val="hybridMultilevel"/>
    <w:tmpl w:val="ED64D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1325D9"/>
    <w:multiLevelType w:val="hybridMultilevel"/>
    <w:tmpl w:val="4232028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0592B8A"/>
    <w:multiLevelType w:val="hybridMultilevel"/>
    <w:tmpl w:val="21CE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0930F6"/>
    <w:multiLevelType w:val="hybridMultilevel"/>
    <w:tmpl w:val="96FAA2A2"/>
    <w:lvl w:ilvl="0" w:tplc="E850D3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BF1416"/>
    <w:multiLevelType w:val="hybridMultilevel"/>
    <w:tmpl w:val="4A70F730"/>
    <w:lvl w:ilvl="0" w:tplc="44A82E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0">
    <w:nsid w:val="36DD6BDD"/>
    <w:multiLevelType w:val="hybridMultilevel"/>
    <w:tmpl w:val="E35E42F6"/>
    <w:lvl w:ilvl="0" w:tplc="D5023B42">
      <w:start w:val="1"/>
      <w:numFmt w:val="decimal"/>
      <w:lvlText w:val="%1."/>
      <w:lvlJc w:val="left"/>
      <w:pPr>
        <w:ind w:left="720" w:hanging="360"/>
      </w:pPr>
      <w:rPr>
        <w:rFonts w:cs="Times New Roman"/>
        <w:b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386E1400"/>
    <w:multiLevelType w:val="hybridMultilevel"/>
    <w:tmpl w:val="01661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1B1435"/>
    <w:multiLevelType w:val="hybridMultilevel"/>
    <w:tmpl w:val="40E4C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E847E5C"/>
    <w:multiLevelType w:val="hybridMultilevel"/>
    <w:tmpl w:val="C28AB5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EC43018"/>
    <w:multiLevelType w:val="hybridMultilevel"/>
    <w:tmpl w:val="8904F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6D81A8E"/>
    <w:multiLevelType w:val="hybridMultilevel"/>
    <w:tmpl w:val="41164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030D65"/>
    <w:multiLevelType w:val="hybridMultilevel"/>
    <w:tmpl w:val="DE2A6D86"/>
    <w:lvl w:ilvl="0" w:tplc="20B645B0">
      <w:start w:val="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BE07E6"/>
    <w:multiLevelType w:val="hybridMultilevel"/>
    <w:tmpl w:val="4DB0C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641365"/>
    <w:multiLevelType w:val="hybridMultilevel"/>
    <w:tmpl w:val="CB46E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0606C8"/>
    <w:multiLevelType w:val="hybridMultilevel"/>
    <w:tmpl w:val="0F164634"/>
    <w:lvl w:ilvl="0" w:tplc="C1C8933E">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1">
    <w:nsid w:val="78AC335B"/>
    <w:multiLevelType w:val="hybridMultilevel"/>
    <w:tmpl w:val="B91027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8EB1DDC"/>
    <w:multiLevelType w:val="hybridMultilevel"/>
    <w:tmpl w:val="0F164634"/>
    <w:lvl w:ilvl="0" w:tplc="C1C8933E">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3">
    <w:nsid w:val="7B2626CF"/>
    <w:multiLevelType w:val="hybridMultilevel"/>
    <w:tmpl w:val="537C14DC"/>
    <w:lvl w:ilvl="0" w:tplc="9A16BFFE">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C8A03BE"/>
    <w:multiLevelType w:val="hybridMultilevel"/>
    <w:tmpl w:val="9112E4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num w:numId="1">
    <w:abstractNumId w:val="2"/>
  </w:num>
  <w:num w:numId="2">
    <w:abstractNumId w:val="22"/>
  </w:num>
  <w:num w:numId="3">
    <w:abstractNumId w:val="21"/>
  </w:num>
  <w:num w:numId="4">
    <w:abstractNumId w:val="20"/>
  </w:num>
  <w:num w:numId="5">
    <w:abstractNumId w:val="5"/>
  </w:num>
  <w:num w:numId="6">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5"/>
  </w:num>
  <w:num w:numId="9">
    <w:abstractNumId w:val="17"/>
  </w:num>
  <w:num w:numId="10">
    <w:abstractNumId w:val="11"/>
  </w:num>
  <w:num w:numId="11">
    <w:abstractNumId w:val="10"/>
  </w:num>
  <w:num w:numId="12">
    <w:abstractNumId w:val="0"/>
  </w:num>
  <w:num w:numId="13">
    <w:abstractNumId w:val="14"/>
  </w:num>
  <w:num w:numId="14">
    <w:abstractNumId w:val="12"/>
  </w:num>
  <w:num w:numId="15">
    <w:abstractNumId w:val="18"/>
  </w:num>
  <w:num w:numId="16">
    <w:abstractNumId w:val="2"/>
  </w:num>
  <w:num w:numId="17">
    <w:abstractNumId w:val="9"/>
  </w:num>
  <w:num w:numId="18">
    <w:abstractNumId w:val="13"/>
  </w:num>
  <w:num w:numId="19">
    <w:abstractNumId w:val="3"/>
  </w:num>
  <w:num w:numId="20">
    <w:abstractNumId w:val="16"/>
  </w:num>
  <w:num w:numId="21">
    <w:abstractNumId w:val="8"/>
  </w:num>
  <w:num w:numId="22">
    <w:abstractNumId w:val="7"/>
  </w:num>
  <w:num w:numId="23">
    <w:abstractNumId w:val="1"/>
  </w:num>
  <w:num w:numId="24">
    <w:abstractNumId w:val="4"/>
  </w:num>
  <w:num w:numId="25">
    <w:abstractNumId w:val="6"/>
  </w:num>
  <w:num w:numId="26">
    <w:abstractNumId w:val="19"/>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TrackFormatting/>
  <w:defaultTabStop w:val="720"/>
  <w:drawingGridHorizontalSpacing w:val="120"/>
  <w:displayHorizontalDrawingGridEvery w:val="2"/>
  <w:characterSpacingControl w:val="doNotCompress"/>
  <w:hdrShapeDefaults>
    <o:shapedefaults v:ext="edit" spidmax="1269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FA1"/>
    <w:rsid w:val="00002144"/>
    <w:rsid w:val="000021FA"/>
    <w:rsid w:val="00003D4E"/>
    <w:rsid w:val="000055A7"/>
    <w:rsid w:val="0000641B"/>
    <w:rsid w:val="00006F9D"/>
    <w:rsid w:val="00007968"/>
    <w:rsid w:val="00012059"/>
    <w:rsid w:val="000123DB"/>
    <w:rsid w:val="00012D54"/>
    <w:rsid w:val="000146F5"/>
    <w:rsid w:val="00017EE7"/>
    <w:rsid w:val="00022FF5"/>
    <w:rsid w:val="00023891"/>
    <w:rsid w:val="00024082"/>
    <w:rsid w:val="00025C20"/>
    <w:rsid w:val="00027C3F"/>
    <w:rsid w:val="00030A00"/>
    <w:rsid w:val="000324DF"/>
    <w:rsid w:val="00034EFB"/>
    <w:rsid w:val="00035036"/>
    <w:rsid w:val="00036001"/>
    <w:rsid w:val="00037A2F"/>
    <w:rsid w:val="0004121A"/>
    <w:rsid w:val="00042CB5"/>
    <w:rsid w:val="00043C94"/>
    <w:rsid w:val="00045F5C"/>
    <w:rsid w:val="00046BDD"/>
    <w:rsid w:val="00046C5D"/>
    <w:rsid w:val="00047492"/>
    <w:rsid w:val="0005097C"/>
    <w:rsid w:val="0005113B"/>
    <w:rsid w:val="0005129E"/>
    <w:rsid w:val="00053AC4"/>
    <w:rsid w:val="00053ACA"/>
    <w:rsid w:val="00054230"/>
    <w:rsid w:val="00054482"/>
    <w:rsid w:val="00054B59"/>
    <w:rsid w:val="000571BE"/>
    <w:rsid w:val="00057775"/>
    <w:rsid w:val="00057EDE"/>
    <w:rsid w:val="00060177"/>
    <w:rsid w:val="000627EF"/>
    <w:rsid w:val="00062A6A"/>
    <w:rsid w:val="00062B15"/>
    <w:rsid w:val="00064B17"/>
    <w:rsid w:val="00066DFC"/>
    <w:rsid w:val="00066F89"/>
    <w:rsid w:val="00070267"/>
    <w:rsid w:val="00070C51"/>
    <w:rsid w:val="00076171"/>
    <w:rsid w:val="000767B9"/>
    <w:rsid w:val="00076D7E"/>
    <w:rsid w:val="00082DA7"/>
    <w:rsid w:val="0008753F"/>
    <w:rsid w:val="00091717"/>
    <w:rsid w:val="0009229E"/>
    <w:rsid w:val="00093385"/>
    <w:rsid w:val="000941A2"/>
    <w:rsid w:val="00095656"/>
    <w:rsid w:val="00095878"/>
    <w:rsid w:val="000A0995"/>
    <w:rsid w:val="000A2955"/>
    <w:rsid w:val="000A3B9B"/>
    <w:rsid w:val="000A3CD9"/>
    <w:rsid w:val="000A59A7"/>
    <w:rsid w:val="000B050D"/>
    <w:rsid w:val="000B21E7"/>
    <w:rsid w:val="000B3233"/>
    <w:rsid w:val="000B3936"/>
    <w:rsid w:val="000B6D8A"/>
    <w:rsid w:val="000B792F"/>
    <w:rsid w:val="000C1F7E"/>
    <w:rsid w:val="000C3ABC"/>
    <w:rsid w:val="000C403B"/>
    <w:rsid w:val="000C77A0"/>
    <w:rsid w:val="000D396B"/>
    <w:rsid w:val="000D4E5F"/>
    <w:rsid w:val="000E0684"/>
    <w:rsid w:val="000E12A4"/>
    <w:rsid w:val="000E28E6"/>
    <w:rsid w:val="000E549D"/>
    <w:rsid w:val="000E5E5F"/>
    <w:rsid w:val="000F03E2"/>
    <w:rsid w:val="000F193F"/>
    <w:rsid w:val="000F3BB8"/>
    <w:rsid w:val="000F3E50"/>
    <w:rsid w:val="000F4BE6"/>
    <w:rsid w:val="00100A74"/>
    <w:rsid w:val="0010503D"/>
    <w:rsid w:val="001111E1"/>
    <w:rsid w:val="0011137D"/>
    <w:rsid w:val="00111A25"/>
    <w:rsid w:val="0011301C"/>
    <w:rsid w:val="00114797"/>
    <w:rsid w:val="00115528"/>
    <w:rsid w:val="001165BA"/>
    <w:rsid w:val="00117171"/>
    <w:rsid w:val="00120558"/>
    <w:rsid w:val="001207B5"/>
    <w:rsid w:val="001219AD"/>
    <w:rsid w:val="001232CA"/>
    <w:rsid w:val="00125056"/>
    <w:rsid w:val="001336AF"/>
    <w:rsid w:val="00133E9C"/>
    <w:rsid w:val="00134C22"/>
    <w:rsid w:val="00134CD1"/>
    <w:rsid w:val="00134FFF"/>
    <w:rsid w:val="00135BEC"/>
    <w:rsid w:val="001370CE"/>
    <w:rsid w:val="00141262"/>
    <w:rsid w:val="0014428E"/>
    <w:rsid w:val="0014554F"/>
    <w:rsid w:val="00145F4B"/>
    <w:rsid w:val="00150A45"/>
    <w:rsid w:val="00155CBB"/>
    <w:rsid w:val="00157B91"/>
    <w:rsid w:val="00160881"/>
    <w:rsid w:val="00162E65"/>
    <w:rsid w:val="00163EAD"/>
    <w:rsid w:val="001644F7"/>
    <w:rsid w:val="0016453D"/>
    <w:rsid w:val="00165C7E"/>
    <w:rsid w:val="00166F09"/>
    <w:rsid w:val="00167574"/>
    <w:rsid w:val="001677D3"/>
    <w:rsid w:val="001726FB"/>
    <w:rsid w:val="00172F9F"/>
    <w:rsid w:val="00176876"/>
    <w:rsid w:val="00177D48"/>
    <w:rsid w:val="00180B9B"/>
    <w:rsid w:val="00182655"/>
    <w:rsid w:val="00183498"/>
    <w:rsid w:val="00185E35"/>
    <w:rsid w:val="00195A09"/>
    <w:rsid w:val="0019789A"/>
    <w:rsid w:val="001A17CB"/>
    <w:rsid w:val="001A20EE"/>
    <w:rsid w:val="001A566D"/>
    <w:rsid w:val="001A5CE5"/>
    <w:rsid w:val="001A6488"/>
    <w:rsid w:val="001B119F"/>
    <w:rsid w:val="001B16FC"/>
    <w:rsid w:val="001B3FC7"/>
    <w:rsid w:val="001B53C1"/>
    <w:rsid w:val="001B5C20"/>
    <w:rsid w:val="001B68CB"/>
    <w:rsid w:val="001C165F"/>
    <w:rsid w:val="001C1DAC"/>
    <w:rsid w:val="001C233D"/>
    <w:rsid w:val="001C2B5E"/>
    <w:rsid w:val="001C5F16"/>
    <w:rsid w:val="001C7CFF"/>
    <w:rsid w:val="001D1546"/>
    <w:rsid w:val="001D34EA"/>
    <w:rsid w:val="001D4DD9"/>
    <w:rsid w:val="001E03CC"/>
    <w:rsid w:val="001E191F"/>
    <w:rsid w:val="001E22E8"/>
    <w:rsid w:val="001E376A"/>
    <w:rsid w:val="001E5816"/>
    <w:rsid w:val="001F2C23"/>
    <w:rsid w:val="001F4695"/>
    <w:rsid w:val="001F534E"/>
    <w:rsid w:val="001F56EB"/>
    <w:rsid w:val="001F7658"/>
    <w:rsid w:val="001F7FD6"/>
    <w:rsid w:val="002005A4"/>
    <w:rsid w:val="00202486"/>
    <w:rsid w:val="00203840"/>
    <w:rsid w:val="002042B3"/>
    <w:rsid w:val="00204A6B"/>
    <w:rsid w:val="00206E7F"/>
    <w:rsid w:val="002075E9"/>
    <w:rsid w:val="00207687"/>
    <w:rsid w:val="00210234"/>
    <w:rsid w:val="00212F7E"/>
    <w:rsid w:val="00213EF7"/>
    <w:rsid w:val="00214885"/>
    <w:rsid w:val="00214AFA"/>
    <w:rsid w:val="00214B42"/>
    <w:rsid w:val="00214C77"/>
    <w:rsid w:val="0021571F"/>
    <w:rsid w:val="00216390"/>
    <w:rsid w:val="00217B66"/>
    <w:rsid w:val="00222E5F"/>
    <w:rsid w:val="00224CEF"/>
    <w:rsid w:val="0022716A"/>
    <w:rsid w:val="00227263"/>
    <w:rsid w:val="002277B9"/>
    <w:rsid w:val="002325F2"/>
    <w:rsid w:val="00233CA2"/>
    <w:rsid w:val="002347B0"/>
    <w:rsid w:val="00235B9B"/>
    <w:rsid w:val="00236908"/>
    <w:rsid w:val="0023735E"/>
    <w:rsid w:val="00240A40"/>
    <w:rsid w:val="0024288B"/>
    <w:rsid w:val="0024299A"/>
    <w:rsid w:val="00242CF5"/>
    <w:rsid w:val="002431CB"/>
    <w:rsid w:val="00245804"/>
    <w:rsid w:val="002530A9"/>
    <w:rsid w:val="0025314E"/>
    <w:rsid w:val="00254115"/>
    <w:rsid w:val="00254499"/>
    <w:rsid w:val="00255325"/>
    <w:rsid w:val="00255F1A"/>
    <w:rsid w:val="0025746A"/>
    <w:rsid w:val="00257CB6"/>
    <w:rsid w:val="00263ECE"/>
    <w:rsid w:val="00264611"/>
    <w:rsid w:val="002649C4"/>
    <w:rsid w:val="00265A8C"/>
    <w:rsid w:val="002676FC"/>
    <w:rsid w:val="00271967"/>
    <w:rsid w:val="002721D0"/>
    <w:rsid w:val="00272B8C"/>
    <w:rsid w:val="00272EF7"/>
    <w:rsid w:val="002800D0"/>
    <w:rsid w:val="00280668"/>
    <w:rsid w:val="002808ED"/>
    <w:rsid w:val="00280E16"/>
    <w:rsid w:val="00281851"/>
    <w:rsid w:val="00282C0A"/>
    <w:rsid w:val="002843D6"/>
    <w:rsid w:val="00285362"/>
    <w:rsid w:val="00294487"/>
    <w:rsid w:val="00297038"/>
    <w:rsid w:val="00297EFE"/>
    <w:rsid w:val="002A1B5D"/>
    <w:rsid w:val="002A1F3C"/>
    <w:rsid w:val="002A266D"/>
    <w:rsid w:val="002A2823"/>
    <w:rsid w:val="002A391F"/>
    <w:rsid w:val="002A3D9A"/>
    <w:rsid w:val="002A4FFC"/>
    <w:rsid w:val="002A6145"/>
    <w:rsid w:val="002B0554"/>
    <w:rsid w:val="002B1DFD"/>
    <w:rsid w:val="002B2DDA"/>
    <w:rsid w:val="002B4545"/>
    <w:rsid w:val="002B512E"/>
    <w:rsid w:val="002B63EA"/>
    <w:rsid w:val="002B6CAD"/>
    <w:rsid w:val="002B6CD5"/>
    <w:rsid w:val="002B76DE"/>
    <w:rsid w:val="002C0B2A"/>
    <w:rsid w:val="002C212F"/>
    <w:rsid w:val="002C617B"/>
    <w:rsid w:val="002C6217"/>
    <w:rsid w:val="002C6BFF"/>
    <w:rsid w:val="002D04F4"/>
    <w:rsid w:val="002D3CAD"/>
    <w:rsid w:val="002D75AA"/>
    <w:rsid w:val="002E0798"/>
    <w:rsid w:val="002E1105"/>
    <w:rsid w:val="002E2936"/>
    <w:rsid w:val="002E3CE9"/>
    <w:rsid w:val="002E520E"/>
    <w:rsid w:val="002E56A3"/>
    <w:rsid w:val="002E59EB"/>
    <w:rsid w:val="002E621D"/>
    <w:rsid w:val="002E635A"/>
    <w:rsid w:val="002E7DAD"/>
    <w:rsid w:val="002F1BF0"/>
    <w:rsid w:val="002F41E9"/>
    <w:rsid w:val="002F6208"/>
    <w:rsid w:val="002F7ABC"/>
    <w:rsid w:val="00303B5F"/>
    <w:rsid w:val="0030726B"/>
    <w:rsid w:val="00310C33"/>
    <w:rsid w:val="00311C28"/>
    <w:rsid w:val="00313031"/>
    <w:rsid w:val="00314861"/>
    <w:rsid w:val="00317F5E"/>
    <w:rsid w:val="00323051"/>
    <w:rsid w:val="003236D6"/>
    <w:rsid w:val="00323B61"/>
    <w:rsid w:val="003251D3"/>
    <w:rsid w:val="00326984"/>
    <w:rsid w:val="003300B3"/>
    <w:rsid w:val="00330472"/>
    <w:rsid w:val="0033231A"/>
    <w:rsid w:val="003327BF"/>
    <w:rsid w:val="003342BA"/>
    <w:rsid w:val="0033450C"/>
    <w:rsid w:val="0033475B"/>
    <w:rsid w:val="00334C04"/>
    <w:rsid w:val="00337796"/>
    <w:rsid w:val="0034041C"/>
    <w:rsid w:val="00340AE5"/>
    <w:rsid w:val="003410DB"/>
    <w:rsid w:val="00342EF0"/>
    <w:rsid w:val="00343736"/>
    <w:rsid w:val="00344C26"/>
    <w:rsid w:val="00351A46"/>
    <w:rsid w:val="00352E58"/>
    <w:rsid w:val="00352EFF"/>
    <w:rsid w:val="003552E7"/>
    <w:rsid w:val="00357891"/>
    <w:rsid w:val="0036119B"/>
    <w:rsid w:val="00361DA9"/>
    <w:rsid w:val="00363977"/>
    <w:rsid w:val="00363F5D"/>
    <w:rsid w:val="00365C41"/>
    <w:rsid w:val="00366771"/>
    <w:rsid w:val="00367C0B"/>
    <w:rsid w:val="0037221D"/>
    <w:rsid w:val="00372C6E"/>
    <w:rsid w:val="00374672"/>
    <w:rsid w:val="00376092"/>
    <w:rsid w:val="003766A9"/>
    <w:rsid w:val="003806B4"/>
    <w:rsid w:val="00380D14"/>
    <w:rsid w:val="00380FC8"/>
    <w:rsid w:val="003821D5"/>
    <w:rsid w:val="00382DF1"/>
    <w:rsid w:val="00384399"/>
    <w:rsid w:val="00386F24"/>
    <w:rsid w:val="00390296"/>
    <w:rsid w:val="0039166F"/>
    <w:rsid w:val="0039240A"/>
    <w:rsid w:val="0039596F"/>
    <w:rsid w:val="00395AEE"/>
    <w:rsid w:val="00396B5B"/>
    <w:rsid w:val="00396BA9"/>
    <w:rsid w:val="003979D3"/>
    <w:rsid w:val="00397F89"/>
    <w:rsid w:val="003A08D5"/>
    <w:rsid w:val="003A1A85"/>
    <w:rsid w:val="003A21AC"/>
    <w:rsid w:val="003A3981"/>
    <w:rsid w:val="003A4FBE"/>
    <w:rsid w:val="003A52D1"/>
    <w:rsid w:val="003A53C2"/>
    <w:rsid w:val="003A5E37"/>
    <w:rsid w:val="003A67D7"/>
    <w:rsid w:val="003A6F73"/>
    <w:rsid w:val="003A7DCC"/>
    <w:rsid w:val="003A7F5A"/>
    <w:rsid w:val="003B0203"/>
    <w:rsid w:val="003B063B"/>
    <w:rsid w:val="003B111C"/>
    <w:rsid w:val="003B130C"/>
    <w:rsid w:val="003B2512"/>
    <w:rsid w:val="003B5CB4"/>
    <w:rsid w:val="003C10F6"/>
    <w:rsid w:val="003C1460"/>
    <w:rsid w:val="003C69E4"/>
    <w:rsid w:val="003C6AAE"/>
    <w:rsid w:val="003C7BB4"/>
    <w:rsid w:val="003D214C"/>
    <w:rsid w:val="003D24F1"/>
    <w:rsid w:val="003D298D"/>
    <w:rsid w:val="003D4CDF"/>
    <w:rsid w:val="003E2154"/>
    <w:rsid w:val="003E2BF1"/>
    <w:rsid w:val="003E6710"/>
    <w:rsid w:val="003F1E7F"/>
    <w:rsid w:val="003F320D"/>
    <w:rsid w:val="003F3DD1"/>
    <w:rsid w:val="003F6ECA"/>
    <w:rsid w:val="00401C19"/>
    <w:rsid w:val="00405CA7"/>
    <w:rsid w:val="00405FEA"/>
    <w:rsid w:val="00406DE5"/>
    <w:rsid w:val="00410B8D"/>
    <w:rsid w:val="0041169C"/>
    <w:rsid w:val="004130B8"/>
    <w:rsid w:val="00414D8D"/>
    <w:rsid w:val="00415395"/>
    <w:rsid w:val="004210CF"/>
    <w:rsid w:val="00421E41"/>
    <w:rsid w:val="0042241A"/>
    <w:rsid w:val="00423CFC"/>
    <w:rsid w:val="004245D3"/>
    <w:rsid w:val="00425C81"/>
    <w:rsid w:val="00427B2E"/>
    <w:rsid w:val="00427FF1"/>
    <w:rsid w:val="00433571"/>
    <w:rsid w:val="00433B52"/>
    <w:rsid w:val="00435380"/>
    <w:rsid w:val="0043614F"/>
    <w:rsid w:val="00436175"/>
    <w:rsid w:val="00437DEC"/>
    <w:rsid w:val="004427DA"/>
    <w:rsid w:val="004438F2"/>
    <w:rsid w:val="00445571"/>
    <w:rsid w:val="004461B3"/>
    <w:rsid w:val="004466E5"/>
    <w:rsid w:val="00446941"/>
    <w:rsid w:val="00446B15"/>
    <w:rsid w:val="00446CF8"/>
    <w:rsid w:val="00447936"/>
    <w:rsid w:val="00447C05"/>
    <w:rsid w:val="004517E8"/>
    <w:rsid w:val="00452E28"/>
    <w:rsid w:val="00455B8E"/>
    <w:rsid w:val="00456DB0"/>
    <w:rsid w:val="00457497"/>
    <w:rsid w:val="00457A78"/>
    <w:rsid w:val="004604DD"/>
    <w:rsid w:val="00460821"/>
    <w:rsid w:val="00460C54"/>
    <w:rsid w:val="0046543F"/>
    <w:rsid w:val="00465969"/>
    <w:rsid w:val="00466732"/>
    <w:rsid w:val="00467DAA"/>
    <w:rsid w:val="0047014B"/>
    <w:rsid w:val="00471D2D"/>
    <w:rsid w:val="00471DE1"/>
    <w:rsid w:val="004724A3"/>
    <w:rsid w:val="00480044"/>
    <w:rsid w:val="0048141F"/>
    <w:rsid w:val="00482A45"/>
    <w:rsid w:val="00484773"/>
    <w:rsid w:val="00486945"/>
    <w:rsid w:val="0048785B"/>
    <w:rsid w:val="004907AE"/>
    <w:rsid w:val="00490E11"/>
    <w:rsid w:val="0049375D"/>
    <w:rsid w:val="004941D2"/>
    <w:rsid w:val="00494A84"/>
    <w:rsid w:val="00496287"/>
    <w:rsid w:val="00497058"/>
    <w:rsid w:val="004A09D7"/>
    <w:rsid w:val="004A0E49"/>
    <w:rsid w:val="004A1F5E"/>
    <w:rsid w:val="004A2EFE"/>
    <w:rsid w:val="004A4C7F"/>
    <w:rsid w:val="004A7536"/>
    <w:rsid w:val="004B0023"/>
    <w:rsid w:val="004B4D9C"/>
    <w:rsid w:val="004B55E2"/>
    <w:rsid w:val="004B58C8"/>
    <w:rsid w:val="004B65E3"/>
    <w:rsid w:val="004B668A"/>
    <w:rsid w:val="004B7CEC"/>
    <w:rsid w:val="004C1857"/>
    <w:rsid w:val="004C2EB2"/>
    <w:rsid w:val="004C3758"/>
    <w:rsid w:val="004C5C94"/>
    <w:rsid w:val="004C63A6"/>
    <w:rsid w:val="004C6788"/>
    <w:rsid w:val="004C6AA7"/>
    <w:rsid w:val="004D1A30"/>
    <w:rsid w:val="004D3F8C"/>
    <w:rsid w:val="004D60D9"/>
    <w:rsid w:val="004D7F94"/>
    <w:rsid w:val="004E4BD7"/>
    <w:rsid w:val="004E57F4"/>
    <w:rsid w:val="004E5A49"/>
    <w:rsid w:val="004E73D4"/>
    <w:rsid w:val="004F1134"/>
    <w:rsid w:val="004F266B"/>
    <w:rsid w:val="004F5341"/>
    <w:rsid w:val="004F59E6"/>
    <w:rsid w:val="004F6367"/>
    <w:rsid w:val="005020F9"/>
    <w:rsid w:val="00510B91"/>
    <w:rsid w:val="005132E4"/>
    <w:rsid w:val="00515005"/>
    <w:rsid w:val="005173DA"/>
    <w:rsid w:val="00517430"/>
    <w:rsid w:val="00520544"/>
    <w:rsid w:val="00520A48"/>
    <w:rsid w:val="005213B3"/>
    <w:rsid w:val="005215AA"/>
    <w:rsid w:val="005215C8"/>
    <w:rsid w:val="00521DDD"/>
    <w:rsid w:val="00523624"/>
    <w:rsid w:val="00526E35"/>
    <w:rsid w:val="0052737E"/>
    <w:rsid w:val="0053066B"/>
    <w:rsid w:val="005332C2"/>
    <w:rsid w:val="00533FC0"/>
    <w:rsid w:val="00537725"/>
    <w:rsid w:val="00541BA7"/>
    <w:rsid w:val="0054315E"/>
    <w:rsid w:val="005443B1"/>
    <w:rsid w:val="005474A4"/>
    <w:rsid w:val="0055140F"/>
    <w:rsid w:val="00551B43"/>
    <w:rsid w:val="005533E0"/>
    <w:rsid w:val="0055502C"/>
    <w:rsid w:val="00557CDF"/>
    <w:rsid w:val="00561023"/>
    <w:rsid w:val="005630DA"/>
    <w:rsid w:val="005661E2"/>
    <w:rsid w:val="00567E1F"/>
    <w:rsid w:val="005717FC"/>
    <w:rsid w:val="00572149"/>
    <w:rsid w:val="0057226C"/>
    <w:rsid w:val="00572560"/>
    <w:rsid w:val="005741E8"/>
    <w:rsid w:val="00575E44"/>
    <w:rsid w:val="00577BEB"/>
    <w:rsid w:val="00580324"/>
    <w:rsid w:val="005810F5"/>
    <w:rsid w:val="005853D0"/>
    <w:rsid w:val="005867BC"/>
    <w:rsid w:val="005907B6"/>
    <w:rsid w:val="00591331"/>
    <w:rsid w:val="0059194E"/>
    <w:rsid w:val="00591E74"/>
    <w:rsid w:val="00592531"/>
    <w:rsid w:val="00592871"/>
    <w:rsid w:val="00593716"/>
    <w:rsid w:val="005978BA"/>
    <w:rsid w:val="00597A02"/>
    <w:rsid w:val="005A7F13"/>
    <w:rsid w:val="005B0676"/>
    <w:rsid w:val="005B2003"/>
    <w:rsid w:val="005B2061"/>
    <w:rsid w:val="005B3B5B"/>
    <w:rsid w:val="005B3D78"/>
    <w:rsid w:val="005B5F3A"/>
    <w:rsid w:val="005B60A2"/>
    <w:rsid w:val="005B6B87"/>
    <w:rsid w:val="005C03CE"/>
    <w:rsid w:val="005C0B0A"/>
    <w:rsid w:val="005C1433"/>
    <w:rsid w:val="005C2D7F"/>
    <w:rsid w:val="005C33FB"/>
    <w:rsid w:val="005C3F37"/>
    <w:rsid w:val="005C453D"/>
    <w:rsid w:val="005C6BA0"/>
    <w:rsid w:val="005C6BF1"/>
    <w:rsid w:val="005D3865"/>
    <w:rsid w:val="005D47ED"/>
    <w:rsid w:val="005D4B58"/>
    <w:rsid w:val="005D5719"/>
    <w:rsid w:val="005D7ED5"/>
    <w:rsid w:val="005E0F2F"/>
    <w:rsid w:val="005E2AA5"/>
    <w:rsid w:val="005F0225"/>
    <w:rsid w:val="005F21CA"/>
    <w:rsid w:val="005F47A5"/>
    <w:rsid w:val="005F53C4"/>
    <w:rsid w:val="005F6BCC"/>
    <w:rsid w:val="00600761"/>
    <w:rsid w:val="00602107"/>
    <w:rsid w:val="006054AC"/>
    <w:rsid w:val="006060E5"/>
    <w:rsid w:val="00606B52"/>
    <w:rsid w:val="00610273"/>
    <w:rsid w:val="00611C70"/>
    <w:rsid w:val="0061697C"/>
    <w:rsid w:val="0061794B"/>
    <w:rsid w:val="006203E7"/>
    <w:rsid w:val="00621D3B"/>
    <w:rsid w:val="0062284F"/>
    <w:rsid w:val="00625E65"/>
    <w:rsid w:val="006260CC"/>
    <w:rsid w:val="006271B4"/>
    <w:rsid w:val="00627729"/>
    <w:rsid w:val="00630FDF"/>
    <w:rsid w:val="00632366"/>
    <w:rsid w:val="006325E9"/>
    <w:rsid w:val="00633640"/>
    <w:rsid w:val="006417BA"/>
    <w:rsid w:val="00644408"/>
    <w:rsid w:val="00644CA7"/>
    <w:rsid w:val="006466AA"/>
    <w:rsid w:val="00646AF6"/>
    <w:rsid w:val="00650CB6"/>
    <w:rsid w:val="00651003"/>
    <w:rsid w:val="006521A0"/>
    <w:rsid w:val="006556A5"/>
    <w:rsid w:val="00655A67"/>
    <w:rsid w:val="0065679C"/>
    <w:rsid w:val="00657C2F"/>
    <w:rsid w:val="00661302"/>
    <w:rsid w:val="006621C2"/>
    <w:rsid w:val="0066325D"/>
    <w:rsid w:val="00665135"/>
    <w:rsid w:val="006657C8"/>
    <w:rsid w:val="00665A6C"/>
    <w:rsid w:val="0066746D"/>
    <w:rsid w:val="0067343D"/>
    <w:rsid w:val="00673C8B"/>
    <w:rsid w:val="0067574B"/>
    <w:rsid w:val="0067606B"/>
    <w:rsid w:val="00680239"/>
    <w:rsid w:val="00685587"/>
    <w:rsid w:val="0068691F"/>
    <w:rsid w:val="00687647"/>
    <w:rsid w:val="00694D09"/>
    <w:rsid w:val="006A0012"/>
    <w:rsid w:val="006A486A"/>
    <w:rsid w:val="006A6C6E"/>
    <w:rsid w:val="006A7C5E"/>
    <w:rsid w:val="006B22C8"/>
    <w:rsid w:val="006B350D"/>
    <w:rsid w:val="006B5A5E"/>
    <w:rsid w:val="006B7B61"/>
    <w:rsid w:val="006C03CC"/>
    <w:rsid w:val="006C2306"/>
    <w:rsid w:val="006C31DC"/>
    <w:rsid w:val="006C4CA8"/>
    <w:rsid w:val="006C5719"/>
    <w:rsid w:val="006C58B5"/>
    <w:rsid w:val="006C72BD"/>
    <w:rsid w:val="006D0824"/>
    <w:rsid w:val="006D65DE"/>
    <w:rsid w:val="006E1AF3"/>
    <w:rsid w:val="006E3F48"/>
    <w:rsid w:val="006E6839"/>
    <w:rsid w:val="006E7601"/>
    <w:rsid w:val="006E7B6C"/>
    <w:rsid w:val="006F0E13"/>
    <w:rsid w:val="006F1D1F"/>
    <w:rsid w:val="006F4387"/>
    <w:rsid w:val="006F7591"/>
    <w:rsid w:val="006F79ED"/>
    <w:rsid w:val="00704E75"/>
    <w:rsid w:val="00707288"/>
    <w:rsid w:val="00711DFF"/>
    <w:rsid w:val="007123EA"/>
    <w:rsid w:val="00712736"/>
    <w:rsid w:val="00715576"/>
    <w:rsid w:val="00717175"/>
    <w:rsid w:val="0072231C"/>
    <w:rsid w:val="007226BD"/>
    <w:rsid w:val="007236C2"/>
    <w:rsid w:val="00724FDC"/>
    <w:rsid w:val="00725FF6"/>
    <w:rsid w:val="007266E1"/>
    <w:rsid w:val="00727D78"/>
    <w:rsid w:val="007303CD"/>
    <w:rsid w:val="00731BA1"/>
    <w:rsid w:val="00733213"/>
    <w:rsid w:val="00733948"/>
    <w:rsid w:val="00733E59"/>
    <w:rsid w:val="0073568C"/>
    <w:rsid w:val="00741155"/>
    <w:rsid w:val="0074116B"/>
    <w:rsid w:val="00741ECC"/>
    <w:rsid w:val="00742880"/>
    <w:rsid w:val="007428B9"/>
    <w:rsid w:val="00744C4E"/>
    <w:rsid w:val="0074743B"/>
    <w:rsid w:val="0075090A"/>
    <w:rsid w:val="007512BB"/>
    <w:rsid w:val="00755638"/>
    <w:rsid w:val="00757AA1"/>
    <w:rsid w:val="00760531"/>
    <w:rsid w:val="00760FF2"/>
    <w:rsid w:val="00776532"/>
    <w:rsid w:val="00777472"/>
    <w:rsid w:val="00781DE8"/>
    <w:rsid w:val="00782EB2"/>
    <w:rsid w:val="007832B5"/>
    <w:rsid w:val="00786C97"/>
    <w:rsid w:val="00792991"/>
    <w:rsid w:val="0079439D"/>
    <w:rsid w:val="00794420"/>
    <w:rsid w:val="00795EC6"/>
    <w:rsid w:val="007A2BD8"/>
    <w:rsid w:val="007B2F1E"/>
    <w:rsid w:val="007B4519"/>
    <w:rsid w:val="007B50C0"/>
    <w:rsid w:val="007B51F5"/>
    <w:rsid w:val="007B799C"/>
    <w:rsid w:val="007C1AD2"/>
    <w:rsid w:val="007C4180"/>
    <w:rsid w:val="007C489B"/>
    <w:rsid w:val="007C6A69"/>
    <w:rsid w:val="007C6CBA"/>
    <w:rsid w:val="007C742B"/>
    <w:rsid w:val="007C7AC3"/>
    <w:rsid w:val="007C7DF0"/>
    <w:rsid w:val="007D01D5"/>
    <w:rsid w:val="007D2A5F"/>
    <w:rsid w:val="007D3AEF"/>
    <w:rsid w:val="007D3D24"/>
    <w:rsid w:val="007D6EE0"/>
    <w:rsid w:val="007E1A50"/>
    <w:rsid w:val="007E27F4"/>
    <w:rsid w:val="007E7C13"/>
    <w:rsid w:val="007F2BCC"/>
    <w:rsid w:val="007F79DE"/>
    <w:rsid w:val="007F7AE6"/>
    <w:rsid w:val="008005E8"/>
    <w:rsid w:val="00802622"/>
    <w:rsid w:val="00802D5B"/>
    <w:rsid w:val="00803BA6"/>
    <w:rsid w:val="0080416E"/>
    <w:rsid w:val="00807398"/>
    <w:rsid w:val="00812073"/>
    <w:rsid w:val="00815629"/>
    <w:rsid w:val="00815B17"/>
    <w:rsid w:val="00816E88"/>
    <w:rsid w:val="00820942"/>
    <w:rsid w:val="00822CFE"/>
    <w:rsid w:val="00823A59"/>
    <w:rsid w:val="008308F0"/>
    <w:rsid w:val="00831947"/>
    <w:rsid w:val="00831C63"/>
    <w:rsid w:val="008326E2"/>
    <w:rsid w:val="00832764"/>
    <w:rsid w:val="0083285A"/>
    <w:rsid w:val="008376F0"/>
    <w:rsid w:val="00837D5D"/>
    <w:rsid w:val="00840081"/>
    <w:rsid w:val="00842523"/>
    <w:rsid w:val="008432E0"/>
    <w:rsid w:val="00843401"/>
    <w:rsid w:val="00845E58"/>
    <w:rsid w:val="00847037"/>
    <w:rsid w:val="008472EE"/>
    <w:rsid w:val="00854895"/>
    <w:rsid w:val="008555E7"/>
    <w:rsid w:val="00855D48"/>
    <w:rsid w:val="0085619F"/>
    <w:rsid w:val="00856C80"/>
    <w:rsid w:val="00857664"/>
    <w:rsid w:val="00857F30"/>
    <w:rsid w:val="008616A6"/>
    <w:rsid w:val="008642D7"/>
    <w:rsid w:val="00865057"/>
    <w:rsid w:val="008666BE"/>
    <w:rsid w:val="0086674F"/>
    <w:rsid w:val="00873892"/>
    <w:rsid w:val="00875BF3"/>
    <w:rsid w:val="00875E07"/>
    <w:rsid w:val="00877933"/>
    <w:rsid w:val="00880BFD"/>
    <w:rsid w:val="00881CBE"/>
    <w:rsid w:val="008835E0"/>
    <w:rsid w:val="008843FD"/>
    <w:rsid w:val="0088591D"/>
    <w:rsid w:val="008875F0"/>
    <w:rsid w:val="008905C5"/>
    <w:rsid w:val="00893371"/>
    <w:rsid w:val="0089352B"/>
    <w:rsid w:val="00894EE6"/>
    <w:rsid w:val="00895A1F"/>
    <w:rsid w:val="00895B72"/>
    <w:rsid w:val="008A003A"/>
    <w:rsid w:val="008A1283"/>
    <w:rsid w:val="008A1C6D"/>
    <w:rsid w:val="008A284D"/>
    <w:rsid w:val="008A31F0"/>
    <w:rsid w:val="008A6FBC"/>
    <w:rsid w:val="008B06F2"/>
    <w:rsid w:val="008B1807"/>
    <w:rsid w:val="008B2E50"/>
    <w:rsid w:val="008C1B38"/>
    <w:rsid w:val="008C30E3"/>
    <w:rsid w:val="008D065A"/>
    <w:rsid w:val="008D1F00"/>
    <w:rsid w:val="008D24AF"/>
    <w:rsid w:val="008D2840"/>
    <w:rsid w:val="008D33DE"/>
    <w:rsid w:val="008D50EC"/>
    <w:rsid w:val="008D7262"/>
    <w:rsid w:val="008E002E"/>
    <w:rsid w:val="008E031B"/>
    <w:rsid w:val="008E08F1"/>
    <w:rsid w:val="008E5D57"/>
    <w:rsid w:val="008E603E"/>
    <w:rsid w:val="008F0846"/>
    <w:rsid w:val="008F16E5"/>
    <w:rsid w:val="008F1EAD"/>
    <w:rsid w:val="008F2311"/>
    <w:rsid w:val="008F2B07"/>
    <w:rsid w:val="008F3ECA"/>
    <w:rsid w:val="008F5FA1"/>
    <w:rsid w:val="008F6862"/>
    <w:rsid w:val="008F6D67"/>
    <w:rsid w:val="008F6E89"/>
    <w:rsid w:val="0090185F"/>
    <w:rsid w:val="00907320"/>
    <w:rsid w:val="00907D71"/>
    <w:rsid w:val="00910D12"/>
    <w:rsid w:val="00910F55"/>
    <w:rsid w:val="00913D32"/>
    <w:rsid w:val="009150C2"/>
    <w:rsid w:val="00916783"/>
    <w:rsid w:val="00917F7E"/>
    <w:rsid w:val="0092558C"/>
    <w:rsid w:val="00925DB0"/>
    <w:rsid w:val="009324B1"/>
    <w:rsid w:val="00934F6E"/>
    <w:rsid w:val="009356DE"/>
    <w:rsid w:val="009368D9"/>
    <w:rsid w:val="00936DBF"/>
    <w:rsid w:val="009419B7"/>
    <w:rsid w:val="0094279D"/>
    <w:rsid w:val="00942881"/>
    <w:rsid w:val="00944CD4"/>
    <w:rsid w:val="00946781"/>
    <w:rsid w:val="00947B22"/>
    <w:rsid w:val="00947C9C"/>
    <w:rsid w:val="00951B7E"/>
    <w:rsid w:val="0095353F"/>
    <w:rsid w:val="0095481D"/>
    <w:rsid w:val="00954A3F"/>
    <w:rsid w:val="0095550A"/>
    <w:rsid w:val="00956A8D"/>
    <w:rsid w:val="00963620"/>
    <w:rsid w:val="00964099"/>
    <w:rsid w:val="00964905"/>
    <w:rsid w:val="009666F5"/>
    <w:rsid w:val="00966CEF"/>
    <w:rsid w:val="00966E75"/>
    <w:rsid w:val="009671CB"/>
    <w:rsid w:val="009714D6"/>
    <w:rsid w:val="0097298F"/>
    <w:rsid w:val="00972E12"/>
    <w:rsid w:val="009740A4"/>
    <w:rsid w:val="00976627"/>
    <w:rsid w:val="00976FE5"/>
    <w:rsid w:val="00980154"/>
    <w:rsid w:val="00981E3D"/>
    <w:rsid w:val="00985351"/>
    <w:rsid w:val="0099174A"/>
    <w:rsid w:val="00994D04"/>
    <w:rsid w:val="00996E98"/>
    <w:rsid w:val="00996EE8"/>
    <w:rsid w:val="00997E7F"/>
    <w:rsid w:val="009A37AD"/>
    <w:rsid w:val="009A3ED7"/>
    <w:rsid w:val="009B2C71"/>
    <w:rsid w:val="009B6965"/>
    <w:rsid w:val="009B7E63"/>
    <w:rsid w:val="009C216B"/>
    <w:rsid w:val="009C2C21"/>
    <w:rsid w:val="009C39E6"/>
    <w:rsid w:val="009C4F04"/>
    <w:rsid w:val="009C7B88"/>
    <w:rsid w:val="009D17F1"/>
    <w:rsid w:val="009D1F44"/>
    <w:rsid w:val="009D2092"/>
    <w:rsid w:val="009D291F"/>
    <w:rsid w:val="009D4667"/>
    <w:rsid w:val="009E1FB7"/>
    <w:rsid w:val="009E2993"/>
    <w:rsid w:val="009E30C4"/>
    <w:rsid w:val="009E3871"/>
    <w:rsid w:val="009E5007"/>
    <w:rsid w:val="009F1E57"/>
    <w:rsid w:val="009F6174"/>
    <w:rsid w:val="009F682C"/>
    <w:rsid w:val="00A025DC"/>
    <w:rsid w:val="00A033F2"/>
    <w:rsid w:val="00A03BCC"/>
    <w:rsid w:val="00A0413E"/>
    <w:rsid w:val="00A05A28"/>
    <w:rsid w:val="00A060B6"/>
    <w:rsid w:val="00A0666A"/>
    <w:rsid w:val="00A0749C"/>
    <w:rsid w:val="00A10E19"/>
    <w:rsid w:val="00A10FA3"/>
    <w:rsid w:val="00A11153"/>
    <w:rsid w:val="00A1214F"/>
    <w:rsid w:val="00A12273"/>
    <w:rsid w:val="00A1329E"/>
    <w:rsid w:val="00A14801"/>
    <w:rsid w:val="00A14E82"/>
    <w:rsid w:val="00A17E5D"/>
    <w:rsid w:val="00A21AE1"/>
    <w:rsid w:val="00A21C59"/>
    <w:rsid w:val="00A21E9C"/>
    <w:rsid w:val="00A226F7"/>
    <w:rsid w:val="00A23708"/>
    <w:rsid w:val="00A25865"/>
    <w:rsid w:val="00A32A05"/>
    <w:rsid w:val="00A36DCB"/>
    <w:rsid w:val="00A37B24"/>
    <w:rsid w:val="00A4008F"/>
    <w:rsid w:val="00A42476"/>
    <w:rsid w:val="00A42B87"/>
    <w:rsid w:val="00A42F18"/>
    <w:rsid w:val="00A445EE"/>
    <w:rsid w:val="00A47912"/>
    <w:rsid w:val="00A51C1D"/>
    <w:rsid w:val="00A55080"/>
    <w:rsid w:val="00A60C6A"/>
    <w:rsid w:val="00A639F2"/>
    <w:rsid w:val="00A657A7"/>
    <w:rsid w:val="00A702C4"/>
    <w:rsid w:val="00A7154E"/>
    <w:rsid w:val="00A73CE0"/>
    <w:rsid w:val="00A75450"/>
    <w:rsid w:val="00A76AE4"/>
    <w:rsid w:val="00A818A5"/>
    <w:rsid w:val="00A82E41"/>
    <w:rsid w:val="00A83C4B"/>
    <w:rsid w:val="00AA0873"/>
    <w:rsid w:val="00AA19E3"/>
    <w:rsid w:val="00AA1EB8"/>
    <w:rsid w:val="00AA319B"/>
    <w:rsid w:val="00AA36EA"/>
    <w:rsid w:val="00AA56EA"/>
    <w:rsid w:val="00AA5907"/>
    <w:rsid w:val="00AA6151"/>
    <w:rsid w:val="00AA7D85"/>
    <w:rsid w:val="00AA7DEE"/>
    <w:rsid w:val="00AB05ED"/>
    <w:rsid w:val="00AB21DD"/>
    <w:rsid w:val="00AB2830"/>
    <w:rsid w:val="00AB4CB3"/>
    <w:rsid w:val="00AB507B"/>
    <w:rsid w:val="00AC07B4"/>
    <w:rsid w:val="00AC2311"/>
    <w:rsid w:val="00AD22C3"/>
    <w:rsid w:val="00AD2F3D"/>
    <w:rsid w:val="00AD7849"/>
    <w:rsid w:val="00AE0673"/>
    <w:rsid w:val="00AE1F7C"/>
    <w:rsid w:val="00AE5D85"/>
    <w:rsid w:val="00AF051F"/>
    <w:rsid w:val="00AF143A"/>
    <w:rsid w:val="00AF26B8"/>
    <w:rsid w:val="00AF36ED"/>
    <w:rsid w:val="00AF5E25"/>
    <w:rsid w:val="00AF602C"/>
    <w:rsid w:val="00B005F4"/>
    <w:rsid w:val="00B021F4"/>
    <w:rsid w:val="00B02EC7"/>
    <w:rsid w:val="00B076D1"/>
    <w:rsid w:val="00B131DE"/>
    <w:rsid w:val="00B13680"/>
    <w:rsid w:val="00B17991"/>
    <w:rsid w:val="00B2224A"/>
    <w:rsid w:val="00B2428E"/>
    <w:rsid w:val="00B24DD3"/>
    <w:rsid w:val="00B2503E"/>
    <w:rsid w:val="00B26361"/>
    <w:rsid w:val="00B3008E"/>
    <w:rsid w:val="00B330AF"/>
    <w:rsid w:val="00B339BF"/>
    <w:rsid w:val="00B35CF1"/>
    <w:rsid w:val="00B35F6D"/>
    <w:rsid w:val="00B40A41"/>
    <w:rsid w:val="00B4226C"/>
    <w:rsid w:val="00B426F7"/>
    <w:rsid w:val="00B43041"/>
    <w:rsid w:val="00B4443B"/>
    <w:rsid w:val="00B44839"/>
    <w:rsid w:val="00B4517E"/>
    <w:rsid w:val="00B451B3"/>
    <w:rsid w:val="00B51131"/>
    <w:rsid w:val="00B51915"/>
    <w:rsid w:val="00B526F7"/>
    <w:rsid w:val="00B52E5C"/>
    <w:rsid w:val="00B5466B"/>
    <w:rsid w:val="00B550A7"/>
    <w:rsid w:val="00B568F2"/>
    <w:rsid w:val="00B60292"/>
    <w:rsid w:val="00B62476"/>
    <w:rsid w:val="00B6438D"/>
    <w:rsid w:val="00B66027"/>
    <w:rsid w:val="00B669D3"/>
    <w:rsid w:val="00B66CD9"/>
    <w:rsid w:val="00B7271A"/>
    <w:rsid w:val="00B73103"/>
    <w:rsid w:val="00B734E7"/>
    <w:rsid w:val="00B7350F"/>
    <w:rsid w:val="00B7378D"/>
    <w:rsid w:val="00B74874"/>
    <w:rsid w:val="00B74A75"/>
    <w:rsid w:val="00B7596E"/>
    <w:rsid w:val="00B75A3D"/>
    <w:rsid w:val="00B76AC2"/>
    <w:rsid w:val="00B77C58"/>
    <w:rsid w:val="00B836E0"/>
    <w:rsid w:val="00B844E7"/>
    <w:rsid w:val="00B85A8C"/>
    <w:rsid w:val="00B86845"/>
    <w:rsid w:val="00B901A9"/>
    <w:rsid w:val="00B90554"/>
    <w:rsid w:val="00B92901"/>
    <w:rsid w:val="00B92E02"/>
    <w:rsid w:val="00B93B08"/>
    <w:rsid w:val="00B97F4F"/>
    <w:rsid w:val="00BA29CB"/>
    <w:rsid w:val="00BA469C"/>
    <w:rsid w:val="00BA475F"/>
    <w:rsid w:val="00BA55AB"/>
    <w:rsid w:val="00BA7CB6"/>
    <w:rsid w:val="00BB0091"/>
    <w:rsid w:val="00BB0230"/>
    <w:rsid w:val="00BB3504"/>
    <w:rsid w:val="00BB3AB0"/>
    <w:rsid w:val="00BB3B52"/>
    <w:rsid w:val="00BB62B0"/>
    <w:rsid w:val="00BC0854"/>
    <w:rsid w:val="00BC2E8F"/>
    <w:rsid w:val="00BD1C5B"/>
    <w:rsid w:val="00BD2F1B"/>
    <w:rsid w:val="00BD3D0F"/>
    <w:rsid w:val="00BD5D54"/>
    <w:rsid w:val="00BE4057"/>
    <w:rsid w:val="00BE4CAF"/>
    <w:rsid w:val="00BF2049"/>
    <w:rsid w:val="00BF7870"/>
    <w:rsid w:val="00C012DC"/>
    <w:rsid w:val="00C036EF"/>
    <w:rsid w:val="00C06F69"/>
    <w:rsid w:val="00C078CD"/>
    <w:rsid w:val="00C11908"/>
    <w:rsid w:val="00C12059"/>
    <w:rsid w:val="00C134FC"/>
    <w:rsid w:val="00C13D14"/>
    <w:rsid w:val="00C1529B"/>
    <w:rsid w:val="00C15DAF"/>
    <w:rsid w:val="00C16885"/>
    <w:rsid w:val="00C17814"/>
    <w:rsid w:val="00C17F0F"/>
    <w:rsid w:val="00C237AD"/>
    <w:rsid w:val="00C239D0"/>
    <w:rsid w:val="00C278D1"/>
    <w:rsid w:val="00C3073F"/>
    <w:rsid w:val="00C314B8"/>
    <w:rsid w:val="00C33A25"/>
    <w:rsid w:val="00C37D06"/>
    <w:rsid w:val="00C430F5"/>
    <w:rsid w:val="00C461D5"/>
    <w:rsid w:val="00C47A0B"/>
    <w:rsid w:val="00C47DA9"/>
    <w:rsid w:val="00C53E71"/>
    <w:rsid w:val="00C53FED"/>
    <w:rsid w:val="00C56174"/>
    <w:rsid w:val="00C574E5"/>
    <w:rsid w:val="00C666A9"/>
    <w:rsid w:val="00C67A76"/>
    <w:rsid w:val="00C70186"/>
    <w:rsid w:val="00C71FEF"/>
    <w:rsid w:val="00C732E2"/>
    <w:rsid w:val="00C7740D"/>
    <w:rsid w:val="00C80A95"/>
    <w:rsid w:val="00C81C28"/>
    <w:rsid w:val="00C82C56"/>
    <w:rsid w:val="00C82E44"/>
    <w:rsid w:val="00C83029"/>
    <w:rsid w:val="00C835C2"/>
    <w:rsid w:val="00C85879"/>
    <w:rsid w:val="00C8595C"/>
    <w:rsid w:val="00C87702"/>
    <w:rsid w:val="00C87CE3"/>
    <w:rsid w:val="00C93C40"/>
    <w:rsid w:val="00CA0F71"/>
    <w:rsid w:val="00CA2156"/>
    <w:rsid w:val="00CA4E93"/>
    <w:rsid w:val="00CA5889"/>
    <w:rsid w:val="00CA5B6A"/>
    <w:rsid w:val="00CA5FA5"/>
    <w:rsid w:val="00CB156F"/>
    <w:rsid w:val="00CB265E"/>
    <w:rsid w:val="00CB3424"/>
    <w:rsid w:val="00CB3E37"/>
    <w:rsid w:val="00CB50EA"/>
    <w:rsid w:val="00CB7960"/>
    <w:rsid w:val="00CB7BF1"/>
    <w:rsid w:val="00CB7C34"/>
    <w:rsid w:val="00CC0BC1"/>
    <w:rsid w:val="00CC75E4"/>
    <w:rsid w:val="00CC78E7"/>
    <w:rsid w:val="00CD09E2"/>
    <w:rsid w:val="00CD0F0C"/>
    <w:rsid w:val="00CD48B7"/>
    <w:rsid w:val="00CD503C"/>
    <w:rsid w:val="00CD5641"/>
    <w:rsid w:val="00CD59E7"/>
    <w:rsid w:val="00CE1876"/>
    <w:rsid w:val="00CE5A71"/>
    <w:rsid w:val="00CE689E"/>
    <w:rsid w:val="00CE7352"/>
    <w:rsid w:val="00CF00AC"/>
    <w:rsid w:val="00CF050A"/>
    <w:rsid w:val="00CF0C69"/>
    <w:rsid w:val="00CF15ED"/>
    <w:rsid w:val="00CF258A"/>
    <w:rsid w:val="00CF2A68"/>
    <w:rsid w:val="00CF3D9D"/>
    <w:rsid w:val="00CF5F4A"/>
    <w:rsid w:val="00D03257"/>
    <w:rsid w:val="00D03378"/>
    <w:rsid w:val="00D06538"/>
    <w:rsid w:val="00D0737E"/>
    <w:rsid w:val="00D07867"/>
    <w:rsid w:val="00D11846"/>
    <w:rsid w:val="00D13B0E"/>
    <w:rsid w:val="00D21122"/>
    <w:rsid w:val="00D22F98"/>
    <w:rsid w:val="00D238D7"/>
    <w:rsid w:val="00D24E2B"/>
    <w:rsid w:val="00D263C9"/>
    <w:rsid w:val="00D30909"/>
    <w:rsid w:val="00D30EDF"/>
    <w:rsid w:val="00D32144"/>
    <w:rsid w:val="00D33A70"/>
    <w:rsid w:val="00D35FF8"/>
    <w:rsid w:val="00D37547"/>
    <w:rsid w:val="00D42988"/>
    <w:rsid w:val="00D435C7"/>
    <w:rsid w:val="00D47A3E"/>
    <w:rsid w:val="00D552AE"/>
    <w:rsid w:val="00D56FEE"/>
    <w:rsid w:val="00D60701"/>
    <w:rsid w:val="00D60FDD"/>
    <w:rsid w:val="00D61ADA"/>
    <w:rsid w:val="00D63BFB"/>
    <w:rsid w:val="00D64DEF"/>
    <w:rsid w:val="00D65B63"/>
    <w:rsid w:val="00D7084F"/>
    <w:rsid w:val="00D70E50"/>
    <w:rsid w:val="00D77A37"/>
    <w:rsid w:val="00D81315"/>
    <w:rsid w:val="00D81BAE"/>
    <w:rsid w:val="00D82014"/>
    <w:rsid w:val="00D82493"/>
    <w:rsid w:val="00D835BD"/>
    <w:rsid w:val="00D844A9"/>
    <w:rsid w:val="00D8701E"/>
    <w:rsid w:val="00D87967"/>
    <w:rsid w:val="00D909EB"/>
    <w:rsid w:val="00D90F1A"/>
    <w:rsid w:val="00D91053"/>
    <w:rsid w:val="00D9705D"/>
    <w:rsid w:val="00D971E4"/>
    <w:rsid w:val="00DA02FE"/>
    <w:rsid w:val="00DA29AE"/>
    <w:rsid w:val="00DA29E2"/>
    <w:rsid w:val="00DA45AE"/>
    <w:rsid w:val="00DA499E"/>
    <w:rsid w:val="00DA4FD5"/>
    <w:rsid w:val="00DA641A"/>
    <w:rsid w:val="00DB35B3"/>
    <w:rsid w:val="00DB6F82"/>
    <w:rsid w:val="00DB795D"/>
    <w:rsid w:val="00DC1107"/>
    <w:rsid w:val="00DC1D85"/>
    <w:rsid w:val="00DC1F67"/>
    <w:rsid w:val="00DC3654"/>
    <w:rsid w:val="00DC4C9E"/>
    <w:rsid w:val="00DC7506"/>
    <w:rsid w:val="00DD0D37"/>
    <w:rsid w:val="00DD2B4A"/>
    <w:rsid w:val="00DD4784"/>
    <w:rsid w:val="00DD4A2B"/>
    <w:rsid w:val="00DD7D90"/>
    <w:rsid w:val="00DE245D"/>
    <w:rsid w:val="00DE2C35"/>
    <w:rsid w:val="00DE2C81"/>
    <w:rsid w:val="00DE38DB"/>
    <w:rsid w:val="00DE3FCE"/>
    <w:rsid w:val="00DE4537"/>
    <w:rsid w:val="00DE7D80"/>
    <w:rsid w:val="00DF0573"/>
    <w:rsid w:val="00DF369C"/>
    <w:rsid w:val="00DF3898"/>
    <w:rsid w:val="00DF4569"/>
    <w:rsid w:val="00DF4B13"/>
    <w:rsid w:val="00DF61B4"/>
    <w:rsid w:val="00E01EAF"/>
    <w:rsid w:val="00E05FC1"/>
    <w:rsid w:val="00E06F0C"/>
    <w:rsid w:val="00E073DD"/>
    <w:rsid w:val="00E10D6B"/>
    <w:rsid w:val="00E12EA3"/>
    <w:rsid w:val="00E13C1D"/>
    <w:rsid w:val="00E15619"/>
    <w:rsid w:val="00E15D45"/>
    <w:rsid w:val="00E1657A"/>
    <w:rsid w:val="00E17BCF"/>
    <w:rsid w:val="00E17EF4"/>
    <w:rsid w:val="00E25859"/>
    <w:rsid w:val="00E30F1F"/>
    <w:rsid w:val="00E3196F"/>
    <w:rsid w:val="00E33758"/>
    <w:rsid w:val="00E35D2B"/>
    <w:rsid w:val="00E37FB9"/>
    <w:rsid w:val="00E40BEE"/>
    <w:rsid w:val="00E413B5"/>
    <w:rsid w:val="00E431B2"/>
    <w:rsid w:val="00E54EF9"/>
    <w:rsid w:val="00E55E45"/>
    <w:rsid w:val="00E56D55"/>
    <w:rsid w:val="00E56F8C"/>
    <w:rsid w:val="00E61544"/>
    <w:rsid w:val="00E65704"/>
    <w:rsid w:val="00E675CC"/>
    <w:rsid w:val="00E707F1"/>
    <w:rsid w:val="00E71CBC"/>
    <w:rsid w:val="00E74F4C"/>
    <w:rsid w:val="00E76720"/>
    <w:rsid w:val="00E83821"/>
    <w:rsid w:val="00E90485"/>
    <w:rsid w:val="00E926C0"/>
    <w:rsid w:val="00E92BE4"/>
    <w:rsid w:val="00E9374F"/>
    <w:rsid w:val="00E94AD4"/>
    <w:rsid w:val="00E977EB"/>
    <w:rsid w:val="00EA2B3F"/>
    <w:rsid w:val="00EA3D9C"/>
    <w:rsid w:val="00EA6C55"/>
    <w:rsid w:val="00EB0A7E"/>
    <w:rsid w:val="00EB4B6E"/>
    <w:rsid w:val="00EB5360"/>
    <w:rsid w:val="00EB5ED6"/>
    <w:rsid w:val="00EC0055"/>
    <w:rsid w:val="00EC108F"/>
    <w:rsid w:val="00EC31CB"/>
    <w:rsid w:val="00EC4205"/>
    <w:rsid w:val="00EC472F"/>
    <w:rsid w:val="00EC4F9C"/>
    <w:rsid w:val="00EC54B6"/>
    <w:rsid w:val="00EC70CB"/>
    <w:rsid w:val="00ED0E21"/>
    <w:rsid w:val="00ED2AA1"/>
    <w:rsid w:val="00ED3AEC"/>
    <w:rsid w:val="00ED7F40"/>
    <w:rsid w:val="00EE080D"/>
    <w:rsid w:val="00EE1722"/>
    <w:rsid w:val="00EE21B7"/>
    <w:rsid w:val="00EE21D7"/>
    <w:rsid w:val="00EE25EE"/>
    <w:rsid w:val="00EE2D7A"/>
    <w:rsid w:val="00EE37F1"/>
    <w:rsid w:val="00EF1EC0"/>
    <w:rsid w:val="00EF35E4"/>
    <w:rsid w:val="00EF4702"/>
    <w:rsid w:val="00EF5786"/>
    <w:rsid w:val="00EF76BA"/>
    <w:rsid w:val="00F0025C"/>
    <w:rsid w:val="00F014D4"/>
    <w:rsid w:val="00F047F8"/>
    <w:rsid w:val="00F06443"/>
    <w:rsid w:val="00F06D1F"/>
    <w:rsid w:val="00F07A82"/>
    <w:rsid w:val="00F10568"/>
    <w:rsid w:val="00F115E2"/>
    <w:rsid w:val="00F11E92"/>
    <w:rsid w:val="00F1238F"/>
    <w:rsid w:val="00F155A3"/>
    <w:rsid w:val="00F173D3"/>
    <w:rsid w:val="00F20415"/>
    <w:rsid w:val="00F211B4"/>
    <w:rsid w:val="00F214A7"/>
    <w:rsid w:val="00F224F8"/>
    <w:rsid w:val="00F24B15"/>
    <w:rsid w:val="00F24D79"/>
    <w:rsid w:val="00F271B4"/>
    <w:rsid w:val="00F3016C"/>
    <w:rsid w:val="00F361EE"/>
    <w:rsid w:val="00F405DD"/>
    <w:rsid w:val="00F4376C"/>
    <w:rsid w:val="00F448FC"/>
    <w:rsid w:val="00F458B0"/>
    <w:rsid w:val="00F47440"/>
    <w:rsid w:val="00F50BE1"/>
    <w:rsid w:val="00F55425"/>
    <w:rsid w:val="00F55C23"/>
    <w:rsid w:val="00F56F65"/>
    <w:rsid w:val="00F61ACC"/>
    <w:rsid w:val="00F62722"/>
    <w:rsid w:val="00F62F89"/>
    <w:rsid w:val="00F6322B"/>
    <w:rsid w:val="00F64F69"/>
    <w:rsid w:val="00F65A91"/>
    <w:rsid w:val="00F67827"/>
    <w:rsid w:val="00F7015D"/>
    <w:rsid w:val="00F74F5F"/>
    <w:rsid w:val="00F83A41"/>
    <w:rsid w:val="00F90E9C"/>
    <w:rsid w:val="00F92837"/>
    <w:rsid w:val="00F97453"/>
    <w:rsid w:val="00F97985"/>
    <w:rsid w:val="00FA253B"/>
    <w:rsid w:val="00FA3174"/>
    <w:rsid w:val="00FA6794"/>
    <w:rsid w:val="00FB0318"/>
    <w:rsid w:val="00FB160F"/>
    <w:rsid w:val="00FB1B9A"/>
    <w:rsid w:val="00FB3884"/>
    <w:rsid w:val="00FB5C1A"/>
    <w:rsid w:val="00FB70EE"/>
    <w:rsid w:val="00FC0CCB"/>
    <w:rsid w:val="00FC2145"/>
    <w:rsid w:val="00FC48A4"/>
    <w:rsid w:val="00FC55C3"/>
    <w:rsid w:val="00FC6328"/>
    <w:rsid w:val="00FD0217"/>
    <w:rsid w:val="00FE0ECA"/>
    <w:rsid w:val="00FE1998"/>
    <w:rsid w:val="00FE2481"/>
    <w:rsid w:val="00FE2A5B"/>
    <w:rsid w:val="00FE5F6B"/>
    <w:rsid w:val="00FF079D"/>
    <w:rsid w:val="00FF07E5"/>
    <w:rsid w:val="00FF0E26"/>
    <w:rsid w:val="00FF34EE"/>
    <w:rsid w:val="00FF50D0"/>
    <w:rsid w:val="00FF5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0"/>
    <w:lsdException w:name="toc 5" w:uiPriority="39"/>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708"/>
    <w:pPr>
      <w:spacing w:line="240" w:lineRule="atLeast"/>
    </w:pPr>
    <w:rPr>
      <w:rFonts w:ascii="Garamond" w:eastAsia="Times New Roman" w:hAnsi="Garamond"/>
      <w:sz w:val="24"/>
    </w:rPr>
  </w:style>
  <w:style w:type="paragraph" w:styleId="Heading1">
    <w:name w:val="heading 1"/>
    <w:aliases w:val="H1-Sec.Head"/>
    <w:basedOn w:val="Normal"/>
    <w:next w:val="L1-FlLSp12"/>
    <w:link w:val="Heading1Char"/>
    <w:qFormat/>
    <w:rsid w:val="00A23708"/>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A23708"/>
    <w:pPr>
      <w:outlineLvl w:val="1"/>
    </w:pPr>
    <w:rPr>
      <w:sz w:val="28"/>
    </w:rPr>
  </w:style>
  <w:style w:type="paragraph" w:styleId="Heading3">
    <w:name w:val="heading 3"/>
    <w:aliases w:val="H3-Sec. Head"/>
    <w:basedOn w:val="Heading1"/>
    <w:next w:val="L1-FlLSp12"/>
    <w:link w:val="Heading3Char"/>
    <w:qFormat/>
    <w:rsid w:val="00A23708"/>
    <w:pPr>
      <w:outlineLvl w:val="2"/>
    </w:pPr>
    <w:rPr>
      <w:color w:val="auto"/>
      <w:sz w:val="24"/>
    </w:rPr>
  </w:style>
  <w:style w:type="paragraph" w:styleId="Heading4">
    <w:name w:val="heading 4"/>
    <w:aliases w:val="H4 Sec.Heading"/>
    <w:basedOn w:val="Heading1"/>
    <w:next w:val="L1-FlLSp12"/>
    <w:link w:val="Heading4Char"/>
    <w:qFormat/>
    <w:rsid w:val="00A23708"/>
    <w:pPr>
      <w:outlineLvl w:val="3"/>
    </w:pPr>
    <w:rPr>
      <w:i/>
      <w:color w:val="auto"/>
      <w:sz w:val="24"/>
    </w:rPr>
  </w:style>
  <w:style w:type="paragraph" w:styleId="Heading5">
    <w:name w:val="heading 5"/>
    <w:basedOn w:val="Normal"/>
    <w:next w:val="Normal"/>
    <w:link w:val="Heading5Char"/>
    <w:qFormat/>
    <w:rsid w:val="00A23708"/>
    <w:pPr>
      <w:keepLines/>
      <w:spacing w:before="360" w:line="360" w:lineRule="atLeast"/>
      <w:jc w:val="center"/>
      <w:outlineLvl w:val="4"/>
    </w:pPr>
  </w:style>
  <w:style w:type="paragraph" w:styleId="Heading6">
    <w:name w:val="heading 6"/>
    <w:basedOn w:val="Normal"/>
    <w:next w:val="Normal"/>
    <w:link w:val="Heading6Char"/>
    <w:qFormat/>
    <w:rsid w:val="00A23708"/>
    <w:pPr>
      <w:keepNext/>
      <w:spacing w:before="240"/>
      <w:jc w:val="center"/>
      <w:outlineLvl w:val="5"/>
    </w:pPr>
    <w:rPr>
      <w:b/>
      <w:caps/>
    </w:rPr>
  </w:style>
  <w:style w:type="paragraph" w:styleId="Heading7">
    <w:name w:val="heading 7"/>
    <w:basedOn w:val="Normal"/>
    <w:next w:val="Normal"/>
    <w:link w:val="Heading7Char"/>
    <w:qFormat/>
    <w:rsid w:val="00A2370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Sec. Head Char"/>
    <w:link w:val="Heading3"/>
    <w:rsid w:val="008F5FA1"/>
    <w:rPr>
      <w:rFonts w:ascii="Franklin Gothic Medium" w:eastAsia="Times New Roman" w:hAnsi="Franklin Gothic Medium"/>
      <w:b/>
      <w:sz w:val="24"/>
    </w:rPr>
  </w:style>
  <w:style w:type="character" w:customStyle="1" w:styleId="Heading1Char">
    <w:name w:val="Heading 1 Char"/>
    <w:aliases w:val="H1-Sec.Head Char"/>
    <w:link w:val="Heading1"/>
    <w:rsid w:val="008F5FA1"/>
    <w:rPr>
      <w:rFonts w:ascii="Franklin Gothic Medium" w:eastAsia="Times New Roman" w:hAnsi="Franklin Gothic Medium"/>
      <w:b/>
      <w:color w:val="324162"/>
      <w:sz w:val="32"/>
    </w:rPr>
  </w:style>
  <w:style w:type="paragraph" w:customStyle="1" w:styleId="L1-FlLSp12">
    <w:name w:val="L1-FlL Sp&amp;1/2"/>
    <w:basedOn w:val="Normal"/>
    <w:link w:val="L1-FlLSp12Char"/>
    <w:uiPriority w:val="99"/>
    <w:rsid w:val="00A23708"/>
    <w:pPr>
      <w:tabs>
        <w:tab w:val="left" w:pos="1152"/>
      </w:tabs>
      <w:spacing w:line="360" w:lineRule="atLeast"/>
    </w:pPr>
  </w:style>
  <w:style w:type="paragraph" w:customStyle="1" w:styleId="TT-TableTitle">
    <w:name w:val="TT-Table Title"/>
    <w:basedOn w:val="Heading1"/>
    <w:link w:val="TT-TableTitleChar"/>
    <w:rsid w:val="00A23708"/>
    <w:pPr>
      <w:tabs>
        <w:tab w:val="clear" w:pos="1152"/>
        <w:tab w:val="left" w:pos="1440"/>
      </w:tabs>
      <w:spacing w:after="0" w:line="240" w:lineRule="atLeast"/>
      <w:ind w:left="1440" w:hanging="1440"/>
    </w:pPr>
    <w:rPr>
      <w:b w:val="0"/>
      <w:color w:val="auto"/>
      <w:sz w:val="22"/>
    </w:rPr>
  </w:style>
  <w:style w:type="paragraph" w:customStyle="1" w:styleId="TF-TblFN">
    <w:name w:val="TF-Tbl FN"/>
    <w:basedOn w:val="FootnoteText"/>
    <w:rsid w:val="00A23708"/>
    <w:rPr>
      <w:rFonts w:ascii="Franklin Gothic Medium" w:hAnsi="Franklin Gothic Medium"/>
      <w:sz w:val="18"/>
    </w:rPr>
  </w:style>
  <w:style w:type="paragraph" w:customStyle="1" w:styleId="TH-TableHeading">
    <w:name w:val="TH-Table Heading"/>
    <w:basedOn w:val="Heading1"/>
    <w:rsid w:val="00A23708"/>
    <w:pPr>
      <w:spacing w:after="0" w:line="240" w:lineRule="atLeast"/>
      <w:ind w:left="0" w:firstLine="0"/>
      <w:jc w:val="center"/>
    </w:pPr>
    <w:rPr>
      <w:color w:val="auto"/>
      <w:sz w:val="20"/>
    </w:rPr>
  </w:style>
  <w:style w:type="paragraph" w:customStyle="1" w:styleId="TX-TableText">
    <w:name w:val="TX-Table Text"/>
    <w:basedOn w:val="Normal"/>
    <w:rsid w:val="00A23708"/>
    <w:rPr>
      <w:rFonts w:ascii="Franklin Gothic Medium" w:hAnsi="Franklin Gothic Medium"/>
      <w:sz w:val="20"/>
    </w:rPr>
  </w:style>
  <w:style w:type="character" w:customStyle="1" w:styleId="TT-TableTitleChar">
    <w:name w:val="TT-Table Title Char"/>
    <w:link w:val="TT-TableTitle"/>
    <w:rsid w:val="008F5FA1"/>
    <w:rPr>
      <w:rFonts w:ascii="Franklin Gothic Medium" w:eastAsia="Times New Roman" w:hAnsi="Franklin Gothic Medium"/>
      <w:sz w:val="22"/>
    </w:rPr>
  </w:style>
  <w:style w:type="character" w:customStyle="1" w:styleId="L1-FlLSp12Char">
    <w:name w:val="L1-FlL Sp&amp;1/2 Char"/>
    <w:link w:val="L1-FlLSp12"/>
    <w:uiPriority w:val="99"/>
    <w:rsid w:val="008F5FA1"/>
    <w:rPr>
      <w:rFonts w:ascii="Garamond" w:eastAsia="Times New Roman" w:hAnsi="Garamond"/>
      <w:sz w:val="24"/>
    </w:rPr>
  </w:style>
  <w:style w:type="paragraph" w:styleId="FootnoteText">
    <w:name w:val="footnote text"/>
    <w:aliases w:val="F1"/>
    <w:link w:val="FootnoteTextChar"/>
    <w:rsid w:val="00A23708"/>
    <w:pPr>
      <w:tabs>
        <w:tab w:val="left" w:pos="120"/>
      </w:tabs>
      <w:spacing w:before="120" w:line="200" w:lineRule="atLeast"/>
      <w:ind w:left="115" w:hanging="115"/>
    </w:pPr>
    <w:rPr>
      <w:rFonts w:ascii="Garamond" w:eastAsia="Times New Roman" w:hAnsi="Garamond"/>
      <w:sz w:val="16"/>
    </w:rPr>
  </w:style>
  <w:style w:type="character" w:customStyle="1" w:styleId="FootnoteTextChar">
    <w:name w:val="Footnote Text Char"/>
    <w:aliases w:val="F1 Char"/>
    <w:link w:val="FootnoteText"/>
    <w:rsid w:val="008F5FA1"/>
    <w:rPr>
      <w:rFonts w:ascii="Garamond" w:eastAsia="Times New Roman" w:hAnsi="Garamond"/>
      <w:sz w:val="16"/>
    </w:rPr>
  </w:style>
  <w:style w:type="paragraph" w:customStyle="1" w:styleId="N1-1stBullet">
    <w:name w:val="N1-1st Bullet"/>
    <w:basedOn w:val="Normal"/>
    <w:rsid w:val="00A23708"/>
    <w:pPr>
      <w:numPr>
        <w:numId w:val="16"/>
      </w:numPr>
      <w:spacing w:after="240"/>
    </w:pPr>
  </w:style>
  <w:style w:type="paragraph" w:customStyle="1" w:styleId="N7-3Block">
    <w:name w:val="N7-3&quot; Block"/>
    <w:basedOn w:val="Normal"/>
    <w:rsid w:val="00A23708"/>
    <w:pPr>
      <w:tabs>
        <w:tab w:val="left" w:pos="1152"/>
      </w:tabs>
      <w:ind w:left="1152" w:right="1152"/>
    </w:pPr>
  </w:style>
  <w:style w:type="character" w:customStyle="1" w:styleId="Heading2Char">
    <w:name w:val="Heading 2 Char"/>
    <w:aliases w:val="H2-Sec. Head Char"/>
    <w:link w:val="Heading2"/>
    <w:rsid w:val="002F7ABC"/>
    <w:rPr>
      <w:rFonts w:ascii="Franklin Gothic Medium" w:eastAsia="Times New Roman" w:hAnsi="Franklin Gothic Medium"/>
      <w:b/>
      <w:color w:val="324162"/>
      <w:sz w:val="28"/>
    </w:rPr>
  </w:style>
  <w:style w:type="paragraph" w:styleId="Header">
    <w:name w:val="header"/>
    <w:basedOn w:val="Normal"/>
    <w:link w:val="HeaderChar"/>
    <w:rsid w:val="00A23708"/>
    <w:rPr>
      <w:sz w:val="16"/>
    </w:rPr>
  </w:style>
  <w:style w:type="character" w:customStyle="1" w:styleId="HeaderChar">
    <w:name w:val="Header Char"/>
    <w:link w:val="Header"/>
    <w:rsid w:val="002F7ABC"/>
    <w:rPr>
      <w:rFonts w:ascii="Garamond" w:eastAsia="Times New Roman" w:hAnsi="Garamond"/>
      <w:sz w:val="16"/>
    </w:rPr>
  </w:style>
  <w:style w:type="paragraph" w:customStyle="1" w:styleId="C1-CtrBoldHd">
    <w:name w:val="C1-Ctr BoldHd"/>
    <w:rsid w:val="00A23708"/>
    <w:pPr>
      <w:keepNext/>
      <w:spacing w:after="720" w:line="240" w:lineRule="atLeast"/>
      <w:jc w:val="center"/>
    </w:pPr>
    <w:rPr>
      <w:rFonts w:ascii="Franklin Gothic Medium" w:eastAsia="Times New Roman" w:hAnsi="Franklin Gothic Medium"/>
      <w:b/>
      <w:color w:val="324162"/>
      <w:sz w:val="28"/>
    </w:rPr>
  </w:style>
  <w:style w:type="paragraph" w:customStyle="1" w:styleId="C2-CtrSglSp">
    <w:name w:val="C2-Ctr Sgl Sp"/>
    <w:basedOn w:val="Normal"/>
    <w:rsid w:val="00A23708"/>
    <w:pPr>
      <w:keepLines/>
      <w:jc w:val="center"/>
    </w:pPr>
  </w:style>
  <w:style w:type="paragraph" w:customStyle="1" w:styleId="CT-ContractInformation">
    <w:name w:val="CT-Contract Information"/>
    <w:basedOn w:val="Normal"/>
    <w:rsid w:val="00A23708"/>
    <w:pPr>
      <w:tabs>
        <w:tab w:val="left" w:pos="2232"/>
      </w:tabs>
      <w:spacing w:line="240" w:lineRule="exact"/>
    </w:pPr>
    <w:rPr>
      <w:vanish/>
    </w:rPr>
  </w:style>
  <w:style w:type="character" w:styleId="Hyperlink">
    <w:name w:val="Hyperlink"/>
    <w:uiPriority w:val="99"/>
    <w:unhideWhenUsed/>
    <w:rsid w:val="006C72BD"/>
    <w:rPr>
      <w:color w:val="0000FF"/>
      <w:u w:val="single"/>
    </w:rPr>
  </w:style>
  <w:style w:type="paragraph" w:customStyle="1" w:styleId="E1-Equation">
    <w:name w:val="E1-Equation"/>
    <w:basedOn w:val="Normal"/>
    <w:rsid w:val="00A23708"/>
    <w:pPr>
      <w:tabs>
        <w:tab w:val="center" w:pos="4680"/>
        <w:tab w:val="right" w:pos="9360"/>
      </w:tabs>
    </w:pPr>
  </w:style>
  <w:style w:type="paragraph" w:customStyle="1" w:styleId="E2-Equation">
    <w:name w:val="E2-Equation"/>
    <w:basedOn w:val="Normal"/>
    <w:rsid w:val="00A23708"/>
    <w:pPr>
      <w:tabs>
        <w:tab w:val="right" w:pos="1152"/>
        <w:tab w:val="center" w:pos="1440"/>
        <w:tab w:val="left" w:pos="1728"/>
      </w:tabs>
      <w:ind w:left="1728" w:hanging="1728"/>
    </w:pPr>
  </w:style>
  <w:style w:type="paragraph" w:styleId="Footer">
    <w:name w:val="footer"/>
    <w:basedOn w:val="Normal"/>
    <w:link w:val="FooterChar"/>
    <w:rsid w:val="00A23708"/>
  </w:style>
  <w:style w:type="character" w:customStyle="1" w:styleId="FooterChar">
    <w:name w:val="Footer Char"/>
    <w:basedOn w:val="DefaultParagraphFont"/>
    <w:link w:val="Footer"/>
    <w:rsid w:val="00A23708"/>
    <w:rPr>
      <w:rFonts w:ascii="Garamond" w:eastAsia="Times New Roman" w:hAnsi="Garamond"/>
      <w:sz w:val="24"/>
    </w:rPr>
  </w:style>
  <w:style w:type="table" w:customStyle="1" w:styleId="TableWestatStandardFormat">
    <w:name w:val="Table Westat Standard Format"/>
    <w:basedOn w:val="TableNormal"/>
    <w:rsid w:val="00A23708"/>
    <w:rPr>
      <w:rFonts w:ascii="Franklin Gothic Medium" w:eastAsia="Times New Roman"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Header-1">
    <w:name w:val="Header-1"/>
    <w:basedOn w:val="Heading1"/>
    <w:rsid w:val="00A23708"/>
    <w:pPr>
      <w:tabs>
        <w:tab w:val="clear" w:pos="1152"/>
      </w:tabs>
      <w:spacing w:after="0" w:line="240" w:lineRule="atLeast"/>
      <w:jc w:val="right"/>
    </w:pPr>
    <w:rPr>
      <w:sz w:val="20"/>
    </w:rPr>
  </w:style>
  <w:style w:type="paragraph" w:styleId="NoSpacing">
    <w:name w:val="No Spacing"/>
    <w:uiPriority w:val="1"/>
    <w:qFormat/>
    <w:rsid w:val="00A025DC"/>
    <w:rPr>
      <w:rFonts w:ascii="Calibri" w:hAnsi="Calibri"/>
      <w:sz w:val="22"/>
      <w:szCs w:val="22"/>
      <w:lang w:bidi="en-US"/>
    </w:rPr>
  </w:style>
  <w:style w:type="paragraph" w:customStyle="1" w:styleId="C3-CtrSp12">
    <w:name w:val="C3-Ctr Sp&amp;1/2"/>
    <w:basedOn w:val="Normal"/>
    <w:rsid w:val="00A23708"/>
    <w:pPr>
      <w:keepLines/>
      <w:spacing w:line="360" w:lineRule="atLeast"/>
      <w:jc w:val="center"/>
    </w:pPr>
  </w:style>
  <w:style w:type="paragraph" w:customStyle="1" w:styleId="Heading0">
    <w:name w:val="Heading 0"/>
    <w:aliases w:val="H0-Chap Head"/>
    <w:basedOn w:val="Heading1"/>
    <w:rsid w:val="00A23708"/>
    <w:pPr>
      <w:tabs>
        <w:tab w:val="clear" w:pos="1152"/>
      </w:tabs>
      <w:spacing w:after="0"/>
      <w:ind w:left="0" w:firstLine="0"/>
      <w:jc w:val="right"/>
    </w:pPr>
    <w:rPr>
      <w:sz w:val="40"/>
    </w:rPr>
  </w:style>
  <w:style w:type="character" w:customStyle="1" w:styleId="Heading4Char">
    <w:name w:val="Heading 4 Char"/>
    <w:aliases w:val="H4 Sec.Heading Char"/>
    <w:basedOn w:val="DefaultParagraphFont"/>
    <w:link w:val="Heading4"/>
    <w:rsid w:val="00A23708"/>
    <w:rPr>
      <w:rFonts w:ascii="Franklin Gothic Medium" w:eastAsia="Times New Roman" w:hAnsi="Franklin Gothic Medium"/>
      <w:b/>
      <w:i/>
      <w:sz w:val="24"/>
    </w:rPr>
  </w:style>
  <w:style w:type="character" w:customStyle="1" w:styleId="Heading5Char">
    <w:name w:val="Heading 5 Char"/>
    <w:basedOn w:val="DefaultParagraphFont"/>
    <w:link w:val="Heading5"/>
    <w:rsid w:val="00A23708"/>
    <w:rPr>
      <w:rFonts w:ascii="Garamond" w:eastAsia="Times New Roman" w:hAnsi="Garamond"/>
      <w:sz w:val="24"/>
    </w:rPr>
  </w:style>
  <w:style w:type="character" w:customStyle="1" w:styleId="Heading6Char">
    <w:name w:val="Heading 6 Char"/>
    <w:basedOn w:val="DefaultParagraphFont"/>
    <w:link w:val="Heading6"/>
    <w:rsid w:val="00A23708"/>
    <w:rPr>
      <w:rFonts w:ascii="Garamond" w:eastAsia="Times New Roman" w:hAnsi="Garamond"/>
      <w:b/>
      <w:caps/>
      <w:sz w:val="24"/>
    </w:rPr>
  </w:style>
  <w:style w:type="character" w:customStyle="1" w:styleId="Heading7Char">
    <w:name w:val="Heading 7 Char"/>
    <w:basedOn w:val="DefaultParagraphFont"/>
    <w:link w:val="Heading7"/>
    <w:rsid w:val="00A23708"/>
    <w:rPr>
      <w:rFonts w:ascii="Garamond" w:eastAsia="Times New Roman" w:hAnsi="Garamond"/>
      <w:sz w:val="24"/>
    </w:rPr>
  </w:style>
  <w:style w:type="paragraph" w:customStyle="1" w:styleId="N0-FlLftBullet">
    <w:name w:val="N0-Fl Lft Bullet"/>
    <w:basedOn w:val="Normal"/>
    <w:rsid w:val="00A23708"/>
    <w:pPr>
      <w:tabs>
        <w:tab w:val="left" w:pos="576"/>
      </w:tabs>
      <w:spacing w:after="240"/>
      <w:ind w:left="576" w:hanging="576"/>
    </w:pPr>
  </w:style>
  <w:style w:type="paragraph" w:customStyle="1" w:styleId="N2-2ndBullet">
    <w:name w:val="N2-2nd Bullet"/>
    <w:basedOn w:val="Normal"/>
    <w:rsid w:val="00A23708"/>
    <w:pPr>
      <w:numPr>
        <w:numId w:val="17"/>
      </w:numPr>
      <w:spacing w:after="240"/>
    </w:pPr>
  </w:style>
  <w:style w:type="paragraph" w:customStyle="1" w:styleId="N3-3rdBullet">
    <w:name w:val="N3-3rd Bullet"/>
    <w:basedOn w:val="Normal"/>
    <w:rsid w:val="00A23708"/>
    <w:pPr>
      <w:numPr>
        <w:numId w:val="18"/>
      </w:numPr>
      <w:spacing w:after="240"/>
    </w:pPr>
  </w:style>
  <w:style w:type="paragraph" w:customStyle="1" w:styleId="N4-4thBullet">
    <w:name w:val="N4-4th Bullet"/>
    <w:basedOn w:val="Normal"/>
    <w:rsid w:val="00A23708"/>
    <w:pPr>
      <w:numPr>
        <w:numId w:val="19"/>
      </w:numPr>
      <w:spacing w:after="240"/>
    </w:pPr>
  </w:style>
  <w:style w:type="paragraph" w:customStyle="1" w:styleId="Default">
    <w:name w:val="Default"/>
    <w:rsid w:val="0011137D"/>
    <w:pPr>
      <w:autoSpaceDE w:val="0"/>
      <w:autoSpaceDN w:val="0"/>
      <w:adjustRightInd w:val="0"/>
    </w:pPr>
    <w:rPr>
      <w:color w:val="000000"/>
      <w:sz w:val="24"/>
      <w:szCs w:val="24"/>
    </w:rPr>
  </w:style>
  <w:style w:type="paragraph" w:customStyle="1" w:styleId="N5-5thBullet">
    <w:name w:val="N5-5th Bullet"/>
    <w:basedOn w:val="Normal"/>
    <w:rsid w:val="00A23708"/>
    <w:pPr>
      <w:tabs>
        <w:tab w:val="left" w:pos="3456"/>
      </w:tabs>
      <w:spacing w:after="240"/>
      <w:ind w:left="3456" w:hanging="576"/>
    </w:pPr>
  </w:style>
  <w:style w:type="paragraph" w:customStyle="1" w:styleId="N6-DateInd">
    <w:name w:val="N6-Date Ind."/>
    <w:basedOn w:val="Normal"/>
    <w:rsid w:val="00A23708"/>
    <w:pPr>
      <w:tabs>
        <w:tab w:val="left" w:pos="4910"/>
      </w:tabs>
      <w:ind w:left="4910"/>
    </w:pPr>
  </w:style>
  <w:style w:type="paragraph" w:customStyle="1" w:styleId="N8-QxQBlock">
    <w:name w:val="N8-QxQ Block"/>
    <w:basedOn w:val="Normal"/>
    <w:rsid w:val="00A23708"/>
    <w:pPr>
      <w:tabs>
        <w:tab w:val="left" w:pos="1152"/>
      </w:tabs>
      <w:spacing w:after="360" w:line="360" w:lineRule="atLeast"/>
      <w:ind w:left="1152" w:hanging="1152"/>
    </w:pPr>
  </w:style>
  <w:style w:type="paragraph" w:customStyle="1" w:styleId="P1-StandPara">
    <w:name w:val="P1-Stand Para"/>
    <w:basedOn w:val="Normal"/>
    <w:rsid w:val="00A23708"/>
    <w:pPr>
      <w:spacing w:line="360" w:lineRule="atLeast"/>
      <w:ind w:firstLine="1152"/>
    </w:pPr>
  </w:style>
  <w:style w:type="paragraph" w:styleId="Revision">
    <w:name w:val="Revision"/>
    <w:hidden/>
    <w:uiPriority w:val="99"/>
    <w:semiHidden/>
    <w:rsid w:val="00B73103"/>
    <w:rPr>
      <w:sz w:val="24"/>
      <w:szCs w:val="24"/>
    </w:rPr>
  </w:style>
  <w:style w:type="character" w:styleId="PageNumber">
    <w:name w:val="page number"/>
    <w:basedOn w:val="DefaultParagraphFont"/>
    <w:rsid w:val="00A23708"/>
  </w:style>
  <w:style w:type="paragraph" w:customStyle="1" w:styleId="Q1-BestFinQ">
    <w:name w:val="Q1-Best/Fin Q"/>
    <w:basedOn w:val="Heading1"/>
    <w:rsid w:val="00A23708"/>
    <w:pPr>
      <w:spacing w:line="240" w:lineRule="atLeast"/>
      <w:jc w:val="both"/>
    </w:pPr>
    <w:rPr>
      <w:color w:val="auto"/>
      <w:sz w:val="24"/>
    </w:rPr>
  </w:style>
  <w:style w:type="paragraph" w:customStyle="1" w:styleId="SL-FlLftSgl">
    <w:name w:val="SL-Fl Lft Sgl"/>
    <w:basedOn w:val="Normal"/>
    <w:rsid w:val="00A23708"/>
  </w:style>
  <w:style w:type="paragraph" w:customStyle="1" w:styleId="R0-FLLftSglBoldItalic">
    <w:name w:val="R0-FL Lft Sgl Bold Italic"/>
    <w:basedOn w:val="Heading1"/>
    <w:rsid w:val="00A23708"/>
    <w:pPr>
      <w:tabs>
        <w:tab w:val="clear" w:pos="1152"/>
      </w:tabs>
      <w:spacing w:after="0" w:line="240" w:lineRule="atLeast"/>
      <w:ind w:left="0" w:firstLine="0"/>
    </w:pPr>
    <w:rPr>
      <w:rFonts w:cs="Times New Roman Bold"/>
      <w:b w:val="0"/>
      <w:i/>
      <w:color w:val="auto"/>
      <w:sz w:val="24"/>
    </w:rPr>
  </w:style>
  <w:style w:type="paragraph" w:customStyle="1" w:styleId="R1-ResPara">
    <w:name w:val="R1-Res. Para"/>
    <w:rsid w:val="00A23708"/>
    <w:pPr>
      <w:spacing w:line="240" w:lineRule="atLeast"/>
      <w:ind w:left="288"/>
    </w:pPr>
    <w:rPr>
      <w:rFonts w:ascii="Garamond" w:eastAsia="Times New Roman" w:hAnsi="Garamond"/>
      <w:sz w:val="24"/>
    </w:rPr>
  </w:style>
  <w:style w:type="paragraph" w:customStyle="1" w:styleId="R2-ResBullet">
    <w:name w:val="R2-Res Bullet"/>
    <w:basedOn w:val="Normal"/>
    <w:rsid w:val="00A23708"/>
    <w:pPr>
      <w:tabs>
        <w:tab w:val="left" w:pos="720"/>
      </w:tabs>
      <w:ind w:left="720" w:hanging="432"/>
    </w:pPr>
  </w:style>
  <w:style w:type="paragraph" w:customStyle="1" w:styleId="RF-Reference">
    <w:name w:val="RF-Reference"/>
    <w:basedOn w:val="Normal"/>
    <w:rsid w:val="00A23708"/>
    <w:pPr>
      <w:spacing w:line="240" w:lineRule="exact"/>
      <w:ind w:left="216" w:hanging="216"/>
    </w:pPr>
  </w:style>
  <w:style w:type="paragraph" w:customStyle="1" w:styleId="RH-SglSpHead">
    <w:name w:val="RH-Sgl Sp Head"/>
    <w:basedOn w:val="Heading1"/>
    <w:next w:val="Normal"/>
    <w:rsid w:val="00A23708"/>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A23708"/>
    <w:pPr>
      <w:tabs>
        <w:tab w:val="clear" w:pos="1152"/>
      </w:tabs>
      <w:spacing w:after="0" w:line="240" w:lineRule="atLeast"/>
      <w:ind w:left="0" w:firstLine="0"/>
    </w:pPr>
    <w:rPr>
      <w:sz w:val="24"/>
    </w:rPr>
  </w:style>
  <w:style w:type="paragraph" w:customStyle="1" w:styleId="SH-SglSpHead">
    <w:name w:val="SH-Sgl Sp Head"/>
    <w:basedOn w:val="Heading1"/>
    <w:rsid w:val="00A23708"/>
    <w:pPr>
      <w:tabs>
        <w:tab w:val="clear" w:pos="1152"/>
        <w:tab w:val="left" w:pos="576"/>
      </w:tabs>
      <w:spacing w:line="240" w:lineRule="atLeast"/>
      <w:ind w:left="576" w:hanging="576"/>
    </w:pPr>
    <w:rPr>
      <w:b w:val="0"/>
      <w:sz w:val="24"/>
    </w:rPr>
  </w:style>
  <w:style w:type="paragraph" w:customStyle="1" w:styleId="SP-SglSpPara">
    <w:name w:val="SP-Sgl Sp Para"/>
    <w:basedOn w:val="Normal"/>
    <w:rsid w:val="00A23708"/>
    <w:pPr>
      <w:tabs>
        <w:tab w:val="left" w:pos="576"/>
      </w:tabs>
      <w:ind w:firstLine="576"/>
    </w:pPr>
  </w:style>
  <w:style w:type="paragraph" w:customStyle="1" w:styleId="SU-FlLftUndln">
    <w:name w:val="SU-Fl Lft Undln"/>
    <w:basedOn w:val="Normal"/>
    <w:rsid w:val="00A23708"/>
    <w:pPr>
      <w:keepNext/>
      <w:spacing w:line="240" w:lineRule="exact"/>
    </w:pPr>
    <w:rPr>
      <w:u w:val="single"/>
    </w:rPr>
  </w:style>
  <w:style w:type="paragraph" w:customStyle="1" w:styleId="T0-ChapPgHd">
    <w:name w:val="T0-Chap/Pg Hd"/>
    <w:basedOn w:val="Normal"/>
    <w:rsid w:val="00A23708"/>
    <w:pPr>
      <w:tabs>
        <w:tab w:val="left" w:pos="8640"/>
      </w:tabs>
    </w:pPr>
    <w:rPr>
      <w:rFonts w:ascii="Franklin Gothic Medium" w:hAnsi="Franklin Gothic Medium"/>
      <w:u w:val="words"/>
    </w:rPr>
  </w:style>
  <w:style w:type="paragraph" w:customStyle="1" w:styleId="TC-TableofContentsHeading">
    <w:name w:val="TC-Table of Contents Heading"/>
    <w:basedOn w:val="Heading1"/>
    <w:next w:val="T0-ChapPgHd"/>
    <w:rsid w:val="00A23708"/>
    <w:pPr>
      <w:pBdr>
        <w:bottom w:val="single" w:sz="24" w:space="1" w:color="AFBED7"/>
      </w:pBdr>
      <w:tabs>
        <w:tab w:val="clear" w:pos="1152"/>
      </w:tabs>
      <w:spacing w:after="720"/>
      <w:ind w:left="6869" w:firstLine="0"/>
      <w:jc w:val="center"/>
    </w:pPr>
  </w:style>
  <w:style w:type="paragraph" w:styleId="TOC1">
    <w:name w:val="toc 1"/>
    <w:basedOn w:val="Normal"/>
    <w:semiHidden/>
    <w:rsid w:val="00A23708"/>
    <w:pPr>
      <w:tabs>
        <w:tab w:val="left" w:pos="1440"/>
        <w:tab w:val="right" w:leader="dot" w:pos="8208"/>
        <w:tab w:val="left" w:pos="8640"/>
      </w:tabs>
      <w:ind w:left="1440" w:right="1800" w:hanging="1152"/>
    </w:pPr>
  </w:style>
  <w:style w:type="paragraph" w:styleId="TOC2">
    <w:name w:val="toc 2"/>
    <w:basedOn w:val="Normal"/>
    <w:uiPriority w:val="39"/>
    <w:rsid w:val="00A23708"/>
    <w:pPr>
      <w:tabs>
        <w:tab w:val="left" w:pos="2160"/>
        <w:tab w:val="right" w:leader="dot" w:pos="8208"/>
        <w:tab w:val="left" w:pos="8640"/>
      </w:tabs>
      <w:ind w:left="2160" w:right="1800" w:hanging="720"/>
    </w:pPr>
    <w:rPr>
      <w:szCs w:val="22"/>
    </w:rPr>
  </w:style>
  <w:style w:type="paragraph" w:styleId="TOC3">
    <w:name w:val="toc 3"/>
    <w:basedOn w:val="Normal"/>
    <w:uiPriority w:val="39"/>
    <w:rsid w:val="00A23708"/>
    <w:pPr>
      <w:tabs>
        <w:tab w:val="left" w:pos="3024"/>
        <w:tab w:val="right" w:leader="dot" w:pos="8208"/>
        <w:tab w:val="left" w:pos="8640"/>
      </w:tabs>
      <w:ind w:left="3024" w:right="1800" w:hanging="864"/>
    </w:pPr>
  </w:style>
  <w:style w:type="paragraph" w:styleId="TOC4">
    <w:name w:val="toc 4"/>
    <w:basedOn w:val="Normal"/>
    <w:semiHidden/>
    <w:rsid w:val="00A23708"/>
    <w:pPr>
      <w:tabs>
        <w:tab w:val="left" w:pos="3888"/>
        <w:tab w:val="right" w:leader="dot" w:pos="8208"/>
        <w:tab w:val="left" w:pos="8640"/>
      </w:tabs>
      <w:ind w:left="3888" w:right="1800" w:hanging="864"/>
    </w:pPr>
  </w:style>
  <w:style w:type="paragraph" w:styleId="TOC5">
    <w:name w:val="toc 5"/>
    <w:basedOn w:val="Normal"/>
    <w:uiPriority w:val="39"/>
    <w:rsid w:val="00A23708"/>
    <w:pPr>
      <w:tabs>
        <w:tab w:val="left" w:pos="1440"/>
        <w:tab w:val="right" w:leader="dot" w:pos="8208"/>
        <w:tab w:val="left" w:pos="8640"/>
      </w:tabs>
      <w:ind w:left="1440" w:right="1800" w:hanging="1152"/>
    </w:pPr>
  </w:style>
  <w:style w:type="paragraph" w:styleId="TOC6">
    <w:name w:val="toc 6"/>
    <w:semiHidden/>
    <w:rsid w:val="00A23708"/>
    <w:pPr>
      <w:tabs>
        <w:tab w:val="right" w:leader="dot" w:pos="8208"/>
        <w:tab w:val="left" w:pos="8640"/>
      </w:tabs>
      <w:ind w:left="288"/>
    </w:pPr>
    <w:rPr>
      <w:rFonts w:ascii="Garamond" w:eastAsia="Times New Roman" w:hAnsi="Garamond"/>
      <w:sz w:val="24"/>
      <w:szCs w:val="22"/>
    </w:rPr>
  </w:style>
  <w:style w:type="paragraph" w:styleId="TOC7">
    <w:name w:val="toc 7"/>
    <w:semiHidden/>
    <w:rsid w:val="00A23708"/>
    <w:pPr>
      <w:tabs>
        <w:tab w:val="right" w:leader="dot" w:pos="8208"/>
        <w:tab w:val="left" w:pos="8640"/>
      </w:tabs>
      <w:ind w:left="1440"/>
    </w:pPr>
    <w:rPr>
      <w:rFonts w:ascii="Garamond" w:eastAsia="Times New Roman" w:hAnsi="Garamond"/>
      <w:sz w:val="24"/>
      <w:szCs w:val="22"/>
    </w:rPr>
  </w:style>
  <w:style w:type="paragraph" w:styleId="TOC8">
    <w:name w:val="toc 8"/>
    <w:semiHidden/>
    <w:rsid w:val="00A23708"/>
    <w:pPr>
      <w:tabs>
        <w:tab w:val="right" w:leader="dot" w:pos="8208"/>
        <w:tab w:val="left" w:pos="8640"/>
      </w:tabs>
      <w:ind w:left="2160"/>
    </w:pPr>
    <w:rPr>
      <w:rFonts w:ascii="Garamond" w:eastAsia="Times New Roman" w:hAnsi="Garamond"/>
      <w:sz w:val="24"/>
      <w:szCs w:val="22"/>
    </w:rPr>
  </w:style>
  <w:style w:type="paragraph" w:styleId="TOC9">
    <w:name w:val="toc 9"/>
    <w:semiHidden/>
    <w:rsid w:val="00A23708"/>
    <w:pPr>
      <w:tabs>
        <w:tab w:val="right" w:leader="dot" w:pos="8208"/>
        <w:tab w:val="left" w:pos="8640"/>
      </w:tabs>
      <w:ind w:left="3024"/>
    </w:pPr>
    <w:rPr>
      <w:rFonts w:ascii="Garamond" w:eastAsia="Times New Roman" w:hAnsi="Garamond"/>
      <w:sz w:val="24"/>
      <w:szCs w:val="22"/>
    </w:rPr>
  </w:style>
  <w:style w:type="character" w:styleId="CommentReference">
    <w:name w:val="annotation reference"/>
    <w:basedOn w:val="DefaultParagraphFont"/>
    <w:uiPriority w:val="99"/>
    <w:semiHidden/>
    <w:unhideWhenUsed/>
    <w:rsid w:val="00CD59E7"/>
    <w:rPr>
      <w:sz w:val="16"/>
      <w:szCs w:val="16"/>
    </w:rPr>
  </w:style>
  <w:style w:type="paragraph" w:styleId="CommentText">
    <w:name w:val="annotation text"/>
    <w:basedOn w:val="Normal"/>
    <w:link w:val="CommentTextChar"/>
    <w:uiPriority w:val="99"/>
    <w:semiHidden/>
    <w:unhideWhenUsed/>
    <w:rsid w:val="00CD59E7"/>
    <w:pPr>
      <w:spacing w:line="240" w:lineRule="auto"/>
    </w:pPr>
    <w:rPr>
      <w:sz w:val="20"/>
    </w:rPr>
  </w:style>
  <w:style w:type="character" w:customStyle="1" w:styleId="CommentTextChar">
    <w:name w:val="Comment Text Char"/>
    <w:basedOn w:val="DefaultParagraphFont"/>
    <w:link w:val="CommentText"/>
    <w:uiPriority w:val="99"/>
    <w:semiHidden/>
    <w:rsid w:val="00CD59E7"/>
    <w:rPr>
      <w:rFonts w:ascii="Garamond" w:eastAsia="Times New Roman" w:hAnsi="Garamond"/>
    </w:rPr>
  </w:style>
  <w:style w:type="paragraph" w:styleId="CommentSubject">
    <w:name w:val="annotation subject"/>
    <w:basedOn w:val="CommentText"/>
    <w:next w:val="CommentText"/>
    <w:link w:val="CommentSubjectChar"/>
    <w:uiPriority w:val="99"/>
    <w:semiHidden/>
    <w:unhideWhenUsed/>
    <w:rsid w:val="00CD59E7"/>
    <w:rPr>
      <w:b/>
      <w:bCs/>
    </w:rPr>
  </w:style>
  <w:style w:type="character" w:customStyle="1" w:styleId="CommentSubjectChar">
    <w:name w:val="Comment Subject Char"/>
    <w:basedOn w:val="CommentTextChar"/>
    <w:link w:val="CommentSubject"/>
    <w:uiPriority w:val="99"/>
    <w:semiHidden/>
    <w:rsid w:val="00CD59E7"/>
    <w:rPr>
      <w:rFonts w:ascii="Garamond" w:eastAsia="Times New Roman" w:hAnsi="Garamond"/>
      <w:b/>
      <w:bCs/>
    </w:rPr>
  </w:style>
  <w:style w:type="paragraph" w:styleId="BalloonText">
    <w:name w:val="Balloon Text"/>
    <w:basedOn w:val="Normal"/>
    <w:link w:val="BalloonTextChar"/>
    <w:uiPriority w:val="99"/>
    <w:semiHidden/>
    <w:unhideWhenUsed/>
    <w:rsid w:val="00CD59E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9E7"/>
    <w:rPr>
      <w:rFonts w:ascii="Tahoma" w:eastAsia="Times New Roman" w:hAnsi="Tahoma" w:cs="Tahoma"/>
      <w:sz w:val="16"/>
      <w:szCs w:val="16"/>
    </w:rPr>
  </w:style>
  <w:style w:type="paragraph" w:styleId="ListParagraph">
    <w:name w:val="List Paragraph"/>
    <w:basedOn w:val="Normal"/>
    <w:uiPriority w:val="34"/>
    <w:qFormat/>
    <w:rsid w:val="00CF3D9D"/>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6521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0"/>
    <w:lsdException w:name="toc 5" w:uiPriority="39"/>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708"/>
    <w:pPr>
      <w:spacing w:line="240" w:lineRule="atLeast"/>
    </w:pPr>
    <w:rPr>
      <w:rFonts w:ascii="Garamond" w:eastAsia="Times New Roman" w:hAnsi="Garamond"/>
      <w:sz w:val="24"/>
    </w:rPr>
  </w:style>
  <w:style w:type="paragraph" w:styleId="Heading1">
    <w:name w:val="heading 1"/>
    <w:aliases w:val="H1-Sec.Head"/>
    <w:basedOn w:val="Normal"/>
    <w:next w:val="L1-FlLSp12"/>
    <w:link w:val="Heading1Char"/>
    <w:qFormat/>
    <w:rsid w:val="00A23708"/>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A23708"/>
    <w:pPr>
      <w:outlineLvl w:val="1"/>
    </w:pPr>
    <w:rPr>
      <w:sz w:val="28"/>
    </w:rPr>
  </w:style>
  <w:style w:type="paragraph" w:styleId="Heading3">
    <w:name w:val="heading 3"/>
    <w:aliases w:val="H3-Sec. Head"/>
    <w:basedOn w:val="Heading1"/>
    <w:next w:val="L1-FlLSp12"/>
    <w:link w:val="Heading3Char"/>
    <w:qFormat/>
    <w:rsid w:val="00A23708"/>
    <w:pPr>
      <w:outlineLvl w:val="2"/>
    </w:pPr>
    <w:rPr>
      <w:color w:val="auto"/>
      <w:sz w:val="24"/>
    </w:rPr>
  </w:style>
  <w:style w:type="paragraph" w:styleId="Heading4">
    <w:name w:val="heading 4"/>
    <w:aliases w:val="H4 Sec.Heading"/>
    <w:basedOn w:val="Heading1"/>
    <w:next w:val="L1-FlLSp12"/>
    <w:link w:val="Heading4Char"/>
    <w:qFormat/>
    <w:rsid w:val="00A23708"/>
    <w:pPr>
      <w:outlineLvl w:val="3"/>
    </w:pPr>
    <w:rPr>
      <w:i/>
      <w:color w:val="auto"/>
      <w:sz w:val="24"/>
    </w:rPr>
  </w:style>
  <w:style w:type="paragraph" w:styleId="Heading5">
    <w:name w:val="heading 5"/>
    <w:basedOn w:val="Normal"/>
    <w:next w:val="Normal"/>
    <w:link w:val="Heading5Char"/>
    <w:qFormat/>
    <w:rsid w:val="00A23708"/>
    <w:pPr>
      <w:keepLines/>
      <w:spacing w:before="360" w:line="360" w:lineRule="atLeast"/>
      <w:jc w:val="center"/>
      <w:outlineLvl w:val="4"/>
    </w:pPr>
  </w:style>
  <w:style w:type="paragraph" w:styleId="Heading6">
    <w:name w:val="heading 6"/>
    <w:basedOn w:val="Normal"/>
    <w:next w:val="Normal"/>
    <w:link w:val="Heading6Char"/>
    <w:qFormat/>
    <w:rsid w:val="00A23708"/>
    <w:pPr>
      <w:keepNext/>
      <w:spacing w:before="240"/>
      <w:jc w:val="center"/>
      <w:outlineLvl w:val="5"/>
    </w:pPr>
    <w:rPr>
      <w:b/>
      <w:caps/>
    </w:rPr>
  </w:style>
  <w:style w:type="paragraph" w:styleId="Heading7">
    <w:name w:val="heading 7"/>
    <w:basedOn w:val="Normal"/>
    <w:next w:val="Normal"/>
    <w:link w:val="Heading7Char"/>
    <w:qFormat/>
    <w:rsid w:val="00A2370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Sec. Head Char"/>
    <w:link w:val="Heading3"/>
    <w:rsid w:val="008F5FA1"/>
    <w:rPr>
      <w:rFonts w:ascii="Franklin Gothic Medium" w:eastAsia="Times New Roman" w:hAnsi="Franklin Gothic Medium"/>
      <w:b/>
      <w:sz w:val="24"/>
    </w:rPr>
  </w:style>
  <w:style w:type="character" w:customStyle="1" w:styleId="Heading1Char">
    <w:name w:val="Heading 1 Char"/>
    <w:aliases w:val="H1-Sec.Head Char"/>
    <w:link w:val="Heading1"/>
    <w:rsid w:val="008F5FA1"/>
    <w:rPr>
      <w:rFonts w:ascii="Franklin Gothic Medium" w:eastAsia="Times New Roman" w:hAnsi="Franklin Gothic Medium"/>
      <w:b/>
      <w:color w:val="324162"/>
      <w:sz w:val="32"/>
    </w:rPr>
  </w:style>
  <w:style w:type="paragraph" w:customStyle="1" w:styleId="L1-FlLSp12">
    <w:name w:val="L1-FlL Sp&amp;1/2"/>
    <w:basedOn w:val="Normal"/>
    <w:link w:val="L1-FlLSp12Char"/>
    <w:uiPriority w:val="99"/>
    <w:rsid w:val="00A23708"/>
    <w:pPr>
      <w:tabs>
        <w:tab w:val="left" w:pos="1152"/>
      </w:tabs>
      <w:spacing w:line="360" w:lineRule="atLeast"/>
    </w:pPr>
  </w:style>
  <w:style w:type="paragraph" w:customStyle="1" w:styleId="TT-TableTitle">
    <w:name w:val="TT-Table Title"/>
    <w:basedOn w:val="Heading1"/>
    <w:link w:val="TT-TableTitleChar"/>
    <w:rsid w:val="00A23708"/>
    <w:pPr>
      <w:tabs>
        <w:tab w:val="clear" w:pos="1152"/>
        <w:tab w:val="left" w:pos="1440"/>
      </w:tabs>
      <w:spacing w:after="0" w:line="240" w:lineRule="atLeast"/>
      <w:ind w:left="1440" w:hanging="1440"/>
    </w:pPr>
    <w:rPr>
      <w:b w:val="0"/>
      <w:color w:val="auto"/>
      <w:sz w:val="22"/>
    </w:rPr>
  </w:style>
  <w:style w:type="paragraph" w:customStyle="1" w:styleId="TF-TblFN">
    <w:name w:val="TF-Tbl FN"/>
    <w:basedOn w:val="FootnoteText"/>
    <w:rsid w:val="00A23708"/>
    <w:rPr>
      <w:rFonts w:ascii="Franklin Gothic Medium" w:hAnsi="Franklin Gothic Medium"/>
      <w:sz w:val="18"/>
    </w:rPr>
  </w:style>
  <w:style w:type="paragraph" w:customStyle="1" w:styleId="TH-TableHeading">
    <w:name w:val="TH-Table Heading"/>
    <w:basedOn w:val="Heading1"/>
    <w:rsid w:val="00A23708"/>
    <w:pPr>
      <w:spacing w:after="0" w:line="240" w:lineRule="atLeast"/>
      <w:ind w:left="0" w:firstLine="0"/>
      <w:jc w:val="center"/>
    </w:pPr>
    <w:rPr>
      <w:color w:val="auto"/>
      <w:sz w:val="20"/>
    </w:rPr>
  </w:style>
  <w:style w:type="paragraph" w:customStyle="1" w:styleId="TX-TableText">
    <w:name w:val="TX-Table Text"/>
    <w:basedOn w:val="Normal"/>
    <w:rsid w:val="00A23708"/>
    <w:rPr>
      <w:rFonts w:ascii="Franklin Gothic Medium" w:hAnsi="Franklin Gothic Medium"/>
      <w:sz w:val="20"/>
    </w:rPr>
  </w:style>
  <w:style w:type="character" w:customStyle="1" w:styleId="TT-TableTitleChar">
    <w:name w:val="TT-Table Title Char"/>
    <w:link w:val="TT-TableTitle"/>
    <w:rsid w:val="008F5FA1"/>
    <w:rPr>
      <w:rFonts w:ascii="Franklin Gothic Medium" w:eastAsia="Times New Roman" w:hAnsi="Franklin Gothic Medium"/>
      <w:sz w:val="22"/>
    </w:rPr>
  </w:style>
  <w:style w:type="character" w:customStyle="1" w:styleId="L1-FlLSp12Char">
    <w:name w:val="L1-FlL Sp&amp;1/2 Char"/>
    <w:link w:val="L1-FlLSp12"/>
    <w:uiPriority w:val="99"/>
    <w:rsid w:val="008F5FA1"/>
    <w:rPr>
      <w:rFonts w:ascii="Garamond" w:eastAsia="Times New Roman" w:hAnsi="Garamond"/>
      <w:sz w:val="24"/>
    </w:rPr>
  </w:style>
  <w:style w:type="paragraph" w:styleId="FootnoteText">
    <w:name w:val="footnote text"/>
    <w:aliases w:val="F1"/>
    <w:link w:val="FootnoteTextChar"/>
    <w:rsid w:val="00A23708"/>
    <w:pPr>
      <w:tabs>
        <w:tab w:val="left" w:pos="120"/>
      </w:tabs>
      <w:spacing w:before="120" w:line="200" w:lineRule="atLeast"/>
      <w:ind w:left="115" w:hanging="115"/>
    </w:pPr>
    <w:rPr>
      <w:rFonts w:ascii="Garamond" w:eastAsia="Times New Roman" w:hAnsi="Garamond"/>
      <w:sz w:val="16"/>
    </w:rPr>
  </w:style>
  <w:style w:type="character" w:customStyle="1" w:styleId="FootnoteTextChar">
    <w:name w:val="Footnote Text Char"/>
    <w:aliases w:val="F1 Char"/>
    <w:link w:val="FootnoteText"/>
    <w:rsid w:val="008F5FA1"/>
    <w:rPr>
      <w:rFonts w:ascii="Garamond" w:eastAsia="Times New Roman" w:hAnsi="Garamond"/>
      <w:sz w:val="16"/>
    </w:rPr>
  </w:style>
  <w:style w:type="paragraph" w:customStyle="1" w:styleId="N1-1stBullet">
    <w:name w:val="N1-1st Bullet"/>
    <w:basedOn w:val="Normal"/>
    <w:rsid w:val="00A23708"/>
    <w:pPr>
      <w:numPr>
        <w:numId w:val="16"/>
      </w:numPr>
      <w:spacing w:after="240"/>
    </w:pPr>
  </w:style>
  <w:style w:type="paragraph" w:customStyle="1" w:styleId="N7-3Block">
    <w:name w:val="N7-3&quot; Block"/>
    <w:basedOn w:val="Normal"/>
    <w:rsid w:val="00A23708"/>
    <w:pPr>
      <w:tabs>
        <w:tab w:val="left" w:pos="1152"/>
      </w:tabs>
      <w:ind w:left="1152" w:right="1152"/>
    </w:pPr>
  </w:style>
  <w:style w:type="character" w:customStyle="1" w:styleId="Heading2Char">
    <w:name w:val="Heading 2 Char"/>
    <w:aliases w:val="H2-Sec. Head Char"/>
    <w:link w:val="Heading2"/>
    <w:rsid w:val="002F7ABC"/>
    <w:rPr>
      <w:rFonts w:ascii="Franklin Gothic Medium" w:eastAsia="Times New Roman" w:hAnsi="Franklin Gothic Medium"/>
      <w:b/>
      <w:color w:val="324162"/>
      <w:sz w:val="28"/>
    </w:rPr>
  </w:style>
  <w:style w:type="paragraph" w:styleId="Header">
    <w:name w:val="header"/>
    <w:basedOn w:val="Normal"/>
    <w:link w:val="HeaderChar"/>
    <w:rsid w:val="00A23708"/>
    <w:rPr>
      <w:sz w:val="16"/>
    </w:rPr>
  </w:style>
  <w:style w:type="character" w:customStyle="1" w:styleId="HeaderChar">
    <w:name w:val="Header Char"/>
    <w:link w:val="Header"/>
    <w:rsid w:val="002F7ABC"/>
    <w:rPr>
      <w:rFonts w:ascii="Garamond" w:eastAsia="Times New Roman" w:hAnsi="Garamond"/>
      <w:sz w:val="16"/>
    </w:rPr>
  </w:style>
  <w:style w:type="paragraph" w:customStyle="1" w:styleId="C1-CtrBoldHd">
    <w:name w:val="C1-Ctr BoldHd"/>
    <w:rsid w:val="00A23708"/>
    <w:pPr>
      <w:keepNext/>
      <w:spacing w:after="720" w:line="240" w:lineRule="atLeast"/>
      <w:jc w:val="center"/>
    </w:pPr>
    <w:rPr>
      <w:rFonts w:ascii="Franklin Gothic Medium" w:eastAsia="Times New Roman" w:hAnsi="Franklin Gothic Medium"/>
      <w:b/>
      <w:color w:val="324162"/>
      <w:sz w:val="28"/>
    </w:rPr>
  </w:style>
  <w:style w:type="paragraph" w:customStyle="1" w:styleId="C2-CtrSglSp">
    <w:name w:val="C2-Ctr Sgl Sp"/>
    <w:basedOn w:val="Normal"/>
    <w:rsid w:val="00A23708"/>
    <w:pPr>
      <w:keepLines/>
      <w:jc w:val="center"/>
    </w:pPr>
  </w:style>
  <w:style w:type="paragraph" w:customStyle="1" w:styleId="CT-ContractInformation">
    <w:name w:val="CT-Contract Information"/>
    <w:basedOn w:val="Normal"/>
    <w:rsid w:val="00A23708"/>
    <w:pPr>
      <w:tabs>
        <w:tab w:val="left" w:pos="2232"/>
      </w:tabs>
      <w:spacing w:line="240" w:lineRule="exact"/>
    </w:pPr>
    <w:rPr>
      <w:vanish/>
    </w:rPr>
  </w:style>
  <w:style w:type="character" w:styleId="Hyperlink">
    <w:name w:val="Hyperlink"/>
    <w:uiPriority w:val="99"/>
    <w:unhideWhenUsed/>
    <w:rsid w:val="006C72BD"/>
    <w:rPr>
      <w:color w:val="0000FF"/>
      <w:u w:val="single"/>
    </w:rPr>
  </w:style>
  <w:style w:type="paragraph" w:customStyle="1" w:styleId="E1-Equation">
    <w:name w:val="E1-Equation"/>
    <w:basedOn w:val="Normal"/>
    <w:rsid w:val="00A23708"/>
    <w:pPr>
      <w:tabs>
        <w:tab w:val="center" w:pos="4680"/>
        <w:tab w:val="right" w:pos="9360"/>
      </w:tabs>
    </w:pPr>
  </w:style>
  <w:style w:type="paragraph" w:customStyle="1" w:styleId="E2-Equation">
    <w:name w:val="E2-Equation"/>
    <w:basedOn w:val="Normal"/>
    <w:rsid w:val="00A23708"/>
    <w:pPr>
      <w:tabs>
        <w:tab w:val="right" w:pos="1152"/>
        <w:tab w:val="center" w:pos="1440"/>
        <w:tab w:val="left" w:pos="1728"/>
      </w:tabs>
      <w:ind w:left="1728" w:hanging="1728"/>
    </w:pPr>
  </w:style>
  <w:style w:type="paragraph" w:styleId="Footer">
    <w:name w:val="footer"/>
    <w:basedOn w:val="Normal"/>
    <w:link w:val="FooterChar"/>
    <w:rsid w:val="00A23708"/>
  </w:style>
  <w:style w:type="character" w:customStyle="1" w:styleId="FooterChar">
    <w:name w:val="Footer Char"/>
    <w:basedOn w:val="DefaultParagraphFont"/>
    <w:link w:val="Footer"/>
    <w:rsid w:val="00A23708"/>
    <w:rPr>
      <w:rFonts w:ascii="Garamond" w:eastAsia="Times New Roman" w:hAnsi="Garamond"/>
      <w:sz w:val="24"/>
    </w:rPr>
  </w:style>
  <w:style w:type="table" w:customStyle="1" w:styleId="TableWestatStandardFormat">
    <w:name w:val="Table Westat Standard Format"/>
    <w:basedOn w:val="TableNormal"/>
    <w:rsid w:val="00A23708"/>
    <w:rPr>
      <w:rFonts w:ascii="Franklin Gothic Medium" w:eastAsia="Times New Roman"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Header-1">
    <w:name w:val="Header-1"/>
    <w:basedOn w:val="Heading1"/>
    <w:rsid w:val="00A23708"/>
    <w:pPr>
      <w:tabs>
        <w:tab w:val="clear" w:pos="1152"/>
      </w:tabs>
      <w:spacing w:after="0" w:line="240" w:lineRule="atLeast"/>
      <w:jc w:val="right"/>
    </w:pPr>
    <w:rPr>
      <w:sz w:val="20"/>
    </w:rPr>
  </w:style>
  <w:style w:type="paragraph" w:styleId="NoSpacing">
    <w:name w:val="No Spacing"/>
    <w:uiPriority w:val="1"/>
    <w:qFormat/>
    <w:rsid w:val="00A025DC"/>
    <w:rPr>
      <w:rFonts w:ascii="Calibri" w:hAnsi="Calibri"/>
      <w:sz w:val="22"/>
      <w:szCs w:val="22"/>
      <w:lang w:bidi="en-US"/>
    </w:rPr>
  </w:style>
  <w:style w:type="paragraph" w:customStyle="1" w:styleId="C3-CtrSp12">
    <w:name w:val="C3-Ctr Sp&amp;1/2"/>
    <w:basedOn w:val="Normal"/>
    <w:rsid w:val="00A23708"/>
    <w:pPr>
      <w:keepLines/>
      <w:spacing w:line="360" w:lineRule="atLeast"/>
      <w:jc w:val="center"/>
    </w:pPr>
  </w:style>
  <w:style w:type="paragraph" w:customStyle="1" w:styleId="Heading0">
    <w:name w:val="Heading 0"/>
    <w:aliases w:val="H0-Chap Head"/>
    <w:basedOn w:val="Heading1"/>
    <w:rsid w:val="00A23708"/>
    <w:pPr>
      <w:tabs>
        <w:tab w:val="clear" w:pos="1152"/>
      </w:tabs>
      <w:spacing w:after="0"/>
      <w:ind w:left="0" w:firstLine="0"/>
      <w:jc w:val="right"/>
    </w:pPr>
    <w:rPr>
      <w:sz w:val="40"/>
    </w:rPr>
  </w:style>
  <w:style w:type="character" w:customStyle="1" w:styleId="Heading4Char">
    <w:name w:val="Heading 4 Char"/>
    <w:aliases w:val="H4 Sec.Heading Char"/>
    <w:basedOn w:val="DefaultParagraphFont"/>
    <w:link w:val="Heading4"/>
    <w:rsid w:val="00A23708"/>
    <w:rPr>
      <w:rFonts w:ascii="Franklin Gothic Medium" w:eastAsia="Times New Roman" w:hAnsi="Franklin Gothic Medium"/>
      <w:b/>
      <w:i/>
      <w:sz w:val="24"/>
    </w:rPr>
  </w:style>
  <w:style w:type="character" w:customStyle="1" w:styleId="Heading5Char">
    <w:name w:val="Heading 5 Char"/>
    <w:basedOn w:val="DefaultParagraphFont"/>
    <w:link w:val="Heading5"/>
    <w:rsid w:val="00A23708"/>
    <w:rPr>
      <w:rFonts w:ascii="Garamond" w:eastAsia="Times New Roman" w:hAnsi="Garamond"/>
      <w:sz w:val="24"/>
    </w:rPr>
  </w:style>
  <w:style w:type="character" w:customStyle="1" w:styleId="Heading6Char">
    <w:name w:val="Heading 6 Char"/>
    <w:basedOn w:val="DefaultParagraphFont"/>
    <w:link w:val="Heading6"/>
    <w:rsid w:val="00A23708"/>
    <w:rPr>
      <w:rFonts w:ascii="Garamond" w:eastAsia="Times New Roman" w:hAnsi="Garamond"/>
      <w:b/>
      <w:caps/>
      <w:sz w:val="24"/>
    </w:rPr>
  </w:style>
  <w:style w:type="character" w:customStyle="1" w:styleId="Heading7Char">
    <w:name w:val="Heading 7 Char"/>
    <w:basedOn w:val="DefaultParagraphFont"/>
    <w:link w:val="Heading7"/>
    <w:rsid w:val="00A23708"/>
    <w:rPr>
      <w:rFonts w:ascii="Garamond" w:eastAsia="Times New Roman" w:hAnsi="Garamond"/>
      <w:sz w:val="24"/>
    </w:rPr>
  </w:style>
  <w:style w:type="paragraph" w:customStyle="1" w:styleId="N0-FlLftBullet">
    <w:name w:val="N0-Fl Lft Bullet"/>
    <w:basedOn w:val="Normal"/>
    <w:rsid w:val="00A23708"/>
    <w:pPr>
      <w:tabs>
        <w:tab w:val="left" w:pos="576"/>
      </w:tabs>
      <w:spacing w:after="240"/>
      <w:ind w:left="576" w:hanging="576"/>
    </w:pPr>
  </w:style>
  <w:style w:type="paragraph" w:customStyle="1" w:styleId="N2-2ndBullet">
    <w:name w:val="N2-2nd Bullet"/>
    <w:basedOn w:val="Normal"/>
    <w:rsid w:val="00A23708"/>
    <w:pPr>
      <w:numPr>
        <w:numId w:val="17"/>
      </w:numPr>
      <w:spacing w:after="240"/>
    </w:pPr>
  </w:style>
  <w:style w:type="paragraph" w:customStyle="1" w:styleId="N3-3rdBullet">
    <w:name w:val="N3-3rd Bullet"/>
    <w:basedOn w:val="Normal"/>
    <w:rsid w:val="00A23708"/>
    <w:pPr>
      <w:numPr>
        <w:numId w:val="18"/>
      </w:numPr>
      <w:spacing w:after="240"/>
    </w:pPr>
  </w:style>
  <w:style w:type="paragraph" w:customStyle="1" w:styleId="N4-4thBullet">
    <w:name w:val="N4-4th Bullet"/>
    <w:basedOn w:val="Normal"/>
    <w:rsid w:val="00A23708"/>
    <w:pPr>
      <w:numPr>
        <w:numId w:val="19"/>
      </w:numPr>
      <w:spacing w:after="240"/>
    </w:pPr>
  </w:style>
  <w:style w:type="paragraph" w:customStyle="1" w:styleId="Default">
    <w:name w:val="Default"/>
    <w:rsid w:val="0011137D"/>
    <w:pPr>
      <w:autoSpaceDE w:val="0"/>
      <w:autoSpaceDN w:val="0"/>
      <w:adjustRightInd w:val="0"/>
    </w:pPr>
    <w:rPr>
      <w:color w:val="000000"/>
      <w:sz w:val="24"/>
      <w:szCs w:val="24"/>
    </w:rPr>
  </w:style>
  <w:style w:type="paragraph" w:customStyle="1" w:styleId="N5-5thBullet">
    <w:name w:val="N5-5th Bullet"/>
    <w:basedOn w:val="Normal"/>
    <w:rsid w:val="00A23708"/>
    <w:pPr>
      <w:tabs>
        <w:tab w:val="left" w:pos="3456"/>
      </w:tabs>
      <w:spacing w:after="240"/>
      <w:ind w:left="3456" w:hanging="576"/>
    </w:pPr>
  </w:style>
  <w:style w:type="paragraph" w:customStyle="1" w:styleId="N6-DateInd">
    <w:name w:val="N6-Date Ind."/>
    <w:basedOn w:val="Normal"/>
    <w:rsid w:val="00A23708"/>
    <w:pPr>
      <w:tabs>
        <w:tab w:val="left" w:pos="4910"/>
      </w:tabs>
      <w:ind w:left="4910"/>
    </w:pPr>
  </w:style>
  <w:style w:type="paragraph" w:customStyle="1" w:styleId="N8-QxQBlock">
    <w:name w:val="N8-QxQ Block"/>
    <w:basedOn w:val="Normal"/>
    <w:rsid w:val="00A23708"/>
    <w:pPr>
      <w:tabs>
        <w:tab w:val="left" w:pos="1152"/>
      </w:tabs>
      <w:spacing w:after="360" w:line="360" w:lineRule="atLeast"/>
      <w:ind w:left="1152" w:hanging="1152"/>
    </w:pPr>
  </w:style>
  <w:style w:type="paragraph" w:customStyle="1" w:styleId="P1-StandPara">
    <w:name w:val="P1-Stand Para"/>
    <w:basedOn w:val="Normal"/>
    <w:rsid w:val="00A23708"/>
    <w:pPr>
      <w:spacing w:line="360" w:lineRule="atLeast"/>
      <w:ind w:firstLine="1152"/>
    </w:pPr>
  </w:style>
  <w:style w:type="paragraph" w:styleId="Revision">
    <w:name w:val="Revision"/>
    <w:hidden/>
    <w:uiPriority w:val="99"/>
    <w:semiHidden/>
    <w:rsid w:val="00B73103"/>
    <w:rPr>
      <w:sz w:val="24"/>
      <w:szCs w:val="24"/>
    </w:rPr>
  </w:style>
  <w:style w:type="character" w:styleId="PageNumber">
    <w:name w:val="page number"/>
    <w:basedOn w:val="DefaultParagraphFont"/>
    <w:rsid w:val="00A23708"/>
  </w:style>
  <w:style w:type="paragraph" w:customStyle="1" w:styleId="Q1-BestFinQ">
    <w:name w:val="Q1-Best/Fin Q"/>
    <w:basedOn w:val="Heading1"/>
    <w:rsid w:val="00A23708"/>
    <w:pPr>
      <w:spacing w:line="240" w:lineRule="atLeast"/>
      <w:jc w:val="both"/>
    </w:pPr>
    <w:rPr>
      <w:color w:val="auto"/>
      <w:sz w:val="24"/>
    </w:rPr>
  </w:style>
  <w:style w:type="paragraph" w:customStyle="1" w:styleId="SL-FlLftSgl">
    <w:name w:val="SL-Fl Lft Sgl"/>
    <w:basedOn w:val="Normal"/>
    <w:rsid w:val="00A23708"/>
  </w:style>
  <w:style w:type="paragraph" w:customStyle="1" w:styleId="R0-FLLftSglBoldItalic">
    <w:name w:val="R0-FL Lft Sgl Bold Italic"/>
    <w:basedOn w:val="Heading1"/>
    <w:rsid w:val="00A23708"/>
    <w:pPr>
      <w:tabs>
        <w:tab w:val="clear" w:pos="1152"/>
      </w:tabs>
      <w:spacing w:after="0" w:line="240" w:lineRule="atLeast"/>
      <w:ind w:left="0" w:firstLine="0"/>
    </w:pPr>
    <w:rPr>
      <w:rFonts w:cs="Times New Roman Bold"/>
      <w:b w:val="0"/>
      <w:i/>
      <w:color w:val="auto"/>
      <w:sz w:val="24"/>
    </w:rPr>
  </w:style>
  <w:style w:type="paragraph" w:customStyle="1" w:styleId="R1-ResPara">
    <w:name w:val="R1-Res. Para"/>
    <w:rsid w:val="00A23708"/>
    <w:pPr>
      <w:spacing w:line="240" w:lineRule="atLeast"/>
      <w:ind w:left="288"/>
    </w:pPr>
    <w:rPr>
      <w:rFonts w:ascii="Garamond" w:eastAsia="Times New Roman" w:hAnsi="Garamond"/>
      <w:sz w:val="24"/>
    </w:rPr>
  </w:style>
  <w:style w:type="paragraph" w:customStyle="1" w:styleId="R2-ResBullet">
    <w:name w:val="R2-Res Bullet"/>
    <w:basedOn w:val="Normal"/>
    <w:rsid w:val="00A23708"/>
    <w:pPr>
      <w:tabs>
        <w:tab w:val="left" w:pos="720"/>
      </w:tabs>
      <w:ind w:left="720" w:hanging="432"/>
    </w:pPr>
  </w:style>
  <w:style w:type="paragraph" w:customStyle="1" w:styleId="RF-Reference">
    <w:name w:val="RF-Reference"/>
    <w:basedOn w:val="Normal"/>
    <w:rsid w:val="00A23708"/>
    <w:pPr>
      <w:spacing w:line="240" w:lineRule="exact"/>
      <w:ind w:left="216" w:hanging="216"/>
    </w:pPr>
  </w:style>
  <w:style w:type="paragraph" w:customStyle="1" w:styleId="RH-SglSpHead">
    <w:name w:val="RH-Sgl Sp Head"/>
    <w:basedOn w:val="Heading1"/>
    <w:next w:val="Normal"/>
    <w:rsid w:val="00A23708"/>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A23708"/>
    <w:pPr>
      <w:tabs>
        <w:tab w:val="clear" w:pos="1152"/>
      </w:tabs>
      <w:spacing w:after="0" w:line="240" w:lineRule="atLeast"/>
      <w:ind w:left="0" w:firstLine="0"/>
    </w:pPr>
    <w:rPr>
      <w:sz w:val="24"/>
    </w:rPr>
  </w:style>
  <w:style w:type="paragraph" w:customStyle="1" w:styleId="SH-SglSpHead">
    <w:name w:val="SH-Sgl Sp Head"/>
    <w:basedOn w:val="Heading1"/>
    <w:rsid w:val="00A23708"/>
    <w:pPr>
      <w:tabs>
        <w:tab w:val="clear" w:pos="1152"/>
        <w:tab w:val="left" w:pos="576"/>
      </w:tabs>
      <w:spacing w:line="240" w:lineRule="atLeast"/>
      <w:ind w:left="576" w:hanging="576"/>
    </w:pPr>
    <w:rPr>
      <w:b w:val="0"/>
      <w:sz w:val="24"/>
    </w:rPr>
  </w:style>
  <w:style w:type="paragraph" w:customStyle="1" w:styleId="SP-SglSpPara">
    <w:name w:val="SP-Sgl Sp Para"/>
    <w:basedOn w:val="Normal"/>
    <w:rsid w:val="00A23708"/>
    <w:pPr>
      <w:tabs>
        <w:tab w:val="left" w:pos="576"/>
      </w:tabs>
      <w:ind w:firstLine="576"/>
    </w:pPr>
  </w:style>
  <w:style w:type="paragraph" w:customStyle="1" w:styleId="SU-FlLftUndln">
    <w:name w:val="SU-Fl Lft Undln"/>
    <w:basedOn w:val="Normal"/>
    <w:rsid w:val="00A23708"/>
    <w:pPr>
      <w:keepNext/>
      <w:spacing w:line="240" w:lineRule="exact"/>
    </w:pPr>
    <w:rPr>
      <w:u w:val="single"/>
    </w:rPr>
  </w:style>
  <w:style w:type="paragraph" w:customStyle="1" w:styleId="T0-ChapPgHd">
    <w:name w:val="T0-Chap/Pg Hd"/>
    <w:basedOn w:val="Normal"/>
    <w:rsid w:val="00A23708"/>
    <w:pPr>
      <w:tabs>
        <w:tab w:val="left" w:pos="8640"/>
      </w:tabs>
    </w:pPr>
    <w:rPr>
      <w:rFonts w:ascii="Franklin Gothic Medium" w:hAnsi="Franklin Gothic Medium"/>
      <w:u w:val="words"/>
    </w:rPr>
  </w:style>
  <w:style w:type="paragraph" w:customStyle="1" w:styleId="TC-TableofContentsHeading">
    <w:name w:val="TC-Table of Contents Heading"/>
    <w:basedOn w:val="Heading1"/>
    <w:next w:val="T0-ChapPgHd"/>
    <w:rsid w:val="00A23708"/>
    <w:pPr>
      <w:pBdr>
        <w:bottom w:val="single" w:sz="24" w:space="1" w:color="AFBED7"/>
      </w:pBdr>
      <w:tabs>
        <w:tab w:val="clear" w:pos="1152"/>
      </w:tabs>
      <w:spacing w:after="720"/>
      <w:ind w:left="6869" w:firstLine="0"/>
      <w:jc w:val="center"/>
    </w:pPr>
  </w:style>
  <w:style w:type="paragraph" w:styleId="TOC1">
    <w:name w:val="toc 1"/>
    <w:basedOn w:val="Normal"/>
    <w:semiHidden/>
    <w:rsid w:val="00A23708"/>
    <w:pPr>
      <w:tabs>
        <w:tab w:val="left" w:pos="1440"/>
        <w:tab w:val="right" w:leader="dot" w:pos="8208"/>
        <w:tab w:val="left" w:pos="8640"/>
      </w:tabs>
      <w:ind w:left="1440" w:right="1800" w:hanging="1152"/>
    </w:pPr>
  </w:style>
  <w:style w:type="paragraph" w:styleId="TOC2">
    <w:name w:val="toc 2"/>
    <w:basedOn w:val="Normal"/>
    <w:uiPriority w:val="39"/>
    <w:rsid w:val="00A23708"/>
    <w:pPr>
      <w:tabs>
        <w:tab w:val="left" w:pos="2160"/>
        <w:tab w:val="right" w:leader="dot" w:pos="8208"/>
        <w:tab w:val="left" w:pos="8640"/>
      </w:tabs>
      <w:ind w:left="2160" w:right="1800" w:hanging="720"/>
    </w:pPr>
    <w:rPr>
      <w:szCs w:val="22"/>
    </w:rPr>
  </w:style>
  <w:style w:type="paragraph" w:styleId="TOC3">
    <w:name w:val="toc 3"/>
    <w:basedOn w:val="Normal"/>
    <w:uiPriority w:val="39"/>
    <w:rsid w:val="00A23708"/>
    <w:pPr>
      <w:tabs>
        <w:tab w:val="left" w:pos="3024"/>
        <w:tab w:val="right" w:leader="dot" w:pos="8208"/>
        <w:tab w:val="left" w:pos="8640"/>
      </w:tabs>
      <w:ind w:left="3024" w:right="1800" w:hanging="864"/>
    </w:pPr>
  </w:style>
  <w:style w:type="paragraph" w:styleId="TOC4">
    <w:name w:val="toc 4"/>
    <w:basedOn w:val="Normal"/>
    <w:semiHidden/>
    <w:rsid w:val="00A23708"/>
    <w:pPr>
      <w:tabs>
        <w:tab w:val="left" w:pos="3888"/>
        <w:tab w:val="right" w:leader="dot" w:pos="8208"/>
        <w:tab w:val="left" w:pos="8640"/>
      </w:tabs>
      <w:ind w:left="3888" w:right="1800" w:hanging="864"/>
    </w:pPr>
  </w:style>
  <w:style w:type="paragraph" w:styleId="TOC5">
    <w:name w:val="toc 5"/>
    <w:basedOn w:val="Normal"/>
    <w:uiPriority w:val="39"/>
    <w:rsid w:val="00A23708"/>
    <w:pPr>
      <w:tabs>
        <w:tab w:val="left" w:pos="1440"/>
        <w:tab w:val="right" w:leader="dot" w:pos="8208"/>
        <w:tab w:val="left" w:pos="8640"/>
      </w:tabs>
      <w:ind w:left="1440" w:right="1800" w:hanging="1152"/>
    </w:pPr>
  </w:style>
  <w:style w:type="paragraph" w:styleId="TOC6">
    <w:name w:val="toc 6"/>
    <w:semiHidden/>
    <w:rsid w:val="00A23708"/>
    <w:pPr>
      <w:tabs>
        <w:tab w:val="right" w:leader="dot" w:pos="8208"/>
        <w:tab w:val="left" w:pos="8640"/>
      </w:tabs>
      <w:ind w:left="288"/>
    </w:pPr>
    <w:rPr>
      <w:rFonts w:ascii="Garamond" w:eastAsia="Times New Roman" w:hAnsi="Garamond"/>
      <w:sz w:val="24"/>
      <w:szCs w:val="22"/>
    </w:rPr>
  </w:style>
  <w:style w:type="paragraph" w:styleId="TOC7">
    <w:name w:val="toc 7"/>
    <w:semiHidden/>
    <w:rsid w:val="00A23708"/>
    <w:pPr>
      <w:tabs>
        <w:tab w:val="right" w:leader="dot" w:pos="8208"/>
        <w:tab w:val="left" w:pos="8640"/>
      </w:tabs>
      <w:ind w:left="1440"/>
    </w:pPr>
    <w:rPr>
      <w:rFonts w:ascii="Garamond" w:eastAsia="Times New Roman" w:hAnsi="Garamond"/>
      <w:sz w:val="24"/>
      <w:szCs w:val="22"/>
    </w:rPr>
  </w:style>
  <w:style w:type="paragraph" w:styleId="TOC8">
    <w:name w:val="toc 8"/>
    <w:semiHidden/>
    <w:rsid w:val="00A23708"/>
    <w:pPr>
      <w:tabs>
        <w:tab w:val="right" w:leader="dot" w:pos="8208"/>
        <w:tab w:val="left" w:pos="8640"/>
      </w:tabs>
      <w:ind w:left="2160"/>
    </w:pPr>
    <w:rPr>
      <w:rFonts w:ascii="Garamond" w:eastAsia="Times New Roman" w:hAnsi="Garamond"/>
      <w:sz w:val="24"/>
      <w:szCs w:val="22"/>
    </w:rPr>
  </w:style>
  <w:style w:type="paragraph" w:styleId="TOC9">
    <w:name w:val="toc 9"/>
    <w:semiHidden/>
    <w:rsid w:val="00A23708"/>
    <w:pPr>
      <w:tabs>
        <w:tab w:val="right" w:leader="dot" w:pos="8208"/>
        <w:tab w:val="left" w:pos="8640"/>
      </w:tabs>
      <w:ind w:left="3024"/>
    </w:pPr>
    <w:rPr>
      <w:rFonts w:ascii="Garamond" w:eastAsia="Times New Roman" w:hAnsi="Garamond"/>
      <w:sz w:val="24"/>
      <w:szCs w:val="22"/>
    </w:rPr>
  </w:style>
  <w:style w:type="character" w:styleId="CommentReference">
    <w:name w:val="annotation reference"/>
    <w:basedOn w:val="DefaultParagraphFont"/>
    <w:uiPriority w:val="99"/>
    <w:semiHidden/>
    <w:unhideWhenUsed/>
    <w:rsid w:val="00CD59E7"/>
    <w:rPr>
      <w:sz w:val="16"/>
      <w:szCs w:val="16"/>
    </w:rPr>
  </w:style>
  <w:style w:type="paragraph" w:styleId="CommentText">
    <w:name w:val="annotation text"/>
    <w:basedOn w:val="Normal"/>
    <w:link w:val="CommentTextChar"/>
    <w:uiPriority w:val="99"/>
    <w:semiHidden/>
    <w:unhideWhenUsed/>
    <w:rsid w:val="00CD59E7"/>
    <w:pPr>
      <w:spacing w:line="240" w:lineRule="auto"/>
    </w:pPr>
    <w:rPr>
      <w:sz w:val="20"/>
    </w:rPr>
  </w:style>
  <w:style w:type="character" w:customStyle="1" w:styleId="CommentTextChar">
    <w:name w:val="Comment Text Char"/>
    <w:basedOn w:val="DefaultParagraphFont"/>
    <w:link w:val="CommentText"/>
    <w:uiPriority w:val="99"/>
    <w:semiHidden/>
    <w:rsid w:val="00CD59E7"/>
    <w:rPr>
      <w:rFonts w:ascii="Garamond" w:eastAsia="Times New Roman" w:hAnsi="Garamond"/>
    </w:rPr>
  </w:style>
  <w:style w:type="paragraph" w:styleId="CommentSubject">
    <w:name w:val="annotation subject"/>
    <w:basedOn w:val="CommentText"/>
    <w:next w:val="CommentText"/>
    <w:link w:val="CommentSubjectChar"/>
    <w:uiPriority w:val="99"/>
    <w:semiHidden/>
    <w:unhideWhenUsed/>
    <w:rsid w:val="00CD59E7"/>
    <w:rPr>
      <w:b/>
      <w:bCs/>
    </w:rPr>
  </w:style>
  <w:style w:type="character" w:customStyle="1" w:styleId="CommentSubjectChar">
    <w:name w:val="Comment Subject Char"/>
    <w:basedOn w:val="CommentTextChar"/>
    <w:link w:val="CommentSubject"/>
    <w:uiPriority w:val="99"/>
    <w:semiHidden/>
    <w:rsid w:val="00CD59E7"/>
    <w:rPr>
      <w:rFonts w:ascii="Garamond" w:eastAsia="Times New Roman" w:hAnsi="Garamond"/>
      <w:b/>
      <w:bCs/>
    </w:rPr>
  </w:style>
  <w:style w:type="paragraph" w:styleId="BalloonText">
    <w:name w:val="Balloon Text"/>
    <w:basedOn w:val="Normal"/>
    <w:link w:val="BalloonTextChar"/>
    <w:uiPriority w:val="99"/>
    <w:semiHidden/>
    <w:unhideWhenUsed/>
    <w:rsid w:val="00CD59E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9E7"/>
    <w:rPr>
      <w:rFonts w:ascii="Tahoma" w:eastAsia="Times New Roman" w:hAnsi="Tahoma" w:cs="Tahoma"/>
      <w:sz w:val="16"/>
      <w:szCs w:val="16"/>
    </w:rPr>
  </w:style>
  <w:style w:type="paragraph" w:styleId="ListParagraph">
    <w:name w:val="List Paragraph"/>
    <w:basedOn w:val="Normal"/>
    <w:uiPriority w:val="34"/>
    <w:qFormat/>
    <w:rsid w:val="00CF3D9D"/>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6521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59248">
      <w:bodyDiv w:val="1"/>
      <w:marLeft w:val="0"/>
      <w:marRight w:val="0"/>
      <w:marTop w:val="0"/>
      <w:marBottom w:val="0"/>
      <w:divBdr>
        <w:top w:val="none" w:sz="0" w:space="0" w:color="auto"/>
        <w:left w:val="none" w:sz="0" w:space="0" w:color="auto"/>
        <w:bottom w:val="none" w:sz="0" w:space="0" w:color="auto"/>
        <w:right w:val="none" w:sz="0" w:space="0" w:color="auto"/>
      </w:divBdr>
    </w:div>
    <w:div w:id="60953179">
      <w:bodyDiv w:val="1"/>
      <w:marLeft w:val="0"/>
      <w:marRight w:val="0"/>
      <w:marTop w:val="0"/>
      <w:marBottom w:val="0"/>
      <w:divBdr>
        <w:top w:val="none" w:sz="0" w:space="0" w:color="auto"/>
        <w:left w:val="none" w:sz="0" w:space="0" w:color="auto"/>
        <w:bottom w:val="none" w:sz="0" w:space="0" w:color="auto"/>
        <w:right w:val="none" w:sz="0" w:space="0" w:color="auto"/>
      </w:divBdr>
    </w:div>
    <w:div w:id="95834280">
      <w:bodyDiv w:val="1"/>
      <w:marLeft w:val="0"/>
      <w:marRight w:val="0"/>
      <w:marTop w:val="0"/>
      <w:marBottom w:val="0"/>
      <w:divBdr>
        <w:top w:val="none" w:sz="0" w:space="0" w:color="auto"/>
        <w:left w:val="none" w:sz="0" w:space="0" w:color="auto"/>
        <w:bottom w:val="none" w:sz="0" w:space="0" w:color="auto"/>
        <w:right w:val="none" w:sz="0" w:space="0" w:color="auto"/>
      </w:divBdr>
    </w:div>
    <w:div w:id="101071054">
      <w:bodyDiv w:val="1"/>
      <w:marLeft w:val="0"/>
      <w:marRight w:val="0"/>
      <w:marTop w:val="0"/>
      <w:marBottom w:val="0"/>
      <w:divBdr>
        <w:top w:val="none" w:sz="0" w:space="0" w:color="auto"/>
        <w:left w:val="none" w:sz="0" w:space="0" w:color="auto"/>
        <w:bottom w:val="none" w:sz="0" w:space="0" w:color="auto"/>
        <w:right w:val="none" w:sz="0" w:space="0" w:color="auto"/>
      </w:divBdr>
    </w:div>
    <w:div w:id="137958947">
      <w:bodyDiv w:val="1"/>
      <w:marLeft w:val="0"/>
      <w:marRight w:val="0"/>
      <w:marTop w:val="0"/>
      <w:marBottom w:val="0"/>
      <w:divBdr>
        <w:top w:val="none" w:sz="0" w:space="0" w:color="auto"/>
        <w:left w:val="none" w:sz="0" w:space="0" w:color="auto"/>
        <w:bottom w:val="none" w:sz="0" w:space="0" w:color="auto"/>
        <w:right w:val="none" w:sz="0" w:space="0" w:color="auto"/>
      </w:divBdr>
    </w:div>
    <w:div w:id="153227751">
      <w:bodyDiv w:val="1"/>
      <w:marLeft w:val="0"/>
      <w:marRight w:val="0"/>
      <w:marTop w:val="0"/>
      <w:marBottom w:val="0"/>
      <w:divBdr>
        <w:top w:val="none" w:sz="0" w:space="0" w:color="auto"/>
        <w:left w:val="none" w:sz="0" w:space="0" w:color="auto"/>
        <w:bottom w:val="none" w:sz="0" w:space="0" w:color="auto"/>
        <w:right w:val="none" w:sz="0" w:space="0" w:color="auto"/>
      </w:divBdr>
    </w:div>
    <w:div w:id="153685007">
      <w:bodyDiv w:val="1"/>
      <w:marLeft w:val="0"/>
      <w:marRight w:val="0"/>
      <w:marTop w:val="0"/>
      <w:marBottom w:val="0"/>
      <w:divBdr>
        <w:top w:val="none" w:sz="0" w:space="0" w:color="auto"/>
        <w:left w:val="none" w:sz="0" w:space="0" w:color="auto"/>
        <w:bottom w:val="none" w:sz="0" w:space="0" w:color="auto"/>
        <w:right w:val="none" w:sz="0" w:space="0" w:color="auto"/>
      </w:divBdr>
    </w:div>
    <w:div w:id="203830189">
      <w:bodyDiv w:val="1"/>
      <w:marLeft w:val="0"/>
      <w:marRight w:val="0"/>
      <w:marTop w:val="0"/>
      <w:marBottom w:val="0"/>
      <w:divBdr>
        <w:top w:val="none" w:sz="0" w:space="0" w:color="auto"/>
        <w:left w:val="none" w:sz="0" w:space="0" w:color="auto"/>
        <w:bottom w:val="none" w:sz="0" w:space="0" w:color="auto"/>
        <w:right w:val="none" w:sz="0" w:space="0" w:color="auto"/>
      </w:divBdr>
    </w:div>
    <w:div w:id="322316426">
      <w:bodyDiv w:val="1"/>
      <w:marLeft w:val="0"/>
      <w:marRight w:val="0"/>
      <w:marTop w:val="0"/>
      <w:marBottom w:val="0"/>
      <w:divBdr>
        <w:top w:val="none" w:sz="0" w:space="0" w:color="auto"/>
        <w:left w:val="none" w:sz="0" w:space="0" w:color="auto"/>
        <w:bottom w:val="none" w:sz="0" w:space="0" w:color="auto"/>
        <w:right w:val="none" w:sz="0" w:space="0" w:color="auto"/>
      </w:divBdr>
    </w:div>
    <w:div w:id="353464470">
      <w:bodyDiv w:val="1"/>
      <w:marLeft w:val="0"/>
      <w:marRight w:val="0"/>
      <w:marTop w:val="0"/>
      <w:marBottom w:val="0"/>
      <w:divBdr>
        <w:top w:val="none" w:sz="0" w:space="0" w:color="auto"/>
        <w:left w:val="none" w:sz="0" w:space="0" w:color="auto"/>
        <w:bottom w:val="none" w:sz="0" w:space="0" w:color="auto"/>
        <w:right w:val="none" w:sz="0" w:space="0" w:color="auto"/>
      </w:divBdr>
    </w:div>
    <w:div w:id="399986456">
      <w:bodyDiv w:val="1"/>
      <w:marLeft w:val="0"/>
      <w:marRight w:val="0"/>
      <w:marTop w:val="0"/>
      <w:marBottom w:val="0"/>
      <w:divBdr>
        <w:top w:val="none" w:sz="0" w:space="0" w:color="auto"/>
        <w:left w:val="none" w:sz="0" w:space="0" w:color="auto"/>
        <w:bottom w:val="none" w:sz="0" w:space="0" w:color="auto"/>
        <w:right w:val="none" w:sz="0" w:space="0" w:color="auto"/>
      </w:divBdr>
    </w:div>
    <w:div w:id="505174514">
      <w:bodyDiv w:val="1"/>
      <w:marLeft w:val="0"/>
      <w:marRight w:val="0"/>
      <w:marTop w:val="0"/>
      <w:marBottom w:val="0"/>
      <w:divBdr>
        <w:top w:val="none" w:sz="0" w:space="0" w:color="auto"/>
        <w:left w:val="none" w:sz="0" w:space="0" w:color="auto"/>
        <w:bottom w:val="none" w:sz="0" w:space="0" w:color="auto"/>
        <w:right w:val="none" w:sz="0" w:space="0" w:color="auto"/>
      </w:divBdr>
    </w:div>
    <w:div w:id="511991678">
      <w:bodyDiv w:val="1"/>
      <w:marLeft w:val="0"/>
      <w:marRight w:val="0"/>
      <w:marTop w:val="0"/>
      <w:marBottom w:val="0"/>
      <w:divBdr>
        <w:top w:val="none" w:sz="0" w:space="0" w:color="auto"/>
        <w:left w:val="none" w:sz="0" w:space="0" w:color="auto"/>
        <w:bottom w:val="none" w:sz="0" w:space="0" w:color="auto"/>
        <w:right w:val="none" w:sz="0" w:space="0" w:color="auto"/>
      </w:divBdr>
    </w:div>
    <w:div w:id="536704407">
      <w:bodyDiv w:val="1"/>
      <w:marLeft w:val="0"/>
      <w:marRight w:val="0"/>
      <w:marTop w:val="0"/>
      <w:marBottom w:val="0"/>
      <w:divBdr>
        <w:top w:val="none" w:sz="0" w:space="0" w:color="auto"/>
        <w:left w:val="none" w:sz="0" w:space="0" w:color="auto"/>
        <w:bottom w:val="none" w:sz="0" w:space="0" w:color="auto"/>
        <w:right w:val="none" w:sz="0" w:space="0" w:color="auto"/>
      </w:divBdr>
    </w:div>
    <w:div w:id="561991552">
      <w:bodyDiv w:val="1"/>
      <w:marLeft w:val="0"/>
      <w:marRight w:val="0"/>
      <w:marTop w:val="0"/>
      <w:marBottom w:val="0"/>
      <w:divBdr>
        <w:top w:val="none" w:sz="0" w:space="0" w:color="auto"/>
        <w:left w:val="none" w:sz="0" w:space="0" w:color="auto"/>
        <w:bottom w:val="none" w:sz="0" w:space="0" w:color="auto"/>
        <w:right w:val="none" w:sz="0" w:space="0" w:color="auto"/>
      </w:divBdr>
    </w:div>
    <w:div w:id="567425700">
      <w:bodyDiv w:val="1"/>
      <w:marLeft w:val="0"/>
      <w:marRight w:val="0"/>
      <w:marTop w:val="0"/>
      <w:marBottom w:val="0"/>
      <w:divBdr>
        <w:top w:val="none" w:sz="0" w:space="0" w:color="auto"/>
        <w:left w:val="none" w:sz="0" w:space="0" w:color="auto"/>
        <w:bottom w:val="none" w:sz="0" w:space="0" w:color="auto"/>
        <w:right w:val="none" w:sz="0" w:space="0" w:color="auto"/>
      </w:divBdr>
    </w:div>
    <w:div w:id="875384418">
      <w:bodyDiv w:val="1"/>
      <w:marLeft w:val="0"/>
      <w:marRight w:val="0"/>
      <w:marTop w:val="0"/>
      <w:marBottom w:val="0"/>
      <w:divBdr>
        <w:top w:val="none" w:sz="0" w:space="0" w:color="auto"/>
        <w:left w:val="none" w:sz="0" w:space="0" w:color="auto"/>
        <w:bottom w:val="none" w:sz="0" w:space="0" w:color="auto"/>
        <w:right w:val="none" w:sz="0" w:space="0" w:color="auto"/>
      </w:divBdr>
    </w:div>
    <w:div w:id="913009456">
      <w:bodyDiv w:val="1"/>
      <w:marLeft w:val="0"/>
      <w:marRight w:val="0"/>
      <w:marTop w:val="0"/>
      <w:marBottom w:val="0"/>
      <w:divBdr>
        <w:top w:val="none" w:sz="0" w:space="0" w:color="auto"/>
        <w:left w:val="none" w:sz="0" w:space="0" w:color="auto"/>
        <w:bottom w:val="none" w:sz="0" w:space="0" w:color="auto"/>
        <w:right w:val="none" w:sz="0" w:space="0" w:color="auto"/>
      </w:divBdr>
    </w:div>
    <w:div w:id="913859326">
      <w:bodyDiv w:val="1"/>
      <w:marLeft w:val="0"/>
      <w:marRight w:val="0"/>
      <w:marTop w:val="0"/>
      <w:marBottom w:val="0"/>
      <w:divBdr>
        <w:top w:val="none" w:sz="0" w:space="0" w:color="auto"/>
        <w:left w:val="none" w:sz="0" w:space="0" w:color="auto"/>
        <w:bottom w:val="none" w:sz="0" w:space="0" w:color="auto"/>
        <w:right w:val="none" w:sz="0" w:space="0" w:color="auto"/>
      </w:divBdr>
    </w:div>
    <w:div w:id="1010256696">
      <w:bodyDiv w:val="1"/>
      <w:marLeft w:val="0"/>
      <w:marRight w:val="0"/>
      <w:marTop w:val="0"/>
      <w:marBottom w:val="0"/>
      <w:divBdr>
        <w:top w:val="none" w:sz="0" w:space="0" w:color="auto"/>
        <w:left w:val="none" w:sz="0" w:space="0" w:color="auto"/>
        <w:bottom w:val="none" w:sz="0" w:space="0" w:color="auto"/>
        <w:right w:val="none" w:sz="0" w:space="0" w:color="auto"/>
      </w:divBdr>
    </w:div>
    <w:div w:id="1019434305">
      <w:bodyDiv w:val="1"/>
      <w:marLeft w:val="0"/>
      <w:marRight w:val="0"/>
      <w:marTop w:val="0"/>
      <w:marBottom w:val="0"/>
      <w:divBdr>
        <w:top w:val="none" w:sz="0" w:space="0" w:color="auto"/>
        <w:left w:val="none" w:sz="0" w:space="0" w:color="auto"/>
        <w:bottom w:val="none" w:sz="0" w:space="0" w:color="auto"/>
        <w:right w:val="none" w:sz="0" w:space="0" w:color="auto"/>
      </w:divBdr>
    </w:div>
    <w:div w:id="1046754463">
      <w:bodyDiv w:val="1"/>
      <w:marLeft w:val="0"/>
      <w:marRight w:val="0"/>
      <w:marTop w:val="0"/>
      <w:marBottom w:val="0"/>
      <w:divBdr>
        <w:top w:val="none" w:sz="0" w:space="0" w:color="auto"/>
        <w:left w:val="none" w:sz="0" w:space="0" w:color="auto"/>
        <w:bottom w:val="none" w:sz="0" w:space="0" w:color="auto"/>
        <w:right w:val="none" w:sz="0" w:space="0" w:color="auto"/>
      </w:divBdr>
    </w:div>
    <w:div w:id="1060323170">
      <w:bodyDiv w:val="1"/>
      <w:marLeft w:val="0"/>
      <w:marRight w:val="0"/>
      <w:marTop w:val="0"/>
      <w:marBottom w:val="0"/>
      <w:divBdr>
        <w:top w:val="none" w:sz="0" w:space="0" w:color="auto"/>
        <w:left w:val="none" w:sz="0" w:space="0" w:color="auto"/>
        <w:bottom w:val="none" w:sz="0" w:space="0" w:color="auto"/>
        <w:right w:val="none" w:sz="0" w:space="0" w:color="auto"/>
      </w:divBdr>
    </w:div>
    <w:div w:id="1115755183">
      <w:bodyDiv w:val="1"/>
      <w:marLeft w:val="0"/>
      <w:marRight w:val="0"/>
      <w:marTop w:val="0"/>
      <w:marBottom w:val="0"/>
      <w:divBdr>
        <w:top w:val="none" w:sz="0" w:space="0" w:color="auto"/>
        <w:left w:val="none" w:sz="0" w:space="0" w:color="auto"/>
        <w:bottom w:val="none" w:sz="0" w:space="0" w:color="auto"/>
        <w:right w:val="none" w:sz="0" w:space="0" w:color="auto"/>
      </w:divBdr>
    </w:div>
    <w:div w:id="1221669963">
      <w:bodyDiv w:val="1"/>
      <w:marLeft w:val="0"/>
      <w:marRight w:val="0"/>
      <w:marTop w:val="0"/>
      <w:marBottom w:val="0"/>
      <w:divBdr>
        <w:top w:val="none" w:sz="0" w:space="0" w:color="auto"/>
        <w:left w:val="none" w:sz="0" w:space="0" w:color="auto"/>
        <w:bottom w:val="none" w:sz="0" w:space="0" w:color="auto"/>
        <w:right w:val="none" w:sz="0" w:space="0" w:color="auto"/>
      </w:divBdr>
    </w:div>
    <w:div w:id="1282346610">
      <w:bodyDiv w:val="1"/>
      <w:marLeft w:val="0"/>
      <w:marRight w:val="0"/>
      <w:marTop w:val="0"/>
      <w:marBottom w:val="0"/>
      <w:divBdr>
        <w:top w:val="none" w:sz="0" w:space="0" w:color="auto"/>
        <w:left w:val="none" w:sz="0" w:space="0" w:color="auto"/>
        <w:bottom w:val="none" w:sz="0" w:space="0" w:color="auto"/>
        <w:right w:val="none" w:sz="0" w:space="0" w:color="auto"/>
      </w:divBdr>
    </w:div>
    <w:div w:id="1310209958">
      <w:bodyDiv w:val="1"/>
      <w:marLeft w:val="0"/>
      <w:marRight w:val="0"/>
      <w:marTop w:val="0"/>
      <w:marBottom w:val="0"/>
      <w:divBdr>
        <w:top w:val="none" w:sz="0" w:space="0" w:color="auto"/>
        <w:left w:val="none" w:sz="0" w:space="0" w:color="auto"/>
        <w:bottom w:val="none" w:sz="0" w:space="0" w:color="auto"/>
        <w:right w:val="none" w:sz="0" w:space="0" w:color="auto"/>
      </w:divBdr>
      <w:divsChild>
        <w:div w:id="1847134521">
          <w:marLeft w:val="0"/>
          <w:marRight w:val="0"/>
          <w:marTop w:val="0"/>
          <w:marBottom w:val="0"/>
          <w:divBdr>
            <w:top w:val="none" w:sz="0" w:space="0" w:color="auto"/>
            <w:left w:val="none" w:sz="0" w:space="0" w:color="auto"/>
            <w:bottom w:val="none" w:sz="0" w:space="0" w:color="auto"/>
            <w:right w:val="none" w:sz="0" w:space="0" w:color="auto"/>
          </w:divBdr>
        </w:div>
      </w:divsChild>
    </w:div>
    <w:div w:id="1443186119">
      <w:bodyDiv w:val="1"/>
      <w:marLeft w:val="0"/>
      <w:marRight w:val="0"/>
      <w:marTop w:val="0"/>
      <w:marBottom w:val="0"/>
      <w:divBdr>
        <w:top w:val="none" w:sz="0" w:space="0" w:color="auto"/>
        <w:left w:val="none" w:sz="0" w:space="0" w:color="auto"/>
        <w:bottom w:val="none" w:sz="0" w:space="0" w:color="auto"/>
        <w:right w:val="none" w:sz="0" w:space="0" w:color="auto"/>
      </w:divBdr>
    </w:div>
    <w:div w:id="1461073044">
      <w:bodyDiv w:val="1"/>
      <w:marLeft w:val="0"/>
      <w:marRight w:val="0"/>
      <w:marTop w:val="0"/>
      <w:marBottom w:val="0"/>
      <w:divBdr>
        <w:top w:val="none" w:sz="0" w:space="0" w:color="auto"/>
        <w:left w:val="none" w:sz="0" w:space="0" w:color="auto"/>
        <w:bottom w:val="none" w:sz="0" w:space="0" w:color="auto"/>
        <w:right w:val="none" w:sz="0" w:space="0" w:color="auto"/>
      </w:divBdr>
    </w:div>
    <w:div w:id="1601987242">
      <w:bodyDiv w:val="1"/>
      <w:marLeft w:val="0"/>
      <w:marRight w:val="0"/>
      <w:marTop w:val="0"/>
      <w:marBottom w:val="0"/>
      <w:divBdr>
        <w:top w:val="none" w:sz="0" w:space="0" w:color="auto"/>
        <w:left w:val="none" w:sz="0" w:space="0" w:color="auto"/>
        <w:bottom w:val="none" w:sz="0" w:space="0" w:color="auto"/>
        <w:right w:val="none" w:sz="0" w:space="0" w:color="auto"/>
      </w:divBdr>
    </w:div>
    <w:div w:id="1651014872">
      <w:bodyDiv w:val="1"/>
      <w:marLeft w:val="0"/>
      <w:marRight w:val="0"/>
      <w:marTop w:val="0"/>
      <w:marBottom w:val="0"/>
      <w:divBdr>
        <w:top w:val="none" w:sz="0" w:space="0" w:color="auto"/>
        <w:left w:val="none" w:sz="0" w:space="0" w:color="auto"/>
        <w:bottom w:val="none" w:sz="0" w:space="0" w:color="auto"/>
        <w:right w:val="none" w:sz="0" w:space="0" w:color="auto"/>
      </w:divBdr>
    </w:div>
    <w:div w:id="1744185286">
      <w:bodyDiv w:val="1"/>
      <w:marLeft w:val="0"/>
      <w:marRight w:val="0"/>
      <w:marTop w:val="0"/>
      <w:marBottom w:val="0"/>
      <w:divBdr>
        <w:top w:val="none" w:sz="0" w:space="0" w:color="auto"/>
        <w:left w:val="none" w:sz="0" w:space="0" w:color="auto"/>
        <w:bottom w:val="none" w:sz="0" w:space="0" w:color="auto"/>
        <w:right w:val="none" w:sz="0" w:space="0" w:color="auto"/>
      </w:divBdr>
    </w:div>
    <w:div w:id="1819876065">
      <w:bodyDiv w:val="1"/>
      <w:marLeft w:val="0"/>
      <w:marRight w:val="0"/>
      <w:marTop w:val="0"/>
      <w:marBottom w:val="0"/>
      <w:divBdr>
        <w:top w:val="none" w:sz="0" w:space="0" w:color="auto"/>
        <w:left w:val="none" w:sz="0" w:space="0" w:color="auto"/>
        <w:bottom w:val="none" w:sz="0" w:space="0" w:color="auto"/>
        <w:right w:val="none" w:sz="0" w:space="0" w:color="auto"/>
      </w:divBdr>
    </w:div>
    <w:div w:id="1924491768">
      <w:bodyDiv w:val="1"/>
      <w:marLeft w:val="0"/>
      <w:marRight w:val="0"/>
      <w:marTop w:val="0"/>
      <w:marBottom w:val="0"/>
      <w:divBdr>
        <w:top w:val="none" w:sz="0" w:space="0" w:color="auto"/>
        <w:left w:val="none" w:sz="0" w:space="0" w:color="auto"/>
        <w:bottom w:val="none" w:sz="0" w:space="0" w:color="auto"/>
        <w:right w:val="none" w:sz="0" w:space="0" w:color="auto"/>
      </w:divBdr>
    </w:div>
    <w:div w:id="1960141877">
      <w:bodyDiv w:val="1"/>
      <w:marLeft w:val="0"/>
      <w:marRight w:val="0"/>
      <w:marTop w:val="0"/>
      <w:marBottom w:val="0"/>
      <w:divBdr>
        <w:top w:val="none" w:sz="0" w:space="0" w:color="auto"/>
        <w:left w:val="none" w:sz="0" w:space="0" w:color="auto"/>
        <w:bottom w:val="none" w:sz="0" w:space="0" w:color="auto"/>
        <w:right w:val="none" w:sz="0" w:space="0" w:color="auto"/>
      </w:divBdr>
    </w:div>
    <w:div w:id="20383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ol.gov/dol/topic/wages/minimumwage.htm"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bls.gov/oes/current/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mailto:PATHprojectofficer@mail.nih.gov"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57448-2B96-44F6-9D9C-A11D029CC145}">
  <ds:schemaRefs>
    <ds:schemaRef ds:uri="http://schemas.openxmlformats.org/officeDocument/2006/bibliography"/>
  </ds:schemaRefs>
</ds:datastoreItem>
</file>

<file path=customXml/itemProps2.xml><?xml version="1.0" encoding="utf-8"?>
<ds:datastoreItem xmlns:ds="http://schemas.openxmlformats.org/officeDocument/2006/customXml" ds:itemID="{AA145F87-F862-48B9-AE25-B8FCE3628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6625</Words>
  <Characters>37766</Characters>
  <Application>Microsoft Office Word</Application>
  <DocSecurity>4</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NIAAA</Company>
  <LinksUpToDate>false</LinksUpToDate>
  <CharactersWithSpaces>44303</CharactersWithSpaces>
  <SharedDoc>false</SharedDoc>
  <HLinks>
    <vt:vector size="18" baseType="variant">
      <vt:variant>
        <vt:i4>3932204</vt:i4>
      </vt:variant>
      <vt:variant>
        <vt:i4>6</vt:i4>
      </vt:variant>
      <vt:variant>
        <vt:i4>0</vt:i4>
      </vt:variant>
      <vt:variant>
        <vt:i4>5</vt:i4>
      </vt:variant>
      <vt:variant>
        <vt:lpwstr>http://www.dol.gov/dol/topic/wages/minimumwage.htm</vt:lpwstr>
      </vt:variant>
      <vt:variant>
        <vt:lpwstr/>
      </vt:variant>
      <vt:variant>
        <vt:i4>3407967</vt:i4>
      </vt:variant>
      <vt:variant>
        <vt:i4>3</vt:i4>
      </vt:variant>
      <vt:variant>
        <vt:i4>0</vt:i4>
      </vt:variant>
      <vt:variant>
        <vt:i4>5</vt:i4>
      </vt:variant>
      <vt:variant>
        <vt:lpwstr>http://www.bls.gov/oes/current/oes_nat.htm</vt:lpwstr>
      </vt:variant>
      <vt:variant>
        <vt:lpwstr/>
      </vt:variant>
      <vt:variant>
        <vt:i4>2097224</vt:i4>
      </vt:variant>
      <vt:variant>
        <vt:i4>0</vt:i4>
      </vt:variant>
      <vt:variant>
        <vt:i4>0</vt:i4>
      </vt:variant>
      <vt:variant>
        <vt:i4>5</vt:i4>
      </vt:variant>
      <vt:variant>
        <vt:lpwstr>http://www.whitehouse.gov/omb/inforeg/pmc_survey_guidance_2006.pdf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fstinson</dc:creator>
  <cp:lastModifiedBy>temp</cp:lastModifiedBy>
  <cp:revision>2</cp:revision>
  <cp:lastPrinted>2013-05-15T17:57:00Z</cp:lastPrinted>
  <dcterms:created xsi:type="dcterms:W3CDTF">2013-05-15T20:06:00Z</dcterms:created>
  <dcterms:modified xsi:type="dcterms:W3CDTF">2013-05-15T20:06:00Z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