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DB7" w:rsidRDefault="00435DB7" w:rsidP="00435DB7">
      <w:pPr>
        <w:spacing w:after="0" w:line="240" w:lineRule="auto"/>
        <w:jc w:val="center"/>
        <w:rPr>
          <w:rFonts w:ascii="Georgia" w:hAnsi="Georgia" w:cs="Times New Roman"/>
          <w:b/>
          <w:sz w:val="24"/>
          <w:szCs w:val="24"/>
        </w:rPr>
      </w:pPr>
      <w:bookmarkStart w:id="0" w:name="_GoBack"/>
      <w:bookmarkEnd w:id="0"/>
    </w:p>
    <w:p w:rsidR="00263353" w:rsidRPr="00435DB7" w:rsidRDefault="00263353" w:rsidP="00263353">
      <w:pPr>
        <w:spacing w:after="0" w:line="240" w:lineRule="auto"/>
        <w:jc w:val="center"/>
        <w:rPr>
          <w:rFonts w:ascii="Georgia" w:hAnsi="Georgia" w:cs="Times New Roman"/>
          <w:sz w:val="24"/>
          <w:szCs w:val="24"/>
        </w:rPr>
      </w:pPr>
      <w:r w:rsidRPr="001862DA">
        <w:rPr>
          <w:rFonts w:ascii="Georgia" w:hAnsi="Georgia" w:cs="Times New Roman"/>
          <w:sz w:val="24"/>
          <w:szCs w:val="24"/>
        </w:rPr>
        <w:t>Exposure Assessment and Epidemiological Study of U.S. Workers Exposed to Carbon Nanotubes and Carbon Nanofibers</w:t>
      </w:r>
    </w:p>
    <w:p w:rsidR="00435DB7" w:rsidRDefault="00435DB7" w:rsidP="00435DB7">
      <w:pPr>
        <w:spacing w:after="0" w:line="240" w:lineRule="auto"/>
        <w:jc w:val="center"/>
        <w:rPr>
          <w:rFonts w:ascii="Georgia" w:hAnsi="Georgia" w:cs="Times New Roman"/>
          <w:b/>
          <w:sz w:val="24"/>
          <w:szCs w:val="24"/>
        </w:rPr>
      </w:pPr>
    </w:p>
    <w:p w:rsidR="00435DB7" w:rsidRDefault="00435DB7" w:rsidP="00435DB7">
      <w:pPr>
        <w:spacing w:after="0" w:line="240" w:lineRule="auto"/>
        <w:jc w:val="center"/>
        <w:rPr>
          <w:rFonts w:ascii="Georgia" w:hAnsi="Georgia" w:cs="Times New Roman"/>
          <w:b/>
          <w:sz w:val="24"/>
          <w:szCs w:val="24"/>
        </w:rPr>
      </w:pPr>
    </w:p>
    <w:p w:rsidR="00435DB7" w:rsidRPr="00435DB7" w:rsidRDefault="00435DB7" w:rsidP="00435DB7">
      <w:pPr>
        <w:spacing w:after="0" w:line="240" w:lineRule="auto"/>
        <w:jc w:val="center"/>
        <w:rPr>
          <w:rFonts w:ascii="Georgia" w:hAnsi="Georgia" w:cs="Times New Roman"/>
          <w:sz w:val="24"/>
          <w:szCs w:val="24"/>
        </w:rPr>
      </w:pPr>
      <w:r w:rsidRPr="00435DB7">
        <w:rPr>
          <w:rFonts w:ascii="Georgia" w:hAnsi="Georgia" w:cs="Times New Roman"/>
          <w:sz w:val="24"/>
          <w:szCs w:val="24"/>
        </w:rPr>
        <w:t>Supporting Statement</w:t>
      </w:r>
      <w:r w:rsidR="00DB7F61">
        <w:rPr>
          <w:rFonts w:ascii="Georgia" w:hAnsi="Georgia" w:cs="Times New Roman"/>
          <w:sz w:val="24"/>
          <w:szCs w:val="24"/>
        </w:rPr>
        <w:t xml:space="preserve"> </w:t>
      </w:r>
      <w:r w:rsidR="00DF4D93">
        <w:rPr>
          <w:rFonts w:ascii="Georgia" w:hAnsi="Georgia" w:cs="Times New Roman"/>
          <w:sz w:val="24"/>
          <w:szCs w:val="24"/>
        </w:rPr>
        <w:t>B</w:t>
      </w:r>
    </w:p>
    <w:p w:rsidR="00435DB7" w:rsidRPr="00435DB7" w:rsidRDefault="00435DB7" w:rsidP="00435DB7">
      <w:pPr>
        <w:spacing w:after="0" w:line="240" w:lineRule="auto"/>
        <w:jc w:val="center"/>
        <w:rPr>
          <w:rFonts w:ascii="Georgia" w:hAnsi="Georgia" w:cs="Times New Roman"/>
          <w:sz w:val="24"/>
          <w:szCs w:val="24"/>
        </w:rPr>
      </w:pPr>
    </w:p>
    <w:p w:rsidR="00435DB7" w:rsidRPr="00435DB7" w:rsidRDefault="00435DB7" w:rsidP="00435DB7">
      <w:pPr>
        <w:spacing w:after="0" w:line="240" w:lineRule="auto"/>
        <w:jc w:val="center"/>
        <w:rPr>
          <w:rFonts w:ascii="Georgia" w:hAnsi="Georgia" w:cs="Times New Roman"/>
          <w:sz w:val="24"/>
          <w:szCs w:val="24"/>
        </w:rPr>
      </w:pPr>
    </w:p>
    <w:p w:rsidR="00435DB7" w:rsidRPr="00435DB7" w:rsidRDefault="00435DB7" w:rsidP="00435DB7">
      <w:pPr>
        <w:spacing w:after="0" w:line="240" w:lineRule="auto"/>
        <w:jc w:val="center"/>
        <w:rPr>
          <w:rFonts w:ascii="Georgia" w:hAnsi="Georgia" w:cs="Times New Roman"/>
          <w:sz w:val="24"/>
          <w:szCs w:val="24"/>
        </w:rPr>
      </w:pPr>
    </w:p>
    <w:p w:rsidR="00435DB7" w:rsidRP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r w:rsidRPr="00435DB7">
        <w:rPr>
          <w:rFonts w:ascii="Georgia" w:hAnsi="Georgia" w:cs="Times New Roman"/>
          <w:sz w:val="24"/>
          <w:szCs w:val="24"/>
        </w:rPr>
        <w:t>Request for Office of Mana</w:t>
      </w:r>
      <w:r>
        <w:rPr>
          <w:rFonts w:ascii="Georgia" w:hAnsi="Georgia" w:cs="Times New Roman"/>
          <w:sz w:val="24"/>
          <w:szCs w:val="24"/>
        </w:rPr>
        <w:t>g</w:t>
      </w:r>
      <w:r w:rsidRPr="00435DB7">
        <w:rPr>
          <w:rFonts w:ascii="Georgia" w:hAnsi="Georgia" w:cs="Times New Roman"/>
          <w:sz w:val="24"/>
          <w:szCs w:val="24"/>
        </w:rPr>
        <w:t>ement and</w:t>
      </w:r>
      <w:r>
        <w:rPr>
          <w:rFonts w:ascii="Georgia" w:hAnsi="Georgia" w:cs="Times New Roman"/>
          <w:sz w:val="24"/>
          <w:szCs w:val="24"/>
        </w:rPr>
        <w:t xml:space="preserve"> Budget (OMB) Review</w:t>
      </w:r>
    </w:p>
    <w:p w:rsidR="00435DB7" w:rsidRDefault="00435DB7" w:rsidP="00435DB7">
      <w:pPr>
        <w:spacing w:after="0" w:line="240" w:lineRule="auto"/>
        <w:jc w:val="center"/>
        <w:rPr>
          <w:rFonts w:ascii="Georgia" w:hAnsi="Georgia" w:cs="Times New Roman"/>
          <w:sz w:val="24"/>
          <w:szCs w:val="24"/>
        </w:rPr>
      </w:pPr>
      <w:proofErr w:type="gramStart"/>
      <w:r>
        <w:rPr>
          <w:rFonts w:ascii="Georgia" w:hAnsi="Georgia" w:cs="Times New Roman"/>
          <w:sz w:val="24"/>
          <w:szCs w:val="24"/>
        </w:rPr>
        <w:t>and</w:t>
      </w:r>
      <w:proofErr w:type="gramEnd"/>
      <w:r>
        <w:rPr>
          <w:rFonts w:ascii="Georgia" w:hAnsi="Georgia" w:cs="Times New Roman"/>
          <w:sz w:val="24"/>
          <w:szCs w:val="24"/>
        </w:rPr>
        <w:t xml:space="preserve"> Approval for a Federally Sponsored Data </w:t>
      </w:r>
      <w:r w:rsidR="00BF1B31">
        <w:rPr>
          <w:rFonts w:ascii="Georgia" w:hAnsi="Georgia" w:cs="Times New Roman"/>
          <w:sz w:val="24"/>
          <w:szCs w:val="24"/>
        </w:rPr>
        <w:t>C</w:t>
      </w:r>
      <w:r>
        <w:rPr>
          <w:rFonts w:ascii="Georgia" w:hAnsi="Georgia" w:cs="Times New Roman"/>
          <w:sz w:val="24"/>
          <w:szCs w:val="24"/>
        </w:rPr>
        <w:t>ollection</w:t>
      </w:r>
    </w:p>
    <w:p w:rsid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p>
    <w:p w:rsidR="00435DB7" w:rsidRPr="006E7A13" w:rsidRDefault="00435DB7" w:rsidP="00435DB7">
      <w:pPr>
        <w:spacing w:after="0" w:line="240" w:lineRule="auto"/>
        <w:jc w:val="center"/>
        <w:rPr>
          <w:rFonts w:ascii="Georgia" w:hAnsi="Georgia" w:cs="Times New Roman"/>
          <w:sz w:val="24"/>
          <w:szCs w:val="24"/>
        </w:rPr>
      </w:pPr>
    </w:p>
    <w:p w:rsidR="00435DB7" w:rsidRPr="006E7A13" w:rsidRDefault="00435DB7" w:rsidP="00435DB7">
      <w:pPr>
        <w:spacing w:after="0" w:line="240" w:lineRule="auto"/>
        <w:jc w:val="center"/>
        <w:rPr>
          <w:rFonts w:ascii="Georgia" w:hAnsi="Georgia" w:cs="Times New Roman"/>
          <w:sz w:val="24"/>
          <w:szCs w:val="24"/>
        </w:rPr>
      </w:pPr>
    </w:p>
    <w:p w:rsidR="00435DB7" w:rsidRPr="006E7A13" w:rsidRDefault="00435DB7" w:rsidP="00435DB7">
      <w:pPr>
        <w:spacing w:after="0" w:line="240" w:lineRule="auto"/>
        <w:jc w:val="center"/>
        <w:rPr>
          <w:rFonts w:ascii="Georgia" w:hAnsi="Georgia" w:cs="Times New Roman"/>
          <w:sz w:val="24"/>
          <w:szCs w:val="24"/>
        </w:rPr>
      </w:pPr>
    </w:p>
    <w:p w:rsidR="006E7A13" w:rsidRDefault="00265268" w:rsidP="00435DB7">
      <w:pPr>
        <w:spacing w:after="0" w:line="240" w:lineRule="auto"/>
        <w:jc w:val="center"/>
        <w:rPr>
          <w:rFonts w:ascii="Georgia" w:hAnsi="Georgia"/>
          <w:sz w:val="24"/>
          <w:szCs w:val="24"/>
        </w:rPr>
      </w:pPr>
      <w:r w:rsidRPr="006E7A13">
        <w:rPr>
          <w:rFonts w:ascii="Georgia" w:hAnsi="Georgia"/>
          <w:sz w:val="24"/>
          <w:szCs w:val="24"/>
        </w:rPr>
        <w:t>Mary K. Schubauer-Berigan</w:t>
      </w:r>
      <w:r w:rsidR="00DA2DB1">
        <w:rPr>
          <w:rFonts w:ascii="Georgia" w:hAnsi="Georgia"/>
          <w:sz w:val="24"/>
          <w:szCs w:val="24"/>
        </w:rPr>
        <w:t>, PhD</w:t>
      </w:r>
    </w:p>
    <w:p w:rsidR="00F73D99" w:rsidRDefault="00F73D99" w:rsidP="00435DB7">
      <w:pPr>
        <w:spacing w:after="0" w:line="240" w:lineRule="auto"/>
        <w:jc w:val="center"/>
        <w:rPr>
          <w:rFonts w:ascii="Georgia" w:hAnsi="Georgia"/>
          <w:sz w:val="24"/>
          <w:szCs w:val="24"/>
        </w:rPr>
      </w:pPr>
      <w:proofErr w:type="gramStart"/>
      <w:r>
        <w:rPr>
          <w:rFonts w:ascii="Georgia" w:hAnsi="Georgia"/>
          <w:sz w:val="24"/>
          <w:szCs w:val="24"/>
        </w:rPr>
        <w:t>and</w:t>
      </w:r>
      <w:proofErr w:type="gramEnd"/>
    </w:p>
    <w:p w:rsidR="00435DB7" w:rsidRDefault="00265268" w:rsidP="00435DB7">
      <w:pPr>
        <w:spacing w:after="0" w:line="240" w:lineRule="auto"/>
        <w:jc w:val="center"/>
        <w:rPr>
          <w:rFonts w:ascii="Georgia" w:hAnsi="Georgia"/>
          <w:sz w:val="24"/>
          <w:szCs w:val="24"/>
        </w:rPr>
      </w:pPr>
      <w:r w:rsidRPr="006E7A13">
        <w:rPr>
          <w:rFonts w:ascii="Georgia" w:hAnsi="Georgia"/>
          <w:sz w:val="24"/>
          <w:szCs w:val="24"/>
        </w:rPr>
        <w:t>Matthew M. Dahm</w:t>
      </w:r>
      <w:r w:rsidR="00DA2DB1">
        <w:rPr>
          <w:rFonts w:ascii="Georgia" w:hAnsi="Georgia"/>
          <w:sz w:val="24"/>
          <w:szCs w:val="24"/>
        </w:rPr>
        <w:t>, MPH</w:t>
      </w:r>
    </w:p>
    <w:p w:rsidR="006E7A13" w:rsidRDefault="006E7A13" w:rsidP="00435DB7">
      <w:pPr>
        <w:spacing w:after="0" w:line="240" w:lineRule="auto"/>
        <w:jc w:val="center"/>
        <w:rPr>
          <w:rFonts w:ascii="Georgia" w:hAnsi="Georgia"/>
          <w:sz w:val="24"/>
          <w:szCs w:val="24"/>
        </w:rPr>
      </w:pPr>
      <w:r>
        <w:rPr>
          <w:rFonts w:ascii="Georgia" w:hAnsi="Georgia"/>
          <w:sz w:val="24"/>
          <w:szCs w:val="24"/>
        </w:rPr>
        <w:t>Project Officers</w:t>
      </w:r>
    </w:p>
    <w:p w:rsidR="00380A71" w:rsidRDefault="00380A71" w:rsidP="00435DB7">
      <w:pPr>
        <w:spacing w:after="0" w:line="240" w:lineRule="auto"/>
        <w:jc w:val="center"/>
        <w:rPr>
          <w:rFonts w:ascii="Georgia" w:hAnsi="Georgia"/>
          <w:sz w:val="24"/>
          <w:szCs w:val="24"/>
        </w:rPr>
      </w:pPr>
    </w:p>
    <w:p w:rsidR="00380A71" w:rsidRDefault="00380A71" w:rsidP="00435DB7">
      <w:pPr>
        <w:spacing w:after="0" w:line="240" w:lineRule="auto"/>
        <w:jc w:val="center"/>
        <w:rPr>
          <w:rFonts w:ascii="Georgia" w:hAnsi="Georgia"/>
          <w:sz w:val="24"/>
          <w:szCs w:val="24"/>
        </w:rPr>
      </w:pPr>
      <w:r>
        <w:rPr>
          <w:rFonts w:ascii="Georgia" w:hAnsi="Georgia"/>
          <w:sz w:val="24"/>
          <w:szCs w:val="24"/>
        </w:rPr>
        <w:t xml:space="preserve">National Institute for Occupational Safety and </w:t>
      </w:r>
      <w:r w:rsidR="00F73D99">
        <w:rPr>
          <w:rFonts w:ascii="Georgia" w:hAnsi="Georgia"/>
          <w:sz w:val="24"/>
          <w:szCs w:val="24"/>
        </w:rPr>
        <w:t>Health</w:t>
      </w:r>
    </w:p>
    <w:p w:rsidR="00F73D99" w:rsidRDefault="00F73D99" w:rsidP="00435DB7">
      <w:pPr>
        <w:spacing w:after="0" w:line="240" w:lineRule="auto"/>
        <w:jc w:val="center"/>
        <w:rPr>
          <w:rFonts w:ascii="Georgia" w:hAnsi="Georgia"/>
          <w:sz w:val="24"/>
          <w:szCs w:val="24"/>
        </w:rPr>
      </w:pPr>
      <w:r>
        <w:rPr>
          <w:rFonts w:ascii="Georgia" w:hAnsi="Georgia"/>
          <w:sz w:val="24"/>
          <w:szCs w:val="24"/>
        </w:rPr>
        <w:t>Division of Surveillance, Hazard Evaluations, and Field Studies</w:t>
      </w:r>
    </w:p>
    <w:p w:rsidR="00F73D99" w:rsidRDefault="00F73D99" w:rsidP="00435DB7">
      <w:pPr>
        <w:spacing w:after="0" w:line="240" w:lineRule="auto"/>
        <w:jc w:val="center"/>
        <w:rPr>
          <w:rFonts w:ascii="Georgia" w:hAnsi="Georgia"/>
          <w:sz w:val="24"/>
          <w:szCs w:val="24"/>
        </w:rPr>
      </w:pPr>
      <w:r>
        <w:rPr>
          <w:rFonts w:ascii="Georgia" w:hAnsi="Georgia"/>
          <w:sz w:val="24"/>
          <w:szCs w:val="24"/>
        </w:rPr>
        <w:t>4676 Columbia Parkway, Mail Stop R-15</w:t>
      </w:r>
    </w:p>
    <w:p w:rsidR="00F73D99" w:rsidRDefault="00F73D99" w:rsidP="00435DB7">
      <w:pPr>
        <w:spacing w:after="0" w:line="240" w:lineRule="auto"/>
        <w:jc w:val="center"/>
        <w:rPr>
          <w:rFonts w:ascii="Georgia" w:hAnsi="Georgia"/>
          <w:sz w:val="24"/>
          <w:szCs w:val="24"/>
        </w:rPr>
      </w:pPr>
      <w:r>
        <w:rPr>
          <w:rFonts w:ascii="Georgia" w:hAnsi="Georgia"/>
          <w:sz w:val="24"/>
          <w:szCs w:val="24"/>
        </w:rPr>
        <w:t>Cincinnati, Ohio  45226</w:t>
      </w:r>
    </w:p>
    <w:p w:rsidR="00F73D99" w:rsidRDefault="00F73D99" w:rsidP="00435DB7">
      <w:pPr>
        <w:spacing w:after="0" w:line="240" w:lineRule="auto"/>
        <w:jc w:val="center"/>
        <w:rPr>
          <w:rFonts w:ascii="Georgia" w:hAnsi="Georgia"/>
          <w:sz w:val="24"/>
          <w:szCs w:val="24"/>
        </w:rPr>
      </w:pPr>
    </w:p>
    <w:p w:rsidR="00F73D99" w:rsidRDefault="000E662A" w:rsidP="00F73D99">
      <w:pPr>
        <w:spacing w:after="0" w:line="240" w:lineRule="auto"/>
        <w:jc w:val="center"/>
        <w:rPr>
          <w:rFonts w:ascii="Georgia" w:hAnsi="Georgia"/>
          <w:sz w:val="24"/>
          <w:szCs w:val="24"/>
        </w:rPr>
      </w:pPr>
      <w:hyperlink r:id="rId9" w:history="1">
        <w:r w:rsidR="00F73D99" w:rsidRPr="0007614D">
          <w:rPr>
            <w:rStyle w:val="Hyperlink"/>
            <w:rFonts w:ascii="Georgia" w:hAnsi="Georgia"/>
            <w:sz w:val="24"/>
            <w:szCs w:val="24"/>
          </w:rPr>
          <w:t>MSchubauer-Berigan@cdc.gov</w:t>
        </w:r>
      </w:hyperlink>
    </w:p>
    <w:p w:rsidR="00F73D99" w:rsidRDefault="00F73D99" w:rsidP="00435DB7">
      <w:pPr>
        <w:spacing w:after="0" w:line="240" w:lineRule="auto"/>
        <w:jc w:val="center"/>
        <w:rPr>
          <w:rFonts w:ascii="Georgia" w:hAnsi="Georgia"/>
          <w:sz w:val="24"/>
          <w:szCs w:val="24"/>
        </w:rPr>
      </w:pPr>
      <w:r>
        <w:rPr>
          <w:rFonts w:ascii="Georgia" w:hAnsi="Georgia"/>
          <w:sz w:val="24"/>
          <w:szCs w:val="24"/>
        </w:rPr>
        <w:t>513-841-4251 (phone)</w:t>
      </w:r>
    </w:p>
    <w:p w:rsidR="00F73D99" w:rsidRDefault="000E662A" w:rsidP="00F73D99">
      <w:pPr>
        <w:spacing w:after="0" w:line="240" w:lineRule="auto"/>
        <w:jc w:val="center"/>
        <w:rPr>
          <w:rFonts w:ascii="Georgia" w:hAnsi="Georgia"/>
          <w:sz w:val="24"/>
          <w:szCs w:val="24"/>
        </w:rPr>
      </w:pPr>
      <w:hyperlink r:id="rId10" w:history="1">
        <w:r w:rsidR="00F73D99" w:rsidRPr="0007614D">
          <w:rPr>
            <w:rStyle w:val="Hyperlink"/>
            <w:rFonts w:ascii="Georgia" w:hAnsi="Georgia"/>
            <w:sz w:val="24"/>
            <w:szCs w:val="24"/>
          </w:rPr>
          <w:t>MDahm@cdc.gov</w:t>
        </w:r>
      </w:hyperlink>
    </w:p>
    <w:p w:rsidR="00F73D99" w:rsidRDefault="00F73D99" w:rsidP="00F73D99">
      <w:pPr>
        <w:spacing w:after="0" w:line="240" w:lineRule="auto"/>
        <w:jc w:val="center"/>
        <w:rPr>
          <w:rFonts w:ascii="Georgia" w:hAnsi="Georgia"/>
          <w:sz w:val="24"/>
          <w:szCs w:val="24"/>
        </w:rPr>
      </w:pPr>
      <w:r>
        <w:rPr>
          <w:rFonts w:ascii="Georgia" w:hAnsi="Georgia"/>
          <w:sz w:val="24"/>
          <w:szCs w:val="24"/>
        </w:rPr>
        <w:t>513-458-7136 (phone)</w:t>
      </w:r>
    </w:p>
    <w:p w:rsidR="00F73D99" w:rsidRDefault="00F73D99" w:rsidP="00F73D99">
      <w:pPr>
        <w:spacing w:after="0" w:line="240" w:lineRule="auto"/>
        <w:jc w:val="center"/>
        <w:rPr>
          <w:rFonts w:ascii="Georgia" w:hAnsi="Georgia"/>
          <w:sz w:val="24"/>
          <w:szCs w:val="24"/>
        </w:rPr>
      </w:pPr>
    </w:p>
    <w:p w:rsidR="00F73D99" w:rsidRDefault="00F73D99" w:rsidP="00F73D99">
      <w:pPr>
        <w:spacing w:after="0" w:line="240" w:lineRule="auto"/>
        <w:jc w:val="center"/>
        <w:rPr>
          <w:rFonts w:ascii="Georgia" w:hAnsi="Georgia"/>
          <w:sz w:val="24"/>
          <w:szCs w:val="24"/>
        </w:rPr>
      </w:pPr>
      <w:r>
        <w:rPr>
          <w:rFonts w:ascii="Georgia" w:hAnsi="Georgia"/>
          <w:sz w:val="24"/>
          <w:szCs w:val="24"/>
        </w:rPr>
        <w:t>513-841</w:t>
      </w:r>
      <w:r w:rsidR="00383FF6">
        <w:rPr>
          <w:rFonts w:ascii="Georgia" w:hAnsi="Georgia"/>
          <w:sz w:val="24"/>
          <w:szCs w:val="24"/>
        </w:rPr>
        <w:t>-</w:t>
      </w:r>
      <w:r>
        <w:rPr>
          <w:rFonts w:ascii="Georgia" w:hAnsi="Georgia"/>
          <w:sz w:val="24"/>
          <w:szCs w:val="24"/>
        </w:rPr>
        <w:t>4486 (fax)</w:t>
      </w:r>
    </w:p>
    <w:p w:rsidR="00F73D99" w:rsidRDefault="00F73D99" w:rsidP="00F73D99">
      <w:pPr>
        <w:spacing w:after="0" w:line="240" w:lineRule="auto"/>
        <w:jc w:val="center"/>
        <w:rPr>
          <w:rFonts w:ascii="Georgia" w:hAnsi="Georgia"/>
          <w:sz w:val="24"/>
          <w:szCs w:val="24"/>
        </w:rPr>
      </w:pPr>
    </w:p>
    <w:p w:rsidR="00DA2DB1" w:rsidRDefault="00263353" w:rsidP="00F73D99">
      <w:pPr>
        <w:spacing w:after="0" w:line="240" w:lineRule="auto"/>
        <w:jc w:val="center"/>
        <w:rPr>
          <w:rFonts w:ascii="Georgia" w:hAnsi="Georgia"/>
          <w:sz w:val="24"/>
          <w:szCs w:val="24"/>
        </w:rPr>
      </w:pPr>
      <w:r>
        <w:rPr>
          <w:rFonts w:ascii="Georgia" w:hAnsi="Georgia"/>
          <w:sz w:val="24"/>
          <w:szCs w:val="24"/>
        </w:rPr>
        <w:t>February 2</w:t>
      </w:r>
      <w:r w:rsidR="0089450E">
        <w:rPr>
          <w:rFonts w:ascii="Georgia" w:hAnsi="Georgia"/>
          <w:sz w:val="24"/>
          <w:szCs w:val="24"/>
        </w:rPr>
        <w:t>2</w:t>
      </w:r>
      <w:r w:rsidR="00DA2DB1">
        <w:rPr>
          <w:rFonts w:ascii="Georgia" w:hAnsi="Georgia"/>
          <w:sz w:val="24"/>
          <w:szCs w:val="24"/>
        </w:rPr>
        <w:t>, 2013</w:t>
      </w:r>
    </w:p>
    <w:p w:rsidR="00F73D99" w:rsidRDefault="00F73D99" w:rsidP="00435DB7">
      <w:pPr>
        <w:spacing w:after="0" w:line="240" w:lineRule="auto"/>
        <w:jc w:val="center"/>
        <w:rPr>
          <w:rFonts w:ascii="Georgia" w:hAnsi="Georgia"/>
          <w:sz w:val="24"/>
          <w:szCs w:val="24"/>
        </w:rPr>
      </w:pPr>
    </w:p>
    <w:p w:rsidR="00F73D99" w:rsidRDefault="00F73D99" w:rsidP="00435DB7">
      <w:pPr>
        <w:spacing w:after="0" w:line="240" w:lineRule="auto"/>
        <w:jc w:val="center"/>
        <w:rPr>
          <w:rFonts w:ascii="Georgia" w:hAnsi="Georgia"/>
          <w:sz w:val="24"/>
          <w:szCs w:val="24"/>
        </w:rPr>
      </w:pPr>
    </w:p>
    <w:p w:rsidR="008346A9" w:rsidRDefault="008346A9">
      <w:pPr>
        <w:rPr>
          <w:rFonts w:ascii="Georgia" w:hAnsi="Georgia"/>
          <w:b/>
          <w:sz w:val="24"/>
          <w:szCs w:val="24"/>
        </w:rPr>
      </w:pPr>
      <w:r>
        <w:rPr>
          <w:rFonts w:ascii="Georgia" w:hAnsi="Georgia"/>
          <w:b/>
          <w:sz w:val="24"/>
          <w:szCs w:val="24"/>
        </w:rPr>
        <w:br w:type="page"/>
      </w:r>
    </w:p>
    <w:p w:rsidR="00380A71" w:rsidRPr="00ED3E7B" w:rsidRDefault="00ED3E7B" w:rsidP="00435DB7">
      <w:pPr>
        <w:spacing w:after="0" w:line="240" w:lineRule="auto"/>
        <w:jc w:val="center"/>
        <w:rPr>
          <w:rFonts w:ascii="Georgia" w:hAnsi="Georgia"/>
          <w:b/>
          <w:sz w:val="24"/>
          <w:szCs w:val="24"/>
        </w:rPr>
      </w:pPr>
      <w:r w:rsidRPr="00ED3E7B">
        <w:rPr>
          <w:rFonts w:ascii="Georgia" w:hAnsi="Georgia"/>
          <w:b/>
          <w:sz w:val="24"/>
          <w:szCs w:val="24"/>
        </w:rPr>
        <w:lastRenderedPageBreak/>
        <w:t>Table of Contents</w:t>
      </w:r>
    </w:p>
    <w:p w:rsidR="00380A71" w:rsidRPr="006E7A13" w:rsidRDefault="00380A71" w:rsidP="00435DB7">
      <w:pPr>
        <w:spacing w:after="0" w:line="240" w:lineRule="auto"/>
        <w:jc w:val="center"/>
        <w:rPr>
          <w:rFonts w:ascii="Georgia" w:hAnsi="Georgia" w:cs="Times New Roman"/>
          <w:sz w:val="24"/>
          <w:szCs w:val="24"/>
        </w:rPr>
      </w:pPr>
    </w:p>
    <w:p w:rsidR="00ED3E7B" w:rsidRPr="004102D5" w:rsidRDefault="00ED3E7B" w:rsidP="004102D5">
      <w:pPr>
        <w:spacing w:after="0" w:line="240" w:lineRule="auto"/>
        <w:ind w:firstLine="270"/>
        <w:rPr>
          <w:rFonts w:ascii="Georgia" w:hAnsi="Georgia" w:cs="Times New Roman"/>
          <w:b/>
          <w:sz w:val="24"/>
          <w:szCs w:val="24"/>
        </w:rPr>
      </w:pPr>
      <w:r w:rsidRPr="004102D5">
        <w:rPr>
          <w:rFonts w:ascii="Georgia" w:hAnsi="Georgia" w:cs="Times New Roman"/>
          <w:b/>
          <w:sz w:val="24"/>
          <w:szCs w:val="24"/>
        </w:rPr>
        <w:t>Section Title</w:t>
      </w:r>
      <w:r w:rsidRPr="004102D5">
        <w:rPr>
          <w:rFonts w:ascii="Georgia" w:hAnsi="Georgia" w:cs="Times New Roman"/>
          <w:b/>
          <w:sz w:val="24"/>
          <w:szCs w:val="24"/>
        </w:rPr>
        <w:tab/>
      </w:r>
      <w:r w:rsidRPr="004102D5">
        <w:rPr>
          <w:rFonts w:ascii="Georgia" w:hAnsi="Georgia" w:cs="Times New Roman"/>
          <w:b/>
          <w:sz w:val="24"/>
          <w:szCs w:val="24"/>
        </w:rPr>
        <w:tab/>
      </w:r>
      <w:r w:rsidRPr="004102D5">
        <w:rPr>
          <w:rFonts w:ascii="Georgia" w:hAnsi="Georgia" w:cs="Times New Roman"/>
          <w:b/>
          <w:sz w:val="24"/>
          <w:szCs w:val="24"/>
        </w:rPr>
        <w:tab/>
      </w:r>
      <w:r w:rsidRPr="004102D5">
        <w:rPr>
          <w:rFonts w:ascii="Georgia" w:hAnsi="Georgia" w:cs="Times New Roman"/>
          <w:b/>
          <w:sz w:val="24"/>
          <w:szCs w:val="24"/>
        </w:rPr>
        <w:tab/>
      </w:r>
      <w:r w:rsidRPr="004102D5">
        <w:rPr>
          <w:rFonts w:ascii="Georgia" w:hAnsi="Georgia" w:cs="Times New Roman"/>
          <w:b/>
          <w:sz w:val="24"/>
          <w:szCs w:val="24"/>
        </w:rPr>
        <w:tab/>
      </w:r>
      <w:r w:rsidRPr="004102D5">
        <w:rPr>
          <w:rFonts w:ascii="Georgia" w:hAnsi="Georgia" w:cs="Times New Roman"/>
          <w:b/>
          <w:sz w:val="24"/>
          <w:szCs w:val="24"/>
        </w:rPr>
        <w:tab/>
      </w:r>
      <w:r w:rsidRPr="004102D5">
        <w:rPr>
          <w:rFonts w:ascii="Georgia" w:hAnsi="Georgia" w:cs="Times New Roman"/>
          <w:b/>
          <w:sz w:val="24"/>
          <w:szCs w:val="24"/>
        </w:rPr>
        <w:tab/>
      </w:r>
      <w:r w:rsidR="004102D5">
        <w:rPr>
          <w:rFonts w:ascii="Georgia" w:hAnsi="Georgia" w:cs="Times New Roman"/>
          <w:b/>
          <w:sz w:val="24"/>
          <w:szCs w:val="24"/>
        </w:rPr>
        <w:tab/>
        <w:t xml:space="preserve">        </w:t>
      </w:r>
    </w:p>
    <w:p w:rsidR="00ED3E7B" w:rsidRDefault="00ED3E7B" w:rsidP="00ED3E7B">
      <w:pPr>
        <w:spacing w:after="0" w:line="240" w:lineRule="auto"/>
        <w:rPr>
          <w:rFonts w:ascii="Georgia" w:hAnsi="Georgia" w:cs="Times New Roman"/>
          <w:sz w:val="24"/>
          <w:szCs w:val="24"/>
        </w:rPr>
      </w:pPr>
    </w:p>
    <w:p w:rsidR="00D22C64" w:rsidRDefault="002F1B92">
      <w:pPr>
        <w:pStyle w:val="TOC1"/>
        <w:rPr>
          <w:rFonts w:eastAsiaTheme="minorEastAsia"/>
          <w:noProof/>
        </w:rPr>
      </w:pPr>
      <w:r w:rsidRPr="002F1B92">
        <w:rPr>
          <w:rFonts w:ascii="Georgia" w:hAnsi="Georgia"/>
          <w:sz w:val="24"/>
          <w:szCs w:val="24"/>
        </w:rPr>
        <w:fldChar w:fldCharType="begin"/>
      </w:r>
      <w:r w:rsidRPr="002F1B92">
        <w:rPr>
          <w:rFonts w:ascii="Georgia" w:hAnsi="Georgia"/>
          <w:sz w:val="24"/>
          <w:szCs w:val="24"/>
        </w:rPr>
        <w:instrText xml:space="preserve"> TOC \o "1-3" \u </w:instrText>
      </w:r>
      <w:r w:rsidRPr="002F1B92">
        <w:rPr>
          <w:rFonts w:ascii="Georgia" w:hAnsi="Georgia"/>
          <w:sz w:val="24"/>
          <w:szCs w:val="24"/>
        </w:rPr>
        <w:fldChar w:fldCharType="separate"/>
      </w:r>
      <w:r w:rsidR="00D22C64">
        <w:rPr>
          <w:noProof/>
        </w:rPr>
        <w:t>1.</w:t>
      </w:r>
      <w:r w:rsidR="00D22C64">
        <w:rPr>
          <w:rFonts w:eastAsiaTheme="minorEastAsia"/>
          <w:noProof/>
        </w:rPr>
        <w:t xml:space="preserve"> </w:t>
      </w:r>
      <w:r w:rsidR="00D22C64">
        <w:rPr>
          <w:noProof/>
        </w:rPr>
        <w:t>Respondent Universe</w:t>
      </w:r>
      <w:r w:rsidR="00D22C64">
        <w:rPr>
          <w:noProof/>
        </w:rPr>
        <w:tab/>
      </w:r>
      <w:r w:rsidR="00D22C64">
        <w:rPr>
          <w:noProof/>
        </w:rPr>
        <w:fldChar w:fldCharType="begin"/>
      </w:r>
      <w:r w:rsidR="00D22C64">
        <w:rPr>
          <w:noProof/>
        </w:rPr>
        <w:instrText xml:space="preserve"> PAGEREF _Toc349230367 \h </w:instrText>
      </w:r>
      <w:r w:rsidR="00D22C64">
        <w:rPr>
          <w:noProof/>
        </w:rPr>
      </w:r>
      <w:r w:rsidR="00D22C64">
        <w:rPr>
          <w:noProof/>
        </w:rPr>
        <w:fldChar w:fldCharType="separate"/>
      </w:r>
      <w:r w:rsidR="005E2B11">
        <w:rPr>
          <w:noProof/>
        </w:rPr>
        <w:t>3</w:t>
      </w:r>
      <w:r w:rsidR="00D22C64">
        <w:rPr>
          <w:noProof/>
        </w:rPr>
        <w:fldChar w:fldCharType="end"/>
      </w:r>
    </w:p>
    <w:p w:rsidR="00D22C64" w:rsidRDefault="00D22C64">
      <w:pPr>
        <w:pStyle w:val="TOC1"/>
        <w:rPr>
          <w:rFonts w:eastAsiaTheme="minorEastAsia"/>
          <w:noProof/>
        </w:rPr>
      </w:pPr>
      <w:r>
        <w:rPr>
          <w:noProof/>
        </w:rPr>
        <w:t>2. Procedures for the Collection of Information</w:t>
      </w:r>
      <w:r>
        <w:rPr>
          <w:noProof/>
        </w:rPr>
        <w:tab/>
      </w:r>
      <w:r>
        <w:rPr>
          <w:noProof/>
        </w:rPr>
        <w:fldChar w:fldCharType="begin"/>
      </w:r>
      <w:r>
        <w:rPr>
          <w:noProof/>
        </w:rPr>
        <w:instrText xml:space="preserve"> PAGEREF _Toc349230368 \h </w:instrText>
      </w:r>
      <w:r>
        <w:rPr>
          <w:noProof/>
        </w:rPr>
      </w:r>
      <w:r>
        <w:rPr>
          <w:noProof/>
        </w:rPr>
        <w:fldChar w:fldCharType="separate"/>
      </w:r>
      <w:r w:rsidR="005E2B11">
        <w:rPr>
          <w:noProof/>
        </w:rPr>
        <w:t>3</w:t>
      </w:r>
      <w:r>
        <w:rPr>
          <w:noProof/>
        </w:rPr>
        <w:fldChar w:fldCharType="end"/>
      </w:r>
    </w:p>
    <w:p w:rsidR="00D22C64" w:rsidRDefault="00D22C64">
      <w:pPr>
        <w:pStyle w:val="TOC1"/>
        <w:rPr>
          <w:rFonts w:eastAsiaTheme="minorEastAsia"/>
          <w:noProof/>
        </w:rPr>
      </w:pPr>
      <w:r>
        <w:rPr>
          <w:noProof/>
        </w:rPr>
        <w:t>3.  Methods to Maximize Response Rates and Deal with Nonresponse</w:t>
      </w:r>
      <w:r>
        <w:rPr>
          <w:noProof/>
        </w:rPr>
        <w:tab/>
      </w:r>
      <w:r>
        <w:rPr>
          <w:noProof/>
        </w:rPr>
        <w:fldChar w:fldCharType="begin"/>
      </w:r>
      <w:r>
        <w:rPr>
          <w:noProof/>
        </w:rPr>
        <w:instrText xml:space="preserve"> PAGEREF _Toc349230369 \h </w:instrText>
      </w:r>
      <w:r>
        <w:rPr>
          <w:noProof/>
        </w:rPr>
      </w:r>
      <w:r>
        <w:rPr>
          <w:noProof/>
        </w:rPr>
        <w:fldChar w:fldCharType="separate"/>
      </w:r>
      <w:r w:rsidR="005E2B11">
        <w:rPr>
          <w:noProof/>
        </w:rPr>
        <w:t>5</w:t>
      </w:r>
      <w:r>
        <w:rPr>
          <w:noProof/>
        </w:rPr>
        <w:fldChar w:fldCharType="end"/>
      </w:r>
    </w:p>
    <w:p w:rsidR="00D22C64" w:rsidRDefault="00D22C64">
      <w:pPr>
        <w:pStyle w:val="TOC1"/>
        <w:rPr>
          <w:rFonts w:eastAsiaTheme="minorEastAsia"/>
          <w:noProof/>
        </w:rPr>
      </w:pPr>
      <w:r>
        <w:rPr>
          <w:noProof/>
        </w:rPr>
        <w:t>4.  Tests of Procedures or Methods to be Undertaken.</w:t>
      </w:r>
      <w:r>
        <w:rPr>
          <w:noProof/>
        </w:rPr>
        <w:tab/>
      </w:r>
      <w:r>
        <w:rPr>
          <w:noProof/>
        </w:rPr>
        <w:fldChar w:fldCharType="begin"/>
      </w:r>
      <w:r>
        <w:rPr>
          <w:noProof/>
        </w:rPr>
        <w:instrText xml:space="preserve"> PAGEREF _Toc349230370 \h </w:instrText>
      </w:r>
      <w:r>
        <w:rPr>
          <w:noProof/>
        </w:rPr>
      </w:r>
      <w:r>
        <w:rPr>
          <w:noProof/>
        </w:rPr>
        <w:fldChar w:fldCharType="separate"/>
      </w:r>
      <w:r w:rsidR="005E2B11">
        <w:rPr>
          <w:noProof/>
        </w:rPr>
        <w:t>6</w:t>
      </w:r>
      <w:r>
        <w:rPr>
          <w:noProof/>
        </w:rPr>
        <w:fldChar w:fldCharType="end"/>
      </w:r>
    </w:p>
    <w:p w:rsidR="00D22C64" w:rsidRDefault="00D22C64">
      <w:pPr>
        <w:pStyle w:val="TOC1"/>
        <w:rPr>
          <w:rFonts w:eastAsiaTheme="minorEastAsia"/>
          <w:noProof/>
        </w:rPr>
      </w:pPr>
      <w:r>
        <w:rPr>
          <w:noProof/>
        </w:rPr>
        <w:t>5.  Individuals Consulted on Statistical Aspects and Individuals Collecting and/or Analyzing Data.</w:t>
      </w:r>
      <w:r>
        <w:rPr>
          <w:noProof/>
        </w:rPr>
        <w:tab/>
      </w:r>
      <w:r>
        <w:rPr>
          <w:noProof/>
        </w:rPr>
        <w:fldChar w:fldCharType="begin"/>
      </w:r>
      <w:r>
        <w:rPr>
          <w:noProof/>
        </w:rPr>
        <w:instrText xml:space="preserve"> PAGEREF _Toc349230371 \h </w:instrText>
      </w:r>
      <w:r>
        <w:rPr>
          <w:noProof/>
        </w:rPr>
      </w:r>
      <w:r>
        <w:rPr>
          <w:noProof/>
        </w:rPr>
        <w:fldChar w:fldCharType="separate"/>
      </w:r>
      <w:r w:rsidR="005E2B11">
        <w:rPr>
          <w:noProof/>
        </w:rPr>
        <w:t>6</w:t>
      </w:r>
      <w:r>
        <w:rPr>
          <w:noProof/>
        </w:rPr>
        <w:fldChar w:fldCharType="end"/>
      </w:r>
    </w:p>
    <w:p w:rsidR="00DF4D93" w:rsidRDefault="002F1B92" w:rsidP="00ED3E7B">
      <w:pPr>
        <w:spacing w:after="0" w:line="240" w:lineRule="auto"/>
        <w:rPr>
          <w:rFonts w:ascii="Georgia" w:hAnsi="Georgia" w:cs="Times New Roman"/>
          <w:sz w:val="24"/>
          <w:szCs w:val="24"/>
        </w:rPr>
      </w:pPr>
      <w:r w:rsidRPr="002F1B92">
        <w:rPr>
          <w:rFonts w:ascii="Georgia" w:hAnsi="Georgia" w:cs="Times New Roman"/>
          <w:sz w:val="24"/>
          <w:szCs w:val="24"/>
        </w:rPr>
        <w:fldChar w:fldCharType="end"/>
      </w:r>
    </w:p>
    <w:p w:rsidR="00ED3E7B" w:rsidRPr="00DF4D93" w:rsidRDefault="00ED3E7B" w:rsidP="00ED3E7B">
      <w:pPr>
        <w:spacing w:after="0" w:line="240" w:lineRule="auto"/>
        <w:rPr>
          <w:rFonts w:ascii="Georgia" w:hAnsi="Georgia" w:cs="Times New Roman"/>
          <w:sz w:val="24"/>
          <w:szCs w:val="24"/>
        </w:rPr>
      </w:pPr>
      <w:r>
        <w:rPr>
          <w:rFonts w:ascii="Georgia" w:hAnsi="Georgia" w:cs="Times New Roman"/>
        </w:rPr>
        <w:tab/>
      </w:r>
      <w:r>
        <w:rPr>
          <w:rFonts w:ascii="Georgia" w:hAnsi="Georgia" w:cs="Times New Roman"/>
        </w:rPr>
        <w:tab/>
      </w:r>
    </w:p>
    <w:p w:rsidR="00AD1807" w:rsidRDefault="00AD1807" w:rsidP="00AD1807">
      <w:pPr>
        <w:spacing w:after="0" w:line="240" w:lineRule="auto"/>
        <w:ind w:firstLine="720"/>
        <w:rPr>
          <w:rFonts w:ascii="Georgia" w:hAnsi="Georgia" w:cs="Times New Roman"/>
        </w:rPr>
      </w:pPr>
    </w:p>
    <w:p w:rsidR="00E803F2" w:rsidRDefault="00E803F2">
      <w:pPr>
        <w:rPr>
          <w:rFonts w:ascii="Georgia" w:hAnsi="Georgia"/>
          <w:b/>
          <w:sz w:val="24"/>
          <w:szCs w:val="24"/>
        </w:rPr>
      </w:pPr>
      <w:r>
        <w:rPr>
          <w:rFonts w:ascii="Georgia" w:hAnsi="Georgia"/>
          <w:b/>
          <w:sz w:val="24"/>
          <w:szCs w:val="24"/>
        </w:rPr>
        <w:br w:type="page"/>
      </w:r>
    </w:p>
    <w:p w:rsidR="00ED5618" w:rsidRPr="00ED5618" w:rsidRDefault="00ED5618" w:rsidP="00342A58">
      <w:pPr>
        <w:autoSpaceDE w:val="0"/>
        <w:autoSpaceDN w:val="0"/>
        <w:adjustRightInd w:val="0"/>
        <w:spacing w:after="100" w:afterAutospacing="1" w:line="360" w:lineRule="auto"/>
        <w:rPr>
          <w:rFonts w:ascii="Georgia" w:hAnsi="Georgia"/>
          <w:b/>
          <w:sz w:val="24"/>
          <w:szCs w:val="24"/>
        </w:rPr>
      </w:pPr>
      <w:r w:rsidRPr="00ED5618">
        <w:rPr>
          <w:rFonts w:ascii="Georgia" w:hAnsi="Georgia"/>
          <w:b/>
          <w:sz w:val="24"/>
          <w:szCs w:val="24"/>
        </w:rPr>
        <w:lastRenderedPageBreak/>
        <w:t>Section B. Collections of Information Employing Statistical Methods</w:t>
      </w:r>
    </w:p>
    <w:p w:rsidR="004D059A" w:rsidRDefault="00ED5618" w:rsidP="00E613C1">
      <w:pPr>
        <w:autoSpaceDE w:val="0"/>
        <w:autoSpaceDN w:val="0"/>
        <w:adjustRightInd w:val="0"/>
        <w:spacing w:after="100" w:afterAutospacing="1" w:line="360" w:lineRule="auto"/>
        <w:rPr>
          <w:rFonts w:ascii="Georgia" w:hAnsi="Georgia"/>
          <w:sz w:val="24"/>
          <w:szCs w:val="24"/>
        </w:rPr>
      </w:pPr>
      <w:r w:rsidRPr="00ED5618">
        <w:rPr>
          <w:rFonts w:ascii="Georgia" w:hAnsi="Georgia"/>
          <w:sz w:val="24"/>
          <w:szCs w:val="24"/>
        </w:rPr>
        <w:t>This information collect</w:t>
      </w:r>
      <w:r w:rsidR="00D22C64">
        <w:rPr>
          <w:rFonts w:ascii="Georgia" w:hAnsi="Georgia"/>
          <w:sz w:val="24"/>
          <w:szCs w:val="24"/>
        </w:rPr>
        <w:t>i</w:t>
      </w:r>
      <w:r w:rsidRPr="00ED5618">
        <w:rPr>
          <w:rFonts w:ascii="Georgia" w:hAnsi="Georgia"/>
          <w:sz w:val="24"/>
          <w:szCs w:val="24"/>
        </w:rPr>
        <w:t>on does not employ statistical methods to select respondents.</w:t>
      </w:r>
      <w:r w:rsidR="00CA23F3">
        <w:rPr>
          <w:rFonts w:ascii="Georgia" w:hAnsi="Georgia"/>
          <w:sz w:val="24"/>
          <w:szCs w:val="24"/>
        </w:rPr>
        <w:t xml:space="preserve"> </w:t>
      </w:r>
    </w:p>
    <w:p w:rsidR="004D059A" w:rsidRDefault="004D059A" w:rsidP="00E613C1">
      <w:pPr>
        <w:pStyle w:val="Heading1"/>
        <w:rPr>
          <w:sz w:val="24"/>
          <w:szCs w:val="24"/>
        </w:rPr>
      </w:pPr>
      <w:bookmarkStart w:id="1" w:name="_Toc349230367"/>
      <w:r w:rsidRPr="004D059A">
        <w:rPr>
          <w:sz w:val="24"/>
          <w:szCs w:val="24"/>
        </w:rPr>
        <w:t>1.</w:t>
      </w:r>
      <w:r w:rsidRPr="004D059A">
        <w:rPr>
          <w:sz w:val="24"/>
          <w:szCs w:val="24"/>
        </w:rPr>
        <w:tab/>
        <w:t>Respondent Universe</w:t>
      </w:r>
      <w:bookmarkEnd w:id="1"/>
      <w:r w:rsidRPr="004D059A">
        <w:rPr>
          <w:sz w:val="24"/>
          <w:szCs w:val="24"/>
        </w:rPr>
        <w:t xml:space="preserve"> </w:t>
      </w:r>
    </w:p>
    <w:p w:rsidR="00E613C1" w:rsidRDefault="00E613C1" w:rsidP="005D77CA">
      <w:pPr>
        <w:autoSpaceDE w:val="0"/>
        <w:autoSpaceDN w:val="0"/>
        <w:adjustRightInd w:val="0"/>
        <w:spacing w:after="100" w:afterAutospacing="1" w:line="360" w:lineRule="auto"/>
        <w:rPr>
          <w:rFonts w:ascii="Georgia" w:hAnsi="Georgia"/>
          <w:sz w:val="24"/>
          <w:szCs w:val="24"/>
        </w:rPr>
      </w:pPr>
      <w:r>
        <w:rPr>
          <w:rFonts w:ascii="Georgia" w:hAnsi="Georgia"/>
          <w:sz w:val="24"/>
          <w:szCs w:val="24"/>
        </w:rPr>
        <w:t>The respondent universe includes all workers at all companies handling carbon nanotubes (CNT) or carbon nanofibers (CNF) at pilot scale or full scale, and those at the research and development (R&amp;D) scale with plans to scale up within five years. We identified, using these criteria,</w:t>
      </w:r>
      <w:r w:rsidR="00ED5618" w:rsidRPr="00ED5618">
        <w:rPr>
          <w:rFonts w:ascii="Georgia" w:hAnsi="Georgia"/>
          <w:sz w:val="24"/>
          <w:szCs w:val="24"/>
        </w:rPr>
        <w:t xml:space="preserve"> 50 eligible compa</w:t>
      </w:r>
      <w:r>
        <w:rPr>
          <w:rFonts w:ascii="Georgia" w:hAnsi="Georgia"/>
          <w:sz w:val="24"/>
          <w:szCs w:val="24"/>
        </w:rPr>
        <w:t xml:space="preserve">nies </w:t>
      </w:r>
      <w:r w:rsidR="00ED5618" w:rsidRPr="00ED5618">
        <w:rPr>
          <w:rFonts w:ascii="Georgia" w:hAnsi="Georgia"/>
          <w:sz w:val="24"/>
          <w:szCs w:val="24"/>
        </w:rPr>
        <w:t xml:space="preserve">across the U.S. in 2008 (Schubauer-Berigan et al., J Occup Environ </w:t>
      </w:r>
      <w:proofErr w:type="gramStart"/>
      <w:r w:rsidR="00ED5618" w:rsidRPr="00ED5618">
        <w:rPr>
          <w:rFonts w:ascii="Georgia" w:hAnsi="Georgia"/>
          <w:sz w:val="24"/>
          <w:szCs w:val="24"/>
        </w:rPr>
        <w:t>Med  2011:53:S62</w:t>
      </w:r>
      <w:proofErr w:type="gramEnd"/>
      <w:r w:rsidR="00ED5618" w:rsidRPr="00ED5618">
        <w:rPr>
          <w:rFonts w:ascii="Georgia" w:hAnsi="Georgia"/>
          <w:sz w:val="24"/>
          <w:szCs w:val="24"/>
        </w:rPr>
        <w:t>-S67), that are producing, using, or distributing CNT or CNF.  All eligible companies still in operation as of mid-2010 were invited to participate</w:t>
      </w:r>
      <w:r>
        <w:rPr>
          <w:rFonts w:ascii="Georgia" w:hAnsi="Georgia"/>
          <w:sz w:val="24"/>
          <w:szCs w:val="24"/>
        </w:rPr>
        <w:t xml:space="preserve"> in exposure assessment and epidemiologic research</w:t>
      </w:r>
      <w:r w:rsidR="00ED5618" w:rsidRPr="00ED5618">
        <w:rPr>
          <w:rFonts w:ascii="Georgia" w:hAnsi="Georgia"/>
          <w:sz w:val="24"/>
          <w:szCs w:val="24"/>
        </w:rPr>
        <w:t xml:space="preserve">. Initial site visits were done at the 16 facilities that indicated interest in participating, to verify that workers at the company were handling CNT or CNF, to determine the best procedures for assessing exposure to CNT and CNF, and to discuss the industrywide study with employees and managers. In preliminary site visits, we determined that there </w:t>
      </w:r>
      <w:proofErr w:type="gramStart"/>
      <w:r w:rsidR="00ED5618" w:rsidRPr="00ED5618">
        <w:rPr>
          <w:rFonts w:ascii="Georgia" w:hAnsi="Georgia"/>
          <w:sz w:val="24"/>
          <w:szCs w:val="24"/>
        </w:rPr>
        <w:t>were an average</w:t>
      </w:r>
      <w:proofErr w:type="gramEnd"/>
      <w:r w:rsidR="00ED5618" w:rsidRPr="00ED5618">
        <w:rPr>
          <w:rFonts w:ascii="Georgia" w:hAnsi="Georgia"/>
          <w:sz w:val="24"/>
          <w:szCs w:val="24"/>
        </w:rPr>
        <w:t xml:space="preserve"> of </w:t>
      </w:r>
      <w:r w:rsidR="0089450E">
        <w:rPr>
          <w:rFonts w:ascii="Georgia" w:hAnsi="Georgia"/>
          <w:sz w:val="24"/>
          <w:szCs w:val="24"/>
        </w:rPr>
        <w:t>9</w:t>
      </w:r>
      <w:r w:rsidR="0089450E" w:rsidRPr="00ED5618">
        <w:rPr>
          <w:rFonts w:ascii="Georgia" w:hAnsi="Georgia"/>
          <w:sz w:val="24"/>
          <w:szCs w:val="24"/>
        </w:rPr>
        <w:t xml:space="preserve"> </w:t>
      </w:r>
      <w:r w:rsidR="00ED5618" w:rsidRPr="00ED5618">
        <w:rPr>
          <w:rFonts w:ascii="Georgia" w:hAnsi="Georgia"/>
          <w:sz w:val="24"/>
          <w:szCs w:val="24"/>
        </w:rPr>
        <w:t xml:space="preserve">employees at each site, working with or around these nanomaterials. </w:t>
      </w:r>
      <w:r w:rsidR="00ED5AE1">
        <w:rPr>
          <w:rFonts w:ascii="Georgia" w:hAnsi="Georgia"/>
          <w:sz w:val="24"/>
          <w:szCs w:val="24"/>
        </w:rPr>
        <w:t xml:space="preserve">Because these are small companies, with every employee having some potential for direct or indirect exposure to CNT or CNF, all employees at all participating facilities will be invited to participate in the study. </w:t>
      </w:r>
    </w:p>
    <w:p w:rsidR="0016457A" w:rsidRDefault="0016457A" w:rsidP="005D77CA">
      <w:pPr>
        <w:autoSpaceDE w:val="0"/>
        <w:autoSpaceDN w:val="0"/>
        <w:adjustRightInd w:val="0"/>
        <w:spacing w:after="100" w:afterAutospacing="1" w:line="360" w:lineRule="auto"/>
        <w:rPr>
          <w:rFonts w:ascii="Georgia" w:hAnsi="Georgia"/>
          <w:sz w:val="24"/>
          <w:szCs w:val="24"/>
        </w:rPr>
      </w:pPr>
      <w:r w:rsidRPr="00ED5618">
        <w:rPr>
          <w:rFonts w:ascii="Georgia" w:hAnsi="Georgia"/>
          <w:sz w:val="24"/>
          <w:szCs w:val="24"/>
        </w:rPr>
        <w:t xml:space="preserve">A power analysis conducted for the epidemiologic study determined that 100 workers would be necessary to observed associations between CNT or CNF exposure and loss of lung forced vital capacity. Therefore, 10 companies would be required to have a study with sufficient power. Of the 16 companies initially visited by NIOSH, 10 expressed interest in participating in the industrywide study. Thus, the site selection process may be described as a convenience sample (companies could not be compelled to participate) of an exhaustive sample of all U.S. facilities making or using CNT or CNF, as of December 2011. All workers at each facility will be invited to participate in the </w:t>
      </w:r>
      <w:proofErr w:type="spellStart"/>
      <w:r w:rsidRPr="00ED5618">
        <w:rPr>
          <w:rFonts w:ascii="Georgia" w:hAnsi="Georgia"/>
          <w:sz w:val="24"/>
          <w:szCs w:val="24"/>
        </w:rPr>
        <w:t>industrywide</w:t>
      </w:r>
      <w:proofErr w:type="spellEnd"/>
      <w:r w:rsidRPr="00ED5618">
        <w:rPr>
          <w:rFonts w:ascii="Georgia" w:hAnsi="Georgia"/>
          <w:sz w:val="24"/>
          <w:szCs w:val="24"/>
        </w:rPr>
        <w:t xml:space="preserve"> study.</w:t>
      </w:r>
    </w:p>
    <w:p w:rsidR="0089450E" w:rsidRDefault="0089450E" w:rsidP="005D77CA">
      <w:pPr>
        <w:autoSpaceDE w:val="0"/>
        <w:autoSpaceDN w:val="0"/>
        <w:adjustRightInd w:val="0"/>
        <w:spacing w:after="100" w:afterAutospacing="1" w:line="360" w:lineRule="auto"/>
        <w:rPr>
          <w:rFonts w:ascii="Georgia" w:hAnsi="Georgia"/>
          <w:sz w:val="24"/>
          <w:szCs w:val="24"/>
        </w:rPr>
      </w:pPr>
    </w:p>
    <w:p w:rsidR="0077314A" w:rsidRDefault="0077314A" w:rsidP="00E803F2">
      <w:pPr>
        <w:pStyle w:val="Heading1"/>
        <w:rPr>
          <w:sz w:val="24"/>
          <w:szCs w:val="24"/>
        </w:rPr>
      </w:pPr>
      <w:bookmarkStart w:id="2" w:name="_Toc349230368"/>
      <w:r w:rsidRPr="0077314A">
        <w:rPr>
          <w:sz w:val="24"/>
          <w:szCs w:val="24"/>
        </w:rPr>
        <w:lastRenderedPageBreak/>
        <w:t>2. Procedures for the Collection of Information</w:t>
      </w:r>
      <w:bookmarkEnd w:id="2"/>
    </w:p>
    <w:p w:rsidR="00ED5618" w:rsidRDefault="00D31374" w:rsidP="005D77CA">
      <w:pPr>
        <w:autoSpaceDE w:val="0"/>
        <w:autoSpaceDN w:val="0"/>
        <w:adjustRightInd w:val="0"/>
        <w:spacing w:after="100" w:afterAutospacing="1" w:line="360" w:lineRule="auto"/>
        <w:rPr>
          <w:rFonts w:ascii="Georgia" w:hAnsi="Georgia"/>
          <w:sz w:val="24"/>
          <w:szCs w:val="24"/>
        </w:rPr>
      </w:pPr>
      <w:r w:rsidRPr="00D31374">
        <w:rPr>
          <w:rFonts w:ascii="Georgia" w:hAnsi="Georgia"/>
          <w:sz w:val="24"/>
          <w:szCs w:val="24"/>
        </w:rPr>
        <w:t>The proposed research is a cross-sectional study of the small current workforce involved with CNT and CNF in</w:t>
      </w:r>
      <w:r w:rsidR="001C7CF6">
        <w:rPr>
          <w:rFonts w:ascii="Georgia" w:hAnsi="Georgia"/>
          <w:sz w:val="24"/>
          <w:szCs w:val="24"/>
        </w:rPr>
        <w:t xml:space="preserve"> manufacturing and distribution. The study in</w:t>
      </w:r>
      <w:r w:rsidR="0089450E">
        <w:rPr>
          <w:rFonts w:ascii="Georgia" w:hAnsi="Georgia"/>
          <w:sz w:val="24"/>
          <w:szCs w:val="24"/>
        </w:rPr>
        <w:t>volves an</w:t>
      </w:r>
      <w:r w:rsidR="001C7CF6">
        <w:rPr>
          <w:rFonts w:ascii="Georgia" w:hAnsi="Georgia"/>
          <w:sz w:val="24"/>
          <w:szCs w:val="24"/>
        </w:rPr>
        <w:t xml:space="preserve"> </w:t>
      </w:r>
      <w:proofErr w:type="spellStart"/>
      <w:r w:rsidR="0089450E">
        <w:rPr>
          <w:rFonts w:ascii="Georgia" w:hAnsi="Georgia"/>
          <w:sz w:val="24"/>
          <w:szCs w:val="24"/>
        </w:rPr>
        <w:t>i</w:t>
      </w:r>
      <w:r w:rsidRPr="00D31374">
        <w:rPr>
          <w:rFonts w:ascii="Georgia" w:hAnsi="Georgia"/>
          <w:sz w:val="24"/>
          <w:szCs w:val="24"/>
        </w:rPr>
        <w:t>ndustrywide</w:t>
      </w:r>
      <w:proofErr w:type="spellEnd"/>
      <w:r w:rsidRPr="00D31374">
        <w:rPr>
          <w:rFonts w:ascii="Georgia" w:hAnsi="Georgia"/>
          <w:sz w:val="24"/>
          <w:szCs w:val="24"/>
        </w:rPr>
        <w:t xml:space="preserve"> exposure assessment study to evaluate worker exposure and further development and refinement of measurement methods for CNT and CNF.  This component will refine sampling and analysis protocols previously developed for the detection and quantification of CNT and CNF in US workplaces.  </w:t>
      </w:r>
      <w:r w:rsidR="0089450E">
        <w:rPr>
          <w:rFonts w:ascii="Georgia" w:hAnsi="Georgia"/>
          <w:sz w:val="24"/>
          <w:szCs w:val="24"/>
        </w:rPr>
        <w:t>The study also involves a</w:t>
      </w:r>
      <w:r w:rsidRPr="00D31374">
        <w:rPr>
          <w:rFonts w:ascii="Georgia" w:hAnsi="Georgia"/>
          <w:sz w:val="24"/>
          <w:szCs w:val="24"/>
        </w:rPr>
        <w:t xml:space="preserve"> cross-sectional study relating the best metrics of CNT and CNF exposure to markers of early pulmonary or cardiovascular health effects.  After the sampling and analysis protocols have been established to measure CNT and CNF, concurrent with the industrywide exposure assessment study, several biomarkers of early effect (for pulmonary fibrosis, cardiovascular disease, and genetic damage) will be measured in blood and sputum for workers exposed to a range of CNT and CNF levels.</w:t>
      </w:r>
      <w:r w:rsidR="001C7CF6">
        <w:rPr>
          <w:rFonts w:ascii="Georgia" w:hAnsi="Georgia"/>
          <w:sz w:val="24"/>
          <w:szCs w:val="24"/>
        </w:rPr>
        <w:t xml:space="preserve"> A questionnaire will also be administered, as described below. </w:t>
      </w:r>
    </w:p>
    <w:p w:rsidR="001C7CF6" w:rsidRDefault="001C7CF6" w:rsidP="001C7CF6">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For the industrywide study, exposure measurements will be done for each participant at each study workplace for two days.  During this period, study participants will be asked to wear a vest containing three small sampling pumps.  Study participants are asked to wear the pumps for the purpose of determining the amount of CNT or CNF in the air around them. The sampling pumps pull air through (1) a filter to measure amounts of elemental carbon (a marker for CNT or CNF exposure) that may reach two different areas of the respiratory tract and (2) a filter used to count the number of structures containing CNT and CNF in the air participants are breathing.    </w:t>
      </w:r>
    </w:p>
    <w:p w:rsidR="004D457B" w:rsidRDefault="001C7CF6" w:rsidP="001C7CF6">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Concurrent with the industrywide exposure assessment study, a medical examination will be conducted by a NIOSH physician (to measure height and weight, waist circumference, and to review information obtained from the questionnaire</w:t>
      </w:r>
      <w:r w:rsidR="00B326FE">
        <w:rPr>
          <w:rFonts w:ascii="Georgia" w:hAnsi="Georgia" w:cs="Courier New"/>
          <w:color w:val="000000"/>
          <w:sz w:val="24"/>
        </w:rPr>
        <w:t>)</w:t>
      </w:r>
      <w:r>
        <w:rPr>
          <w:rFonts w:ascii="Georgia" w:hAnsi="Georgia" w:cs="Courier New"/>
          <w:color w:val="000000"/>
          <w:sz w:val="24"/>
        </w:rPr>
        <w:t xml:space="preserve"> to ensure that the participant is healthy enough to take part in the spirometry and biospecimen collection. Then, lung function will be assessed using spirometry, and blood and induced sputum specimens will be collected. Several biomarkers of early effect (for pulmonary fibrosis, cardiovascular disease, and genetic damage) will be measured in the biospecimens for workers exposed to a range of CNT and CNF levels.  This will be </w:t>
      </w:r>
      <w:r>
        <w:rPr>
          <w:rFonts w:ascii="Georgia" w:hAnsi="Georgia" w:cs="Courier New"/>
          <w:color w:val="000000"/>
          <w:sz w:val="24"/>
        </w:rPr>
        <w:lastRenderedPageBreak/>
        <w:t>accompanied by a questionnaire, administered as a</w:t>
      </w:r>
      <w:r w:rsidR="004D457B">
        <w:rPr>
          <w:rFonts w:ascii="Georgia" w:hAnsi="Georgia" w:cs="Courier New"/>
          <w:color w:val="000000"/>
          <w:sz w:val="24"/>
        </w:rPr>
        <w:t xml:space="preserve"> computer-assisted personal interview</w:t>
      </w:r>
      <w:r>
        <w:rPr>
          <w:rFonts w:ascii="Georgia" w:hAnsi="Georgia" w:cs="Courier New"/>
          <w:color w:val="000000"/>
          <w:sz w:val="24"/>
        </w:rPr>
        <w:t xml:space="preserve"> </w:t>
      </w:r>
      <w:r w:rsidR="004D457B">
        <w:rPr>
          <w:rFonts w:ascii="Georgia" w:hAnsi="Georgia" w:cs="Courier New"/>
          <w:color w:val="000000"/>
          <w:sz w:val="24"/>
        </w:rPr>
        <w:t>(</w:t>
      </w:r>
      <w:r>
        <w:rPr>
          <w:rFonts w:ascii="Georgia" w:hAnsi="Georgia" w:cs="Courier New"/>
          <w:color w:val="000000"/>
          <w:sz w:val="24"/>
        </w:rPr>
        <w:t>CAPI</w:t>
      </w:r>
      <w:r w:rsidR="004D457B">
        <w:rPr>
          <w:rFonts w:ascii="Georgia" w:hAnsi="Georgia" w:cs="Courier New"/>
          <w:color w:val="000000"/>
          <w:sz w:val="24"/>
        </w:rPr>
        <w:t>)</w:t>
      </w:r>
      <w:r>
        <w:rPr>
          <w:rFonts w:ascii="Georgia" w:hAnsi="Georgia" w:cs="Courier New"/>
          <w:color w:val="000000"/>
          <w:sz w:val="24"/>
        </w:rPr>
        <w:t xml:space="preserve"> by NIOSH personnel, with a three-fold purpose:  (1) to determine whether study participants have any contraindications for </w:t>
      </w:r>
      <w:r w:rsidR="004D457B">
        <w:rPr>
          <w:rFonts w:ascii="Georgia" w:hAnsi="Georgia" w:cs="Courier New"/>
          <w:color w:val="000000"/>
          <w:sz w:val="24"/>
        </w:rPr>
        <w:t>the</w:t>
      </w:r>
      <w:r>
        <w:rPr>
          <w:rFonts w:ascii="Georgia" w:hAnsi="Georgia" w:cs="Courier New"/>
          <w:color w:val="000000"/>
          <w:sz w:val="24"/>
        </w:rPr>
        <w:t xml:space="preserve"> medical procedures to be conducted (spirometry and sputum induction), (2) to assist in interpretation of the medical tests and biomarker results, and (3) to inquire about current and past exposure to CNT, CNF, and other chemicals, dusts, and fumes</w:t>
      </w:r>
      <w:r w:rsidR="004D457B">
        <w:rPr>
          <w:rFonts w:ascii="Georgia" w:hAnsi="Georgia" w:cs="Courier New"/>
          <w:color w:val="000000"/>
          <w:sz w:val="24"/>
        </w:rPr>
        <w:t>, so that estimates of exposure can be made for use in data analysis</w:t>
      </w:r>
      <w:r>
        <w:rPr>
          <w:rFonts w:ascii="Georgia" w:hAnsi="Georgia" w:cs="Courier New"/>
          <w:color w:val="000000"/>
          <w:sz w:val="24"/>
        </w:rPr>
        <w:t xml:space="preserve">.  After administration of the CAPI, medical examinations will be conducted </w:t>
      </w:r>
      <w:r w:rsidR="004D457B">
        <w:rPr>
          <w:rFonts w:ascii="Georgia" w:hAnsi="Georgia" w:cs="Courier New"/>
          <w:color w:val="000000"/>
          <w:sz w:val="24"/>
        </w:rPr>
        <w:t>and biospecimens wil</w:t>
      </w:r>
      <w:r>
        <w:rPr>
          <w:rFonts w:ascii="Georgia" w:hAnsi="Georgia" w:cs="Courier New"/>
          <w:color w:val="000000"/>
          <w:sz w:val="24"/>
        </w:rPr>
        <w:t xml:space="preserve">l be collected. A complete blood count will be conducted on the blood samples, and several biomarkers (looking at inflammation, oxidative stress, </w:t>
      </w:r>
      <w:proofErr w:type="gramStart"/>
      <w:r>
        <w:rPr>
          <w:rFonts w:ascii="Georgia" w:hAnsi="Georgia" w:cs="Courier New"/>
          <w:color w:val="000000"/>
          <w:sz w:val="24"/>
        </w:rPr>
        <w:t>early</w:t>
      </w:r>
      <w:proofErr w:type="gramEnd"/>
      <w:r>
        <w:rPr>
          <w:rFonts w:ascii="Georgia" w:hAnsi="Georgia" w:cs="Courier New"/>
          <w:color w:val="000000"/>
          <w:sz w:val="24"/>
        </w:rPr>
        <w:t xml:space="preserve"> indications of pulmonary fibrosis, cardiovascular effects, and genetic damage) will be measured on both the blood and sputum samples. </w:t>
      </w:r>
    </w:p>
    <w:p w:rsidR="001C7CF6" w:rsidRDefault="00965EDF" w:rsidP="001C7CF6">
      <w:pPr>
        <w:autoSpaceDE w:val="0"/>
        <w:autoSpaceDN w:val="0"/>
        <w:adjustRightInd w:val="0"/>
        <w:spacing w:after="100" w:afterAutospacing="1" w:line="360" w:lineRule="auto"/>
        <w:rPr>
          <w:rFonts w:ascii="Georgia" w:hAnsi="Georgia"/>
          <w:sz w:val="24"/>
          <w:szCs w:val="24"/>
        </w:rPr>
      </w:pPr>
      <w:r>
        <w:rPr>
          <w:rFonts w:ascii="Georgia" w:hAnsi="Georgia" w:cs="Courier New"/>
          <w:color w:val="000000"/>
          <w:sz w:val="24"/>
        </w:rPr>
        <w:t xml:space="preserve">As indicated above, a large number of the questions included in the CAPI are for the protection of the participant, to ensure that he or she is healthy enough for the spirometry and biospecimen collection procedures. As such, these questions will not be used in any data analyses. </w:t>
      </w:r>
      <w:r w:rsidR="001C7CF6">
        <w:rPr>
          <w:rFonts w:ascii="Georgia" w:hAnsi="Georgia" w:cs="Courier New"/>
          <w:color w:val="000000"/>
          <w:sz w:val="24"/>
        </w:rPr>
        <w:t>Statistical analyses will be conducted to determine the nature of the relation between exposure to CNT and CNF and the</w:t>
      </w:r>
      <w:r>
        <w:rPr>
          <w:rFonts w:ascii="Georgia" w:hAnsi="Georgia" w:cs="Courier New"/>
          <w:color w:val="000000"/>
          <w:sz w:val="24"/>
        </w:rPr>
        <w:t xml:space="preserve"> outcome measures of interest</w:t>
      </w:r>
      <w:r w:rsidR="00A81D85">
        <w:rPr>
          <w:rFonts w:ascii="Georgia" w:hAnsi="Georgia" w:cs="Courier New"/>
          <w:color w:val="000000"/>
          <w:sz w:val="24"/>
        </w:rPr>
        <w:t>. These outcome measures are:</w:t>
      </w:r>
      <w:r>
        <w:rPr>
          <w:rFonts w:ascii="Georgia" w:hAnsi="Georgia" w:cs="Courier New"/>
          <w:color w:val="000000"/>
          <w:sz w:val="24"/>
        </w:rPr>
        <w:t xml:space="preserve"> systolic and diastolic blood pressure</w:t>
      </w:r>
      <w:r w:rsidR="00A81D85">
        <w:rPr>
          <w:rFonts w:ascii="Georgia" w:hAnsi="Georgia" w:cs="Courier New"/>
          <w:color w:val="000000"/>
          <w:sz w:val="24"/>
        </w:rPr>
        <w:t xml:space="preserve">; </w:t>
      </w:r>
      <w:r>
        <w:rPr>
          <w:rFonts w:ascii="Georgia" w:hAnsi="Georgia" w:cs="Courier New"/>
          <w:color w:val="000000"/>
          <w:sz w:val="24"/>
        </w:rPr>
        <w:t>lung function metrics</w:t>
      </w:r>
      <w:r w:rsidR="00A81D85">
        <w:rPr>
          <w:rFonts w:ascii="Georgia" w:hAnsi="Georgia" w:cs="Courier New"/>
          <w:color w:val="000000"/>
          <w:sz w:val="24"/>
        </w:rPr>
        <w:t>,</w:t>
      </w:r>
      <w:r>
        <w:rPr>
          <w:rFonts w:ascii="Georgia" w:hAnsi="Georgia" w:cs="Courier New"/>
          <w:color w:val="000000"/>
          <w:sz w:val="24"/>
        </w:rPr>
        <w:t xml:space="preserve"> including forced vital capacity and forced expiratory volume in one second</w:t>
      </w:r>
      <w:r w:rsidR="00A81D85">
        <w:rPr>
          <w:rFonts w:ascii="Georgia" w:hAnsi="Georgia" w:cs="Courier New"/>
          <w:color w:val="000000"/>
          <w:sz w:val="24"/>
        </w:rPr>
        <w:t>;</w:t>
      </w:r>
      <w:r>
        <w:rPr>
          <w:rFonts w:ascii="Georgia" w:hAnsi="Georgia" w:cs="Courier New"/>
          <w:color w:val="000000"/>
          <w:sz w:val="24"/>
        </w:rPr>
        <w:t xml:space="preserve"> and each measured </w:t>
      </w:r>
      <w:r w:rsidR="001C7CF6">
        <w:rPr>
          <w:rFonts w:ascii="Georgia" w:hAnsi="Georgia" w:cs="Courier New"/>
          <w:color w:val="000000"/>
          <w:sz w:val="24"/>
        </w:rPr>
        <w:t>biomarker of early health effects</w:t>
      </w:r>
      <w:r w:rsidR="00A81D85">
        <w:rPr>
          <w:rFonts w:ascii="Georgia" w:hAnsi="Georgia" w:cs="Courier New"/>
          <w:color w:val="000000"/>
          <w:sz w:val="24"/>
        </w:rPr>
        <w:t>, including biomarkers of</w:t>
      </w:r>
      <w:r>
        <w:rPr>
          <w:rFonts w:ascii="Georgia" w:hAnsi="Georgia" w:cs="Courier New"/>
          <w:color w:val="000000"/>
          <w:sz w:val="24"/>
        </w:rPr>
        <w:t xml:space="preserve"> inflammation, oxidative stress, pulmonary fibrosis, cardiovascular disease and cancer. </w:t>
      </w:r>
      <w:r w:rsidR="001C7CF6">
        <w:rPr>
          <w:rFonts w:ascii="Georgia" w:hAnsi="Georgia" w:cs="Courier New"/>
          <w:color w:val="000000"/>
          <w:sz w:val="24"/>
        </w:rPr>
        <w:t xml:space="preserve"> </w:t>
      </w:r>
      <w:r>
        <w:rPr>
          <w:rFonts w:ascii="Georgia" w:hAnsi="Georgia" w:cs="Courier New"/>
          <w:color w:val="000000"/>
          <w:sz w:val="24"/>
        </w:rPr>
        <w:t>These analyses will be based on</w:t>
      </w:r>
      <w:r w:rsidRPr="00965EDF">
        <w:rPr>
          <w:rFonts w:ascii="Georgia" w:hAnsi="Georgia" w:cs="Courier New"/>
          <w:color w:val="000000"/>
          <w:sz w:val="24"/>
        </w:rPr>
        <w:t xml:space="preserve"> multiple</w:t>
      </w:r>
      <w:r>
        <w:rPr>
          <w:rFonts w:ascii="Georgia" w:hAnsi="Georgia" w:cs="Courier New"/>
          <w:color w:val="000000"/>
          <w:sz w:val="24"/>
        </w:rPr>
        <w:t xml:space="preserve"> linear or logistic</w:t>
      </w:r>
      <w:r w:rsidRPr="00965EDF">
        <w:rPr>
          <w:rFonts w:ascii="Georgia" w:hAnsi="Georgia" w:cs="Courier New"/>
          <w:color w:val="000000"/>
          <w:sz w:val="24"/>
        </w:rPr>
        <w:t xml:space="preserve"> regression analyses to determine the </w:t>
      </w:r>
      <w:r>
        <w:rPr>
          <w:rFonts w:ascii="Georgia" w:hAnsi="Georgia" w:cs="Courier New"/>
          <w:color w:val="000000"/>
          <w:sz w:val="24"/>
        </w:rPr>
        <w:t xml:space="preserve">nature of </w:t>
      </w:r>
      <w:r w:rsidRPr="00965EDF">
        <w:rPr>
          <w:rFonts w:ascii="Georgia" w:hAnsi="Georgia" w:cs="Courier New"/>
          <w:color w:val="000000"/>
          <w:sz w:val="24"/>
        </w:rPr>
        <w:t xml:space="preserve">relation between </w:t>
      </w:r>
      <w:r>
        <w:rPr>
          <w:rFonts w:ascii="Georgia" w:hAnsi="Georgia" w:cs="Courier New"/>
          <w:color w:val="000000"/>
          <w:sz w:val="24"/>
        </w:rPr>
        <w:t xml:space="preserve">quantitative metrics of </w:t>
      </w:r>
      <w:r w:rsidRPr="00965EDF">
        <w:rPr>
          <w:rFonts w:ascii="Georgia" w:hAnsi="Georgia" w:cs="Courier New"/>
          <w:color w:val="000000"/>
          <w:sz w:val="24"/>
        </w:rPr>
        <w:t xml:space="preserve">exposure to CNT and CNF </w:t>
      </w:r>
      <w:r>
        <w:rPr>
          <w:rFonts w:ascii="Georgia" w:hAnsi="Georgia" w:cs="Courier New"/>
          <w:color w:val="000000"/>
          <w:sz w:val="24"/>
        </w:rPr>
        <w:t xml:space="preserve">(based on elemental carbon measurements and CNT or CNF structure counts via transmission electron microscopy) </w:t>
      </w:r>
      <w:r w:rsidRPr="00965EDF">
        <w:rPr>
          <w:rFonts w:ascii="Georgia" w:hAnsi="Georgia" w:cs="Courier New"/>
          <w:color w:val="000000"/>
          <w:sz w:val="24"/>
        </w:rPr>
        <w:t xml:space="preserve">and </w:t>
      </w:r>
      <w:r>
        <w:rPr>
          <w:rFonts w:ascii="Georgia" w:hAnsi="Georgia" w:cs="Courier New"/>
          <w:color w:val="000000"/>
          <w:sz w:val="24"/>
        </w:rPr>
        <w:t xml:space="preserve">each outcome measure listed above. The statistical models will adjust for important </w:t>
      </w:r>
      <w:r w:rsidRPr="00965EDF">
        <w:rPr>
          <w:rFonts w:ascii="Georgia" w:hAnsi="Georgia" w:cs="Courier New"/>
          <w:color w:val="000000"/>
          <w:sz w:val="24"/>
        </w:rPr>
        <w:t>potenti</w:t>
      </w:r>
      <w:r>
        <w:rPr>
          <w:rFonts w:ascii="Georgia" w:hAnsi="Georgia" w:cs="Courier New"/>
          <w:color w:val="000000"/>
          <w:sz w:val="24"/>
        </w:rPr>
        <w:t>al confounding factors such as tobacco</w:t>
      </w:r>
      <w:r w:rsidRPr="00965EDF">
        <w:rPr>
          <w:rFonts w:ascii="Georgia" w:hAnsi="Georgia" w:cs="Courier New"/>
          <w:color w:val="000000"/>
          <w:sz w:val="24"/>
        </w:rPr>
        <w:t xml:space="preserve"> and alcohol consumption history, age, gender, </w:t>
      </w:r>
      <w:r>
        <w:rPr>
          <w:rFonts w:ascii="Georgia" w:hAnsi="Georgia" w:cs="Courier New"/>
          <w:color w:val="000000"/>
          <w:sz w:val="24"/>
        </w:rPr>
        <w:t xml:space="preserve">body mass index, waist circumference, use of certain medications, </w:t>
      </w:r>
      <w:r w:rsidRPr="00965EDF">
        <w:rPr>
          <w:rFonts w:ascii="Georgia" w:hAnsi="Georgia" w:cs="Courier New"/>
          <w:color w:val="000000"/>
          <w:sz w:val="24"/>
        </w:rPr>
        <w:t xml:space="preserve">and workplace </w:t>
      </w:r>
      <w:r>
        <w:rPr>
          <w:rFonts w:ascii="Georgia" w:hAnsi="Georgia" w:cs="Courier New"/>
          <w:color w:val="000000"/>
          <w:sz w:val="24"/>
        </w:rPr>
        <w:t xml:space="preserve">or hobby </w:t>
      </w:r>
      <w:r w:rsidRPr="00965EDF">
        <w:rPr>
          <w:rFonts w:ascii="Georgia" w:hAnsi="Georgia" w:cs="Courier New"/>
          <w:color w:val="000000"/>
          <w:sz w:val="24"/>
        </w:rPr>
        <w:t>co-exposures,</w:t>
      </w:r>
      <w:r>
        <w:rPr>
          <w:rFonts w:ascii="Georgia" w:hAnsi="Georgia" w:cs="Courier New"/>
          <w:color w:val="000000"/>
          <w:sz w:val="24"/>
        </w:rPr>
        <w:t xml:space="preserve"> </w:t>
      </w:r>
      <w:r w:rsidRPr="00965EDF">
        <w:rPr>
          <w:rFonts w:ascii="Georgia" w:hAnsi="Georgia" w:cs="Courier New"/>
          <w:color w:val="000000"/>
          <w:sz w:val="24"/>
        </w:rPr>
        <w:t>including non-engineered nanoscale particulate matter.</w:t>
      </w:r>
    </w:p>
    <w:p w:rsidR="0077314A" w:rsidRPr="00ED5618" w:rsidRDefault="0077314A" w:rsidP="00D22C64">
      <w:pPr>
        <w:pStyle w:val="Heading1"/>
        <w:rPr>
          <w:sz w:val="24"/>
          <w:szCs w:val="24"/>
        </w:rPr>
      </w:pPr>
      <w:bookmarkStart w:id="3" w:name="_Toc349230369"/>
      <w:r w:rsidRPr="0077314A">
        <w:rPr>
          <w:sz w:val="24"/>
          <w:szCs w:val="24"/>
        </w:rPr>
        <w:t>3.  Methods to Maximize Response Rates and Deal with Nonresponse</w:t>
      </w:r>
      <w:bookmarkEnd w:id="3"/>
    </w:p>
    <w:p w:rsidR="00ED5618" w:rsidRDefault="00083F07" w:rsidP="00083F07">
      <w:pPr>
        <w:autoSpaceDE w:val="0"/>
        <w:autoSpaceDN w:val="0"/>
        <w:adjustRightInd w:val="0"/>
        <w:spacing w:after="100" w:afterAutospacing="1" w:line="360" w:lineRule="auto"/>
        <w:rPr>
          <w:rFonts w:ascii="Georgia" w:hAnsi="Georgia"/>
          <w:sz w:val="24"/>
          <w:szCs w:val="24"/>
        </w:rPr>
      </w:pPr>
      <w:r>
        <w:rPr>
          <w:rFonts w:ascii="Georgia" w:hAnsi="Georgia"/>
          <w:sz w:val="24"/>
          <w:szCs w:val="24"/>
        </w:rPr>
        <w:lastRenderedPageBreak/>
        <w:t xml:space="preserve">This study does not use statistical sampling methods, so most of these items do not apply. Company and employee participation is entirely voluntary. However, we have attempted to maximize participation by working with the companies to provide information on occupational exposure levels and control methods that </w:t>
      </w:r>
      <w:r w:rsidR="00D829D4">
        <w:rPr>
          <w:rFonts w:ascii="Georgia" w:hAnsi="Georgia"/>
          <w:sz w:val="24"/>
          <w:szCs w:val="24"/>
        </w:rPr>
        <w:t xml:space="preserve">are </w:t>
      </w:r>
      <w:r>
        <w:rPr>
          <w:rFonts w:ascii="Georgia" w:hAnsi="Georgia"/>
          <w:sz w:val="24"/>
          <w:szCs w:val="24"/>
        </w:rPr>
        <w:t>useful for their understanding of how to minimize exposure, and by undertaking the study entirely at the workplace, so that the participant does not need to use personal time to participate. We have streamlined the questionnaire and the medical and biospecimen collection procedures to minimize</w:t>
      </w:r>
      <w:r w:rsidR="00D829D4">
        <w:rPr>
          <w:rFonts w:ascii="Georgia" w:hAnsi="Georgia"/>
          <w:sz w:val="24"/>
          <w:szCs w:val="24"/>
        </w:rPr>
        <w:t xml:space="preserve"> the</w:t>
      </w:r>
      <w:r>
        <w:rPr>
          <w:rFonts w:ascii="Georgia" w:hAnsi="Georgia"/>
          <w:sz w:val="24"/>
          <w:szCs w:val="24"/>
        </w:rPr>
        <w:t xml:space="preserve"> inconvenience to the participant and to the employer. We are using the NIOSH Field Evaluations and Response Vehicle (a large, lab-equipped trailer) to conduct all medical exams and </w:t>
      </w:r>
      <w:proofErr w:type="spellStart"/>
      <w:r>
        <w:rPr>
          <w:rFonts w:ascii="Georgia" w:hAnsi="Georgia"/>
          <w:sz w:val="24"/>
          <w:szCs w:val="24"/>
        </w:rPr>
        <w:t>biospecimen</w:t>
      </w:r>
      <w:proofErr w:type="spellEnd"/>
      <w:r>
        <w:rPr>
          <w:rFonts w:ascii="Georgia" w:hAnsi="Georgia"/>
          <w:sz w:val="24"/>
          <w:szCs w:val="24"/>
        </w:rPr>
        <w:t xml:space="preserve"> collection</w:t>
      </w:r>
      <w:r w:rsidR="00D829D4">
        <w:rPr>
          <w:rFonts w:ascii="Georgia" w:hAnsi="Georgia"/>
          <w:sz w:val="24"/>
          <w:szCs w:val="24"/>
        </w:rPr>
        <w:t>s</w:t>
      </w:r>
      <w:r>
        <w:rPr>
          <w:rFonts w:ascii="Georgia" w:hAnsi="Georgia"/>
          <w:sz w:val="24"/>
          <w:szCs w:val="24"/>
        </w:rPr>
        <w:t xml:space="preserve"> in a clean, private space. </w:t>
      </w:r>
    </w:p>
    <w:p w:rsidR="0016457A" w:rsidRDefault="0016457A" w:rsidP="00D22C64">
      <w:pPr>
        <w:pStyle w:val="Heading1"/>
        <w:rPr>
          <w:sz w:val="24"/>
          <w:szCs w:val="24"/>
        </w:rPr>
      </w:pPr>
      <w:bookmarkStart w:id="4" w:name="_Toc349230370"/>
      <w:r w:rsidRPr="0016457A">
        <w:rPr>
          <w:sz w:val="24"/>
          <w:szCs w:val="24"/>
        </w:rPr>
        <w:t xml:space="preserve">4.  Tests of Procedures or Methods to be </w:t>
      </w:r>
      <w:proofErr w:type="gramStart"/>
      <w:r w:rsidRPr="0016457A">
        <w:rPr>
          <w:sz w:val="24"/>
          <w:szCs w:val="24"/>
        </w:rPr>
        <w:t>Undertaken</w:t>
      </w:r>
      <w:proofErr w:type="gramEnd"/>
      <w:r w:rsidRPr="0016457A">
        <w:rPr>
          <w:sz w:val="24"/>
          <w:szCs w:val="24"/>
        </w:rPr>
        <w:t>.</w:t>
      </w:r>
      <w:bookmarkEnd w:id="4"/>
    </w:p>
    <w:p w:rsidR="00ED5618" w:rsidRDefault="00083F07" w:rsidP="00083F07">
      <w:pPr>
        <w:autoSpaceDE w:val="0"/>
        <w:autoSpaceDN w:val="0"/>
        <w:adjustRightInd w:val="0"/>
        <w:spacing w:after="100" w:afterAutospacing="1" w:line="360" w:lineRule="auto"/>
        <w:rPr>
          <w:rFonts w:ascii="Georgia" w:hAnsi="Georgia"/>
          <w:sz w:val="24"/>
          <w:szCs w:val="24"/>
        </w:rPr>
      </w:pPr>
      <w:r>
        <w:rPr>
          <w:rFonts w:ascii="Georgia" w:hAnsi="Georgia"/>
          <w:sz w:val="24"/>
          <w:szCs w:val="24"/>
        </w:rPr>
        <w:t xml:space="preserve">The procedures used in the study, including the CAPI questionnaire, have been tested on </w:t>
      </w:r>
      <w:r w:rsidR="00D22C64">
        <w:rPr>
          <w:rFonts w:ascii="Georgia" w:hAnsi="Georgia"/>
          <w:sz w:val="24"/>
          <w:szCs w:val="24"/>
        </w:rPr>
        <w:t>a group (</w:t>
      </w:r>
      <w:r>
        <w:rPr>
          <w:rFonts w:ascii="Georgia" w:hAnsi="Georgia"/>
          <w:sz w:val="24"/>
          <w:szCs w:val="24"/>
        </w:rPr>
        <w:t>fewer than 10</w:t>
      </w:r>
      <w:r w:rsidR="00D22C64">
        <w:rPr>
          <w:rFonts w:ascii="Georgia" w:hAnsi="Georgia"/>
          <w:sz w:val="24"/>
          <w:szCs w:val="24"/>
        </w:rPr>
        <w:t>) of</w:t>
      </w:r>
      <w:r>
        <w:rPr>
          <w:rFonts w:ascii="Georgia" w:hAnsi="Georgia"/>
          <w:sz w:val="24"/>
          <w:szCs w:val="24"/>
        </w:rPr>
        <w:t xml:space="preserve"> NIOSH volunteers, to ensure clarity and understandability of questions, and to minimize </w:t>
      </w:r>
      <w:r w:rsidR="00D829D4">
        <w:rPr>
          <w:rFonts w:ascii="Georgia" w:hAnsi="Georgia"/>
          <w:sz w:val="24"/>
          <w:szCs w:val="24"/>
        </w:rPr>
        <w:t xml:space="preserve">the </w:t>
      </w:r>
      <w:r>
        <w:rPr>
          <w:rFonts w:ascii="Georgia" w:hAnsi="Georgia"/>
          <w:sz w:val="24"/>
          <w:szCs w:val="24"/>
        </w:rPr>
        <w:t xml:space="preserve">inconvenience of the procedures undertaken. </w:t>
      </w:r>
    </w:p>
    <w:p w:rsidR="0016457A" w:rsidRDefault="0016457A" w:rsidP="00D22C64">
      <w:pPr>
        <w:pStyle w:val="Heading1"/>
        <w:rPr>
          <w:sz w:val="24"/>
          <w:szCs w:val="24"/>
        </w:rPr>
      </w:pPr>
      <w:bookmarkStart w:id="5" w:name="_Toc349230371"/>
      <w:r w:rsidRPr="0016457A">
        <w:rPr>
          <w:sz w:val="24"/>
          <w:szCs w:val="24"/>
        </w:rPr>
        <w:t>5.  Individuals Consulted on Statistical Aspects and Individuals Collecting and/or Analyzing Data.</w:t>
      </w:r>
      <w:bookmarkEnd w:id="5"/>
    </w:p>
    <w:p w:rsidR="0016457A" w:rsidRDefault="00D20426" w:rsidP="005D77CA">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A protocol was prepared describing all aspects of the study, including data collection instruments and statistical analysis. This protocol was reviewed by Dr. Elizabeth Whelan, the Industrywide Studies Branch Chief of NIOSH’s Division of Surveillance, Hazard Evaluations, and Field Studies (DSHEFS), as well as Dr. Douglas Trout, Associate Director for Science of NIOSH’s DSHEFS. </w:t>
      </w:r>
      <w:r w:rsidR="0016457A">
        <w:rPr>
          <w:rFonts w:ascii="Georgia" w:hAnsi="Georgia" w:cs="Courier New"/>
          <w:color w:val="000000"/>
          <w:sz w:val="24"/>
        </w:rPr>
        <w:t xml:space="preserve">As part of the NIOSH peer review process, in 2012, the protocol, including the </w:t>
      </w:r>
      <w:r>
        <w:rPr>
          <w:rFonts w:ascii="Georgia" w:hAnsi="Georgia" w:cs="Courier New"/>
          <w:color w:val="000000"/>
          <w:sz w:val="24"/>
        </w:rPr>
        <w:t xml:space="preserve">data collection and </w:t>
      </w:r>
      <w:r w:rsidR="006A725B">
        <w:rPr>
          <w:rFonts w:ascii="Georgia" w:hAnsi="Georgia" w:cs="Courier New"/>
          <w:color w:val="000000"/>
          <w:sz w:val="24"/>
        </w:rPr>
        <w:t xml:space="preserve">statistical </w:t>
      </w:r>
      <w:r>
        <w:rPr>
          <w:rFonts w:ascii="Georgia" w:hAnsi="Georgia" w:cs="Courier New"/>
          <w:color w:val="000000"/>
          <w:sz w:val="24"/>
        </w:rPr>
        <w:t xml:space="preserve">data analysis </w:t>
      </w:r>
      <w:r w:rsidR="006A725B">
        <w:rPr>
          <w:rFonts w:ascii="Georgia" w:hAnsi="Georgia" w:cs="Courier New"/>
          <w:color w:val="000000"/>
          <w:sz w:val="24"/>
        </w:rPr>
        <w:t>methods</w:t>
      </w:r>
      <w:r w:rsidR="0016457A">
        <w:rPr>
          <w:rFonts w:ascii="Georgia" w:hAnsi="Georgia" w:cs="Courier New"/>
          <w:color w:val="000000"/>
          <w:sz w:val="24"/>
        </w:rPr>
        <w:t xml:space="preserve">, was peer reviewed by: </w:t>
      </w: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(1)</w:t>
      </w:r>
      <w:r>
        <w:rPr>
          <w:rFonts w:ascii="Georgia" w:hAnsi="Georgia" w:cs="Courier New"/>
          <w:color w:val="000000"/>
          <w:sz w:val="24"/>
        </w:rPr>
        <w:tab/>
      </w:r>
      <w:r w:rsidRPr="00804DA4">
        <w:rPr>
          <w:rFonts w:ascii="Georgia" w:hAnsi="Georgia" w:cs="Courier New"/>
          <w:color w:val="000000"/>
          <w:sz w:val="24"/>
        </w:rPr>
        <w:t>Sara Brenner, MD, MPH</w:t>
      </w:r>
    </w:p>
    <w:p w:rsidR="0016457A" w:rsidRDefault="0016457A" w:rsidP="0016457A">
      <w:pPr>
        <w:autoSpaceDE w:val="0"/>
        <w:autoSpaceDN w:val="0"/>
        <w:adjustRightInd w:val="0"/>
        <w:spacing w:after="0" w:line="240" w:lineRule="auto"/>
        <w:ind w:firstLine="720"/>
        <w:rPr>
          <w:rFonts w:ascii="Georgia" w:hAnsi="Georgia" w:cs="Courier New"/>
          <w:color w:val="000000"/>
          <w:sz w:val="24"/>
        </w:rPr>
      </w:pPr>
      <w:r>
        <w:rPr>
          <w:rFonts w:ascii="Georgia" w:hAnsi="Georgia" w:cs="Courier New"/>
          <w:color w:val="000000"/>
          <w:sz w:val="24"/>
        </w:rPr>
        <w:t xml:space="preserve">Assistant Vice President for </w:t>
      </w:r>
      <w:proofErr w:type="spellStart"/>
      <w:r>
        <w:rPr>
          <w:rFonts w:ascii="Georgia" w:hAnsi="Georgia" w:cs="Courier New"/>
          <w:color w:val="000000"/>
          <w:sz w:val="24"/>
        </w:rPr>
        <w:t>NanoHealth</w:t>
      </w:r>
      <w:proofErr w:type="spellEnd"/>
      <w:r>
        <w:rPr>
          <w:rFonts w:ascii="Georgia" w:hAnsi="Georgia" w:cs="Courier New"/>
          <w:color w:val="000000"/>
          <w:sz w:val="24"/>
        </w:rPr>
        <w:t xml:space="preserve"> Initiatives and Assistant Professor</w:t>
      </w:r>
    </w:p>
    <w:p w:rsidR="0016457A" w:rsidRDefault="0016457A" w:rsidP="0016457A">
      <w:pPr>
        <w:autoSpaceDE w:val="0"/>
        <w:autoSpaceDN w:val="0"/>
        <w:adjustRightInd w:val="0"/>
        <w:spacing w:after="0" w:line="240" w:lineRule="auto"/>
        <w:ind w:firstLine="720"/>
        <w:rPr>
          <w:rFonts w:ascii="Georgia" w:hAnsi="Georgia" w:cs="Courier New"/>
          <w:color w:val="000000"/>
          <w:sz w:val="24"/>
        </w:rPr>
      </w:pPr>
      <w:r w:rsidRPr="00804DA4">
        <w:rPr>
          <w:rFonts w:ascii="Georgia" w:hAnsi="Georgia" w:cs="Courier New"/>
          <w:color w:val="000000"/>
          <w:sz w:val="24"/>
        </w:rPr>
        <w:t>University of Albany College of Na</w:t>
      </w:r>
      <w:r>
        <w:rPr>
          <w:rFonts w:ascii="Georgia" w:hAnsi="Georgia" w:cs="Courier New"/>
          <w:color w:val="000000"/>
          <w:sz w:val="24"/>
        </w:rPr>
        <w:t>noscale Science and Engineering</w:t>
      </w:r>
    </w:p>
    <w:p w:rsidR="0016457A" w:rsidRPr="006102E9" w:rsidRDefault="0016457A" w:rsidP="0016457A">
      <w:pPr>
        <w:autoSpaceDE w:val="0"/>
        <w:autoSpaceDN w:val="0"/>
        <w:adjustRightInd w:val="0"/>
        <w:spacing w:after="0" w:line="240" w:lineRule="auto"/>
        <w:ind w:firstLine="720"/>
        <w:rPr>
          <w:rFonts w:ascii="Georgia" w:hAnsi="Georgia" w:cs="Courier New"/>
          <w:color w:val="000000"/>
          <w:sz w:val="24"/>
        </w:rPr>
      </w:pPr>
      <w:proofErr w:type="spellStart"/>
      <w:r w:rsidRPr="006102E9">
        <w:rPr>
          <w:rFonts w:ascii="Georgia" w:hAnsi="Georgia" w:cs="Courier New"/>
          <w:color w:val="000000"/>
          <w:sz w:val="24"/>
        </w:rPr>
        <w:t>NanoFab</w:t>
      </w:r>
      <w:proofErr w:type="spellEnd"/>
      <w:r w:rsidRPr="006102E9">
        <w:rPr>
          <w:rFonts w:ascii="Georgia" w:hAnsi="Georgia" w:cs="Courier New"/>
          <w:color w:val="000000"/>
          <w:sz w:val="24"/>
        </w:rPr>
        <w:t xml:space="preserve"> East</w:t>
      </w:r>
    </w:p>
    <w:p w:rsidR="0016457A" w:rsidRPr="006102E9" w:rsidRDefault="0016457A" w:rsidP="0016457A">
      <w:pPr>
        <w:autoSpaceDE w:val="0"/>
        <w:autoSpaceDN w:val="0"/>
        <w:adjustRightInd w:val="0"/>
        <w:spacing w:after="0" w:line="240" w:lineRule="auto"/>
        <w:ind w:firstLine="720"/>
        <w:rPr>
          <w:rFonts w:ascii="Georgia" w:hAnsi="Georgia" w:cs="Courier New"/>
          <w:color w:val="000000"/>
          <w:sz w:val="24"/>
        </w:rPr>
      </w:pPr>
      <w:r w:rsidRPr="006102E9">
        <w:rPr>
          <w:rFonts w:ascii="Georgia" w:hAnsi="Georgia" w:cs="Courier New"/>
          <w:color w:val="000000"/>
          <w:sz w:val="24"/>
        </w:rPr>
        <w:t xml:space="preserve">257 Fuller Road, </w:t>
      </w:r>
      <w:proofErr w:type="spellStart"/>
      <w:r w:rsidRPr="006102E9">
        <w:rPr>
          <w:rFonts w:ascii="Georgia" w:hAnsi="Georgia" w:cs="Courier New"/>
          <w:color w:val="000000"/>
          <w:sz w:val="24"/>
        </w:rPr>
        <w:t>Rm</w:t>
      </w:r>
      <w:proofErr w:type="spellEnd"/>
      <w:r w:rsidRPr="006102E9">
        <w:rPr>
          <w:rFonts w:ascii="Georgia" w:hAnsi="Georgia" w:cs="Courier New"/>
          <w:color w:val="000000"/>
          <w:sz w:val="24"/>
        </w:rPr>
        <w:t xml:space="preserve"> 4406</w:t>
      </w:r>
    </w:p>
    <w:p w:rsidR="0016457A" w:rsidRDefault="0016457A" w:rsidP="0016457A">
      <w:pPr>
        <w:autoSpaceDE w:val="0"/>
        <w:autoSpaceDN w:val="0"/>
        <w:adjustRightInd w:val="0"/>
        <w:spacing w:after="0" w:line="240" w:lineRule="auto"/>
        <w:ind w:firstLine="720"/>
        <w:rPr>
          <w:rFonts w:ascii="Georgia" w:hAnsi="Georgia" w:cs="Courier New"/>
          <w:color w:val="000000"/>
          <w:sz w:val="24"/>
        </w:rPr>
      </w:pPr>
      <w:r w:rsidRPr="006102E9">
        <w:rPr>
          <w:rFonts w:ascii="Georgia" w:hAnsi="Georgia" w:cs="Courier New"/>
          <w:color w:val="000000"/>
          <w:sz w:val="24"/>
        </w:rPr>
        <w:t>Albany, NY 12203</w:t>
      </w:r>
    </w:p>
    <w:p w:rsidR="0016457A" w:rsidRDefault="0016457A" w:rsidP="0016457A">
      <w:pPr>
        <w:autoSpaceDE w:val="0"/>
        <w:autoSpaceDN w:val="0"/>
        <w:adjustRightInd w:val="0"/>
        <w:spacing w:after="0" w:line="240" w:lineRule="auto"/>
        <w:ind w:firstLine="720"/>
        <w:rPr>
          <w:rFonts w:ascii="Georgia" w:hAnsi="Georgia" w:cs="Courier New"/>
          <w:color w:val="000000"/>
          <w:sz w:val="24"/>
        </w:rPr>
      </w:pPr>
      <w:r w:rsidRPr="006102E9">
        <w:rPr>
          <w:rFonts w:ascii="Georgia" w:hAnsi="Georgia" w:cs="Courier New"/>
          <w:color w:val="000000"/>
          <w:sz w:val="24"/>
        </w:rPr>
        <w:t>518.956.7224</w:t>
      </w:r>
    </w:p>
    <w:p w:rsidR="0016457A" w:rsidRDefault="000E662A" w:rsidP="0016457A">
      <w:pPr>
        <w:autoSpaceDE w:val="0"/>
        <w:autoSpaceDN w:val="0"/>
        <w:adjustRightInd w:val="0"/>
        <w:spacing w:after="0" w:line="240" w:lineRule="auto"/>
        <w:ind w:firstLine="720"/>
        <w:rPr>
          <w:rFonts w:ascii="Georgia" w:hAnsi="Georgia" w:cs="Courier New"/>
          <w:color w:val="000000"/>
          <w:sz w:val="24"/>
        </w:rPr>
      </w:pPr>
      <w:hyperlink r:id="rId11" w:history="1">
        <w:r w:rsidR="0016457A" w:rsidRPr="00513747">
          <w:rPr>
            <w:rStyle w:val="Hyperlink"/>
            <w:rFonts w:ascii="Georgia" w:hAnsi="Georgia" w:cs="Courier New"/>
            <w:sz w:val="24"/>
          </w:rPr>
          <w:t>sbrenner@albany.edu</w:t>
        </w:r>
      </w:hyperlink>
    </w:p>
    <w:p w:rsidR="0016457A" w:rsidRDefault="0016457A" w:rsidP="0016457A">
      <w:pPr>
        <w:autoSpaceDE w:val="0"/>
        <w:autoSpaceDN w:val="0"/>
        <w:adjustRightInd w:val="0"/>
        <w:spacing w:after="0" w:line="240" w:lineRule="auto"/>
        <w:ind w:firstLine="720"/>
        <w:rPr>
          <w:rFonts w:ascii="Georgia" w:hAnsi="Georgia" w:cs="Courier New"/>
          <w:color w:val="000000"/>
          <w:sz w:val="24"/>
        </w:rPr>
      </w:pP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(2)</w:t>
      </w:r>
      <w:r>
        <w:rPr>
          <w:rFonts w:ascii="Georgia" w:hAnsi="Georgia" w:cs="Courier New"/>
          <w:color w:val="000000"/>
          <w:sz w:val="24"/>
        </w:rPr>
        <w:tab/>
        <w:t xml:space="preserve">James </w:t>
      </w:r>
      <w:proofErr w:type="spellStart"/>
      <w:r>
        <w:rPr>
          <w:rFonts w:ascii="Georgia" w:hAnsi="Georgia" w:cs="Courier New"/>
          <w:color w:val="000000"/>
          <w:sz w:val="24"/>
        </w:rPr>
        <w:t>Lockey</w:t>
      </w:r>
      <w:proofErr w:type="spellEnd"/>
      <w:r>
        <w:rPr>
          <w:rFonts w:ascii="Georgia" w:hAnsi="Georgia" w:cs="Courier New"/>
          <w:color w:val="000000"/>
          <w:sz w:val="24"/>
        </w:rPr>
        <w:t>, MD, MS</w:t>
      </w: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r>
      <w:r w:rsidRPr="006102E9">
        <w:rPr>
          <w:rFonts w:ascii="Georgia" w:hAnsi="Georgia" w:cs="Courier New"/>
          <w:color w:val="000000"/>
          <w:sz w:val="24"/>
        </w:rPr>
        <w:t xml:space="preserve">Professor of Occupational, Environmental and Pulmonary </w:t>
      </w:r>
      <w:r>
        <w:rPr>
          <w:rFonts w:ascii="Georgia" w:hAnsi="Georgia" w:cs="Courier New"/>
          <w:color w:val="000000"/>
          <w:sz w:val="24"/>
        </w:rPr>
        <w:t>M</w:t>
      </w:r>
      <w:r w:rsidRPr="006102E9">
        <w:rPr>
          <w:rFonts w:ascii="Georgia" w:hAnsi="Georgia" w:cs="Courier New"/>
          <w:color w:val="000000"/>
          <w:sz w:val="24"/>
        </w:rPr>
        <w:t>edicine</w:t>
      </w: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University of Cincinnati Department of Environmental Health</w:t>
      </w: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Kettering Laboratory</w:t>
      </w: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3223 Eden Ave</w:t>
      </w: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Cincinnati, OH 45267</w:t>
      </w: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r>
      <w:r w:rsidRPr="006102E9">
        <w:rPr>
          <w:rFonts w:ascii="Georgia" w:hAnsi="Georgia" w:cs="Courier New"/>
          <w:color w:val="000000"/>
          <w:sz w:val="24"/>
        </w:rPr>
        <w:t>513</w:t>
      </w:r>
      <w:r>
        <w:rPr>
          <w:rFonts w:ascii="Georgia" w:hAnsi="Georgia" w:cs="Courier New"/>
          <w:color w:val="000000"/>
          <w:sz w:val="24"/>
        </w:rPr>
        <w:t>.</w:t>
      </w:r>
      <w:r w:rsidRPr="006102E9">
        <w:rPr>
          <w:rFonts w:ascii="Georgia" w:hAnsi="Georgia" w:cs="Courier New"/>
          <w:color w:val="000000"/>
          <w:sz w:val="24"/>
        </w:rPr>
        <w:t>558</w:t>
      </w:r>
      <w:r>
        <w:rPr>
          <w:rFonts w:ascii="Georgia" w:hAnsi="Georgia" w:cs="Courier New"/>
          <w:color w:val="000000"/>
          <w:sz w:val="24"/>
        </w:rPr>
        <w:t>.</w:t>
      </w:r>
      <w:r w:rsidRPr="006102E9">
        <w:rPr>
          <w:rFonts w:ascii="Georgia" w:hAnsi="Georgia" w:cs="Courier New"/>
          <w:color w:val="000000"/>
          <w:sz w:val="24"/>
        </w:rPr>
        <w:t>0030</w:t>
      </w: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r>
      <w:hyperlink r:id="rId12" w:history="1">
        <w:r w:rsidRPr="00513747">
          <w:rPr>
            <w:rStyle w:val="Hyperlink"/>
            <w:rFonts w:ascii="Georgia" w:hAnsi="Georgia" w:cs="Courier New"/>
            <w:sz w:val="24"/>
          </w:rPr>
          <w:t>lockeyje@ucmail.uc.edu</w:t>
        </w:r>
      </w:hyperlink>
    </w:p>
    <w:p w:rsidR="0016457A" w:rsidRDefault="0016457A" w:rsidP="0016457A">
      <w:pPr>
        <w:autoSpaceDE w:val="0"/>
        <w:autoSpaceDN w:val="0"/>
        <w:adjustRightInd w:val="0"/>
        <w:spacing w:after="0" w:line="240" w:lineRule="auto"/>
        <w:rPr>
          <w:rFonts w:ascii="Georgia" w:hAnsi="Georgia" w:cs="Courier New"/>
          <w:color w:val="000000"/>
          <w:sz w:val="24"/>
        </w:rPr>
      </w:pP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(3)</w:t>
      </w:r>
      <w:r>
        <w:rPr>
          <w:rFonts w:ascii="Georgia" w:hAnsi="Georgia" w:cs="Courier New"/>
          <w:color w:val="000000"/>
          <w:sz w:val="24"/>
        </w:rPr>
        <w:tab/>
        <w:t>Thomas M. Peters, PhD, MS, CIH</w:t>
      </w: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Associate Professor</w:t>
      </w: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University of Iowa School of Public Health</w:t>
      </w: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Department of Occupational and Environmental Health</w:t>
      </w:r>
    </w:p>
    <w:p w:rsidR="0016457A" w:rsidRDefault="0016457A" w:rsidP="0016457A">
      <w:pPr>
        <w:autoSpaceDE w:val="0"/>
        <w:autoSpaceDN w:val="0"/>
        <w:adjustRightInd w:val="0"/>
        <w:spacing w:after="0" w:line="240" w:lineRule="auto"/>
        <w:ind w:firstLine="720"/>
        <w:rPr>
          <w:rFonts w:ascii="Georgia" w:hAnsi="Georgia" w:cs="Courier New"/>
          <w:color w:val="000000"/>
          <w:sz w:val="24"/>
        </w:rPr>
      </w:pPr>
      <w:r>
        <w:rPr>
          <w:rFonts w:ascii="Georgia" w:hAnsi="Georgia" w:cs="Courier New"/>
          <w:color w:val="000000"/>
          <w:sz w:val="24"/>
        </w:rPr>
        <w:t>CPHB S331</w:t>
      </w:r>
    </w:p>
    <w:p w:rsidR="0016457A" w:rsidRPr="00A735F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r>
      <w:r w:rsidRPr="00A735FA">
        <w:rPr>
          <w:rFonts w:ascii="Georgia" w:hAnsi="Georgia" w:cs="Courier New"/>
          <w:color w:val="000000"/>
          <w:sz w:val="24"/>
        </w:rPr>
        <w:t>105 River Street</w:t>
      </w:r>
    </w:p>
    <w:p w:rsidR="0016457A" w:rsidRDefault="0016457A" w:rsidP="0016457A">
      <w:pPr>
        <w:autoSpaceDE w:val="0"/>
        <w:autoSpaceDN w:val="0"/>
        <w:adjustRightInd w:val="0"/>
        <w:spacing w:after="0" w:line="240" w:lineRule="auto"/>
        <w:ind w:firstLine="720"/>
        <w:rPr>
          <w:rFonts w:ascii="Georgia" w:hAnsi="Georgia" w:cs="Courier New"/>
          <w:color w:val="000000"/>
          <w:sz w:val="24"/>
        </w:rPr>
      </w:pPr>
      <w:r w:rsidRPr="00A735FA">
        <w:rPr>
          <w:rFonts w:ascii="Georgia" w:hAnsi="Georgia" w:cs="Courier New"/>
          <w:color w:val="000000"/>
          <w:sz w:val="24"/>
        </w:rPr>
        <w:t>Iowa City, IA 52242</w:t>
      </w:r>
    </w:p>
    <w:p w:rsidR="0016457A" w:rsidRDefault="0016457A" w:rsidP="0016457A">
      <w:pPr>
        <w:autoSpaceDE w:val="0"/>
        <w:autoSpaceDN w:val="0"/>
        <w:adjustRightInd w:val="0"/>
        <w:spacing w:after="0" w:line="240" w:lineRule="auto"/>
        <w:ind w:firstLine="720"/>
        <w:rPr>
          <w:rFonts w:ascii="Georgia" w:hAnsi="Georgia" w:cs="Courier New"/>
          <w:color w:val="000000"/>
          <w:sz w:val="24"/>
        </w:rPr>
      </w:pPr>
      <w:r>
        <w:rPr>
          <w:rFonts w:ascii="Georgia" w:hAnsi="Georgia" w:cs="Courier New"/>
          <w:color w:val="000000"/>
          <w:sz w:val="24"/>
        </w:rPr>
        <w:t>319.335.4436</w:t>
      </w:r>
    </w:p>
    <w:p w:rsidR="0016457A" w:rsidRDefault="0016457A" w:rsidP="0016457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Thomas-m-peters@uiowa.edu</w:t>
      </w:r>
    </w:p>
    <w:p w:rsidR="006A725B" w:rsidRDefault="006A725B" w:rsidP="007F2A39">
      <w:pPr>
        <w:autoSpaceDE w:val="0"/>
        <w:autoSpaceDN w:val="0"/>
        <w:adjustRightInd w:val="0"/>
        <w:spacing w:after="100" w:afterAutospacing="1" w:line="360" w:lineRule="auto"/>
        <w:ind w:left="720" w:hanging="720"/>
        <w:rPr>
          <w:rFonts w:ascii="Georgia" w:hAnsi="Georgia"/>
          <w:sz w:val="24"/>
          <w:szCs w:val="24"/>
        </w:rPr>
      </w:pPr>
    </w:p>
    <w:p w:rsidR="0016457A" w:rsidRPr="00B708B1" w:rsidRDefault="006A725B" w:rsidP="006A725B">
      <w:pPr>
        <w:autoSpaceDE w:val="0"/>
        <w:autoSpaceDN w:val="0"/>
        <w:adjustRightInd w:val="0"/>
        <w:spacing w:after="100" w:afterAutospacing="1" w:line="360" w:lineRule="auto"/>
        <w:rPr>
          <w:rFonts w:ascii="Georgia" w:hAnsi="Georgia"/>
          <w:sz w:val="24"/>
          <w:szCs w:val="24"/>
        </w:rPr>
      </w:pPr>
      <w:r>
        <w:rPr>
          <w:rFonts w:ascii="Georgia" w:hAnsi="Georgia"/>
          <w:sz w:val="24"/>
          <w:szCs w:val="24"/>
        </w:rPr>
        <w:t xml:space="preserve">Comments received by all these reviewers led to changes that were incorporated into the protocol. </w:t>
      </w:r>
      <w:r w:rsidR="00D22C64">
        <w:rPr>
          <w:rFonts w:ascii="Georgia" w:hAnsi="Georgia"/>
          <w:sz w:val="24"/>
          <w:szCs w:val="24"/>
        </w:rPr>
        <w:t xml:space="preserve">The data will be collected by NIOSH personnel, including Mary Schubauer-Berigan, PhD (Principle Investigator, CAPI data), Matthew Dahm, MPH (Co-Principle Investigator, exposure data), Douglas Evans, PhD (Co-Investigator, exposure data), Marie de </w:t>
      </w:r>
      <w:proofErr w:type="spellStart"/>
      <w:r w:rsidR="00D22C64">
        <w:rPr>
          <w:rFonts w:ascii="Georgia" w:hAnsi="Georgia"/>
          <w:sz w:val="24"/>
          <w:szCs w:val="24"/>
        </w:rPr>
        <w:t>Perio</w:t>
      </w:r>
      <w:proofErr w:type="spellEnd"/>
      <w:r w:rsidR="00D22C64">
        <w:rPr>
          <w:rFonts w:ascii="Georgia" w:hAnsi="Georgia"/>
          <w:sz w:val="24"/>
          <w:szCs w:val="24"/>
        </w:rPr>
        <w:t xml:space="preserve">, MD and Douglas Trout, MD (NIOSH physicians, medical data), and technicians from NIOSH’s Division of Applied Research and Technology (spirometry and biospecimens). All data will be </w:t>
      </w:r>
      <w:r w:rsidR="002A1363">
        <w:rPr>
          <w:rFonts w:ascii="Georgia" w:hAnsi="Georgia"/>
          <w:sz w:val="24"/>
          <w:szCs w:val="24"/>
        </w:rPr>
        <w:t xml:space="preserve">statistically </w:t>
      </w:r>
      <w:r w:rsidR="00D22C64">
        <w:rPr>
          <w:rFonts w:ascii="Georgia" w:hAnsi="Georgia"/>
          <w:sz w:val="24"/>
          <w:szCs w:val="24"/>
        </w:rPr>
        <w:t xml:space="preserve">analyzed by the NIOSH employees listed above and by a NIOSH statistician (James Deddens, PhD). </w:t>
      </w:r>
    </w:p>
    <w:p w:rsidR="00CA796D" w:rsidRPr="008C0E29" w:rsidRDefault="00CA796D" w:rsidP="00F01A51">
      <w:pPr>
        <w:rPr>
          <w:sz w:val="24"/>
          <w:szCs w:val="24"/>
        </w:rPr>
      </w:pPr>
    </w:p>
    <w:sectPr w:rsidR="00CA796D" w:rsidRPr="008C0E29" w:rsidSect="000C42C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06C" w:rsidRDefault="0060106C" w:rsidP="000C42C7">
      <w:pPr>
        <w:spacing w:after="0" w:line="240" w:lineRule="auto"/>
      </w:pPr>
      <w:r>
        <w:separator/>
      </w:r>
    </w:p>
  </w:endnote>
  <w:endnote w:type="continuationSeparator" w:id="0">
    <w:p w:rsidR="0060106C" w:rsidRDefault="0060106C" w:rsidP="000C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884160"/>
      <w:docPartObj>
        <w:docPartGallery w:val="Page Numbers (Bottom of Page)"/>
        <w:docPartUnique/>
      </w:docPartObj>
    </w:sdtPr>
    <w:sdtEndPr>
      <w:rPr>
        <w:noProof/>
      </w:rPr>
    </w:sdtEndPr>
    <w:sdtContent>
      <w:p w:rsidR="0060106C" w:rsidRDefault="0060106C">
        <w:pPr>
          <w:pStyle w:val="Footer"/>
          <w:jc w:val="center"/>
        </w:pPr>
        <w:r>
          <w:fldChar w:fldCharType="begin"/>
        </w:r>
        <w:r>
          <w:instrText xml:space="preserve"> PAGE   \* MERGEFORMAT </w:instrText>
        </w:r>
        <w:r>
          <w:fldChar w:fldCharType="separate"/>
        </w:r>
        <w:r w:rsidR="000E662A">
          <w:rPr>
            <w:noProof/>
          </w:rPr>
          <w:t>6</w:t>
        </w:r>
        <w:r>
          <w:rPr>
            <w:noProof/>
          </w:rPr>
          <w:fldChar w:fldCharType="end"/>
        </w:r>
      </w:p>
    </w:sdtContent>
  </w:sdt>
  <w:p w:rsidR="0060106C" w:rsidRDefault="00601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06C" w:rsidRDefault="0060106C" w:rsidP="000C42C7">
      <w:pPr>
        <w:spacing w:after="0" w:line="240" w:lineRule="auto"/>
      </w:pPr>
      <w:r>
        <w:separator/>
      </w:r>
    </w:p>
  </w:footnote>
  <w:footnote w:type="continuationSeparator" w:id="0">
    <w:p w:rsidR="0060106C" w:rsidRDefault="0060106C" w:rsidP="000C42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6B75"/>
    <w:multiLevelType w:val="hybridMultilevel"/>
    <w:tmpl w:val="54721A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7F7DC2"/>
    <w:multiLevelType w:val="hybridMultilevel"/>
    <w:tmpl w:val="BD6EC2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2128464B"/>
    <w:multiLevelType w:val="hybridMultilevel"/>
    <w:tmpl w:val="A990A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02BA3"/>
    <w:multiLevelType w:val="hybridMultilevel"/>
    <w:tmpl w:val="3070A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F6E23"/>
    <w:multiLevelType w:val="hybridMultilevel"/>
    <w:tmpl w:val="076C0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4211AC"/>
    <w:multiLevelType w:val="hybridMultilevel"/>
    <w:tmpl w:val="8D8A7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29"/>
    <w:rsid w:val="00034953"/>
    <w:rsid w:val="000437D1"/>
    <w:rsid w:val="00047B2E"/>
    <w:rsid w:val="00081597"/>
    <w:rsid w:val="00083F07"/>
    <w:rsid w:val="000941A7"/>
    <w:rsid w:val="00097018"/>
    <w:rsid w:val="000B02FD"/>
    <w:rsid w:val="000B0952"/>
    <w:rsid w:val="000B209B"/>
    <w:rsid w:val="000C1517"/>
    <w:rsid w:val="000C42C7"/>
    <w:rsid w:val="000D0A0D"/>
    <w:rsid w:val="000D2E5F"/>
    <w:rsid w:val="000D38E9"/>
    <w:rsid w:val="000E09CB"/>
    <w:rsid w:val="000E662A"/>
    <w:rsid w:val="000F23A3"/>
    <w:rsid w:val="00115B95"/>
    <w:rsid w:val="001244EE"/>
    <w:rsid w:val="001556E2"/>
    <w:rsid w:val="00164532"/>
    <w:rsid w:val="0016457A"/>
    <w:rsid w:val="00165A9D"/>
    <w:rsid w:val="001752EB"/>
    <w:rsid w:val="00181305"/>
    <w:rsid w:val="001862DA"/>
    <w:rsid w:val="001871CD"/>
    <w:rsid w:val="001910E3"/>
    <w:rsid w:val="001925AA"/>
    <w:rsid w:val="001B09D1"/>
    <w:rsid w:val="001C7CF6"/>
    <w:rsid w:val="001D0EAD"/>
    <w:rsid w:val="001F5722"/>
    <w:rsid w:val="001F79F9"/>
    <w:rsid w:val="00202C3D"/>
    <w:rsid w:val="002151DB"/>
    <w:rsid w:val="00252E6D"/>
    <w:rsid w:val="00263353"/>
    <w:rsid w:val="00265268"/>
    <w:rsid w:val="0029322E"/>
    <w:rsid w:val="00293C5A"/>
    <w:rsid w:val="002A1363"/>
    <w:rsid w:val="002A3049"/>
    <w:rsid w:val="002A6085"/>
    <w:rsid w:val="002A6C22"/>
    <w:rsid w:val="002C0F8D"/>
    <w:rsid w:val="002C4664"/>
    <w:rsid w:val="002C779A"/>
    <w:rsid w:val="002D5924"/>
    <w:rsid w:val="002E1823"/>
    <w:rsid w:val="002E7482"/>
    <w:rsid w:val="002F1B92"/>
    <w:rsid w:val="002F61F4"/>
    <w:rsid w:val="00310583"/>
    <w:rsid w:val="00312A46"/>
    <w:rsid w:val="00315DCD"/>
    <w:rsid w:val="003201F3"/>
    <w:rsid w:val="0032255D"/>
    <w:rsid w:val="00326204"/>
    <w:rsid w:val="00332F97"/>
    <w:rsid w:val="00333F83"/>
    <w:rsid w:val="00336884"/>
    <w:rsid w:val="00342A58"/>
    <w:rsid w:val="003463C9"/>
    <w:rsid w:val="00346955"/>
    <w:rsid w:val="00346DA9"/>
    <w:rsid w:val="003667C2"/>
    <w:rsid w:val="00380A71"/>
    <w:rsid w:val="00383FF6"/>
    <w:rsid w:val="0039574E"/>
    <w:rsid w:val="003A0D72"/>
    <w:rsid w:val="003A23FD"/>
    <w:rsid w:val="003A71AB"/>
    <w:rsid w:val="003C2808"/>
    <w:rsid w:val="003C4F16"/>
    <w:rsid w:val="003D5B57"/>
    <w:rsid w:val="003D5D40"/>
    <w:rsid w:val="003F2C82"/>
    <w:rsid w:val="004102D5"/>
    <w:rsid w:val="004156C0"/>
    <w:rsid w:val="00427616"/>
    <w:rsid w:val="00435DB7"/>
    <w:rsid w:val="004374F9"/>
    <w:rsid w:val="004935DD"/>
    <w:rsid w:val="00493F17"/>
    <w:rsid w:val="004959FD"/>
    <w:rsid w:val="004A0A9C"/>
    <w:rsid w:val="004A1F07"/>
    <w:rsid w:val="004A492E"/>
    <w:rsid w:val="004A69AE"/>
    <w:rsid w:val="004B698E"/>
    <w:rsid w:val="004C1351"/>
    <w:rsid w:val="004C4D7B"/>
    <w:rsid w:val="004C5F20"/>
    <w:rsid w:val="004C77CB"/>
    <w:rsid w:val="004D059A"/>
    <w:rsid w:val="004D457B"/>
    <w:rsid w:val="004D58A6"/>
    <w:rsid w:val="004E3FFC"/>
    <w:rsid w:val="005009A1"/>
    <w:rsid w:val="00505E95"/>
    <w:rsid w:val="005147F7"/>
    <w:rsid w:val="00516E13"/>
    <w:rsid w:val="0053386B"/>
    <w:rsid w:val="005427D3"/>
    <w:rsid w:val="005528CF"/>
    <w:rsid w:val="00575411"/>
    <w:rsid w:val="00583352"/>
    <w:rsid w:val="005851AC"/>
    <w:rsid w:val="005A103D"/>
    <w:rsid w:val="005B47D3"/>
    <w:rsid w:val="005C345B"/>
    <w:rsid w:val="005D099F"/>
    <w:rsid w:val="005D77CA"/>
    <w:rsid w:val="005E2B11"/>
    <w:rsid w:val="005E5209"/>
    <w:rsid w:val="005F4336"/>
    <w:rsid w:val="005F7354"/>
    <w:rsid w:val="0060106C"/>
    <w:rsid w:val="006102E9"/>
    <w:rsid w:val="00613488"/>
    <w:rsid w:val="006173C4"/>
    <w:rsid w:val="00622305"/>
    <w:rsid w:val="00626AC2"/>
    <w:rsid w:val="006408EB"/>
    <w:rsid w:val="00661538"/>
    <w:rsid w:val="0068706F"/>
    <w:rsid w:val="00697A8A"/>
    <w:rsid w:val="006A16CC"/>
    <w:rsid w:val="006A3E4D"/>
    <w:rsid w:val="006A725B"/>
    <w:rsid w:val="006A7883"/>
    <w:rsid w:val="006B2903"/>
    <w:rsid w:val="006C3489"/>
    <w:rsid w:val="006C7039"/>
    <w:rsid w:val="006D4739"/>
    <w:rsid w:val="006D61AF"/>
    <w:rsid w:val="006E1E57"/>
    <w:rsid w:val="006E7A13"/>
    <w:rsid w:val="006F45D6"/>
    <w:rsid w:val="00707335"/>
    <w:rsid w:val="007079C7"/>
    <w:rsid w:val="0071602A"/>
    <w:rsid w:val="007319F5"/>
    <w:rsid w:val="007448E0"/>
    <w:rsid w:val="00760283"/>
    <w:rsid w:val="00764F2B"/>
    <w:rsid w:val="0076686B"/>
    <w:rsid w:val="0077314A"/>
    <w:rsid w:val="00785480"/>
    <w:rsid w:val="007879E1"/>
    <w:rsid w:val="007A4BEF"/>
    <w:rsid w:val="007B1AD3"/>
    <w:rsid w:val="007B6C9E"/>
    <w:rsid w:val="007C30FC"/>
    <w:rsid w:val="007D25FC"/>
    <w:rsid w:val="007E0837"/>
    <w:rsid w:val="007F2A39"/>
    <w:rsid w:val="007F75B8"/>
    <w:rsid w:val="00802F56"/>
    <w:rsid w:val="00804DA4"/>
    <w:rsid w:val="008346A9"/>
    <w:rsid w:val="008446CE"/>
    <w:rsid w:val="00845B94"/>
    <w:rsid w:val="00850BAD"/>
    <w:rsid w:val="00875726"/>
    <w:rsid w:val="008851F5"/>
    <w:rsid w:val="0089450E"/>
    <w:rsid w:val="008C0E29"/>
    <w:rsid w:val="008D4E53"/>
    <w:rsid w:val="008F1C2F"/>
    <w:rsid w:val="00920C7A"/>
    <w:rsid w:val="0092243A"/>
    <w:rsid w:val="0094268A"/>
    <w:rsid w:val="00945F28"/>
    <w:rsid w:val="00947CA0"/>
    <w:rsid w:val="0095375D"/>
    <w:rsid w:val="00960B93"/>
    <w:rsid w:val="00965EDF"/>
    <w:rsid w:val="00972163"/>
    <w:rsid w:val="009972A6"/>
    <w:rsid w:val="009C319B"/>
    <w:rsid w:val="009D107C"/>
    <w:rsid w:val="009E0E4A"/>
    <w:rsid w:val="009F772E"/>
    <w:rsid w:val="00A02DD3"/>
    <w:rsid w:val="00A10519"/>
    <w:rsid w:val="00A343C0"/>
    <w:rsid w:val="00A36036"/>
    <w:rsid w:val="00A41A98"/>
    <w:rsid w:val="00A735FA"/>
    <w:rsid w:val="00A81D85"/>
    <w:rsid w:val="00A83EC1"/>
    <w:rsid w:val="00A912A7"/>
    <w:rsid w:val="00AA6E95"/>
    <w:rsid w:val="00AB6795"/>
    <w:rsid w:val="00AD1807"/>
    <w:rsid w:val="00AD607D"/>
    <w:rsid w:val="00AE06A4"/>
    <w:rsid w:val="00AF1E97"/>
    <w:rsid w:val="00AF4F9C"/>
    <w:rsid w:val="00B06FF6"/>
    <w:rsid w:val="00B24BE5"/>
    <w:rsid w:val="00B326FE"/>
    <w:rsid w:val="00B34AEA"/>
    <w:rsid w:val="00B5536E"/>
    <w:rsid w:val="00B62BD4"/>
    <w:rsid w:val="00B708B1"/>
    <w:rsid w:val="00BA56F9"/>
    <w:rsid w:val="00BC4D74"/>
    <w:rsid w:val="00BD65C4"/>
    <w:rsid w:val="00BE19DA"/>
    <w:rsid w:val="00BE67EE"/>
    <w:rsid w:val="00BE6ECF"/>
    <w:rsid w:val="00BF1B31"/>
    <w:rsid w:val="00C03F75"/>
    <w:rsid w:val="00C05993"/>
    <w:rsid w:val="00C30012"/>
    <w:rsid w:val="00C34B42"/>
    <w:rsid w:val="00C4538A"/>
    <w:rsid w:val="00C46F45"/>
    <w:rsid w:val="00C75610"/>
    <w:rsid w:val="00C96754"/>
    <w:rsid w:val="00CA23F3"/>
    <w:rsid w:val="00CA796D"/>
    <w:rsid w:val="00CB01F0"/>
    <w:rsid w:val="00CD62F6"/>
    <w:rsid w:val="00CF177F"/>
    <w:rsid w:val="00CF75D4"/>
    <w:rsid w:val="00D04D1E"/>
    <w:rsid w:val="00D10F08"/>
    <w:rsid w:val="00D138E3"/>
    <w:rsid w:val="00D15E06"/>
    <w:rsid w:val="00D20426"/>
    <w:rsid w:val="00D22C64"/>
    <w:rsid w:val="00D258F4"/>
    <w:rsid w:val="00D25AE7"/>
    <w:rsid w:val="00D31374"/>
    <w:rsid w:val="00D43975"/>
    <w:rsid w:val="00D62C2C"/>
    <w:rsid w:val="00D64C5B"/>
    <w:rsid w:val="00D829D4"/>
    <w:rsid w:val="00D963BF"/>
    <w:rsid w:val="00DA1226"/>
    <w:rsid w:val="00DA2DB1"/>
    <w:rsid w:val="00DB7F61"/>
    <w:rsid w:val="00DC2765"/>
    <w:rsid w:val="00DC2A4C"/>
    <w:rsid w:val="00DE0321"/>
    <w:rsid w:val="00DE1AE3"/>
    <w:rsid w:val="00DE6EA7"/>
    <w:rsid w:val="00DF4D93"/>
    <w:rsid w:val="00DF5904"/>
    <w:rsid w:val="00E0014D"/>
    <w:rsid w:val="00E06DD2"/>
    <w:rsid w:val="00E3106D"/>
    <w:rsid w:val="00E31B87"/>
    <w:rsid w:val="00E321F3"/>
    <w:rsid w:val="00E33F41"/>
    <w:rsid w:val="00E36BC6"/>
    <w:rsid w:val="00E44C02"/>
    <w:rsid w:val="00E613C1"/>
    <w:rsid w:val="00E74099"/>
    <w:rsid w:val="00E803F2"/>
    <w:rsid w:val="00E810F5"/>
    <w:rsid w:val="00EA36A5"/>
    <w:rsid w:val="00EB11D9"/>
    <w:rsid w:val="00EB5AF1"/>
    <w:rsid w:val="00EC247A"/>
    <w:rsid w:val="00EC5586"/>
    <w:rsid w:val="00EC68B5"/>
    <w:rsid w:val="00ED0EDC"/>
    <w:rsid w:val="00ED3E7B"/>
    <w:rsid w:val="00ED4222"/>
    <w:rsid w:val="00ED5618"/>
    <w:rsid w:val="00ED5AE1"/>
    <w:rsid w:val="00F01A51"/>
    <w:rsid w:val="00F07BDB"/>
    <w:rsid w:val="00F12AC1"/>
    <w:rsid w:val="00F37A53"/>
    <w:rsid w:val="00F73D99"/>
    <w:rsid w:val="00F9040B"/>
    <w:rsid w:val="00FA1649"/>
    <w:rsid w:val="00FA6215"/>
    <w:rsid w:val="00FB3D7C"/>
    <w:rsid w:val="00FE09EC"/>
    <w:rsid w:val="00FE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1B92"/>
    <w:pPr>
      <w:outlineLvl w:val="0"/>
    </w:pPr>
    <w:rPr>
      <w:rFonts w:ascii="Georgia" w:hAnsi="Georgia"/>
    </w:rPr>
  </w:style>
  <w:style w:type="paragraph" w:styleId="Heading2">
    <w:name w:val="heading 2"/>
    <w:basedOn w:val="Heading1"/>
    <w:next w:val="Normal"/>
    <w:link w:val="Heading2Char"/>
    <w:uiPriority w:val="9"/>
    <w:unhideWhenUsed/>
    <w:qFormat/>
    <w:rsid w:val="00E321F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02A"/>
    <w:rPr>
      <w:color w:val="0000FF" w:themeColor="hyperlink"/>
      <w:u w:val="single"/>
    </w:rPr>
  </w:style>
  <w:style w:type="table" w:styleId="TableGrid">
    <w:name w:val="Table Grid"/>
    <w:basedOn w:val="TableNormal"/>
    <w:uiPriority w:val="59"/>
    <w:rsid w:val="00533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19B"/>
    <w:pPr>
      <w:ind w:left="720"/>
      <w:contextualSpacing/>
    </w:pPr>
  </w:style>
  <w:style w:type="paragraph" w:styleId="Header">
    <w:name w:val="header"/>
    <w:basedOn w:val="Normal"/>
    <w:link w:val="HeaderChar"/>
    <w:uiPriority w:val="99"/>
    <w:unhideWhenUsed/>
    <w:rsid w:val="000C4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2C7"/>
  </w:style>
  <w:style w:type="paragraph" w:styleId="Footer">
    <w:name w:val="footer"/>
    <w:basedOn w:val="Normal"/>
    <w:link w:val="FooterChar"/>
    <w:uiPriority w:val="99"/>
    <w:unhideWhenUsed/>
    <w:rsid w:val="000C4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2C7"/>
  </w:style>
  <w:style w:type="paragraph" w:styleId="BalloonText">
    <w:name w:val="Balloon Text"/>
    <w:basedOn w:val="Normal"/>
    <w:link w:val="BalloonTextChar"/>
    <w:uiPriority w:val="99"/>
    <w:semiHidden/>
    <w:unhideWhenUsed/>
    <w:rsid w:val="00BE6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EE"/>
    <w:rPr>
      <w:rFonts w:ascii="Tahoma" w:hAnsi="Tahoma" w:cs="Tahoma"/>
      <w:sz w:val="16"/>
      <w:szCs w:val="16"/>
    </w:rPr>
  </w:style>
  <w:style w:type="character" w:styleId="CommentReference">
    <w:name w:val="annotation reference"/>
    <w:basedOn w:val="DefaultParagraphFont"/>
    <w:uiPriority w:val="99"/>
    <w:semiHidden/>
    <w:unhideWhenUsed/>
    <w:rsid w:val="00AE06A4"/>
    <w:rPr>
      <w:sz w:val="16"/>
      <w:szCs w:val="16"/>
    </w:rPr>
  </w:style>
  <w:style w:type="paragraph" w:styleId="CommentText">
    <w:name w:val="annotation text"/>
    <w:basedOn w:val="Normal"/>
    <w:link w:val="CommentTextChar"/>
    <w:uiPriority w:val="99"/>
    <w:semiHidden/>
    <w:unhideWhenUsed/>
    <w:rsid w:val="00AE06A4"/>
    <w:pPr>
      <w:spacing w:line="240" w:lineRule="auto"/>
    </w:pPr>
    <w:rPr>
      <w:sz w:val="20"/>
      <w:szCs w:val="20"/>
    </w:rPr>
  </w:style>
  <w:style w:type="character" w:customStyle="1" w:styleId="CommentTextChar">
    <w:name w:val="Comment Text Char"/>
    <w:basedOn w:val="DefaultParagraphFont"/>
    <w:link w:val="CommentText"/>
    <w:uiPriority w:val="99"/>
    <w:semiHidden/>
    <w:rsid w:val="00AE06A4"/>
    <w:rPr>
      <w:sz w:val="20"/>
      <w:szCs w:val="20"/>
    </w:rPr>
  </w:style>
  <w:style w:type="paragraph" w:styleId="CommentSubject">
    <w:name w:val="annotation subject"/>
    <w:basedOn w:val="CommentText"/>
    <w:next w:val="CommentText"/>
    <w:link w:val="CommentSubjectChar"/>
    <w:uiPriority w:val="99"/>
    <w:semiHidden/>
    <w:unhideWhenUsed/>
    <w:rsid w:val="00AE06A4"/>
    <w:rPr>
      <w:b/>
      <w:bCs/>
    </w:rPr>
  </w:style>
  <w:style w:type="character" w:customStyle="1" w:styleId="CommentSubjectChar">
    <w:name w:val="Comment Subject Char"/>
    <w:basedOn w:val="CommentTextChar"/>
    <w:link w:val="CommentSubject"/>
    <w:uiPriority w:val="99"/>
    <w:semiHidden/>
    <w:rsid w:val="00AE06A4"/>
    <w:rPr>
      <w:b/>
      <w:bCs/>
      <w:sz w:val="20"/>
      <w:szCs w:val="20"/>
    </w:rPr>
  </w:style>
  <w:style w:type="paragraph" w:customStyle="1" w:styleId="TableTitle">
    <w:name w:val="Table Title"/>
    <w:basedOn w:val="Normal"/>
    <w:rsid w:val="00034953"/>
    <w:pPr>
      <w:keepNext/>
      <w:keepLines/>
      <w:spacing w:before="320" w:after="120" w:line="240" w:lineRule="auto"/>
      <w:ind w:left="1440" w:hanging="1440"/>
    </w:pPr>
    <w:rPr>
      <w:rFonts w:ascii="Verdana" w:eastAsia="MS Mincho" w:hAnsi="Verdana" w:cs="Times New Roman"/>
      <w:b/>
      <w:sz w:val="20"/>
      <w:szCs w:val="20"/>
    </w:rPr>
  </w:style>
  <w:style w:type="character" w:customStyle="1" w:styleId="Heading1Char">
    <w:name w:val="Heading 1 Char"/>
    <w:basedOn w:val="DefaultParagraphFont"/>
    <w:link w:val="Heading1"/>
    <w:uiPriority w:val="9"/>
    <w:rsid w:val="002F1B92"/>
    <w:rPr>
      <w:rFonts w:ascii="Georgia" w:hAnsi="Georgia"/>
    </w:rPr>
  </w:style>
  <w:style w:type="paragraph" w:styleId="TOC1">
    <w:name w:val="toc 1"/>
    <w:basedOn w:val="Normal"/>
    <w:next w:val="Normal"/>
    <w:autoRedefine/>
    <w:uiPriority w:val="39"/>
    <w:unhideWhenUsed/>
    <w:rsid w:val="0092243A"/>
    <w:pPr>
      <w:tabs>
        <w:tab w:val="right" w:leader="dot" w:pos="9350"/>
      </w:tabs>
      <w:spacing w:after="100"/>
      <w:ind w:left="1440" w:hanging="1170"/>
    </w:pPr>
  </w:style>
  <w:style w:type="character" w:customStyle="1" w:styleId="Heading2Char">
    <w:name w:val="Heading 2 Char"/>
    <w:basedOn w:val="DefaultParagraphFont"/>
    <w:link w:val="Heading2"/>
    <w:uiPriority w:val="9"/>
    <w:rsid w:val="00E321F3"/>
    <w:rPr>
      <w:rFonts w:ascii="Georgia" w:hAnsi="Georgia"/>
    </w:rPr>
  </w:style>
  <w:style w:type="paragraph" w:styleId="TOC2">
    <w:name w:val="toc 2"/>
    <w:basedOn w:val="Normal"/>
    <w:next w:val="Normal"/>
    <w:autoRedefine/>
    <w:uiPriority w:val="39"/>
    <w:unhideWhenUsed/>
    <w:rsid w:val="0092243A"/>
    <w:pPr>
      <w:tabs>
        <w:tab w:val="left" w:pos="1440"/>
        <w:tab w:val="left" w:pos="2250"/>
        <w:tab w:val="right" w:leader="dot" w:pos="9350"/>
      </w:tabs>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1B92"/>
    <w:pPr>
      <w:outlineLvl w:val="0"/>
    </w:pPr>
    <w:rPr>
      <w:rFonts w:ascii="Georgia" w:hAnsi="Georgia"/>
    </w:rPr>
  </w:style>
  <w:style w:type="paragraph" w:styleId="Heading2">
    <w:name w:val="heading 2"/>
    <w:basedOn w:val="Heading1"/>
    <w:next w:val="Normal"/>
    <w:link w:val="Heading2Char"/>
    <w:uiPriority w:val="9"/>
    <w:unhideWhenUsed/>
    <w:qFormat/>
    <w:rsid w:val="00E321F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02A"/>
    <w:rPr>
      <w:color w:val="0000FF" w:themeColor="hyperlink"/>
      <w:u w:val="single"/>
    </w:rPr>
  </w:style>
  <w:style w:type="table" w:styleId="TableGrid">
    <w:name w:val="Table Grid"/>
    <w:basedOn w:val="TableNormal"/>
    <w:uiPriority w:val="59"/>
    <w:rsid w:val="00533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19B"/>
    <w:pPr>
      <w:ind w:left="720"/>
      <w:contextualSpacing/>
    </w:pPr>
  </w:style>
  <w:style w:type="paragraph" w:styleId="Header">
    <w:name w:val="header"/>
    <w:basedOn w:val="Normal"/>
    <w:link w:val="HeaderChar"/>
    <w:uiPriority w:val="99"/>
    <w:unhideWhenUsed/>
    <w:rsid w:val="000C4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2C7"/>
  </w:style>
  <w:style w:type="paragraph" w:styleId="Footer">
    <w:name w:val="footer"/>
    <w:basedOn w:val="Normal"/>
    <w:link w:val="FooterChar"/>
    <w:uiPriority w:val="99"/>
    <w:unhideWhenUsed/>
    <w:rsid w:val="000C4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2C7"/>
  </w:style>
  <w:style w:type="paragraph" w:styleId="BalloonText">
    <w:name w:val="Balloon Text"/>
    <w:basedOn w:val="Normal"/>
    <w:link w:val="BalloonTextChar"/>
    <w:uiPriority w:val="99"/>
    <w:semiHidden/>
    <w:unhideWhenUsed/>
    <w:rsid w:val="00BE6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EE"/>
    <w:rPr>
      <w:rFonts w:ascii="Tahoma" w:hAnsi="Tahoma" w:cs="Tahoma"/>
      <w:sz w:val="16"/>
      <w:szCs w:val="16"/>
    </w:rPr>
  </w:style>
  <w:style w:type="character" w:styleId="CommentReference">
    <w:name w:val="annotation reference"/>
    <w:basedOn w:val="DefaultParagraphFont"/>
    <w:uiPriority w:val="99"/>
    <w:semiHidden/>
    <w:unhideWhenUsed/>
    <w:rsid w:val="00AE06A4"/>
    <w:rPr>
      <w:sz w:val="16"/>
      <w:szCs w:val="16"/>
    </w:rPr>
  </w:style>
  <w:style w:type="paragraph" w:styleId="CommentText">
    <w:name w:val="annotation text"/>
    <w:basedOn w:val="Normal"/>
    <w:link w:val="CommentTextChar"/>
    <w:uiPriority w:val="99"/>
    <w:semiHidden/>
    <w:unhideWhenUsed/>
    <w:rsid w:val="00AE06A4"/>
    <w:pPr>
      <w:spacing w:line="240" w:lineRule="auto"/>
    </w:pPr>
    <w:rPr>
      <w:sz w:val="20"/>
      <w:szCs w:val="20"/>
    </w:rPr>
  </w:style>
  <w:style w:type="character" w:customStyle="1" w:styleId="CommentTextChar">
    <w:name w:val="Comment Text Char"/>
    <w:basedOn w:val="DefaultParagraphFont"/>
    <w:link w:val="CommentText"/>
    <w:uiPriority w:val="99"/>
    <w:semiHidden/>
    <w:rsid w:val="00AE06A4"/>
    <w:rPr>
      <w:sz w:val="20"/>
      <w:szCs w:val="20"/>
    </w:rPr>
  </w:style>
  <w:style w:type="paragraph" w:styleId="CommentSubject">
    <w:name w:val="annotation subject"/>
    <w:basedOn w:val="CommentText"/>
    <w:next w:val="CommentText"/>
    <w:link w:val="CommentSubjectChar"/>
    <w:uiPriority w:val="99"/>
    <w:semiHidden/>
    <w:unhideWhenUsed/>
    <w:rsid w:val="00AE06A4"/>
    <w:rPr>
      <w:b/>
      <w:bCs/>
    </w:rPr>
  </w:style>
  <w:style w:type="character" w:customStyle="1" w:styleId="CommentSubjectChar">
    <w:name w:val="Comment Subject Char"/>
    <w:basedOn w:val="CommentTextChar"/>
    <w:link w:val="CommentSubject"/>
    <w:uiPriority w:val="99"/>
    <w:semiHidden/>
    <w:rsid w:val="00AE06A4"/>
    <w:rPr>
      <w:b/>
      <w:bCs/>
      <w:sz w:val="20"/>
      <w:szCs w:val="20"/>
    </w:rPr>
  </w:style>
  <w:style w:type="paragraph" w:customStyle="1" w:styleId="TableTitle">
    <w:name w:val="Table Title"/>
    <w:basedOn w:val="Normal"/>
    <w:rsid w:val="00034953"/>
    <w:pPr>
      <w:keepNext/>
      <w:keepLines/>
      <w:spacing w:before="320" w:after="120" w:line="240" w:lineRule="auto"/>
      <w:ind w:left="1440" w:hanging="1440"/>
    </w:pPr>
    <w:rPr>
      <w:rFonts w:ascii="Verdana" w:eastAsia="MS Mincho" w:hAnsi="Verdana" w:cs="Times New Roman"/>
      <w:b/>
      <w:sz w:val="20"/>
      <w:szCs w:val="20"/>
    </w:rPr>
  </w:style>
  <w:style w:type="character" w:customStyle="1" w:styleId="Heading1Char">
    <w:name w:val="Heading 1 Char"/>
    <w:basedOn w:val="DefaultParagraphFont"/>
    <w:link w:val="Heading1"/>
    <w:uiPriority w:val="9"/>
    <w:rsid w:val="002F1B92"/>
    <w:rPr>
      <w:rFonts w:ascii="Georgia" w:hAnsi="Georgia"/>
    </w:rPr>
  </w:style>
  <w:style w:type="paragraph" w:styleId="TOC1">
    <w:name w:val="toc 1"/>
    <w:basedOn w:val="Normal"/>
    <w:next w:val="Normal"/>
    <w:autoRedefine/>
    <w:uiPriority w:val="39"/>
    <w:unhideWhenUsed/>
    <w:rsid w:val="0092243A"/>
    <w:pPr>
      <w:tabs>
        <w:tab w:val="right" w:leader="dot" w:pos="9350"/>
      </w:tabs>
      <w:spacing w:after="100"/>
      <w:ind w:left="1440" w:hanging="1170"/>
    </w:pPr>
  </w:style>
  <w:style w:type="character" w:customStyle="1" w:styleId="Heading2Char">
    <w:name w:val="Heading 2 Char"/>
    <w:basedOn w:val="DefaultParagraphFont"/>
    <w:link w:val="Heading2"/>
    <w:uiPriority w:val="9"/>
    <w:rsid w:val="00E321F3"/>
    <w:rPr>
      <w:rFonts w:ascii="Georgia" w:hAnsi="Georgia"/>
    </w:rPr>
  </w:style>
  <w:style w:type="paragraph" w:styleId="TOC2">
    <w:name w:val="toc 2"/>
    <w:basedOn w:val="Normal"/>
    <w:next w:val="Normal"/>
    <w:autoRedefine/>
    <w:uiPriority w:val="39"/>
    <w:unhideWhenUsed/>
    <w:rsid w:val="0092243A"/>
    <w:pPr>
      <w:tabs>
        <w:tab w:val="left" w:pos="1440"/>
        <w:tab w:val="left" w:pos="2250"/>
        <w:tab w:val="right" w:leader="dot" w:pos="935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ockeyje@ucmail.u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brenner@albany.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Dahm@cdc.gov" TargetMode="External"/><Relationship Id="rId4" Type="http://schemas.microsoft.com/office/2007/relationships/stylesWithEffects" Target="stylesWithEffects.xml"/><Relationship Id="rId9" Type="http://schemas.openxmlformats.org/officeDocument/2006/relationships/hyperlink" Target="mailto:MSchubauer-Berigan@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23B3A-84CD-46EB-B38A-2DF9D541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 Roz (CDC/NIOSH/DSHEFS) (CTR)</dc:creator>
  <cp:lastModifiedBy>CDC User</cp:lastModifiedBy>
  <cp:revision>4</cp:revision>
  <cp:lastPrinted>2013-01-16T18:37:00Z</cp:lastPrinted>
  <dcterms:created xsi:type="dcterms:W3CDTF">2013-02-22T19:49:00Z</dcterms:created>
  <dcterms:modified xsi:type="dcterms:W3CDTF">2013-02-27T18:59:00Z</dcterms:modified>
</cp:coreProperties>
</file>