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1FF" w:rsidRPr="00435DB7" w:rsidRDefault="005941FF" w:rsidP="005941FF">
      <w:pPr>
        <w:spacing w:after="0" w:line="240" w:lineRule="auto"/>
        <w:jc w:val="center"/>
        <w:rPr>
          <w:rFonts w:ascii="Georgia" w:hAnsi="Georgia" w:cs="Times New Roman"/>
          <w:sz w:val="24"/>
          <w:szCs w:val="24"/>
        </w:rPr>
      </w:pPr>
      <w:r w:rsidRPr="001862DA">
        <w:rPr>
          <w:rFonts w:ascii="Georgia" w:hAnsi="Georgia" w:cs="Times New Roman"/>
          <w:sz w:val="24"/>
          <w:szCs w:val="24"/>
        </w:rPr>
        <w:t>Exposure Assessment and Epidemiological Study of U.S. Workers Exposed to Carbon Nanotubes and Carbon Nanofibers</w:t>
      </w:r>
    </w:p>
    <w:p w:rsidR="00435DB7" w:rsidRDefault="00435DB7" w:rsidP="00435DB7">
      <w:pPr>
        <w:spacing w:after="0" w:line="240" w:lineRule="auto"/>
        <w:jc w:val="center"/>
        <w:rPr>
          <w:rFonts w:ascii="Georgia" w:hAnsi="Georgia" w:cs="Times New Roman"/>
          <w:b/>
          <w:sz w:val="24"/>
          <w:szCs w:val="24"/>
        </w:rPr>
      </w:pPr>
    </w:p>
    <w:p w:rsidR="00435DB7" w:rsidRDefault="00435DB7" w:rsidP="00435DB7">
      <w:pPr>
        <w:spacing w:after="0" w:line="240" w:lineRule="auto"/>
        <w:jc w:val="center"/>
        <w:rPr>
          <w:rFonts w:ascii="Georgia" w:hAnsi="Georgia" w:cs="Times New Roman"/>
          <w:b/>
          <w:sz w:val="24"/>
          <w:szCs w:val="24"/>
        </w:rPr>
      </w:pPr>
    </w:p>
    <w:p w:rsidR="00435DB7" w:rsidRDefault="00435DB7" w:rsidP="00435DB7">
      <w:pPr>
        <w:spacing w:after="0" w:line="240" w:lineRule="auto"/>
        <w:jc w:val="center"/>
        <w:rPr>
          <w:rFonts w:ascii="Georgia" w:hAnsi="Georgia" w:cs="Times New Roman"/>
          <w:b/>
          <w:sz w:val="24"/>
          <w:szCs w:val="24"/>
        </w:rPr>
      </w:pPr>
    </w:p>
    <w:p w:rsidR="005941FF" w:rsidRDefault="00435DB7" w:rsidP="00435DB7">
      <w:pPr>
        <w:spacing w:after="0" w:line="240" w:lineRule="auto"/>
        <w:jc w:val="center"/>
        <w:rPr>
          <w:rFonts w:ascii="Georgia" w:hAnsi="Georgia" w:cs="Times New Roman"/>
          <w:sz w:val="24"/>
          <w:szCs w:val="24"/>
        </w:rPr>
      </w:pPr>
      <w:r w:rsidRPr="00435DB7">
        <w:rPr>
          <w:rFonts w:ascii="Georgia" w:hAnsi="Georgia" w:cs="Times New Roman"/>
          <w:sz w:val="24"/>
          <w:szCs w:val="24"/>
        </w:rPr>
        <w:t>Supporting Statement</w:t>
      </w:r>
      <w:r w:rsidR="00DB7F61">
        <w:rPr>
          <w:rFonts w:ascii="Georgia" w:hAnsi="Georgia" w:cs="Times New Roman"/>
          <w:sz w:val="24"/>
          <w:szCs w:val="24"/>
        </w:rPr>
        <w:t xml:space="preserve"> Section</w:t>
      </w:r>
      <w:r w:rsidRPr="00435DB7">
        <w:rPr>
          <w:rFonts w:ascii="Georgia" w:hAnsi="Georgia" w:cs="Times New Roman"/>
          <w:sz w:val="24"/>
          <w:szCs w:val="24"/>
        </w:rPr>
        <w:t xml:space="preserve"> A</w:t>
      </w:r>
    </w:p>
    <w:p w:rsidR="005941FF" w:rsidRDefault="005941FF" w:rsidP="00435DB7">
      <w:pPr>
        <w:spacing w:after="0" w:line="240" w:lineRule="auto"/>
        <w:jc w:val="center"/>
        <w:rPr>
          <w:rFonts w:ascii="Georgia" w:hAnsi="Georgia" w:cs="Times New Roman"/>
          <w:sz w:val="24"/>
          <w:szCs w:val="24"/>
        </w:rPr>
      </w:pPr>
    </w:p>
    <w:p w:rsidR="005941FF" w:rsidRDefault="005941FF" w:rsidP="00435DB7">
      <w:pPr>
        <w:spacing w:after="0" w:line="240" w:lineRule="auto"/>
        <w:jc w:val="center"/>
        <w:rPr>
          <w:rFonts w:ascii="Georgia" w:hAnsi="Georgia" w:cs="Times New Roman"/>
          <w:sz w:val="24"/>
          <w:szCs w:val="24"/>
        </w:rPr>
      </w:pPr>
      <w:r>
        <w:rPr>
          <w:rFonts w:ascii="Georgia" w:hAnsi="Georgia" w:cs="Times New Roman"/>
          <w:sz w:val="24"/>
          <w:szCs w:val="24"/>
        </w:rPr>
        <w:t>New</w:t>
      </w:r>
    </w:p>
    <w:p w:rsidR="00435DB7" w:rsidRPr="00435DB7" w:rsidRDefault="00435DB7" w:rsidP="00435DB7">
      <w:pPr>
        <w:spacing w:after="0" w:line="240" w:lineRule="auto"/>
        <w:jc w:val="center"/>
        <w:rPr>
          <w:rFonts w:ascii="Georgia" w:hAnsi="Georgia" w:cs="Times New Roman"/>
          <w:sz w:val="24"/>
          <w:szCs w:val="24"/>
        </w:rPr>
      </w:pPr>
    </w:p>
    <w:p w:rsidR="00265268" w:rsidRDefault="00265268" w:rsidP="00265268">
      <w:pPr>
        <w:spacing w:line="480" w:lineRule="auto"/>
      </w:pPr>
    </w:p>
    <w:p w:rsidR="00435DB7" w:rsidRPr="00435DB7" w:rsidRDefault="00435DB7" w:rsidP="00435DB7">
      <w:pPr>
        <w:spacing w:after="0" w:line="240" w:lineRule="auto"/>
        <w:jc w:val="center"/>
        <w:rPr>
          <w:rFonts w:ascii="Georgia" w:hAnsi="Georgia" w:cs="Times New Roman"/>
          <w:sz w:val="24"/>
          <w:szCs w:val="24"/>
        </w:rPr>
      </w:pPr>
    </w:p>
    <w:p w:rsidR="00435DB7" w:rsidRPr="00435DB7" w:rsidRDefault="00435DB7" w:rsidP="00435DB7">
      <w:pPr>
        <w:spacing w:after="0" w:line="240" w:lineRule="auto"/>
        <w:jc w:val="center"/>
        <w:rPr>
          <w:rFonts w:ascii="Georgia" w:hAnsi="Georgia" w:cs="Times New Roman"/>
          <w:sz w:val="24"/>
          <w:szCs w:val="24"/>
        </w:rPr>
      </w:pPr>
    </w:p>
    <w:p w:rsidR="00435DB7" w:rsidRPr="00435DB7" w:rsidRDefault="00435DB7" w:rsidP="00435DB7">
      <w:pPr>
        <w:spacing w:after="0" w:line="240" w:lineRule="auto"/>
        <w:jc w:val="center"/>
        <w:rPr>
          <w:rFonts w:ascii="Georgia" w:hAnsi="Georgia" w:cs="Times New Roman"/>
          <w:sz w:val="24"/>
          <w:szCs w:val="24"/>
        </w:rPr>
      </w:pPr>
    </w:p>
    <w:p w:rsidR="00435DB7" w:rsidRDefault="00435DB7" w:rsidP="00435DB7">
      <w:pPr>
        <w:spacing w:after="0" w:line="240" w:lineRule="auto"/>
        <w:jc w:val="center"/>
        <w:rPr>
          <w:rFonts w:ascii="Georgia" w:hAnsi="Georgia" w:cs="Times New Roman"/>
          <w:sz w:val="24"/>
          <w:szCs w:val="24"/>
        </w:rPr>
      </w:pPr>
      <w:r w:rsidRPr="00435DB7">
        <w:rPr>
          <w:rFonts w:ascii="Georgia" w:hAnsi="Georgia" w:cs="Times New Roman"/>
          <w:sz w:val="24"/>
          <w:szCs w:val="24"/>
        </w:rPr>
        <w:t>Request for Office of Mana</w:t>
      </w:r>
      <w:r>
        <w:rPr>
          <w:rFonts w:ascii="Georgia" w:hAnsi="Georgia" w:cs="Times New Roman"/>
          <w:sz w:val="24"/>
          <w:szCs w:val="24"/>
        </w:rPr>
        <w:t>g</w:t>
      </w:r>
      <w:r w:rsidRPr="00435DB7">
        <w:rPr>
          <w:rFonts w:ascii="Georgia" w:hAnsi="Georgia" w:cs="Times New Roman"/>
          <w:sz w:val="24"/>
          <w:szCs w:val="24"/>
        </w:rPr>
        <w:t>ement and</w:t>
      </w:r>
      <w:r>
        <w:rPr>
          <w:rFonts w:ascii="Georgia" w:hAnsi="Georgia" w:cs="Times New Roman"/>
          <w:sz w:val="24"/>
          <w:szCs w:val="24"/>
        </w:rPr>
        <w:t xml:space="preserve"> Budget (OMB) Review</w:t>
      </w:r>
    </w:p>
    <w:p w:rsidR="00435DB7" w:rsidRDefault="00435DB7" w:rsidP="00435DB7">
      <w:pPr>
        <w:spacing w:after="0" w:line="240" w:lineRule="auto"/>
        <w:jc w:val="center"/>
        <w:rPr>
          <w:rFonts w:ascii="Georgia" w:hAnsi="Georgia" w:cs="Times New Roman"/>
          <w:sz w:val="24"/>
          <w:szCs w:val="24"/>
        </w:rPr>
      </w:pPr>
      <w:r>
        <w:rPr>
          <w:rFonts w:ascii="Georgia" w:hAnsi="Georgia" w:cs="Times New Roman"/>
          <w:sz w:val="24"/>
          <w:szCs w:val="24"/>
        </w:rPr>
        <w:t xml:space="preserve">and Approval for a Federally Sponsored Data </w:t>
      </w:r>
      <w:r w:rsidR="00BF1B31">
        <w:rPr>
          <w:rFonts w:ascii="Georgia" w:hAnsi="Georgia" w:cs="Times New Roman"/>
          <w:sz w:val="24"/>
          <w:szCs w:val="24"/>
        </w:rPr>
        <w:t>C</w:t>
      </w:r>
      <w:r>
        <w:rPr>
          <w:rFonts w:ascii="Georgia" w:hAnsi="Georgia" w:cs="Times New Roman"/>
          <w:sz w:val="24"/>
          <w:szCs w:val="24"/>
        </w:rPr>
        <w:t>ollection</w:t>
      </w:r>
    </w:p>
    <w:p w:rsidR="00435DB7" w:rsidRDefault="00435DB7" w:rsidP="00435DB7">
      <w:pPr>
        <w:spacing w:after="0" w:line="240" w:lineRule="auto"/>
        <w:jc w:val="center"/>
        <w:rPr>
          <w:rFonts w:ascii="Georgia" w:hAnsi="Georgia" w:cs="Times New Roman"/>
          <w:sz w:val="24"/>
          <w:szCs w:val="24"/>
        </w:rPr>
      </w:pPr>
    </w:p>
    <w:p w:rsidR="00435DB7" w:rsidRDefault="00435DB7" w:rsidP="00435DB7">
      <w:pPr>
        <w:spacing w:after="0" w:line="240" w:lineRule="auto"/>
        <w:jc w:val="center"/>
        <w:rPr>
          <w:rFonts w:ascii="Georgia" w:hAnsi="Georgia" w:cs="Times New Roman"/>
          <w:sz w:val="24"/>
          <w:szCs w:val="24"/>
        </w:rPr>
      </w:pPr>
    </w:p>
    <w:p w:rsidR="00435DB7" w:rsidRDefault="00435DB7" w:rsidP="00435DB7">
      <w:pPr>
        <w:spacing w:after="0" w:line="240" w:lineRule="auto"/>
        <w:jc w:val="center"/>
        <w:rPr>
          <w:rFonts w:ascii="Georgia" w:hAnsi="Georgia" w:cs="Times New Roman"/>
          <w:sz w:val="24"/>
          <w:szCs w:val="24"/>
        </w:rPr>
      </w:pPr>
    </w:p>
    <w:p w:rsidR="00435DB7" w:rsidRDefault="00435DB7" w:rsidP="00435DB7">
      <w:pPr>
        <w:spacing w:after="0" w:line="240" w:lineRule="auto"/>
        <w:jc w:val="center"/>
        <w:rPr>
          <w:rFonts w:ascii="Georgia" w:hAnsi="Georgia" w:cs="Times New Roman"/>
          <w:sz w:val="24"/>
          <w:szCs w:val="24"/>
        </w:rPr>
      </w:pPr>
    </w:p>
    <w:p w:rsidR="00435DB7" w:rsidRDefault="00435DB7" w:rsidP="00435DB7">
      <w:pPr>
        <w:spacing w:after="0" w:line="240" w:lineRule="auto"/>
        <w:jc w:val="center"/>
        <w:rPr>
          <w:rFonts w:ascii="Georgia" w:hAnsi="Georgia" w:cs="Times New Roman"/>
          <w:sz w:val="24"/>
          <w:szCs w:val="24"/>
        </w:rPr>
      </w:pPr>
    </w:p>
    <w:p w:rsidR="00435DB7" w:rsidRDefault="00435DB7" w:rsidP="00435DB7">
      <w:pPr>
        <w:spacing w:after="0" w:line="240" w:lineRule="auto"/>
        <w:jc w:val="center"/>
        <w:rPr>
          <w:rFonts w:ascii="Georgia" w:hAnsi="Georgia" w:cs="Times New Roman"/>
          <w:sz w:val="24"/>
          <w:szCs w:val="24"/>
        </w:rPr>
      </w:pPr>
    </w:p>
    <w:p w:rsidR="00435DB7" w:rsidRDefault="00435DB7" w:rsidP="00435DB7">
      <w:pPr>
        <w:spacing w:after="0" w:line="240" w:lineRule="auto"/>
        <w:jc w:val="center"/>
        <w:rPr>
          <w:rFonts w:ascii="Georgia" w:hAnsi="Georgia" w:cs="Times New Roman"/>
          <w:sz w:val="24"/>
          <w:szCs w:val="24"/>
        </w:rPr>
      </w:pPr>
    </w:p>
    <w:p w:rsidR="00435DB7" w:rsidRPr="006E7A13" w:rsidRDefault="00435DB7" w:rsidP="00435DB7">
      <w:pPr>
        <w:spacing w:after="0" w:line="240" w:lineRule="auto"/>
        <w:jc w:val="center"/>
        <w:rPr>
          <w:rFonts w:ascii="Georgia" w:hAnsi="Georgia" w:cs="Times New Roman"/>
          <w:sz w:val="24"/>
          <w:szCs w:val="24"/>
        </w:rPr>
      </w:pPr>
    </w:p>
    <w:p w:rsidR="00435DB7" w:rsidRPr="006E7A13" w:rsidRDefault="00435DB7" w:rsidP="00435DB7">
      <w:pPr>
        <w:spacing w:after="0" w:line="240" w:lineRule="auto"/>
        <w:jc w:val="center"/>
        <w:rPr>
          <w:rFonts w:ascii="Georgia" w:hAnsi="Georgia" w:cs="Times New Roman"/>
          <w:sz w:val="24"/>
          <w:szCs w:val="24"/>
        </w:rPr>
      </w:pPr>
    </w:p>
    <w:p w:rsidR="00435DB7" w:rsidRPr="006E7A13" w:rsidRDefault="00435DB7" w:rsidP="00435DB7">
      <w:pPr>
        <w:spacing w:after="0" w:line="240" w:lineRule="auto"/>
        <w:jc w:val="center"/>
        <w:rPr>
          <w:rFonts w:ascii="Georgia" w:hAnsi="Georgia" w:cs="Times New Roman"/>
          <w:sz w:val="24"/>
          <w:szCs w:val="24"/>
        </w:rPr>
      </w:pPr>
    </w:p>
    <w:p w:rsidR="006E7A13" w:rsidRDefault="00265268" w:rsidP="00435DB7">
      <w:pPr>
        <w:spacing w:after="0" w:line="240" w:lineRule="auto"/>
        <w:jc w:val="center"/>
        <w:rPr>
          <w:rFonts w:ascii="Georgia" w:hAnsi="Georgia"/>
          <w:sz w:val="24"/>
          <w:szCs w:val="24"/>
        </w:rPr>
      </w:pPr>
      <w:r w:rsidRPr="006E7A13">
        <w:rPr>
          <w:rFonts w:ascii="Georgia" w:hAnsi="Georgia"/>
          <w:sz w:val="24"/>
          <w:szCs w:val="24"/>
        </w:rPr>
        <w:t>Mary K. Schubauer-Berigan</w:t>
      </w:r>
      <w:r w:rsidR="00DA2DB1">
        <w:rPr>
          <w:rFonts w:ascii="Georgia" w:hAnsi="Georgia"/>
          <w:sz w:val="24"/>
          <w:szCs w:val="24"/>
        </w:rPr>
        <w:t>, PhD</w:t>
      </w:r>
    </w:p>
    <w:p w:rsidR="00F73D99" w:rsidRDefault="00F73D99" w:rsidP="00435DB7">
      <w:pPr>
        <w:spacing w:after="0" w:line="240" w:lineRule="auto"/>
        <w:jc w:val="center"/>
        <w:rPr>
          <w:rFonts w:ascii="Georgia" w:hAnsi="Georgia"/>
          <w:sz w:val="24"/>
          <w:szCs w:val="24"/>
        </w:rPr>
      </w:pPr>
      <w:r>
        <w:rPr>
          <w:rFonts w:ascii="Georgia" w:hAnsi="Georgia"/>
          <w:sz w:val="24"/>
          <w:szCs w:val="24"/>
        </w:rPr>
        <w:t>and</w:t>
      </w:r>
    </w:p>
    <w:p w:rsidR="00435DB7" w:rsidRDefault="00265268" w:rsidP="00435DB7">
      <w:pPr>
        <w:spacing w:after="0" w:line="240" w:lineRule="auto"/>
        <w:jc w:val="center"/>
        <w:rPr>
          <w:rFonts w:ascii="Georgia" w:hAnsi="Georgia"/>
          <w:sz w:val="24"/>
          <w:szCs w:val="24"/>
        </w:rPr>
      </w:pPr>
      <w:r w:rsidRPr="006E7A13">
        <w:rPr>
          <w:rFonts w:ascii="Georgia" w:hAnsi="Georgia"/>
          <w:sz w:val="24"/>
          <w:szCs w:val="24"/>
        </w:rPr>
        <w:t>Matthew M. Dahm</w:t>
      </w:r>
      <w:r w:rsidR="00DA2DB1">
        <w:rPr>
          <w:rFonts w:ascii="Georgia" w:hAnsi="Georgia"/>
          <w:sz w:val="24"/>
          <w:szCs w:val="24"/>
        </w:rPr>
        <w:t>, MPH</w:t>
      </w:r>
    </w:p>
    <w:p w:rsidR="006E7A13" w:rsidRDefault="006E7A13" w:rsidP="00435DB7">
      <w:pPr>
        <w:spacing w:after="0" w:line="240" w:lineRule="auto"/>
        <w:jc w:val="center"/>
        <w:rPr>
          <w:rFonts w:ascii="Georgia" w:hAnsi="Georgia"/>
          <w:sz w:val="24"/>
          <w:szCs w:val="24"/>
        </w:rPr>
      </w:pPr>
      <w:r>
        <w:rPr>
          <w:rFonts w:ascii="Georgia" w:hAnsi="Georgia"/>
          <w:sz w:val="24"/>
          <w:szCs w:val="24"/>
        </w:rPr>
        <w:t>Project Officers</w:t>
      </w:r>
    </w:p>
    <w:p w:rsidR="00380A71" w:rsidRDefault="00380A71" w:rsidP="00435DB7">
      <w:pPr>
        <w:spacing w:after="0" w:line="240" w:lineRule="auto"/>
        <w:jc w:val="center"/>
        <w:rPr>
          <w:rFonts w:ascii="Georgia" w:hAnsi="Georgia"/>
          <w:sz w:val="24"/>
          <w:szCs w:val="24"/>
        </w:rPr>
      </w:pPr>
    </w:p>
    <w:p w:rsidR="00380A71" w:rsidRDefault="00380A71" w:rsidP="00435DB7">
      <w:pPr>
        <w:spacing w:after="0" w:line="240" w:lineRule="auto"/>
        <w:jc w:val="center"/>
        <w:rPr>
          <w:rFonts w:ascii="Georgia" w:hAnsi="Georgia"/>
          <w:sz w:val="24"/>
          <w:szCs w:val="24"/>
        </w:rPr>
      </w:pPr>
      <w:r>
        <w:rPr>
          <w:rFonts w:ascii="Georgia" w:hAnsi="Georgia"/>
          <w:sz w:val="24"/>
          <w:szCs w:val="24"/>
        </w:rPr>
        <w:t xml:space="preserve">National Institute for Occupational Safety and </w:t>
      </w:r>
      <w:r w:rsidR="00F73D99">
        <w:rPr>
          <w:rFonts w:ascii="Georgia" w:hAnsi="Georgia"/>
          <w:sz w:val="24"/>
          <w:szCs w:val="24"/>
        </w:rPr>
        <w:t>Health</w:t>
      </w:r>
    </w:p>
    <w:p w:rsidR="00F73D99" w:rsidRDefault="00F73D99" w:rsidP="00435DB7">
      <w:pPr>
        <w:spacing w:after="0" w:line="240" w:lineRule="auto"/>
        <w:jc w:val="center"/>
        <w:rPr>
          <w:rFonts w:ascii="Georgia" w:hAnsi="Georgia"/>
          <w:sz w:val="24"/>
          <w:szCs w:val="24"/>
        </w:rPr>
      </w:pPr>
      <w:r>
        <w:rPr>
          <w:rFonts w:ascii="Georgia" w:hAnsi="Georgia"/>
          <w:sz w:val="24"/>
          <w:szCs w:val="24"/>
        </w:rPr>
        <w:t>Division of Surveillance, Hazard Evaluations, and Field Studies</w:t>
      </w:r>
    </w:p>
    <w:p w:rsidR="00F73D99" w:rsidRDefault="00F73D99" w:rsidP="00435DB7">
      <w:pPr>
        <w:spacing w:after="0" w:line="240" w:lineRule="auto"/>
        <w:jc w:val="center"/>
        <w:rPr>
          <w:rFonts w:ascii="Georgia" w:hAnsi="Georgia"/>
          <w:sz w:val="24"/>
          <w:szCs w:val="24"/>
        </w:rPr>
      </w:pPr>
      <w:r>
        <w:rPr>
          <w:rFonts w:ascii="Georgia" w:hAnsi="Georgia"/>
          <w:sz w:val="24"/>
          <w:szCs w:val="24"/>
        </w:rPr>
        <w:t>4676 Columbia Parkway, Mail Stop R-15</w:t>
      </w:r>
    </w:p>
    <w:p w:rsidR="00F73D99" w:rsidRDefault="00F73D99" w:rsidP="00435DB7">
      <w:pPr>
        <w:spacing w:after="0" w:line="240" w:lineRule="auto"/>
        <w:jc w:val="center"/>
        <w:rPr>
          <w:rFonts w:ascii="Georgia" w:hAnsi="Georgia"/>
          <w:sz w:val="24"/>
          <w:szCs w:val="24"/>
        </w:rPr>
      </w:pPr>
      <w:r>
        <w:rPr>
          <w:rFonts w:ascii="Georgia" w:hAnsi="Georgia"/>
          <w:sz w:val="24"/>
          <w:szCs w:val="24"/>
        </w:rPr>
        <w:t>Cincinnati, Ohio  45226</w:t>
      </w:r>
    </w:p>
    <w:p w:rsidR="00F73D99" w:rsidRDefault="00F73D99" w:rsidP="00435DB7">
      <w:pPr>
        <w:spacing w:after="0" w:line="240" w:lineRule="auto"/>
        <w:jc w:val="center"/>
        <w:rPr>
          <w:rFonts w:ascii="Georgia" w:hAnsi="Georgia"/>
          <w:sz w:val="24"/>
          <w:szCs w:val="24"/>
        </w:rPr>
      </w:pPr>
    </w:p>
    <w:p w:rsidR="00F73D99" w:rsidRDefault="000F3F8D" w:rsidP="00F73D99">
      <w:pPr>
        <w:spacing w:after="0" w:line="240" w:lineRule="auto"/>
        <w:jc w:val="center"/>
        <w:rPr>
          <w:rFonts w:ascii="Georgia" w:hAnsi="Georgia"/>
          <w:sz w:val="24"/>
          <w:szCs w:val="24"/>
        </w:rPr>
      </w:pPr>
      <w:hyperlink r:id="rId9" w:history="1">
        <w:r w:rsidR="00F73D99" w:rsidRPr="0007614D">
          <w:rPr>
            <w:rStyle w:val="Hyperlink"/>
            <w:rFonts w:ascii="Georgia" w:hAnsi="Georgia"/>
            <w:sz w:val="24"/>
            <w:szCs w:val="24"/>
          </w:rPr>
          <w:t>MSchubauer-Berigan@cdc.gov</w:t>
        </w:r>
      </w:hyperlink>
    </w:p>
    <w:p w:rsidR="00F73D99" w:rsidRDefault="00F73D99" w:rsidP="00435DB7">
      <w:pPr>
        <w:spacing w:after="0" w:line="240" w:lineRule="auto"/>
        <w:jc w:val="center"/>
        <w:rPr>
          <w:rFonts w:ascii="Georgia" w:hAnsi="Georgia"/>
          <w:sz w:val="24"/>
          <w:szCs w:val="24"/>
        </w:rPr>
      </w:pPr>
      <w:r>
        <w:rPr>
          <w:rFonts w:ascii="Georgia" w:hAnsi="Georgia"/>
          <w:sz w:val="24"/>
          <w:szCs w:val="24"/>
        </w:rPr>
        <w:t>513-841-4251 (phone)</w:t>
      </w:r>
    </w:p>
    <w:p w:rsidR="00F73D99" w:rsidRDefault="000F3F8D" w:rsidP="00F73D99">
      <w:pPr>
        <w:spacing w:after="0" w:line="240" w:lineRule="auto"/>
        <w:jc w:val="center"/>
        <w:rPr>
          <w:rFonts w:ascii="Georgia" w:hAnsi="Georgia"/>
          <w:sz w:val="24"/>
          <w:szCs w:val="24"/>
        </w:rPr>
      </w:pPr>
      <w:hyperlink r:id="rId10" w:history="1">
        <w:r w:rsidR="00F73D99" w:rsidRPr="0007614D">
          <w:rPr>
            <w:rStyle w:val="Hyperlink"/>
            <w:rFonts w:ascii="Georgia" w:hAnsi="Georgia"/>
            <w:sz w:val="24"/>
            <w:szCs w:val="24"/>
          </w:rPr>
          <w:t>MDahm@cdc.gov</w:t>
        </w:r>
      </w:hyperlink>
    </w:p>
    <w:p w:rsidR="00F73D99" w:rsidRDefault="00F73D99" w:rsidP="00F73D99">
      <w:pPr>
        <w:spacing w:after="0" w:line="240" w:lineRule="auto"/>
        <w:jc w:val="center"/>
        <w:rPr>
          <w:rFonts w:ascii="Georgia" w:hAnsi="Georgia"/>
          <w:sz w:val="24"/>
          <w:szCs w:val="24"/>
        </w:rPr>
      </w:pPr>
      <w:r>
        <w:rPr>
          <w:rFonts w:ascii="Georgia" w:hAnsi="Georgia"/>
          <w:sz w:val="24"/>
          <w:szCs w:val="24"/>
        </w:rPr>
        <w:t>513-458-7136 (phone)</w:t>
      </w:r>
    </w:p>
    <w:p w:rsidR="00F73D99" w:rsidRDefault="00F73D99" w:rsidP="00F73D99">
      <w:pPr>
        <w:spacing w:after="0" w:line="240" w:lineRule="auto"/>
        <w:jc w:val="center"/>
        <w:rPr>
          <w:rFonts w:ascii="Georgia" w:hAnsi="Georgia"/>
          <w:sz w:val="24"/>
          <w:szCs w:val="24"/>
        </w:rPr>
      </w:pPr>
    </w:p>
    <w:p w:rsidR="00F73D99" w:rsidRDefault="00F73D99" w:rsidP="00F73D99">
      <w:pPr>
        <w:spacing w:after="0" w:line="240" w:lineRule="auto"/>
        <w:jc w:val="center"/>
        <w:rPr>
          <w:rFonts w:ascii="Georgia" w:hAnsi="Georgia"/>
          <w:sz w:val="24"/>
          <w:szCs w:val="24"/>
        </w:rPr>
      </w:pPr>
      <w:r>
        <w:rPr>
          <w:rFonts w:ascii="Georgia" w:hAnsi="Georgia"/>
          <w:sz w:val="24"/>
          <w:szCs w:val="24"/>
        </w:rPr>
        <w:t>513-841</w:t>
      </w:r>
      <w:r w:rsidR="00383FF6">
        <w:rPr>
          <w:rFonts w:ascii="Georgia" w:hAnsi="Georgia"/>
          <w:sz w:val="24"/>
          <w:szCs w:val="24"/>
        </w:rPr>
        <w:t>-</w:t>
      </w:r>
      <w:r>
        <w:rPr>
          <w:rFonts w:ascii="Georgia" w:hAnsi="Georgia"/>
          <w:sz w:val="24"/>
          <w:szCs w:val="24"/>
        </w:rPr>
        <w:t>4486 (fax)</w:t>
      </w:r>
    </w:p>
    <w:p w:rsidR="00F73D99" w:rsidRDefault="00F73D99" w:rsidP="00F73D99">
      <w:pPr>
        <w:spacing w:after="0" w:line="240" w:lineRule="auto"/>
        <w:jc w:val="center"/>
        <w:rPr>
          <w:rFonts w:ascii="Georgia" w:hAnsi="Georgia"/>
          <w:sz w:val="24"/>
          <w:szCs w:val="24"/>
        </w:rPr>
      </w:pPr>
    </w:p>
    <w:p w:rsidR="00F73D99" w:rsidRDefault="00AC6E44" w:rsidP="00435DB7">
      <w:pPr>
        <w:spacing w:after="0" w:line="240" w:lineRule="auto"/>
        <w:jc w:val="center"/>
        <w:rPr>
          <w:rFonts w:ascii="Georgia" w:hAnsi="Georgia"/>
          <w:sz w:val="24"/>
          <w:szCs w:val="24"/>
        </w:rPr>
      </w:pPr>
      <w:r>
        <w:rPr>
          <w:rFonts w:ascii="Georgia" w:hAnsi="Georgia"/>
          <w:sz w:val="24"/>
          <w:szCs w:val="24"/>
        </w:rPr>
        <w:t xml:space="preserve">June </w:t>
      </w:r>
      <w:r w:rsidR="009242EC">
        <w:rPr>
          <w:rFonts w:ascii="Georgia" w:hAnsi="Georgia"/>
          <w:sz w:val="24"/>
          <w:szCs w:val="24"/>
        </w:rPr>
        <w:t>7</w:t>
      </w:r>
      <w:r>
        <w:rPr>
          <w:rFonts w:ascii="Georgia" w:hAnsi="Georgia"/>
          <w:sz w:val="24"/>
          <w:szCs w:val="24"/>
        </w:rPr>
        <w:t>, 2013</w:t>
      </w:r>
    </w:p>
    <w:p w:rsidR="008346A9" w:rsidRDefault="008346A9">
      <w:pPr>
        <w:rPr>
          <w:rFonts w:ascii="Georgia" w:hAnsi="Georgia"/>
          <w:b/>
          <w:sz w:val="24"/>
          <w:szCs w:val="24"/>
        </w:rPr>
      </w:pPr>
      <w:r>
        <w:rPr>
          <w:rFonts w:ascii="Georgia" w:hAnsi="Georgia"/>
          <w:b/>
          <w:sz w:val="24"/>
          <w:szCs w:val="24"/>
        </w:rPr>
        <w:br w:type="page"/>
      </w:r>
    </w:p>
    <w:p w:rsidR="00380A71" w:rsidRPr="00ED3E7B" w:rsidRDefault="00ED3E7B" w:rsidP="00435DB7">
      <w:pPr>
        <w:spacing w:after="0" w:line="240" w:lineRule="auto"/>
        <w:jc w:val="center"/>
        <w:rPr>
          <w:rFonts w:ascii="Georgia" w:hAnsi="Georgia"/>
          <w:b/>
          <w:sz w:val="24"/>
          <w:szCs w:val="24"/>
        </w:rPr>
      </w:pPr>
      <w:r w:rsidRPr="00ED3E7B">
        <w:rPr>
          <w:rFonts w:ascii="Georgia" w:hAnsi="Georgia"/>
          <w:b/>
          <w:sz w:val="24"/>
          <w:szCs w:val="24"/>
        </w:rPr>
        <w:lastRenderedPageBreak/>
        <w:t>Table of Contents</w:t>
      </w:r>
    </w:p>
    <w:p w:rsidR="00380A71" w:rsidRPr="006E7A13" w:rsidRDefault="00380A71" w:rsidP="00435DB7">
      <w:pPr>
        <w:spacing w:after="0" w:line="240" w:lineRule="auto"/>
        <w:jc w:val="center"/>
        <w:rPr>
          <w:rFonts w:ascii="Georgia" w:hAnsi="Georgia" w:cs="Times New Roman"/>
          <w:sz w:val="24"/>
          <w:szCs w:val="24"/>
        </w:rPr>
      </w:pPr>
    </w:p>
    <w:p w:rsidR="00ED3E7B" w:rsidRPr="004102D5" w:rsidRDefault="00ED3E7B" w:rsidP="004102D5">
      <w:pPr>
        <w:spacing w:after="0" w:line="240" w:lineRule="auto"/>
        <w:ind w:firstLine="270"/>
        <w:rPr>
          <w:rFonts w:ascii="Georgia" w:hAnsi="Georgia" w:cs="Times New Roman"/>
          <w:b/>
          <w:sz w:val="24"/>
          <w:szCs w:val="24"/>
        </w:rPr>
      </w:pPr>
      <w:r w:rsidRPr="004102D5">
        <w:rPr>
          <w:rFonts w:ascii="Georgia" w:hAnsi="Georgia" w:cs="Times New Roman"/>
          <w:b/>
          <w:sz w:val="24"/>
          <w:szCs w:val="24"/>
        </w:rPr>
        <w:t>Section Title</w:t>
      </w:r>
      <w:r w:rsidRPr="004102D5">
        <w:rPr>
          <w:rFonts w:ascii="Georgia" w:hAnsi="Georgia" w:cs="Times New Roman"/>
          <w:b/>
          <w:sz w:val="24"/>
          <w:szCs w:val="24"/>
        </w:rPr>
        <w:tab/>
      </w:r>
      <w:r w:rsidRPr="004102D5">
        <w:rPr>
          <w:rFonts w:ascii="Georgia" w:hAnsi="Georgia" w:cs="Times New Roman"/>
          <w:b/>
          <w:sz w:val="24"/>
          <w:szCs w:val="24"/>
        </w:rPr>
        <w:tab/>
      </w:r>
      <w:r w:rsidRPr="004102D5">
        <w:rPr>
          <w:rFonts w:ascii="Georgia" w:hAnsi="Georgia" w:cs="Times New Roman"/>
          <w:b/>
          <w:sz w:val="24"/>
          <w:szCs w:val="24"/>
        </w:rPr>
        <w:tab/>
      </w:r>
      <w:r w:rsidRPr="004102D5">
        <w:rPr>
          <w:rFonts w:ascii="Georgia" w:hAnsi="Georgia" w:cs="Times New Roman"/>
          <w:b/>
          <w:sz w:val="24"/>
          <w:szCs w:val="24"/>
        </w:rPr>
        <w:tab/>
      </w:r>
      <w:r w:rsidRPr="004102D5">
        <w:rPr>
          <w:rFonts w:ascii="Georgia" w:hAnsi="Georgia" w:cs="Times New Roman"/>
          <w:b/>
          <w:sz w:val="24"/>
          <w:szCs w:val="24"/>
        </w:rPr>
        <w:tab/>
      </w:r>
      <w:r w:rsidRPr="004102D5">
        <w:rPr>
          <w:rFonts w:ascii="Georgia" w:hAnsi="Georgia" w:cs="Times New Roman"/>
          <w:b/>
          <w:sz w:val="24"/>
          <w:szCs w:val="24"/>
        </w:rPr>
        <w:tab/>
      </w:r>
      <w:r w:rsidRPr="004102D5">
        <w:rPr>
          <w:rFonts w:ascii="Georgia" w:hAnsi="Georgia" w:cs="Times New Roman"/>
          <w:b/>
          <w:sz w:val="24"/>
          <w:szCs w:val="24"/>
        </w:rPr>
        <w:tab/>
      </w:r>
      <w:r w:rsidR="004102D5">
        <w:rPr>
          <w:rFonts w:ascii="Georgia" w:hAnsi="Georgia" w:cs="Times New Roman"/>
          <w:b/>
          <w:sz w:val="24"/>
          <w:szCs w:val="24"/>
        </w:rPr>
        <w:tab/>
        <w:t xml:space="preserve">        </w:t>
      </w:r>
    </w:p>
    <w:p w:rsidR="00ED3E7B" w:rsidRDefault="00ED3E7B" w:rsidP="00ED3E7B">
      <w:pPr>
        <w:spacing w:after="0" w:line="240" w:lineRule="auto"/>
        <w:rPr>
          <w:rFonts w:ascii="Georgia" w:hAnsi="Georgia" w:cs="Times New Roman"/>
          <w:sz w:val="24"/>
          <w:szCs w:val="24"/>
        </w:rPr>
      </w:pPr>
    </w:p>
    <w:p w:rsidR="00CA604D" w:rsidRDefault="002F1B92" w:rsidP="00CA604D">
      <w:pPr>
        <w:pStyle w:val="TOC1"/>
        <w:ind w:left="720" w:hanging="450"/>
        <w:rPr>
          <w:rFonts w:eastAsiaTheme="minorEastAsia"/>
          <w:noProof/>
        </w:rPr>
      </w:pPr>
      <w:r w:rsidRPr="002F1B92">
        <w:rPr>
          <w:rFonts w:ascii="Georgia" w:hAnsi="Georgia"/>
          <w:sz w:val="24"/>
          <w:szCs w:val="24"/>
        </w:rPr>
        <w:fldChar w:fldCharType="begin"/>
      </w:r>
      <w:r w:rsidRPr="002F1B92">
        <w:rPr>
          <w:rFonts w:ascii="Georgia" w:hAnsi="Georgia"/>
          <w:sz w:val="24"/>
          <w:szCs w:val="24"/>
        </w:rPr>
        <w:instrText xml:space="preserve"> TOC \o "1-3" \u </w:instrText>
      </w:r>
      <w:r w:rsidRPr="002F1B92">
        <w:rPr>
          <w:rFonts w:ascii="Georgia" w:hAnsi="Georgia"/>
          <w:sz w:val="24"/>
          <w:szCs w:val="24"/>
        </w:rPr>
        <w:fldChar w:fldCharType="separate"/>
      </w:r>
      <w:r w:rsidR="00CA604D" w:rsidRPr="00F87E0F">
        <w:rPr>
          <w:b/>
          <w:noProof/>
        </w:rPr>
        <w:t>Section A.  Justification</w:t>
      </w:r>
      <w:r w:rsidR="00CA604D">
        <w:rPr>
          <w:noProof/>
        </w:rPr>
        <w:tab/>
      </w:r>
      <w:r w:rsidR="00CA604D">
        <w:rPr>
          <w:noProof/>
        </w:rPr>
        <w:fldChar w:fldCharType="begin"/>
      </w:r>
      <w:r w:rsidR="00CA604D">
        <w:rPr>
          <w:noProof/>
        </w:rPr>
        <w:instrText xml:space="preserve"> PAGEREF _Toc347997713 \h </w:instrText>
      </w:r>
      <w:r w:rsidR="00CA604D">
        <w:rPr>
          <w:noProof/>
        </w:rPr>
      </w:r>
      <w:r w:rsidR="00CA604D">
        <w:rPr>
          <w:noProof/>
        </w:rPr>
        <w:fldChar w:fldCharType="separate"/>
      </w:r>
      <w:r w:rsidR="00157947">
        <w:rPr>
          <w:noProof/>
        </w:rPr>
        <w:t>3</w:t>
      </w:r>
      <w:r w:rsidR="00CA604D">
        <w:rPr>
          <w:noProof/>
        </w:rPr>
        <w:fldChar w:fldCharType="end"/>
      </w:r>
    </w:p>
    <w:p w:rsidR="00CA604D" w:rsidRDefault="00CA604D" w:rsidP="00CA604D">
      <w:pPr>
        <w:pStyle w:val="TOC2"/>
        <w:ind w:left="720" w:hanging="450"/>
        <w:rPr>
          <w:rFonts w:eastAsiaTheme="minorEastAsia"/>
          <w:noProof/>
        </w:rPr>
      </w:pPr>
      <w:r>
        <w:rPr>
          <w:noProof/>
        </w:rPr>
        <w:t>A.1.</w:t>
      </w:r>
      <w:r>
        <w:rPr>
          <w:rFonts w:eastAsiaTheme="minorEastAsia"/>
          <w:noProof/>
        </w:rPr>
        <w:tab/>
      </w:r>
      <w:r>
        <w:rPr>
          <w:noProof/>
        </w:rPr>
        <w:t>Circumstances Making the Collection of Information Necessary</w:t>
      </w:r>
      <w:r>
        <w:rPr>
          <w:noProof/>
        </w:rPr>
        <w:tab/>
      </w:r>
      <w:r>
        <w:rPr>
          <w:noProof/>
        </w:rPr>
        <w:fldChar w:fldCharType="begin"/>
      </w:r>
      <w:r>
        <w:rPr>
          <w:noProof/>
        </w:rPr>
        <w:instrText xml:space="preserve"> PAGEREF _Toc347997714 \h </w:instrText>
      </w:r>
      <w:r>
        <w:rPr>
          <w:noProof/>
        </w:rPr>
      </w:r>
      <w:r>
        <w:rPr>
          <w:noProof/>
        </w:rPr>
        <w:fldChar w:fldCharType="separate"/>
      </w:r>
      <w:r w:rsidR="00157947">
        <w:rPr>
          <w:noProof/>
        </w:rPr>
        <w:t>3</w:t>
      </w:r>
      <w:r>
        <w:rPr>
          <w:noProof/>
        </w:rPr>
        <w:fldChar w:fldCharType="end"/>
      </w:r>
    </w:p>
    <w:p w:rsidR="00CA604D" w:rsidRDefault="00CA604D" w:rsidP="00CA604D">
      <w:pPr>
        <w:pStyle w:val="TOC2"/>
        <w:ind w:left="720" w:hanging="450"/>
        <w:rPr>
          <w:rFonts w:eastAsiaTheme="minorEastAsia"/>
          <w:noProof/>
        </w:rPr>
      </w:pPr>
      <w:r>
        <w:rPr>
          <w:noProof/>
        </w:rPr>
        <w:t>A2.  Purpose and Use of Information Collection</w:t>
      </w:r>
      <w:r>
        <w:rPr>
          <w:noProof/>
        </w:rPr>
        <w:tab/>
      </w:r>
      <w:r>
        <w:rPr>
          <w:noProof/>
        </w:rPr>
        <w:fldChar w:fldCharType="begin"/>
      </w:r>
      <w:r>
        <w:rPr>
          <w:noProof/>
        </w:rPr>
        <w:instrText xml:space="preserve"> PAGEREF _Toc347997715 \h </w:instrText>
      </w:r>
      <w:r>
        <w:rPr>
          <w:noProof/>
        </w:rPr>
      </w:r>
      <w:r>
        <w:rPr>
          <w:noProof/>
        </w:rPr>
        <w:fldChar w:fldCharType="separate"/>
      </w:r>
      <w:r w:rsidR="00157947">
        <w:rPr>
          <w:noProof/>
        </w:rPr>
        <w:t>11</w:t>
      </w:r>
      <w:r>
        <w:rPr>
          <w:noProof/>
        </w:rPr>
        <w:fldChar w:fldCharType="end"/>
      </w:r>
    </w:p>
    <w:p w:rsidR="00CA604D" w:rsidRDefault="00CA604D" w:rsidP="00CA604D">
      <w:pPr>
        <w:pStyle w:val="TOC2"/>
        <w:ind w:left="720" w:hanging="450"/>
        <w:rPr>
          <w:rFonts w:eastAsiaTheme="minorEastAsia"/>
          <w:noProof/>
        </w:rPr>
      </w:pPr>
      <w:r>
        <w:rPr>
          <w:noProof/>
        </w:rPr>
        <w:t>A3.</w:t>
      </w:r>
      <w:r>
        <w:rPr>
          <w:rFonts w:eastAsiaTheme="minorEastAsia"/>
          <w:noProof/>
        </w:rPr>
        <w:tab/>
      </w:r>
      <w:r>
        <w:rPr>
          <w:noProof/>
        </w:rPr>
        <w:t>Use of Improved Technology and Burden Reduction</w:t>
      </w:r>
      <w:r>
        <w:rPr>
          <w:noProof/>
        </w:rPr>
        <w:tab/>
      </w:r>
      <w:r>
        <w:rPr>
          <w:noProof/>
        </w:rPr>
        <w:fldChar w:fldCharType="begin"/>
      </w:r>
      <w:r>
        <w:rPr>
          <w:noProof/>
        </w:rPr>
        <w:instrText xml:space="preserve"> PAGEREF _Toc347997716 \h </w:instrText>
      </w:r>
      <w:r>
        <w:rPr>
          <w:noProof/>
        </w:rPr>
      </w:r>
      <w:r>
        <w:rPr>
          <w:noProof/>
        </w:rPr>
        <w:fldChar w:fldCharType="separate"/>
      </w:r>
      <w:r w:rsidR="00157947">
        <w:rPr>
          <w:noProof/>
        </w:rPr>
        <w:t>16</w:t>
      </w:r>
      <w:r>
        <w:rPr>
          <w:noProof/>
        </w:rPr>
        <w:fldChar w:fldCharType="end"/>
      </w:r>
    </w:p>
    <w:p w:rsidR="00CA604D" w:rsidRDefault="00CA604D" w:rsidP="00CA604D">
      <w:pPr>
        <w:pStyle w:val="TOC2"/>
        <w:ind w:left="720" w:hanging="450"/>
        <w:rPr>
          <w:rFonts w:eastAsiaTheme="minorEastAsia"/>
          <w:noProof/>
        </w:rPr>
      </w:pPr>
      <w:r>
        <w:rPr>
          <w:noProof/>
        </w:rPr>
        <w:t>A4.</w:t>
      </w:r>
      <w:r>
        <w:rPr>
          <w:rFonts w:eastAsiaTheme="minorEastAsia"/>
          <w:noProof/>
        </w:rPr>
        <w:tab/>
      </w:r>
      <w:r>
        <w:rPr>
          <w:noProof/>
        </w:rPr>
        <w:t>Efforts to Identify Duplication and Use of Similar Information</w:t>
      </w:r>
      <w:r>
        <w:rPr>
          <w:noProof/>
        </w:rPr>
        <w:tab/>
      </w:r>
      <w:r>
        <w:rPr>
          <w:noProof/>
        </w:rPr>
        <w:fldChar w:fldCharType="begin"/>
      </w:r>
      <w:r>
        <w:rPr>
          <w:noProof/>
        </w:rPr>
        <w:instrText xml:space="preserve"> PAGEREF _Toc347997717 \h </w:instrText>
      </w:r>
      <w:r>
        <w:rPr>
          <w:noProof/>
        </w:rPr>
      </w:r>
      <w:r>
        <w:rPr>
          <w:noProof/>
        </w:rPr>
        <w:fldChar w:fldCharType="separate"/>
      </w:r>
      <w:r w:rsidR="00157947">
        <w:rPr>
          <w:noProof/>
        </w:rPr>
        <w:t>17</w:t>
      </w:r>
      <w:r>
        <w:rPr>
          <w:noProof/>
        </w:rPr>
        <w:fldChar w:fldCharType="end"/>
      </w:r>
    </w:p>
    <w:p w:rsidR="00CA604D" w:rsidRDefault="00CA604D" w:rsidP="00CA604D">
      <w:pPr>
        <w:pStyle w:val="TOC2"/>
        <w:ind w:left="720" w:hanging="450"/>
        <w:rPr>
          <w:rFonts w:eastAsiaTheme="minorEastAsia"/>
          <w:noProof/>
        </w:rPr>
      </w:pPr>
      <w:r>
        <w:rPr>
          <w:noProof/>
        </w:rPr>
        <w:t>A5.</w:t>
      </w:r>
      <w:r>
        <w:rPr>
          <w:rFonts w:eastAsiaTheme="minorEastAsia"/>
          <w:noProof/>
        </w:rPr>
        <w:tab/>
      </w:r>
      <w:r>
        <w:rPr>
          <w:noProof/>
        </w:rPr>
        <w:t>Impact on Small Businesses or Other Small Entitie</w:t>
      </w:r>
      <w:r w:rsidR="00BF2A0C">
        <w:rPr>
          <w:noProof/>
        </w:rPr>
        <w:t>s</w:t>
      </w:r>
      <w:r>
        <w:rPr>
          <w:noProof/>
        </w:rPr>
        <w:tab/>
      </w:r>
      <w:r>
        <w:rPr>
          <w:noProof/>
        </w:rPr>
        <w:fldChar w:fldCharType="begin"/>
      </w:r>
      <w:r>
        <w:rPr>
          <w:noProof/>
        </w:rPr>
        <w:instrText xml:space="preserve"> PAGEREF _Toc347997718 \h </w:instrText>
      </w:r>
      <w:r>
        <w:rPr>
          <w:noProof/>
        </w:rPr>
      </w:r>
      <w:r>
        <w:rPr>
          <w:noProof/>
        </w:rPr>
        <w:fldChar w:fldCharType="separate"/>
      </w:r>
      <w:r w:rsidR="00157947">
        <w:rPr>
          <w:noProof/>
        </w:rPr>
        <w:t>17</w:t>
      </w:r>
      <w:r>
        <w:rPr>
          <w:noProof/>
        </w:rPr>
        <w:fldChar w:fldCharType="end"/>
      </w:r>
    </w:p>
    <w:p w:rsidR="00CA604D" w:rsidRDefault="00CA604D" w:rsidP="00CA604D">
      <w:pPr>
        <w:pStyle w:val="TOC2"/>
        <w:ind w:left="720" w:hanging="450"/>
        <w:rPr>
          <w:rFonts w:eastAsiaTheme="minorEastAsia"/>
          <w:noProof/>
        </w:rPr>
      </w:pPr>
      <w:r>
        <w:rPr>
          <w:noProof/>
        </w:rPr>
        <w:t>A6.</w:t>
      </w:r>
      <w:r>
        <w:rPr>
          <w:rFonts w:eastAsiaTheme="minorEastAsia"/>
          <w:noProof/>
        </w:rPr>
        <w:tab/>
      </w:r>
      <w:r>
        <w:rPr>
          <w:noProof/>
        </w:rPr>
        <w:t>Consequences of Information Collected Less Frequently</w:t>
      </w:r>
      <w:r>
        <w:rPr>
          <w:noProof/>
        </w:rPr>
        <w:tab/>
      </w:r>
      <w:r>
        <w:rPr>
          <w:noProof/>
        </w:rPr>
        <w:fldChar w:fldCharType="begin"/>
      </w:r>
      <w:r>
        <w:rPr>
          <w:noProof/>
        </w:rPr>
        <w:instrText xml:space="preserve"> PAGEREF _Toc347997719 \h </w:instrText>
      </w:r>
      <w:r>
        <w:rPr>
          <w:noProof/>
        </w:rPr>
      </w:r>
      <w:r>
        <w:rPr>
          <w:noProof/>
        </w:rPr>
        <w:fldChar w:fldCharType="separate"/>
      </w:r>
      <w:r w:rsidR="00157947">
        <w:rPr>
          <w:noProof/>
        </w:rPr>
        <w:t>17</w:t>
      </w:r>
      <w:r>
        <w:rPr>
          <w:noProof/>
        </w:rPr>
        <w:fldChar w:fldCharType="end"/>
      </w:r>
    </w:p>
    <w:p w:rsidR="00CA604D" w:rsidRDefault="00CA604D" w:rsidP="00CA604D">
      <w:pPr>
        <w:pStyle w:val="TOC2"/>
        <w:ind w:left="720" w:hanging="450"/>
        <w:rPr>
          <w:rFonts w:eastAsiaTheme="minorEastAsia"/>
          <w:noProof/>
        </w:rPr>
      </w:pPr>
      <w:r>
        <w:rPr>
          <w:noProof/>
        </w:rPr>
        <w:t>A7.</w:t>
      </w:r>
      <w:r>
        <w:rPr>
          <w:rFonts w:eastAsiaTheme="minorEastAsia"/>
          <w:noProof/>
        </w:rPr>
        <w:tab/>
      </w:r>
      <w:r>
        <w:rPr>
          <w:noProof/>
        </w:rPr>
        <w:t>Special Circumstances Relating to the Guidelines of 5 CFR 1320.5</w:t>
      </w:r>
      <w:r>
        <w:rPr>
          <w:noProof/>
        </w:rPr>
        <w:tab/>
      </w:r>
      <w:r>
        <w:rPr>
          <w:noProof/>
        </w:rPr>
        <w:fldChar w:fldCharType="begin"/>
      </w:r>
      <w:r>
        <w:rPr>
          <w:noProof/>
        </w:rPr>
        <w:instrText xml:space="preserve"> PAGEREF _Toc347997720 \h </w:instrText>
      </w:r>
      <w:r>
        <w:rPr>
          <w:noProof/>
        </w:rPr>
      </w:r>
      <w:r>
        <w:rPr>
          <w:noProof/>
        </w:rPr>
        <w:fldChar w:fldCharType="separate"/>
      </w:r>
      <w:r w:rsidR="00157947">
        <w:rPr>
          <w:noProof/>
        </w:rPr>
        <w:t>18</w:t>
      </w:r>
      <w:r>
        <w:rPr>
          <w:noProof/>
        </w:rPr>
        <w:fldChar w:fldCharType="end"/>
      </w:r>
    </w:p>
    <w:p w:rsidR="00CA604D" w:rsidRPr="004F5CD8" w:rsidRDefault="00CA604D" w:rsidP="004F5CD8">
      <w:pPr>
        <w:pStyle w:val="TOC2"/>
        <w:ind w:left="720" w:hanging="450"/>
        <w:rPr>
          <w:noProof/>
        </w:rPr>
      </w:pPr>
      <w:r>
        <w:rPr>
          <w:noProof/>
        </w:rPr>
        <w:t>A8.</w:t>
      </w:r>
      <w:r>
        <w:rPr>
          <w:rFonts w:eastAsiaTheme="minorEastAsia"/>
          <w:noProof/>
        </w:rPr>
        <w:tab/>
      </w:r>
      <w:r>
        <w:rPr>
          <w:noProof/>
        </w:rPr>
        <w:t>Comments in Response to the Federal Register Notice</w:t>
      </w:r>
      <w:r w:rsidR="004F5CD8">
        <w:rPr>
          <w:noProof/>
        </w:rPr>
        <w:t>………………….............................................</w:t>
      </w:r>
      <w:r>
        <w:rPr>
          <w:noProof/>
        </w:rPr>
        <w:fldChar w:fldCharType="begin"/>
      </w:r>
      <w:r>
        <w:rPr>
          <w:noProof/>
        </w:rPr>
        <w:instrText xml:space="preserve"> PAGEREF _Toc347997721 \h </w:instrText>
      </w:r>
      <w:r>
        <w:rPr>
          <w:noProof/>
        </w:rPr>
      </w:r>
      <w:r>
        <w:rPr>
          <w:noProof/>
        </w:rPr>
        <w:fldChar w:fldCharType="separate"/>
      </w:r>
      <w:r w:rsidR="00157947">
        <w:rPr>
          <w:noProof/>
        </w:rPr>
        <w:t>18</w:t>
      </w:r>
      <w:r>
        <w:rPr>
          <w:noProof/>
        </w:rPr>
        <w:fldChar w:fldCharType="end"/>
      </w:r>
    </w:p>
    <w:p w:rsidR="00CA604D" w:rsidRDefault="00CA604D" w:rsidP="00CA604D">
      <w:pPr>
        <w:pStyle w:val="TOC2"/>
        <w:ind w:left="720" w:hanging="450"/>
        <w:rPr>
          <w:rFonts w:eastAsiaTheme="minorEastAsia"/>
          <w:noProof/>
        </w:rPr>
      </w:pPr>
      <w:r>
        <w:rPr>
          <w:noProof/>
        </w:rPr>
        <w:t>A9.</w:t>
      </w:r>
      <w:r>
        <w:rPr>
          <w:rFonts w:eastAsiaTheme="minorEastAsia"/>
          <w:noProof/>
        </w:rPr>
        <w:tab/>
      </w:r>
      <w:r>
        <w:rPr>
          <w:noProof/>
        </w:rPr>
        <w:t xml:space="preserve">  Explanation of Any Payment or Gift to Respondents</w:t>
      </w:r>
      <w:r>
        <w:rPr>
          <w:noProof/>
        </w:rPr>
        <w:tab/>
      </w:r>
      <w:r>
        <w:rPr>
          <w:noProof/>
        </w:rPr>
        <w:fldChar w:fldCharType="begin"/>
      </w:r>
      <w:r>
        <w:rPr>
          <w:noProof/>
        </w:rPr>
        <w:instrText xml:space="preserve"> PAGEREF _Toc347997722 \h </w:instrText>
      </w:r>
      <w:r>
        <w:rPr>
          <w:noProof/>
        </w:rPr>
      </w:r>
      <w:r>
        <w:rPr>
          <w:noProof/>
        </w:rPr>
        <w:fldChar w:fldCharType="separate"/>
      </w:r>
      <w:r w:rsidR="00157947">
        <w:rPr>
          <w:noProof/>
        </w:rPr>
        <w:t>19</w:t>
      </w:r>
      <w:r>
        <w:rPr>
          <w:noProof/>
        </w:rPr>
        <w:fldChar w:fldCharType="end"/>
      </w:r>
    </w:p>
    <w:p w:rsidR="00CA604D" w:rsidRDefault="00CA604D" w:rsidP="00CA604D">
      <w:pPr>
        <w:pStyle w:val="TOC2"/>
        <w:ind w:left="720" w:hanging="450"/>
        <w:rPr>
          <w:rFonts w:eastAsiaTheme="minorEastAsia"/>
          <w:noProof/>
        </w:rPr>
      </w:pPr>
      <w:r>
        <w:rPr>
          <w:noProof/>
        </w:rPr>
        <w:t>A10.</w:t>
      </w:r>
      <w:r>
        <w:rPr>
          <w:rFonts w:eastAsiaTheme="minorEastAsia"/>
          <w:noProof/>
        </w:rPr>
        <w:tab/>
      </w:r>
      <w:r>
        <w:rPr>
          <w:noProof/>
        </w:rPr>
        <w:t xml:space="preserve">  Assurance of Confidentiality Provided to Respondents</w:t>
      </w:r>
      <w:r>
        <w:rPr>
          <w:noProof/>
        </w:rPr>
        <w:tab/>
      </w:r>
      <w:r>
        <w:rPr>
          <w:noProof/>
        </w:rPr>
        <w:fldChar w:fldCharType="begin"/>
      </w:r>
      <w:r>
        <w:rPr>
          <w:noProof/>
        </w:rPr>
        <w:instrText xml:space="preserve"> PAGEREF _Toc347997723 \h </w:instrText>
      </w:r>
      <w:r>
        <w:rPr>
          <w:noProof/>
        </w:rPr>
      </w:r>
      <w:r>
        <w:rPr>
          <w:noProof/>
        </w:rPr>
        <w:fldChar w:fldCharType="separate"/>
      </w:r>
      <w:r w:rsidR="00157947">
        <w:rPr>
          <w:noProof/>
        </w:rPr>
        <w:t>19</w:t>
      </w:r>
      <w:r>
        <w:rPr>
          <w:noProof/>
        </w:rPr>
        <w:fldChar w:fldCharType="end"/>
      </w:r>
    </w:p>
    <w:p w:rsidR="00CA604D" w:rsidRDefault="00CA604D" w:rsidP="00CA604D">
      <w:pPr>
        <w:pStyle w:val="TOC2"/>
        <w:ind w:left="720" w:hanging="450"/>
        <w:rPr>
          <w:rFonts w:eastAsiaTheme="minorEastAsia"/>
          <w:noProof/>
        </w:rPr>
      </w:pPr>
      <w:r>
        <w:rPr>
          <w:noProof/>
        </w:rPr>
        <w:t>A11.</w:t>
      </w:r>
      <w:r>
        <w:rPr>
          <w:rFonts w:eastAsiaTheme="minorEastAsia"/>
          <w:noProof/>
        </w:rPr>
        <w:tab/>
      </w:r>
      <w:r>
        <w:rPr>
          <w:noProof/>
        </w:rPr>
        <w:t>Justification for Sensitive Questions</w:t>
      </w:r>
      <w:r>
        <w:rPr>
          <w:noProof/>
        </w:rPr>
        <w:tab/>
      </w:r>
      <w:r>
        <w:rPr>
          <w:noProof/>
        </w:rPr>
        <w:fldChar w:fldCharType="begin"/>
      </w:r>
      <w:r>
        <w:rPr>
          <w:noProof/>
        </w:rPr>
        <w:instrText xml:space="preserve"> PAGEREF _Toc347997724 \h </w:instrText>
      </w:r>
      <w:r>
        <w:rPr>
          <w:noProof/>
        </w:rPr>
      </w:r>
      <w:r>
        <w:rPr>
          <w:noProof/>
        </w:rPr>
        <w:fldChar w:fldCharType="separate"/>
      </w:r>
      <w:r w:rsidR="00157947">
        <w:rPr>
          <w:noProof/>
        </w:rPr>
        <w:t>21</w:t>
      </w:r>
      <w:r>
        <w:rPr>
          <w:noProof/>
        </w:rPr>
        <w:fldChar w:fldCharType="end"/>
      </w:r>
    </w:p>
    <w:p w:rsidR="00CA604D" w:rsidRDefault="00CA604D" w:rsidP="00CA604D">
      <w:pPr>
        <w:pStyle w:val="TOC2"/>
        <w:ind w:left="720" w:hanging="450"/>
        <w:rPr>
          <w:rFonts w:eastAsiaTheme="minorEastAsia"/>
          <w:noProof/>
        </w:rPr>
      </w:pPr>
      <w:r>
        <w:rPr>
          <w:noProof/>
        </w:rPr>
        <w:t>A12.</w:t>
      </w:r>
      <w:r>
        <w:rPr>
          <w:rFonts w:eastAsiaTheme="minorEastAsia"/>
          <w:noProof/>
        </w:rPr>
        <w:tab/>
      </w:r>
      <w:r>
        <w:rPr>
          <w:noProof/>
        </w:rPr>
        <w:t>Estimates of Annualized Burden Hours and Costs</w:t>
      </w:r>
      <w:r>
        <w:rPr>
          <w:noProof/>
        </w:rPr>
        <w:tab/>
      </w:r>
      <w:r>
        <w:rPr>
          <w:noProof/>
        </w:rPr>
        <w:fldChar w:fldCharType="begin"/>
      </w:r>
      <w:r>
        <w:rPr>
          <w:noProof/>
        </w:rPr>
        <w:instrText xml:space="preserve"> PAGEREF _Toc347997725 \h </w:instrText>
      </w:r>
      <w:r>
        <w:rPr>
          <w:noProof/>
        </w:rPr>
      </w:r>
      <w:r>
        <w:rPr>
          <w:noProof/>
        </w:rPr>
        <w:fldChar w:fldCharType="separate"/>
      </w:r>
      <w:r w:rsidR="00157947">
        <w:rPr>
          <w:noProof/>
        </w:rPr>
        <w:t>22</w:t>
      </w:r>
      <w:r>
        <w:rPr>
          <w:noProof/>
        </w:rPr>
        <w:fldChar w:fldCharType="end"/>
      </w:r>
    </w:p>
    <w:p w:rsidR="00CA604D" w:rsidRDefault="00CA604D" w:rsidP="00CA604D">
      <w:pPr>
        <w:pStyle w:val="TOC2"/>
        <w:ind w:left="720" w:hanging="450"/>
        <w:rPr>
          <w:rFonts w:eastAsiaTheme="minorEastAsia"/>
          <w:noProof/>
        </w:rPr>
      </w:pPr>
      <w:r>
        <w:rPr>
          <w:noProof/>
        </w:rPr>
        <w:t>A13.</w:t>
      </w:r>
      <w:r>
        <w:rPr>
          <w:rFonts w:eastAsiaTheme="minorEastAsia"/>
          <w:noProof/>
        </w:rPr>
        <w:tab/>
      </w:r>
      <w:r>
        <w:rPr>
          <w:noProof/>
        </w:rPr>
        <w:t>Estimates of Other Total Annual Cost Burden to Respondents or Record Keepers</w:t>
      </w:r>
      <w:r>
        <w:rPr>
          <w:noProof/>
        </w:rPr>
        <w:tab/>
      </w:r>
      <w:r>
        <w:rPr>
          <w:noProof/>
        </w:rPr>
        <w:fldChar w:fldCharType="begin"/>
      </w:r>
      <w:r>
        <w:rPr>
          <w:noProof/>
        </w:rPr>
        <w:instrText xml:space="preserve"> PAGEREF _Toc347997726 \h </w:instrText>
      </w:r>
      <w:r>
        <w:rPr>
          <w:noProof/>
        </w:rPr>
      </w:r>
      <w:r>
        <w:rPr>
          <w:noProof/>
        </w:rPr>
        <w:fldChar w:fldCharType="separate"/>
      </w:r>
      <w:r w:rsidR="00157947">
        <w:rPr>
          <w:noProof/>
        </w:rPr>
        <w:t>24</w:t>
      </w:r>
      <w:r>
        <w:rPr>
          <w:noProof/>
        </w:rPr>
        <w:fldChar w:fldCharType="end"/>
      </w:r>
    </w:p>
    <w:p w:rsidR="00CA604D" w:rsidRDefault="00CA604D" w:rsidP="00CA604D">
      <w:pPr>
        <w:pStyle w:val="TOC2"/>
        <w:ind w:left="720" w:hanging="450"/>
        <w:rPr>
          <w:rFonts w:eastAsiaTheme="minorEastAsia"/>
          <w:noProof/>
        </w:rPr>
      </w:pPr>
      <w:r>
        <w:rPr>
          <w:noProof/>
        </w:rPr>
        <w:t>A14.</w:t>
      </w:r>
      <w:r>
        <w:rPr>
          <w:rFonts w:eastAsiaTheme="minorEastAsia"/>
          <w:noProof/>
        </w:rPr>
        <w:tab/>
      </w:r>
      <w:r>
        <w:rPr>
          <w:noProof/>
        </w:rPr>
        <w:t>Annualized Cost to the Government</w:t>
      </w:r>
      <w:r>
        <w:rPr>
          <w:noProof/>
        </w:rPr>
        <w:tab/>
      </w:r>
      <w:r>
        <w:rPr>
          <w:noProof/>
        </w:rPr>
        <w:fldChar w:fldCharType="begin"/>
      </w:r>
      <w:r>
        <w:rPr>
          <w:noProof/>
        </w:rPr>
        <w:instrText xml:space="preserve"> PAGEREF _Toc347997727 \h </w:instrText>
      </w:r>
      <w:r>
        <w:rPr>
          <w:noProof/>
        </w:rPr>
      </w:r>
      <w:r>
        <w:rPr>
          <w:noProof/>
        </w:rPr>
        <w:fldChar w:fldCharType="separate"/>
      </w:r>
      <w:r w:rsidR="00157947">
        <w:rPr>
          <w:noProof/>
        </w:rPr>
        <w:t>24</w:t>
      </w:r>
      <w:r>
        <w:rPr>
          <w:noProof/>
        </w:rPr>
        <w:fldChar w:fldCharType="end"/>
      </w:r>
    </w:p>
    <w:p w:rsidR="00CA604D" w:rsidRDefault="00CA604D" w:rsidP="00CA604D">
      <w:pPr>
        <w:pStyle w:val="TOC2"/>
        <w:ind w:left="720" w:hanging="450"/>
        <w:rPr>
          <w:rFonts w:eastAsiaTheme="minorEastAsia"/>
          <w:noProof/>
        </w:rPr>
      </w:pPr>
      <w:r>
        <w:rPr>
          <w:noProof/>
        </w:rPr>
        <w:t>A15.</w:t>
      </w:r>
      <w:r>
        <w:rPr>
          <w:rFonts w:eastAsiaTheme="minorEastAsia"/>
          <w:noProof/>
        </w:rPr>
        <w:tab/>
      </w:r>
      <w:r>
        <w:rPr>
          <w:noProof/>
        </w:rPr>
        <w:t>Explanation for Program Changes or Adjustments</w:t>
      </w:r>
      <w:r>
        <w:rPr>
          <w:noProof/>
        </w:rPr>
        <w:tab/>
      </w:r>
      <w:r>
        <w:rPr>
          <w:noProof/>
        </w:rPr>
        <w:fldChar w:fldCharType="begin"/>
      </w:r>
      <w:r>
        <w:rPr>
          <w:noProof/>
        </w:rPr>
        <w:instrText xml:space="preserve"> PAGEREF _Toc347997728 \h </w:instrText>
      </w:r>
      <w:r>
        <w:rPr>
          <w:noProof/>
        </w:rPr>
      </w:r>
      <w:r>
        <w:rPr>
          <w:noProof/>
        </w:rPr>
        <w:fldChar w:fldCharType="separate"/>
      </w:r>
      <w:r w:rsidR="00157947">
        <w:rPr>
          <w:noProof/>
        </w:rPr>
        <w:t>25</w:t>
      </w:r>
      <w:r>
        <w:rPr>
          <w:noProof/>
        </w:rPr>
        <w:fldChar w:fldCharType="end"/>
      </w:r>
    </w:p>
    <w:p w:rsidR="00CA604D" w:rsidRDefault="00CA604D" w:rsidP="00CA604D">
      <w:pPr>
        <w:pStyle w:val="TOC2"/>
        <w:ind w:left="720" w:hanging="450"/>
        <w:rPr>
          <w:rFonts w:eastAsiaTheme="minorEastAsia"/>
          <w:noProof/>
        </w:rPr>
      </w:pPr>
      <w:r>
        <w:rPr>
          <w:noProof/>
        </w:rPr>
        <w:t>A16.</w:t>
      </w:r>
      <w:r>
        <w:rPr>
          <w:rFonts w:eastAsiaTheme="minorEastAsia"/>
          <w:noProof/>
        </w:rPr>
        <w:tab/>
      </w:r>
      <w:r>
        <w:rPr>
          <w:noProof/>
        </w:rPr>
        <w:t>Plans for Tabulation and Publication and Project Time Schedule</w:t>
      </w:r>
      <w:r>
        <w:rPr>
          <w:noProof/>
        </w:rPr>
        <w:tab/>
      </w:r>
      <w:r>
        <w:rPr>
          <w:noProof/>
        </w:rPr>
        <w:fldChar w:fldCharType="begin"/>
      </w:r>
      <w:r>
        <w:rPr>
          <w:noProof/>
        </w:rPr>
        <w:instrText xml:space="preserve"> PAGEREF _Toc347997729 \h </w:instrText>
      </w:r>
      <w:r>
        <w:rPr>
          <w:noProof/>
        </w:rPr>
      </w:r>
      <w:r>
        <w:rPr>
          <w:noProof/>
        </w:rPr>
        <w:fldChar w:fldCharType="separate"/>
      </w:r>
      <w:r w:rsidR="00157947">
        <w:rPr>
          <w:noProof/>
        </w:rPr>
        <w:t>25</w:t>
      </w:r>
      <w:r>
        <w:rPr>
          <w:noProof/>
        </w:rPr>
        <w:fldChar w:fldCharType="end"/>
      </w:r>
    </w:p>
    <w:p w:rsidR="00CA604D" w:rsidRDefault="00CA604D" w:rsidP="00CA604D">
      <w:pPr>
        <w:pStyle w:val="TOC1"/>
        <w:ind w:left="720" w:hanging="450"/>
        <w:rPr>
          <w:rFonts w:eastAsiaTheme="minorEastAsia"/>
          <w:noProof/>
        </w:rPr>
      </w:pPr>
      <w:r>
        <w:rPr>
          <w:noProof/>
        </w:rPr>
        <w:t>A17. Reason(s) Display of OMB Expiration Date is Inappropriate</w:t>
      </w:r>
      <w:r>
        <w:rPr>
          <w:noProof/>
        </w:rPr>
        <w:tab/>
      </w:r>
      <w:r>
        <w:rPr>
          <w:noProof/>
        </w:rPr>
        <w:fldChar w:fldCharType="begin"/>
      </w:r>
      <w:r>
        <w:rPr>
          <w:noProof/>
        </w:rPr>
        <w:instrText xml:space="preserve"> PAGEREF _Toc347997730 \h </w:instrText>
      </w:r>
      <w:r>
        <w:rPr>
          <w:noProof/>
        </w:rPr>
      </w:r>
      <w:r>
        <w:rPr>
          <w:noProof/>
        </w:rPr>
        <w:fldChar w:fldCharType="separate"/>
      </w:r>
      <w:r w:rsidR="00157947">
        <w:rPr>
          <w:noProof/>
        </w:rPr>
        <w:t>27</w:t>
      </w:r>
      <w:r>
        <w:rPr>
          <w:noProof/>
        </w:rPr>
        <w:fldChar w:fldCharType="end"/>
      </w:r>
    </w:p>
    <w:p w:rsidR="00CA604D" w:rsidRDefault="00CA604D" w:rsidP="00CA604D">
      <w:pPr>
        <w:pStyle w:val="TOC1"/>
        <w:ind w:left="720" w:hanging="450"/>
        <w:rPr>
          <w:rFonts w:eastAsiaTheme="minorEastAsia"/>
          <w:noProof/>
        </w:rPr>
      </w:pPr>
      <w:r>
        <w:rPr>
          <w:noProof/>
        </w:rPr>
        <w:t>A18.</w:t>
      </w:r>
      <w:r>
        <w:rPr>
          <w:rFonts w:eastAsiaTheme="minorEastAsia"/>
          <w:noProof/>
        </w:rPr>
        <w:tab/>
      </w:r>
      <w:r>
        <w:rPr>
          <w:noProof/>
        </w:rPr>
        <w:t>Exceptions to Certification for Paperwork Reduction Act Submissions</w:t>
      </w:r>
      <w:r>
        <w:rPr>
          <w:noProof/>
        </w:rPr>
        <w:tab/>
      </w:r>
      <w:r>
        <w:rPr>
          <w:noProof/>
        </w:rPr>
        <w:fldChar w:fldCharType="begin"/>
      </w:r>
      <w:r>
        <w:rPr>
          <w:noProof/>
        </w:rPr>
        <w:instrText xml:space="preserve"> PAGEREF _Toc347997731 \h </w:instrText>
      </w:r>
      <w:r>
        <w:rPr>
          <w:noProof/>
        </w:rPr>
      </w:r>
      <w:r>
        <w:rPr>
          <w:noProof/>
        </w:rPr>
        <w:fldChar w:fldCharType="separate"/>
      </w:r>
      <w:r w:rsidR="00157947">
        <w:rPr>
          <w:noProof/>
        </w:rPr>
        <w:t>27</w:t>
      </w:r>
      <w:r>
        <w:rPr>
          <w:noProof/>
        </w:rPr>
        <w:fldChar w:fldCharType="end"/>
      </w:r>
    </w:p>
    <w:p w:rsidR="00DF4D93" w:rsidRDefault="002F1B92" w:rsidP="00ED3E7B">
      <w:pPr>
        <w:spacing w:after="0" w:line="240" w:lineRule="auto"/>
        <w:rPr>
          <w:rFonts w:ascii="Georgia" w:hAnsi="Georgia" w:cs="Times New Roman"/>
          <w:sz w:val="24"/>
          <w:szCs w:val="24"/>
        </w:rPr>
      </w:pPr>
      <w:r w:rsidRPr="002F1B92">
        <w:rPr>
          <w:rFonts w:ascii="Georgia" w:hAnsi="Georgia" w:cs="Times New Roman"/>
          <w:sz w:val="24"/>
          <w:szCs w:val="24"/>
        </w:rPr>
        <w:fldChar w:fldCharType="end"/>
      </w:r>
    </w:p>
    <w:p w:rsidR="00ED3E7B" w:rsidRPr="00DF4D93" w:rsidRDefault="00ED3E7B" w:rsidP="00ED3E7B">
      <w:pPr>
        <w:spacing w:after="0" w:line="240" w:lineRule="auto"/>
        <w:rPr>
          <w:rFonts w:ascii="Georgia" w:hAnsi="Georgia" w:cs="Times New Roman"/>
          <w:sz w:val="24"/>
          <w:szCs w:val="24"/>
        </w:rPr>
      </w:pPr>
      <w:r>
        <w:rPr>
          <w:rFonts w:ascii="Georgia" w:hAnsi="Georgia" w:cs="Times New Roman"/>
        </w:rPr>
        <w:tab/>
      </w:r>
      <w:r>
        <w:rPr>
          <w:rFonts w:ascii="Georgia" w:hAnsi="Georgia" w:cs="Times New Roman"/>
        </w:rPr>
        <w:tab/>
      </w:r>
    </w:p>
    <w:p w:rsidR="00AD1807" w:rsidRDefault="00AD1807" w:rsidP="00AD1807">
      <w:pPr>
        <w:spacing w:after="0" w:line="240" w:lineRule="auto"/>
        <w:ind w:firstLine="720"/>
        <w:rPr>
          <w:rFonts w:ascii="Georgia" w:hAnsi="Georgia" w:cs="Times New Roman"/>
        </w:rPr>
      </w:pPr>
    </w:p>
    <w:p w:rsidR="00AD1807" w:rsidRDefault="00AD1807" w:rsidP="00AD1807">
      <w:pPr>
        <w:spacing w:after="0" w:line="240" w:lineRule="auto"/>
        <w:rPr>
          <w:rFonts w:ascii="Georgia" w:hAnsi="Georgia" w:cs="Times New Roman"/>
        </w:rPr>
      </w:pPr>
      <w:r>
        <w:rPr>
          <w:rFonts w:ascii="Georgia" w:hAnsi="Georgia" w:cs="Times New Roman"/>
        </w:rPr>
        <w:t>LIST OF ATTACHMENTS</w:t>
      </w:r>
    </w:p>
    <w:p w:rsidR="00AD1807" w:rsidRDefault="00AD1807" w:rsidP="00AD1807">
      <w:pPr>
        <w:spacing w:after="0" w:line="240" w:lineRule="auto"/>
        <w:rPr>
          <w:rFonts w:ascii="Georgia" w:hAnsi="Georgia" w:cs="Times New Roman"/>
        </w:rPr>
      </w:pPr>
    </w:p>
    <w:p w:rsidR="00AD1807" w:rsidRDefault="00AD1807" w:rsidP="00AD1807">
      <w:pPr>
        <w:spacing w:after="0" w:line="240" w:lineRule="auto"/>
        <w:rPr>
          <w:rFonts w:ascii="Georgia" w:hAnsi="Georgia" w:cs="Times New Roman"/>
        </w:rPr>
      </w:pPr>
      <w:r>
        <w:rPr>
          <w:rFonts w:ascii="Georgia" w:hAnsi="Georgia" w:cs="Times New Roman"/>
        </w:rPr>
        <w:t>Attachment A: Occupational Safety and Health Act [29CFR § 671]</w:t>
      </w:r>
    </w:p>
    <w:p w:rsidR="00AD1807" w:rsidRDefault="00AD1807" w:rsidP="00AD1807">
      <w:pPr>
        <w:spacing w:after="0" w:line="240" w:lineRule="auto"/>
        <w:rPr>
          <w:rFonts w:ascii="Georgia" w:hAnsi="Georgia" w:cs="Times New Roman"/>
        </w:rPr>
      </w:pPr>
      <w:r>
        <w:rPr>
          <w:rFonts w:ascii="Georgia" w:hAnsi="Georgia" w:cs="Times New Roman"/>
        </w:rPr>
        <w:t xml:space="preserve">Attachment B: </w:t>
      </w:r>
      <w:r w:rsidR="005C345B">
        <w:rPr>
          <w:rFonts w:ascii="Georgia" w:hAnsi="Georgia" w:cs="Times New Roman"/>
        </w:rPr>
        <w:t>60-day federal Register Notice</w:t>
      </w:r>
    </w:p>
    <w:p w:rsidR="00AD1807" w:rsidRDefault="00AD1807" w:rsidP="00AD1807">
      <w:pPr>
        <w:spacing w:after="0" w:line="240" w:lineRule="auto"/>
        <w:rPr>
          <w:rFonts w:ascii="Georgia" w:hAnsi="Georgia" w:cs="Times New Roman"/>
        </w:rPr>
      </w:pPr>
      <w:r>
        <w:rPr>
          <w:rFonts w:ascii="Georgia" w:hAnsi="Georgia" w:cs="Times New Roman"/>
        </w:rPr>
        <w:t>Attachment C</w:t>
      </w:r>
      <w:r w:rsidR="0032255D">
        <w:rPr>
          <w:rFonts w:ascii="Georgia" w:hAnsi="Georgia" w:cs="Times New Roman"/>
        </w:rPr>
        <w:t>-1</w:t>
      </w:r>
      <w:r>
        <w:rPr>
          <w:rFonts w:ascii="Georgia" w:hAnsi="Georgia" w:cs="Times New Roman"/>
        </w:rPr>
        <w:t>:</w:t>
      </w:r>
      <w:r w:rsidR="005C345B">
        <w:rPr>
          <w:rFonts w:ascii="Georgia" w:hAnsi="Georgia" w:cs="Times New Roman"/>
        </w:rPr>
        <w:t xml:space="preserve"> </w:t>
      </w:r>
      <w:r w:rsidR="0032255D">
        <w:rPr>
          <w:rFonts w:ascii="Georgia" w:hAnsi="Georgia" w:cs="Times New Roman"/>
        </w:rPr>
        <w:t xml:space="preserve">Computer-Assisted Personal Interview </w:t>
      </w:r>
      <w:r w:rsidR="005C345B">
        <w:rPr>
          <w:rFonts w:ascii="Georgia" w:hAnsi="Georgia" w:cs="Times New Roman"/>
        </w:rPr>
        <w:t>Data Collection Form</w:t>
      </w:r>
    </w:p>
    <w:p w:rsidR="0032255D" w:rsidRDefault="0032255D" w:rsidP="00DF5904">
      <w:pPr>
        <w:spacing w:after="0" w:line="240" w:lineRule="auto"/>
        <w:ind w:left="1440" w:hanging="1440"/>
        <w:rPr>
          <w:rFonts w:ascii="Georgia" w:hAnsi="Georgia" w:cs="Times New Roman"/>
        </w:rPr>
      </w:pPr>
      <w:r>
        <w:rPr>
          <w:rFonts w:ascii="Georgia" w:hAnsi="Georgia" w:cs="Times New Roman"/>
        </w:rPr>
        <w:t>Attachment C-2: Form used by NIOSH researchers to record observations of e</w:t>
      </w:r>
      <w:r w:rsidRPr="0032255D">
        <w:rPr>
          <w:rFonts w:ascii="Georgia" w:hAnsi="Georgia" w:cs="Times New Roman"/>
        </w:rPr>
        <w:t>xposure factors related to company and employee</w:t>
      </w:r>
    </w:p>
    <w:p w:rsidR="00AD1807" w:rsidRDefault="00AD1807" w:rsidP="00AD1807">
      <w:pPr>
        <w:spacing w:after="0" w:line="240" w:lineRule="auto"/>
        <w:rPr>
          <w:rFonts w:ascii="Georgia" w:hAnsi="Georgia" w:cs="Times New Roman"/>
        </w:rPr>
      </w:pPr>
      <w:r>
        <w:rPr>
          <w:rFonts w:ascii="Georgia" w:hAnsi="Georgia" w:cs="Times New Roman"/>
        </w:rPr>
        <w:t>Attachment D:</w:t>
      </w:r>
      <w:r w:rsidR="005C345B">
        <w:rPr>
          <w:rFonts w:ascii="Georgia" w:hAnsi="Georgia" w:cs="Times New Roman"/>
        </w:rPr>
        <w:t xml:space="preserve"> Informed Consent Form</w:t>
      </w:r>
    </w:p>
    <w:p w:rsidR="002A6085" w:rsidRDefault="002A6085" w:rsidP="00AD1807">
      <w:pPr>
        <w:spacing w:after="0" w:line="240" w:lineRule="auto"/>
        <w:rPr>
          <w:rFonts w:ascii="Georgia" w:hAnsi="Georgia" w:cs="Times New Roman"/>
        </w:rPr>
      </w:pPr>
      <w:r>
        <w:rPr>
          <w:rFonts w:ascii="Georgia" w:hAnsi="Georgia" w:cs="Times New Roman"/>
        </w:rPr>
        <w:t>Attachment E: Study Protocol Approval Letter from NIOSH Institutional Review Board</w:t>
      </w:r>
    </w:p>
    <w:p w:rsidR="00FD152C" w:rsidRDefault="00FD152C" w:rsidP="00AA2672">
      <w:pPr>
        <w:spacing w:after="0" w:line="240" w:lineRule="auto"/>
        <w:ind w:left="1440" w:hanging="1440"/>
        <w:rPr>
          <w:rFonts w:ascii="Georgia" w:hAnsi="Georgia" w:cs="Times New Roman"/>
        </w:rPr>
      </w:pPr>
      <w:r>
        <w:rPr>
          <w:rFonts w:ascii="Georgia" w:hAnsi="Georgia" w:cs="Times New Roman"/>
        </w:rPr>
        <w:t>Attachment F: Example Notification Letters for Individual Participant Biomarker Results and Overall Study Findings</w:t>
      </w:r>
    </w:p>
    <w:p w:rsidR="00DF4D93" w:rsidRDefault="00DF4D93" w:rsidP="00DF4D93">
      <w:pPr>
        <w:pStyle w:val="Heading1"/>
        <w:rPr>
          <w:b/>
        </w:rPr>
      </w:pPr>
      <w:bookmarkStart w:id="0" w:name="_Toc345399528"/>
    </w:p>
    <w:p w:rsidR="00D258F4" w:rsidRPr="00E321F3" w:rsidRDefault="008C0E29" w:rsidP="00DF4D93">
      <w:pPr>
        <w:pStyle w:val="Heading1"/>
        <w:rPr>
          <w:b/>
        </w:rPr>
      </w:pPr>
      <w:bookmarkStart w:id="1" w:name="_Toc347997713"/>
      <w:r w:rsidRPr="00E321F3">
        <w:rPr>
          <w:b/>
        </w:rPr>
        <w:lastRenderedPageBreak/>
        <w:t>S</w:t>
      </w:r>
      <w:r w:rsidR="006E1E57">
        <w:rPr>
          <w:b/>
        </w:rPr>
        <w:t>ection</w:t>
      </w:r>
      <w:r w:rsidRPr="00E321F3">
        <w:rPr>
          <w:b/>
        </w:rPr>
        <w:t xml:space="preserve"> A.</w:t>
      </w:r>
      <w:r w:rsidR="006E1E57">
        <w:rPr>
          <w:b/>
        </w:rPr>
        <w:t xml:space="preserve"> </w:t>
      </w:r>
      <w:r w:rsidRPr="00E321F3">
        <w:rPr>
          <w:b/>
        </w:rPr>
        <w:t xml:space="preserve"> </w:t>
      </w:r>
      <w:r w:rsidR="006E1E57">
        <w:rPr>
          <w:b/>
        </w:rPr>
        <w:t>Justification</w:t>
      </w:r>
      <w:bookmarkEnd w:id="0"/>
      <w:bookmarkEnd w:id="1"/>
    </w:p>
    <w:p w:rsidR="008C0E29" w:rsidRPr="00E321F3" w:rsidRDefault="008C0E29" w:rsidP="00E321F3">
      <w:pPr>
        <w:pStyle w:val="Heading2"/>
      </w:pPr>
      <w:bookmarkStart w:id="2" w:name="_Toc345399529"/>
      <w:bookmarkStart w:id="3" w:name="_Toc347997714"/>
      <w:r w:rsidRPr="00E321F3">
        <w:t>A.1.</w:t>
      </w:r>
      <w:r w:rsidRPr="00E321F3">
        <w:tab/>
        <w:t>Circumstances Making the Collection of Information Necessary</w:t>
      </w:r>
      <w:bookmarkEnd w:id="2"/>
      <w:bookmarkEnd w:id="3"/>
    </w:p>
    <w:p w:rsidR="008C0E29" w:rsidRPr="00E3106D" w:rsidRDefault="008C0E29" w:rsidP="00D62C2C">
      <w:pPr>
        <w:spacing w:after="100" w:afterAutospacing="1" w:line="360" w:lineRule="auto"/>
        <w:rPr>
          <w:rFonts w:ascii="Georgia" w:hAnsi="Georgia" w:cs="Times New Roman"/>
          <w:sz w:val="24"/>
          <w:szCs w:val="24"/>
          <w:u w:val="single"/>
        </w:rPr>
      </w:pPr>
      <w:r w:rsidRPr="00E3106D">
        <w:rPr>
          <w:rFonts w:ascii="Georgia" w:hAnsi="Georgia" w:cs="Times New Roman"/>
          <w:sz w:val="24"/>
          <w:szCs w:val="24"/>
          <w:u w:val="single"/>
        </w:rPr>
        <w:t>Background</w:t>
      </w:r>
    </w:p>
    <w:p w:rsidR="008C0E29" w:rsidRPr="00D62C2C" w:rsidRDefault="008C0E29" w:rsidP="00D62C2C">
      <w:pPr>
        <w:spacing w:after="100" w:afterAutospacing="1" w:line="360" w:lineRule="auto"/>
        <w:rPr>
          <w:rFonts w:ascii="Georgia" w:hAnsi="Georgia" w:cs="Times New Roman"/>
          <w:sz w:val="24"/>
          <w:szCs w:val="24"/>
        </w:rPr>
      </w:pPr>
      <w:r w:rsidRPr="00D62C2C">
        <w:rPr>
          <w:rFonts w:ascii="Georgia" w:hAnsi="Georgia" w:cs="Times New Roman"/>
          <w:sz w:val="24"/>
          <w:szCs w:val="24"/>
        </w:rPr>
        <w:t xml:space="preserve">This is a new information collection request (ICR) from the National Institute for Occupational Safety and </w:t>
      </w:r>
      <w:r w:rsidR="00333F83">
        <w:rPr>
          <w:rFonts w:ascii="Georgia" w:hAnsi="Georgia" w:cs="Times New Roman"/>
          <w:sz w:val="24"/>
          <w:szCs w:val="24"/>
        </w:rPr>
        <w:t>H</w:t>
      </w:r>
      <w:r w:rsidR="00333F83" w:rsidRPr="00D62C2C">
        <w:rPr>
          <w:rFonts w:ascii="Georgia" w:hAnsi="Georgia" w:cs="Times New Roman"/>
          <w:sz w:val="24"/>
          <w:szCs w:val="24"/>
        </w:rPr>
        <w:t xml:space="preserve">ealth </w:t>
      </w:r>
      <w:r w:rsidRPr="00D62C2C">
        <w:rPr>
          <w:rFonts w:ascii="Georgia" w:hAnsi="Georgia" w:cs="Times New Roman"/>
          <w:sz w:val="24"/>
          <w:szCs w:val="24"/>
        </w:rPr>
        <w:t>(NIOSH), Centers for Disease Control and Prevention (CDC).  This data collection is authorized by Section 20(a)(1) of the Occupational Safety and Health Act (29 U.S.C. 669) (</w:t>
      </w:r>
      <w:r w:rsidRPr="00D62C2C">
        <w:rPr>
          <w:rFonts w:ascii="Georgia" w:hAnsi="Georgia" w:cs="Times New Roman"/>
          <w:b/>
          <w:sz w:val="24"/>
          <w:szCs w:val="24"/>
        </w:rPr>
        <w:t>Attachment A</w:t>
      </w:r>
      <w:r w:rsidRPr="00D62C2C">
        <w:rPr>
          <w:rFonts w:ascii="Georgia" w:hAnsi="Georgia" w:cs="Times New Roman"/>
          <w:sz w:val="24"/>
          <w:szCs w:val="24"/>
        </w:rPr>
        <w:t xml:space="preserve">).  The 60-day Notice for this collection was published in the Federal Register on </w:t>
      </w:r>
      <w:r w:rsidR="00BF1B31">
        <w:rPr>
          <w:rFonts w:ascii="Georgia" w:hAnsi="Georgia" w:cs="Times New Roman"/>
          <w:sz w:val="24"/>
          <w:szCs w:val="24"/>
        </w:rPr>
        <w:t>September 20, 2012</w:t>
      </w:r>
      <w:r w:rsidR="00BF1B31" w:rsidRPr="00D62C2C">
        <w:rPr>
          <w:rFonts w:ascii="Georgia" w:hAnsi="Georgia" w:cs="Times New Roman"/>
          <w:sz w:val="24"/>
          <w:szCs w:val="24"/>
        </w:rPr>
        <w:t xml:space="preserve">, </w:t>
      </w:r>
      <w:r w:rsidRPr="00D62C2C">
        <w:rPr>
          <w:rFonts w:ascii="Georgia" w:hAnsi="Georgia" w:cs="Times New Roman"/>
          <w:sz w:val="24"/>
          <w:szCs w:val="24"/>
        </w:rPr>
        <w:t>as required by 5 CFR 1320.8(d) (</w:t>
      </w:r>
      <w:r w:rsidRPr="00D62C2C">
        <w:rPr>
          <w:rFonts w:ascii="Georgia" w:hAnsi="Georgia" w:cs="Times New Roman"/>
          <w:b/>
          <w:sz w:val="24"/>
          <w:szCs w:val="24"/>
        </w:rPr>
        <w:t>Attachment B</w:t>
      </w:r>
      <w:r w:rsidRPr="00D62C2C">
        <w:rPr>
          <w:rFonts w:ascii="Georgia" w:hAnsi="Georgia" w:cs="Times New Roman"/>
          <w:sz w:val="24"/>
          <w:szCs w:val="24"/>
        </w:rPr>
        <w:t>).</w:t>
      </w:r>
    </w:p>
    <w:p w:rsidR="008C0E29" w:rsidRPr="00D62C2C" w:rsidRDefault="00CA796D" w:rsidP="00D62C2C">
      <w:pPr>
        <w:spacing w:after="100" w:afterAutospacing="1" w:line="360" w:lineRule="auto"/>
        <w:rPr>
          <w:rFonts w:ascii="Georgia" w:hAnsi="Georgia" w:cs="Times New Roman"/>
          <w:sz w:val="24"/>
          <w:szCs w:val="24"/>
        </w:rPr>
      </w:pPr>
      <w:r w:rsidRPr="00D62C2C">
        <w:rPr>
          <w:rFonts w:ascii="Georgia" w:hAnsi="Georgia" w:cs="Times New Roman"/>
          <w:sz w:val="24"/>
          <w:szCs w:val="24"/>
        </w:rPr>
        <w:t>The mission of the NIOSH is to promote safety and health at work for all people through research and prevention.  The Occupational Safety a</w:t>
      </w:r>
      <w:r w:rsidR="00E06DD2" w:rsidRPr="00D62C2C">
        <w:rPr>
          <w:rFonts w:ascii="Georgia" w:hAnsi="Georgia" w:cs="Times New Roman"/>
          <w:sz w:val="24"/>
          <w:szCs w:val="24"/>
        </w:rPr>
        <w:t>n</w:t>
      </w:r>
      <w:r w:rsidRPr="00D62C2C">
        <w:rPr>
          <w:rFonts w:ascii="Georgia" w:hAnsi="Georgia" w:cs="Times New Roman"/>
          <w:sz w:val="24"/>
          <w:szCs w:val="24"/>
        </w:rPr>
        <w:t>d Health Act of 1970, Public Law 91-596 (Section 20) [a][1] authorizes NIOSH to conduct research to advance the health and safety of workers.  In this capacity, NIOSH will conduct an exposure assessment and epidemiological study of U.S. carbon nanotube (CNT) and carbon nanofiber (CNF) workers</w:t>
      </w:r>
      <w:r w:rsidR="00E06DD2" w:rsidRPr="00D62C2C">
        <w:rPr>
          <w:rFonts w:ascii="Georgia" w:hAnsi="Georgia" w:cs="Times New Roman"/>
          <w:sz w:val="24"/>
          <w:szCs w:val="24"/>
        </w:rPr>
        <w:t>.</w:t>
      </w:r>
    </w:p>
    <w:p w:rsidR="00B46D22" w:rsidRDefault="00E06DD2" w:rsidP="00D62C2C">
      <w:pPr>
        <w:autoSpaceDE w:val="0"/>
        <w:autoSpaceDN w:val="0"/>
        <w:adjustRightInd w:val="0"/>
        <w:spacing w:after="100" w:afterAutospacing="1" w:line="360" w:lineRule="auto"/>
        <w:rPr>
          <w:rFonts w:ascii="Georgia" w:hAnsi="Georgia" w:cs="Courier New"/>
          <w:color w:val="000000"/>
          <w:sz w:val="24"/>
        </w:rPr>
      </w:pPr>
      <w:r w:rsidRPr="00D62C2C">
        <w:rPr>
          <w:rFonts w:ascii="Georgia" w:hAnsi="Georgia" w:cs="Times New Roman"/>
          <w:sz w:val="24"/>
          <w:szCs w:val="24"/>
        </w:rPr>
        <w:t>At present, because of the newness of the technology, much of the occupational exposure to</w:t>
      </w:r>
      <w:r w:rsidR="007319F5" w:rsidRPr="00D62C2C">
        <w:rPr>
          <w:rFonts w:ascii="Georgia" w:hAnsi="Georgia" w:cs="Times New Roman"/>
          <w:sz w:val="24"/>
          <w:szCs w:val="24"/>
        </w:rPr>
        <w:t xml:space="preserve"> engineered nanomaterials occurs at the research and development (R&amp;D) or pilot scale.  </w:t>
      </w:r>
      <w:r w:rsidRPr="00D62C2C">
        <w:rPr>
          <w:rFonts w:ascii="Georgia" w:hAnsi="Georgia" w:cs="Times New Roman"/>
          <w:sz w:val="24"/>
          <w:szCs w:val="24"/>
        </w:rPr>
        <w:t xml:space="preserve"> </w:t>
      </w:r>
      <w:r w:rsidR="007319F5" w:rsidRPr="00D62C2C">
        <w:rPr>
          <w:rFonts w:ascii="Georgia" w:hAnsi="Georgia" w:cs="Times New Roman"/>
          <w:sz w:val="24"/>
          <w:szCs w:val="24"/>
        </w:rPr>
        <w:t xml:space="preserve">There </w:t>
      </w:r>
      <w:r w:rsidR="005147F7" w:rsidRPr="00D62C2C">
        <w:rPr>
          <w:rFonts w:ascii="Georgia" w:hAnsi="Georgia" w:cs="Courier New"/>
          <w:color w:val="000000"/>
          <w:sz w:val="24"/>
        </w:rPr>
        <w:t xml:space="preserve">have been few reliable surveys of the size of the workforce exposed to nanomaterials.  Health effects from exposure to nanomaterials are uncertain, but may be </w:t>
      </w:r>
      <w:r w:rsidR="00AC6E44">
        <w:rPr>
          <w:rFonts w:ascii="Georgia" w:hAnsi="Georgia" w:cs="Courier New"/>
          <w:color w:val="000000"/>
          <w:sz w:val="24"/>
        </w:rPr>
        <w:t>different</w:t>
      </w:r>
      <w:r w:rsidR="005147F7" w:rsidRPr="00D62C2C">
        <w:rPr>
          <w:rFonts w:ascii="Georgia" w:hAnsi="Georgia" w:cs="Courier New"/>
          <w:color w:val="000000"/>
          <w:sz w:val="24"/>
        </w:rPr>
        <w:t xml:space="preserve"> from larger-sized particles of the same material. This is due to the small size, high surface area per unit mass (i.e., specific surface area) or (in some cases) high aspect ratio of nanomaterials.  </w:t>
      </w:r>
      <w:r w:rsidR="004A1F07">
        <w:rPr>
          <w:rFonts w:ascii="Georgia" w:hAnsi="Georgia" w:cs="Courier New"/>
          <w:color w:val="000000"/>
          <w:sz w:val="24"/>
        </w:rPr>
        <w:t>CNT</w:t>
      </w:r>
      <w:r w:rsidR="005147F7" w:rsidRPr="00D62C2C">
        <w:rPr>
          <w:rFonts w:ascii="Georgia" w:hAnsi="Georgia" w:cs="Courier New"/>
          <w:color w:val="000000"/>
          <w:sz w:val="24"/>
        </w:rPr>
        <w:t xml:space="preserve">s and </w:t>
      </w:r>
      <w:r w:rsidR="004A1F07">
        <w:rPr>
          <w:rFonts w:ascii="Georgia" w:hAnsi="Georgia" w:cs="Courier New"/>
          <w:color w:val="000000"/>
          <w:sz w:val="24"/>
        </w:rPr>
        <w:t>CNF</w:t>
      </w:r>
      <w:r w:rsidR="005147F7" w:rsidRPr="00D62C2C">
        <w:rPr>
          <w:rFonts w:ascii="Georgia" w:hAnsi="Georgia" w:cs="Courier New"/>
          <w:color w:val="000000"/>
          <w:sz w:val="24"/>
        </w:rPr>
        <w:t>s are among the nanomaterials of greatest interest from a public health perspective because of their potentially asbestiform properties (e.g., high aspect ratio) and toxicological evidence of possible fibrogenic, inflammatory, and clastogenic damage resulting from exposures at occupationally relevant levels.</w:t>
      </w:r>
      <w:r w:rsidR="00B46D22" w:rsidRPr="00B46D22">
        <w:rPr>
          <w:rFonts w:ascii="Georgia" w:hAnsi="Georgia" w:cs="Courier New"/>
          <w:color w:val="000000"/>
          <w:sz w:val="24"/>
        </w:rPr>
        <w:t xml:space="preserve"> </w:t>
      </w:r>
      <w:r w:rsidR="00B46D22">
        <w:rPr>
          <w:rFonts w:ascii="Georgia" w:hAnsi="Georgia" w:cs="Courier New"/>
          <w:color w:val="000000"/>
          <w:sz w:val="24"/>
        </w:rPr>
        <w:t>Toxicological studies have demonstrated the occurrence of pulmonary fibrosis at occupationally relevant exposure levels (</w:t>
      </w:r>
      <w:r w:rsidR="00B35DE8">
        <w:rPr>
          <w:rFonts w:ascii="Georgia" w:hAnsi="Georgia" w:cs="Courier New"/>
          <w:color w:val="000000"/>
          <w:sz w:val="24"/>
        </w:rPr>
        <w:t>DHHS 2013; NIOSH Current Intelligence Bulletin 65</w:t>
      </w:r>
      <w:r w:rsidR="00B46D22">
        <w:rPr>
          <w:rFonts w:ascii="Georgia" w:hAnsi="Georgia" w:cs="Courier New"/>
          <w:color w:val="000000"/>
          <w:sz w:val="24"/>
        </w:rPr>
        <w:t>).</w:t>
      </w:r>
      <w:r w:rsidR="005147F7" w:rsidRPr="00D62C2C">
        <w:rPr>
          <w:rFonts w:ascii="Georgia" w:hAnsi="Georgia" w:cs="Courier New"/>
          <w:color w:val="000000"/>
          <w:sz w:val="24"/>
        </w:rPr>
        <w:t xml:space="preserve"> </w:t>
      </w:r>
      <w:r w:rsidR="00B46D22">
        <w:rPr>
          <w:rFonts w:ascii="Georgia" w:hAnsi="Georgia" w:cs="Courier New"/>
          <w:color w:val="000000"/>
          <w:sz w:val="24"/>
        </w:rPr>
        <w:t xml:space="preserve">Animal studies have also shown that </w:t>
      </w:r>
      <w:r w:rsidR="00B46D22" w:rsidRPr="00B46D22">
        <w:rPr>
          <w:rFonts w:ascii="Georgia" w:hAnsi="Georgia" w:cs="Courier New"/>
          <w:color w:val="000000"/>
          <w:sz w:val="24"/>
        </w:rPr>
        <w:t>CNT-induced pulmonary inflammation causes release of inflammatory mediators and activation of leukocytes</w:t>
      </w:r>
      <w:r w:rsidR="00B46D22">
        <w:rPr>
          <w:rFonts w:ascii="Georgia" w:hAnsi="Georgia" w:cs="Courier New"/>
          <w:color w:val="000000"/>
          <w:sz w:val="24"/>
        </w:rPr>
        <w:t xml:space="preserve">, </w:t>
      </w:r>
      <w:r w:rsidR="00B46D22">
        <w:rPr>
          <w:rFonts w:ascii="Georgia" w:hAnsi="Georgia" w:cs="Courier New"/>
          <w:color w:val="000000"/>
          <w:sz w:val="24"/>
        </w:rPr>
        <w:lastRenderedPageBreak/>
        <w:t xml:space="preserve">which may </w:t>
      </w:r>
      <w:r w:rsidR="00B46D22" w:rsidRPr="00B46D22">
        <w:rPr>
          <w:rFonts w:ascii="Georgia" w:hAnsi="Georgia" w:cs="Courier New"/>
          <w:color w:val="000000"/>
          <w:sz w:val="24"/>
        </w:rPr>
        <w:t>contribute to cardiovascular disease (CVD)</w:t>
      </w:r>
      <w:r w:rsidR="00B46D22">
        <w:rPr>
          <w:rFonts w:ascii="Georgia" w:hAnsi="Georgia" w:cs="Courier New"/>
          <w:color w:val="000000"/>
          <w:sz w:val="24"/>
        </w:rPr>
        <w:t xml:space="preserve"> (Simeonova and Erdely</w:t>
      </w:r>
      <w:r w:rsidR="009C241F">
        <w:rPr>
          <w:rFonts w:ascii="Georgia" w:hAnsi="Georgia" w:cs="Courier New"/>
          <w:color w:val="000000"/>
          <w:sz w:val="24"/>
        </w:rPr>
        <w:t>;</w:t>
      </w:r>
      <w:r w:rsidR="00B46D22">
        <w:rPr>
          <w:rFonts w:ascii="Georgia" w:hAnsi="Georgia" w:cs="Courier New"/>
          <w:color w:val="000000"/>
          <w:sz w:val="24"/>
        </w:rPr>
        <w:t xml:space="preserve"> </w:t>
      </w:r>
      <w:r w:rsidR="00876B2F" w:rsidRPr="00876B2F">
        <w:rPr>
          <w:rFonts w:ascii="Georgia" w:hAnsi="Georgia" w:cs="Courier New"/>
          <w:i/>
          <w:color w:val="000000"/>
          <w:sz w:val="24"/>
        </w:rPr>
        <w:t>Inhal Toxicol</w:t>
      </w:r>
      <w:r w:rsidR="00876B2F">
        <w:rPr>
          <w:rFonts w:ascii="Georgia" w:hAnsi="Georgia" w:cs="Courier New"/>
          <w:color w:val="000000"/>
          <w:sz w:val="24"/>
        </w:rPr>
        <w:t>. 2009</w:t>
      </w:r>
      <w:r w:rsidR="009C241F">
        <w:rPr>
          <w:rFonts w:ascii="Georgia" w:hAnsi="Georgia" w:cs="Courier New"/>
          <w:color w:val="000000"/>
          <w:sz w:val="24"/>
        </w:rPr>
        <w:t>;</w:t>
      </w:r>
      <w:r w:rsidR="00876B2F">
        <w:rPr>
          <w:rFonts w:ascii="Georgia" w:hAnsi="Georgia" w:cs="Courier New"/>
          <w:color w:val="000000"/>
          <w:sz w:val="24"/>
        </w:rPr>
        <w:t xml:space="preserve"> 21 Suppl 1:68-73). </w:t>
      </w:r>
      <w:r w:rsidR="00B46D22" w:rsidRPr="00B46D22">
        <w:rPr>
          <w:rFonts w:ascii="Georgia" w:hAnsi="Georgia" w:cs="Courier New"/>
          <w:color w:val="000000"/>
          <w:sz w:val="24"/>
        </w:rPr>
        <w:t>Cytokine profiles &amp; gene expression a</w:t>
      </w:r>
      <w:r w:rsidR="00876B2F">
        <w:rPr>
          <w:rFonts w:ascii="Georgia" w:hAnsi="Georgia" w:cs="Courier New"/>
          <w:color w:val="000000"/>
          <w:sz w:val="24"/>
        </w:rPr>
        <w:t xml:space="preserve">nalysis may provide </w:t>
      </w:r>
      <w:r w:rsidR="00B46D22" w:rsidRPr="00B46D22">
        <w:rPr>
          <w:rFonts w:ascii="Georgia" w:hAnsi="Georgia" w:cs="Courier New"/>
          <w:color w:val="000000"/>
          <w:sz w:val="24"/>
        </w:rPr>
        <w:t xml:space="preserve">biomarkers </w:t>
      </w:r>
      <w:r w:rsidR="00876B2F">
        <w:rPr>
          <w:rFonts w:ascii="Georgia" w:hAnsi="Georgia" w:cs="Courier New"/>
          <w:color w:val="000000"/>
          <w:sz w:val="24"/>
        </w:rPr>
        <w:t xml:space="preserve">of either pulmonary or cardiovascular effects of </w:t>
      </w:r>
      <w:r w:rsidR="00B46D22" w:rsidRPr="00B46D22">
        <w:rPr>
          <w:rFonts w:ascii="Georgia" w:hAnsi="Georgia" w:cs="Courier New"/>
          <w:color w:val="000000"/>
          <w:sz w:val="24"/>
        </w:rPr>
        <w:t>CNT</w:t>
      </w:r>
      <w:r w:rsidR="00876B2F">
        <w:rPr>
          <w:rFonts w:ascii="Georgia" w:hAnsi="Georgia" w:cs="Courier New"/>
          <w:color w:val="000000"/>
          <w:sz w:val="24"/>
        </w:rPr>
        <w:t xml:space="preserve"> exposure (Erdely et al.</w:t>
      </w:r>
      <w:r w:rsidR="009C241F">
        <w:rPr>
          <w:rFonts w:ascii="Georgia" w:hAnsi="Georgia" w:cs="Courier New"/>
          <w:color w:val="000000"/>
          <w:sz w:val="24"/>
        </w:rPr>
        <w:t>;</w:t>
      </w:r>
      <w:r w:rsidR="00876B2F">
        <w:rPr>
          <w:rFonts w:ascii="Georgia" w:hAnsi="Georgia" w:cs="Courier New"/>
          <w:color w:val="000000"/>
          <w:sz w:val="24"/>
        </w:rPr>
        <w:t xml:space="preserve"> </w:t>
      </w:r>
      <w:r w:rsidR="009C241F" w:rsidRPr="009C241F">
        <w:rPr>
          <w:rFonts w:ascii="Georgia" w:hAnsi="Georgia" w:cs="Courier New"/>
          <w:i/>
          <w:color w:val="000000"/>
          <w:sz w:val="24"/>
        </w:rPr>
        <w:t>J Occup Environ Med</w:t>
      </w:r>
      <w:r w:rsidR="009C241F">
        <w:rPr>
          <w:rFonts w:ascii="Georgia" w:hAnsi="Georgia" w:cs="Courier New"/>
          <w:color w:val="000000"/>
          <w:sz w:val="24"/>
        </w:rPr>
        <w:t>. 2011</w:t>
      </w:r>
      <w:r w:rsidR="009C241F" w:rsidRPr="009C241F">
        <w:rPr>
          <w:rFonts w:ascii="Georgia" w:hAnsi="Georgia" w:cs="Courier New"/>
          <w:color w:val="000000"/>
          <w:sz w:val="24"/>
        </w:rPr>
        <w:t>;53</w:t>
      </w:r>
      <w:r w:rsidR="009C241F">
        <w:rPr>
          <w:rFonts w:ascii="Georgia" w:hAnsi="Georgia" w:cs="Courier New"/>
          <w:color w:val="000000"/>
          <w:sz w:val="24"/>
        </w:rPr>
        <w:t>:S80-6)</w:t>
      </w:r>
      <w:r w:rsidR="00876B2F">
        <w:rPr>
          <w:rFonts w:ascii="Georgia" w:hAnsi="Georgia" w:cs="Courier New"/>
          <w:color w:val="000000"/>
          <w:sz w:val="24"/>
        </w:rPr>
        <w:t xml:space="preserve">. </w:t>
      </w:r>
    </w:p>
    <w:p w:rsidR="005147F7" w:rsidRDefault="005147F7" w:rsidP="00D62C2C">
      <w:pPr>
        <w:autoSpaceDE w:val="0"/>
        <w:autoSpaceDN w:val="0"/>
        <w:adjustRightInd w:val="0"/>
        <w:spacing w:after="100" w:afterAutospacing="1" w:line="360" w:lineRule="auto"/>
        <w:rPr>
          <w:rFonts w:ascii="Georgia" w:hAnsi="Georgia" w:cs="Courier New"/>
          <w:color w:val="000000"/>
          <w:sz w:val="24"/>
        </w:rPr>
      </w:pPr>
      <w:r w:rsidRPr="00D62C2C">
        <w:rPr>
          <w:rFonts w:ascii="Georgia" w:hAnsi="Georgia" w:cs="Courier New"/>
          <w:color w:val="000000"/>
          <w:sz w:val="24"/>
        </w:rPr>
        <w:t>In addition</w:t>
      </w:r>
      <w:r w:rsidR="00B46D22">
        <w:rPr>
          <w:rFonts w:ascii="Georgia" w:hAnsi="Georgia" w:cs="Courier New"/>
          <w:color w:val="000000"/>
          <w:sz w:val="24"/>
        </w:rPr>
        <w:t xml:space="preserve"> to their potential toxicity</w:t>
      </w:r>
      <w:r w:rsidRPr="00D62C2C">
        <w:rPr>
          <w:rFonts w:ascii="Georgia" w:hAnsi="Georgia" w:cs="Courier New"/>
          <w:color w:val="000000"/>
          <w:sz w:val="24"/>
        </w:rPr>
        <w:t xml:space="preserve">, the useful properties of CNT and CNF have rendered them among the first nanomaterials to be commercially exploited in manufacturing settings.  Thus, an epidemiologic study to </w:t>
      </w:r>
      <w:r w:rsidR="00872B92">
        <w:rPr>
          <w:rFonts w:ascii="Georgia" w:hAnsi="Georgia" w:cs="Courier New"/>
          <w:color w:val="000000"/>
          <w:sz w:val="24"/>
        </w:rPr>
        <w:t>evaluate possible</w:t>
      </w:r>
      <w:r w:rsidRPr="00D62C2C">
        <w:rPr>
          <w:rFonts w:ascii="Georgia" w:hAnsi="Georgia" w:cs="Courier New"/>
          <w:color w:val="000000"/>
          <w:sz w:val="24"/>
        </w:rPr>
        <w:t xml:space="preserve"> early health effects from </w:t>
      </w:r>
      <w:r w:rsidR="00CF2F84">
        <w:rPr>
          <w:rFonts w:ascii="Georgia" w:hAnsi="Georgia" w:cs="Courier New"/>
          <w:color w:val="000000"/>
          <w:sz w:val="24"/>
        </w:rPr>
        <w:t xml:space="preserve">and biological effects of </w:t>
      </w:r>
      <w:r w:rsidRPr="00D62C2C">
        <w:rPr>
          <w:rFonts w:ascii="Georgia" w:hAnsi="Georgia" w:cs="Courier New"/>
          <w:color w:val="000000"/>
          <w:sz w:val="24"/>
        </w:rPr>
        <w:t>occupational exposure to CNT and CNF seems warranted.</w:t>
      </w:r>
    </w:p>
    <w:p w:rsidR="00164532" w:rsidRPr="00164532" w:rsidRDefault="00164532" w:rsidP="00164532">
      <w:pPr>
        <w:autoSpaceDE w:val="0"/>
        <w:autoSpaceDN w:val="0"/>
        <w:adjustRightInd w:val="0"/>
        <w:spacing w:after="100" w:afterAutospacing="1" w:line="360" w:lineRule="auto"/>
        <w:rPr>
          <w:rFonts w:ascii="Georgia" w:hAnsi="Georgia" w:cs="Courier New"/>
          <w:color w:val="000000"/>
          <w:sz w:val="24"/>
        </w:rPr>
      </w:pPr>
      <w:r w:rsidRPr="00164532">
        <w:rPr>
          <w:rFonts w:ascii="Georgia" w:hAnsi="Georgia" w:cs="Courier New"/>
          <w:color w:val="000000"/>
          <w:sz w:val="24"/>
        </w:rPr>
        <w:t>The proposed project supports the NIOSH legislatively mandated industrywide studies program that conducts epidemiological and exposure assessment research studies to identify the occupational causes of disease in the working population and their offspring and to effectively communicate study results to workers, scientists, industry, and the public.</w:t>
      </w:r>
    </w:p>
    <w:p w:rsidR="00164532" w:rsidRDefault="00164532" w:rsidP="00164532">
      <w:pPr>
        <w:autoSpaceDE w:val="0"/>
        <w:autoSpaceDN w:val="0"/>
        <w:adjustRightInd w:val="0"/>
        <w:spacing w:after="100" w:afterAutospacing="1" w:line="360" w:lineRule="auto"/>
        <w:rPr>
          <w:rFonts w:ascii="Georgia" w:hAnsi="Georgia" w:cs="Courier New"/>
          <w:color w:val="000000"/>
          <w:sz w:val="24"/>
        </w:rPr>
      </w:pPr>
      <w:r w:rsidRPr="00164532">
        <w:rPr>
          <w:rFonts w:ascii="Georgia" w:hAnsi="Georgia" w:cs="Courier New"/>
          <w:color w:val="000000"/>
          <w:sz w:val="24"/>
        </w:rPr>
        <w:t xml:space="preserve">Several national and international organizations such as the NIOSH, the U.K.’s Health and Safety Executive, the National Cancer Institute, the National Toxicology Program, and the International Agency for Research on Cancer have emphasized the need for basic knowledge about the human health effects of exposures to engineered nanomaterials.  This project will </w:t>
      </w:r>
      <w:r w:rsidR="00872B92">
        <w:rPr>
          <w:rFonts w:ascii="Georgia" w:hAnsi="Georgia" w:cs="Courier New"/>
          <w:color w:val="000000"/>
          <w:sz w:val="24"/>
        </w:rPr>
        <w:t>investigate the possible associations between</w:t>
      </w:r>
      <w:r w:rsidRPr="00164532">
        <w:rPr>
          <w:rFonts w:ascii="Georgia" w:hAnsi="Georgia" w:cs="Courier New"/>
          <w:color w:val="000000"/>
          <w:sz w:val="24"/>
        </w:rPr>
        <w:t xml:space="preserve"> exposures to CNT or CNF </w:t>
      </w:r>
      <w:r w:rsidR="00872B92">
        <w:rPr>
          <w:rFonts w:ascii="Georgia" w:hAnsi="Georgia" w:cs="Courier New"/>
          <w:color w:val="000000"/>
          <w:sz w:val="24"/>
        </w:rPr>
        <w:t>and blood pressure, loss of lung</w:t>
      </w:r>
      <w:r w:rsidR="003A3848">
        <w:rPr>
          <w:rFonts w:ascii="Georgia" w:hAnsi="Georgia" w:cs="Courier New"/>
          <w:color w:val="000000"/>
          <w:sz w:val="24"/>
        </w:rPr>
        <w:t xml:space="preserve"> function</w:t>
      </w:r>
      <w:r w:rsidR="00872B92">
        <w:rPr>
          <w:rFonts w:ascii="Georgia" w:hAnsi="Georgia" w:cs="Courier New"/>
          <w:color w:val="000000"/>
          <w:sz w:val="24"/>
        </w:rPr>
        <w:t>, or</w:t>
      </w:r>
      <w:r w:rsidRPr="00164532">
        <w:rPr>
          <w:rFonts w:ascii="Georgia" w:hAnsi="Georgia" w:cs="Courier New"/>
          <w:color w:val="000000"/>
          <w:sz w:val="24"/>
        </w:rPr>
        <w:t xml:space="preserve"> biomarkers of early health effects</w:t>
      </w:r>
      <w:r w:rsidR="00872B92">
        <w:rPr>
          <w:rFonts w:ascii="Georgia" w:hAnsi="Georgia" w:cs="Courier New"/>
          <w:color w:val="000000"/>
          <w:sz w:val="24"/>
        </w:rPr>
        <w:t xml:space="preserve">, in a relatively small sample of workers. </w:t>
      </w:r>
      <w:r w:rsidRPr="00164532">
        <w:rPr>
          <w:rFonts w:ascii="Georgia" w:hAnsi="Georgia" w:cs="Courier New"/>
          <w:color w:val="000000"/>
          <w:sz w:val="24"/>
        </w:rPr>
        <w:t xml:space="preserve"> </w:t>
      </w:r>
      <w:r w:rsidR="00872B92">
        <w:rPr>
          <w:rFonts w:ascii="Georgia" w:hAnsi="Georgia" w:cs="Courier New"/>
          <w:color w:val="000000"/>
          <w:sz w:val="24"/>
        </w:rPr>
        <w:t>In addition</w:t>
      </w:r>
      <w:r w:rsidRPr="00164532">
        <w:rPr>
          <w:rFonts w:ascii="Georgia" w:hAnsi="Georgia" w:cs="Courier New"/>
          <w:color w:val="000000"/>
          <w:sz w:val="24"/>
        </w:rPr>
        <w:t xml:space="preserve">, </w:t>
      </w:r>
      <w:r w:rsidR="00872B92">
        <w:rPr>
          <w:rFonts w:ascii="Georgia" w:hAnsi="Georgia" w:cs="Courier New"/>
          <w:color w:val="000000"/>
          <w:sz w:val="24"/>
        </w:rPr>
        <w:t xml:space="preserve">NIOSH may pool the data obtained in this study with data on other workers to investigate possible associations of CNT or CNF with </w:t>
      </w:r>
      <w:r w:rsidRPr="00164532">
        <w:rPr>
          <w:rFonts w:ascii="Georgia" w:hAnsi="Georgia" w:cs="Courier New"/>
          <w:color w:val="000000"/>
          <w:sz w:val="24"/>
        </w:rPr>
        <w:t>persistent health effects such as pulmonary fibrosis, cardiovascular disease or cancer.</w:t>
      </w:r>
      <w:r w:rsidR="00EA5C19">
        <w:rPr>
          <w:rFonts w:ascii="Georgia" w:hAnsi="Georgia" w:cs="Courier New"/>
          <w:color w:val="000000"/>
          <w:sz w:val="24"/>
        </w:rPr>
        <w:t xml:space="preserve"> This request also includes the collection of data that would be useful should NIOSH eventually develop a registry of CNT/CNF exposed workers</w:t>
      </w:r>
      <w:r w:rsidR="00BA7DB3">
        <w:rPr>
          <w:rFonts w:ascii="Georgia" w:hAnsi="Georgia" w:cs="Courier New"/>
          <w:color w:val="000000"/>
          <w:sz w:val="24"/>
        </w:rPr>
        <w:t xml:space="preserve">. </w:t>
      </w:r>
    </w:p>
    <w:p w:rsidR="00FC3790" w:rsidRDefault="00D62C2C" w:rsidP="001E4542">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 xml:space="preserve">The proposed research is a cross-sectional study of the small current </w:t>
      </w:r>
      <w:r w:rsidR="003667C2">
        <w:rPr>
          <w:rFonts w:ascii="Georgia" w:hAnsi="Georgia" w:cs="Courier New"/>
          <w:color w:val="000000"/>
          <w:sz w:val="24"/>
        </w:rPr>
        <w:t xml:space="preserve">workforce involved with CNT and CNF in manufacturing and distribution, to be conducted in the following phases:  1) Industrywide exposure assessment study to evaluate worker exposure and further development and refinement of measurement methods for CNT and CNF.  </w:t>
      </w:r>
      <w:r w:rsidR="003A23FD" w:rsidRPr="003A23FD">
        <w:rPr>
          <w:rFonts w:ascii="Georgia" w:hAnsi="Georgia" w:cs="Courier New"/>
          <w:color w:val="000000"/>
          <w:sz w:val="24"/>
        </w:rPr>
        <w:t xml:space="preserve">This </w:t>
      </w:r>
      <w:r w:rsidR="003A23FD" w:rsidRPr="003A23FD">
        <w:rPr>
          <w:rFonts w:ascii="Georgia" w:hAnsi="Georgia" w:cs="Courier New"/>
          <w:color w:val="000000"/>
          <w:sz w:val="24"/>
        </w:rPr>
        <w:lastRenderedPageBreak/>
        <w:t xml:space="preserve">component will </w:t>
      </w:r>
      <w:r w:rsidR="003C1E6C">
        <w:rPr>
          <w:rFonts w:ascii="Georgia" w:hAnsi="Georgia" w:cs="Courier New"/>
          <w:color w:val="000000"/>
          <w:sz w:val="24"/>
        </w:rPr>
        <w:t xml:space="preserve">be based on </w:t>
      </w:r>
      <w:r w:rsidR="003A23FD" w:rsidRPr="003A23FD">
        <w:rPr>
          <w:rFonts w:ascii="Georgia" w:hAnsi="Georgia" w:cs="Courier New"/>
          <w:color w:val="000000"/>
          <w:sz w:val="24"/>
        </w:rPr>
        <w:t xml:space="preserve">sampling and analysis protocols previously developed for the detection and quantification of CNT and CNF in US workplaces.  </w:t>
      </w:r>
      <w:r w:rsidR="003667C2">
        <w:rPr>
          <w:rFonts w:ascii="Georgia" w:hAnsi="Georgia" w:cs="Courier New"/>
          <w:color w:val="000000"/>
          <w:sz w:val="24"/>
        </w:rPr>
        <w:t xml:space="preserve">2) A cross-sectional study relating </w:t>
      </w:r>
      <w:r w:rsidR="003C1E6C">
        <w:rPr>
          <w:rFonts w:ascii="Georgia" w:hAnsi="Georgia" w:cs="Courier New"/>
          <w:color w:val="000000"/>
          <w:sz w:val="24"/>
        </w:rPr>
        <w:t>various</w:t>
      </w:r>
      <w:r w:rsidR="003667C2">
        <w:rPr>
          <w:rFonts w:ascii="Georgia" w:hAnsi="Georgia" w:cs="Courier New"/>
          <w:color w:val="000000"/>
          <w:sz w:val="24"/>
        </w:rPr>
        <w:t xml:space="preserve"> metrics of CNT and CNF exposure</w:t>
      </w:r>
      <w:r w:rsidR="007238D4">
        <w:rPr>
          <w:rFonts w:ascii="Georgia" w:hAnsi="Georgia" w:cs="Courier New"/>
          <w:color w:val="000000"/>
          <w:sz w:val="24"/>
        </w:rPr>
        <w:t xml:space="preserve"> (namely, the inhalable fraction of elemental carbon mass concentration, the respirable fraction of elemental carbon mass concentration, and </w:t>
      </w:r>
      <w:r w:rsidR="00FC3790">
        <w:rPr>
          <w:rFonts w:ascii="Georgia" w:hAnsi="Georgia" w:cs="Courier New"/>
          <w:color w:val="000000"/>
          <w:sz w:val="24"/>
        </w:rPr>
        <w:t>size-classified CNT- or CNF-containing structure counts)</w:t>
      </w:r>
      <w:r w:rsidR="003667C2">
        <w:rPr>
          <w:rFonts w:ascii="Georgia" w:hAnsi="Georgia" w:cs="Courier New"/>
          <w:color w:val="000000"/>
          <w:sz w:val="24"/>
        </w:rPr>
        <w:t xml:space="preserve"> to </w:t>
      </w:r>
      <w:r w:rsidR="00CF2F84">
        <w:rPr>
          <w:rFonts w:ascii="Georgia" w:hAnsi="Georgia" w:cs="Courier New"/>
          <w:color w:val="000000"/>
          <w:sz w:val="24"/>
        </w:rPr>
        <w:t xml:space="preserve">measures </w:t>
      </w:r>
      <w:r w:rsidR="003667C2">
        <w:rPr>
          <w:rFonts w:ascii="Georgia" w:hAnsi="Georgia" w:cs="Courier New"/>
          <w:color w:val="000000"/>
          <w:sz w:val="24"/>
        </w:rPr>
        <w:t xml:space="preserve">of early pulmonary or cardiovascular health effects.  </w:t>
      </w:r>
      <w:r w:rsidR="00203A40">
        <w:rPr>
          <w:rFonts w:ascii="Georgia" w:hAnsi="Georgia" w:cs="Courier New"/>
          <w:color w:val="000000"/>
          <w:sz w:val="24"/>
        </w:rPr>
        <w:t xml:space="preserve">Using established </w:t>
      </w:r>
      <w:r w:rsidR="003667C2">
        <w:rPr>
          <w:rFonts w:ascii="Georgia" w:hAnsi="Georgia" w:cs="Courier New"/>
          <w:color w:val="000000"/>
          <w:sz w:val="24"/>
        </w:rPr>
        <w:t xml:space="preserve">sampling and analysis protocols to measure CNT and CNF, concurrent with the industrywide exposure assessment study, several </w:t>
      </w:r>
      <w:r w:rsidR="00143DB0">
        <w:rPr>
          <w:rFonts w:ascii="Georgia" w:hAnsi="Georgia" w:cs="Courier New"/>
          <w:color w:val="000000"/>
          <w:sz w:val="24"/>
        </w:rPr>
        <w:t xml:space="preserve">measures of lung and cardiovascular function will be measured. In addition, </w:t>
      </w:r>
      <w:r w:rsidR="003667C2">
        <w:rPr>
          <w:rFonts w:ascii="Georgia" w:hAnsi="Georgia" w:cs="Courier New"/>
          <w:color w:val="000000"/>
          <w:sz w:val="24"/>
        </w:rPr>
        <w:t xml:space="preserve">biomarkers of early effect (for pulmonary fibrosis, cardiovascular disease, and genetic damage) will be measured in blood and sputum for workers exposed to a range of CNT and CNF levels. </w:t>
      </w:r>
      <w:r w:rsidR="00FC3790">
        <w:rPr>
          <w:rFonts w:ascii="Georgia" w:hAnsi="Georgia" w:cs="Courier New"/>
          <w:color w:val="000000"/>
          <w:sz w:val="24"/>
        </w:rPr>
        <w:t xml:space="preserve">These studies are consistent with the </w:t>
      </w:r>
      <w:r w:rsidR="001E4542">
        <w:rPr>
          <w:rFonts w:ascii="Georgia" w:hAnsi="Georgia" w:cs="Courier New"/>
          <w:color w:val="000000"/>
          <w:sz w:val="24"/>
        </w:rPr>
        <w:t xml:space="preserve">recent </w:t>
      </w:r>
      <w:r w:rsidR="00FC3790">
        <w:rPr>
          <w:rFonts w:ascii="Georgia" w:hAnsi="Georgia" w:cs="Courier New"/>
          <w:color w:val="000000"/>
          <w:sz w:val="24"/>
        </w:rPr>
        <w:t>recommendation in the NIOSH Current Intelligence Bulletin (CIB)</w:t>
      </w:r>
      <w:r w:rsidR="001E4542">
        <w:rPr>
          <w:rFonts w:ascii="Georgia" w:hAnsi="Georgia" w:cs="Courier New"/>
          <w:color w:val="000000"/>
          <w:sz w:val="24"/>
        </w:rPr>
        <w:t xml:space="preserve"> to “</w:t>
      </w:r>
      <w:r w:rsidR="00FC3790" w:rsidRPr="00FC3790">
        <w:rPr>
          <w:rFonts w:ascii="Georgia" w:hAnsi="Georgia" w:cs="Courier New"/>
          <w:color w:val="000000"/>
          <w:sz w:val="24"/>
        </w:rPr>
        <w:t>Conduct cross-sectional and prospective studies</w:t>
      </w:r>
      <w:r w:rsidR="00FC3790">
        <w:rPr>
          <w:rFonts w:ascii="Georgia" w:hAnsi="Georgia" w:cs="Courier New"/>
          <w:color w:val="000000"/>
          <w:sz w:val="24"/>
        </w:rPr>
        <w:t xml:space="preserve"> </w:t>
      </w:r>
      <w:r w:rsidR="00FC3790" w:rsidRPr="00FC3790">
        <w:rPr>
          <w:rFonts w:ascii="Georgia" w:hAnsi="Georgia" w:cs="Courier New"/>
          <w:color w:val="000000"/>
          <w:sz w:val="24"/>
        </w:rPr>
        <w:t>of</w:t>
      </w:r>
      <w:r w:rsidR="001E4542">
        <w:rPr>
          <w:rFonts w:ascii="Georgia" w:hAnsi="Georgia" w:cs="Courier New"/>
          <w:color w:val="000000"/>
          <w:sz w:val="24"/>
        </w:rPr>
        <w:t xml:space="preserve"> workers exposed to CNT and CNF”</w:t>
      </w:r>
      <w:r w:rsidR="00FC3790">
        <w:rPr>
          <w:rFonts w:ascii="Georgia" w:hAnsi="Georgia" w:cs="Courier New"/>
          <w:color w:val="000000"/>
          <w:sz w:val="24"/>
        </w:rPr>
        <w:t xml:space="preserve"> (</w:t>
      </w:r>
      <w:r w:rsidR="001E4542">
        <w:rPr>
          <w:rFonts w:ascii="Georgia" w:hAnsi="Georgia" w:cs="Courier New"/>
          <w:color w:val="000000"/>
          <w:sz w:val="24"/>
        </w:rPr>
        <w:t xml:space="preserve">DHHS 2013; </w:t>
      </w:r>
      <w:r w:rsidR="00FC3790">
        <w:rPr>
          <w:rFonts w:ascii="Georgia" w:hAnsi="Georgia" w:cs="Courier New"/>
          <w:color w:val="000000"/>
          <w:sz w:val="24"/>
        </w:rPr>
        <w:t xml:space="preserve">NIOSH </w:t>
      </w:r>
      <w:r w:rsidR="004446EC">
        <w:rPr>
          <w:rFonts w:ascii="Georgia" w:hAnsi="Georgia" w:cs="Courier New"/>
          <w:color w:val="000000"/>
          <w:sz w:val="24"/>
        </w:rPr>
        <w:t>CIB 65, p.</w:t>
      </w:r>
      <w:r w:rsidR="001E4542">
        <w:rPr>
          <w:rFonts w:ascii="Georgia" w:hAnsi="Georgia" w:cs="Courier New"/>
          <w:color w:val="000000"/>
          <w:sz w:val="24"/>
        </w:rPr>
        <w:t>72).</w:t>
      </w:r>
    </w:p>
    <w:p w:rsidR="007E0837" w:rsidRPr="00E3106D" w:rsidRDefault="00EC68B5" w:rsidP="00D62C2C">
      <w:pPr>
        <w:autoSpaceDE w:val="0"/>
        <w:autoSpaceDN w:val="0"/>
        <w:adjustRightInd w:val="0"/>
        <w:spacing w:after="100" w:afterAutospacing="1" w:line="360" w:lineRule="auto"/>
        <w:rPr>
          <w:rFonts w:ascii="Georgia" w:hAnsi="Georgia" w:cs="Courier New"/>
          <w:color w:val="000000"/>
          <w:sz w:val="24"/>
          <w:u w:val="single"/>
        </w:rPr>
      </w:pPr>
      <w:r w:rsidRPr="00E3106D">
        <w:rPr>
          <w:rFonts w:ascii="Georgia" w:hAnsi="Georgia" w:cs="Courier New"/>
          <w:color w:val="000000"/>
          <w:sz w:val="24"/>
          <w:u w:val="single"/>
        </w:rPr>
        <w:t>Privacy Impact Assessment</w:t>
      </w:r>
    </w:p>
    <w:p w:rsidR="00F37A53" w:rsidRDefault="00EC68B5" w:rsidP="00D62C2C">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 xml:space="preserve">All data collected for this study will be maintained in accordance with the Federal Privacy Act of 1974.  </w:t>
      </w:r>
      <w:r w:rsidR="00F37A53">
        <w:rPr>
          <w:rFonts w:ascii="Georgia" w:hAnsi="Georgia" w:cs="Courier New"/>
          <w:color w:val="000000"/>
          <w:sz w:val="24"/>
        </w:rPr>
        <w:t>Disclosure under the Privacy Act System is permitted to private contractors assisting NIOSH; to collaborating researchers under certain limited circumstances to conduct further investigations; to the Department of Justice in the event of litigation; and to a congressional office assisting individuals in obtaining their records.  Other than disclosures permitted under the Privacy Act System, p</w:t>
      </w:r>
      <w:r w:rsidR="00336884">
        <w:rPr>
          <w:rFonts w:ascii="Georgia" w:hAnsi="Georgia" w:cs="Courier New"/>
          <w:color w:val="000000"/>
          <w:sz w:val="24"/>
        </w:rPr>
        <w:t xml:space="preserve">articipants’ personal information will not be shared with anyone </w:t>
      </w:r>
      <w:r w:rsidR="003463C9">
        <w:rPr>
          <w:rFonts w:ascii="Georgia" w:hAnsi="Georgia" w:cs="Courier New"/>
          <w:color w:val="000000"/>
          <w:sz w:val="24"/>
        </w:rPr>
        <w:t xml:space="preserve">(except with their personal physician at the participant’s request, as noted below) </w:t>
      </w:r>
      <w:r w:rsidR="00336884">
        <w:rPr>
          <w:rFonts w:ascii="Georgia" w:hAnsi="Georgia" w:cs="Courier New"/>
          <w:color w:val="000000"/>
          <w:sz w:val="24"/>
        </w:rPr>
        <w:t xml:space="preserve">in a way that allows them to be identified.  </w:t>
      </w:r>
      <w:r>
        <w:rPr>
          <w:rFonts w:ascii="Georgia" w:hAnsi="Georgia" w:cs="Courier New"/>
          <w:color w:val="000000"/>
          <w:sz w:val="24"/>
        </w:rPr>
        <w:t xml:space="preserve">All data for the study will be maintained in accordance with NIOSH and CDC policies on data security for sensitive but unclassified data, including restricted access to study team members with a “need to know” each data source.  Hardcopy study records will be maintained in locked rooms or file cabinets with access restricted to study team members with a justified need to maintain access.  All study subjects participating in this cross-sectional study will be informed of their individual results of the exposure assessment, medical evaluation, and biomarker measurements.  Notification letters will </w:t>
      </w:r>
      <w:r>
        <w:rPr>
          <w:rFonts w:ascii="Georgia" w:hAnsi="Georgia" w:cs="Courier New"/>
          <w:color w:val="000000"/>
          <w:sz w:val="24"/>
        </w:rPr>
        <w:lastRenderedPageBreak/>
        <w:t xml:space="preserve">be submitted to the NIOSH </w:t>
      </w:r>
      <w:r w:rsidR="004A1F07">
        <w:rPr>
          <w:rFonts w:ascii="Georgia" w:hAnsi="Georgia" w:cs="Courier New"/>
          <w:color w:val="000000"/>
          <w:sz w:val="24"/>
        </w:rPr>
        <w:t>Institutional</w:t>
      </w:r>
      <w:r>
        <w:rPr>
          <w:rFonts w:ascii="Georgia" w:hAnsi="Georgia" w:cs="Courier New"/>
          <w:color w:val="000000"/>
          <w:sz w:val="24"/>
        </w:rPr>
        <w:t xml:space="preserve"> Review Board (</w:t>
      </w:r>
      <w:r w:rsidR="004A1F07">
        <w:rPr>
          <w:rFonts w:ascii="Georgia" w:hAnsi="Georgia" w:cs="Courier New"/>
          <w:color w:val="000000"/>
          <w:sz w:val="24"/>
        </w:rPr>
        <w:t>IR</w:t>
      </w:r>
      <w:r>
        <w:rPr>
          <w:rFonts w:ascii="Georgia" w:hAnsi="Georgia" w:cs="Courier New"/>
          <w:color w:val="000000"/>
          <w:sz w:val="24"/>
        </w:rPr>
        <w:t xml:space="preserve">B) for review.  Study participants will be </w:t>
      </w:r>
      <w:r w:rsidR="009E0E4A">
        <w:rPr>
          <w:rFonts w:ascii="Georgia" w:hAnsi="Georgia" w:cs="Courier New"/>
          <w:color w:val="000000"/>
          <w:sz w:val="24"/>
        </w:rPr>
        <w:t xml:space="preserve">notified within </w:t>
      </w:r>
      <w:r w:rsidR="00BF1B31">
        <w:rPr>
          <w:rFonts w:ascii="Georgia" w:hAnsi="Georgia" w:cs="Courier New"/>
          <w:color w:val="000000"/>
          <w:sz w:val="24"/>
        </w:rPr>
        <w:t>30</w:t>
      </w:r>
      <w:r w:rsidR="009E0E4A">
        <w:rPr>
          <w:rFonts w:ascii="Georgia" w:hAnsi="Georgia" w:cs="Courier New"/>
          <w:color w:val="000000"/>
          <w:sz w:val="24"/>
        </w:rPr>
        <w:t xml:space="preserve"> days of clinically relevant medical findings (e.g., blood pressure and spirometry results) and also be sent a summary of study findings</w:t>
      </w:r>
      <w:r w:rsidR="00EC247A">
        <w:rPr>
          <w:rFonts w:ascii="Georgia" w:hAnsi="Georgia" w:cs="Courier New"/>
          <w:color w:val="000000"/>
          <w:sz w:val="24"/>
        </w:rPr>
        <w:t xml:space="preserve"> at the conclusion of the study</w:t>
      </w:r>
      <w:r w:rsidR="009E0E4A">
        <w:rPr>
          <w:rFonts w:ascii="Georgia" w:hAnsi="Georgia" w:cs="Courier New"/>
          <w:color w:val="000000"/>
          <w:sz w:val="24"/>
        </w:rPr>
        <w:t>.</w:t>
      </w:r>
      <w:r>
        <w:rPr>
          <w:rFonts w:ascii="Georgia" w:hAnsi="Georgia" w:cs="Courier New"/>
          <w:color w:val="000000"/>
          <w:sz w:val="24"/>
        </w:rPr>
        <w:t xml:space="preserve"> </w:t>
      </w:r>
      <w:r w:rsidR="007079C7">
        <w:rPr>
          <w:rFonts w:ascii="Georgia" w:hAnsi="Georgia" w:cs="Courier New"/>
          <w:color w:val="000000"/>
          <w:sz w:val="24"/>
        </w:rPr>
        <w:t>Individual medical results will be sent to the study participants’ personal physicians, for participants who consent to this.</w:t>
      </w:r>
    </w:p>
    <w:p w:rsidR="00AE06A4" w:rsidRDefault="00F37A53" w:rsidP="004A1F07">
      <w:pPr>
        <w:autoSpaceDE w:val="0"/>
        <w:autoSpaceDN w:val="0"/>
        <w:adjustRightInd w:val="0"/>
        <w:spacing w:after="100" w:afterAutospacing="1" w:line="360" w:lineRule="auto"/>
        <w:rPr>
          <w:rFonts w:ascii="Georgia" w:hAnsi="Georgia" w:cs="Courier New"/>
          <w:color w:val="000000"/>
          <w:sz w:val="24"/>
          <w:u w:val="single"/>
        </w:rPr>
      </w:pPr>
      <w:r w:rsidRPr="00F37A53">
        <w:rPr>
          <w:rFonts w:ascii="Georgia" w:hAnsi="Georgia" w:cs="Courier New"/>
          <w:color w:val="000000"/>
          <w:sz w:val="24"/>
        </w:rPr>
        <w:t>The questionnaire will be given by NIOSH personnel as a computer-assisted personal interview (CAPI)</w:t>
      </w:r>
      <w:r>
        <w:rPr>
          <w:rFonts w:ascii="Georgia" w:hAnsi="Georgia" w:cs="Courier New"/>
          <w:color w:val="000000"/>
          <w:sz w:val="24"/>
        </w:rPr>
        <w:t xml:space="preserve"> encrypted according </w:t>
      </w:r>
      <w:r w:rsidR="004C5F20">
        <w:rPr>
          <w:rFonts w:ascii="Georgia" w:hAnsi="Georgia" w:cs="Courier New"/>
          <w:color w:val="000000"/>
          <w:sz w:val="24"/>
        </w:rPr>
        <w:t xml:space="preserve">to </w:t>
      </w:r>
      <w:r>
        <w:rPr>
          <w:rFonts w:ascii="Georgia" w:hAnsi="Georgia" w:cs="Courier New"/>
          <w:color w:val="000000"/>
          <w:sz w:val="24"/>
        </w:rPr>
        <w:t xml:space="preserve">applicable Federal Information Processing Standards Publications (FIPS PUBS, see </w:t>
      </w:r>
      <w:hyperlink r:id="rId11" w:history="1">
        <w:r w:rsidRPr="00724998">
          <w:rPr>
            <w:rStyle w:val="Hyperlink"/>
            <w:rFonts w:ascii="Georgia" w:hAnsi="Georgia" w:cs="Courier New"/>
            <w:sz w:val="24"/>
          </w:rPr>
          <w:t>http://www.it1.nist.gov/fipspubs</w:t>
        </w:r>
      </w:hyperlink>
      <w:r>
        <w:rPr>
          <w:rFonts w:ascii="Georgia" w:hAnsi="Georgia" w:cs="Courier New"/>
          <w:color w:val="000000"/>
          <w:sz w:val="24"/>
        </w:rPr>
        <w:t>)</w:t>
      </w:r>
      <w:r w:rsidRPr="00F37A53">
        <w:rPr>
          <w:rFonts w:ascii="Georgia" w:hAnsi="Georgia" w:cs="Courier New"/>
          <w:color w:val="000000"/>
          <w:sz w:val="24"/>
        </w:rPr>
        <w:t>.</w:t>
      </w:r>
      <w:r w:rsidR="00AE06A4">
        <w:rPr>
          <w:rFonts w:ascii="Georgia" w:hAnsi="Georgia" w:cs="Courier New"/>
          <w:color w:val="000000"/>
          <w:sz w:val="24"/>
        </w:rPr>
        <w:t xml:space="preserve">  Information will not be collected through websites.</w:t>
      </w:r>
    </w:p>
    <w:p w:rsidR="004D58A6" w:rsidRPr="00E3106D" w:rsidRDefault="004D58A6" w:rsidP="00D62C2C">
      <w:pPr>
        <w:autoSpaceDE w:val="0"/>
        <w:autoSpaceDN w:val="0"/>
        <w:adjustRightInd w:val="0"/>
        <w:spacing w:after="100" w:afterAutospacing="1" w:line="360" w:lineRule="auto"/>
        <w:rPr>
          <w:rFonts w:ascii="Georgia" w:hAnsi="Georgia" w:cs="Courier New"/>
          <w:color w:val="000000"/>
          <w:sz w:val="24"/>
          <w:u w:val="single"/>
        </w:rPr>
      </w:pPr>
      <w:r w:rsidRPr="00E3106D">
        <w:rPr>
          <w:rFonts w:ascii="Georgia" w:hAnsi="Georgia" w:cs="Courier New"/>
          <w:color w:val="000000"/>
          <w:sz w:val="24"/>
          <w:u w:val="single"/>
        </w:rPr>
        <w:t>Overview of the Data Collection System</w:t>
      </w:r>
    </w:p>
    <w:p w:rsidR="00C46F45" w:rsidRDefault="00F36F69" w:rsidP="00D62C2C">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Data collection for a</w:t>
      </w:r>
      <w:r w:rsidR="00326204">
        <w:rPr>
          <w:rFonts w:ascii="Georgia" w:hAnsi="Georgia" w:cs="Courier New"/>
          <w:color w:val="000000"/>
          <w:sz w:val="24"/>
        </w:rPr>
        <w:t xml:space="preserve">n industrywide exposure assessment </w:t>
      </w:r>
      <w:r w:rsidR="002C0F8D">
        <w:rPr>
          <w:rFonts w:ascii="Georgia" w:hAnsi="Georgia" w:cs="Courier New"/>
          <w:color w:val="000000"/>
          <w:sz w:val="24"/>
        </w:rPr>
        <w:t xml:space="preserve">and cross-sectional epidemiology </w:t>
      </w:r>
      <w:r w:rsidR="00326204">
        <w:rPr>
          <w:rFonts w:ascii="Georgia" w:hAnsi="Georgia" w:cs="Courier New"/>
          <w:color w:val="000000"/>
          <w:sz w:val="24"/>
        </w:rPr>
        <w:t xml:space="preserve">study will be done </w:t>
      </w:r>
      <w:r w:rsidR="00BF1B31">
        <w:rPr>
          <w:rFonts w:ascii="Georgia" w:hAnsi="Georgia" w:cs="Courier New"/>
          <w:color w:val="000000"/>
          <w:sz w:val="24"/>
        </w:rPr>
        <w:t xml:space="preserve">among </w:t>
      </w:r>
      <w:r w:rsidR="00AF1C83">
        <w:rPr>
          <w:rFonts w:ascii="Georgia" w:hAnsi="Georgia" w:cs="Courier New"/>
          <w:color w:val="000000"/>
          <w:sz w:val="24"/>
        </w:rPr>
        <w:t xml:space="preserve">a convenience sample of </w:t>
      </w:r>
      <w:r w:rsidR="00BF1B31">
        <w:rPr>
          <w:rFonts w:ascii="Georgia" w:hAnsi="Georgia" w:cs="Courier New"/>
          <w:color w:val="000000"/>
          <w:sz w:val="24"/>
        </w:rPr>
        <w:t>100 workers</w:t>
      </w:r>
      <w:r w:rsidR="001871CD">
        <w:rPr>
          <w:rFonts w:ascii="Georgia" w:hAnsi="Georgia" w:cs="Courier New"/>
          <w:color w:val="000000"/>
          <w:sz w:val="24"/>
        </w:rPr>
        <w:t xml:space="preserve"> total</w:t>
      </w:r>
      <w:r w:rsidR="00BF1B31">
        <w:rPr>
          <w:rFonts w:ascii="Georgia" w:hAnsi="Georgia" w:cs="Courier New"/>
          <w:color w:val="000000"/>
          <w:sz w:val="24"/>
        </w:rPr>
        <w:t xml:space="preserve"> </w:t>
      </w:r>
      <w:r w:rsidR="001871CD">
        <w:rPr>
          <w:rFonts w:ascii="Georgia" w:hAnsi="Georgia" w:cs="Courier New"/>
          <w:color w:val="000000"/>
          <w:sz w:val="24"/>
        </w:rPr>
        <w:t xml:space="preserve">over a three year period </w:t>
      </w:r>
      <w:r w:rsidR="00326204">
        <w:rPr>
          <w:rFonts w:ascii="Georgia" w:hAnsi="Georgia" w:cs="Courier New"/>
          <w:color w:val="000000"/>
          <w:sz w:val="24"/>
        </w:rPr>
        <w:t xml:space="preserve">at </w:t>
      </w:r>
      <w:r w:rsidR="00BF1B31">
        <w:rPr>
          <w:rFonts w:ascii="Georgia" w:hAnsi="Georgia" w:cs="Courier New"/>
          <w:color w:val="000000"/>
          <w:sz w:val="24"/>
        </w:rPr>
        <w:t xml:space="preserve">approximately </w:t>
      </w:r>
      <w:r w:rsidR="00326204">
        <w:rPr>
          <w:rFonts w:ascii="Georgia" w:hAnsi="Georgia" w:cs="Courier New"/>
          <w:color w:val="000000"/>
          <w:sz w:val="24"/>
        </w:rPr>
        <w:t>10 workplaces that agree to participate.</w:t>
      </w:r>
      <w:r w:rsidR="00165A9D">
        <w:rPr>
          <w:rFonts w:ascii="Georgia" w:hAnsi="Georgia" w:cs="Courier New"/>
          <w:color w:val="000000"/>
          <w:sz w:val="24"/>
        </w:rPr>
        <w:t xml:space="preserve"> </w:t>
      </w:r>
      <w:r w:rsidR="00E33F41">
        <w:rPr>
          <w:rFonts w:ascii="Georgia" w:hAnsi="Georgia" w:cs="Courier New"/>
          <w:color w:val="000000"/>
          <w:sz w:val="24"/>
        </w:rPr>
        <w:t xml:space="preserve">These workplaces were selected from among 50 eligible companies, initially identified across the U.S. in 2008 (Schubauer-Berigan et al., </w:t>
      </w:r>
      <w:r w:rsidR="00E33F41" w:rsidRPr="005009A1">
        <w:rPr>
          <w:rFonts w:ascii="Georgia" w:hAnsi="Georgia" w:cs="Courier New"/>
          <w:i/>
          <w:color w:val="000000"/>
          <w:sz w:val="24"/>
        </w:rPr>
        <w:t>J Occup Environ Med</w:t>
      </w:r>
      <w:r w:rsidR="00E33F41">
        <w:rPr>
          <w:rFonts w:ascii="Georgia" w:hAnsi="Georgia" w:cs="Courier New"/>
          <w:color w:val="000000"/>
          <w:sz w:val="24"/>
        </w:rPr>
        <w:t xml:space="preserve">  2011:53:S62-S67), that are producing, using, or distributing CNT or CNF.  All eligible companies still in operation as of mid-2010 were invited to participate. Initial site visits were done at the 16 facilities that indicated interest in participating, to verify that workers at the company were handling CNT or CNF, to determine the best procedures for assessing exposure to CNT and CNF, and to discuss the industrywide study with employees and managers. In preliminary site visits, we determined that there were an average of 10 employees at each site, working with or around these nanomaterials. A power analysis conducted for the epidemiologic study determined that 100 workers would be necessary to observe associations between CNT or CNF exposure and loss of lung forced vital capacity. </w:t>
      </w:r>
      <w:r w:rsidR="00AF1C83">
        <w:rPr>
          <w:rFonts w:ascii="Georgia" w:hAnsi="Georgia" w:cs="Courier New"/>
          <w:color w:val="000000"/>
          <w:sz w:val="24"/>
        </w:rPr>
        <w:t>This power analysis takes into account the variability in lung function among healthy persons, as well as several key potential confounders, variability in expected effect and in exposure</w:t>
      </w:r>
      <w:r w:rsidR="00203A40">
        <w:rPr>
          <w:rFonts w:ascii="Georgia" w:hAnsi="Georgia" w:cs="Courier New"/>
          <w:color w:val="000000"/>
          <w:sz w:val="24"/>
        </w:rPr>
        <w:t>, and is described in detail in the study protocol (Schubauer-Berigan et al.; NIOSH protocol, pp. 56-61, 2013)</w:t>
      </w:r>
      <w:r w:rsidR="00AF1C83">
        <w:rPr>
          <w:rFonts w:ascii="Georgia" w:hAnsi="Georgia" w:cs="Courier New"/>
          <w:color w:val="000000"/>
          <w:sz w:val="24"/>
        </w:rPr>
        <w:t xml:space="preserve">. </w:t>
      </w:r>
      <w:r w:rsidR="000B02FD">
        <w:rPr>
          <w:rFonts w:ascii="Georgia" w:hAnsi="Georgia" w:cs="Courier New"/>
          <w:color w:val="000000"/>
          <w:sz w:val="24"/>
        </w:rPr>
        <w:t xml:space="preserve">Ten </w:t>
      </w:r>
      <w:r w:rsidR="00BF1B31">
        <w:rPr>
          <w:rFonts w:ascii="Georgia" w:hAnsi="Georgia" w:cs="Courier New"/>
          <w:color w:val="000000"/>
          <w:sz w:val="24"/>
        </w:rPr>
        <w:t xml:space="preserve">or more </w:t>
      </w:r>
      <w:r w:rsidR="000B02FD">
        <w:rPr>
          <w:rFonts w:ascii="Georgia" w:hAnsi="Georgia" w:cs="Courier New"/>
          <w:color w:val="000000"/>
          <w:sz w:val="24"/>
        </w:rPr>
        <w:t xml:space="preserve">companies that agree to participate will </w:t>
      </w:r>
      <w:r w:rsidR="000B02FD">
        <w:rPr>
          <w:rFonts w:ascii="Georgia" w:hAnsi="Georgia" w:cs="Courier New"/>
          <w:color w:val="000000"/>
          <w:sz w:val="24"/>
        </w:rPr>
        <w:lastRenderedPageBreak/>
        <w:t>be included in the study, and all workers will be invited to participate, with a goal of enrolling 100 workers as participants in the study</w:t>
      </w:r>
      <w:r w:rsidR="00E33F41">
        <w:rPr>
          <w:rFonts w:ascii="Georgia" w:hAnsi="Georgia" w:cs="Courier New"/>
          <w:color w:val="000000"/>
          <w:sz w:val="24"/>
        </w:rPr>
        <w:t>.</w:t>
      </w:r>
    </w:p>
    <w:p w:rsidR="00E3106D" w:rsidRDefault="00097018" w:rsidP="00D62C2C">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For the industrywide study, e</w:t>
      </w:r>
      <w:r w:rsidR="00E3106D">
        <w:rPr>
          <w:rFonts w:ascii="Georgia" w:hAnsi="Georgia" w:cs="Courier New"/>
          <w:color w:val="000000"/>
          <w:sz w:val="24"/>
        </w:rPr>
        <w:t xml:space="preserve">xposure measurements will be done </w:t>
      </w:r>
      <w:r w:rsidR="004A1F07">
        <w:rPr>
          <w:rFonts w:ascii="Georgia" w:hAnsi="Georgia" w:cs="Courier New"/>
          <w:color w:val="000000"/>
          <w:sz w:val="24"/>
        </w:rPr>
        <w:t xml:space="preserve">for each participant </w:t>
      </w:r>
      <w:r w:rsidR="00E3106D">
        <w:rPr>
          <w:rFonts w:ascii="Georgia" w:hAnsi="Georgia" w:cs="Courier New"/>
          <w:color w:val="000000"/>
          <w:sz w:val="24"/>
        </w:rPr>
        <w:t xml:space="preserve">at </w:t>
      </w:r>
      <w:r w:rsidR="00165A9D">
        <w:rPr>
          <w:rFonts w:ascii="Georgia" w:hAnsi="Georgia" w:cs="Courier New"/>
          <w:color w:val="000000"/>
          <w:sz w:val="24"/>
        </w:rPr>
        <w:t>each</w:t>
      </w:r>
      <w:r w:rsidR="00E3106D">
        <w:rPr>
          <w:rFonts w:ascii="Georgia" w:hAnsi="Georgia" w:cs="Courier New"/>
          <w:color w:val="000000"/>
          <w:sz w:val="24"/>
        </w:rPr>
        <w:t xml:space="preserve"> study workplace for two days.  During this period, study participants will be asked to wear </w:t>
      </w:r>
      <w:r w:rsidR="002151DB">
        <w:rPr>
          <w:rFonts w:ascii="Georgia" w:hAnsi="Georgia" w:cs="Courier New"/>
          <w:color w:val="000000"/>
          <w:sz w:val="24"/>
        </w:rPr>
        <w:t xml:space="preserve">a vest containing </w:t>
      </w:r>
      <w:r w:rsidR="00E3106D">
        <w:rPr>
          <w:rFonts w:ascii="Georgia" w:hAnsi="Georgia" w:cs="Courier New"/>
          <w:color w:val="000000"/>
          <w:sz w:val="24"/>
        </w:rPr>
        <w:t xml:space="preserve">three small sampling pumps.  </w:t>
      </w:r>
      <w:r w:rsidR="00326204">
        <w:rPr>
          <w:rFonts w:ascii="Georgia" w:hAnsi="Georgia" w:cs="Courier New"/>
          <w:color w:val="000000"/>
          <w:sz w:val="24"/>
        </w:rPr>
        <w:t xml:space="preserve">Study participants are asked to wear the pumps for the purpose of determining the amount of CNT or CNF in the air around them. </w:t>
      </w:r>
      <w:r w:rsidR="00E3106D">
        <w:rPr>
          <w:rFonts w:ascii="Georgia" w:hAnsi="Georgia" w:cs="Courier New"/>
          <w:color w:val="000000"/>
          <w:sz w:val="24"/>
        </w:rPr>
        <w:t>The sampling pumps pull air through (1) a filter to measure amounts of elemental carbon (a marker for CNT or CNF</w:t>
      </w:r>
      <w:r w:rsidR="00EC247A">
        <w:rPr>
          <w:rFonts w:ascii="Georgia" w:hAnsi="Georgia" w:cs="Courier New"/>
          <w:color w:val="000000"/>
          <w:sz w:val="24"/>
        </w:rPr>
        <w:t xml:space="preserve"> exposure</w:t>
      </w:r>
      <w:r w:rsidR="00E3106D">
        <w:rPr>
          <w:rFonts w:ascii="Georgia" w:hAnsi="Georgia" w:cs="Courier New"/>
          <w:color w:val="000000"/>
          <w:sz w:val="24"/>
        </w:rPr>
        <w:t>)</w:t>
      </w:r>
      <w:r w:rsidR="002151DB">
        <w:rPr>
          <w:rFonts w:ascii="Georgia" w:hAnsi="Georgia" w:cs="Courier New"/>
          <w:color w:val="000000"/>
          <w:sz w:val="24"/>
        </w:rPr>
        <w:t xml:space="preserve"> </w:t>
      </w:r>
      <w:r w:rsidR="00326204">
        <w:rPr>
          <w:rFonts w:ascii="Georgia" w:hAnsi="Georgia" w:cs="Courier New"/>
          <w:color w:val="000000"/>
          <w:sz w:val="24"/>
        </w:rPr>
        <w:t>that may reach two different areas of the respiratory tract</w:t>
      </w:r>
      <w:r w:rsidR="00E3106D">
        <w:rPr>
          <w:rFonts w:ascii="Georgia" w:hAnsi="Georgia" w:cs="Courier New"/>
          <w:color w:val="000000"/>
          <w:sz w:val="24"/>
        </w:rPr>
        <w:t xml:space="preserve"> and (2) a filter used to count the number of structures containing CNT and CNF in the air </w:t>
      </w:r>
      <w:r w:rsidR="00A83EC1">
        <w:rPr>
          <w:rFonts w:ascii="Georgia" w:hAnsi="Georgia" w:cs="Courier New"/>
          <w:color w:val="000000"/>
          <w:sz w:val="24"/>
        </w:rPr>
        <w:t>participants</w:t>
      </w:r>
      <w:r w:rsidR="00E3106D">
        <w:rPr>
          <w:rFonts w:ascii="Georgia" w:hAnsi="Georgia" w:cs="Courier New"/>
          <w:color w:val="000000"/>
          <w:sz w:val="24"/>
        </w:rPr>
        <w:t xml:space="preserve"> are breathing.    </w:t>
      </w:r>
    </w:p>
    <w:p w:rsidR="00250F2F" w:rsidRDefault="00326204" w:rsidP="00D62C2C">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C</w:t>
      </w:r>
      <w:r w:rsidR="00312A46">
        <w:rPr>
          <w:rFonts w:ascii="Georgia" w:hAnsi="Georgia" w:cs="Courier New"/>
          <w:color w:val="000000"/>
          <w:sz w:val="24"/>
        </w:rPr>
        <w:t xml:space="preserve">oncurrent with the industrywide exposure assessment study, several biomarkers of early effect (for pulmonary fibrosis, cardiovascular disease, and genetic damage) will be measured in blood and sputum for workers exposed to a range of CNT and CNF levels. </w:t>
      </w:r>
      <w:r w:rsidR="007F73D9">
        <w:rPr>
          <w:rFonts w:ascii="Georgia" w:hAnsi="Georgia" w:cs="Courier New"/>
          <w:color w:val="000000"/>
          <w:sz w:val="24"/>
        </w:rPr>
        <w:t xml:space="preserve">For this study, we developed a defined list of biomarkers whose analogues have shown responses </w:t>
      </w:r>
      <w:r w:rsidR="00203A40">
        <w:rPr>
          <w:rFonts w:ascii="Georgia" w:hAnsi="Georgia" w:cs="Courier New"/>
          <w:color w:val="000000"/>
          <w:sz w:val="24"/>
        </w:rPr>
        <w:t xml:space="preserve">to CNT exposure </w:t>
      </w:r>
      <w:r w:rsidR="007F73D9">
        <w:rPr>
          <w:rFonts w:ascii="Georgia" w:hAnsi="Georgia" w:cs="Courier New"/>
          <w:color w:val="000000"/>
          <w:sz w:val="24"/>
        </w:rPr>
        <w:t>in animal toxicology studies, or</w:t>
      </w:r>
      <w:r w:rsidR="00203A40">
        <w:rPr>
          <w:rFonts w:ascii="Georgia" w:hAnsi="Georgia" w:cs="Courier New"/>
          <w:color w:val="000000"/>
          <w:sz w:val="24"/>
        </w:rPr>
        <w:t xml:space="preserve"> to ultrafine particulates or oc</w:t>
      </w:r>
      <w:r w:rsidR="007F73D9">
        <w:rPr>
          <w:rFonts w:ascii="Georgia" w:hAnsi="Georgia" w:cs="Courier New"/>
          <w:color w:val="000000"/>
          <w:sz w:val="24"/>
        </w:rPr>
        <w:t>cupational heavy metal exposure</w:t>
      </w:r>
      <w:r w:rsidR="00203A40">
        <w:rPr>
          <w:rFonts w:ascii="Georgia" w:hAnsi="Georgia" w:cs="Courier New"/>
          <w:color w:val="000000"/>
          <w:sz w:val="24"/>
        </w:rPr>
        <w:t xml:space="preserve"> in human studies</w:t>
      </w:r>
      <w:r w:rsidR="007F73D9">
        <w:rPr>
          <w:rFonts w:ascii="Georgia" w:hAnsi="Georgia" w:cs="Courier New"/>
          <w:color w:val="000000"/>
          <w:sz w:val="24"/>
        </w:rPr>
        <w:t xml:space="preserve">. The list of biomarkers to be evaluated is given in Table </w:t>
      </w:r>
      <w:r w:rsidR="001351A4">
        <w:rPr>
          <w:rFonts w:ascii="Georgia" w:hAnsi="Georgia" w:cs="Courier New"/>
          <w:color w:val="000000"/>
          <w:sz w:val="24"/>
        </w:rPr>
        <w:t xml:space="preserve">1. </w:t>
      </w:r>
      <w:r w:rsidR="007F73D9">
        <w:rPr>
          <w:rFonts w:ascii="Georgia" w:hAnsi="Georgia" w:cs="Courier New"/>
          <w:color w:val="000000"/>
          <w:sz w:val="24"/>
        </w:rPr>
        <w:t xml:space="preserve"> </w:t>
      </w:r>
      <w:r w:rsidR="00312A46">
        <w:rPr>
          <w:rFonts w:ascii="Georgia" w:hAnsi="Georgia" w:cs="Courier New"/>
          <w:color w:val="000000"/>
          <w:sz w:val="24"/>
        </w:rPr>
        <w:t>This will be accompanied by a questionnaire</w:t>
      </w:r>
      <w:r w:rsidR="004C5F20">
        <w:rPr>
          <w:rFonts w:ascii="Georgia" w:hAnsi="Georgia" w:cs="Courier New"/>
          <w:color w:val="000000"/>
          <w:sz w:val="24"/>
        </w:rPr>
        <w:t xml:space="preserve"> (</w:t>
      </w:r>
      <w:r w:rsidR="004C5F20">
        <w:rPr>
          <w:rFonts w:ascii="Georgia" w:hAnsi="Georgia" w:cs="Courier New"/>
          <w:b/>
          <w:color w:val="000000"/>
          <w:sz w:val="24"/>
        </w:rPr>
        <w:t>Attachment C-1)</w:t>
      </w:r>
      <w:r w:rsidR="001F79F9">
        <w:rPr>
          <w:rFonts w:ascii="Georgia" w:hAnsi="Georgia" w:cs="Courier New"/>
          <w:color w:val="000000"/>
          <w:sz w:val="24"/>
        </w:rPr>
        <w:t>, administered as a CAPI by NIOSH personnel,</w:t>
      </w:r>
      <w:r w:rsidR="00312A46">
        <w:rPr>
          <w:rFonts w:ascii="Georgia" w:hAnsi="Georgia" w:cs="Courier New"/>
          <w:color w:val="000000"/>
          <w:sz w:val="24"/>
        </w:rPr>
        <w:t xml:space="preserve"> with a three-fold purpose:  (1) to determine whether study participants have any contraindications for certain medical procedures to be conducted (spirometry and sputum induction), (2) to assist in interpretation of the </w:t>
      </w:r>
      <w:r w:rsidR="004C1351">
        <w:rPr>
          <w:rFonts w:ascii="Georgia" w:hAnsi="Georgia" w:cs="Courier New"/>
          <w:color w:val="000000"/>
          <w:sz w:val="24"/>
        </w:rPr>
        <w:t xml:space="preserve">medical tests and </w:t>
      </w:r>
      <w:r w:rsidR="00312A46">
        <w:rPr>
          <w:rFonts w:ascii="Georgia" w:hAnsi="Georgia" w:cs="Courier New"/>
          <w:color w:val="000000"/>
          <w:sz w:val="24"/>
        </w:rPr>
        <w:t xml:space="preserve">biomarker results, and (3) to inquire about current and past exposure to CNT, CNF, and other chemicals, dusts, and fumes. </w:t>
      </w:r>
      <w:r w:rsidR="00250F2F">
        <w:rPr>
          <w:rFonts w:ascii="Georgia" w:hAnsi="Georgia" w:cs="Courier New"/>
          <w:color w:val="000000"/>
          <w:sz w:val="24"/>
        </w:rPr>
        <w:t xml:space="preserve">For example, questions about </w:t>
      </w:r>
      <w:r w:rsidR="00454CE2">
        <w:rPr>
          <w:rFonts w:ascii="Georgia" w:hAnsi="Georgia" w:cs="Courier New"/>
          <w:color w:val="000000"/>
          <w:sz w:val="24"/>
        </w:rPr>
        <w:t xml:space="preserve">alcohol use, </w:t>
      </w:r>
      <w:r w:rsidR="00250F2F">
        <w:rPr>
          <w:rFonts w:ascii="Georgia" w:hAnsi="Georgia" w:cs="Courier New"/>
          <w:color w:val="000000"/>
          <w:sz w:val="24"/>
        </w:rPr>
        <w:t xml:space="preserve">cystic fibrosis, diabetes, </w:t>
      </w:r>
      <w:r w:rsidR="00203A40">
        <w:rPr>
          <w:rFonts w:ascii="Georgia" w:hAnsi="Georgia" w:cs="Courier New"/>
          <w:color w:val="000000"/>
          <w:sz w:val="24"/>
        </w:rPr>
        <w:t xml:space="preserve">cancer, </w:t>
      </w:r>
      <w:r w:rsidR="00250F2F">
        <w:rPr>
          <w:rFonts w:ascii="Georgia" w:hAnsi="Georgia" w:cs="Courier New"/>
          <w:color w:val="000000"/>
          <w:sz w:val="24"/>
        </w:rPr>
        <w:t xml:space="preserve">autoimmune diseases and kidney diseases are asked because they may (independent of CNT or CNF exposure) influence the </w:t>
      </w:r>
      <w:r w:rsidR="00BA7DB3">
        <w:rPr>
          <w:rFonts w:ascii="Georgia" w:hAnsi="Georgia" w:cs="Courier New"/>
          <w:color w:val="000000"/>
          <w:sz w:val="24"/>
        </w:rPr>
        <w:t>blood pressure</w:t>
      </w:r>
      <w:r w:rsidR="00203A40">
        <w:rPr>
          <w:rFonts w:ascii="Georgia" w:hAnsi="Georgia" w:cs="Courier New"/>
          <w:color w:val="000000"/>
          <w:sz w:val="24"/>
        </w:rPr>
        <w:t>, pulmonary function,</w:t>
      </w:r>
      <w:r w:rsidR="00BA7DB3">
        <w:rPr>
          <w:rFonts w:ascii="Georgia" w:hAnsi="Georgia" w:cs="Courier New"/>
          <w:color w:val="000000"/>
          <w:sz w:val="24"/>
        </w:rPr>
        <w:t xml:space="preserve"> or </w:t>
      </w:r>
      <w:r w:rsidR="00250F2F">
        <w:rPr>
          <w:rFonts w:ascii="Georgia" w:hAnsi="Georgia" w:cs="Courier New"/>
          <w:color w:val="000000"/>
          <w:sz w:val="24"/>
        </w:rPr>
        <w:t>the biomarker</w:t>
      </w:r>
      <w:r w:rsidR="00203A40">
        <w:rPr>
          <w:rFonts w:ascii="Georgia" w:hAnsi="Georgia" w:cs="Courier New"/>
          <w:color w:val="000000"/>
          <w:sz w:val="24"/>
        </w:rPr>
        <w:t xml:space="preserve"> level</w:t>
      </w:r>
      <w:r w:rsidR="00250F2F">
        <w:rPr>
          <w:rFonts w:ascii="Georgia" w:hAnsi="Georgia" w:cs="Courier New"/>
          <w:color w:val="000000"/>
          <w:sz w:val="24"/>
        </w:rPr>
        <w:t xml:space="preserve">s. If these illnesses are present in the study participants, we will adjust for them in statistical analyses of the association between CNT or CNF and </w:t>
      </w:r>
      <w:r w:rsidR="00BA7DB3">
        <w:rPr>
          <w:rFonts w:ascii="Georgia" w:hAnsi="Georgia" w:cs="Courier New"/>
          <w:color w:val="000000"/>
          <w:sz w:val="24"/>
        </w:rPr>
        <w:t xml:space="preserve">blood pressure, </w:t>
      </w:r>
      <w:r w:rsidR="00203A40">
        <w:rPr>
          <w:rFonts w:ascii="Georgia" w:hAnsi="Georgia" w:cs="Courier New"/>
          <w:color w:val="000000"/>
          <w:sz w:val="24"/>
        </w:rPr>
        <w:t xml:space="preserve">pulmonary function, </w:t>
      </w:r>
      <w:r w:rsidR="00BA7DB3">
        <w:rPr>
          <w:rFonts w:ascii="Georgia" w:hAnsi="Georgia" w:cs="Courier New"/>
          <w:color w:val="000000"/>
          <w:sz w:val="24"/>
        </w:rPr>
        <w:t xml:space="preserve">or </w:t>
      </w:r>
      <w:r w:rsidR="00250F2F">
        <w:rPr>
          <w:rFonts w:ascii="Georgia" w:hAnsi="Georgia" w:cs="Courier New"/>
          <w:color w:val="000000"/>
          <w:sz w:val="24"/>
        </w:rPr>
        <w:t xml:space="preserve">the biomarkers in Table 1.  </w:t>
      </w:r>
      <w:r w:rsidR="00312A46">
        <w:rPr>
          <w:rFonts w:ascii="Georgia" w:hAnsi="Georgia" w:cs="Courier New"/>
          <w:color w:val="000000"/>
          <w:sz w:val="24"/>
        </w:rPr>
        <w:t xml:space="preserve">After administration of the CAPI, medical examinations will be conducted </w:t>
      </w:r>
      <w:r w:rsidR="00EC247A">
        <w:rPr>
          <w:rFonts w:ascii="Georgia" w:hAnsi="Georgia" w:cs="Courier New"/>
          <w:color w:val="000000"/>
          <w:sz w:val="24"/>
        </w:rPr>
        <w:t xml:space="preserve">by </w:t>
      </w:r>
      <w:r w:rsidR="001F79F9">
        <w:rPr>
          <w:rFonts w:ascii="Georgia" w:hAnsi="Georgia" w:cs="Courier New"/>
          <w:color w:val="000000"/>
          <w:sz w:val="24"/>
        </w:rPr>
        <w:t>a physician</w:t>
      </w:r>
      <w:r w:rsidR="00EC247A">
        <w:rPr>
          <w:rFonts w:ascii="Georgia" w:hAnsi="Georgia" w:cs="Courier New"/>
          <w:color w:val="000000"/>
          <w:sz w:val="24"/>
        </w:rPr>
        <w:t xml:space="preserve"> </w:t>
      </w:r>
      <w:r w:rsidR="00312A46">
        <w:rPr>
          <w:rFonts w:ascii="Georgia" w:hAnsi="Georgia" w:cs="Courier New"/>
          <w:color w:val="000000"/>
          <w:sz w:val="24"/>
        </w:rPr>
        <w:t xml:space="preserve">to evaluate pulmonary function </w:t>
      </w:r>
      <w:r w:rsidR="00BE19DA">
        <w:rPr>
          <w:rFonts w:ascii="Georgia" w:hAnsi="Georgia" w:cs="Courier New"/>
          <w:color w:val="000000"/>
          <w:sz w:val="24"/>
        </w:rPr>
        <w:t xml:space="preserve">(via spirometry) </w:t>
      </w:r>
      <w:r w:rsidR="00312A46">
        <w:rPr>
          <w:rFonts w:ascii="Georgia" w:hAnsi="Georgia" w:cs="Courier New"/>
          <w:color w:val="000000"/>
          <w:sz w:val="24"/>
        </w:rPr>
        <w:t xml:space="preserve">and </w:t>
      </w:r>
      <w:r w:rsidR="00BE19DA">
        <w:rPr>
          <w:rFonts w:ascii="Georgia" w:hAnsi="Georgia" w:cs="Courier New"/>
          <w:color w:val="000000"/>
          <w:sz w:val="24"/>
        </w:rPr>
        <w:t>blood pressure</w:t>
      </w:r>
      <w:r w:rsidR="00312A46">
        <w:rPr>
          <w:rFonts w:ascii="Georgia" w:hAnsi="Georgia" w:cs="Courier New"/>
          <w:color w:val="000000"/>
          <w:sz w:val="24"/>
        </w:rPr>
        <w:t xml:space="preserve">, and </w:t>
      </w:r>
      <w:r w:rsidR="001F79F9">
        <w:rPr>
          <w:rFonts w:ascii="Georgia" w:hAnsi="Georgia" w:cs="Courier New"/>
          <w:color w:val="000000"/>
          <w:sz w:val="24"/>
        </w:rPr>
        <w:t xml:space="preserve">induced </w:t>
      </w:r>
      <w:r w:rsidR="00312A46">
        <w:rPr>
          <w:rFonts w:ascii="Georgia" w:hAnsi="Georgia" w:cs="Courier New"/>
          <w:color w:val="000000"/>
          <w:sz w:val="24"/>
        </w:rPr>
        <w:t xml:space="preserve">sputum and blood will be collected. </w:t>
      </w:r>
      <w:r w:rsidR="00BE19DA">
        <w:rPr>
          <w:rFonts w:ascii="Georgia" w:hAnsi="Georgia" w:cs="Courier New"/>
          <w:color w:val="000000"/>
          <w:sz w:val="24"/>
        </w:rPr>
        <w:t xml:space="preserve">A </w:t>
      </w:r>
      <w:r w:rsidR="00BE19DA">
        <w:rPr>
          <w:rFonts w:ascii="Georgia" w:hAnsi="Georgia" w:cs="Courier New"/>
          <w:color w:val="000000"/>
          <w:sz w:val="24"/>
        </w:rPr>
        <w:lastRenderedPageBreak/>
        <w:t xml:space="preserve">complete blood count will be conducted on the blood samples, and several biomarkers (looking at inflammation, oxidative stress, </w:t>
      </w:r>
      <w:r w:rsidR="001F79F9">
        <w:rPr>
          <w:rFonts w:ascii="Georgia" w:hAnsi="Georgia" w:cs="Courier New"/>
          <w:color w:val="000000"/>
          <w:sz w:val="24"/>
        </w:rPr>
        <w:t xml:space="preserve">early indications of </w:t>
      </w:r>
      <w:r w:rsidR="00BE19DA">
        <w:rPr>
          <w:rFonts w:ascii="Georgia" w:hAnsi="Georgia" w:cs="Courier New"/>
          <w:color w:val="000000"/>
          <w:sz w:val="24"/>
        </w:rPr>
        <w:t>pulmonary fibrosis, cardiovascular effects, and genetic damage) will be measured</w:t>
      </w:r>
      <w:r w:rsidR="00EC247A">
        <w:rPr>
          <w:rFonts w:ascii="Georgia" w:hAnsi="Georgia" w:cs="Courier New"/>
          <w:color w:val="000000"/>
          <w:sz w:val="24"/>
        </w:rPr>
        <w:t xml:space="preserve"> on both the blood and sputum samples</w:t>
      </w:r>
      <w:r w:rsidR="00BE19DA">
        <w:rPr>
          <w:rFonts w:ascii="Georgia" w:hAnsi="Georgia" w:cs="Courier New"/>
          <w:color w:val="000000"/>
          <w:sz w:val="24"/>
        </w:rPr>
        <w:t>.</w:t>
      </w:r>
      <w:r w:rsidR="00312A46">
        <w:rPr>
          <w:rFonts w:ascii="Georgia" w:hAnsi="Georgia" w:cs="Courier New"/>
          <w:color w:val="000000"/>
          <w:sz w:val="24"/>
        </w:rPr>
        <w:t xml:space="preserve"> Statistical analyses will be conducted to determine the nature of the relation between exposure to CNT and CNF and </w:t>
      </w:r>
      <w:r w:rsidR="00A83EC1">
        <w:rPr>
          <w:rFonts w:ascii="Georgia" w:hAnsi="Georgia" w:cs="Courier New"/>
          <w:color w:val="000000"/>
          <w:sz w:val="24"/>
        </w:rPr>
        <w:t xml:space="preserve">these </w:t>
      </w:r>
      <w:r w:rsidR="00BE19DA">
        <w:rPr>
          <w:rFonts w:ascii="Georgia" w:hAnsi="Georgia" w:cs="Courier New"/>
          <w:color w:val="000000"/>
          <w:sz w:val="24"/>
        </w:rPr>
        <w:t xml:space="preserve">indicators or </w:t>
      </w:r>
      <w:r w:rsidR="00A83EC1">
        <w:rPr>
          <w:rFonts w:ascii="Georgia" w:hAnsi="Georgia" w:cs="Courier New"/>
          <w:color w:val="000000"/>
          <w:sz w:val="24"/>
        </w:rPr>
        <w:t>biomarkers</w:t>
      </w:r>
      <w:r w:rsidR="00312A46">
        <w:rPr>
          <w:rFonts w:ascii="Georgia" w:hAnsi="Georgia" w:cs="Courier New"/>
          <w:color w:val="000000"/>
          <w:sz w:val="24"/>
        </w:rPr>
        <w:t xml:space="preserve"> of early </w:t>
      </w:r>
      <w:r w:rsidR="00BE19DA">
        <w:rPr>
          <w:rFonts w:ascii="Georgia" w:hAnsi="Georgia" w:cs="Courier New"/>
          <w:color w:val="000000"/>
          <w:sz w:val="24"/>
        </w:rPr>
        <w:t xml:space="preserve">health </w:t>
      </w:r>
      <w:r w:rsidR="00312A46">
        <w:rPr>
          <w:rFonts w:ascii="Georgia" w:hAnsi="Georgia" w:cs="Courier New"/>
          <w:color w:val="000000"/>
          <w:sz w:val="24"/>
        </w:rPr>
        <w:t>effect</w:t>
      </w:r>
      <w:r w:rsidR="00BE19DA">
        <w:rPr>
          <w:rFonts w:ascii="Georgia" w:hAnsi="Georgia" w:cs="Courier New"/>
          <w:color w:val="000000"/>
          <w:sz w:val="24"/>
        </w:rPr>
        <w:t>s</w:t>
      </w:r>
      <w:r w:rsidR="00312A46">
        <w:rPr>
          <w:rFonts w:ascii="Georgia" w:hAnsi="Georgia" w:cs="Courier New"/>
          <w:color w:val="000000"/>
          <w:sz w:val="24"/>
        </w:rPr>
        <w:t>, considering potential confounding factors such as smoking, age, gender, and workplace exposures, including non-engineered ultrafine particles.</w:t>
      </w:r>
    </w:p>
    <w:p w:rsidR="00250F2F" w:rsidRDefault="00250F2F" w:rsidP="00250F2F">
      <w:pPr>
        <w:autoSpaceDE w:val="0"/>
        <w:autoSpaceDN w:val="0"/>
        <w:adjustRightInd w:val="0"/>
        <w:spacing w:after="100" w:afterAutospacing="1" w:line="360" w:lineRule="auto"/>
        <w:rPr>
          <w:rFonts w:ascii="Georgia" w:hAnsi="Georgia" w:cs="Courier New"/>
          <w:color w:val="000000"/>
          <w:sz w:val="24"/>
          <w:u w:val="single"/>
        </w:rPr>
      </w:pPr>
      <w:r w:rsidRPr="00E3106D">
        <w:rPr>
          <w:rFonts w:ascii="Georgia" w:hAnsi="Georgia" w:cs="Courier New"/>
          <w:color w:val="000000"/>
          <w:sz w:val="24"/>
          <w:u w:val="single"/>
        </w:rPr>
        <w:t>Items of Information to be Collected</w:t>
      </w:r>
    </w:p>
    <w:p w:rsidR="00203A40" w:rsidRDefault="00250F2F" w:rsidP="008A448C">
      <w:pPr>
        <w:autoSpaceDE w:val="0"/>
        <w:autoSpaceDN w:val="0"/>
        <w:adjustRightInd w:val="0"/>
        <w:spacing w:after="100" w:afterAutospacing="1" w:line="360" w:lineRule="auto"/>
        <w:rPr>
          <w:rFonts w:ascii="Georgia" w:hAnsi="Georgia" w:cs="Courier New"/>
          <w:color w:val="000000"/>
          <w:sz w:val="24"/>
        </w:rPr>
      </w:pPr>
      <w:r w:rsidRPr="00AE06A4">
        <w:rPr>
          <w:rFonts w:ascii="Georgia" w:hAnsi="Georgia" w:cs="Courier New"/>
          <w:color w:val="000000"/>
          <w:sz w:val="24"/>
        </w:rPr>
        <w:t>Information in identifiable form (IIF) will be collected including name, date of birth, social security number</w:t>
      </w:r>
      <w:r w:rsidR="00515F1E">
        <w:rPr>
          <w:rFonts w:ascii="Georgia" w:hAnsi="Georgia" w:cs="Courier New"/>
          <w:color w:val="000000"/>
          <w:sz w:val="24"/>
        </w:rPr>
        <w:t xml:space="preserve"> (SSN)</w:t>
      </w:r>
      <w:r w:rsidRPr="00AE06A4">
        <w:rPr>
          <w:rFonts w:ascii="Georgia" w:hAnsi="Georgia" w:cs="Courier New"/>
          <w:color w:val="000000"/>
          <w:sz w:val="24"/>
        </w:rPr>
        <w:t xml:space="preserve">, </w:t>
      </w:r>
      <w:r>
        <w:rPr>
          <w:rFonts w:ascii="Georgia" w:hAnsi="Georgia" w:cs="Courier New"/>
          <w:color w:val="000000"/>
          <w:sz w:val="24"/>
        </w:rPr>
        <w:t xml:space="preserve">mailing </w:t>
      </w:r>
      <w:r w:rsidRPr="00AE06A4">
        <w:rPr>
          <w:rFonts w:ascii="Georgia" w:hAnsi="Georgia" w:cs="Courier New"/>
          <w:color w:val="000000"/>
          <w:sz w:val="24"/>
        </w:rPr>
        <w:t>address, telephone number, medical information, biological specimens, employment status, and other information.</w:t>
      </w:r>
      <w:r>
        <w:rPr>
          <w:rFonts w:ascii="Georgia" w:hAnsi="Georgia" w:cs="Courier New"/>
          <w:color w:val="000000"/>
          <w:sz w:val="24"/>
        </w:rPr>
        <w:t xml:space="preserve"> </w:t>
      </w:r>
      <w:r w:rsidR="004C4DB9">
        <w:rPr>
          <w:rFonts w:ascii="Georgia" w:hAnsi="Georgia" w:cs="Courier New"/>
          <w:color w:val="000000"/>
          <w:sz w:val="24"/>
        </w:rPr>
        <w:t xml:space="preserve">A detailed justification for the need to collect SSN is provided in section A.11. </w:t>
      </w:r>
      <w:r w:rsidR="00BA7DB3">
        <w:rPr>
          <w:rFonts w:ascii="Georgia" w:hAnsi="Georgia" w:cs="Courier New"/>
          <w:color w:val="000000"/>
          <w:sz w:val="24"/>
        </w:rPr>
        <w:t xml:space="preserve"> </w:t>
      </w:r>
    </w:p>
    <w:p w:rsidR="00203A40" w:rsidRDefault="00203A40" w:rsidP="00203A40">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The questionnaire will ask workers about their personal and demographic characteristics (date of birth, sex, race and ethnicity, height and weight), history of tobacco and alcohol use, chest symptoms and illnesses, as well as diagnosed autoimmune disease, heart disease, cancer, and other health conditions, which, as noted above, may influence blood pressure or levels of the measured biomarkers, independent of CNT or CNF exposure. Questions are also included about possible contraindications to spirometry or sputum induction, including recent eye, chest or abdominal surgery, stroke, certain forms of heart disease, detached retina, recent history of aneurysm or tuberculosis infection.  Participants will also be asked about current and past exposure to CNTs, CNFs, and other chemicals, dusts, and fumes, both in their jobs and (for the past six months) in their hobbies. Information on such exposures for hobbies will be collected for only the past six months in order to reduce the burden of recall and response for the participant, and because these exposures are likely less substantial than workplace exposures.</w:t>
      </w:r>
    </w:p>
    <w:p w:rsidR="00203A40" w:rsidRDefault="00203A40" w:rsidP="00203A40">
      <w:pPr>
        <w:autoSpaceDE w:val="0"/>
        <w:autoSpaceDN w:val="0"/>
        <w:adjustRightInd w:val="0"/>
        <w:spacing w:after="100" w:afterAutospacing="1" w:line="360" w:lineRule="auto"/>
        <w:rPr>
          <w:rFonts w:ascii="Georgia" w:hAnsi="Georgia"/>
          <w:bCs/>
          <w:sz w:val="24"/>
          <w:szCs w:val="24"/>
        </w:rPr>
      </w:pPr>
      <w:r w:rsidRPr="005A103D">
        <w:rPr>
          <w:rFonts w:ascii="Georgia" w:hAnsi="Georgia" w:cs="Courier New"/>
          <w:color w:val="000000"/>
          <w:sz w:val="24"/>
        </w:rPr>
        <w:t>While</w:t>
      </w:r>
      <w:r>
        <w:rPr>
          <w:rFonts w:ascii="Georgia" w:hAnsi="Georgia" w:cs="Courier New"/>
          <w:color w:val="000000"/>
          <w:sz w:val="24"/>
        </w:rPr>
        <w:t xml:space="preserve"> conducting the site visits, information will be collected by NIOSH researchers on aspects of the workforce, which</w:t>
      </w:r>
      <w:r w:rsidRPr="005A103D">
        <w:rPr>
          <w:rFonts w:ascii="Georgia" w:hAnsi="Georgia" w:cs="Courier New"/>
          <w:color w:val="000000"/>
          <w:sz w:val="24"/>
        </w:rPr>
        <w:t xml:space="preserve"> </w:t>
      </w:r>
      <w:r w:rsidRPr="005A103D">
        <w:rPr>
          <w:rFonts w:ascii="Georgia" w:hAnsi="Georgia"/>
          <w:bCs/>
          <w:sz w:val="24"/>
          <w:szCs w:val="24"/>
        </w:rPr>
        <w:t>will permit the evaluation of factors that may affect</w:t>
      </w:r>
      <w:r>
        <w:rPr>
          <w:rFonts w:ascii="Georgia" w:hAnsi="Georgia"/>
          <w:bCs/>
          <w:sz w:val="24"/>
          <w:szCs w:val="24"/>
        </w:rPr>
        <w:t xml:space="preserve"> health outcomes</w:t>
      </w:r>
      <w:r w:rsidRPr="005A103D">
        <w:rPr>
          <w:rFonts w:ascii="Georgia" w:hAnsi="Georgia"/>
          <w:bCs/>
          <w:sz w:val="24"/>
          <w:szCs w:val="24"/>
        </w:rPr>
        <w:t xml:space="preserve"> in epidemiologic studies of CNT and CNF workers. Such information </w:t>
      </w:r>
      <w:r w:rsidRPr="005A103D">
        <w:rPr>
          <w:rFonts w:ascii="Georgia" w:hAnsi="Georgia"/>
          <w:bCs/>
          <w:sz w:val="24"/>
          <w:szCs w:val="24"/>
        </w:rPr>
        <w:lastRenderedPageBreak/>
        <w:t xml:space="preserve">will include an evaluation of potentially confounding </w:t>
      </w:r>
      <w:r>
        <w:rPr>
          <w:rFonts w:ascii="Georgia" w:hAnsi="Georgia"/>
          <w:bCs/>
          <w:sz w:val="24"/>
          <w:szCs w:val="24"/>
        </w:rPr>
        <w:t xml:space="preserve">workplace </w:t>
      </w:r>
      <w:r w:rsidRPr="005A103D">
        <w:rPr>
          <w:rFonts w:ascii="Georgia" w:hAnsi="Georgia"/>
          <w:bCs/>
          <w:sz w:val="24"/>
          <w:szCs w:val="24"/>
        </w:rPr>
        <w:t xml:space="preserve">exposures for pulmonary and cardiovascular diseases, the use of personal protective equipment that might attenuate exposure, and any employer-based medical surveillance of the workforce. </w:t>
      </w:r>
    </w:p>
    <w:p w:rsidR="0046494D" w:rsidRPr="005A103D" w:rsidRDefault="0046494D" w:rsidP="0046494D">
      <w:pPr>
        <w:autoSpaceDE w:val="0"/>
        <w:autoSpaceDN w:val="0"/>
        <w:adjustRightInd w:val="0"/>
        <w:spacing w:after="100" w:afterAutospacing="1" w:line="360" w:lineRule="auto"/>
        <w:rPr>
          <w:rFonts w:ascii="Georgia" w:hAnsi="Georgia" w:cs="Courier New"/>
          <w:color w:val="000000"/>
          <w:sz w:val="24"/>
          <w:szCs w:val="24"/>
        </w:rPr>
      </w:pPr>
      <w:r>
        <w:rPr>
          <w:rFonts w:ascii="Georgia" w:hAnsi="Georgia"/>
          <w:bCs/>
          <w:sz w:val="24"/>
          <w:szCs w:val="24"/>
        </w:rPr>
        <w:t>These factors include the following:</w:t>
      </w:r>
    </w:p>
    <w:p w:rsidR="0046494D" w:rsidRDefault="0046494D" w:rsidP="0046494D">
      <w:pPr>
        <w:numPr>
          <w:ilvl w:val="1"/>
          <w:numId w:val="1"/>
        </w:numPr>
        <w:autoSpaceDE w:val="0"/>
        <w:autoSpaceDN w:val="0"/>
        <w:adjustRightInd w:val="0"/>
        <w:spacing w:after="120" w:line="480" w:lineRule="auto"/>
        <w:rPr>
          <w:rFonts w:ascii="Georgia" w:hAnsi="Georgia"/>
          <w:bCs/>
          <w:sz w:val="24"/>
          <w:szCs w:val="24"/>
        </w:rPr>
      </w:pPr>
      <w:r>
        <w:rPr>
          <w:rFonts w:ascii="Georgia" w:hAnsi="Georgia"/>
          <w:bCs/>
          <w:sz w:val="24"/>
          <w:szCs w:val="24"/>
        </w:rPr>
        <w:t>Company name and address</w:t>
      </w:r>
    </w:p>
    <w:p w:rsidR="0046494D" w:rsidRDefault="0046494D" w:rsidP="0046494D">
      <w:pPr>
        <w:numPr>
          <w:ilvl w:val="1"/>
          <w:numId w:val="1"/>
        </w:numPr>
        <w:autoSpaceDE w:val="0"/>
        <w:autoSpaceDN w:val="0"/>
        <w:adjustRightInd w:val="0"/>
        <w:spacing w:after="120" w:line="480" w:lineRule="auto"/>
        <w:rPr>
          <w:rFonts w:ascii="Georgia" w:hAnsi="Georgia"/>
          <w:bCs/>
          <w:sz w:val="24"/>
          <w:szCs w:val="24"/>
        </w:rPr>
      </w:pPr>
      <w:r>
        <w:rPr>
          <w:rFonts w:ascii="Georgia" w:hAnsi="Georgia"/>
          <w:bCs/>
          <w:sz w:val="24"/>
          <w:szCs w:val="24"/>
        </w:rPr>
        <w:t>CNT or CNF s</w:t>
      </w:r>
      <w:r w:rsidRPr="005A103D">
        <w:rPr>
          <w:rFonts w:ascii="Georgia" w:hAnsi="Georgia"/>
          <w:bCs/>
          <w:sz w:val="24"/>
          <w:szCs w:val="24"/>
        </w:rPr>
        <w:t>ynthesis method, if a primary manufacturer</w:t>
      </w:r>
    </w:p>
    <w:p w:rsidR="0046494D" w:rsidRPr="005A103D" w:rsidRDefault="0046494D" w:rsidP="0046494D">
      <w:pPr>
        <w:numPr>
          <w:ilvl w:val="1"/>
          <w:numId w:val="1"/>
        </w:numPr>
        <w:autoSpaceDE w:val="0"/>
        <w:autoSpaceDN w:val="0"/>
        <w:adjustRightInd w:val="0"/>
        <w:spacing w:after="120" w:line="480" w:lineRule="auto"/>
        <w:rPr>
          <w:rFonts w:ascii="Georgia" w:hAnsi="Georgia"/>
          <w:bCs/>
          <w:sz w:val="24"/>
          <w:szCs w:val="24"/>
        </w:rPr>
      </w:pPr>
      <w:r w:rsidRPr="005A103D">
        <w:rPr>
          <w:rFonts w:ascii="Georgia" w:hAnsi="Georgia"/>
          <w:bCs/>
          <w:sz w:val="24"/>
          <w:szCs w:val="24"/>
        </w:rPr>
        <w:t>Type and toxicity of raw materials and other potential co-exposures</w:t>
      </w:r>
    </w:p>
    <w:p w:rsidR="0046494D" w:rsidRPr="005A103D" w:rsidRDefault="0046494D" w:rsidP="0046494D">
      <w:pPr>
        <w:numPr>
          <w:ilvl w:val="1"/>
          <w:numId w:val="1"/>
        </w:numPr>
        <w:autoSpaceDE w:val="0"/>
        <w:autoSpaceDN w:val="0"/>
        <w:adjustRightInd w:val="0"/>
        <w:spacing w:after="120" w:line="480" w:lineRule="auto"/>
        <w:rPr>
          <w:rFonts w:ascii="Georgia" w:hAnsi="Georgia"/>
          <w:bCs/>
          <w:sz w:val="24"/>
          <w:szCs w:val="24"/>
        </w:rPr>
      </w:pPr>
      <w:r w:rsidRPr="005A103D">
        <w:rPr>
          <w:rFonts w:ascii="Georgia" w:hAnsi="Georgia"/>
          <w:bCs/>
          <w:sz w:val="24"/>
          <w:szCs w:val="24"/>
        </w:rPr>
        <w:t xml:space="preserve">Nominal aspect ratio of CNT or CNF </w:t>
      </w:r>
      <w:r>
        <w:rPr>
          <w:rFonts w:ascii="Georgia" w:hAnsi="Georgia"/>
          <w:bCs/>
          <w:sz w:val="24"/>
          <w:szCs w:val="24"/>
        </w:rPr>
        <w:t>(as publicly reported by the company and measured by NIOSH in bulk materials provided by the company).</w:t>
      </w:r>
    </w:p>
    <w:p w:rsidR="0046494D" w:rsidRPr="005A103D" w:rsidRDefault="0046494D" w:rsidP="0046494D">
      <w:pPr>
        <w:numPr>
          <w:ilvl w:val="1"/>
          <w:numId w:val="1"/>
        </w:numPr>
        <w:autoSpaceDE w:val="0"/>
        <w:autoSpaceDN w:val="0"/>
        <w:adjustRightInd w:val="0"/>
        <w:spacing w:after="120" w:line="480" w:lineRule="auto"/>
        <w:rPr>
          <w:rFonts w:ascii="Georgia" w:hAnsi="Georgia"/>
          <w:bCs/>
          <w:sz w:val="24"/>
          <w:szCs w:val="24"/>
        </w:rPr>
      </w:pPr>
      <w:r w:rsidRPr="005A103D">
        <w:rPr>
          <w:rFonts w:ascii="Georgia" w:hAnsi="Georgia"/>
          <w:bCs/>
          <w:sz w:val="24"/>
          <w:szCs w:val="24"/>
        </w:rPr>
        <w:t>Type of processes and tasks performed by employees</w:t>
      </w:r>
    </w:p>
    <w:p w:rsidR="0046494D" w:rsidRPr="005A103D" w:rsidRDefault="0046494D" w:rsidP="0046494D">
      <w:pPr>
        <w:numPr>
          <w:ilvl w:val="1"/>
          <w:numId w:val="1"/>
        </w:numPr>
        <w:autoSpaceDE w:val="0"/>
        <w:autoSpaceDN w:val="0"/>
        <w:adjustRightInd w:val="0"/>
        <w:spacing w:after="120" w:line="480" w:lineRule="auto"/>
        <w:rPr>
          <w:rFonts w:ascii="Georgia" w:hAnsi="Georgia"/>
          <w:bCs/>
          <w:sz w:val="24"/>
          <w:szCs w:val="24"/>
        </w:rPr>
      </w:pPr>
      <w:r w:rsidRPr="005A103D">
        <w:rPr>
          <w:rFonts w:ascii="Georgia" w:hAnsi="Georgia"/>
          <w:bCs/>
          <w:sz w:val="24"/>
          <w:szCs w:val="24"/>
        </w:rPr>
        <w:t>Form of CNT and CNF used—dry powder or liquid emulsion</w:t>
      </w:r>
    </w:p>
    <w:p w:rsidR="0046494D" w:rsidRPr="005A103D" w:rsidRDefault="0046494D" w:rsidP="0046494D">
      <w:pPr>
        <w:numPr>
          <w:ilvl w:val="1"/>
          <w:numId w:val="1"/>
        </w:numPr>
        <w:autoSpaceDE w:val="0"/>
        <w:autoSpaceDN w:val="0"/>
        <w:adjustRightInd w:val="0"/>
        <w:spacing w:after="120" w:line="480" w:lineRule="auto"/>
        <w:rPr>
          <w:rFonts w:ascii="Georgia" w:hAnsi="Georgia"/>
          <w:bCs/>
          <w:sz w:val="24"/>
          <w:szCs w:val="24"/>
        </w:rPr>
      </w:pPr>
      <w:r w:rsidRPr="005A103D">
        <w:rPr>
          <w:rFonts w:ascii="Georgia" w:hAnsi="Georgia"/>
          <w:bCs/>
          <w:sz w:val="24"/>
          <w:szCs w:val="24"/>
        </w:rPr>
        <w:t xml:space="preserve">Use </w:t>
      </w:r>
      <w:r>
        <w:rPr>
          <w:rFonts w:ascii="Georgia" w:hAnsi="Georgia"/>
          <w:bCs/>
          <w:sz w:val="24"/>
          <w:szCs w:val="24"/>
        </w:rPr>
        <w:t xml:space="preserve">and adequacy </w:t>
      </w:r>
      <w:r w:rsidRPr="005A103D">
        <w:rPr>
          <w:rFonts w:ascii="Georgia" w:hAnsi="Georgia"/>
          <w:bCs/>
          <w:sz w:val="24"/>
          <w:szCs w:val="24"/>
        </w:rPr>
        <w:t>of personal protective equipment</w:t>
      </w:r>
    </w:p>
    <w:p w:rsidR="0046494D" w:rsidRPr="005A103D" w:rsidRDefault="0046494D" w:rsidP="0046494D">
      <w:pPr>
        <w:numPr>
          <w:ilvl w:val="1"/>
          <w:numId w:val="1"/>
        </w:numPr>
        <w:autoSpaceDE w:val="0"/>
        <w:autoSpaceDN w:val="0"/>
        <w:adjustRightInd w:val="0"/>
        <w:spacing w:after="120" w:line="480" w:lineRule="auto"/>
        <w:rPr>
          <w:rFonts w:ascii="Georgia" w:hAnsi="Georgia"/>
          <w:bCs/>
          <w:sz w:val="24"/>
          <w:szCs w:val="24"/>
        </w:rPr>
      </w:pPr>
      <w:r w:rsidRPr="005A103D">
        <w:rPr>
          <w:rFonts w:ascii="Georgia" w:hAnsi="Georgia"/>
          <w:bCs/>
          <w:sz w:val="24"/>
          <w:szCs w:val="24"/>
        </w:rPr>
        <w:t>Length of shift</w:t>
      </w:r>
    </w:p>
    <w:p w:rsidR="0046494D" w:rsidRPr="005A103D" w:rsidRDefault="0046494D" w:rsidP="0046494D">
      <w:pPr>
        <w:numPr>
          <w:ilvl w:val="1"/>
          <w:numId w:val="1"/>
        </w:numPr>
        <w:autoSpaceDE w:val="0"/>
        <w:autoSpaceDN w:val="0"/>
        <w:adjustRightInd w:val="0"/>
        <w:spacing w:after="120" w:line="480" w:lineRule="auto"/>
        <w:rPr>
          <w:rFonts w:ascii="Georgia" w:hAnsi="Georgia"/>
          <w:bCs/>
          <w:sz w:val="24"/>
          <w:szCs w:val="24"/>
        </w:rPr>
      </w:pPr>
      <w:r w:rsidRPr="005A103D">
        <w:rPr>
          <w:rFonts w:ascii="Georgia" w:hAnsi="Georgia"/>
          <w:bCs/>
          <w:sz w:val="24"/>
          <w:szCs w:val="24"/>
        </w:rPr>
        <w:t>Time spent per shift working directly with CNT or CNF</w:t>
      </w:r>
    </w:p>
    <w:p w:rsidR="0046494D" w:rsidRPr="005A103D" w:rsidRDefault="0046494D" w:rsidP="0046494D">
      <w:pPr>
        <w:numPr>
          <w:ilvl w:val="1"/>
          <w:numId w:val="1"/>
        </w:numPr>
        <w:autoSpaceDE w:val="0"/>
        <w:autoSpaceDN w:val="0"/>
        <w:adjustRightInd w:val="0"/>
        <w:spacing w:after="120" w:line="480" w:lineRule="auto"/>
        <w:rPr>
          <w:rFonts w:ascii="Georgia" w:hAnsi="Georgia"/>
          <w:bCs/>
          <w:sz w:val="24"/>
          <w:szCs w:val="24"/>
        </w:rPr>
      </w:pPr>
      <w:r w:rsidRPr="005A103D">
        <w:rPr>
          <w:rFonts w:ascii="Georgia" w:hAnsi="Georgia"/>
          <w:bCs/>
          <w:sz w:val="24"/>
          <w:szCs w:val="24"/>
        </w:rPr>
        <w:t>Time spent per shift potentially indirectly exposed to CNT or CNF</w:t>
      </w:r>
    </w:p>
    <w:p w:rsidR="0046494D" w:rsidRPr="005A103D" w:rsidRDefault="0046494D" w:rsidP="0046494D">
      <w:pPr>
        <w:numPr>
          <w:ilvl w:val="1"/>
          <w:numId w:val="1"/>
        </w:numPr>
        <w:autoSpaceDE w:val="0"/>
        <w:autoSpaceDN w:val="0"/>
        <w:adjustRightInd w:val="0"/>
        <w:spacing w:after="120" w:line="480" w:lineRule="auto"/>
        <w:rPr>
          <w:rFonts w:ascii="Georgia" w:hAnsi="Georgia"/>
          <w:bCs/>
          <w:sz w:val="24"/>
          <w:szCs w:val="24"/>
        </w:rPr>
      </w:pPr>
      <w:r w:rsidRPr="005A103D">
        <w:rPr>
          <w:rFonts w:ascii="Georgia" w:hAnsi="Georgia"/>
          <w:bCs/>
          <w:sz w:val="24"/>
          <w:szCs w:val="24"/>
        </w:rPr>
        <w:t>Cleaning operations and waste disposal</w:t>
      </w:r>
    </w:p>
    <w:p w:rsidR="00203A40" w:rsidRDefault="00203A40">
      <w:pPr>
        <w:rPr>
          <w:rFonts w:ascii="Georgia" w:eastAsia="Times New Roman" w:hAnsi="Georgia" w:cs="Courier New"/>
          <w:b/>
          <w:bCs/>
          <w:color w:val="000000"/>
          <w:sz w:val="20"/>
          <w:szCs w:val="20"/>
        </w:rPr>
      </w:pPr>
    </w:p>
    <w:p w:rsidR="0046494D" w:rsidRDefault="0046494D">
      <w:pPr>
        <w:rPr>
          <w:rFonts w:ascii="Georgia" w:eastAsia="Times New Roman" w:hAnsi="Georgia" w:cs="Courier New"/>
          <w:b/>
          <w:bCs/>
          <w:color w:val="000000"/>
          <w:sz w:val="20"/>
          <w:szCs w:val="20"/>
        </w:rPr>
      </w:pPr>
      <w:r>
        <w:rPr>
          <w:rFonts w:ascii="Georgia" w:hAnsi="Georgia" w:cs="Courier New"/>
          <w:color w:val="000000"/>
        </w:rPr>
        <w:br w:type="page"/>
      </w:r>
    </w:p>
    <w:p w:rsidR="00250F2F" w:rsidRDefault="00250F2F" w:rsidP="00250F2F">
      <w:pPr>
        <w:pStyle w:val="Caption"/>
        <w:keepNext/>
      </w:pPr>
      <w:r w:rsidRPr="00250F2F">
        <w:rPr>
          <w:rFonts w:ascii="Georgia" w:hAnsi="Georgia" w:cs="Courier New"/>
          <w:color w:val="000000"/>
        </w:rPr>
        <w:lastRenderedPageBreak/>
        <w:t xml:space="preserve">Table 1. </w:t>
      </w:r>
      <w:r w:rsidRPr="005271CF">
        <w:t>Description of circulating biomarkers to be measured for early effect of exposure</w:t>
      </w:r>
      <w:r w:rsidRPr="000A6961">
        <w:rPr>
          <w:vertAlign w:val="superscript"/>
        </w:rPr>
        <w:t>†</w:t>
      </w:r>
      <w:r>
        <w:t>.</w:t>
      </w:r>
    </w:p>
    <w:tbl>
      <w:tblPr>
        <w:tblStyle w:val="TableGrid"/>
        <w:tblW w:w="9828" w:type="dxa"/>
        <w:tblLook w:val="04A0" w:firstRow="1" w:lastRow="0" w:firstColumn="1" w:lastColumn="0" w:noHBand="0" w:noVBand="1"/>
      </w:tblPr>
      <w:tblGrid>
        <w:gridCol w:w="2898"/>
        <w:gridCol w:w="2340"/>
        <w:gridCol w:w="4590"/>
      </w:tblGrid>
      <w:tr w:rsidR="00250F2F" w:rsidRPr="00041987" w:rsidTr="00250F2F">
        <w:tc>
          <w:tcPr>
            <w:tcW w:w="2898" w:type="dxa"/>
          </w:tcPr>
          <w:p w:rsidR="00250F2F" w:rsidRPr="000A6961" w:rsidRDefault="00250F2F" w:rsidP="00250F2F">
            <w:pPr>
              <w:jc w:val="center"/>
              <w:rPr>
                <w:b/>
                <w:sz w:val="19"/>
                <w:szCs w:val="19"/>
              </w:rPr>
            </w:pPr>
            <w:r w:rsidRPr="000A6961">
              <w:rPr>
                <w:b/>
                <w:sz w:val="19"/>
                <w:szCs w:val="19"/>
              </w:rPr>
              <w:t>Marker</w:t>
            </w:r>
          </w:p>
        </w:tc>
        <w:tc>
          <w:tcPr>
            <w:tcW w:w="2340" w:type="dxa"/>
          </w:tcPr>
          <w:p w:rsidR="00250F2F" w:rsidRPr="000A6961" w:rsidRDefault="00250F2F" w:rsidP="00250F2F">
            <w:pPr>
              <w:jc w:val="center"/>
              <w:rPr>
                <w:b/>
                <w:sz w:val="19"/>
                <w:szCs w:val="19"/>
              </w:rPr>
            </w:pPr>
            <w:r w:rsidRPr="000A6961">
              <w:rPr>
                <w:b/>
                <w:sz w:val="19"/>
                <w:szCs w:val="19"/>
              </w:rPr>
              <w:t>Sample Matrix</w:t>
            </w:r>
          </w:p>
        </w:tc>
        <w:tc>
          <w:tcPr>
            <w:tcW w:w="4590" w:type="dxa"/>
          </w:tcPr>
          <w:p w:rsidR="00250F2F" w:rsidRPr="000A6961" w:rsidRDefault="00250F2F" w:rsidP="00250F2F">
            <w:pPr>
              <w:jc w:val="center"/>
              <w:rPr>
                <w:b/>
                <w:sz w:val="19"/>
                <w:szCs w:val="19"/>
              </w:rPr>
            </w:pPr>
            <w:r w:rsidRPr="000A6961">
              <w:rPr>
                <w:b/>
                <w:sz w:val="19"/>
                <w:szCs w:val="19"/>
              </w:rPr>
              <w:t>Rationale</w:t>
            </w:r>
          </w:p>
        </w:tc>
      </w:tr>
      <w:tr w:rsidR="00250F2F" w:rsidRPr="00041987" w:rsidTr="00250F2F">
        <w:tc>
          <w:tcPr>
            <w:tcW w:w="2898" w:type="dxa"/>
          </w:tcPr>
          <w:p w:rsidR="00250F2F" w:rsidRPr="000A6961" w:rsidRDefault="00250F2F" w:rsidP="00250F2F">
            <w:pPr>
              <w:rPr>
                <w:b/>
                <w:sz w:val="19"/>
                <w:szCs w:val="19"/>
                <w:u w:val="single"/>
              </w:rPr>
            </w:pPr>
            <w:r w:rsidRPr="000A6961">
              <w:rPr>
                <w:b/>
                <w:sz w:val="19"/>
                <w:szCs w:val="19"/>
                <w:u w:val="single"/>
              </w:rPr>
              <w:t>Inflammation</w:t>
            </w:r>
          </w:p>
        </w:tc>
        <w:tc>
          <w:tcPr>
            <w:tcW w:w="2340" w:type="dxa"/>
          </w:tcPr>
          <w:p w:rsidR="00250F2F" w:rsidRPr="000A6961" w:rsidRDefault="00250F2F" w:rsidP="00250F2F">
            <w:pPr>
              <w:rPr>
                <w:sz w:val="19"/>
                <w:szCs w:val="19"/>
              </w:rPr>
            </w:pPr>
          </w:p>
        </w:tc>
        <w:tc>
          <w:tcPr>
            <w:tcW w:w="4590" w:type="dxa"/>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Interleukin-1β</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val="restart"/>
          </w:tcPr>
          <w:p w:rsidR="00250F2F" w:rsidRPr="000A6961" w:rsidRDefault="00250F2F" w:rsidP="00250F2F">
            <w:pPr>
              <w:rPr>
                <w:sz w:val="19"/>
                <w:szCs w:val="19"/>
              </w:rPr>
            </w:pPr>
            <w:r w:rsidRPr="000A6961">
              <w:rPr>
                <w:sz w:val="19"/>
                <w:szCs w:val="19"/>
              </w:rPr>
              <w:t>These 19 analytes are markers of inflammation. As a group, the analytes chosen represent a thorough early screen of effect for exposure to CNT/CNF. These markers have been shown to be increased in animal models of CNT exposure or associated pulmonary exposure studies.</w:t>
            </w:r>
          </w:p>
        </w:tc>
      </w:tr>
      <w:tr w:rsidR="00250F2F" w:rsidRPr="00041987" w:rsidTr="00250F2F">
        <w:tc>
          <w:tcPr>
            <w:tcW w:w="2898" w:type="dxa"/>
          </w:tcPr>
          <w:p w:rsidR="00250F2F" w:rsidRPr="000A6961" w:rsidRDefault="00250F2F" w:rsidP="00250F2F">
            <w:pPr>
              <w:rPr>
                <w:sz w:val="19"/>
                <w:szCs w:val="19"/>
              </w:rPr>
            </w:pPr>
            <w:r w:rsidRPr="000A6961">
              <w:rPr>
                <w:sz w:val="19"/>
                <w:szCs w:val="19"/>
              </w:rPr>
              <w:t>Interleukin-2</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Interleukin-4</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Interleukin-5</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Interleukin-6</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Interleukin-8</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Interleukin-10</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Interleukin-12p70</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Interleukin-18</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Interleukin-6 receptor beta</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vertAlign w:val="superscript"/>
              </w:rPr>
            </w:pPr>
            <w:r w:rsidRPr="000A6961">
              <w:rPr>
                <w:sz w:val="19"/>
                <w:szCs w:val="19"/>
              </w:rPr>
              <w:t>Alpha-2-Macroglobulin</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Complement C3</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C-Reactive Protein</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TNFα</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GM-CSF</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Macrophage derived chemokine</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Eotaxin-1</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Apolipoprotein A-I</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Apolipoprotein A-II</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CBC with Differential</w:t>
            </w:r>
          </w:p>
        </w:tc>
        <w:tc>
          <w:tcPr>
            <w:tcW w:w="2340" w:type="dxa"/>
          </w:tcPr>
          <w:p w:rsidR="00250F2F" w:rsidRPr="000A6961" w:rsidRDefault="00250F2F" w:rsidP="00250F2F">
            <w:pPr>
              <w:rPr>
                <w:sz w:val="19"/>
                <w:szCs w:val="19"/>
              </w:rPr>
            </w:pPr>
            <w:r w:rsidRPr="000A6961">
              <w:rPr>
                <w:sz w:val="19"/>
                <w:szCs w:val="19"/>
              </w:rPr>
              <w:t>Whole Blood</w:t>
            </w:r>
          </w:p>
        </w:tc>
        <w:tc>
          <w:tcPr>
            <w:tcW w:w="4590" w:type="dxa"/>
          </w:tcPr>
          <w:p w:rsidR="00250F2F" w:rsidRPr="000A6961" w:rsidRDefault="00250F2F" w:rsidP="00250F2F">
            <w:pPr>
              <w:rPr>
                <w:sz w:val="19"/>
                <w:szCs w:val="19"/>
              </w:rPr>
            </w:pPr>
            <w:r w:rsidRPr="000A6961">
              <w:rPr>
                <w:sz w:val="19"/>
                <w:szCs w:val="19"/>
              </w:rPr>
              <w:t>Increased neutrophils following concentrated ambient particles or welding fume exposure.</w:t>
            </w:r>
          </w:p>
        </w:tc>
      </w:tr>
      <w:tr w:rsidR="00250F2F" w:rsidRPr="00041987" w:rsidTr="00250F2F">
        <w:tc>
          <w:tcPr>
            <w:tcW w:w="2898" w:type="dxa"/>
          </w:tcPr>
          <w:p w:rsidR="00250F2F" w:rsidRPr="000A6961" w:rsidRDefault="00250F2F" w:rsidP="00250F2F">
            <w:pPr>
              <w:rPr>
                <w:b/>
                <w:sz w:val="19"/>
                <w:szCs w:val="19"/>
                <w:u w:val="single"/>
              </w:rPr>
            </w:pPr>
            <w:r w:rsidRPr="000A6961">
              <w:rPr>
                <w:b/>
                <w:sz w:val="19"/>
                <w:szCs w:val="19"/>
                <w:u w:val="single"/>
              </w:rPr>
              <w:t>Oxidative stress</w:t>
            </w:r>
          </w:p>
        </w:tc>
        <w:tc>
          <w:tcPr>
            <w:tcW w:w="2340" w:type="dxa"/>
          </w:tcPr>
          <w:p w:rsidR="00250F2F" w:rsidRPr="000A6961" w:rsidRDefault="00250F2F" w:rsidP="00250F2F">
            <w:pPr>
              <w:rPr>
                <w:sz w:val="19"/>
                <w:szCs w:val="19"/>
              </w:rPr>
            </w:pPr>
          </w:p>
        </w:tc>
        <w:tc>
          <w:tcPr>
            <w:tcW w:w="4590" w:type="dxa"/>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Myeloperoxidase</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val="restart"/>
          </w:tcPr>
          <w:p w:rsidR="00250F2F" w:rsidRPr="000A6961" w:rsidRDefault="00250F2F" w:rsidP="00250F2F">
            <w:pPr>
              <w:rPr>
                <w:sz w:val="19"/>
                <w:szCs w:val="19"/>
              </w:rPr>
            </w:pPr>
            <w:r w:rsidRPr="000A6961">
              <w:rPr>
                <w:sz w:val="19"/>
                <w:szCs w:val="19"/>
              </w:rPr>
              <w:t>These markers will indicate the presence of local and systemic oxidative stress. These markers have been indicated following pulmonary toxicant exposures and/or are being analyzed in other nanomaterial epidemiological studies</w:t>
            </w:r>
          </w:p>
        </w:tc>
      </w:tr>
      <w:tr w:rsidR="00250F2F" w:rsidRPr="00041987" w:rsidTr="00250F2F">
        <w:tc>
          <w:tcPr>
            <w:tcW w:w="2898" w:type="dxa"/>
          </w:tcPr>
          <w:p w:rsidR="00250F2F" w:rsidRPr="000A6961" w:rsidRDefault="00250F2F" w:rsidP="00250F2F">
            <w:pPr>
              <w:rPr>
                <w:sz w:val="19"/>
                <w:szCs w:val="19"/>
              </w:rPr>
            </w:pPr>
            <w:r w:rsidRPr="000A6961">
              <w:rPr>
                <w:sz w:val="19"/>
                <w:szCs w:val="19"/>
              </w:rPr>
              <w:t xml:space="preserve">SOD </w:t>
            </w:r>
            <w:r>
              <w:rPr>
                <w:sz w:val="19"/>
                <w:szCs w:val="19"/>
              </w:rPr>
              <w:t>activity</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Pr>
                <w:sz w:val="19"/>
                <w:szCs w:val="19"/>
              </w:rPr>
              <w:t>GPx activity</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Pr>
                <w:sz w:val="19"/>
                <w:szCs w:val="19"/>
              </w:rPr>
              <w:t>8-OHdG</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Pr>
                <w:sz w:val="19"/>
                <w:szCs w:val="19"/>
              </w:rPr>
              <w:t>8-isoprostane</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b/>
                <w:sz w:val="19"/>
                <w:szCs w:val="19"/>
                <w:u w:val="single"/>
              </w:rPr>
            </w:pPr>
            <w:r w:rsidRPr="000A6961">
              <w:rPr>
                <w:b/>
                <w:sz w:val="19"/>
                <w:szCs w:val="19"/>
                <w:u w:val="single"/>
              </w:rPr>
              <w:t>Cardiovascular / Coagulation</w:t>
            </w:r>
          </w:p>
        </w:tc>
        <w:tc>
          <w:tcPr>
            <w:tcW w:w="2340" w:type="dxa"/>
          </w:tcPr>
          <w:p w:rsidR="00250F2F" w:rsidRPr="000A6961" w:rsidRDefault="00250F2F" w:rsidP="00250F2F">
            <w:pPr>
              <w:rPr>
                <w:sz w:val="19"/>
                <w:szCs w:val="19"/>
              </w:rPr>
            </w:pPr>
          </w:p>
        </w:tc>
        <w:tc>
          <w:tcPr>
            <w:tcW w:w="4590" w:type="dxa"/>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ICAM-1</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val="restart"/>
          </w:tcPr>
          <w:p w:rsidR="00250F2F" w:rsidRPr="000A6961" w:rsidRDefault="00250F2F" w:rsidP="00250F2F">
            <w:pPr>
              <w:rPr>
                <w:sz w:val="19"/>
                <w:szCs w:val="19"/>
              </w:rPr>
            </w:pPr>
            <w:r w:rsidRPr="000A6961">
              <w:rPr>
                <w:sz w:val="19"/>
                <w:szCs w:val="19"/>
              </w:rPr>
              <w:t>These markers represent a group of cardiovascular and coagulation specific markers. The analytes have been increased following pulmonary inflammatory exposures.</w:t>
            </w:r>
          </w:p>
        </w:tc>
      </w:tr>
      <w:tr w:rsidR="00250F2F" w:rsidRPr="00041987" w:rsidTr="00250F2F">
        <w:tc>
          <w:tcPr>
            <w:tcW w:w="2898" w:type="dxa"/>
          </w:tcPr>
          <w:p w:rsidR="00250F2F" w:rsidRPr="000A6961" w:rsidRDefault="00250F2F" w:rsidP="00250F2F">
            <w:pPr>
              <w:rPr>
                <w:sz w:val="19"/>
                <w:szCs w:val="19"/>
              </w:rPr>
            </w:pPr>
            <w:r w:rsidRPr="000A6961">
              <w:rPr>
                <w:sz w:val="19"/>
                <w:szCs w:val="19"/>
              </w:rPr>
              <w:t>VCAM-1</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Endothelin-1</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Fibrinogen</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von Willebrand Factor</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PAI-1</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t-PA</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b/>
                <w:sz w:val="19"/>
                <w:szCs w:val="19"/>
                <w:u w:val="single"/>
              </w:rPr>
            </w:pPr>
            <w:r w:rsidRPr="000A6961">
              <w:rPr>
                <w:b/>
                <w:sz w:val="19"/>
                <w:szCs w:val="19"/>
                <w:u w:val="single"/>
              </w:rPr>
              <w:t>Cancer / Fibrosis</w:t>
            </w:r>
          </w:p>
        </w:tc>
        <w:tc>
          <w:tcPr>
            <w:tcW w:w="2340" w:type="dxa"/>
          </w:tcPr>
          <w:p w:rsidR="00250F2F" w:rsidRPr="000A6961" w:rsidRDefault="00250F2F" w:rsidP="00250F2F">
            <w:pPr>
              <w:rPr>
                <w:sz w:val="19"/>
                <w:szCs w:val="19"/>
              </w:rPr>
            </w:pPr>
          </w:p>
        </w:tc>
        <w:tc>
          <w:tcPr>
            <w:tcW w:w="4590" w:type="dxa"/>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KL-6</w:t>
            </w:r>
          </w:p>
        </w:tc>
        <w:tc>
          <w:tcPr>
            <w:tcW w:w="2340" w:type="dxa"/>
          </w:tcPr>
          <w:p w:rsidR="00250F2F" w:rsidRPr="000A6961" w:rsidRDefault="00250F2F" w:rsidP="00250F2F">
            <w:pPr>
              <w:rPr>
                <w:sz w:val="19"/>
                <w:szCs w:val="19"/>
              </w:rPr>
            </w:pPr>
            <w:r w:rsidRPr="000A6961">
              <w:rPr>
                <w:sz w:val="19"/>
                <w:szCs w:val="19"/>
              </w:rPr>
              <w:t>Serum &amp; Sputum</w:t>
            </w:r>
          </w:p>
        </w:tc>
        <w:tc>
          <w:tcPr>
            <w:tcW w:w="4590" w:type="dxa"/>
            <w:vMerge w:val="restart"/>
          </w:tcPr>
          <w:p w:rsidR="00250F2F" w:rsidRPr="000A6961" w:rsidRDefault="00250F2F" w:rsidP="00250F2F">
            <w:pPr>
              <w:rPr>
                <w:sz w:val="19"/>
                <w:szCs w:val="19"/>
              </w:rPr>
            </w:pPr>
            <w:r w:rsidRPr="000A6961">
              <w:rPr>
                <w:sz w:val="19"/>
                <w:szCs w:val="19"/>
              </w:rPr>
              <w:t>These analytes represent markers of fibrosis and/or cancer. KL-6 and MMPs correlate with pulmonary fibrosis. Some can be increased in incidences of lung cancer.</w:t>
            </w:r>
          </w:p>
        </w:tc>
      </w:tr>
      <w:tr w:rsidR="00250F2F" w:rsidRPr="00041987" w:rsidTr="00250F2F">
        <w:tc>
          <w:tcPr>
            <w:tcW w:w="2898" w:type="dxa"/>
          </w:tcPr>
          <w:p w:rsidR="00250F2F" w:rsidRPr="000A6961" w:rsidRDefault="00250F2F" w:rsidP="00250F2F">
            <w:pPr>
              <w:rPr>
                <w:sz w:val="19"/>
                <w:szCs w:val="19"/>
              </w:rPr>
            </w:pPr>
            <w:r w:rsidRPr="000A6961">
              <w:rPr>
                <w:sz w:val="19"/>
                <w:szCs w:val="19"/>
              </w:rPr>
              <w:t>MMP-1</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MMP-2</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MMP-7</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MMP-9</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TIMP1</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highlight w:val="yellow"/>
              </w:rPr>
            </w:pPr>
            <w:r w:rsidRPr="000A6961">
              <w:rPr>
                <w:sz w:val="19"/>
                <w:szCs w:val="19"/>
              </w:rPr>
              <w:t>Osteopontin</w:t>
            </w:r>
          </w:p>
        </w:tc>
        <w:tc>
          <w:tcPr>
            <w:tcW w:w="2340" w:type="dxa"/>
          </w:tcPr>
          <w:p w:rsidR="00250F2F" w:rsidRPr="000A6961" w:rsidRDefault="00250F2F" w:rsidP="00250F2F">
            <w:pPr>
              <w:rPr>
                <w:sz w:val="19"/>
                <w:szCs w:val="19"/>
              </w:rPr>
            </w:pPr>
            <w:r w:rsidRPr="000A6961">
              <w:rPr>
                <w:sz w:val="19"/>
                <w:szCs w:val="19"/>
              </w:rPr>
              <w:t>Plasma &amp; Sputum</w:t>
            </w: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b/>
                <w:sz w:val="19"/>
                <w:szCs w:val="19"/>
                <w:highlight w:val="yellow"/>
                <w:u w:val="single"/>
              </w:rPr>
            </w:pPr>
            <w:r w:rsidRPr="000A6961">
              <w:rPr>
                <w:b/>
                <w:sz w:val="19"/>
                <w:szCs w:val="19"/>
                <w:u w:val="single"/>
              </w:rPr>
              <w:t>Genetic Damage</w:t>
            </w:r>
          </w:p>
        </w:tc>
        <w:tc>
          <w:tcPr>
            <w:tcW w:w="2340" w:type="dxa"/>
          </w:tcPr>
          <w:p w:rsidR="00250F2F" w:rsidRPr="000A6961" w:rsidRDefault="00250F2F" w:rsidP="00250F2F">
            <w:pPr>
              <w:rPr>
                <w:sz w:val="19"/>
                <w:szCs w:val="19"/>
                <w:highlight w:val="yellow"/>
              </w:rPr>
            </w:pPr>
          </w:p>
        </w:tc>
        <w:tc>
          <w:tcPr>
            <w:tcW w:w="4590" w:type="dxa"/>
            <w:vMerge/>
          </w:tcPr>
          <w:p w:rsidR="00250F2F" w:rsidRPr="000A6961" w:rsidRDefault="00250F2F" w:rsidP="00250F2F">
            <w:pPr>
              <w:rPr>
                <w:sz w:val="19"/>
                <w:szCs w:val="19"/>
              </w:rPr>
            </w:pPr>
          </w:p>
        </w:tc>
      </w:tr>
      <w:tr w:rsidR="00250F2F" w:rsidRPr="00041987" w:rsidTr="00250F2F">
        <w:tc>
          <w:tcPr>
            <w:tcW w:w="2898" w:type="dxa"/>
          </w:tcPr>
          <w:p w:rsidR="00250F2F" w:rsidRPr="000A6961" w:rsidRDefault="00250F2F" w:rsidP="00250F2F">
            <w:pPr>
              <w:rPr>
                <w:sz w:val="19"/>
                <w:szCs w:val="19"/>
              </w:rPr>
            </w:pPr>
            <w:r w:rsidRPr="000A6961">
              <w:rPr>
                <w:sz w:val="19"/>
                <w:szCs w:val="19"/>
              </w:rPr>
              <w:t>Comet Assay</w:t>
            </w:r>
          </w:p>
        </w:tc>
        <w:tc>
          <w:tcPr>
            <w:tcW w:w="2340" w:type="dxa"/>
          </w:tcPr>
          <w:p w:rsidR="00250F2F" w:rsidRPr="000A6961" w:rsidRDefault="00250F2F" w:rsidP="00250F2F">
            <w:pPr>
              <w:rPr>
                <w:sz w:val="19"/>
                <w:szCs w:val="19"/>
              </w:rPr>
            </w:pPr>
            <w:r w:rsidRPr="000A6961">
              <w:rPr>
                <w:sz w:val="19"/>
                <w:szCs w:val="19"/>
              </w:rPr>
              <w:t>Serum and either sputum, nasal or buccal cells</w:t>
            </w:r>
          </w:p>
        </w:tc>
        <w:tc>
          <w:tcPr>
            <w:tcW w:w="4590" w:type="dxa"/>
          </w:tcPr>
          <w:p w:rsidR="00250F2F" w:rsidRPr="000A6961" w:rsidRDefault="00250F2F" w:rsidP="00250F2F">
            <w:pPr>
              <w:rPr>
                <w:sz w:val="19"/>
                <w:szCs w:val="19"/>
              </w:rPr>
            </w:pPr>
            <w:r w:rsidRPr="000A6961">
              <w:rPr>
                <w:sz w:val="19"/>
                <w:szCs w:val="19"/>
              </w:rPr>
              <w:t>Marker of DNA strand breaks and misrepairs; found to be elevated in Taiwanese CNT workers.</w:t>
            </w:r>
          </w:p>
        </w:tc>
      </w:tr>
      <w:tr w:rsidR="00250F2F" w:rsidRPr="00041987" w:rsidTr="00250F2F">
        <w:tc>
          <w:tcPr>
            <w:tcW w:w="2898" w:type="dxa"/>
          </w:tcPr>
          <w:p w:rsidR="00250F2F" w:rsidRPr="000A6961" w:rsidRDefault="00250F2F" w:rsidP="00250F2F">
            <w:pPr>
              <w:rPr>
                <w:sz w:val="19"/>
                <w:szCs w:val="19"/>
              </w:rPr>
            </w:pPr>
            <w:r w:rsidRPr="000A6961">
              <w:rPr>
                <w:sz w:val="19"/>
                <w:szCs w:val="19"/>
              </w:rPr>
              <w:t>M-FISH</w:t>
            </w:r>
          </w:p>
        </w:tc>
        <w:tc>
          <w:tcPr>
            <w:tcW w:w="2340" w:type="dxa"/>
          </w:tcPr>
          <w:p w:rsidR="00250F2F" w:rsidRPr="000A6961" w:rsidRDefault="00250F2F" w:rsidP="00250F2F">
            <w:pPr>
              <w:rPr>
                <w:sz w:val="19"/>
                <w:szCs w:val="19"/>
              </w:rPr>
            </w:pPr>
            <w:r w:rsidRPr="000A6961">
              <w:rPr>
                <w:sz w:val="19"/>
                <w:szCs w:val="19"/>
              </w:rPr>
              <w:t>Serum and either sputum, nasal or buccal cells</w:t>
            </w:r>
          </w:p>
        </w:tc>
        <w:tc>
          <w:tcPr>
            <w:tcW w:w="4590" w:type="dxa"/>
          </w:tcPr>
          <w:p w:rsidR="00250F2F" w:rsidRPr="000A6961" w:rsidRDefault="00250F2F" w:rsidP="00250F2F">
            <w:pPr>
              <w:rPr>
                <w:sz w:val="19"/>
                <w:szCs w:val="19"/>
              </w:rPr>
            </w:pPr>
            <w:r w:rsidRPr="000A6961">
              <w:rPr>
                <w:sz w:val="19"/>
                <w:szCs w:val="19"/>
              </w:rPr>
              <w:t>Marker of chromosome translocations</w:t>
            </w:r>
          </w:p>
        </w:tc>
      </w:tr>
    </w:tbl>
    <w:p w:rsidR="00250F2F" w:rsidRDefault="00250F2F">
      <w:pPr>
        <w:rPr>
          <w:rFonts w:ascii="Georgia" w:hAnsi="Georgia" w:cs="Courier New"/>
          <w:color w:val="000000"/>
          <w:sz w:val="24"/>
        </w:rPr>
      </w:pPr>
      <w:r>
        <w:rPr>
          <w:sz w:val="20"/>
          <w:szCs w:val="20"/>
        </w:rPr>
        <w:t>†</w:t>
      </w:r>
      <w:r w:rsidRPr="00FC2E0E">
        <w:rPr>
          <w:sz w:val="20"/>
          <w:szCs w:val="20"/>
        </w:rPr>
        <w:t xml:space="preserve"> </w:t>
      </w:r>
      <w:r>
        <w:rPr>
          <w:sz w:val="20"/>
          <w:szCs w:val="20"/>
        </w:rPr>
        <w:t>All except GPx and SOD expected to increase with CNT or CNF exposure. GPx and SOD expected to decrease.</w:t>
      </w:r>
    </w:p>
    <w:p w:rsidR="005A103D" w:rsidRPr="005A103D" w:rsidRDefault="005A103D" w:rsidP="005A103D">
      <w:pPr>
        <w:spacing w:after="120" w:line="480" w:lineRule="auto"/>
        <w:rPr>
          <w:rFonts w:ascii="Georgia" w:hAnsi="Georgia"/>
          <w:bCs/>
          <w:sz w:val="24"/>
          <w:szCs w:val="24"/>
        </w:rPr>
      </w:pPr>
      <w:r w:rsidRPr="005A103D">
        <w:rPr>
          <w:rFonts w:ascii="Georgia" w:hAnsi="Georgia"/>
          <w:bCs/>
          <w:sz w:val="24"/>
          <w:szCs w:val="24"/>
        </w:rPr>
        <w:lastRenderedPageBreak/>
        <w:t>This i</w:t>
      </w:r>
      <w:r w:rsidR="001862DA">
        <w:rPr>
          <w:rFonts w:ascii="Georgia" w:hAnsi="Georgia"/>
          <w:bCs/>
          <w:sz w:val="24"/>
          <w:szCs w:val="24"/>
        </w:rPr>
        <w:t xml:space="preserve">nformation will be collected via the </w:t>
      </w:r>
      <w:r w:rsidR="00310583">
        <w:rPr>
          <w:rFonts w:ascii="Georgia" w:hAnsi="Georgia"/>
          <w:bCs/>
          <w:sz w:val="24"/>
          <w:szCs w:val="24"/>
        </w:rPr>
        <w:t xml:space="preserve">CAPI </w:t>
      </w:r>
      <w:r w:rsidR="001862DA">
        <w:rPr>
          <w:rFonts w:ascii="Georgia" w:hAnsi="Georgia"/>
          <w:bCs/>
          <w:sz w:val="24"/>
          <w:szCs w:val="24"/>
        </w:rPr>
        <w:t>questionnaire for each pa</w:t>
      </w:r>
      <w:r w:rsidR="004A0A9C">
        <w:rPr>
          <w:rFonts w:ascii="Georgia" w:hAnsi="Georgia"/>
          <w:bCs/>
          <w:sz w:val="24"/>
          <w:szCs w:val="24"/>
        </w:rPr>
        <w:t>rticipant</w:t>
      </w:r>
      <w:r w:rsidRPr="005A103D">
        <w:rPr>
          <w:rFonts w:ascii="Georgia" w:hAnsi="Georgia"/>
          <w:bCs/>
          <w:sz w:val="24"/>
          <w:szCs w:val="24"/>
        </w:rPr>
        <w:t>, supplemented with direct observations by the study tea</w:t>
      </w:r>
      <w:r w:rsidR="001862DA">
        <w:rPr>
          <w:rFonts w:ascii="Georgia" w:hAnsi="Georgia"/>
          <w:bCs/>
          <w:sz w:val="24"/>
          <w:szCs w:val="24"/>
        </w:rPr>
        <w:t xml:space="preserve">m </w:t>
      </w:r>
      <w:r w:rsidR="004C5F20">
        <w:rPr>
          <w:rFonts w:ascii="Georgia" w:hAnsi="Georgia"/>
          <w:bCs/>
          <w:sz w:val="24"/>
          <w:szCs w:val="24"/>
        </w:rPr>
        <w:t xml:space="preserve">(observation recording sheet is shown in </w:t>
      </w:r>
      <w:r w:rsidR="004C5F20" w:rsidRPr="004C5F20">
        <w:rPr>
          <w:rFonts w:ascii="Georgia" w:hAnsi="Georgia"/>
          <w:b/>
          <w:bCs/>
          <w:sz w:val="24"/>
          <w:szCs w:val="24"/>
        </w:rPr>
        <w:t>Attachment C-2</w:t>
      </w:r>
      <w:r w:rsidR="004C5F20">
        <w:rPr>
          <w:rFonts w:ascii="Georgia" w:hAnsi="Georgia"/>
          <w:bCs/>
          <w:sz w:val="24"/>
          <w:szCs w:val="24"/>
        </w:rPr>
        <w:t xml:space="preserve">) </w:t>
      </w:r>
      <w:r w:rsidR="001862DA">
        <w:rPr>
          <w:rFonts w:ascii="Georgia" w:hAnsi="Georgia"/>
          <w:bCs/>
          <w:sz w:val="24"/>
          <w:szCs w:val="24"/>
        </w:rPr>
        <w:t>and</w:t>
      </w:r>
      <w:r w:rsidRPr="005A103D">
        <w:rPr>
          <w:rFonts w:ascii="Georgia" w:hAnsi="Georgia"/>
          <w:bCs/>
          <w:sz w:val="24"/>
          <w:szCs w:val="24"/>
        </w:rPr>
        <w:t xml:space="preserve"> evaluation of workplace</w:t>
      </w:r>
      <w:r w:rsidR="001862DA">
        <w:rPr>
          <w:rFonts w:ascii="Georgia" w:hAnsi="Georgia"/>
          <w:bCs/>
          <w:sz w:val="24"/>
          <w:szCs w:val="24"/>
        </w:rPr>
        <w:t>-supplied</w:t>
      </w:r>
      <w:r w:rsidRPr="005A103D">
        <w:rPr>
          <w:rFonts w:ascii="Georgia" w:hAnsi="Georgia"/>
          <w:bCs/>
          <w:sz w:val="24"/>
          <w:szCs w:val="24"/>
        </w:rPr>
        <w:t xml:space="preserve"> </w:t>
      </w:r>
      <w:r w:rsidR="001862DA">
        <w:rPr>
          <w:rFonts w:ascii="Georgia" w:hAnsi="Georgia"/>
          <w:bCs/>
          <w:sz w:val="24"/>
          <w:szCs w:val="24"/>
        </w:rPr>
        <w:t xml:space="preserve">information and </w:t>
      </w:r>
      <w:r w:rsidRPr="005A103D">
        <w:rPr>
          <w:rFonts w:ascii="Georgia" w:hAnsi="Georgia"/>
          <w:bCs/>
          <w:sz w:val="24"/>
          <w:szCs w:val="24"/>
        </w:rPr>
        <w:t xml:space="preserve">records. </w:t>
      </w:r>
    </w:p>
    <w:p w:rsidR="003A0D72" w:rsidRDefault="00427616" w:rsidP="00D62C2C">
      <w:pPr>
        <w:autoSpaceDE w:val="0"/>
        <w:autoSpaceDN w:val="0"/>
        <w:adjustRightInd w:val="0"/>
        <w:spacing w:after="100" w:afterAutospacing="1" w:line="360" w:lineRule="auto"/>
        <w:rPr>
          <w:rFonts w:ascii="Georgia" w:hAnsi="Georgia" w:cs="Courier New"/>
          <w:color w:val="000000"/>
          <w:sz w:val="24"/>
          <w:u w:val="single"/>
        </w:rPr>
      </w:pPr>
      <w:r>
        <w:rPr>
          <w:rFonts w:ascii="Georgia" w:hAnsi="Georgia" w:cs="Courier New"/>
          <w:color w:val="000000"/>
          <w:sz w:val="24"/>
          <w:u w:val="single"/>
        </w:rPr>
        <w:t>Iden</w:t>
      </w:r>
      <w:r w:rsidR="00972163">
        <w:rPr>
          <w:rFonts w:ascii="Georgia" w:hAnsi="Georgia" w:cs="Courier New"/>
          <w:color w:val="000000"/>
          <w:sz w:val="24"/>
          <w:u w:val="single"/>
        </w:rPr>
        <w:t>t</w:t>
      </w:r>
      <w:r>
        <w:rPr>
          <w:rFonts w:ascii="Georgia" w:hAnsi="Georgia" w:cs="Courier New"/>
          <w:color w:val="000000"/>
          <w:sz w:val="24"/>
          <w:u w:val="single"/>
        </w:rPr>
        <w:t>ification of Website(s) and Website Content Directed at Children Under 13 Years of Age</w:t>
      </w:r>
    </w:p>
    <w:p w:rsidR="00947CA0" w:rsidRPr="00947CA0" w:rsidRDefault="00947CA0" w:rsidP="00D62C2C">
      <w:pPr>
        <w:autoSpaceDE w:val="0"/>
        <w:autoSpaceDN w:val="0"/>
        <w:adjustRightInd w:val="0"/>
        <w:spacing w:after="100" w:afterAutospacing="1" w:line="360" w:lineRule="auto"/>
        <w:rPr>
          <w:rFonts w:ascii="Georgia" w:hAnsi="Georgia" w:cs="Courier New"/>
          <w:b/>
          <w:color w:val="000000"/>
          <w:sz w:val="24"/>
        </w:rPr>
      </w:pPr>
      <w:r w:rsidRPr="00947CA0">
        <w:rPr>
          <w:rFonts w:ascii="Georgia" w:hAnsi="Georgia" w:cs="Courier New"/>
          <w:color w:val="000000"/>
          <w:sz w:val="24"/>
        </w:rPr>
        <w:t>The proposed research will not involve the</w:t>
      </w:r>
      <w:r>
        <w:rPr>
          <w:rFonts w:ascii="Georgia" w:hAnsi="Georgia" w:cs="Courier New"/>
          <w:b/>
          <w:color w:val="000000"/>
          <w:sz w:val="24"/>
        </w:rPr>
        <w:t xml:space="preserve"> </w:t>
      </w:r>
      <w:r w:rsidRPr="00947CA0">
        <w:rPr>
          <w:rFonts w:ascii="Georgia" w:hAnsi="Georgia" w:cs="Courier New"/>
          <w:color w:val="000000"/>
          <w:sz w:val="24"/>
        </w:rPr>
        <w:t>collection of in</w:t>
      </w:r>
      <w:r>
        <w:rPr>
          <w:rFonts w:ascii="Georgia" w:hAnsi="Georgia" w:cs="Courier New"/>
          <w:color w:val="000000"/>
          <w:sz w:val="24"/>
        </w:rPr>
        <w:t>formation through websites, and will not direct any website content at children under 13 years of age.</w:t>
      </w:r>
    </w:p>
    <w:p w:rsidR="00427616" w:rsidRDefault="00972163" w:rsidP="00E321F3">
      <w:pPr>
        <w:pStyle w:val="Heading2"/>
      </w:pPr>
      <w:bookmarkStart w:id="4" w:name="_Toc345399530"/>
      <w:bookmarkStart w:id="5" w:name="_Toc347997715"/>
      <w:r w:rsidRPr="00972163">
        <w:t>A2.  Purpose and Use of Information Collection</w:t>
      </w:r>
      <w:bookmarkEnd w:id="4"/>
      <w:bookmarkEnd w:id="5"/>
    </w:p>
    <w:p w:rsidR="004C4D7B" w:rsidRDefault="004C4D7B" w:rsidP="00D62C2C">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 xml:space="preserve">All information collected will be used to </w:t>
      </w:r>
      <w:r w:rsidR="00BA7DB3">
        <w:rPr>
          <w:rFonts w:ascii="Georgia" w:hAnsi="Georgia" w:cs="Courier New"/>
          <w:color w:val="000000"/>
          <w:sz w:val="24"/>
        </w:rPr>
        <w:t>assess possible associations between</w:t>
      </w:r>
      <w:r>
        <w:rPr>
          <w:rFonts w:ascii="Georgia" w:hAnsi="Georgia" w:cs="Courier New"/>
          <w:color w:val="000000"/>
          <w:sz w:val="24"/>
        </w:rPr>
        <w:t xml:space="preserve"> workplace exposure to CNT and CNF </w:t>
      </w:r>
      <w:r w:rsidR="00BA7DB3">
        <w:rPr>
          <w:rFonts w:ascii="Georgia" w:hAnsi="Georgia" w:cs="Courier New"/>
          <w:color w:val="000000"/>
          <w:sz w:val="24"/>
        </w:rPr>
        <w:t>and</w:t>
      </w:r>
      <w:r>
        <w:rPr>
          <w:rFonts w:ascii="Georgia" w:hAnsi="Georgia" w:cs="Courier New"/>
          <w:color w:val="000000"/>
          <w:sz w:val="24"/>
        </w:rPr>
        <w:t xml:space="preserve"> </w:t>
      </w:r>
      <w:r w:rsidR="000F23A3">
        <w:rPr>
          <w:rFonts w:ascii="Georgia" w:hAnsi="Georgia" w:cs="Courier New"/>
          <w:color w:val="000000"/>
          <w:sz w:val="24"/>
        </w:rPr>
        <w:t xml:space="preserve">early or late </w:t>
      </w:r>
      <w:r>
        <w:rPr>
          <w:rFonts w:ascii="Georgia" w:hAnsi="Georgia" w:cs="Courier New"/>
          <w:color w:val="000000"/>
          <w:sz w:val="24"/>
        </w:rPr>
        <w:t>health effects</w:t>
      </w:r>
      <w:r w:rsidR="000F23A3">
        <w:rPr>
          <w:rFonts w:ascii="Georgia" w:hAnsi="Georgia" w:cs="Courier New"/>
          <w:color w:val="000000"/>
          <w:sz w:val="24"/>
        </w:rPr>
        <w:t xml:space="preserve">.  Health effects that will be assessed include pulmonary and cardiovascular </w:t>
      </w:r>
      <w:r w:rsidR="00143DB0">
        <w:rPr>
          <w:rFonts w:ascii="Georgia" w:hAnsi="Georgia" w:cs="Courier New"/>
          <w:color w:val="000000"/>
          <w:sz w:val="24"/>
        </w:rPr>
        <w:t>function. Biomarkers of pulmonary, cardiovascular</w:t>
      </w:r>
      <w:r w:rsidR="000F23A3">
        <w:rPr>
          <w:rFonts w:ascii="Georgia" w:hAnsi="Georgia" w:cs="Courier New"/>
          <w:color w:val="000000"/>
          <w:sz w:val="24"/>
        </w:rPr>
        <w:t xml:space="preserve"> and genetic damage</w:t>
      </w:r>
      <w:r w:rsidR="00143DB0">
        <w:rPr>
          <w:rFonts w:ascii="Georgia" w:hAnsi="Georgia" w:cs="Courier New"/>
          <w:color w:val="000000"/>
          <w:sz w:val="24"/>
        </w:rPr>
        <w:t xml:space="preserve"> will also be measured</w:t>
      </w:r>
      <w:r w:rsidR="000F23A3">
        <w:rPr>
          <w:rFonts w:ascii="Georgia" w:hAnsi="Georgia" w:cs="Courier New"/>
          <w:color w:val="000000"/>
          <w:sz w:val="24"/>
        </w:rPr>
        <w:t xml:space="preserve">.  </w:t>
      </w:r>
      <w:r w:rsidR="00202C3D">
        <w:rPr>
          <w:rFonts w:ascii="Georgia" w:hAnsi="Georgia" w:cs="Courier New"/>
          <w:color w:val="000000"/>
          <w:sz w:val="24"/>
        </w:rPr>
        <w:t>Several national and international organizations have emphasized the need for basic knowledge about the human health effects of such exposures. Without this information, the human health effects of exposure to CNT and CNF will continue to be unknown.</w:t>
      </w:r>
    </w:p>
    <w:p w:rsidR="000F23A3" w:rsidRDefault="00CF75D4" w:rsidP="00D62C2C">
      <w:pPr>
        <w:autoSpaceDE w:val="0"/>
        <w:autoSpaceDN w:val="0"/>
        <w:adjustRightInd w:val="0"/>
        <w:spacing w:after="100" w:afterAutospacing="1" w:line="360" w:lineRule="auto"/>
        <w:rPr>
          <w:rFonts w:ascii="Georgia" w:hAnsi="Georgia" w:cs="Courier New"/>
          <w:color w:val="000000"/>
          <w:sz w:val="24"/>
        </w:rPr>
      </w:pPr>
      <w:r w:rsidRPr="00CF75D4">
        <w:rPr>
          <w:rFonts w:ascii="Georgia" w:hAnsi="Georgia" w:cs="Courier New"/>
          <w:color w:val="000000"/>
          <w:sz w:val="24"/>
        </w:rPr>
        <w:t>Engineered n</w:t>
      </w:r>
      <w:r>
        <w:rPr>
          <w:rFonts w:ascii="Georgia" w:hAnsi="Georgia" w:cs="Courier New"/>
          <w:color w:val="000000"/>
          <w:sz w:val="24"/>
        </w:rPr>
        <w:t xml:space="preserve">anomaterials represent a fast-growing, but ill-characterized industry.  Health effects from exposure to nanomaterials are uncertain, but may be </w:t>
      </w:r>
      <w:r w:rsidR="004220FE">
        <w:rPr>
          <w:rFonts w:ascii="Georgia" w:hAnsi="Georgia" w:cs="Courier New"/>
          <w:color w:val="000000"/>
          <w:sz w:val="24"/>
        </w:rPr>
        <w:t>different from</w:t>
      </w:r>
      <w:r>
        <w:rPr>
          <w:rFonts w:ascii="Georgia" w:hAnsi="Georgia" w:cs="Courier New"/>
          <w:color w:val="000000"/>
          <w:sz w:val="24"/>
        </w:rPr>
        <w:t xml:space="preserve"> from larger-sized particles of the same material.  This is due to the small size, high surface area per unit mass (i.e., specific surface area) or (in some cases) high aspect ratio of nanomaterials.  Carbon nanotubes and nanofibers are among the nanomaterials of greatest interest from a public health perspective because of their potentially asbestiform properties (e.g., high aspect ratio) and toxicological evidence of possible fibrogenic, inflammatory, and clastogenic damage resulting from exposures at occupationally relevant levels.  In addition, the useful properties of CNT and CNF have rendered them among </w:t>
      </w:r>
      <w:r w:rsidR="004935DD">
        <w:rPr>
          <w:rFonts w:ascii="Georgia" w:hAnsi="Georgia" w:cs="Courier New"/>
          <w:color w:val="000000"/>
          <w:sz w:val="24"/>
        </w:rPr>
        <w:t>t</w:t>
      </w:r>
      <w:r>
        <w:rPr>
          <w:rFonts w:ascii="Georgia" w:hAnsi="Georgia" w:cs="Courier New"/>
          <w:color w:val="000000"/>
          <w:sz w:val="24"/>
        </w:rPr>
        <w:t xml:space="preserve">he first nanomaterials to be commercially exploited in manufacturing settings.  Thus, an epidemiologic study to </w:t>
      </w:r>
      <w:r w:rsidR="00BA7DB3">
        <w:rPr>
          <w:rFonts w:ascii="Georgia" w:hAnsi="Georgia" w:cs="Courier New"/>
          <w:color w:val="000000"/>
          <w:sz w:val="24"/>
        </w:rPr>
        <w:t>assess possible associations between occupational exposure to CNT or CNF and</w:t>
      </w:r>
      <w:r>
        <w:rPr>
          <w:rFonts w:ascii="Georgia" w:hAnsi="Georgia" w:cs="Courier New"/>
          <w:color w:val="000000"/>
          <w:sz w:val="24"/>
        </w:rPr>
        <w:t xml:space="preserve"> health effects </w:t>
      </w:r>
      <w:r w:rsidR="004220FE">
        <w:rPr>
          <w:rFonts w:ascii="Georgia" w:hAnsi="Georgia" w:cs="Courier New"/>
          <w:color w:val="000000"/>
          <w:sz w:val="24"/>
        </w:rPr>
        <w:t xml:space="preserve">or biomarkers </w:t>
      </w:r>
      <w:r w:rsidR="002F61F4">
        <w:rPr>
          <w:rFonts w:ascii="Georgia" w:hAnsi="Georgia" w:cs="Courier New"/>
          <w:color w:val="000000"/>
          <w:sz w:val="24"/>
        </w:rPr>
        <w:t xml:space="preserve">is </w:t>
      </w:r>
      <w:r w:rsidR="000F23A3">
        <w:rPr>
          <w:rFonts w:ascii="Georgia" w:hAnsi="Georgia" w:cs="Courier New"/>
          <w:color w:val="000000"/>
          <w:sz w:val="24"/>
        </w:rPr>
        <w:lastRenderedPageBreak/>
        <w:t>justified</w:t>
      </w:r>
      <w:r w:rsidR="00BA7DB3">
        <w:rPr>
          <w:rFonts w:ascii="Georgia" w:hAnsi="Georgia" w:cs="Courier New"/>
          <w:color w:val="000000"/>
          <w:sz w:val="24"/>
        </w:rPr>
        <w:t>, and is consistent with recommendations by NIOSH and other governmental and non-governmental organizations</w:t>
      </w:r>
      <w:r>
        <w:rPr>
          <w:rFonts w:ascii="Georgia" w:hAnsi="Georgia" w:cs="Courier New"/>
          <w:color w:val="000000"/>
          <w:sz w:val="24"/>
        </w:rPr>
        <w:t>.</w:t>
      </w:r>
    </w:p>
    <w:p w:rsidR="008446CE" w:rsidRDefault="000F23A3" w:rsidP="00D62C2C">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 xml:space="preserve">The </w:t>
      </w:r>
      <w:r w:rsidR="00387DDA">
        <w:rPr>
          <w:rFonts w:ascii="Georgia" w:hAnsi="Georgia" w:cs="Courier New"/>
          <w:color w:val="000000"/>
          <w:sz w:val="24"/>
        </w:rPr>
        <w:t xml:space="preserve">exposure </w:t>
      </w:r>
      <w:r>
        <w:rPr>
          <w:rFonts w:ascii="Georgia" w:hAnsi="Georgia" w:cs="Courier New"/>
          <w:color w:val="000000"/>
          <w:sz w:val="24"/>
        </w:rPr>
        <w:t>data collected will be used to make recommendations to the companies employing workers in the study on how to improve their risk management practices</w:t>
      </w:r>
      <w:r w:rsidR="006173C4">
        <w:rPr>
          <w:rFonts w:ascii="Georgia" w:hAnsi="Georgia" w:cs="Courier New"/>
          <w:color w:val="000000"/>
          <w:sz w:val="24"/>
        </w:rPr>
        <w:t>, if warranted</w:t>
      </w:r>
      <w:r>
        <w:rPr>
          <w:rFonts w:ascii="Georgia" w:hAnsi="Georgia" w:cs="Courier New"/>
          <w:color w:val="000000"/>
          <w:sz w:val="24"/>
        </w:rPr>
        <w:t xml:space="preserve">.  The </w:t>
      </w:r>
      <w:r w:rsidR="00A912A7">
        <w:rPr>
          <w:rFonts w:ascii="Georgia" w:hAnsi="Georgia" w:cs="Courier New"/>
          <w:color w:val="000000"/>
          <w:sz w:val="24"/>
        </w:rPr>
        <w:t xml:space="preserve">results will also be relevant to other companies </w:t>
      </w:r>
      <w:r w:rsidR="006173C4">
        <w:rPr>
          <w:rFonts w:ascii="Georgia" w:hAnsi="Georgia" w:cs="Courier New"/>
          <w:color w:val="000000"/>
          <w:sz w:val="24"/>
        </w:rPr>
        <w:t xml:space="preserve">that manufacture, distribute, or use CNT or CNF.  The </w:t>
      </w:r>
      <w:r>
        <w:rPr>
          <w:rFonts w:ascii="Georgia" w:hAnsi="Georgia" w:cs="Courier New"/>
          <w:color w:val="000000"/>
          <w:sz w:val="24"/>
        </w:rPr>
        <w:t xml:space="preserve">data collected may also assist in </w:t>
      </w:r>
      <w:r w:rsidR="00202C3D">
        <w:rPr>
          <w:rFonts w:ascii="Georgia" w:hAnsi="Georgia" w:cs="Courier New"/>
          <w:color w:val="000000"/>
          <w:sz w:val="24"/>
        </w:rPr>
        <w:t xml:space="preserve">developing </w:t>
      </w:r>
      <w:r>
        <w:rPr>
          <w:rFonts w:ascii="Georgia" w:hAnsi="Georgia" w:cs="Courier New"/>
          <w:color w:val="000000"/>
          <w:sz w:val="24"/>
        </w:rPr>
        <w:t>recommendations and regulations regarding workers exposed to CNT and CNF.</w:t>
      </w:r>
      <w:r w:rsidR="00785480">
        <w:rPr>
          <w:rFonts w:ascii="Georgia" w:hAnsi="Georgia" w:cs="Courier New"/>
          <w:color w:val="000000"/>
          <w:sz w:val="24"/>
        </w:rPr>
        <w:t xml:space="preserve">  </w:t>
      </w:r>
    </w:p>
    <w:p w:rsidR="00D25AE7" w:rsidRDefault="00ED0EDC" w:rsidP="00D62C2C">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 xml:space="preserve">This information collection is being conducted under the authority of </w:t>
      </w:r>
      <w:r w:rsidR="004A492E">
        <w:rPr>
          <w:rFonts w:ascii="Georgia" w:hAnsi="Georgia" w:cs="Courier New"/>
          <w:color w:val="000000"/>
          <w:sz w:val="24"/>
        </w:rPr>
        <w:t xml:space="preserve">U.S. Code Title 42 (Public Health </w:t>
      </w:r>
      <w:r w:rsidR="00D25AE7">
        <w:rPr>
          <w:rFonts w:ascii="Georgia" w:hAnsi="Georgia" w:cs="Courier New"/>
          <w:color w:val="000000"/>
          <w:sz w:val="24"/>
        </w:rPr>
        <w:t xml:space="preserve">and Welfare) </w:t>
      </w:r>
      <w:r w:rsidRPr="00ED0EDC">
        <w:rPr>
          <w:rFonts w:ascii="Georgia" w:hAnsi="Georgia" w:cs="Courier New"/>
          <w:color w:val="000000"/>
          <w:sz w:val="24"/>
        </w:rPr>
        <w:t>PART 85a—OCCUPATIONAL SAFETY AND HEALTH INVESTIGATIONS OF PLACES OF EMPLOYMENT</w:t>
      </w:r>
      <w:r w:rsidR="004A492E">
        <w:rPr>
          <w:rFonts w:ascii="Georgia" w:hAnsi="Georgia" w:cs="Courier New"/>
          <w:color w:val="000000"/>
          <w:sz w:val="24"/>
        </w:rPr>
        <w:t xml:space="preserve"> </w:t>
      </w:r>
      <w:r w:rsidR="00D25AE7">
        <w:rPr>
          <w:rFonts w:ascii="Georgia" w:hAnsi="Georgia" w:cs="Courier New"/>
          <w:color w:val="000000"/>
          <w:sz w:val="24"/>
        </w:rPr>
        <w:t xml:space="preserve">which are conducted by NIOSH </w:t>
      </w:r>
      <w:r w:rsidR="004A492E" w:rsidRPr="004A492E">
        <w:rPr>
          <w:rFonts w:ascii="Georgia" w:hAnsi="Georgia" w:cs="Courier New"/>
          <w:color w:val="000000"/>
          <w:sz w:val="24"/>
        </w:rPr>
        <w:t xml:space="preserve">under </w:t>
      </w:r>
      <w:r w:rsidR="004A492E">
        <w:rPr>
          <w:rFonts w:ascii="Georgia" w:hAnsi="Georgia" w:cs="Courier New"/>
          <w:color w:val="000000"/>
          <w:sz w:val="24"/>
        </w:rPr>
        <w:t xml:space="preserve">the authorization of </w:t>
      </w:r>
      <w:r w:rsidR="004A492E" w:rsidRPr="004A492E">
        <w:rPr>
          <w:rFonts w:ascii="Georgia" w:hAnsi="Georgia" w:cs="Courier New"/>
          <w:color w:val="000000"/>
          <w:sz w:val="24"/>
        </w:rPr>
        <w:t>sections 20 and 8 of the Occupational Safety and Health Act of 1970</w:t>
      </w:r>
      <w:r w:rsidR="004A492E">
        <w:rPr>
          <w:rFonts w:ascii="Georgia" w:hAnsi="Georgia" w:cs="Courier New"/>
          <w:color w:val="000000"/>
          <w:sz w:val="24"/>
        </w:rPr>
        <w:t>.</w:t>
      </w:r>
      <w:r>
        <w:rPr>
          <w:rFonts w:ascii="Georgia" w:hAnsi="Georgia" w:cs="Courier New"/>
          <w:color w:val="000000"/>
          <w:sz w:val="24"/>
        </w:rPr>
        <w:t xml:space="preserve"> </w:t>
      </w:r>
    </w:p>
    <w:p w:rsidR="007446AA" w:rsidRDefault="004935DD" w:rsidP="008A448C">
      <w:pPr>
        <w:autoSpaceDE w:val="0"/>
        <w:autoSpaceDN w:val="0"/>
        <w:adjustRightInd w:val="0"/>
        <w:spacing w:after="100" w:afterAutospacing="1" w:line="360" w:lineRule="auto"/>
        <w:ind w:firstLine="720"/>
        <w:rPr>
          <w:rFonts w:ascii="Georgia" w:hAnsi="Georgia" w:cs="Courier New"/>
          <w:color w:val="000000"/>
          <w:sz w:val="24"/>
        </w:rPr>
      </w:pPr>
      <w:r>
        <w:rPr>
          <w:rFonts w:ascii="Georgia" w:hAnsi="Georgia" w:cs="Courier New"/>
          <w:color w:val="000000"/>
          <w:sz w:val="24"/>
        </w:rPr>
        <w:t xml:space="preserve">The industrywide exposure assessment study </w:t>
      </w:r>
      <w:r w:rsidR="00387DDA">
        <w:rPr>
          <w:rFonts w:ascii="Georgia" w:hAnsi="Georgia" w:cs="Courier New"/>
          <w:color w:val="000000"/>
          <w:sz w:val="24"/>
        </w:rPr>
        <w:t xml:space="preserve">has </w:t>
      </w:r>
      <w:r>
        <w:rPr>
          <w:rFonts w:ascii="Georgia" w:hAnsi="Georgia" w:cs="Courier New"/>
          <w:color w:val="000000"/>
          <w:sz w:val="24"/>
        </w:rPr>
        <w:t>establish</w:t>
      </w:r>
      <w:r w:rsidR="00387DDA">
        <w:rPr>
          <w:rFonts w:ascii="Georgia" w:hAnsi="Georgia" w:cs="Courier New"/>
          <w:color w:val="000000"/>
          <w:sz w:val="24"/>
        </w:rPr>
        <w:t>ed</w:t>
      </w:r>
      <w:r>
        <w:rPr>
          <w:rFonts w:ascii="Georgia" w:hAnsi="Georgia" w:cs="Courier New"/>
          <w:color w:val="000000"/>
          <w:sz w:val="24"/>
        </w:rPr>
        <w:t xml:space="preserve"> </w:t>
      </w:r>
      <w:r w:rsidR="000B02FD">
        <w:rPr>
          <w:rFonts w:ascii="Georgia" w:hAnsi="Georgia" w:cs="Courier New"/>
          <w:color w:val="000000"/>
          <w:sz w:val="24"/>
        </w:rPr>
        <w:t xml:space="preserve">and </w:t>
      </w:r>
      <w:r w:rsidR="00387DDA">
        <w:rPr>
          <w:rFonts w:ascii="Georgia" w:hAnsi="Georgia" w:cs="Courier New"/>
          <w:color w:val="000000"/>
          <w:sz w:val="24"/>
        </w:rPr>
        <w:t xml:space="preserve">will </w:t>
      </w:r>
      <w:r w:rsidR="000B02FD">
        <w:rPr>
          <w:rFonts w:ascii="Georgia" w:hAnsi="Georgia" w:cs="Courier New"/>
          <w:color w:val="000000"/>
          <w:sz w:val="24"/>
        </w:rPr>
        <w:t xml:space="preserve">apply </w:t>
      </w:r>
      <w:r>
        <w:rPr>
          <w:rFonts w:ascii="Georgia" w:hAnsi="Georgia" w:cs="Courier New"/>
          <w:color w:val="000000"/>
          <w:sz w:val="24"/>
        </w:rPr>
        <w:t>sampling and analysis protocols for the quantification of CNT and CNF in US workplaces</w:t>
      </w:r>
      <w:r w:rsidR="008A448C">
        <w:rPr>
          <w:rFonts w:ascii="Georgia" w:hAnsi="Georgia" w:cs="Courier New"/>
          <w:color w:val="000000"/>
          <w:sz w:val="24"/>
        </w:rPr>
        <w:t>. These are described in the approved protocol for the study</w:t>
      </w:r>
      <w:r w:rsidR="00387DDA">
        <w:rPr>
          <w:rFonts w:ascii="Georgia" w:hAnsi="Georgia" w:cs="Courier New"/>
          <w:color w:val="000000"/>
          <w:sz w:val="24"/>
        </w:rPr>
        <w:t xml:space="preserve"> (Schubauer-Berigan et al.; NIOSH protocol, pp. 19-25, 2013)</w:t>
      </w:r>
      <w:r>
        <w:rPr>
          <w:rFonts w:ascii="Georgia" w:hAnsi="Georgia" w:cs="Courier New"/>
          <w:color w:val="000000"/>
          <w:sz w:val="24"/>
        </w:rPr>
        <w:t xml:space="preserve">.  </w:t>
      </w:r>
      <w:r w:rsidR="00387DDA">
        <w:rPr>
          <w:rFonts w:ascii="Georgia" w:hAnsi="Georgia" w:cs="Courier New"/>
          <w:color w:val="000000"/>
          <w:sz w:val="24"/>
        </w:rPr>
        <w:t>C</w:t>
      </w:r>
      <w:r>
        <w:rPr>
          <w:rFonts w:ascii="Georgia" w:hAnsi="Georgia" w:cs="Courier New"/>
          <w:color w:val="000000"/>
          <w:sz w:val="24"/>
        </w:rPr>
        <w:t xml:space="preserve">oncurrent with the industrywide exposure assessment study, several biomarkers of early effect (for pulmonary fibrosis, cardiovascular disease, and genetic damage) will be measured for workers exposed to a range of CNT and CNF levels.  This will be accompanied by a questionnaire to assist in interpretation of </w:t>
      </w:r>
      <w:r w:rsidR="00A83EC1">
        <w:rPr>
          <w:rFonts w:ascii="Georgia" w:hAnsi="Georgia" w:cs="Courier New"/>
          <w:color w:val="000000"/>
          <w:sz w:val="24"/>
        </w:rPr>
        <w:t>the biomarker</w:t>
      </w:r>
      <w:r>
        <w:rPr>
          <w:rFonts w:ascii="Georgia" w:hAnsi="Georgia" w:cs="Courier New"/>
          <w:color w:val="000000"/>
          <w:sz w:val="24"/>
        </w:rPr>
        <w:t xml:space="preserve"> results and medical examinations to evaluate pulmonary function and cardiovascular health.  </w:t>
      </w:r>
      <w:r w:rsidR="00B62BD4">
        <w:rPr>
          <w:rFonts w:ascii="Georgia" w:hAnsi="Georgia" w:cs="Courier New"/>
          <w:color w:val="000000"/>
          <w:sz w:val="24"/>
        </w:rPr>
        <w:t xml:space="preserve">Statistical analyses will then be conducted to determine the nature of the relation between exposure to CNT and CNF and these biomarkers of early effect, considering potential confounding factors such as smoking, age, gender, and workplace co-exposures, including non-engineered particulate matter.  </w:t>
      </w:r>
    </w:p>
    <w:p w:rsidR="00ED21E0" w:rsidRPr="008A448C" w:rsidRDefault="00202C3D" w:rsidP="008A448C">
      <w:pPr>
        <w:autoSpaceDE w:val="0"/>
        <w:autoSpaceDN w:val="0"/>
        <w:adjustRightInd w:val="0"/>
        <w:spacing w:after="100" w:afterAutospacing="1" w:line="360" w:lineRule="auto"/>
        <w:ind w:firstLine="720"/>
        <w:rPr>
          <w:rFonts w:ascii="Georgia" w:hAnsi="Georgia" w:cs="Courier New"/>
          <w:color w:val="000000"/>
          <w:sz w:val="24"/>
        </w:rPr>
      </w:pPr>
      <w:r>
        <w:rPr>
          <w:rFonts w:ascii="Georgia" w:hAnsi="Georgia" w:cs="Courier New"/>
          <w:color w:val="000000"/>
          <w:sz w:val="24"/>
        </w:rPr>
        <w:t>The information collected will also be used for a</w:t>
      </w:r>
      <w:r w:rsidR="00B62BD4">
        <w:rPr>
          <w:rFonts w:ascii="Georgia" w:hAnsi="Georgia" w:cs="Courier New"/>
          <w:color w:val="000000"/>
          <w:sz w:val="24"/>
        </w:rPr>
        <w:t>dditional components planned for the future</w:t>
      </w:r>
      <w:r w:rsidR="00387DDA">
        <w:rPr>
          <w:rFonts w:ascii="Georgia" w:hAnsi="Georgia" w:cs="Courier New"/>
          <w:color w:val="000000"/>
          <w:sz w:val="24"/>
        </w:rPr>
        <w:t xml:space="preserve"> (which will be covered under a separate OMB data collection request)</w:t>
      </w:r>
      <w:r>
        <w:rPr>
          <w:rFonts w:ascii="Georgia" w:hAnsi="Georgia" w:cs="Courier New"/>
          <w:color w:val="000000"/>
          <w:sz w:val="24"/>
        </w:rPr>
        <w:t>, including</w:t>
      </w:r>
      <w:r w:rsidR="00B62BD4">
        <w:rPr>
          <w:rFonts w:ascii="Georgia" w:hAnsi="Georgia" w:cs="Courier New"/>
          <w:color w:val="000000"/>
          <w:sz w:val="24"/>
        </w:rPr>
        <w:t xml:space="preserve"> the development of an industrywide exposure registry of CNT and CNF workers, and the identification of a cohort of these workers to be followed on a prospective basis for a variety of health outcomes, including incidence and mortality </w:t>
      </w:r>
      <w:r w:rsidR="00B62BD4">
        <w:rPr>
          <w:rFonts w:ascii="Georgia" w:hAnsi="Georgia" w:cs="Courier New"/>
          <w:color w:val="000000"/>
          <w:sz w:val="24"/>
        </w:rPr>
        <w:lastRenderedPageBreak/>
        <w:t>from pulmonary disease (e.g., fibrosis), cardiovascular disease, and cancer.</w:t>
      </w:r>
      <w:r>
        <w:rPr>
          <w:rFonts w:ascii="Georgia" w:hAnsi="Georgia" w:cs="Courier New"/>
          <w:color w:val="000000"/>
          <w:sz w:val="24"/>
        </w:rPr>
        <w:t xml:space="preserve"> </w:t>
      </w:r>
      <w:r w:rsidR="00387DDA">
        <w:rPr>
          <w:rFonts w:ascii="Georgia" w:hAnsi="Georgia" w:cs="Courier New"/>
          <w:color w:val="000000"/>
          <w:sz w:val="24"/>
        </w:rPr>
        <w:t xml:space="preserve">The participants included in the present cross-sectional study will be invited to participate in this future study. To the extent that questions overlap between the two data collection instruments, NIOSH plans to minimize burden to the future participants who also participated in the present data collection by using the same format for overlapping questions, with pre-loaded information for previous participants who choose to participate in future studies. </w:t>
      </w:r>
    </w:p>
    <w:p w:rsidR="005A103D" w:rsidRDefault="00CB01F0" w:rsidP="00D62C2C">
      <w:pPr>
        <w:autoSpaceDE w:val="0"/>
        <w:autoSpaceDN w:val="0"/>
        <w:adjustRightInd w:val="0"/>
        <w:spacing w:after="100" w:afterAutospacing="1" w:line="360" w:lineRule="auto"/>
        <w:rPr>
          <w:rFonts w:ascii="Georgia" w:hAnsi="Georgia" w:cs="Courier New"/>
          <w:color w:val="000000"/>
          <w:sz w:val="24"/>
          <w:u w:val="single"/>
        </w:rPr>
      </w:pPr>
      <w:r w:rsidRPr="00CB01F0">
        <w:rPr>
          <w:rFonts w:ascii="Georgia" w:hAnsi="Georgia" w:cs="Courier New"/>
          <w:color w:val="000000"/>
          <w:sz w:val="24"/>
          <w:u w:val="single"/>
        </w:rPr>
        <w:t>Privacy Impact Assessment Information</w:t>
      </w:r>
    </w:p>
    <w:p w:rsidR="00FD152C" w:rsidRDefault="0053386B" w:rsidP="000D2E5F">
      <w:pPr>
        <w:autoSpaceDE w:val="0"/>
        <w:autoSpaceDN w:val="0"/>
        <w:adjustRightInd w:val="0"/>
        <w:spacing w:after="100" w:afterAutospacing="1" w:line="360" w:lineRule="auto"/>
        <w:rPr>
          <w:rFonts w:ascii="Georgia" w:hAnsi="Georgia" w:cs="Courier New"/>
          <w:color w:val="000000"/>
          <w:sz w:val="24"/>
        </w:rPr>
      </w:pPr>
      <w:r w:rsidRPr="00945F28">
        <w:rPr>
          <w:rFonts w:ascii="Georgia" w:hAnsi="Georgia" w:cs="Courier New"/>
          <w:color w:val="000000"/>
          <w:sz w:val="24"/>
        </w:rPr>
        <w:t xml:space="preserve">IIF </w:t>
      </w:r>
      <w:r w:rsidR="00CB01F0" w:rsidRPr="00945F28">
        <w:rPr>
          <w:rFonts w:ascii="Georgia" w:hAnsi="Georgia" w:cs="Courier New"/>
          <w:color w:val="000000"/>
          <w:sz w:val="24"/>
        </w:rPr>
        <w:t xml:space="preserve">will be </w:t>
      </w:r>
      <w:r w:rsidR="008851F5" w:rsidRPr="00945F28">
        <w:rPr>
          <w:rFonts w:ascii="Georgia" w:hAnsi="Georgia" w:cs="Courier New"/>
          <w:color w:val="000000"/>
          <w:sz w:val="24"/>
        </w:rPr>
        <w:t>collected as part of the informed consent forms</w:t>
      </w:r>
      <w:r w:rsidR="0029322E" w:rsidRPr="00945F28">
        <w:rPr>
          <w:rFonts w:ascii="Georgia" w:hAnsi="Georgia" w:cs="Courier New"/>
          <w:color w:val="000000"/>
          <w:sz w:val="24"/>
        </w:rPr>
        <w:t xml:space="preserve"> </w:t>
      </w:r>
      <w:r w:rsidR="00A735FA">
        <w:rPr>
          <w:rFonts w:ascii="Georgia" w:hAnsi="Georgia" w:cs="Courier New"/>
          <w:color w:val="000000"/>
          <w:sz w:val="24"/>
        </w:rPr>
        <w:t>(</w:t>
      </w:r>
      <w:r w:rsidR="00A735FA">
        <w:rPr>
          <w:rFonts w:ascii="Georgia" w:hAnsi="Georgia" w:cs="Courier New"/>
          <w:b/>
          <w:color w:val="000000"/>
          <w:sz w:val="24"/>
        </w:rPr>
        <w:t xml:space="preserve">Attachment D) </w:t>
      </w:r>
      <w:r w:rsidR="0029322E" w:rsidRPr="00945F28">
        <w:rPr>
          <w:rFonts w:ascii="Georgia" w:hAnsi="Georgia" w:cs="Courier New"/>
          <w:color w:val="000000"/>
          <w:sz w:val="24"/>
        </w:rPr>
        <w:t>and questionnaire</w:t>
      </w:r>
      <w:r w:rsidR="008851F5" w:rsidRPr="00945F28">
        <w:rPr>
          <w:rFonts w:ascii="Georgia" w:hAnsi="Georgia" w:cs="Courier New"/>
          <w:color w:val="000000"/>
          <w:sz w:val="24"/>
        </w:rPr>
        <w:t xml:space="preserve"> (</w:t>
      </w:r>
      <w:r w:rsidR="008851F5" w:rsidRPr="00945F28">
        <w:rPr>
          <w:rFonts w:ascii="Georgia" w:hAnsi="Georgia" w:cs="Courier New"/>
          <w:b/>
          <w:color w:val="000000"/>
          <w:sz w:val="24"/>
        </w:rPr>
        <w:t xml:space="preserve">Attachment </w:t>
      </w:r>
      <w:r w:rsidR="00A735FA">
        <w:rPr>
          <w:rFonts w:ascii="Georgia" w:hAnsi="Georgia" w:cs="Courier New"/>
          <w:b/>
          <w:color w:val="000000"/>
          <w:sz w:val="24"/>
        </w:rPr>
        <w:t>C-1</w:t>
      </w:r>
      <w:r w:rsidR="008851F5" w:rsidRPr="00945F28">
        <w:rPr>
          <w:rFonts w:ascii="Georgia" w:hAnsi="Georgia" w:cs="Courier New"/>
          <w:color w:val="000000"/>
          <w:sz w:val="24"/>
        </w:rPr>
        <w:t>) for</w:t>
      </w:r>
      <w:r w:rsidR="008851F5" w:rsidRPr="00945F28">
        <w:rPr>
          <w:rFonts w:ascii="Georgia" w:hAnsi="Georgia" w:cs="Courier New"/>
          <w:b/>
          <w:color w:val="000000"/>
          <w:sz w:val="24"/>
        </w:rPr>
        <w:t xml:space="preserve"> </w:t>
      </w:r>
      <w:r w:rsidR="008851F5" w:rsidRPr="00945F28">
        <w:rPr>
          <w:rFonts w:ascii="Georgia" w:hAnsi="Georgia" w:cs="Courier New"/>
          <w:color w:val="000000"/>
          <w:sz w:val="24"/>
        </w:rPr>
        <w:t xml:space="preserve">this study.  Study participants will be identified only using unique identifiers (created by </w:t>
      </w:r>
      <w:r w:rsidR="00575411" w:rsidRPr="00945F28">
        <w:rPr>
          <w:rFonts w:ascii="Georgia" w:hAnsi="Georgia" w:cs="Courier New"/>
          <w:color w:val="000000"/>
          <w:sz w:val="24"/>
        </w:rPr>
        <w:t>N</w:t>
      </w:r>
      <w:r w:rsidR="008851F5" w:rsidRPr="00945F28">
        <w:rPr>
          <w:rFonts w:ascii="Georgia" w:hAnsi="Georgia" w:cs="Courier New"/>
          <w:color w:val="000000"/>
          <w:sz w:val="24"/>
        </w:rPr>
        <w:t>IOSH) to track the responses of the participants during the study</w:t>
      </w:r>
      <w:r w:rsidR="0029322E" w:rsidRPr="00945F28">
        <w:rPr>
          <w:rFonts w:ascii="Georgia" w:hAnsi="Georgia" w:cs="Courier New"/>
          <w:color w:val="000000"/>
          <w:sz w:val="24"/>
        </w:rPr>
        <w:t>; however, IIF will be retained and used to permit the notification of participants in the study of findings related to their individual medical examination</w:t>
      </w:r>
      <w:r w:rsidR="000B02FD">
        <w:rPr>
          <w:rFonts w:ascii="Georgia" w:hAnsi="Georgia" w:cs="Courier New"/>
          <w:color w:val="000000"/>
          <w:sz w:val="24"/>
        </w:rPr>
        <w:t xml:space="preserve"> and exposure assessment and biomarker result</w:t>
      </w:r>
      <w:r w:rsidR="0029322E" w:rsidRPr="00945F28">
        <w:rPr>
          <w:rFonts w:ascii="Georgia" w:hAnsi="Georgia" w:cs="Courier New"/>
          <w:color w:val="000000"/>
          <w:sz w:val="24"/>
        </w:rPr>
        <w:t>s</w:t>
      </w:r>
      <w:r w:rsidR="00310583">
        <w:rPr>
          <w:rFonts w:ascii="Georgia" w:hAnsi="Georgia" w:cs="Courier New"/>
          <w:color w:val="000000"/>
          <w:sz w:val="24"/>
        </w:rPr>
        <w:t>, and of overall study findings</w:t>
      </w:r>
      <w:r w:rsidR="008851F5" w:rsidRPr="00945F28">
        <w:rPr>
          <w:rFonts w:ascii="Georgia" w:hAnsi="Georgia" w:cs="Courier New"/>
          <w:color w:val="000000"/>
          <w:sz w:val="24"/>
        </w:rPr>
        <w:t xml:space="preserve">. </w:t>
      </w:r>
      <w:r w:rsidR="00FD152C">
        <w:rPr>
          <w:rFonts w:ascii="Georgia" w:hAnsi="Georgia" w:cs="Courier New"/>
          <w:color w:val="000000"/>
          <w:sz w:val="24"/>
        </w:rPr>
        <w:t>Examples of the notification letters for clinically relevant medical results and exposure assessment results are provided in the protocol (Schubauer-Berigan et al.; NIOSH protocol, pp. 122-129, 2013)</w:t>
      </w:r>
      <w:r w:rsidR="008A448C">
        <w:rPr>
          <w:rFonts w:ascii="Georgia" w:hAnsi="Georgia" w:cs="Courier New"/>
          <w:color w:val="000000"/>
          <w:sz w:val="24"/>
        </w:rPr>
        <w:t xml:space="preserve">. Examples of the notification letters for the biomarker results (which have no direct clinical interpretation) and the overall study findings are given in Appendix F. </w:t>
      </w:r>
      <w:r w:rsidR="008851F5" w:rsidRPr="00945F28">
        <w:rPr>
          <w:rFonts w:ascii="Georgia" w:hAnsi="Georgia" w:cs="Courier New"/>
          <w:color w:val="000000"/>
          <w:sz w:val="24"/>
        </w:rPr>
        <w:t xml:space="preserve"> </w:t>
      </w:r>
    </w:p>
    <w:p w:rsidR="000D2E5F" w:rsidRDefault="008851F5" w:rsidP="000D2E5F">
      <w:pPr>
        <w:autoSpaceDE w:val="0"/>
        <w:autoSpaceDN w:val="0"/>
        <w:adjustRightInd w:val="0"/>
        <w:spacing w:after="100" w:afterAutospacing="1" w:line="360" w:lineRule="auto"/>
        <w:rPr>
          <w:rFonts w:ascii="Georgia" w:hAnsi="Georgia" w:cs="Courier New"/>
          <w:color w:val="000000"/>
          <w:sz w:val="24"/>
        </w:rPr>
      </w:pPr>
      <w:r w:rsidRPr="00945F28">
        <w:rPr>
          <w:rFonts w:ascii="Georgia" w:hAnsi="Georgia" w:cs="Courier New"/>
          <w:color w:val="000000"/>
          <w:sz w:val="24"/>
        </w:rPr>
        <w:t xml:space="preserve">Individual </w:t>
      </w:r>
      <w:r w:rsidR="00BC4D74" w:rsidRPr="00945F28">
        <w:rPr>
          <w:rFonts w:ascii="Georgia" w:hAnsi="Georgia" w:cs="Courier New"/>
          <w:color w:val="000000"/>
          <w:sz w:val="24"/>
        </w:rPr>
        <w:t>participants</w:t>
      </w:r>
      <w:r w:rsidR="005F4336" w:rsidRPr="00945F28">
        <w:rPr>
          <w:rFonts w:ascii="Georgia" w:hAnsi="Georgia" w:cs="Courier New"/>
          <w:color w:val="000000"/>
          <w:sz w:val="24"/>
        </w:rPr>
        <w:t>’</w:t>
      </w:r>
      <w:r w:rsidR="00BC4D74" w:rsidRPr="00945F28">
        <w:rPr>
          <w:rFonts w:ascii="Georgia" w:hAnsi="Georgia" w:cs="Courier New"/>
          <w:color w:val="000000"/>
          <w:sz w:val="24"/>
        </w:rPr>
        <w:t xml:space="preserve"> personal</w:t>
      </w:r>
      <w:r w:rsidRPr="00945F28">
        <w:rPr>
          <w:rFonts w:ascii="Georgia" w:hAnsi="Georgia" w:cs="Courier New"/>
          <w:color w:val="000000"/>
          <w:sz w:val="24"/>
        </w:rPr>
        <w:t xml:space="preserve"> information will not be published in any identifiable form and will be protected to the extent allowed by law (Freedom of Information Act and the Privacy Act).  Information will be maintained </w:t>
      </w:r>
      <w:r w:rsidR="005F4336" w:rsidRPr="00945F28">
        <w:rPr>
          <w:rFonts w:ascii="Georgia" w:hAnsi="Georgia" w:cs="Courier New"/>
          <w:color w:val="000000"/>
          <w:sz w:val="24"/>
        </w:rPr>
        <w:t>for the length of time required by law</w:t>
      </w:r>
      <w:r w:rsidRPr="00945F28">
        <w:rPr>
          <w:rFonts w:ascii="Georgia" w:hAnsi="Georgia" w:cs="Courier New"/>
          <w:color w:val="000000"/>
          <w:sz w:val="24"/>
        </w:rPr>
        <w:t xml:space="preserve">.  </w:t>
      </w:r>
      <w:r w:rsidR="009C319B" w:rsidRPr="00945F28">
        <w:rPr>
          <w:rFonts w:ascii="Georgia" w:hAnsi="Georgia" w:cs="Courier New"/>
          <w:color w:val="000000"/>
          <w:sz w:val="24"/>
        </w:rPr>
        <w:t>The IIF data will only be used by NIOSH researchers for the purposes outlined below.   The impact on the privacy of the individual is considered to be minimal if there were a breach of security.</w:t>
      </w:r>
      <w:r w:rsidR="000D2E5F">
        <w:rPr>
          <w:rFonts w:ascii="Georgia" w:hAnsi="Georgia" w:cs="Courier New"/>
          <w:color w:val="000000"/>
          <w:sz w:val="24"/>
        </w:rPr>
        <w:t xml:space="preserve"> Stringent safeguards will be used to protect the confidentiality of each participant’s SSN (e.g., it will be encrypted to meet </w:t>
      </w:r>
      <w:r w:rsidR="004C77CB" w:rsidRPr="0068706F">
        <w:rPr>
          <w:rFonts w:ascii="Georgia" w:hAnsi="Georgia"/>
          <w:sz w:val="24"/>
          <w:szCs w:val="24"/>
        </w:rPr>
        <w:t>Federal Information Processing Standards</w:t>
      </w:r>
      <w:r w:rsidR="000D2E5F">
        <w:rPr>
          <w:rFonts w:ascii="Georgia" w:hAnsi="Georgia" w:cs="Courier New"/>
          <w:color w:val="000000"/>
          <w:sz w:val="24"/>
        </w:rPr>
        <w:t xml:space="preserve"> 140-2 encryption standard). All Privacy Act-protected electronic data will be stored on encrypted, CDC-issued, secure laptop computers (while in the field) and will be stored on secure, password-protected network servers inside CDC’s </w:t>
      </w:r>
      <w:r w:rsidR="000D2E5F">
        <w:rPr>
          <w:rFonts w:ascii="Georgia" w:hAnsi="Georgia" w:cs="Courier New"/>
          <w:color w:val="000000"/>
          <w:sz w:val="24"/>
        </w:rPr>
        <w:lastRenderedPageBreak/>
        <w:t>firewall after returning from the field</w:t>
      </w:r>
      <w:r w:rsidR="00826827">
        <w:rPr>
          <w:rFonts w:ascii="Georgia" w:hAnsi="Georgia" w:cs="Courier New"/>
          <w:color w:val="000000"/>
          <w:sz w:val="24"/>
        </w:rPr>
        <w:t xml:space="preserve">. </w:t>
      </w:r>
      <w:r w:rsidR="000D2E5F">
        <w:rPr>
          <w:rFonts w:ascii="Georgia" w:hAnsi="Georgia" w:cs="Courier New"/>
          <w:color w:val="000000"/>
          <w:sz w:val="24"/>
        </w:rPr>
        <w:t xml:space="preserve">Paper records containing Privacy Act-protected data (e.g., signed consent forms) will be stored in locked file cabinets or locked offices in access-controlled Federal buildings. Access to all Privacy Act-protected data will be restricted to those with a need to access the data for purposes of conducting the study. </w:t>
      </w:r>
    </w:p>
    <w:p w:rsidR="00ED21E0" w:rsidRDefault="00ED21E0" w:rsidP="000D2E5F">
      <w:pPr>
        <w:autoSpaceDE w:val="0"/>
        <w:autoSpaceDN w:val="0"/>
        <w:adjustRightInd w:val="0"/>
        <w:spacing w:after="100" w:afterAutospacing="1" w:line="360" w:lineRule="auto"/>
        <w:rPr>
          <w:rFonts w:ascii="Georgia" w:hAnsi="Georgia" w:cs="Courier New"/>
          <w:color w:val="000000"/>
          <w:sz w:val="24"/>
        </w:rPr>
      </w:pPr>
    </w:p>
    <w:tbl>
      <w:tblPr>
        <w:tblStyle w:val="TableGrid"/>
        <w:tblW w:w="0" w:type="auto"/>
        <w:tblLook w:val="04A0" w:firstRow="1" w:lastRow="0" w:firstColumn="1" w:lastColumn="0" w:noHBand="0" w:noVBand="1"/>
      </w:tblPr>
      <w:tblGrid>
        <w:gridCol w:w="2177"/>
        <w:gridCol w:w="7399"/>
      </w:tblGrid>
      <w:tr w:rsidR="00EC5586" w:rsidTr="000D2E5F">
        <w:trPr>
          <w:cantSplit/>
          <w:tblHeader/>
        </w:trPr>
        <w:tc>
          <w:tcPr>
            <w:tcW w:w="0" w:type="auto"/>
          </w:tcPr>
          <w:p w:rsidR="0053386B" w:rsidRPr="0053386B" w:rsidRDefault="0053386B" w:rsidP="0053386B">
            <w:pPr>
              <w:autoSpaceDE w:val="0"/>
              <w:autoSpaceDN w:val="0"/>
              <w:adjustRightInd w:val="0"/>
              <w:spacing w:after="100" w:afterAutospacing="1" w:line="360" w:lineRule="auto"/>
              <w:rPr>
                <w:rFonts w:ascii="Georgia" w:hAnsi="Georgia" w:cs="Courier New"/>
                <w:b/>
                <w:color w:val="000000"/>
                <w:sz w:val="24"/>
              </w:rPr>
            </w:pPr>
            <w:r w:rsidRPr="0053386B">
              <w:rPr>
                <w:rFonts w:ascii="Georgia" w:hAnsi="Georgia" w:cs="Courier New"/>
                <w:b/>
                <w:color w:val="000000"/>
                <w:sz w:val="24"/>
              </w:rPr>
              <w:t>IIF Being Collected</w:t>
            </w:r>
          </w:p>
        </w:tc>
        <w:tc>
          <w:tcPr>
            <w:tcW w:w="0" w:type="auto"/>
          </w:tcPr>
          <w:p w:rsidR="0053386B" w:rsidRPr="0053386B" w:rsidRDefault="0053386B" w:rsidP="00D62C2C">
            <w:pPr>
              <w:autoSpaceDE w:val="0"/>
              <w:autoSpaceDN w:val="0"/>
              <w:adjustRightInd w:val="0"/>
              <w:spacing w:after="100" w:afterAutospacing="1" w:line="360" w:lineRule="auto"/>
              <w:rPr>
                <w:rFonts w:ascii="Georgia" w:hAnsi="Georgia" w:cs="Courier New"/>
                <w:b/>
                <w:color w:val="000000"/>
                <w:sz w:val="24"/>
              </w:rPr>
            </w:pPr>
            <w:r w:rsidRPr="0053386B">
              <w:rPr>
                <w:rFonts w:ascii="Georgia" w:hAnsi="Georgia" w:cs="Courier New"/>
                <w:b/>
                <w:color w:val="000000"/>
                <w:sz w:val="24"/>
              </w:rPr>
              <w:t>Purposes</w:t>
            </w:r>
          </w:p>
        </w:tc>
      </w:tr>
      <w:tr w:rsidR="00EC5586" w:rsidTr="000D2E5F">
        <w:trPr>
          <w:cantSplit/>
        </w:trPr>
        <w:tc>
          <w:tcPr>
            <w:tcW w:w="0" w:type="auto"/>
          </w:tcPr>
          <w:p w:rsidR="0053386B" w:rsidRDefault="0053386B" w:rsidP="00D62C2C">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First and last name of individual participant</w:t>
            </w:r>
          </w:p>
        </w:tc>
        <w:tc>
          <w:tcPr>
            <w:tcW w:w="0" w:type="auto"/>
          </w:tcPr>
          <w:p w:rsidR="0053386B" w:rsidRDefault="0053386B" w:rsidP="00ED21E0">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The participant’s fist and last name (in combination with their birth date) will be used to link a unique identifier (created by NIOSH) to track the</w:t>
            </w:r>
            <w:r w:rsidR="005F4336">
              <w:rPr>
                <w:rFonts w:ascii="Georgia" w:hAnsi="Georgia" w:cs="Courier New"/>
                <w:color w:val="000000"/>
                <w:sz w:val="24"/>
              </w:rPr>
              <w:t xml:space="preserve"> questionnaire</w:t>
            </w:r>
            <w:r>
              <w:rPr>
                <w:rFonts w:ascii="Georgia" w:hAnsi="Georgia" w:cs="Courier New"/>
                <w:color w:val="000000"/>
                <w:sz w:val="24"/>
              </w:rPr>
              <w:t xml:space="preserve"> responses</w:t>
            </w:r>
            <w:r w:rsidR="005F4336">
              <w:rPr>
                <w:rFonts w:ascii="Georgia" w:hAnsi="Georgia" w:cs="Courier New"/>
                <w:color w:val="000000"/>
                <w:sz w:val="24"/>
              </w:rPr>
              <w:t>, exposures, medical findings, and</w:t>
            </w:r>
            <w:r w:rsidR="00EC5586">
              <w:rPr>
                <w:rFonts w:ascii="Georgia" w:hAnsi="Georgia" w:cs="Courier New"/>
                <w:color w:val="000000"/>
                <w:sz w:val="24"/>
              </w:rPr>
              <w:t xml:space="preserve"> </w:t>
            </w:r>
            <w:r w:rsidR="005F4336">
              <w:rPr>
                <w:rFonts w:ascii="Georgia" w:hAnsi="Georgia" w:cs="Courier New"/>
                <w:color w:val="000000"/>
                <w:sz w:val="24"/>
              </w:rPr>
              <w:t xml:space="preserve">biomarker </w:t>
            </w:r>
            <w:r w:rsidR="002D5924">
              <w:rPr>
                <w:rFonts w:ascii="Georgia" w:hAnsi="Georgia" w:cs="Courier New"/>
                <w:color w:val="000000"/>
                <w:sz w:val="24"/>
              </w:rPr>
              <w:t>results of</w:t>
            </w:r>
            <w:r>
              <w:rPr>
                <w:rFonts w:ascii="Georgia" w:hAnsi="Georgia" w:cs="Courier New"/>
                <w:color w:val="000000"/>
                <w:sz w:val="24"/>
              </w:rPr>
              <w:t xml:space="preserve"> the participant over the course of the study.</w:t>
            </w:r>
            <w:r w:rsidR="00EC5586">
              <w:rPr>
                <w:rFonts w:ascii="Georgia" w:hAnsi="Georgia" w:cs="Courier New"/>
                <w:color w:val="000000"/>
                <w:sz w:val="24"/>
              </w:rPr>
              <w:t xml:space="preserve"> The name will </w:t>
            </w:r>
            <w:r w:rsidR="00D04D1E">
              <w:rPr>
                <w:rFonts w:ascii="Georgia" w:hAnsi="Georgia" w:cs="Courier New"/>
                <w:color w:val="000000"/>
                <w:sz w:val="24"/>
              </w:rPr>
              <w:t xml:space="preserve">also </w:t>
            </w:r>
            <w:r w:rsidR="00EC5586">
              <w:rPr>
                <w:rFonts w:ascii="Georgia" w:hAnsi="Georgia" w:cs="Courier New"/>
                <w:color w:val="000000"/>
                <w:sz w:val="24"/>
              </w:rPr>
              <w:t xml:space="preserve">be used to send results of the pulmonary function test, blood pressure and heart rate tests, complete blood count tests, and other tests using blood </w:t>
            </w:r>
            <w:r w:rsidR="00346DA9">
              <w:rPr>
                <w:rFonts w:ascii="Georgia" w:hAnsi="Georgia" w:cs="Courier New"/>
                <w:color w:val="000000"/>
                <w:sz w:val="24"/>
              </w:rPr>
              <w:t xml:space="preserve">and </w:t>
            </w:r>
            <w:r w:rsidR="00EC5586">
              <w:rPr>
                <w:rFonts w:ascii="Georgia" w:hAnsi="Georgia" w:cs="Courier New"/>
                <w:color w:val="000000"/>
                <w:sz w:val="24"/>
              </w:rPr>
              <w:t>sputum, and to invite the participant to take part in future planned phases of the study</w:t>
            </w:r>
            <w:r w:rsidR="00ED21E0">
              <w:rPr>
                <w:rFonts w:ascii="Georgia" w:hAnsi="Georgia" w:cs="Courier New"/>
                <w:color w:val="000000"/>
                <w:sz w:val="24"/>
              </w:rPr>
              <w:t xml:space="preserve"> (i.e., the exposure registry and prospective cohort study)</w:t>
            </w:r>
            <w:r w:rsidR="00EC5586">
              <w:rPr>
                <w:rFonts w:ascii="Georgia" w:hAnsi="Georgia" w:cs="Courier New"/>
                <w:color w:val="000000"/>
                <w:sz w:val="24"/>
              </w:rPr>
              <w:t xml:space="preserve">, as </w:t>
            </w:r>
            <w:r w:rsidR="00ED21E0">
              <w:rPr>
                <w:rFonts w:ascii="Georgia" w:hAnsi="Georgia" w:cs="Courier New"/>
                <w:color w:val="000000"/>
                <w:sz w:val="24"/>
              </w:rPr>
              <w:t>described in A.1 and A.2 above</w:t>
            </w:r>
            <w:r w:rsidR="00EC5586">
              <w:rPr>
                <w:rFonts w:ascii="Georgia" w:hAnsi="Georgia" w:cs="Courier New"/>
                <w:color w:val="000000"/>
                <w:sz w:val="24"/>
              </w:rPr>
              <w:t xml:space="preserve">. </w:t>
            </w:r>
          </w:p>
        </w:tc>
      </w:tr>
      <w:tr w:rsidR="00EC5586" w:rsidTr="000D2E5F">
        <w:trPr>
          <w:cantSplit/>
        </w:trPr>
        <w:tc>
          <w:tcPr>
            <w:tcW w:w="0" w:type="auto"/>
          </w:tcPr>
          <w:p w:rsidR="0053386B" w:rsidRDefault="00252E6D" w:rsidP="00252E6D">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 xml:space="preserve">Mailing </w:t>
            </w:r>
            <w:r w:rsidR="0053386B">
              <w:rPr>
                <w:rFonts w:ascii="Georgia" w:hAnsi="Georgia" w:cs="Courier New"/>
                <w:color w:val="000000"/>
                <w:sz w:val="24"/>
              </w:rPr>
              <w:t>address of individual participant</w:t>
            </w:r>
          </w:p>
        </w:tc>
        <w:tc>
          <w:tcPr>
            <w:tcW w:w="0" w:type="auto"/>
          </w:tcPr>
          <w:p w:rsidR="0053386B" w:rsidRDefault="0053386B" w:rsidP="00346DA9">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 xml:space="preserve">The </w:t>
            </w:r>
            <w:r w:rsidR="00252E6D">
              <w:rPr>
                <w:rFonts w:ascii="Georgia" w:hAnsi="Georgia" w:cs="Courier New"/>
                <w:color w:val="000000"/>
                <w:sz w:val="24"/>
              </w:rPr>
              <w:t>mailing</w:t>
            </w:r>
            <w:r>
              <w:rPr>
                <w:rFonts w:ascii="Georgia" w:hAnsi="Georgia" w:cs="Courier New"/>
                <w:color w:val="000000"/>
                <w:sz w:val="24"/>
              </w:rPr>
              <w:t xml:space="preserve"> address will be used to send results of the pulmonary function test, blood pressure and heart rate tests, complete blood count tests, and other tests using blood</w:t>
            </w:r>
            <w:r w:rsidR="00346DA9">
              <w:rPr>
                <w:rFonts w:ascii="Georgia" w:hAnsi="Georgia" w:cs="Courier New"/>
                <w:color w:val="000000"/>
                <w:sz w:val="24"/>
              </w:rPr>
              <w:t xml:space="preserve"> and</w:t>
            </w:r>
            <w:r>
              <w:rPr>
                <w:rFonts w:ascii="Georgia" w:hAnsi="Georgia" w:cs="Courier New"/>
                <w:color w:val="000000"/>
                <w:sz w:val="24"/>
              </w:rPr>
              <w:t xml:space="preserve"> sputum</w:t>
            </w:r>
            <w:r w:rsidR="00EC5586">
              <w:rPr>
                <w:rFonts w:ascii="Georgia" w:hAnsi="Georgia" w:cs="Courier New"/>
                <w:color w:val="000000"/>
                <w:sz w:val="24"/>
              </w:rPr>
              <w:t xml:space="preserve">, </w:t>
            </w:r>
            <w:r w:rsidR="00D64C5B">
              <w:rPr>
                <w:rFonts w:ascii="Georgia" w:hAnsi="Georgia" w:cs="Courier New"/>
                <w:color w:val="000000"/>
                <w:sz w:val="24"/>
              </w:rPr>
              <w:t xml:space="preserve">as well as the exposure measurements for the individual, </w:t>
            </w:r>
            <w:r w:rsidR="00EC5586">
              <w:rPr>
                <w:rFonts w:ascii="Georgia" w:hAnsi="Georgia" w:cs="Courier New"/>
                <w:color w:val="000000"/>
                <w:sz w:val="24"/>
              </w:rPr>
              <w:t>and to invite the participant to take part in future planned phases of the study, as applicable</w:t>
            </w:r>
            <w:r>
              <w:rPr>
                <w:rFonts w:ascii="Georgia" w:hAnsi="Georgia" w:cs="Courier New"/>
                <w:color w:val="000000"/>
                <w:sz w:val="24"/>
              </w:rPr>
              <w:t>.</w:t>
            </w:r>
          </w:p>
        </w:tc>
      </w:tr>
      <w:tr w:rsidR="00EC5586" w:rsidTr="000D2E5F">
        <w:trPr>
          <w:cantSplit/>
        </w:trPr>
        <w:tc>
          <w:tcPr>
            <w:tcW w:w="0" w:type="auto"/>
          </w:tcPr>
          <w:p w:rsidR="0053386B" w:rsidRDefault="00DE1AE3" w:rsidP="00D62C2C">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Phone number of individual participant</w:t>
            </w:r>
          </w:p>
        </w:tc>
        <w:tc>
          <w:tcPr>
            <w:tcW w:w="0" w:type="auto"/>
          </w:tcPr>
          <w:p w:rsidR="0053386B" w:rsidRDefault="00EC5586" w:rsidP="00D64C5B">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The telephone number will be used to obtain current address information for the participant for purposes of notifying him or her about medical test results, and biomarker findings</w:t>
            </w:r>
            <w:r w:rsidR="00B24BE5">
              <w:rPr>
                <w:rFonts w:ascii="Georgia" w:hAnsi="Georgia" w:cs="Courier New"/>
                <w:color w:val="000000"/>
                <w:sz w:val="24"/>
              </w:rPr>
              <w:t>, and the overall study results, which may require several years to be completed</w:t>
            </w:r>
            <w:r>
              <w:rPr>
                <w:rFonts w:ascii="Georgia" w:hAnsi="Georgia" w:cs="Courier New"/>
                <w:color w:val="000000"/>
                <w:sz w:val="24"/>
              </w:rPr>
              <w:t>.</w:t>
            </w:r>
          </w:p>
        </w:tc>
      </w:tr>
      <w:tr w:rsidR="00EC5586" w:rsidTr="000D2E5F">
        <w:trPr>
          <w:cantSplit/>
        </w:trPr>
        <w:tc>
          <w:tcPr>
            <w:tcW w:w="0" w:type="auto"/>
          </w:tcPr>
          <w:p w:rsidR="0053386B" w:rsidRDefault="00DE1AE3" w:rsidP="00D62C2C">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lastRenderedPageBreak/>
              <w:t>Date of birth</w:t>
            </w:r>
          </w:p>
        </w:tc>
        <w:tc>
          <w:tcPr>
            <w:tcW w:w="0" w:type="auto"/>
          </w:tcPr>
          <w:p w:rsidR="0053386B" w:rsidRDefault="00DE1AE3" w:rsidP="00D62C2C">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 xml:space="preserve">The participant’s date of birth (in combination with their first and last name) will be used to link to a unique identifier (created by NIOSH) to track the responses of the participant over the course of the study. </w:t>
            </w:r>
            <w:r w:rsidR="00B24BE5">
              <w:rPr>
                <w:rFonts w:ascii="Georgia" w:hAnsi="Georgia" w:cs="Courier New"/>
                <w:color w:val="000000"/>
                <w:sz w:val="24"/>
              </w:rPr>
              <w:t xml:space="preserve">The date of birth is also required to interpret the spirometry findings and the results of some of the medical tests and biomarker results. </w:t>
            </w:r>
          </w:p>
        </w:tc>
      </w:tr>
      <w:tr w:rsidR="00EC5586" w:rsidTr="000D2E5F">
        <w:trPr>
          <w:cantSplit/>
        </w:trPr>
        <w:tc>
          <w:tcPr>
            <w:tcW w:w="0" w:type="auto"/>
          </w:tcPr>
          <w:p w:rsidR="00DE1AE3" w:rsidRDefault="00DE1AE3" w:rsidP="00D62C2C">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Social Security Number</w:t>
            </w:r>
          </w:p>
        </w:tc>
        <w:tc>
          <w:tcPr>
            <w:tcW w:w="0" w:type="auto"/>
          </w:tcPr>
          <w:p w:rsidR="00DE1AE3" w:rsidRDefault="00EC5586" w:rsidP="00D62C2C">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The Social Security number will be used to link the participant’s information to workplace records</w:t>
            </w:r>
            <w:r w:rsidR="00B24BE5">
              <w:rPr>
                <w:rFonts w:ascii="Georgia" w:hAnsi="Georgia" w:cs="Courier New"/>
                <w:color w:val="000000"/>
                <w:sz w:val="24"/>
              </w:rPr>
              <w:t xml:space="preserve"> and to link to the Internal Revenue Service</w:t>
            </w:r>
            <w:r w:rsidR="00EA4F61">
              <w:rPr>
                <w:rStyle w:val="FootnoteReference"/>
                <w:rFonts w:ascii="Georgia" w:hAnsi="Georgia" w:cs="Courier New"/>
                <w:color w:val="000000"/>
                <w:sz w:val="24"/>
              </w:rPr>
              <w:footnoteReference w:id="1"/>
            </w:r>
            <w:r w:rsidR="00B24BE5">
              <w:rPr>
                <w:rFonts w:ascii="Georgia" w:hAnsi="Georgia" w:cs="Courier New"/>
                <w:color w:val="000000"/>
                <w:sz w:val="24"/>
              </w:rPr>
              <w:t xml:space="preserve"> </w:t>
            </w:r>
            <w:r w:rsidR="00252E6D">
              <w:rPr>
                <w:rFonts w:ascii="Georgia" w:hAnsi="Georgia" w:cs="Courier New"/>
                <w:color w:val="000000"/>
                <w:sz w:val="24"/>
              </w:rPr>
              <w:t xml:space="preserve">and other sources </w:t>
            </w:r>
            <w:r w:rsidR="00B24BE5">
              <w:rPr>
                <w:rFonts w:ascii="Georgia" w:hAnsi="Georgia" w:cs="Courier New"/>
                <w:color w:val="000000"/>
                <w:sz w:val="24"/>
              </w:rPr>
              <w:t xml:space="preserve">to obtain current address information in order to notify the participant about the medical test results, biomarker findings, and the overall study results, which may require several years to be completed. </w:t>
            </w:r>
          </w:p>
        </w:tc>
      </w:tr>
      <w:tr w:rsidR="00707335" w:rsidTr="000D2E5F">
        <w:trPr>
          <w:cantSplit/>
        </w:trPr>
        <w:tc>
          <w:tcPr>
            <w:tcW w:w="0" w:type="auto"/>
          </w:tcPr>
          <w:p w:rsidR="00707335" w:rsidRDefault="00707335" w:rsidP="00D62C2C">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Medical information</w:t>
            </w:r>
          </w:p>
        </w:tc>
        <w:tc>
          <w:tcPr>
            <w:tcW w:w="0" w:type="auto"/>
          </w:tcPr>
          <w:p w:rsidR="00707335" w:rsidRDefault="00707335" w:rsidP="00D62C2C">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Medical information will be used to evaluate whether workplace exposure to CNT or CNF is associated with early or late health effects.  Medical information will also be used to</w:t>
            </w:r>
            <w:r w:rsidR="00A912A7">
              <w:rPr>
                <w:rFonts w:ascii="Georgia" w:hAnsi="Georgia" w:cs="Courier New"/>
                <w:color w:val="000000"/>
                <w:sz w:val="24"/>
              </w:rPr>
              <w:t xml:space="preserve"> identify contraindications to spirometry and sputum induction.</w:t>
            </w:r>
          </w:p>
        </w:tc>
      </w:tr>
      <w:tr w:rsidR="00707335" w:rsidTr="000D2E5F">
        <w:trPr>
          <w:cantSplit/>
        </w:trPr>
        <w:tc>
          <w:tcPr>
            <w:tcW w:w="0" w:type="auto"/>
          </w:tcPr>
          <w:p w:rsidR="00707335" w:rsidRDefault="00A912A7" w:rsidP="00D62C2C">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Biological specimens</w:t>
            </w:r>
          </w:p>
        </w:tc>
        <w:tc>
          <w:tcPr>
            <w:tcW w:w="0" w:type="auto"/>
          </w:tcPr>
          <w:p w:rsidR="00707335" w:rsidRDefault="00A912A7" w:rsidP="00515F1E">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 xml:space="preserve">Biological specimens </w:t>
            </w:r>
            <w:r w:rsidR="007448E0">
              <w:rPr>
                <w:rFonts w:ascii="Georgia" w:hAnsi="Georgia" w:cs="Courier New"/>
                <w:color w:val="000000"/>
                <w:sz w:val="24"/>
              </w:rPr>
              <w:t xml:space="preserve">(blood and sputum) </w:t>
            </w:r>
            <w:r>
              <w:rPr>
                <w:rFonts w:ascii="Georgia" w:hAnsi="Georgia" w:cs="Courier New"/>
                <w:color w:val="000000"/>
                <w:sz w:val="24"/>
              </w:rPr>
              <w:t xml:space="preserve">will be analyzed </w:t>
            </w:r>
            <w:r w:rsidR="00972FE6">
              <w:rPr>
                <w:rFonts w:ascii="Georgia" w:hAnsi="Georgia" w:cs="Courier New"/>
                <w:color w:val="000000"/>
                <w:sz w:val="24"/>
              </w:rPr>
              <w:t xml:space="preserve">to measure </w:t>
            </w:r>
            <w:r>
              <w:rPr>
                <w:rFonts w:ascii="Georgia" w:hAnsi="Georgia" w:cs="Courier New"/>
                <w:color w:val="000000"/>
                <w:sz w:val="24"/>
              </w:rPr>
              <w:t xml:space="preserve">several biomarkers of </w:t>
            </w:r>
            <w:r w:rsidR="00972FE6">
              <w:rPr>
                <w:rFonts w:ascii="Georgia" w:hAnsi="Georgia" w:cs="Courier New"/>
                <w:color w:val="000000"/>
                <w:sz w:val="24"/>
              </w:rPr>
              <w:t xml:space="preserve">potential </w:t>
            </w:r>
            <w:r>
              <w:rPr>
                <w:rFonts w:ascii="Georgia" w:hAnsi="Georgia" w:cs="Courier New"/>
                <w:color w:val="000000"/>
                <w:sz w:val="24"/>
              </w:rPr>
              <w:t xml:space="preserve">early health effects.  This information will be used to </w:t>
            </w:r>
            <w:r w:rsidR="00515F1E">
              <w:rPr>
                <w:rFonts w:ascii="Georgia" w:hAnsi="Georgia" w:cs="Courier New"/>
                <w:color w:val="000000"/>
                <w:sz w:val="24"/>
              </w:rPr>
              <w:t xml:space="preserve">explore </w:t>
            </w:r>
            <w:r>
              <w:rPr>
                <w:rFonts w:ascii="Georgia" w:hAnsi="Georgia" w:cs="Courier New"/>
                <w:color w:val="000000"/>
                <w:sz w:val="24"/>
              </w:rPr>
              <w:t xml:space="preserve">whether workplace exposure to CNT or CNF is associated with early </w:t>
            </w:r>
            <w:r w:rsidR="00515F1E">
              <w:rPr>
                <w:rFonts w:ascii="Georgia" w:hAnsi="Georgia" w:cs="Courier New"/>
                <w:color w:val="000000"/>
                <w:sz w:val="24"/>
              </w:rPr>
              <w:t xml:space="preserve">possible </w:t>
            </w:r>
            <w:r>
              <w:rPr>
                <w:rFonts w:ascii="Georgia" w:hAnsi="Georgia" w:cs="Courier New"/>
                <w:color w:val="000000"/>
                <w:sz w:val="24"/>
              </w:rPr>
              <w:t>health effects.</w:t>
            </w:r>
          </w:p>
        </w:tc>
      </w:tr>
      <w:tr w:rsidR="00707335" w:rsidTr="000D2E5F">
        <w:trPr>
          <w:cantSplit/>
        </w:trPr>
        <w:tc>
          <w:tcPr>
            <w:tcW w:w="0" w:type="auto"/>
          </w:tcPr>
          <w:p w:rsidR="00707335" w:rsidRDefault="00A912A7" w:rsidP="00187C8F">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 xml:space="preserve">Employment </w:t>
            </w:r>
            <w:r w:rsidR="00187C8F">
              <w:rPr>
                <w:rFonts w:ascii="Georgia" w:hAnsi="Georgia" w:cs="Courier New"/>
                <w:color w:val="000000"/>
                <w:sz w:val="24"/>
              </w:rPr>
              <w:t>history</w:t>
            </w:r>
          </w:p>
        </w:tc>
        <w:tc>
          <w:tcPr>
            <w:tcW w:w="0" w:type="auto"/>
          </w:tcPr>
          <w:p w:rsidR="00707335" w:rsidRDefault="00A912A7" w:rsidP="006173C4">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 xml:space="preserve">Information on the </w:t>
            </w:r>
            <w:r w:rsidR="00D64C5B">
              <w:rPr>
                <w:rFonts w:ascii="Georgia" w:hAnsi="Georgia" w:cs="Courier New"/>
                <w:color w:val="000000"/>
                <w:sz w:val="24"/>
              </w:rPr>
              <w:t xml:space="preserve">current and past </w:t>
            </w:r>
            <w:r>
              <w:rPr>
                <w:rFonts w:ascii="Georgia" w:hAnsi="Georgia" w:cs="Courier New"/>
                <w:color w:val="000000"/>
                <w:sz w:val="24"/>
              </w:rPr>
              <w:t>place</w:t>
            </w:r>
            <w:r w:rsidR="00D64C5B">
              <w:rPr>
                <w:rFonts w:ascii="Georgia" w:hAnsi="Georgia" w:cs="Courier New"/>
                <w:color w:val="000000"/>
                <w:sz w:val="24"/>
              </w:rPr>
              <w:t>s</w:t>
            </w:r>
            <w:r>
              <w:rPr>
                <w:rFonts w:ascii="Georgia" w:hAnsi="Georgia" w:cs="Courier New"/>
                <w:color w:val="000000"/>
                <w:sz w:val="24"/>
              </w:rPr>
              <w:t xml:space="preserve"> of employment will be collected to identify other potentially confounding workplace exposures.  </w:t>
            </w:r>
          </w:p>
        </w:tc>
      </w:tr>
      <w:tr w:rsidR="00707335" w:rsidTr="000D2E5F">
        <w:trPr>
          <w:cantSplit/>
        </w:trPr>
        <w:tc>
          <w:tcPr>
            <w:tcW w:w="0" w:type="auto"/>
          </w:tcPr>
          <w:p w:rsidR="00707335" w:rsidRDefault="00A912A7" w:rsidP="00D62C2C">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lastRenderedPageBreak/>
              <w:t>Other</w:t>
            </w:r>
          </w:p>
        </w:tc>
        <w:tc>
          <w:tcPr>
            <w:tcW w:w="0" w:type="auto"/>
          </w:tcPr>
          <w:p w:rsidR="00707335" w:rsidRDefault="006173C4" w:rsidP="006173C4">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 xml:space="preserve">Information on the companies employing workers in the study will be collected so that the companies can be informed of the study findings.  Information will also be collected on risk management practices so that recommendations for improvements can be made, if warranted. </w:t>
            </w:r>
          </w:p>
        </w:tc>
      </w:tr>
    </w:tbl>
    <w:p w:rsidR="0053386B" w:rsidRDefault="0053386B" w:rsidP="00D62C2C">
      <w:pPr>
        <w:autoSpaceDE w:val="0"/>
        <w:autoSpaceDN w:val="0"/>
        <w:adjustRightInd w:val="0"/>
        <w:spacing w:after="100" w:afterAutospacing="1" w:line="360" w:lineRule="auto"/>
        <w:rPr>
          <w:rFonts w:ascii="Georgia" w:hAnsi="Georgia" w:cs="Courier New"/>
          <w:color w:val="000000"/>
          <w:sz w:val="24"/>
        </w:rPr>
      </w:pPr>
    </w:p>
    <w:p w:rsidR="00CD62F6" w:rsidRPr="008851F5" w:rsidRDefault="00CD62F6" w:rsidP="00D62C2C">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 xml:space="preserve">Written consent to participate in the study will be obtained for each participant before administering the questionnaire. The consent form is included as </w:t>
      </w:r>
      <w:r w:rsidRPr="007448E0">
        <w:rPr>
          <w:rFonts w:ascii="Georgia" w:hAnsi="Georgia" w:cs="Courier New"/>
          <w:b/>
          <w:color w:val="000000"/>
          <w:sz w:val="24"/>
        </w:rPr>
        <w:t xml:space="preserve">Attachment </w:t>
      </w:r>
      <w:r w:rsidR="00DB7F61" w:rsidRPr="007448E0">
        <w:rPr>
          <w:rFonts w:ascii="Georgia" w:hAnsi="Georgia" w:cs="Courier New"/>
          <w:b/>
          <w:color w:val="000000"/>
          <w:sz w:val="24"/>
        </w:rPr>
        <w:t>D</w:t>
      </w:r>
      <w:r>
        <w:rPr>
          <w:rFonts w:ascii="Georgia" w:hAnsi="Georgia" w:cs="Courier New"/>
          <w:color w:val="000000"/>
          <w:sz w:val="24"/>
        </w:rPr>
        <w:t>. This consent document describes the uses that will be made of the data obtained in the study, plans for publishing the aggregate data from the study, and plans for notifying the participant about both his or her individual results and about the overall results from the study</w:t>
      </w:r>
      <w:r w:rsidR="00FB53D6">
        <w:rPr>
          <w:rFonts w:ascii="Georgia" w:hAnsi="Georgia" w:cs="Courier New"/>
          <w:color w:val="000000"/>
          <w:sz w:val="24"/>
        </w:rPr>
        <w:t xml:space="preserve"> (as described in section A2 above)</w:t>
      </w:r>
      <w:r>
        <w:rPr>
          <w:rFonts w:ascii="Georgia" w:hAnsi="Georgia" w:cs="Courier New"/>
          <w:color w:val="000000"/>
          <w:sz w:val="24"/>
        </w:rPr>
        <w:t>. During the consent process and before administering the questionnaire, study participants are informed that their participation is entirely voluntary, that they may refuse to answer any question without penalty, and that they may refuse to participate in any other aspect of the study without jeopardizing their participation in other aspects of the study. They are informed that the Privacy Act applies to the information being collected for the study, and that the information they provide will be kept private</w:t>
      </w:r>
      <w:r w:rsidR="006C7039">
        <w:rPr>
          <w:rFonts w:ascii="Georgia" w:hAnsi="Georgia" w:cs="Courier New"/>
          <w:color w:val="000000"/>
          <w:sz w:val="24"/>
        </w:rPr>
        <w:t xml:space="preserve"> and not disclosed unless compelled by law</w:t>
      </w:r>
      <w:r>
        <w:rPr>
          <w:rFonts w:ascii="Georgia" w:hAnsi="Georgia" w:cs="Courier New"/>
          <w:color w:val="000000"/>
          <w:sz w:val="24"/>
        </w:rPr>
        <w:t xml:space="preserve">, using all available safeguards for protecting inadvertent disclosure. </w:t>
      </w:r>
    </w:p>
    <w:p w:rsidR="0071602A" w:rsidRDefault="00312A46" w:rsidP="00E321F3">
      <w:pPr>
        <w:pStyle w:val="Heading2"/>
      </w:pPr>
      <w:r>
        <w:t xml:space="preserve"> </w:t>
      </w:r>
      <w:bookmarkStart w:id="6" w:name="_Toc345399531"/>
      <w:bookmarkStart w:id="7" w:name="_Toc347997716"/>
      <w:r w:rsidR="00AB6795" w:rsidRPr="00AB6795">
        <w:t>A3.</w:t>
      </w:r>
      <w:r w:rsidR="00AB6795">
        <w:tab/>
      </w:r>
      <w:r w:rsidR="00AB6795" w:rsidRPr="00AB6795">
        <w:t>Use of Improved Technology and Burden Reduction</w:t>
      </w:r>
      <w:bookmarkEnd w:id="6"/>
      <w:bookmarkEnd w:id="7"/>
      <w:r w:rsidR="0071602A" w:rsidRPr="00AB6795">
        <w:t xml:space="preserve"> </w:t>
      </w:r>
    </w:p>
    <w:p w:rsidR="00AB6795" w:rsidRDefault="00AB6795" w:rsidP="00D62C2C">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 xml:space="preserve">The majority of the data collection will be accomplished through </w:t>
      </w:r>
      <w:r w:rsidR="00B24BE5">
        <w:rPr>
          <w:rFonts w:ascii="Georgia" w:hAnsi="Georgia" w:cs="Courier New"/>
          <w:color w:val="000000"/>
          <w:sz w:val="24"/>
        </w:rPr>
        <w:t xml:space="preserve">computer-assisted </w:t>
      </w:r>
      <w:r>
        <w:rPr>
          <w:rFonts w:ascii="Georgia" w:hAnsi="Georgia" w:cs="Courier New"/>
          <w:color w:val="000000"/>
          <w:sz w:val="24"/>
        </w:rPr>
        <w:t>personal interview.  The interviewer-administered format reduces respondent burden by removing the need for the respondents to read the questions, and by ensuring that respondents do not spend time reading and responding to questions that do not apply to them.  It also ensures that low</w:t>
      </w:r>
      <w:r w:rsidR="00B34AEA">
        <w:rPr>
          <w:rFonts w:ascii="Georgia" w:hAnsi="Georgia" w:cs="Courier New"/>
          <w:color w:val="000000"/>
          <w:sz w:val="24"/>
        </w:rPr>
        <w:t>-</w:t>
      </w:r>
      <w:r>
        <w:rPr>
          <w:rFonts w:ascii="Georgia" w:hAnsi="Georgia" w:cs="Courier New"/>
          <w:color w:val="000000"/>
          <w:sz w:val="24"/>
        </w:rPr>
        <w:t>literacy individuals are not barred from participation in the survey.  The data collection instrument has been through multiple iterations of review and revision, with the goal of excising any questions that were not essential to the survey’s purpose.</w:t>
      </w:r>
    </w:p>
    <w:p w:rsidR="00AB6795" w:rsidRDefault="00AB6795" w:rsidP="00E321F3">
      <w:pPr>
        <w:pStyle w:val="Heading2"/>
      </w:pPr>
      <w:bookmarkStart w:id="8" w:name="_Toc345399532"/>
      <w:bookmarkStart w:id="9" w:name="_Toc347997717"/>
      <w:r w:rsidRPr="008F1C2F">
        <w:lastRenderedPageBreak/>
        <w:t>A4.</w:t>
      </w:r>
      <w:r w:rsidRPr="008F1C2F">
        <w:tab/>
        <w:t>Efforts to Identify Duplication and Use of Similar Information</w:t>
      </w:r>
      <w:bookmarkEnd w:id="8"/>
      <w:bookmarkEnd w:id="9"/>
    </w:p>
    <w:p w:rsidR="008F1C2F" w:rsidRDefault="00ED0EDC" w:rsidP="00D62C2C">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 xml:space="preserve">We have searched the published literature and consulted with colleagues in other Federal agencies. </w:t>
      </w:r>
      <w:r w:rsidR="0076686B">
        <w:rPr>
          <w:rFonts w:ascii="Georgia" w:hAnsi="Georgia" w:cs="Courier New"/>
          <w:color w:val="000000"/>
          <w:sz w:val="24"/>
        </w:rPr>
        <w:t xml:space="preserve">There are at present no published </w:t>
      </w:r>
      <w:r>
        <w:rPr>
          <w:rFonts w:ascii="Georgia" w:hAnsi="Georgia" w:cs="Courier New"/>
          <w:color w:val="000000"/>
          <w:sz w:val="24"/>
        </w:rPr>
        <w:t xml:space="preserve">or in-progress </w:t>
      </w:r>
      <w:r w:rsidR="0076686B">
        <w:rPr>
          <w:rFonts w:ascii="Georgia" w:hAnsi="Georgia" w:cs="Courier New"/>
          <w:color w:val="000000"/>
          <w:sz w:val="24"/>
        </w:rPr>
        <w:t xml:space="preserve">studies of possible health effects from exposure of US workers to CNT or CNF. Thus, this study does not duplicate any other known study being conducted in the U.S. </w:t>
      </w:r>
    </w:p>
    <w:p w:rsidR="008F1C2F" w:rsidRDefault="008F1C2F" w:rsidP="00D62C2C">
      <w:pPr>
        <w:autoSpaceDE w:val="0"/>
        <w:autoSpaceDN w:val="0"/>
        <w:adjustRightInd w:val="0"/>
        <w:spacing w:after="100" w:afterAutospacing="1" w:line="360" w:lineRule="auto"/>
        <w:rPr>
          <w:rFonts w:ascii="Georgia" w:hAnsi="Georgia" w:cs="Courier New"/>
          <w:b/>
          <w:color w:val="000000"/>
          <w:sz w:val="24"/>
        </w:rPr>
      </w:pPr>
      <w:bookmarkStart w:id="10" w:name="_Toc345399533"/>
      <w:bookmarkStart w:id="11" w:name="_Toc347997718"/>
      <w:r w:rsidRPr="00804DA4">
        <w:rPr>
          <w:rStyle w:val="Heading2Char"/>
          <w:sz w:val="24"/>
        </w:rPr>
        <w:t>A5.</w:t>
      </w:r>
      <w:r w:rsidRPr="00804DA4">
        <w:rPr>
          <w:rStyle w:val="Heading2Char"/>
          <w:sz w:val="24"/>
        </w:rPr>
        <w:tab/>
        <w:t>Impact on Small Businesses or Other Small Entitie</w:t>
      </w:r>
      <w:bookmarkEnd w:id="10"/>
      <w:bookmarkEnd w:id="11"/>
      <w:r w:rsidR="002F1B92" w:rsidRPr="00804DA4">
        <w:rPr>
          <w:rStyle w:val="Heading1Char"/>
          <w:sz w:val="24"/>
        </w:rPr>
        <w:t>s</w:t>
      </w:r>
    </w:p>
    <w:p w:rsidR="007D25FC" w:rsidRDefault="000D38E9" w:rsidP="00D62C2C">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More than 30% of nano-manufacturers worldwide participating in a voluntary survey indicated that they create and handle carbonaceous nanomaterials (e.g., CNT, fullerenes, and carbon black) (Gerritzen</w:t>
      </w:r>
      <w:r w:rsidR="007D25FC">
        <w:rPr>
          <w:rFonts w:ascii="Georgia" w:hAnsi="Georgia" w:cs="Courier New"/>
          <w:color w:val="000000"/>
          <w:sz w:val="24"/>
        </w:rPr>
        <w:t xml:space="preserve"> G, Huang L-C, Killpack K, Mircheva M, Conti J. 2007.</w:t>
      </w:r>
      <w:r>
        <w:rPr>
          <w:rFonts w:ascii="Georgia" w:hAnsi="Georgia" w:cs="Courier New"/>
          <w:color w:val="000000"/>
          <w:sz w:val="24"/>
        </w:rPr>
        <w:t xml:space="preserve"> </w:t>
      </w:r>
      <w:r w:rsidR="007D25FC">
        <w:rPr>
          <w:rFonts w:ascii="Georgia" w:hAnsi="Georgia" w:cs="Courier New"/>
          <w:color w:val="000000"/>
          <w:sz w:val="24"/>
        </w:rPr>
        <w:t xml:space="preserve"> A Review of Current Practices in the Nanotechnology Industry; Survey of Current Practices in the Nanotechnology Workplace.  University of California, Santa Barbara in collaboration with the International Council on </w:t>
      </w:r>
      <w:r w:rsidR="00BC4D74">
        <w:rPr>
          <w:rFonts w:ascii="Georgia" w:hAnsi="Georgia" w:cs="Courier New"/>
          <w:color w:val="000000"/>
          <w:sz w:val="24"/>
        </w:rPr>
        <w:t>Nanotechnology</w:t>
      </w:r>
      <w:r w:rsidR="007D25FC">
        <w:rPr>
          <w:rFonts w:ascii="Georgia" w:hAnsi="Georgia" w:cs="Courier New"/>
          <w:color w:val="000000"/>
          <w:sz w:val="24"/>
        </w:rPr>
        <w:t xml:space="preserve">.  Accessed November 15, 2007.  </w:t>
      </w:r>
      <w:hyperlink r:id="rId12" w:history="1">
        <w:r w:rsidR="007D25FC" w:rsidRPr="00124F62">
          <w:rPr>
            <w:rStyle w:val="Hyperlink"/>
            <w:rFonts w:ascii="Georgia" w:hAnsi="Georgia" w:cs="Courier New"/>
            <w:sz w:val="24"/>
          </w:rPr>
          <w:t>http://icon.rice.edu</w:t>
        </w:r>
      </w:hyperlink>
      <w:r w:rsidR="007D25FC">
        <w:rPr>
          <w:rFonts w:ascii="Georgia" w:hAnsi="Georgia" w:cs="Courier New"/>
          <w:color w:val="000000"/>
          <w:sz w:val="24"/>
        </w:rPr>
        <w:t xml:space="preserve">).  </w:t>
      </w:r>
      <w:r w:rsidR="00BC4D74">
        <w:rPr>
          <w:rFonts w:ascii="Georgia" w:hAnsi="Georgia" w:cs="Courier New"/>
          <w:color w:val="000000"/>
          <w:sz w:val="24"/>
        </w:rPr>
        <w:t xml:space="preserve">A recent NIOSH feasibility study of companies manufacturing or using engineered carbonaceous nanomaterials in the US (above R&amp;D scale) found that 50 (82%) of 61 were handling CNT or CNF (Schubauer-Berigan et al., </w:t>
      </w:r>
      <w:r w:rsidR="00BC4D74" w:rsidRPr="005009A1">
        <w:rPr>
          <w:rFonts w:ascii="Georgia" w:hAnsi="Georgia" w:cs="Courier New"/>
          <w:i/>
          <w:color w:val="000000"/>
          <w:sz w:val="24"/>
        </w:rPr>
        <w:t>J Occup Environ Med</w:t>
      </w:r>
      <w:r w:rsidR="00BC4D74">
        <w:rPr>
          <w:rFonts w:ascii="Georgia" w:hAnsi="Georgia" w:cs="Courier New"/>
          <w:color w:val="000000"/>
          <w:sz w:val="24"/>
        </w:rPr>
        <w:t xml:space="preserve">  2011:53:S62-S67).  </w:t>
      </w:r>
      <w:r w:rsidR="007D25FC">
        <w:rPr>
          <w:rFonts w:ascii="Georgia" w:hAnsi="Georgia" w:cs="Courier New"/>
          <w:color w:val="000000"/>
          <w:sz w:val="24"/>
        </w:rPr>
        <w:t>Most of these companies were small, with an average of about 10 workers per company.</w:t>
      </w:r>
      <w:r w:rsidR="005009A1">
        <w:rPr>
          <w:rFonts w:ascii="Georgia" w:hAnsi="Georgia" w:cs="Courier New"/>
          <w:color w:val="000000"/>
          <w:sz w:val="24"/>
        </w:rPr>
        <w:t xml:space="preserve">  </w:t>
      </w:r>
      <w:r w:rsidR="00ED0EDC">
        <w:rPr>
          <w:rFonts w:ascii="Georgia" w:hAnsi="Georgia" w:cs="Courier New"/>
          <w:color w:val="000000"/>
          <w:sz w:val="24"/>
        </w:rPr>
        <w:t>As mentioned above in Section A1, p</w:t>
      </w:r>
      <w:r w:rsidR="005009A1">
        <w:rPr>
          <w:rFonts w:ascii="Georgia" w:hAnsi="Georgia" w:cs="Courier New"/>
          <w:color w:val="000000"/>
          <w:sz w:val="24"/>
        </w:rPr>
        <w:t xml:space="preserve">articipation in the survey is voluntary and questions have been held </w:t>
      </w:r>
      <w:r w:rsidR="00BC4D74">
        <w:rPr>
          <w:rFonts w:ascii="Georgia" w:hAnsi="Georgia" w:cs="Courier New"/>
          <w:color w:val="000000"/>
          <w:sz w:val="24"/>
        </w:rPr>
        <w:t>to</w:t>
      </w:r>
      <w:r w:rsidR="005009A1">
        <w:rPr>
          <w:rFonts w:ascii="Georgia" w:hAnsi="Georgia" w:cs="Courier New"/>
          <w:color w:val="000000"/>
          <w:sz w:val="24"/>
        </w:rPr>
        <w:t xml:space="preserve"> the minimum required for the intended use of the data.</w:t>
      </w:r>
      <w:r w:rsidR="00B34AEA">
        <w:rPr>
          <w:rFonts w:ascii="Georgia" w:hAnsi="Georgia" w:cs="Courier New"/>
          <w:color w:val="000000"/>
          <w:sz w:val="24"/>
        </w:rPr>
        <w:t xml:space="preserve"> NIOSH researchers conducting this study will minimize the burden to small companies by collecting most information through direct observation at the workplace. Small businesses involved in the study will benefit by learning about actual CNT exposures in their workplaces and about proven methods to reduce these exposures. They will also benefit by learning from this study whether any early health effects are discernible from CNT exposures in U.S. workplaces. </w:t>
      </w:r>
    </w:p>
    <w:p w:rsidR="005009A1" w:rsidRDefault="005009A1" w:rsidP="00E321F3">
      <w:pPr>
        <w:pStyle w:val="Heading2"/>
      </w:pPr>
      <w:bookmarkStart w:id="12" w:name="_Toc345399534"/>
      <w:bookmarkStart w:id="13" w:name="_Toc347997719"/>
      <w:r w:rsidRPr="005009A1">
        <w:t>A6.</w:t>
      </w:r>
      <w:r w:rsidRPr="005009A1">
        <w:tab/>
        <w:t>Consequences of Information Collected Less Frequently</w:t>
      </w:r>
      <w:bookmarkEnd w:id="12"/>
      <w:bookmarkEnd w:id="13"/>
    </w:p>
    <w:p w:rsidR="002E7482" w:rsidRDefault="002E7482" w:rsidP="00D62C2C">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This request is for a one-time data collection.  If this data collection does not take place, our understanding of whether or not exposure to CNT or CNF may be associated with early signs of health effects in U.S. workers will not be possible.</w:t>
      </w:r>
    </w:p>
    <w:p w:rsidR="006C7039" w:rsidRDefault="006C7039" w:rsidP="00D62C2C">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lastRenderedPageBreak/>
        <w:t>There are no legal obstacles to reduce the burden.</w:t>
      </w:r>
    </w:p>
    <w:p w:rsidR="002E7482" w:rsidRDefault="002E7482" w:rsidP="00E321F3">
      <w:pPr>
        <w:pStyle w:val="Heading2"/>
      </w:pPr>
      <w:bookmarkStart w:id="14" w:name="_Toc345399535"/>
      <w:bookmarkStart w:id="15" w:name="_Toc347997720"/>
      <w:r w:rsidRPr="002E7482">
        <w:t>A7.</w:t>
      </w:r>
      <w:r w:rsidRPr="002E7482">
        <w:tab/>
        <w:t>Special Circumstances Relating to the Guidelines of 5 CFR 1320.5</w:t>
      </w:r>
      <w:bookmarkEnd w:id="14"/>
      <w:bookmarkEnd w:id="15"/>
    </w:p>
    <w:p w:rsidR="002E7482" w:rsidRDefault="002E7482" w:rsidP="00D62C2C">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There are no special circumstances associated with this data collection activity.  This request fully complies with regulation 5 CFR 1320.5.</w:t>
      </w:r>
    </w:p>
    <w:p w:rsidR="002E7482" w:rsidRDefault="002E7482" w:rsidP="00E321F3">
      <w:pPr>
        <w:pStyle w:val="Heading2"/>
      </w:pPr>
      <w:bookmarkStart w:id="16" w:name="_Toc345399536"/>
      <w:bookmarkStart w:id="17" w:name="_Toc347997721"/>
      <w:r w:rsidRPr="002E7482">
        <w:t>A8.</w:t>
      </w:r>
      <w:r w:rsidRPr="002E7482">
        <w:tab/>
        <w:t>Comments in Response to the Federal Register Notice and Efforts to</w:t>
      </w:r>
      <w:r>
        <w:t xml:space="preserve"> </w:t>
      </w:r>
      <w:r w:rsidRPr="002E7482">
        <w:t>Consult Outside the Agency</w:t>
      </w:r>
      <w:bookmarkEnd w:id="16"/>
      <w:bookmarkEnd w:id="17"/>
    </w:p>
    <w:p w:rsidR="00804DA4" w:rsidRDefault="001F5722" w:rsidP="001F5722">
      <w:pPr>
        <w:autoSpaceDE w:val="0"/>
        <w:autoSpaceDN w:val="0"/>
        <w:adjustRightInd w:val="0"/>
        <w:spacing w:after="100" w:afterAutospacing="1" w:line="360" w:lineRule="auto"/>
        <w:ind w:left="720" w:hanging="720"/>
        <w:rPr>
          <w:rFonts w:ascii="Georgia" w:hAnsi="Georgia" w:cs="Courier New"/>
          <w:color w:val="000000"/>
          <w:sz w:val="24"/>
        </w:rPr>
      </w:pPr>
      <w:r>
        <w:rPr>
          <w:rFonts w:ascii="Georgia" w:hAnsi="Georgia" w:cs="Courier New"/>
          <w:color w:val="000000"/>
          <w:sz w:val="24"/>
        </w:rPr>
        <w:t>A.</w:t>
      </w:r>
      <w:r>
        <w:rPr>
          <w:rFonts w:ascii="Georgia" w:hAnsi="Georgia" w:cs="Courier New"/>
          <w:color w:val="000000"/>
          <w:sz w:val="24"/>
        </w:rPr>
        <w:tab/>
      </w:r>
      <w:r w:rsidR="00AD607D">
        <w:rPr>
          <w:rFonts w:ascii="Georgia" w:hAnsi="Georgia" w:cs="Courier New"/>
          <w:color w:val="000000"/>
          <w:sz w:val="24"/>
        </w:rPr>
        <w:t>A</w:t>
      </w:r>
      <w:r w:rsidR="002E7482">
        <w:rPr>
          <w:rFonts w:ascii="Georgia" w:hAnsi="Georgia" w:cs="Courier New"/>
          <w:color w:val="000000"/>
          <w:sz w:val="24"/>
        </w:rPr>
        <w:t xml:space="preserve"> 60-day </w:t>
      </w:r>
      <w:r w:rsidR="00AD607D">
        <w:rPr>
          <w:rFonts w:ascii="Georgia" w:hAnsi="Georgia" w:cs="Courier New"/>
          <w:color w:val="000000"/>
          <w:sz w:val="24"/>
        </w:rPr>
        <w:t xml:space="preserve">Federal Register </w:t>
      </w:r>
      <w:r w:rsidR="002E7482">
        <w:rPr>
          <w:rFonts w:ascii="Georgia" w:hAnsi="Georgia" w:cs="Courier New"/>
          <w:color w:val="000000"/>
          <w:sz w:val="24"/>
        </w:rPr>
        <w:t>Notice</w:t>
      </w:r>
      <w:r w:rsidR="000D2E5F">
        <w:rPr>
          <w:rFonts w:ascii="Georgia" w:hAnsi="Georgia" w:cs="Courier New"/>
          <w:color w:val="000000"/>
          <w:sz w:val="24"/>
        </w:rPr>
        <w:t xml:space="preserve"> </w:t>
      </w:r>
      <w:r w:rsidR="00BE6ECF">
        <w:rPr>
          <w:rFonts w:ascii="Georgia" w:hAnsi="Georgia" w:cs="Courier New"/>
          <w:color w:val="000000"/>
          <w:sz w:val="24"/>
        </w:rPr>
        <w:t>was</w:t>
      </w:r>
      <w:r w:rsidR="004A69AE" w:rsidRPr="004A69AE">
        <w:rPr>
          <w:rFonts w:ascii="Georgia" w:hAnsi="Georgia" w:cs="Courier New"/>
          <w:color w:val="000000"/>
          <w:sz w:val="24"/>
        </w:rPr>
        <w:t xml:space="preserve"> published</w:t>
      </w:r>
      <w:r w:rsidR="004A69AE">
        <w:rPr>
          <w:rFonts w:ascii="Georgia" w:hAnsi="Georgia" w:cs="Courier New"/>
          <w:color w:val="000000"/>
          <w:sz w:val="24"/>
        </w:rPr>
        <w:t xml:space="preserve"> in the </w:t>
      </w:r>
      <w:r w:rsidR="004A69AE" w:rsidRPr="00AD607D">
        <w:rPr>
          <w:rFonts w:ascii="Georgia" w:hAnsi="Georgia" w:cs="Courier New"/>
          <w:i/>
          <w:color w:val="000000"/>
          <w:sz w:val="24"/>
        </w:rPr>
        <w:t>Federal Register</w:t>
      </w:r>
      <w:r w:rsidR="004A69AE">
        <w:rPr>
          <w:rFonts w:ascii="Georgia" w:hAnsi="Georgia" w:cs="Courier New"/>
          <w:color w:val="000000"/>
          <w:sz w:val="24"/>
        </w:rPr>
        <w:t xml:space="preserve"> </w:t>
      </w:r>
      <w:r w:rsidR="00BE6ECF">
        <w:rPr>
          <w:rFonts w:ascii="Georgia" w:hAnsi="Georgia" w:cs="Courier New"/>
          <w:color w:val="000000"/>
          <w:sz w:val="24"/>
        </w:rPr>
        <w:t>on September 20, 2012</w:t>
      </w:r>
      <w:r w:rsidR="00AD607D">
        <w:rPr>
          <w:rFonts w:ascii="Georgia" w:hAnsi="Georgia" w:cs="Courier New"/>
          <w:color w:val="000000"/>
          <w:sz w:val="24"/>
        </w:rPr>
        <w:t>, vol. 77, No. 183, pp.58396-58397</w:t>
      </w:r>
      <w:r w:rsidR="000D2E5F">
        <w:rPr>
          <w:rFonts w:ascii="Georgia" w:hAnsi="Georgia" w:cs="Courier New"/>
          <w:color w:val="000000"/>
          <w:sz w:val="24"/>
        </w:rPr>
        <w:t xml:space="preserve"> (see </w:t>
      </w:r>
      <w:r w:rsidR="000D2E5F" w:rsidRPr="000D2E5F">
        <w:rPr>
          <w:rFonts w:ascii="Georgia" w:hAnsi="Georgia" w:cs="Courier New"/>
          <w:b/>
          <w:color w:val="000000"/>
          <w:sz w:val="24"/>
        </w:rPr>
        <w:t>Attachment B</w:t>
      </w:r>
      <w:r w:rsidR="000D2E5F">
        <w:rPr>
          <w:rFonts w:ascii="Georgia" w:hAnsi="Georgia" w:cs="Courier New"/>
          <w:color w:val="000000"/>
          <w:sz w:val="24"/>
        </w:rPr>
        <w:t>)</w:t>
      </w:r>
      <w:r w:rsidR="00BE6ECF">
        <w:rPr>
          <w:rFonts w:ascii="Georgia" w:hAnsi="Georgia" w:cs="Courier New"/>
          <w:color w:val="000000"/>
          <w:sz w:val="24"/>
        </w:rPr>
        <w:t xml:space="preserve">. </w:t>
      </w:r>
      <w:r w:rsidR="00AD607D">
        <w:rPr>
          <w:rFonts w:ascii="Georgia" w:hAnsi="Georgia" w:cs="Courier New"/>
          <w:color w:val="000000"/>
          <w:sz w:val="24"/>
        </w:rPr>
        <w:t>There were no public comments.</w:t>
      </w:r>
    </w:p>
    <w:p w:rsidR="00804DA4" w:rsidRDefault="001F5722" w:rsidP="001F5722">
      <w:pPr>
        <w:autoSpaceDE w:val="0"/>
        <w:autoSpaceDN w:val="0"/>
        <w:adjustRightInd w:val="0"/>
        <w:spacing w:after="100" w:afterAutospacing="1" w:line="360" w:lineRule="auto"/>
        <w:ind w:left="720" w:hanging="720"/>
        <w:rPr>
          <w:rFonts w:ascii="Georgia" w:hAnsi="Georgia" w:cs="Courier New"/>
          <w:color w:val="000000"/>
          <w:sz w:val="24"/>
        </w:rPr>
      </w:pPr>
      <w:r>
        <w:rPr>
          <w:rFonts w:ascii="Georgia" w:hAnsi="Georgia" w:cs="Courier New"/>
          <w:color w:val="000000"/>
          <w:sz w:val="24"/>
        </w:rPr>
        <w:t>B.</w:t>
      </w:r>
      <w:r>
        <w:rPr>
          <w:rFonts w:ascii="Georgia" w:hAnsi="Georgia" w:cs="Courier New"/>
          <w:color w:val="000000"/>
          <w:sz w:val="24"/>
        </w:rPr>
        <w:tab/>
      </w:r>
      <w:r w:rsidR="00804DA4">
        <w:rPr>
          <w:rFonts w:ascii="Georgia" w:hAnsi="Georgia" w:cs="Courier New"/>
          <w:color w:val="000000"/>
          <w:sz w:val="24"/>
        </w:rPr>
        <w:t xml:space="preserve">As part of the NIOSH peer review process, in 2012, the protocol, including the data </w:t>
      </w:r>
      <w:r w:rsidR="003C2808">
        <w:rPr>
          <w:rFonts w:ascii="Georgia" w:hAnsi="Georgia" w:cs="Courier New"/>
          <w:color w:val="000000"/>
          <w:sz w:val="24"/>
        </w:rPr>
        <w:t>collection instrument</w:t>
      </w:r>
      <w:r w:rsidR="00804DA4">
        <w:rPr>
          <w:rFonts w:ascii="Georgia" w:hAnsi="Georgia" w:cs="Courier New"/>
          <w:color w:val="000000"/>
          <w:sz w:val="24"/>
        </w:rPr>
        <w:t xml:space="preserve">, was peer reviewed by: </w:t>
      </w:r>
    </w:p>
    <w:p w:rsidR="00804DA4" w:rsidRDefault="00804DA4" w:rsidP="00804DA4">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(1)</w:t>
      </w:r>
      <w:r>
        <w:rPr>
          <w:rFonts w:ascii="Georgia" w:hAnsi="Georgia" w:cs="Courier New"/>
          <w:color w:val="000000"/>
          <w:sz w:val="24"/>
        </w:rPr>
        <w:tab/>
      </w:r>
      <w:r w:rsidRPr="00804DA4">
        <w:rPr>
          <w:rFonts w:ascii="Georgia" w:hAnsi="Georgia" w:cs="Courier New"/>
          <w:color w:val="000000"/>
          <w:sz w:val="24"/>
        </w:rPr>
        <w:t>Sara Brenner, MD, MPH</w:t>
      </w:r>
    </w:p>
    <w:p w:rsidR="00804DA4" w:rsidRDefault="00804DA4" w:rsidP="00804DA4">
      <w:pPr>
        <w:autoSpaceDE w:val="0"/>
        <w:autoSpaceDN w:val="0"/>
        <w:adjustRightInd w:val="0"/>
        <w:spacing w:after="0" w:line="240" w:lineRule="auto"/>
        <w:ind w:firstLine="720"/>
        <w:rPr>
          <w:rFonts w:ascii="Georgia" w:hAnsi="Georgia" w:cs="Courier New"/>
          <w:color w:val="000000"/>
          <w:sz w:val="24"/>
        </w:rPr>
      </w:pPr>
      <w:r>
        <w:rPr>
          <w:rFonts w:ascii="Georgia" w:hAnsi="Georgia" w:cs="Courier New"/>
          <w:color w:val="000000"/>
          <w:sz w:val="24"/>
        </w:rPr>
        <w:t>Assistant Vice President for NanoHealth Initiatives and Assistant Professor</w:t>
      </w:r>
    </w:p>
    <w:p w:rsidR="00804DA4" w:rsidRDefault="00804DA4" w:rsidP="00804DA4">
      <w:pPr>
        <w:autoSpaceDE w:val="0"/>
        <w:autoSpaceDN w:val="0"/>
        <w:adjustRightInd w:val="0"/>
        <w:spacing w:after="0" w:line="240" w:lineRule="auto"/>
        <w:ind w:firstLine="720"/>
        <w:rPr>
          <w:rFonts w:ascii="Georgia" w:hAnsi="Georgia" w:cs="Courier New"/>
          <w:color w:val="000000"/>
          <w:sz w:val="24"/>
        </w:rPr>
      </w:pPr>
      <w:r w:rsidRPr="00804DA4">
        <w:rPr>
          <w:rFonts w:ascii="Georgia" w:hAnsi="Georgia" w:cs="Courier New"/>
          <w:color w:val="000000"/>
          <w:sz w:val="24"/>
        </w:rPr>
        <w:t>University of Albany College of Na</w:t>
      </w:r>
      <w:r>
        <w:rPr>
          <w:rFonts w:ascii="Georgia" w:hAnsi="Georgia" w:cs="Courier New"/>
          <w:color w:val="000000"/>
          <w:sz w:val="24"/>
        </w:rPr>
        <w:t>noscale Science and Engineering</w:t>
      </w:r>
    </w:p>
    <w:p w:rsidR="006102E9" w:rsidRPr="006102E9" w:rsidRDefault="006102E9" w:rsidP="006102E9">
      <w:pPr>
        <w:autoSpaceDE w:val="0"/>
        <w:autoSpaceDN w:val="0"/>
        <w:adjustRightInd w:val="0"/>
        <w:spacing w:after="0" w:line="240" w:lineRule="auto"/>
        <w:ind w:firstLine="720"/>
        <w:rPr>
          <w:rFonts w:ascii="Georgia" w:hAnsi="Georgia" w:cs="Courier New"/>
          <w:color w:val="000000"/>
          <w:sz w:val="24"/>
        </w:rPr>
      </w:pPr>
      <w:r w:rsidRPr="006102E9">
        <w:rPr>
          <w:rFonts w:ascii="Georgia" w:hAnsi="Georgia" w:cs="Courier New"/>
          <w:color w:val="000000"/>
          <w:sz w:val="24"/>
        </w:rPr>
        <w:t>NanoFab East</w:t>
      </w:r>
    </w:p>
    <w:p w:rsidR="006102E9" w:rsidRPr="006102E9" w:rsidRDefault="006102E9" w:rsidP="006102E9">
      <w:pPr>
        <w:autoSpaceDE w:val="0"/>
        <w:autoSpaceDN w:val="0"/>
        <w:adjustRightInd w:val="0"/>
        <w:spacing w:after="0" w:line="240" w:lineRule="auto"/>
        <w:ind w:firstLine="720"/>
        <w:rPr>
          <w:rFonts w:ascii="Georgia" w:hAnsi="Georgia" w:cs="Courier New"/>
          <w:color w:val="000000"/>
          <w:sz w:val="24"/>
        </w:rPr>
      </w:pPr>
      <w:r w:rsidRPr="006102E9">
        <w:rPr>
          <w:rFonts w:ascii="Georgia" w:hAnsi="Georgia" w:cs="Courier New"/>
          <w:color w:val="000000"/>
          <w:sz w:val="24"/>
        </w:rPr>
        <w:t>257 Fuller Road, Rm 4406</w:t>
      </w:r>
    </w:p>
    <w:p w:rsidR="006102E9" w:rsidRDefault="006102E9" w:rsidP="006102E9">
      <w:pPr>
        <w:autoSpaceDE w:val="0"/>
        <w:autoSpaceDN w:val="0"/>
        <w:adjustRightInd w:val="0"/>
        <w:spacing w:after="0" w:line="240" w:lineRule="auto"/>
        <w:ind w:firstLine="720"/>
        <w:rPr>
          <w:rFonts w:ascii="Georgia" w:hAnsi="Georgia" w:cs="Courier New"/>
          <w:color w:val="000000"/>
          <w:sz w:val="24"/>
        </w:rPr>
      </w:pPr>
      <w:r w:rsidRPr="006102E9">
        <w:rPr>
          <w:rFonts w:ascii="Georgia" w:hAnsi="Georgia" w:cs="Courier New"/>
          <w:color w:val="000000"/>
          <w:sz w:val="24"/>
        </w:rPr>
        <w:t>Albany, NY 12203</w:t>
      </w:r>
    </w:p>
    <w:p w:rsidR="006102E9" w:rsidRDefault="006102E9" w:rsidP="006102E9">
      <w:pPr>
        <w:autoSpaceDE w:val="0"/>
        <w:autoSpaceDN w:val="0"/>
        <w:adjustRightInd w:val="0"/>
        <w:spacing w:after="0" w:line="240" w:lineRule="auto"/>
        <w:ind w:firstLine="720"/>
        <w:rPr>
          <w:rFonts w:ascii="Georgia" w:hAnsi="Georgia" w:cs="Courier New"/>
          <w:color w:val="000000"/>
          <w:sz w:val="24"/>
        </w:rPr>
      </w:pPr>
      <w:r w:rsidRPr="006102E9">
        <w:rPr>
          <w:rFonts w:ascii="Georgia" w:hAnsi="Georgia" w:cs="Courier New"/>
          <w:color w:val="000000"/>
          <w:sz w:val="24"/>
        </w:rPr>
        <w:t>518.956.7224</w:t>
      </w:r>
    </w:p>
    <w:p w:rsidR="00804DA4" w:rsidRDefault="000F3F8D" w:rsidP="006102E9">
      <w:pPr>
        <w:autoSpaceDE w:val="0"/>
        <w:autoSpaceDN w:val="0"/>
        <w:adjustRightInd w:val="0"/>
        <w:spacing w:after="0" w:line="240" w:lineRule="auto"/>
        <w:ind w:firstLine="720"/>
        <w:rPr>
          <w:rFonts w:ascii="Georgia" w:hAnsi="Georgia" w:cs="Courier New"/>
          <w:color w:val="000000"/>
          <w:sz w:val="24"/>
        </w:rPr>
      </w:pPr>
      <w:hyperlink r:id="rId13" w:history="1">
        <w:r w:rsidR="006102E9" w:rsidRPr="00513747">
          <w:rPr>
            <w:rStyle w:val="Hyperlink"/>
            <w:rFonts w:ascii="Georgia" w:hAnsi="Georgia" w:cs="Courier New"/>
            <w:sz w:val="24"/>
          </w:rPr>
          <w:t>sbrenner@albany.edu</w:t>
        </w:r>
      </w:hyperlink>
    </w:p>
    <w:p w:rsidR="006102E9" w:rsidRDefault="006102E9" w:rsidP="006102E9">
      <w:pPr>
        <w:autoSpaceDE w:val="0"/>
        <w:autoSpaceDN w:val="0"/>
        <w:adjustRightInd w:val="0"/>
        <w:spacing w:after="0" w:line="240" w:lineRule="auto"/>
        <w:ind w:firstLine="720"/>
        <w:rPr>
          <w:rFonts w:ascii="Georgia" w:hAnsi="Georgia" w:cs="Courier New"/>
          <w:color w:val="000000"/>
          <w:sz w:val="24"/>
        </w:rPr>
      </w:pPr>
    </w:p>
    <w:p w:rsidR="00804DA4" w:rsidRDefault="006102E9" w:rsidP="006102E9">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(2)</w:t>
      </w:r>
      <w:r>
        <w:rPr>
          <w:rFonts w:ascii="Georgia" w:hAnsi="Georgia" w:cs="Courier New"/>
          <w:color w:val="000000"/>
          <w:sz w:val="24"/>
        </w:rPr>
        <w:tab/>
        <w:t>James Lockey, MD, MS</w:t>
      </w:r>
    </w:p>
    <w:p w:rsidR="006102E9" w:rsidRDefault="006102E9" w:rsidP="006102E9">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ab/>
      </w:r>
      <w:r w:rsidRPr="006102E9">
        <w:rPr>
          <w:rFonts w:ascii="Georgia" w:hAnsi="Georgia" w:cs="Courier New"/>
          <w:color w:val="000000"/>
          <w:sz w:val="24"/>
        </w:rPr>
        <w:t xml:space="preserve">Professor of Occupational, Environmental and Pulmonary </w:t>
      </w:r>
      <w:r>
        <w:rPr>
          <w:rFonts w:ascii="Georgia" w:hAnsi="Georgia" w:cs="Courier New"/>
          <w:color w:val="000000"/>
          <w:sz w:val="24"/>
        </w:rPr>
        <w:t>M</w:t>
      </w:r>
      <w:r w:rsidRPr="006102E9">
        <w:rPr>
          <w:rFonts w:ascii="Georgia" w:hAnsi="Georgia" w:cs="Courier New"/>
          <w:color w:val="000000"/>
          <w:sz w:val="24"/>
        </w:rPr>
        <w:t>edicine</w:t>
      </w:r>
    </w:p>
    <w:p w:rsidR="006102E9" w:rsidRDefault="006102E9" w:rsidP="006102E9">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ab/>
        <w:t>University of Cincinnati Department of Environmental Health</w:t>
      </w:r>
    </w:p>
    <w:p w:rsidR="006102E9" w:rsidRDefault="006102E9" w:rsidP="006102E9">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ab/>
        <w:t>Kettering Laboratory</w:t>
      </w:r>
    </w:p>
    <w:p w:rsidR="006102E9" w:rsidRDefault="006102E9" w:rsidP="006102E9">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ab/>
        <w:t>3223 Eden Ave</w:t>
      </w:r>
    </w:p>
    <w:p w:rsidR="006102E9" w:rsidRDefault="006102E9" w:rsidP="006102E9">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ab/>
        <w:t>Cincinnati, OH 45267</w:t>
      </w:r>
    </w:p>
    <w:p w:rsidR="006102E9" w:rsidRDefault="006102E9" w:rsidP="006102E9">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ab/>
      </w:r>
      <w:r w:rsidRPr="006102E9">
        <w:rPr>
          <w:rFonts w:ascii="Georgia" w:hAnsi="Georgia" w:cs="Courier New"/>
          <w:color w:val="000000"/>
          <w:sz w:val="24"/>
        </w:rPr>
        <w:t>513</w:t>
      </w:r>
      <w:r>
        <w:rPr>
          <w:rFonts w:ascii="Georgia" w:hAnsi="Georgia" w:cs="Courier New"/>
          <w:color w:val="000000"/>
          <w:sz w:val="24"/>
        </w:rPr>
        <w:t>.</w:t>
      </w:r>
      <w:r w:rsidRPr="006102E9">
        <w:rPr>
          <w:rFonts w:ascii="Georgia" w:hAnsi="Georgia" w:cs="Courier New"/>
          <w:color w:val="000000"/>
          <w:sz w:val="24"/>
        </w:rPr>
        <w:t>558</w:t>
      </w:r>
      <w:r>
        <w:rPr>
          <w:rFonts w:ascii="Georgia" w:hAnsi="Georgia" w:cs="Courier New"/>
          <w:color w:val="000000"/>
          <w:sz w:val="24"/>
        </w:rPr>
        <w:t>.</w:t>
      </w:r>
      <w:r w:rsidRPr="006102E9">
        <w:rPr>
          <w:rFonts w:ascii="Georgia" w:hAnsi="Georgia" w:cs="Courier New"/>
          <w:color w:val="000000"/>
          <w:sz w:val="24"/>
        </w:rPr>
        <w:t>0030</w:t>
      </w:r>
    </w:p>
    <w:p w:rsidR="006102E9" w:rsidRDefault="006102E9" w:rsidP="006102E9">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ab/>
      </w:r>
      <w:hyperlink r:id="rId14" w:history="1">
        <w:r w:rsidRPr="00513747">
          <w:rPr>
            <w:rStyle w:val="Hyperlink"/>
            <w:rFonts w:ascii="Georgia" w:hAnsi="Georgia" w:cs="Courier New"/>
            <w:sz w:val="24"/>
          </w:rPr>
          <w:t>lockeyje@ucmail.uc.edu</w:t>
        </w:r>
      </w:hyperlink>
    </w:p>
    <w:p w:rsidR="006102E9" w:rsidRDefault="006102E9" w:rsidP="006102E9">
      <w:pPr>
        <w:autoSpaceDE w:val="0"/>
        <w:autoSpaceDN w:val="0"/>
        <w:adjustRightInd w:val="0"/>
        <w:spacing w:after="0" w:line="240" w:lineRule="auto"/>
        <w:rPr>
          <w:rFonts w:ascii="Georgia" w:hAnsi="Georgia" w:cs="Courier New"/>
          <w:color w:val="000000"/>
          <w:sz w:val="24"/>
        </w:rPr>
      </w:pPr>
    </w:p>
    <w:p w:rsidR="006102E9" w:rsidRDefault="006102E9" w:rsidP="006102E9">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(3)</w:t>
      </w:r>
      <w:r>
        <w:rPr>
          <w:rFonts w:ascii="Georgia" w:hAnsi="Georgia" w:cs="Courier New"/>
          <w:color w:val="000000"/>
          <w:sz w:val="24"/>
        </w:rPr>
        <w:tab/>
        <w:t>Thomas M. Peters, PhD</w:t>
      </w:r>
      <w:r w:rsidR="00A735FA">
        <w:rPr>
          <w:rFonts w:ascii="Georgia" w:hAnsi="Georgia" w:cs="Courier New"/>
          <w:color w:val="000000"/>
          <w:sz w:val="24"/>
        </w:rPr>
        <w:t>, MS, CIH</w:t>
      </w:r>
    </w:p>
    <w:p w:rsidR="006102E9" w:rsidRDefault="006102E9" w:rsidP="006102E9">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ab/>
      </w:r>
      <w:r w:rsidR="00A735FA">
        <w:rPr>
          <w:rFonts w:ascii="Georgia" w:hAnsi="Georgia" w:cs="Courier New"/>
          <w:color w:val="000000"/>
          <w:sz w:val="24"/>
        </w:rPr>
        <w:t xml:space="preserve">Associate </w:t>
      </w:r>
      <w:r>
        <w:rPr>
          <w:rFonts w:ascii="Georgia" w:hAnsi="Georgia" w:cs="Courier New"/>
          <w:color w:val="000000"/>
          <w:sz w:val="24"/>
        </w:rPr>
        <w:t>Professor</w:t>
      </w:r>
    </w:p>
    <w:p w:rsidR="006102E9" w:rsidRDefault="006102E9" w:rsidP="006102E9">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ab/>
        <w:t>University of Iowa School of Public Health</w:t>
      </w:r>
    </w:p>
    <w:p w:rsidR="00A735FA" w:rsidRDefault="00A735FA" w:rsidP="006102E9">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ab/>
        <w:t>Department of Occupational and Environmental Health</w:t>
      </w:r>
    </w:p>
    <w:p w:rsidR="006102E9" w:rsidRDefault="006102E9" w:rsidP="006102E9">
      <w:pPr>
        <w:autoSpaceDE w:val="0"/>
        <w:autoSpaceDN w:val="0"/>
        <w:adjustRightInd w:val="0"/>
        <w:spacing w:after="0" w:line="240" w:lineRule="auto"/>
        <w:ind w:firstLine="720"/>
        <w:rPr>
          <w:rFonts w:ascii="Georgia" w:hAnsi="Georgia" w:cs="Courier New"/>
          <w:color w:val="000000"/>
          <w:sz w:val="24"/>
        </w:rPr>
      </w:pPr>
      <w:r>
        <w:rPr>
          <w:rFonts w:ascii="Georgia" w:hAnsi="Georgia" w:cs="Courier New"/>
          <w:color w:val="000000"/>
          <w:sz w:val="24"/>
        </w:rPr>
        <w:t xml:space="preserve">CPHB </w:t>
      </w:r>
      <w:r w:rsidR="00A735FA">
        <w:rPr>
          <w:rFonts w:ascii="Georgia" w:hAnsi="Georgia" w:cs="Courier New"/>
          <w:color w:val="000000"/>
          <w:sz w:val="24"/>
        </w:rPr>
        <w:t>S</w:t>
      </w:r>
      <w:r>
        <w:rPr>
          <w:rFonts w:ascii="Georgia" w:hAnsi="Georgia" w:cs="Courier New"/>
          <w:color w:val="000000"/>
          <w:sz w:val="24"/>
        </w:rPr>
        <w:t>331</w:t>
      </w:r>
    </w:p>
    <w:p w:rsidR="00A735FA" w:rsidRPr="00A735FA" w:rsidRDefault="006102E9" w:rsidP="00A735FA">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tab/>
      </w:r>
      <w:r w:rsidR="00A735FA" w:rsidRPr="00A735FA">
        <w:rPr>
          <w:rFonts w:ascii="Georgia" w:hAnsi="Georgia" w:cs="Courier New"/>
          <w:color w:val="000000"/>
          <w:sz w:val="24"/>
        </w:rPr>
        <w:t>105 River Street</w:t>
      </w:r>
    </w:p>
    <w:p w:rsidR="00A735FA" w:rsidRDefault="00A735FA" w:rsidP="00A735FA">
      <w:pPr>
        <w:autoSpaceDE w:val="0"/>
        <w:autoSpaceDN w:val="0"/>
        <w:adjustRightInd w:val="0"/>
        <w:spacing w:after="0" w:line="240" w:lineRule="auto"/>
        <w:ind w:firstLine="720"/>
        <w:rPr>
          <w:rFonts w:ascii="Georgia" w:hAnsi="Georgia" w:cs="Courier New"/>
          <w:color w:val="000000"/>
          <w:sz w:val="24"/>
        </w:rPr>
      </w:pPr>
      <w:r w:rsidRPr="00A735FA">
        <w:rPr>
          <w:rFonts w:ascii="Georgia" w:hAnsi="Georgia" w:cs="Courier New"/>
          <w:color w:val="000000"/>
          <w:sz w:val="24"/>
        </w:rPr>
        <w:t>Iowa City, IA 52242</w:t>
      </w:r>
    </w:p>
    <w:p w:rsidR="006102E9" w:rsidRDefault="006102E9" w:rsidP="00A735FA">
      <w:pPr>
        <w:autoSpaceDE w:val="0"/>
        <w:autoSpaceDN w:val="0"/>
        <w:adjustRightInd w:val="0"/>
        <w:spacing w:after="0" w:line="240" w:lineRule="auto"/>
        <w:ind w:firstLine="720"/>
        <w:rPr>
          <w:rFonts w:ascii="Georgia" w:hAnsi="Georgia" w:cs="Courier New"/>
          <w:color w:val="000000"/>
          <w:sz w:val="24"/>
        </w:rPr>
      </w:pPr>
      <w:r>
        <w:rPr>
          <w:rFonts w:ascii="Georgia" w:hAnsi="Georgia" w:cs="Courier New"/>
          <w:color w:val="000000"/>
          <w:sz w:val="24"/>
        </w:rPr>
        <w:t>319.335.4436</w:t>
      </w:r>
    </w:p>
    <w:p w:rsidR="006102E9" w:rsidRDefault="006102E9" w:rsidP="006102E9">
      <w:pPr>
        <w:autoSpaceDE w:val="0"/>
        <w:autoSpaceDN w:val="0"/>
        <w:adjustRightInd w:val="0"/>
        <w:spacing w:after="0" w:line="240" w:lineRule="auto"/>
        <w:rPr>
          <w:rFonts w:ascii="Georgia" w:hAnsi="Georgia" w:cs="Courier New"/>
          <w:color w:val="000000"/>
          <w:sz w:val="24"/>
        </w:rPr>
      </w:pPr>
      <w:r>
        <w:rPr>
          <w:rFonts w:ascii="Georgia" w:hAnsi="Georgia" w:cs="Courier New"/>
          <w:color w:val="000000"/>
          <w:sz w:val="24"/>
        </w:rPr>
        <w:lastRenderedPageBreak/>
        <w:tab/>
        <w:t>Thomas-m-peters@uiowa.edu</w:t>
      </w:r>
    </w:p>
    <w:p w:rsidR="006102E9" w:rsidRDefault="006102E9" w:rsidP="00D62C2C">
      <w:pPr>
        <w:autoSpaceDE w:val="0"/>
        <w:autoSpaceDN w:val="0"/>
        <w:adjustRightInd w:val="0"/>
        <w:spacing w:after="100" w:afterAutospacing="1" w:line="360" w:lineRule="auto"/>
        <w:rPr>
          <w:rFonts w:ascii="Georgia" w:hAnsi="Georgia" w:cs="Courier New"/>
          <w:color w:val="000000"/>
          <w:sz w:val="24"/>
        </w:rPr>
      </w:pPr>
    </w:p>
    <w:p w:rsidR="004A69AE" w:rsidRDefault="00A735FA" w:rsidP="00D62C2C">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As a result of the comments made by these peer reviewers, t</w:t>
      </w:r>
      <w:r w:rsidR="003C2808">
        <w:rPr>
          <w:rFonts w:ascii="Georgia" w:hAnsi="Georgia" w:cs="Courier New"/>
          <w:color w:val="000000"/>
          <w:sz w:val="24"/>
        </w:rPr>
        <w:t xml:space="preserve">he questionnaire has been modified slightly from the version that underwent the 60-day Federal Register Notice, to incorporate questions about specific exposure to diesel exhaust (a potential confounder in the epidemiologic </w:t>
      </w:r>
      <w:r w:rsidR="00ED4222">
        <w:rPr>
          <w:rFonts w:ascii="Georgia" w:hAnsi="Georgia" w:cs="Courier New"/>
          <w:color w:val="000000"/>
          <w:sz w:val="24"/>
        </w:rPr>
        <w:t xml:space="preserve">study) and history of </w:t>
      </w:r>
      <w:r w:rsidR="00A343C0">
        <w:rPr>
          <w:rFonts w:ascii="Georgia" w:hAnsi="Georgia" w:cs="Courier New"/>
          <w:color w:val="000000"/>
          <w:sz w:val="24"/>
        </w:rPr>
        <w:t xml:space="preserve">forms of tobacco use other than smoking and of </w:t>
      </w:r>
      <w:r w:rsidR="00ED4222">
        <w:rPr>
          <w:rFonts w:ascii="Georgia" w:hAnsi="Georgia" w:cs="Courier New"/>
          <w:color w:val="000000"/>
          <w:sz w:val="24"/>
        </w:rPr>
        <w:t>secondhand smoke exposure in</w:t>
      </w:r>
      <w:r w:rsidR="003C2808">
        <w:rPr>
          <w:rFonts w:ascii="Georgia" w:hAnsi="Georgia" w:cs="Courier New"/>
          <w:color w:val="000000"/>
          <w:sz w:val="24"/>
        </w:rPr>
        <w:t xml:space="preserve"> the home.  </w:t>
      </w:r>
    </w:p>
    <w:p w:rsidR="004A69AE" w:rsidRPr="004A69AE" w:rsidRDefault="004A69AE" w:rsidP="00E321F3">
      <w:pPr>
        <w:pStyle w:val="Heading2"/>
      </w:pPr>
      <w:bookmarkStart w:id="18" w:name="_Toc345399537"/>
      <w:bookmarkStart w:id="19" w:name="_Toc347997722"/>
      <w:r w:rsidRPr="004A69AE">
        <w:t>A9.</w:t>
      </w:r>
      <w:r>
        <w:tab/>
      </w:r>
      <w:r w:rsidRPr="004A69AE">
        <w:t xml:space="preserve">  Explanation of Any Payment or Gift to Respondents</w:t>
      </w:r>
      <w:bookmarkEnd w:id="18"/>
      <w:bookmarkEnd w:id="19"/>
    </w:p>
    <w:p w:rsidR="002E7482" w:rsidRDefault="004A69AE" w:rsidP="00D62C2C">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No payments will be offered to survey participants as remuneration for their participation.</w:t>
      </w:r>
      <w:r>
        <w:rPr>
          <w:rFonts w:ascii="Georgia" w:hAnsi="Georgia" w:cs="Courier New"/>
          <w:b/>
          <w:color w:val="000000"/>
          <w:sz w:val="24"/>
        </w:rPr>
        <w:t xml:space="preserve"> </w:t>
      </w:r>
      <w:r w:rsidR="002E7482">
        <w:rPr>
          <w:rFonts w:ascii="Georgia" w:hAnsi="Georgia" w:cs="Courier New"/>
          <w:color w:val="000000"/>
          <w:sz w:val="24"/>
        </w:rPr>
        <w:t xml:space="preserve">  </w:t>
      </w:r>
    </w:p>
    <w:p w:rsidR="004A69AE" w:rsidRDefault="004A69AE" w:rsidP="00E321F3">
      <w:pPr>
        <w:pStyle w:val="Heading2"/>
        <w:rPr>
          <w:rFonts w:cs="Courier New"/>
          <w:b/>
          <w:color w:val="000000"/>
          <w:sz w:val="24"/>
        </w:rPr>
      </w:pPr>
      <w:bookmarkStart w:id="20" w:name="_Toc345399538"/>
      <w:bookmarkStart w:id="21" w:name="_Toc347997723"/>
      <w:r w:rsidRPr="002F1B92">
        <w:rPr>
          <w:rStyle w:val="Heading1Char"/>
        </w:rPr>
        <w:t>A10.</w:t>
      </w:r>
      <w:r w:rsidRPr="002F1B92">
        <w:rPr>
          <w:rStyle w:val="Heading1Char"/>
        </w:rPr>
        <w:tab/>
        <w:t xml:space="preserve">  Assurance of Confidentiality Provided to Respondent</w:t>
      </w:r>
      <w:r w:rsidR="002F1B92">
        <w:rPr>
          <w:rStyle w:val="Heading1Char"/>
        </w:rPr>
        <w:t>s</w:t>
      </w:r>
      <w:bookmarkEnd w:id="20"/>
      <w:bookmarkEnd w:id="21"/>
    </w:p>
    <w:p w:rsidR="00FB3D7C" w:rsidRDefault="00E810F5" w:rsidP="00D62C2C">
      <w:pPr>
        <w:autoSpaceDE w:val="0"/>
        <w:autoSpaceDN w:val="0"/>
        <w:adjustRightInd w:val="0"/>
        <w:spacing w:after="100" w:afterAutospacing="1" w:line="360" w:lineRule="auto"/>
        <w:rPr>
          <w:rFonts w:ascii="Georgia" w:hAnsi="Georgia"/>
          <w:sz w:val="24"/>
          <w:szCs w:val="24"/>
        </w:rPr>
      </w:pPr>
      <w:r>
        <w:rPr>
          <w:rFonts w:ascii="Georgia" w:hAnsi="Georgia"/>
          <w:sz w:val="24"/>
          <w:szCs w:val="24"/>
        </w:rPr>
        <w:t xml:space="preserve">The interview will collect </w:t>
      </w:r>
      <w:r w:rsidR="006C7039">
        <w:rPr>
          <w:rFonts w:ascii="Georgia" w:hAnsi="Georgia"/>
          <w:sz w:val="24"/>
          <w:szCs w:val="24"/>
        </w:rPr>
        <w:t xml:space="preserve">IIF and </w:t>
      </w:r>
      <w:r>
        <w:rPr>
          <w:rFonts w:ascii="Georgia" w:hAnsi="Georgia"/>
          <w:sz w:val="24"/>
          <w:szCs w:val="24"/>
        </w:rPr>
        <w:t xml:space="preserve">potentially sensitive information about health status.  </w:t>
      </w:r>
      <w:r w:rsidR="00D25AE7">
        <w:rPr>
          <w:rFonts w:ascii="Georgia" w:hAnsi="Georgia"/>
          <w:sz w:val="24"/>
          <w:szCs w:val="24"/>
        </w:rPr>
        <w:t xml:space="preserve">NIOSH has extensive systems in place to protect </w:t>
      </w:r>
      <w:r w:rsidR="006C7039">
        <w:rPr>
          <w:rFonts w:ascii="Georgia" w:hAnsi="Georgia"/>
          <w:sz w:val="24"/>
          <w:szCs w:val="24"/>
        </w:rPr>
        <w:t>IIF</w:t>
      </w:r>
      <w:r w:rsidR="00D25AE7">
        <w:rPr>
          <w:rFonts w:ascii="Georgia" w:hAnsi="Georgia"/>
          <w:sz w:val="24"/>
          <w:szCs w:val="24"/>
        </w:rPr>
        <w:t xml:space="preserve"> collected for its many health studies.</w:t>
      </w:r>
      <w:r>
        <w:rPr>
          <w:rFonts w:ascii="Georgia" w:hAnsi="Georgia"/>
          <w:sz w:val="24"/>
          <w:szCs w:val="24"/>
        </w:rPr>
        <w:t xml:space="preserve"> </w:t>
      </w:r>
      <w:r w:rsidR="00BC4D74">
        <w:rPr>
          <w:rFonts w:ascii="Georgia" w:hAnsi="Georgia"/>
          <w:sz w:val="24"/>
          <w:szCs w:val="24"/>
        </w:rPr>
        <w:t>Respondents</w:t>
      </w:r>
      <w:r>
        <w:rPr>
          <w:rFonts w:ascii="Georgia" w:hAnsi="Georgia"/>
          <w:sz w:val="24"/>
          <w:szCs w:val="24"/>
        </w:rPr>
        <w:t xml:space="preserve"> will be informed that their p</w:t>
      </w:r>
      <w:r w:rsidR="00FB3D7C">
        <w:rPr>
          <w:rFonts w:ascii="Georgia" w:hAnsi="Georgia"/>
          <w:sz w:val="24"/>
          <w:szCs w:val="24"/>
        </w:rPr>
        <w:t xml:space="preserve">articipation in this study is voluntary and </w:t>
      </w:r>
      <w:r>
        <w:rPr>
          <w:rFonts w:ascii="Georgia" w:hAnsi="Georgia"/>
          <w:sz w:val="24"/>
          <w:szCs w:val="24"/>
        </w:rPr>
        <w:t xml:space="preserve">that they may </w:t>
      </w:r>
      <w:r w:rsidR="00FB3D7C">
        <w:rPr>
          <w:rFonts w:ascii="Georgia" w:hAnsi="Georgia"/>
          <w:sz w:val="24"/>
          <w:szCs w:val="24"/>
        </w:rPr>
        <w:t xml:space="preserve">withdraw consent and </w:t>
      </w:r>
      <w:r>
        <w:rPr>
          <w:rFonts w:ascii="Georgia" w:hAnsi="Georgia"/>
          <w:sz w:val="24"/>
          <w:szCs w:val="24"/>
        </w:rPr>
        <w:t xml:space="preserve">discontinue </w:t>
      </w:r>
      <w:r w:rsidR="00FB3D7C">
        <w:rPr>
          <w:rFonts w:ascii="Georgia" w:hAnsi="Georgia"/>
          <w:sz w:val="24"/>
          <w:szCs w:val="24"/>
        </w:rPr>
        <w:t>participation in this study at any time without penalty or loss of benefits to which they are otherwise entitled.  CDC</w:t>
      </w:r>
      <w:r w:rsidR="001F5722">
        <w:rPr>
          <w:rFonts w:ascii="Georgia" w:hAnsi="Georgia"/>
          <w:sz w:val="24"/>
          <w:szCs w:val="24"/>
        </w:rPr>
        <w:t>/NIOSH</w:t>
      </w:r>
      <w:r w:rsidR="00FB3D7C">
        <w:rPr>
          <w:rFonts w:ascii="Georgia" w:hAnsi="Georgia"/>
          <w:sz w:val="24"/>
          <w:szCs w:val="24"/>
        </w:rPr>
        <w:t xml:space="preserve"> </w:t>
      </w:r>
      <w:r w:rsidR="00FB3D7C" w:rsidRPr="00FB3D7C">
        <w:rPr>
          <w:rFonts w:ascii="Georgia" w:hAnsi="Georgia"/>
          <w:sz w:val="24"/>
          <w:szCs w:val="24"/>
        </w:rPr>
        <w:t xml:space="preserve">is authorized to collect this information, including </w:t>
      </w:r>
      <w:r w:rsidR="00FB3D7C">
        <w:rPr>
          <w:rFonts w:ascii="Georgia" w:hAnsi="Georgia"/>
          <w:sz w:val="24"/>
          <w:szCs w:val="24"/>
        </w:rPr>
        <w:t xml:space="preserve">the </w:t>
      </w:r>
      <w:r w:rsidR="00FB3D7C" w:rsidRPr="00FB3D7C">
        <w:rPr>
          <w:rFonts w:ascii="Georgia" w:hAnsi="Georgia"/>
          <w:sz w:val="24"/>
          <w:szCs w:val="24"/>
        </w:rPr>
        <w:t xml:space="preserve">social security number, under provisions of the Public Service Act, Section 301 (42 U.S.C. 241); Occupational Safety and Health Act, Section 20 (29 U.S.C. 669). The information </w:t>
      </w:r>
      <w:r w:rsidR="00FB3D7C">
        <w:rPr>
          <w:rFonts w:ascii="Georgia" w:hAnsi="Georgia"/>
          <w:sz w:val="24"/>
          <w:szCs w:val="24"/>
        </w:rPr>
        <w:t xml:space="preserve">supplied by participants </w:t>
      </w:r>
      <w:r w:rsidR="00FB3D7C" w:rsidRPr="00FB3D7C">
        <w:rPr>
          <w:rFonts w:ascii="Georgia" w:hAnsi="Georgia"/>
          <w:sz w:val="24"/>
          <w:szCs w:val="24"/>
        </w:rPr>
        <w:t xml:space="preserve">is voluntary and there is no penalty for not providing it. The data will be used to evaluate associations of pulmonary and cardiovascular disease and other health effects and exposure to carbon nanotubes and carbon nanofibers. </w:t>
      </w:r>
      <w:r>
        <w:rPr>
          <w:rFonts w:ascii="Georgia" w:hAnsi="Georgia"/>
          <w:sz w:val="24"/>
          <w:szCs w:val="24"/>
        </w:rPr>
        <w:t xml:space="preserve"> </w:t>
      </w:r>
      <w:r w:rsidR="00FB3D7C" w:rsidRPr="00FB3D7C">
        <w:rPr>
          <w:rFonts w:ascii="Georgia" w:hAnsi="Georgia"/>
          <w:sz w:val="24"/>
          <w:szCs w:val="24"/>
        </w:rPr>
        <w:t>Data will become part of CDC Privacy Act system 09-20-0147, "Occupational Health Epidemiological Studies</w:t>
      </w:r>
      <w:r w:rsidR="001D0EAD">
        <w:rPr>
          <w:rFonts w:ascii="Georgia" w:hAnsi="Georgia"/>
          <w:sz w:val="24"/>
          <w:szCs w:val="24"/>
        </w:rPr>
        <w:t xml:space="preserve"> and EEOICPA Program Records and WTC Health Program Records</w:t>
      </w:r>
      <w:r w:rsidR="00FB3D7C" w:rsidRPr="00FB3D7C">
        <w:rPr>
          <w:rFonts w:ascii="Georgia" w:hAnsi="Georgia"/>
          <w:sz w:val="24"/>
          <w:szCs w:val="24"/>
        </w:rPr>
        <w:t>" and may be disclosed to private contractors assisting NIOSH; to collaborat</w:t>
      </w:r>
      <w:r w:rsidR="00FB3D7C" w:rsidRPr="00FB3D7C">
        <w:rPr>
          <w:rFonts w:ascii="Georgia" w:hAnsi="Georgia"/>
          <w:sz w:val="24"/>
          <w:szCs w:val="24"/>
        </w:rPr>
        <w:softHyphen/>
        <w:t>ing researchers under certain limited circumstances to conduct further investiga</w:t>
      </w:r>
      <w:r w:rsidR="00FB3D7C" w:rsidRPr="00FB3D7C">
        <w:rPr>
          <w:rFonts w:ascii="Georgia" w:hAnsi="Georgia"/>
          <w:sz w:val="24"/>
          <w:szCs w:val="24"/>
        </w:rPr>
        <w:softHyphen/>
        <w:t xml:space="preserve">tions; to the Department of Justice in the event of litigation; and to a congressional office assisting individuals in obtaining their records. An accounting of the disclosures that have been made by NIOSH will be made available to </w:t>
      </w:r>
      <w:r w:rsidR="00FB3D7C">
        <w:rPr>
          <w:rFonts w:ascii="Georgia" w:hAnsi="Georgia"/>
          <w:sz w:val="24"/>
          <w:szCs w:val="24"/>
        </w:rPr>
        <w:t xml:space="preserve">participants </w:t>
      </w:r>
      <w:r w:rsidR="00FB3D7C" w:rsidRPr="00FB3D7C">
        <w:rPr>
          <w:rFonts w:ascii="Georgia" w:hAnsi="Georgia"/>
          <w:sz w:val="24"/>
          <w:szCs w:val="24"/>
        </w:rPr>
        <w:t xml:space="preserve">upon request. Except for these </w:t>
      </w:r>
      <w:r w:rsidR="00FB3D7C" w:rsidRPr="00FB3D7C">
        <w:rPr>
          <w:rFonts w:ascii="Georgia" w:hAnsi="Georgia"/>
          <w:sz w:val="24"/>
          <w:szCs w:val="24"/>
        </w:rPr>
        <w:lastRenderedPageBreak/>
        <w:t xml:space="preserve">and other permissible disclosures expressly authorized by the Federal Privacy Act, no other disclosure may be made without </w:t>
      </w:r>
      <w:r w:rsidR="00FB3D7C">
        <w:rPr>
          <w:rFonts w:ascii="Georgia" w:hAnsi="Georgia"/>
          <w:sz w:val="24"/>
          <w:szCs w:val="24"/>
        </w:rPr>
        <w:t>the participant’s</w:t>
      </w:r>
      <w:r w:rsidR="00FB3D7C" w:rsidRPr="00FB3D7C">
        <w:rPr>
          <w:rFonts w:ascii="Georgia" w:hAnsi="Georgia"/>
          <w:sz w:val="24"/>
          <w:szCs w:val="24"/>
        </w:rPr>
        <w:t xml:space="preserve"> written consent</w:t>
      </w:r>
      <w:r>
        <w:rPr>
          <w:rFonts w:ascii="Georgia" w:hAnsi="Georgia"/>
          <w:sz w:val="24"/>
          <w:szCs w:val="24"/>
        </w:rPr>
        <w:t>.</w:t>
      </w:r>
    </w:p>
    <w:p w:rsidR="00C03F75" w:rsidRDefault="001D0EAD" w:rsidP="00D62C2C">
      <w:pPr>
        <w:autoSpaceDE w:val="0"/>
        <w:autoSpaceDN w:val="0"/>
        <w:adjustRightInd w:val="0"/>
        <w:spacing w:after="100" w:afterAutospacing="1" w:line="360" w:lineRule="auto"/>
        <w:rPr>
          <w:rFonts w:ascii="Georgia" w:hAnsi="Georgia"/>
          <w:sz w:val="24"/>
          <w:szCs w:val="24"/>
          <w:u w:val="single"/>
        </w:rPr>
      </w:pPr>
      <w:r>
        <w:rPr>
          <w:rFonts w:ascii="Georgia" w:hAnsi="Georgia"/>
          <w:sz w:val="24"/>
          <w:szCs w:val="24"/>
        </w:rPr>
        <w:t>I</w:t>
      </w:r>
      <w:r w:rsidR="00FA1649">
        <w:rPr>
          <w:rFonts w:ascii="Georgia" w:hAnsi="Georgia"/>
          <w:sz w:val="24"/>
          <w:szCs w:val="24"/>
        </w:rPr>
        <w:t xml:space="preserve">nstitutional </w:t>
      </w:r>
      <w:r>
        <w:rPr>
          <w:rFonts w:ascii="Georgia" w:hAnsi="Georgia"/>
          <w:sz w:val="24"/>
          <w:szCs w:val="24"/>
        </w:rPr>
        <w:t>R</w:t>
      </w:r>
      <w:r w:rsidR="00FA1649">
        <w:rPr>
          <w:rFonts w:ascii="Georgia" w:hAnsi="Georgia"/>
          <w:sz w:val="24"/>
          <w:szCs w:val="24"/>
        </w:rPr>
        <w:t xml:space="preserve">eview </w:t>
      </w:r>
      <w:r>
        <w:rPr>
          <w:rFonts w:ascii="Georgia" w:hAnsi="Georgia"/>
          <w:sz w:val="24"/>
          <w:szCs w:val="24"/>
        </w:rPr>
        <w:t>B</w:t>
      </w:r>
      <w:r w:rsidR="00FA1649">
        <w:rPr>
          <w:rFonts w:ascii="Georgia" w:hAnsi="Georgia"/>
          <w:sz w:val="24"/>
          <w:szCs w:val="24"/>
        </w:rPr>
        <w:t>oard</w:t>
      </w:r>
      <w:r>
        <w:rPr>
          <w:rFonts w:ascii="Georgia" w:hAnsi="Georgia"/>
          <w:sz w:val="24"/>
          <w:szCs w:val="24"/>
        </w:rPr>
        <w:t xml:space="preserve"> approval</w:t>
      </w:r>
    </w:p>
    <w:p w:rsidR="001D0EAD" w:rsidRDefault="006A3E4D" w:rsidP="00D62C2C">
      <w:pPr>
        <w:autoSpaceDE w:val="0"/>
        <w:autoSpaceDN w:val="0"/>
        <w:adjustRightInd w:val="0"/>
        <w:spacing w:after="100" w:afterAutospacing="1" w:line="360" w:lineRule="auto"/>
        <w:rPr>
          <w:rFonts w:ascii="Georgia" w:hAnsi="Georgia"/>
          <w:sz w:val="24"/>
          <w:szCs w:val="24"/>
        </w:rPr>
      </w:pPr>
      <w:r>
        <w:rPr>
          <w:rFonts w:ascii="Georgia" w:hAnsi="Georgia"/>
          <w:sz w:val="24"/>
          <w:szCs w:val="24"/>
        </w:rPr>
        <w:t>This study</w:t>
      </w:r>
      <w:r w:rsidR="004156C0">
        <w:rPr>
          <w:rFonts w:ascii="Georgia" w:hAnsi="Georgia"/>
          <w:sz w:val="24"/>
          <w:szCs w:val="24"/>
        </w:rPr>
        <w:t>, including the CAPI data collection instrument,</w:t>
      </w:r>
      <w:r>
        <w:rPr>
          <w:rFonts w:ascii="Georgia" w:hAnsi="Georgia"/>
          <w:sz w:val="24"/>
          <w:szCs w:val="24"/>
        </w:rPr>
        <w:t xml:space="preserve"> was approved by the NIOSH </w:t>
      </w:r>
      <w:r w:rsidR="002F1B92">
        <w:rPr>
          <w:rFonts w:ascii="Georgia" w:hAnsi="Georgia"/>
          <w:sz w:val="24"/>
          <w:szCs w:val="24"/>
        </w:rPr>
        <w:t>Institutional</w:t>
      </w:r>
      <w:r>
        <w:rPr>
          <w:rFonts w:ascii="Georgia" w:hAnsi="Georgia"/>
          <w:sz w:val="24"/>
          <w:szCs w:val="24"/>
        </w:rPr>
        <w:t xml:space="preserve"> Review Board </w:t>
      </w:r>
      <w:r w:rsidR="002F1B92">
        <w:rPr>
          <w:rFonts w:ascii="Georgia" w:hAnsi="Georgia"/>
          <w:sz w:val="24"/>
          <w:szCs w:val="24"/>
        </w:rPr>
        <w:t xml:space="preserve">(IRB) </w:t>
      </w:r>
      <w:r>
        <w:rPr>
          <w:rFonts w:ascii="Georgia" w:hAnsi="Georgia"/>
          <w:sz w:val="24"/>
          <w:szCs w:val="24"/>
        </w:rPr>
        <w:t>on November 1</w:t>
      </w:r>
      <w:r w:rsidR="002F1B92">
        <w:rPr>
          <w:rFonts w:ascii="Georgia" w:hAnsi="Georgia"/>
          <w:sz w:val="24"/>
          <w:szCs w:val="24"/>
        </w:rPr>
        <w:t>3,</w:t>
      </w:r>
      <w:r>
        <w:rPr>
          <w:rFonts w:ascii="Georgia" w:hAnsi="Georgia"/>
          <w:sz w:val="24"/>
          <w:szCs w:val="24"/>
        </w:rPr>
        <w:t xml:space="preserve"> 2012.</w:t>
      </w:r>
      <w:r w:rsidR="002F1B92">
        <w:rPr>
          <w:rFonts w:ascii="Georgia" w:hAnsi="Georgia"/>
          <w:sz w:val="24"/>
          <w:szCs w:val="24"/>
        </w:rPr>
        <w:t xml:space="preserve"> The NIOSH IRB</w:t>
      </w:r>
      <w:r>
        <w:rPr>
          <w:rFonts w:ascii="Georgia" w:hAnsi="Georgia"/>
          <w:sz w:val="24"/>
          <w:szCs w:val="24"/>
        </w:rPr>
        <w:t xml:space="preserve"> </w:t>
      </w:r>
      <w:r w:rsidR="002F1B92">
        <w:rPr>
          <w:rFonts w:ascii="Georgia" w:hAnsi="Georgia"/>
          <w:sz w:val="24"/>
          <w:szCs w:val="24"/>
        </w:rPr>
        <w:t xml:space="preserve">approval letter is shown in </w:t>
      </w:r>
      <w:r w:rsidR="00A735FA" w:rsidRPr="00A735FA">
        <w:rPr>
          <w:rFonts w:ascii="Georgia" w:hAnsi="Georgia"/>
          <w:b/>
          <w:sz w:val="24"/>
          <w:szCs w:val="24"/>
        </w:rPr>
        <w:t>Attachment E</w:t>
      </w:r>
      <w:r w:rsidR="002F1B92">
        <w:rPr>
          <w:rFonts w:ascii="Georgia" w:hAnsi="Georgia"/>
          <w:sz w:val="24"/>
          <w:szCs w:val="24"/>
        </w:rPr>
        <w:t>.</w:t>
      </w:r>
    </w:p>
    <w:p w:rsidR="001D0EAD" w:rsidRDefault="001D0EAD" w:rsidP="00D62C2C">
      <w:pPr>
        <w:autoSpaceDE w:val="0"/>
        <w:autoSpaceDN w:val="0"/>
        <w:adjustRightInd w:val="0"/>
        <w:spacing w:after="100" w:afterAutospacing="1" w:line="360" w:lineRule="auto"/>
        <w:rPr>
          <w:rFonts w:ascii="Georgia" w:hAnsi="Georgia"/>
          <w:sz w:val="24"/>
          <w:szCs w:val="24"/>
        </w:rPr>
      </w:pPr>
      <w:r>
        <w:rPr>
          <w:rFonts w:ascii="Georgia" w:hAnsi="Georgia"/>
          <w:sz w:val="24"/>
          <w:szCs w:val="24"/>
          <w:u w:val="single"/>
        </w:rPr>
        <w:t>Privacy Impact Assessment Information</w:t>
      </w:r>
    </w:p>
    <w:p w:rsidR="001D0EAD" w:rsidRDefault="001D0EAD" w:rsidP="004156C0">
      <w:pPr>
        <w:pStyle w:val="ListParagraph"/>
        <w:numPr>
          <w:ilvl w:val="0"/>
          <w:numId w:val="6"/>
        </w:numPr>
        <w:autoSpaceDE w:val="0"/>
        <w:autoSpaceDN w:val="0"/>
        <w:adjustRightInd w:val="0"/>
        <w:spacing w:after="100" w:afterAutospacing="1" w:line="360" w:lineRule="auto"/>
        <w:rPr>
          <w:rFonts w:ascii="Georgia" w:hAnsi="Georgia"/>
          <w:sz w:val="24"/>
          <w:szCs w:val="24"/>
        </w:rPr>
      </w:pPr>
      <w:r>
        <w:rPr>
          <w:rFonts w:ascii="Georgia" w:hAnsi="Georgia"/>
          <w:sz w:val="24"/>
          <w:szCs w:val="24"/>
        </w:rPr>
        <w:t xml:space="preserve"> This submission has been reviewed by </w:t>
      </w:r>
      <w:r w:rsidR="001F5722">
        <w:rPr>
          <w:rFonts w:ascii="Georgia" w:hAnsi="Georgia"/>
          <w:sz w:val="24"/>
          <w:szCs w:val="24"/>
        </w:rPr>
        <w:t>the Information Collection Review Office (ICRO)</w:t>
      </w:r>
      <w:r>
        <w:rPr>
          <w:rFonts w:ascii="Georgia" w:hAnsi="Georgia"/>
          <w:sz w:val="24"/>
          <w:szCs w:val="24"/>
        </w:rPr>
        <w:t xml:space="preserve">, </w:t>
      </w:r>
      <w:r w:rsidR="00A735FA">
        <w:rPr>
          <w:rFonts w:ascii="Georgia" w:hAnsi="Georgia"/>
          <w:sz w:val="24"/>
          <w:szCs w:val="24"/>
        </w:rPr>
        <w:t>who</w:t>
      </w:r>
      <w:r>
        <w:rPr>
          <w:rFonts w:ascii="Georgia" w:hAnsi="Georgia"/>
          <w:sz w:val="24"/>
          <w:szCs w:val="24"/>
        </w:rPr>
        <w:t xml:space="preserve"> determined that the Privacy Act does apply.  The applicable System of Records Notice is 09-20-0147.</w:t>
      </w:r>
    </w:p>
    <w:p w:rsidR="00AF4F9C" w:rsidRDefault="00AF4F9C" w:rsidP="004156C0">
      <w:pPr>
        <w:pStyle w:val="ListParagraph"/>
        <w:numPr>
          <w:ilvl w:val="0"/>
          <w:numId w:val="6"/>
        </w:numPr>
        <w:autoSpaceDE w:val="0"/>
        <w:autoSpaceDN w:val="0"/>
        <w:adjustRightInd w:val="0"/>
        <w:spacing w:after="100" w:afterAutospacing="1" w:line="360" w:lineRule="auto"/>
        <w:rPr>
          <w:rFonts w:ascii="Georgia" w:hAnsi="Georgia"/>
          <w:sz w:val="24"/>
          <w:szCs w:val="24"/>
        </w:rPr>
      </w:pPr>
      <w:r>
        <w:rPr>
          <w:rFonts w:ascii="Georgia" w:hAnsi="Georgia"/>
          <w:sz w:val="24"/>
          <w:szCs w:val="24"/>
        </w:rPr>
        <w:t>Data will be treated in a secure manner and will not be disclosed, unless compelled by law.  Access to individual data will be limited to authorized NIOSH researchers and contractors.  NIOSH facilities have 24-hour security guards, and key card ID badges must be used to enter the buildings.  Data in hardcopy form will be stored in locked rooms or cabinets.  Questionnaire data will be collected</w:t>
      </w:r>
      <w:r w:rsidR="0068706F">
        <w:rPr>
          <w:rFonts w:ascii="Georgia" w:hAnsi="Georgia"/>
          <w:sz w:val="24"/>
          <w:szCs w:val="24"/>
        </w:rPr>
        <w:t xml:space="preserve"> at the worksites using a laptop</w:t>
      </w:r>
      <w:r w:rsidR="0068706F" w:rsidRPr="0068706F">
        <w:rPr>
          <w:rFonts w:ascii="Georgia" w:hAnsi="Georgia"/>
          <w:sz w:val="24"/>
          <w:szCs w:val="24"/>
        </w:rPr>
        <w:t xml:space="preserve"> encrypted according applicable Federal Information Processing Standards Publications (FIPS PUBS, see http://www.it1.nist.gov/fipspubs).  </w:t>
      </w:r>
      <w:r w:rsidR="0068706F">
        <w:rPr>
          <w:rFonts w:ascii="Georgia" w:hAnsi="Georgia"/>
          <w:sz w:val="24"/>
          <w:szCs w:val="24"/>
        </w:rPr>
        <w:t>After the data are transported to NIOSH facilities, a</w:t>
      </w:r>
      <w:r>
        <w:rPr>
          <w:rFonts w:ascii="Georgia" w:hAnsi="Georgia"/>
          <w:sz w:val="24"/>
          <w:szCs w:val="24"/>
        </w:rPr>
        <w:t xml:space="preserve">ll electronic data will be stored on secure servers that are protected with firewalls and passwords.  </w:t>
      </w:r>
    </w:p>
    <w:p w:rsidR="00AF4F9C" w:rsidRDefault="00AF4F9C" w:rsidP="004156C0">
      <w:pPr>
        <w:pStyle w:val="ListParagraph"/>
        <w:numPr>
          <w:ilvl w:val="0"/>
          <w:numId w:val="6"/>
        </w:numPr>
        <w:autoSpaceDE w:val="0"/>
        <w:autoSpaceDN w:val="0"/>
        <w:adjustRightInd w:val="0"/>
        <w:spacing w:after="100" w:afterAutospacing="1" w:line="360" w:lineRule="auto"/>
        <w:rPr>
          <w:rFonts w:ascii="Georgia" w:hAnsi="Georgia"/>
          <w:sz w:val="24"/>
          <w:szCs w:val="24"/>
        </w:rPr>
      </w:pPr>
      <w:r w:rsidRPr="00AF4F9C">
        <w:rPr>
          <w:rFonts w:ascii="Georgia" w:hAnsi="Georgia"/>
          <w:sz w:val="24"/>
          <w:szCs w:val="24"/>
        </w:rPr>
        <w:t xml:space="preserve">Written consent to participate in the study will be obtained for each participant before administering the questionnaire. The consent form is included as </w:t>
      </w:r>
      <w:r w:rsidRPr="004C77CB">
        <w:rPr>
          <w:rFonts w:ascii="Georgia" w:hAnsi="Georgia"/>
          <w:b/>
          <w:sz w:val="24"/>
          <w:szCs w:val="24"/>
        </w:rPr>
        <w:t>Attachment D</w:t>
      </w:r>
      <w:r w:rsidRPr="00AF4F9C">
        <w:rPr>
          <w:rFonts w:ascii="Georgia" w:hAnsi="Georgia"/>
          <w:sz w:val="24"/>
          <w:szCs w:val="24"/>
        </w:rPr>
        <w:t xml:space="preserve">. This consent document describes the uses that will be made of the data obtained in the study, plans for publishing the aggregate data from the study, and plans for notifying the participant about both his or her individual results and about the overall results from the study. </w:t>
      </w:r>
    </w:p>
    <w:p w:rsidR="00AF4F9C" w:rsidRDefault="00AF4F9C" w:rsidP="004156C0">
      <w:pPr>
        <w:pStyle w:val="ListParagraph"/>
        <w:numPr>
          <w:ilvl w:val="0"/>
          <w:numId w:val="6"/>
        </w:numPr>
        <w:autoSpaceDE w:val="0"/>
        <w:autoSpaceDN w:val="0"/>
        <w:adjustRightInd w:val="0"/>
        <w:spacing w:after="100" w:afterAutospacing="1" w:line="360" w:lineRule="auto"/>
        <w:rPr>
          <w:rFonts w:ascii="Georgia" w:hAnsi="Georgia"/>
          <w:sz w:val="24"/>
          <w:szCs w:val="24"/>
        </w:rPr>
      </w:pPr>
      <w:r w:rsidRPr="00AF4F9C">
        <w:rPr>
          <w:rFonts w:ascii="Georgia" w:hAnsi="Georgia"/>
          <w:sz w:val="24"/>
          <w:szCs w:val="24"/>
        </w:rPr>
        <w:t xml:space="preserve">During the consent process and before administering the questionnaire, study participants are informed that their participation is entirely voluntary, that they may refuse to answer any question without penalty, and that they may refuse to </w:t>
      </w:r>
      <w:r w:rsidRPr="00AF4F9C">
        <w:rPr>
          <w:rFonts w:ascii="Georgia" w:hAnsi="Georgia"/>
          <w:sz w:val="24"/>
          <w:szCs w:val="24"/>
        </w:rPr>
        <w:lastRenderedPageBreak/>
        <w:t>participate in any other aspect of the study without jeopardizing their participation in other aspects of the study. They are informed that the Privacy Act applies to the information being collected for the study, and that the information they provide will be kept private and not disclosed unless compelled by law, using all available safeguards for protecting inadvertent disclosure.</w:t>
      </w:r>
    </w:p>
    <w:p w:rsidR="007F2A39" w:rsidRDefault="007F2A39" w:rsidP="00E321F3">
      <w:pPr>
        <w:pStyle w:val="Heading2"/>
      </w:pPr>
      <w:bookmarkStart w:id="22" w:name="_Toc345399539"/>
      <w:bookmarkStart w:id="23" w:name="_Toc347997724"/>
      <w:r w:rsidRPr="007F2A39">
        <w:t>A11.</w:t>
      </w:r>
      <w:r w:rsidRPr="007F2A39">
        <w:tab/>
        <w:t>Justification for Sensitive Questions</w:t>
      </w:r>
      <w:bookmarkEnd w:id="22"/>
      <w:bookmarkEnd w:id="23"/>
    </w:p>
    <w:p w:rsidR="00613488" w:rsidRDefault="00764F2B" w:rsidP="00D62C2C">
      <w:pPr>
        <w:autoSpaceDE w:val="0"/>
        <w:autoSpaceDN w:val="0"/>
        <w:adjustRightInd w:val="0"/>
        <w:spacing w:after="100" w:afterAutospacing="1" w:line="360" w:lineRule="auto"/>
        <w:rPr>
          <w:rFonts w:ascii="Georgia" w:hAnsi="Georgia"/>
          <w:color w:val="FF0000"/>
          <w:sz w:val="24"/>
          <w:szCs w:val="24"/>
        </w:rPr>
      </w:pPr>
      <w:r w:rsidRPr="00346955">
        <w:rPr>
          <w:rFonts w:ascii="Georgia" w:hAnsi="Georgia"/>
          <w:sz w:val="24"/>
          <w:szCs w:val="24"/>
        </w:rPr>
        <w:t>Potentially sensitive information about a study participant’s</w:t>
      </w:r>
      <w:r w:rsidR="0060106C">
        <w:rPr>
          <w:rFonts w:ascii="Georgia" w:hAnsi="Georgia"/>
          <w:sz w:val="24"/>
          <w:szCs w:val="24"/>
        </w:rPr>
        <w:t xml:space="preserve"> race and ethnicity,</w:t>
      </w:r>
      <w:r w:rsidR="00A343C0">
        <w:rPr>
          <w:rFonts w:ascii="Georgia" w:hAnsi="Georgia"/>
          <w:sz w:val="24"/>
          <w:szCs w:val="24"/>
        </w:rPr>
        <w:t xml:space="preserve"> </w:t>
      </w:r>
      <w:r w:rsidR="007B6C9E">
        <w:rPr>
          <w:rFonts w:ascii="Georgia" w:hAnsi="Georgia"/>
          <w:sz w:val="24"/>
          <w:szCs w:val="24"/>
        </w:rPr>
        <w:t xml:space="preserve">body mass index and waist circumference, </w:t>
      </w:r>
      <w:r w:rsidR="00A343C0">
        <w:rPr>
          <w:rFonts w:ascii="Georgia" w:hAnsi="Georgia"/>
          <w:sz w:val="24"/>
          <w:szCs w:val="24"/>
        </w:rPr>
        <w:t>history of tobacco and alcohol use,</w:t>
      </w:r>
      <w:r w:rsidRPr="00346955">
        <w:rPr>
          <w:rFonts w:ascii="Georgia" w:hAnsi="Georgia"/>
          <w:sz w:val="24"/>
          <w:szCs w:val="24"/>
        </w:rPr>
        <w:t xml:space="preserve"> health status, personal habits, work history and exposure information, and medications used is required to conduct a scientifically valid study evaluating the association between occupational exposure to CNT or CNF and possible early health effects. For example, information on smoking history is needed to interpret whether obstructive </w:t>
      </w:r>
      <w:r w:rsidR="00FB53D6">
        <w:rPr>
          <w:rFonts w:ascii="Georgia" w:hAnsi="Georgia"/>
          <w:sz w:val="24"/>
          <w:szCs w:val="24"/>
        </w:rPr>
        <w:t xml:space="preserve">or restrictive </w:t>
      </w:r>
      <w:r w:rsidRPr="00346955">
        <w:rPr>
          <w:rFonts w:ascii="Georgia" w:hAnsi="Georgia"/>
          <w:sz w:val="24"/>
          <w:szCs w:val="24"/>
        </w:rPr>
        <w:t>spirometry patterns are explained by smoking patterns, rather than by CNT o</w:t>
      </w:r>
      <w:r w:rsidR="007B6C9E">
        <w:rPr>
          <w:rFonts w:ascii="Georgia" w:hAnsi="Georgia"/>
          <w:sz w:val="24"/>
          <w:szCs w:val="24"/>
        </w:rPr>
        <w:t xml:space="preserve">r CNF exposure. Information on </w:t>
      </w:r>
      <w:r w:rsidR="00FB53D6">
        <w:rPr>
          <w:rFonts w:ascii="Georgia" w:hAnsi="Georgia"/>
          <w:sz w:val="24"/>
          <w:szCs w:val="24"/>
        </w:rPr>
        <w:t xml:space="preserve">certain health conditions (e.g., cystic fibrosis, autoimmune disease, diabetes, cancer or kidney disease), </w:t>
      </w:r>
      <w:r w:rsidR="007B6C9E">
        <w:rPr>
          <w:rFonts w:ascii="Georgia" w:hAnsi="Georgia"/>
          <w:sz w:val="24"/>
          <w:szCs w:val="24"/>
        </w:rPr>
        <w:t xml:space="preserve">body mass index, waist circumference, tobacco use history, alcohol consumption patterns and </w:t>
      </w:r>
      <w:r w:rsidRPr="00346955">
        <w:rPr>
          <w:rFonts w:ascii="Georgia" w:hAnsi="Georgia"/>
          <w:sz w:val="24"/>
          <w:szCs w:val="24"/>
        </w:rPr>
        <w:t xml:space="preserve">current medications is needed </w:t>
      </w:r>
      <w:r w:rsidR="007446AA">
        <w:rPr>
          <w:rFonts w:ascii="Georgia" w:hAnsi="Georgia"/>
          <w:sz w:val="24"/>
          <w:szCs w:val="24"/>
        </w:rPr>
        <w:t xml:space="preserve">to </w:t>
      </w:r>
      <w:r w:rsidR="00FB53D6">
        <w:rPr>
          <w:rFonts w:ascii="Georgia" w:hAnsi="Georgia"/>
          <w:sz w:val="24"/>
          <w:szCs w:val="24"/>
        </w:rPr>
        <w:t>statistically adjust for these factors (as potential confounders) in analyses of</w:t>
      </w:r>
      <w:r w:rsidRPr="00346955">
        <w:rPr>
          <w:rFonts w:ascii="Georgia" w:hAnsi="Georgia"/>
          <w:sz w:val="24"/>
          <w:szCs w:val="24"/>
        </w:rPr>
        <w:t xml:space="preserve"> </w:t>
      </w:r>
      <w:r w:rsidR="00FB53D6">
        <w:rPr>
          <w:rFonts w:ascii="Georgia" w:hAnsi="Georgia"/>
          <w:sz w:val="24"/>
          <w:szCs w:val="24"/>
        </w:rPr>
        <w:t xml:space="preserve">the association between CNT or CNF exposure and the health outcomes of interest (i.e., clinical measures such as blood pressure, lung function, or neutrophil count, or the  </w:t>
      </w:r>
      <w:r w:rsidRPr="00346955">
        <w:rPr>
          <w:rFonts w:ascii="Georgia" w:hAnsi="Georgia"/>
          <w:sz w:val="24"/>
          <w:szCs w:val="24"/>
        </w:rPr>
        <w:t>biomarker levels</w:t>
      </w:r>
      <w:r w:rsidR="00FB53D6">
        <w:rPr>
          <w:rFonts w:ascii="Georgia" w:hAnsi="Georgia"/>
          <w:sz w:val="24"/>
          <w:szCs w:val="24"/>
        </w:rPr>
        <w:t>).</w:t>
      </w:r>
      <w:r w:rsidR="00DC2765">
        <w:rPr>
          <w:rFonts w:ascii="Georgia" w:hAnsi="Georgia"/>
          <w:color w:val="FF0000"/>
          <w:sz w:val="24"/>
          <w:szCs w:val="24"/>
        </w:rPr>
        <w:t xml:space="preserve"> </w:t>
      </w:r>
    </w:p>
    <w:p w:rsidR="004C4DB9" w:rsidRDefault="004C4DB9" w:rsidP="00D62C2C">
      <w:pPr>
        <w:autoSpaceDE w:val="0"/>
        <w:autoSpaceDN w:val="0"/>
        <w:adjustRightInd w:val="0"/>
        <w:spacing w:after="100" w:afterAutospacing="1" w:line="360" w:lineRule="auto"/>
        <w:rPr>
          <w:rFonts w:ascii="Georgia" w:hAnsi="Georgia" w:cs="Courier New"/>
          <w:color w:val="000000"/>
          <w:sz w:val="24"/>
        </w:rPr>
      </w:pPr>
      <w:r w:rsidRPr="00515F1E">
        <w:rPr>
          <w:rFonts w:ascii="Georgia" w:hAnsi="Georgia" w:cs="Courier New"/>
          <w:color w:val="000000"/>
          <w:sz w:val="24"/>
        </w:rPr>
        <w:t>NIOSH is mandated by law to conduct research to assure safe and healthful working conditi</w:t>
      </w:r>
      <w:r>
        <w:rPr>
          <w:rFonts w:ascii="Georgia" w:hAnsi="Georgia" w:cs="Courier New"/>
          <w:color w:val="000000"/>
          <w:sz w:val="24"/>
        </w:rPr>
        <w:t xml:space="preserve">ons for working men and women. </w:t>
      </w:r>
      <w:r w:rsidRPr="00515F1E">
        <w:rPr>
          <w:rFonts w:ascii="Georgia" w:hAnsi="Georgia" w:cs="Courier New"/>
          <w:color w:val="000000"/>
          <w:sz w:val="24"/>
        </w:rPr>
        <w:t>To meet this mission, NIOSH collects information on exposure and health effects and provides the individual and summary findings to all individuals w</w:t>
      </w:r>
      <w:r>
        <w:rPr>
          <w:rFonts w:ascii="Georgia" w:hAnsi="Georgia" w:cs="Courier New"/>
          <w:color w:val="000000"/>
          <w:sz w:val="24"/>
        </w:rPr>
        <w:t xml:space="preserve">ho participate in our studies. </w:t>
      </w:r>
      <w:r w:rsidRPr="00515F1E">
        <w:rPr>
          <w:rFonts w:ascii="Georgia" w:hAnsi="Georgia" w:cs="Courier New"/>
          <w:color w:val="000000"/>
          <w:sz w:val="24"/>
        </w:rPr>
        <w:t xml:space="preserve">In this study, </w:t>
      </w:r>
      <w:r>
        <w:rPr>
          <w:rFonts w:ascii="Georgia" w:hAnsi="Georgia" w:cs="Courier New"/>
          <w:color w:val="000000"/>
          <w:sz w:val="24"/>
        </w:rPr>
        <w:t>SSN</w:t>
      </w:r>
      <w:r w:rsidRPr="00515F1E">
        <w:rPr>
          <w:rFonts w:ascii="Georgia" w:hAnsi="Georgia" w:cs="Courier New"/>
          <w:color w:val="000000"/>
          <w:sz w:val="24"/>
        </w:rPr>
        <w:t xml:space="preserve">s are needed to ensure that participant information is matched to workplace records for the correct individual and to allow NIOSH to locate current addresses of participants so that we can provide them with information on their health status, possible need for medical care, </w:t>
      </w:r>
      <w:r>
        <w:rPr>
          <w:rFonts w:ascii="Georgia" w:hAnsi="Georgia" w:cs="Courier New"/>
          <w:color w:val="000000"/>
          <w:sz w:val="24"/>
        </w:rPr>
        <w:t xml:space="preserve">workplace exposure levels, </w:t>
      </w:r>
      <w:r w:rsidRPr="00515F1E">
        <w:rPr>
          <w:rFonts w:ascii="Georgia" w:hAnsi="Georgia" w:cs="Courier New"/>
          <w:color w:val="000000"/>
          <w:sz w:val="24"/>
        </w:rPr>
        <w:t xml:space="preserve">and </w:t>
      </w:r>
      <w:r>
        <w:rPr>
          <w:rFonts w:ascii="Georgia" w:hAnsi="Georgia" w:cs="Courier New"/>
          <w:color w:val="000000"/>
          <w:sz w:val="24"/>
        </w:rPr>
        <w:t xml:space="preserve">summary findings of the study. </w:t>
      </w:r>
      <w:r w:rsidRPr="00515F1E">
        <w:rPr>
          <w:rFonts w:ascii="Georgia" w:hAnsi="Georgia" w:cs="Courier New"/>
          <w:color w:val="000000"/>
          <w:sz w:val="24"/>
        </w:rPr>
        <w:t>Because some of this information will not be available for several years, it will be necessary to trace some individuals who h</w:t>
      </w:r>
      <w:r>
        <w:rPr>
          <w:rFonts w:ascii="Georgia" w:hAnsi="Georgia" w:cs="Courier New"/>
          <w:color w:val="000000"/>
          <w:sz w:val="24"/>
        </w:rPr>
        <w:t xml:space="preserve">ave participated in the study. </w:t>
      </w:r>
      <w:r w:rsidRPr="00515F1E">
        <w:rPr>
          <w:rFonts w:ascii="Georgia" w:hAnsi="Georgia" w:cs="Courier New"/>
          <w:color w:val="000000"/>
          <w:sz w:val="24"/>
        </w:rPr>
        <w:t>The Internal Revenue code</w:t>
      </w:r>
      <w:r>
        <w:rPr>
          <w:rFonts w:ascii="Georgia" w:hAnsi="Georgia" w:cs="Courier New"/>
          <w:color w:val="000000"/>
          <w:sz w:val="24"/>
        </w:rPr>
        <w:t xml:space="preserve"> </w:t>
      </w:r>
      <w:r w:rsidRPr="00515F1E">
        <w:rPr>
          <w:rFonts w:ascii="Georgia" w:hAnsi="Georgia" w:cs="Courier New"/>
          <w:color w:val="000000"/>
          <w:sz w:val="24"/>
        </w:rPr>
        <w:t xml:space="preserve">(IRC </w:t>
      </w:r>
      <w:r w:rsidRPr="00515F1E">
        <w:rPr>
          <w:rFonts w:ascii="Georgia" w:hAnsi="Georgia" w:cs="Courier New"/>
          <w:color w:val="000000"/>
          <w:sz w:val="24"/>
        </w:rPr>
        <w:lastRenderedPageBreak/>
        <w:t>6103(m)(3)) specifically allows disclosure of the mailing address of taxpayers to NIOSH solely for the purpose of locating individuals who are, or may have been, exposed to occupational hazards in order to determine the status of their health or to inform them of the possible need</w:t>
      </w:r>
      <w:r>
        <w:rPr>
          <w:rFonts w:ascii="Georgia" w:hAnsi="Georgia" w:cs="Courier New"/>
          <w:color w:val="000000"/>
          <w:sz w:val="24"/>
        </w:rPr>
        <w:t xml:space="preserve"> for medical care and treatment (see </w:t>
      </w:r>
      <w:r w:rsidRPr="00515F1E">
        <w:rPr>
          <w:rFonts w:ascii="Georgia" w:hAnsi="Georgia" w:cs="Courier New"/>
          <w:color w:val="000000"/>
          <w:sz w:val="24"/>
        </w:rPr>
        <w:t>http://www.irs.gov/irm/part11/irm_11-003-029.html</w:t>
      </w:r>
      <w:r>
        <w:rPr>
          <w:rFonts w:ascii="Georgia" w:hAnsi="Georgia" w:cs="Courier New"/>
          <w:color w:val="000000"/>
          <w:sz w:val="24"/>
        </w:rPr>
        <w:t xml:space="preserve">). </w:t>
      </w:r>
      <w:r w:rsidRPr="00515F1E">
        <w:rPr>
          <w:rFonts w:ascii="Georgia" w:hAnsi="Georgia" w:cs="Courier New"/>
          <w:color w:val="000000"/>
          <w:sz w:val="24"/>
        </w:rPr>
        <w:t>In order to obtain the taxpayer address, the IRS requires that NIOSH provide the SSN and last name of each individual we are trying to locate</w:t>
      </w:r>
      <w:r w:rsidRPr="00ED21E0">
        <w:rPr>
          <w:rFonts w:ascii="Georgia" w:hAnsi="Georgia" w:cs="Courier New"/>
          <w:color w:val="000000"/>
          <w:sz w:val="24"/>
        </w:rPr>
        <w:t>.</w:t>
      </w:r>
      <w:r>
        <w:rPr>
          <w:rFonts w:ascii="Georgia" w:hAnsi="Georgia" w:cs="Courier New"/>
          <w:color w:val="000000"/>
          <w:sz w:val="24"/>
        </w:rPr>
        <w:t xml:space="preserve"> The SSN and last name provided by NIOSH are sent to IRS (and addresses returned to NIOSH) via a secure, encrypted, FTP site.</w:t>
      </w:r>
    </w:p>
    <w:p w:rsidR="007F2A39" w:rsidRPr="00E321F3" w:rsidRDefault="007F2A39" w:rsidP="00E321F3">
      <w:pPr>
        <w:pStyle w:val="Heading2"/>
      </w:pPr>
      <w:bookmarkStart w:id="24" w:name="_Toc345399540"/>
      <w:bookmarkStart w:id="25" w:name="_Toc347997725"/>
      <w:r w:rsidRPr="00E321F3">
        <w:t>A12.</w:t>
      </w:r>
      <w:r w:rsidRPr="00E321F3">
        <w:tab/>
        <w:t>Estimates of Annualized Burden Hours and Costs</w:t>
      </w:r>
      <w:bookmarkEnd w:id="24"/>
      <w:bookmarkEnd w:id="25"/>
      <w:r w:rsidRPr="00E321F3">
        <w:t xml:space="preserve"> </w:t>
      </w:r>
    </w:p>
    <w:p w:rsidR="00DE6EA7" w:rsidRDefault="00DE6EA7" w:rsidP="00DE6EA7">
      <w:pPr>
        <w:pStyle w:val="ListParagraph"/>
        <w:numPr>
          <w:ilvl w:val="0"/>
          <w:numId w:val="4"/>
        </w:numPr>
        <w:autoSpaceDE w:val="0"/>
        <w:autoSpaceDN w:val="0"/>
        <w:adjustRightInd w:val="0"/>
        <w:spacing w:after="100" w:afterAutospacing="1" w:line="360" w:lineRule="auto"/>
        <w:rPr>
          <w:rFonts w:ascii="Georgia" w:hAnsi="Georgia"/>
          <w:sz w:val="24"/>
          <w:szCs w:val="24"/>
        </w:rPr>
      </w:pPr>
      <w:r>
        <w:rPr>
          <w:rFonts w:ascii="Georgia" w:hAnsi="Georgia"/>
          <w:sz w:val="24"/>
          <w:szCs w:val="24"/>
        </w:rPr>
        <w:t xml:space="preserve"> Annualized Burden to Respondents</w:t>
      </w:r>
    </w:p>
    <w:p w:rsidR="00DE6EA7" w:rsidRDefault="00DE6EA7" w:rsidP="00DE6EA7">
      <w:pPr>
        <w:autoSpaceDE w:val="0"/>
        <w:autoSpaceDN w:val="0"/>
        <w:adjustRightInd w:val="0"/>
        <w:spacing w:after="100" w:afterAutospacing="1" w:line="360" w:lineRule="auto"/>
        <w:ind w:left="360"/>
        <w:rPr>
          <w:rFonts w:ascii="Georgia" w:hAnsi="Georgia"/>
          <w:sz w:val="24"/>
          <w:szCs w:val="24"/>
        </w:rPr>
      </w:pPr>
      <w:r w:rsidRPr="00DE6EA7">
        <w:rPr>
          <w:rFonts w:ascii="Georgia" w:hAnsi="Georgia"/>
          <w:sz w:val="24"/>
          <w:szCs w:val="24"/>
        </w:rPr>
        <w:t xml:space="preserve">No direct costs will accrue to respondents other than their time to complete the </w:t>
      </w:r>
      <w:r w:rsidR="00C30012">
        <w:rPr>
          <w:rFonts w:ascii="Georgia" w:hAnsi="Georgia"/>
          <w:sz w:val="24"/>
          <w:szCs w:val="24"/>
        </w:rPr>
        <w:t>questionnaire</w:t>
      </w:r>
      <w:r w:rsidR="002763A9">
        <w:rPr>
          <w:rFonts w:ascii="Georgia" w:hAnsi="Georgia"/>
          <w:sz w:val="24"/>
          <w:szCs w:val="24"/>
        </w:rPr>
        <w:t>,</w:t>
      </w:r>
      <w:r w:rsidR="00C30012">
        <w:rPr>
          <w:rFonts w:ascii="Georgia" w:hAnsi="Georgia"/>
          <w:sz w:val="24"/>
          <w:szCs w:val="24"/>
        </w:rPr>
        <w:t xml:space="preserve"> the consent form</w:t>
      </w:r>
      <w:r w:rsidR="002763A9">
        <w:rPr>
          <w:rFonts w:ascii="Georgia" w:hAnsi="Georgia"/>
          <w:sz w:val="24"/>
          <w:szCs w:val="24"/>
        </w:rPr>
        <w:t>, and the medical examinations and biospecimen collection</w:t>
      </w:r>
      <w:r w:rsidRPr="00DE6EA7">
        <w:rPr>
          <w:rFonts w:ascii="Georgia" w:hAnsi="Georgia"/>
          <w:sz w:val="24"/>
          <w:szCs w:val="24"/>
        </w:rPr>
        <w:t>.</w:t>
      </w:r>
      <w:r w:rsidR="00DC2765">
        <w:rPr>
          <w:rFonts w:ascii="Georgia" w:hAnsi="Georgia"/>
          <w:sz w:val="24"/>
          <w:szCs w:val="24"/>
        </w:rPr>
        <w:t xml:space="preserve"> </w:t>
      </w:r>
      <w:r w:rsidR="001F5722">
        <w:rPr>
          <w:rFonts w:ascii="Georgia" w:hAnsi="Georgia"/>
          <w:sz w:val="24"/>
          <w:szCs w:val="24"/>
        </w:rPr>
        <w:t>The</w:t>
      </w:r>
      <w:r w:rsidR="001F5722" w:rsidRPr="001F5722">
        <w:rPr>
          <w:rFonts w:ascii="Georgia" w:hAnsi="Georgia"/>
          <w:sz w:val="24"/>
          <w:szCs w:val="24"/>
        </w:rPr>
        <w:t xml:space="preserve"> industrywide exposure assessment and cross-sectional epidemiology study will be done among 100 workers total over a three year period at approximately 10 workplaces that agree to participate</w:t>
      </w:r>
      <w:r w:rsidR="001F5722">
        <w:rPr>
          <w:rFonts w:ascii="Georgia" w:hAnsi="Georgia"/>
          <w:sz w:val="24"/>
          <w:szCs w:val="24"/>
        </w:rPr>
        <w:t xml:space="preserve"> (approximately 33 respondents per year)</w:t>
      </w:r>
      <w:r w:rsidR="001F5722" w:rsidRPr="001F5722">
        <w:rPr>
          <w:rFonts w:ascii="Georgia" w:hAnsi="Georgia"/>
          <w:sz w:val="24"/>
          <w:szCs w:val="24"/>
        </w:rPr>
        <w:t>.</w:t>
      </w:r>
      <w:r w:rsidR="001F5722">
        <w:rPr>
          <w:rFonts w:ascii="Georgia" w:hAnsi="Georgia"/>
          <w:sz w:val="24"/>
          <w:szCs w:val="24"/>
        </w:rPr>
        <w:t xml:space="preserve"> </w:t>
      </w:r>
      <w:r w:rsidR="00DC2765">
        <w:rPr>
          <w:rFonts w:ascii="Georgia" w:hAnsi="Georgia"/>
          <w:sz w:val="24"/>
          <w:szCs w:val="24"/>
        </w:rPr>
        <w:t>The questionnaire</w:t>
      </w:r>
      <w:r w:rsidR="002763A9">
        <w:rPr>
          <w:rFonts w:ascii="Georgia" w:hAnsi="Georgia"/>
          <w:sz w:val="24"/>
          <w:szCs w:val="24"/>
        </w:rPr>
        <w:t>,</w:t>
      </w:r>
      <w:r w:rsidR="00C30012">
        <w:rPr>
          <w:rFonts w:ascii="Georgia" w:hAnsi="Georgia"/>
          <w:sz w:val="24"/>
          <w:szCs w:val="24"/>
        </w:rPr>
        <w:t xml:space="preserve"> consent form</w:t>
      </w:r>
      <w:r w:rsidR="002763A9">
        <w:rPr>
          <w:rFonts w:ascii="Georgia" w:hAnsi="Georgia"/>
          <w:sz w:val="24"/>
          <w:szCs w:val="24"/>
        </w:rPr>
        <w:t>, medical examination, and biospecimen collection</w:t>
      </w:r>
      <w:r w:rsidR="00C30012">
        <w:rPr>
          <w:rFonts w:ascii="Georgia" w:hAnsi="Georgia"/>
          <w:sz w:val="24"/>
          <w:szCs w:val="24"/>
        </w:rPr>
        <w:t xml:space="preserve"> </w:t>
      </w:r>
      <w:r w:rsidR="00DC2765">
        <w:rPr>
          <w:rFonts w:ascii="Georgia" w:hAnsi="Georgia"/>
          <w:sz w:val="24"/>
          <w:szCs w:val="24"/>
        </w:rPr>
        <w:t>will be administered to each participant during his or her regular workday, resulting in no individual cost to the participant.</w:t>
      </w:r>
      <w:r w:rsidR="005D099F">
        <w:rPr>
          <w:rFonts w:ascii="Georgia" w:hAnsi="Georgia"/>
          <w:sz w:val="24"/>
          <w:szCs w:val="24"/>
        </w:rPr>
        <w:t xml:space="preserve">  The time required to complete the questionnaire </w:t>
      </w:r>
      <w:r w:rsidR="00C30012">
        <w:rPr>
          <w:rFonts w:ascii="Georgia" w:hAnsi="Georgia"/>
          <w:sz w:val="24"/>
          <w:szCs w:val="24"/>
        </w:rPr>
        <w:t xml:space="preserve">and the consent form </w:t>
      </w:r>
      <w:r w:rsidR="005D099F">
        <w:rPr>
          <w:rFonts w:ascii="Georgia" w:hAnsi="Georgia"/>
          <w:sz w:val="24"/>
          <w:szCs w:val="24"/>
        </w:rPr>
        <w:t xml:space="preserve">was </w:t>
      </w:r>
      <w:r w:rsidR="00C30012">
        <w:rPr>
          <w:rFonts w:ascii="Georgia" w:hAnsi="Georgia"/>
          <w:sz w:val="24"/>
          <w:szCs w:val="24"/>
        </w:rPr>
        <w:t xml:space="preserve">estimated from a pretest of these items </w:t>
      </w:r>
      <w:r w:rsidR="005D099F">
        <w:rPr>
          <w:rFonts w:ascii="Georgia" w:hAnsi="Georgia"/>
          <w:sz w:val="24"/>
          <w:szCs w:val="24"/>
        </w:rPr>
        <w:t>among fewer than ten individuals.</w:t>
      </w:r>
      <w:r w:rsidR="001F5722">
        <w:rPr>
          <w:rFonts w:ascii="Georgia" w:hAnsi="Georgia"/>
          <w:sz w:val="24"/>
          <w:szCs w:val="24"/>
        </w:rPr>
        <w:t xml:space="preserve"> The estimated annualized burden </w:t>
      </w:r>
      <w:r w:rsidR="00CF177F">
        <w:rPr>
          <w:rFonts w:ascii="Georgia" w:hAnsi="Georgia"/>
          <w:sz w:val="24"/>
          <w:szCs w:val="24"/>
        </w:rPr>
        <w:t>hours</w:t>
      </w:r>
      <w:r w:rsidR="001F5722">
        <w:rPr>
          <w:rFonts w:ascii="Georgia" w:hAnsi="Georgia"/>
          <w:sz w:val="24"/>
          <w:szCs w:val="24"/>
        </w:rPr>
        <w:t xml:space="preserve"> is </w:t>
      </w:r>
      <w:r w:rsidR="00535B62">
        <w:rPr>
          <w:rFonts w:ascii="Georgia" w:hAnsi="Georgia"/>
          <w:sz w:val="24"/>
          <w:szCs w:val="24"/>
        </w:rPr>
        <w:t>66</w:t>
      </w:r>
      <w:r w:rsidR="001F5722">
        <w:rPr>
          <w:rFonts w:ascii="Georgia" w:hAnsi="Georgia"/>
          <w:sz w:val="24"/>
          <w:szCs w:val="24"/>
        </w:rPr>
        <w:t>.</w:t>
      </w:r>
    </w:p>
    <w:p w:rsidR="001752EB" w:rsidRPr="00DE6EA7" w:rsidRDefault="001752EB" w:rsidP="001752EB">
      <w:pPr>
        <w:autoSpaceDE w:val="0"/>
        <w:autoSpaceDN w:val="0"/>
        <w:adjustRightInd w:val="0"/>
        <w:spacing w:after="100" w:afterAutospacing="1" w:line="360" w:lineRule="auto"/>
        <w:ind w:left="360"/>
        <w:jc w:val="center"/>
        <w:rPr>
          <w:rFonts w:ascii="Georgia" w:hAnsi="Georgia"/>
          <w:sz w:val="24"/>
          <w:szCs w:val="24"/>
        </w:rPr>
      </w:pPr>
      <w:r>
        <w:rPr>
          <w:rFonts w:ascii="Georgia" w:hAnsi="Georgia"/>
          <w:sz w:val="24"/>
          <w:szCs w:val="24"/>
        </w:rPr>
        <w:t>Table A.12.1. Estimated Annualized Burden to Respondents</w:t>
      </w:r>
    </w:p>
    <w:tbl>
      <w:tblPr>
        <w:tblW w:w="0" w:type="auto"/>
        <w:tblInd w:w="10" w:type="dxa"/>
        <w:tblLayout w:type="fixed"/>
        <w:tblLook w:val="04A0" w:firstRow="1" w:lastRow="0" w:firstColumn="1" w:lastColumn="0" w:noHBand="0" w:noVBand="1"/>
      </w:tblPr>
      <w:tblGrid>
        <w:gridCol w:w="1538"/>
        <w:gridCol w:w="1530"/>
        <w:gridCol w:w="1440"/>
        <w:gridCol w:w="1080"/>
        <w:gridCol w:w="1321"/>
        <w:gridCol w:w="1381"/>
      </w:tblGrid>
      <w:tr w:rsidR="00C30012" w:rsidRPr="00C30012" w:rsidTr="00250F2F">
        <w:trPr>
          <w:trHeight w:val="973"/>
        </w:trPr>
        <w:tc>
          <w:tcPr>
            <w:tcW w:w="1538" w:type="dxa"/>
            <w:tcBorders>
              <w:top w:val="single" w:sz="8" w:space="0" w:color="000000"/>
              <w:left w:val="single" w:sz="8" w:space="0" w:color="000000"/>
              <w:bottom w:val="single" w:sz="8" w:space="0" w:color="000000"/>
              <w:right w:val="single" w:sz="8" w:space="0" w:color="000000"/>
            </w:tcBorders>
            <w:hideMark/>
          </w:tcPr>
          <w:p w:rsidR="00C30012" w:rsidRPr="00C30012" w:rsidRDefault="00C30012" w:rsidP="00C30012">
            <w:pPr>
              <w:autoSpaceDE w:val="0"/>
              <w:autoSpaceDN w:val="0"/>
              <w:adjustRightInd w:val="0"/>
              <w:spacing w:after="0" w:line="240" w:lineRule="auto"/>
              <w:jc w:val="center"/>
              <w:rPr>
                <w:rFonts w:ascii="Georgia" w:eastAsia="Times New Roman" w:hAnsi="Georgia" w:cs="Courier New"/>
                <w:color w:val="000000"/>
                <w:sz w:val="20"/>
                <w:szCs w:val="20"/>
              </w:rPr>
            </w:pPr>
            <w:r w:rsidRPr="00C30012">
              <w:rPr>
                <w:rFonts w:ascii="Georgia" w:eastAsia="Times New Roman" w:hAnsi="Georgia" w:cs="Courier New"/>
                <w:color w:val="000000"/>
                <w:sz w:val="20"/>
                <w:szCs w:val="20"/>
              </w:rPr>
              <w:t xml:space="preserve">Type of Respondents </w:t>
            </w:r>
          </w:p>
        </w:tc>
        <w:tc>
          <w:tcPr>
            <w:tcW w:w="1530" w:type="dxa"/>
            <w:tcBorders>
              <w:top w:val="single" w:sz="8" w:space="0" w:color="000000"/>
              <w:left w:val="single" w:sz="8" w:space="0" w:color="000000"/>
              <w:bottom w:val="single" w:sz="8" w:space="0" w:color="000000"/>
              <w:right w:val="single" w:sz="8" w:space="0" w:color="000000"/>
            </w:tcBorders>
            <w:hideMark/>
          </w:tcPr>
          <w:p w:rsidR="00C30012" w:rsidRPr="00C30012" w:rsidRDefault="00C30012" w:rsidP="00C30012">
            <w:pPr>
              <w:autoSpaceDE w:val="0"/>
              <w:autoSpaceDN w:val="0"/>
              <w:adjustRightInd w:val="0"/>
              <w:spacing w:after="0" w:line="240" w:lineRule="auto"/>
              <w:jc w:val="center"/>
              <w:rPr>
                <w:rFonts w:ascii="Georgia" w:eastAsia="Times New Roman" w:hAnsi="Georgia" w:cs="Courier New"/>
                <w:color w:val="000000"/>
                <w:sz w:val="20"/>
                <w:szCs w:val="20"/>
              </w:rPr>
            </w:pPr>
            <w:r w:rsidRPr="00C30012">
              <w:rPr>
                <w:rFonts w:ascii="Georgia" w:eastAsia="Times New Roman" w:hAnsi="Georgia" w:cs="Courier New"/>
                <w:color w:val="000000"/>
                <w:sz w:val="20"/>
                <w:szCs w:val="20"/>
              </w:rPr>
              <w:t>Form Name</w:t>
            </w:r>
          </w:p>
        </w:tc>
        <w:tc>
          <w:tcPr>
            <w:tcW w:w="1440" w:type="dxa"/>
            <w:tcBorders>
              <w:top w:val="single" w:sz="8" w:space="0" w:color="000000"/>
              <w:left w:val="single" w:sz="8" w:space="0" w:color="000000"/>
              <w:bottom w:val="single" w:sz="8" w:space="0" w:color="000000"/>
              <w:right w:val="single" w:sz="8" w:space="0" w:color="000000"/>
            </w:tcBorders>
            <w:hideMark/>
          </w:tcPr>
          <w:p w:rsidR="00C30012" w:rsidRPr="00C30012" w:rsidRDefault="00C30012" w:rsidP="00C30012">
            <w:pPr>
              <w:autoSpaceDE w:val="0"/>
              <w:autoSpaceDN w:val="0"/>
              <w:adjustRightInd w:val="0"/>
              <w:spacing w:after="0" w:line="240" w:lineRule="auto"/>
              <w:jc w:val="center"/>
              <w:rPr>
                <w:rFonts w:ascii="Georgia" w:eastAsia="Times New Roman" w:hAnsi="Georgia" w:cs="Courier New"/>
                <w:color w:val="000000"/>
                <w:sz w:val="20"/>
                <w:szCs w:val="20"/>
              </w:rPr>
            </w:pPr>
            <w:r w:rsidRPr="00C30012">
              <w:rPr>
                <w:rFonts w:ascii="Georgia" w:eastAsia="Times New Roman" w:hAnsi="Georgia" w:cs="Courier New"/>
                <w:color w:val="000000"/>
                <w:sz w:val="20"/>
                <w:szCs w:val="20"/>
              </w:rPr>
              <w:t xml:space="preserve">No. of </w:t>
            </w:r>
          </w:p>
          <w:p w:rsidR="00C30012" w:rsidRPr="00C30012" w:rsidRDefault="00C30012" w:rsidP="00C30012">
            <w:pPr>
              <w:autoSpaceDE w:val="0"/>
              <w:autoSpaceDN w:val="0"/>
              <w:adjustRightInd w:val="0"/>
              <w:spacing w:after="0" w:line="240" w:lineRule="auto"/>
              <w:jc w:val="center"/>
              <w:rPr>
                <w:rFonts w:ascii="Georgia" w:eastAsia="Times New Roman" w:hAnsi="Georgia" w:cs="Courier New"/>
                <w:color w:val="000000"/>
                <w:sz w:val="20"/>
                <w:szCs w:val="20"/>
              </w:rPr>
            </w:pPr>
            <w:r w:rsidRPr="00C30012">
              <w:rPr>
                <w:rFonts w:ascii="Georgia" w:eastAsia="Times New Roman" w:hAnsi="Georgia" w:cs="Courier New"/>
                <w:color w:val="000000"/>
                <w:sz w:val="20"/>
                <w:szCs w:val="20"/>
              </w:rPr>
              <w:t>Respondents</w:t>
            </w:r>
          </w:p>
        </w:tc>
        <w:tc>
          <w:tcPr>
            <w:tcW w:w="1080" w:type="dxa"/>
            <w:tcBorders>
              <w:top w:val="single" w:sz="8" w:space="0" w:color="000000"/>
              <w:left w:val="single" w:sz="8" w:space="0" w:color="000000"/>
              <w:bottom w:val="single" w:sz="8" w:space="0" w:color="000000"/>
              <w:right w:val="single" w:sz="8" w:space="0" w:color="000000"/>
            </w:tcBorders>
            <w:hideMark/>
          </w:tcPr>
          <w:p w:rsidR="00C30012" w:rsidRPr="00C30012" w:rsidRDefault="00C30012" w:rsidP="00C30012">
            <w:pPr>
              <w:autoSpaceDE w:val="0"/>
              <w:autoSpaceDN w:val="0"/>
              <w:adjustRightInd w:val="0"/>
              <w:spacing w:after="0" w:line="240" w:lineRule="auto"/>
              <w:jc w:val="center"/>
              <w:rPr>
                <w:rFonts w:ascii="Georgia" w:eastAsia="Times New Roman" w:hAnsi="Georgia" w:cs="Courier New"/>
                <w:color w:val="000000"/>
                <w:sz w:val="20"/>
                <w:szCs w:val="20"/>
              </w:rPr>
            </w:pPr>
            <w:r w:rsidRPr="00C30012">
              <w:rPr>
                <w:rFonts w:ascii="Georgia" w:eastAsia="Times New Roman" w:hAnsi="Georgia" w:cs="Courier New"/>
                <w:color w:val="000000"/>
                <w:sz w:val="20"/>
                <w:szCs w:val="20"/>
              </w:rPr>
              <w:t xml:space="preserve">No. of </w:t>
            </w:r>
          </w:p>
          <w:p w:rsidR="00C30012" w:rsidRPr="00C30012" w:rsidRDefault="00C30012" w:rsidP="00C30012">
            <w:pPr>
              <w:autoSpaceDE w:val="0"/>
              <w:autoSpaceDN w:val="0"/>
              <w:adjustRightInd w:val="0"/>
              <w:spacing w:after="0" w:line="240" w:lineRule="auto"/>
              <w:jc w:val="center"/>
              <w:rPr>
                <w:rFonts w:ascii="Georgia" w:eastAsia="Times New Roman" w:hAnsi="Georgia" w:cs="Courier New"/>
                <w:color w:val="000000"/>
                <w:sz w:val="20"/>
                <w:szCs w:val="20"/>
              </w:rPr>
            </w:pPr>
            <w:r w:rsidRPr="00C30012">
              <w:rPr>
                <w:rFonts w:ascii="Georgia" w:eastAsia="Times New Roman" w:hAnsi="Georgia" w:cs="Courier New"/>
                <w:color w:val="000000"/>
                <w:sz w:val="20"/>
                <w:szCs w:val="20"/>
              </w:rPr>
              <w:t xml:space="preserve">Responses </w:t>
            </w:r>
          </w:p>
          <w:p w:rsidR="00C30012" w:rsidRPr="00C30012" w:rsidRDefault="00C30012" w:rsidP="00C30012">
            <w:pPr>
              <w:autoSpaceDE w:val="0"/>
              <w:autoSpaceDN w:val="0"/>
              <w:adjustRightInd w:val="0"/>
              <w:spacing w:after="0" w:line="240" w:lineRule="auto"/>
              <w:jc w:val="center"/>
              <w:rPr>
                <w:rFonts w:ascii="Georgia" w:eastAsia="Times New Roman" w:hAnsi="Georgia" w:cs="Courier New"/>
                <w:color w:val="000000"/>
                <w:sz w:val="20"/>
                <w:szCs w:val="20"/>
              </w:rPr>
            </w:pPr>
            <w:r w:rsidRPr="00C30012">
              <w:rPr>
                <w:rFonts w:ascii="Georgia" w:eastAsia="Times New Roman" w:hAnsi="Georgia" w:cs="Courier New"/>
                <w:color w:val="000000"/>
                <w:sz w:val="20"/>
                <w:szCs w:val="20"/>
              </w:rPr>
              <w:t xml:space="preserve">per Respondent </w:t>
            </w:r>
          </w:p>
        </w:tc>
        <w:tc>
          <w:tcPr>
            <w:tcW w:w="1321" w:type="dxa"/>
            <w:tcBorders>
              <w:top w:val="single" w:sz="8" w:space="0" w:color="000000"/>
              <w:left w:val="single" w:sz="8" w:space="0" w:color="000000"/>
              <w:bottom w:val="single" w:sz="8" w:space="0" w:color="000000"/>
              <w:right w:val="single" w:sz="8" w:space="0" w:color="000000"/>
            </w:tcBorders>
            <w:hideMark/>
          </w:tcPr>
          <w:p w:rsidR="00C30012" w:rsidRPr="00C30012" w:rsidRDefault="00C30012" w:rsidP="00C30012">
            <w:pPr>
              <w:autoSpaceDE w:val="0"/>
              <w:autoSpaceDN w:val="0"/>
              <w:adjustRightInd w:val="0"/>
              <w:spacing w:after="0" w:line="240" w:lineRule="auto"/>
              <w:jc w:val="center"/>
              <w:rPr>
                <w:rFonts w:ascii="Georgia" w:eastAsia="Times New Roman" w:hAnsi="Georgia" w:cs="Courier New"/>
                <w:color w:val="000000"/>
                <w:sz w:val="20"/>
                <w:szCs w:val="20"/>
              </w:rPr>
            </w:pPr>
            <w:r w:rsidRPr="00C30012">
              <w:rPr>
                <w:rFonts w:ascii="Georgia" w:eastAsia="Times New Roman" w:hAnsi="Georgia" w:cs="Courier New"/>
                <w:color w:val="000000"/>
                <w:sz w:val="20"/>
                <w:szCs w:val="20"/>
              </w:rPr>
              <w:t>Average Burden</w:t>
            </w:r>
          </w:p>
          <w:p w:rsidR="00C30012" w:rsidRPr="00C30012" w:rsidRDefault="00C30012" w:rsidP="00C30012">
            <w:pPr>
              <w:autoSpaceDE w:val="0"/>
              <w:autoSpaceDN w:val="0"/>
              <w:adjustRightInd w:val="0"/>
              <w:spacing w:after="0" w:line="240" w:lineRule="auto"/>
              <w:jc w:val="center"/>
              <w:rPr>
                <w:rFonts w:ascii="Georgia" w:eastAsia="Times New Roman" w:hAnsi="Georgia" w:cs="Courier New"/>
                <w:color w:val="000000"/>
                <w:sz w:val="20"/>
                <w:szCs w:val="20"/>
              </w:rPr>
            </w:pPr>
            <w:r w:rsidRPr="00C30012">
              <w:rPr>
                <w:rFonts w:ascii="Georgia" w:eastAsia="Times New Roman" w:hAnsi="Georgia" w:cs="Courier New"/>
                <w:color w:val="000000"/>
                <w:sz w:val="20"/>
                <w:szCs w:val="20"/>
              </w:rPr>
              <w:t xml:space="preserve"> per Response</w:t>
            </w:r>
          </w:p>
          <w:p w:rsidR="00C30012" w:rsidRPr="00C30012" w:rsidRDefault="00C30012" w:rsidP="00C30012">
            <w:pPr>
              <w:autoSpaceDE w:val="0"/>
              <w:autoSpaceDN w:val="0"/>
              <w:adjustRightInd w:val="0"/>
              <w:spacing w:after="0" w:line="240" w:lineRule="auto"/>
              <w:jc w:val="center"/>
              <w:rPr>
                <w:rFonts w:ascii="Georgia" w:eastAsia="Times New Roman" w:hAnsi="Georgia" w:cs="Courier New"/>
                <w:color w:val="000000"/>
                <w:sz w:val="20"/>
                <w:szCs w:val="20"/>
              </w:rPr>
            </w:pPr>
            <w:r w:rsidRPr="00C30012">
              <w:rPr>
                <w:rFonts w:ascii="Georgia" w:eastAsia="Times New Roman" w:hAnsi="Georgia" w:cs="Courier New"/>
                <w:color w:val="000000"/>
                <w:sz w:val="20"/>
                <w:szCs w:val="20"/>
              </w:rPr>
              <w:t xml:space="preserve"> (in hours) </w:t>
            </w:r>
          </w:p>
        </w:tc>
        <w:tc>
          <w:tcPr>
            <w:tcW w:w="1381" w:type="dxa"/>
            <w:tcBorders>
              <w:top w:val="single" w:sz="8" w:space="0" w:color="000000"/>
              <w:left w:val="single" w:sz="8" w:space="0" w:color="000000"/>
              <w:bottom w:val="single" w:sz="8" w:space="0" w:color="000000"/>
              <w:right w:val="single" w:sz="8" w:space="0" w:color="000000"/>
            </w:tcBorders>
            <w:hideMark/>
          </w:tcPr>
          <w:p w:rsidR="00C30012" w:rsidRPr="00C30012" w:rsidRDefault="00C30012" w:rsidP="00C30012">
            <w:pPr>
              <w:autoSpaceDE w:val="0"/>
              <w:autoSpaceDN w:val="0"/>
              <w:adjustRightInd w:val="0"/>
              <w:spacing w:after="0" w:line="240" w:lineRule="auto"/>
              <w:jc w:val="center"/>
              <w:rPr>
                <w:rFonts w:ascii="Georgia" w:eastAsia="Times New Roman" w:hAnsi="Georgia" w:cs="Courier New"/>
                <w:color w:val="000000"/>
                <w:sz w:val="20"/>
                <w:szCs w:val="20"/>
              </w:rPr>
            </w:pPr>
            <w:r w:rsidRPr="00C30012">
              <w:rPr>
                <w:rFonts w:ascii="Georgia" w:eastAsia="Times New Roman" w:hAnsi="Georgia" w:cs="Courier New"/>
                <w:color w:val="000000"/>
                <w:sz w:val="20"/>
                <w:szCs w:val="20"/>
              </w:rPr>
              <w:t>Total Burden</w:t>
            </w:r>
          </w:p>
          <w:p w:rsidR="00C30012" w:rsidRPr="00C30012" w:rsidRDefault="00C30012" w:rsidP="00C30012">
            <w:pPr>
              <w:autoSpaceDE w:val="0"/>
              <w:autoSpaceDN w:val="0"/>
              <w:adjustRightInd w:val="0"/>
              <w:spacing w:after="0" w:line="240" w:lineRule="auto"/>
              <w:jc w:val="center"/>
              <w:rPr>
                <w:rFonts w:ascii="Georgia" w:eastAsia="Times New Roman" w:hAnsi="Georgia" w:cs="Courier New"/>
                <w:color w:val="000000"/>
                <w:sz w:val="20"/>
                <w:szCs w:val="20"/>
              </w:rPr>
            </w:pPr>
            <w:r w:rsidRPr="00C30012">
              <w:rPr>
                <w:rFonts w:ascii="Georgia" w:eastAsia="Times New Roman" w:hAnsi="Georgia" w:cs="Courier New"/>
                <w:color w:val="000000"/>
                <w:sz w:val="20"/>
                <w:szCs w:val="20"/>
              </w:rPr>
              <w:t xml:space="preserve">(in hours) </w:t>
            </w:r>
          </w:p>
        </w:tc>
      </w:tr>
      <w:tr w:rsidR="00C30012" w:rsidRPr="00C30012" w:rsidTr="00250F2F">
        <w:trPr>
          <w:trHeight w:val="253"/>
        </w:trPr>
        <w:tc>
          <w:tcPr>
            <w:tcW w:w="1538" w:type="dxa"/>
            <w:tcBorders>
              <w:top w:val="single" w:sz="8" w:space="0" w:color="000000"/>
              <w:left w:val="single" w:sz="8" w:space="0" w:color="000000"/>
              <w:bottom w:val="single" w:sz="8" w:space="0" w:color="000000"/>
              <w:right w:val="single" w:sz="8" w:space="0" w:color="000000"/>
            </w:tcBorders>
            <w:hideMark/>
          </w:tcPr>
          <w:p w:rsidR="00C30012" w:rsidRPr="00C30012" w:rsidRDefault="00C30012" w:rsidP="00C30012">
            <w:pPr>
              <w:autoSpaceDE w:val="0"/>
              <w:autoSpaceDN w:val="0"/>
              <w:adjustRightInd w:val="0"/>
              <w:spacing w:after="0" w:line="240" w:lineRule="auto"/>
              <w:rPr>
                <w:rFonts w:ascii="Georgia" w:eastAsia="Times New Roman" w:hAnsi="Georgia" w:cs="Courier New"/>
                <w:color w:val="000000"/>
                <w:sz w:val="20"/>
                <w:szCs w:val="20"/>
              </w:rPr>
            </w:pPr>
            <w:r w:rsidRPr="00C30012">
              <w:rPr>
                <w:rFonts w:ascii="Georgia" w:eastAsia="Times New Roman" w:hAnsi="Georgia" w:cs="Courier New"/>
                <w:color w:val="000000"/>
                <w:sz w:val="20"/>
                <w:szCs w:val="20"/>
              </w:rPr>
              <w:t>Nanomaterials</w:t>
            </w:r>
          </w:p>
          <w:p w:rsidR="00C30012" w:rsidRPr="00C30012" w:rsidRDefault="00C30012" w:rsidP="00C30012">
            <w:pPr>
              <w:autoSpaceDE w:val="0"/>
              <w:autoSpaceDN w:val="0"/>
              <w:adjustRightInd w:val="0"/>
              <w:rPr>
                <w:rFonts w:ascii="Georgia" w:eastAsia="Times New Roman" w:hAnsi="Georgia" w:cs="Courier New"/>
                <w:color w:val="000000"/>
                <w:sz w:val="20"/>
                <w:szCs w:val="20"/>
              </w:rPr>
            </w:pPr>
            <w:r w:rsidRPr="00C30012">
              <w:rPr>
                <w:rFonts w:ascii="Georgia" w:eastAsia="Times New Roman" w:hAnsi="Georgia" w:cs="Courier New"/>
                <w:color w:val="000000"/>
                <w:sz w:val="20"/>
                <w:szCs w:val="20"/>
              </w:rPr>
              <w:t>Workers</w:t>
            </w:r>
          </w:p>
        </w:tc>
        <w:tc>
          <w:tcPr>
            <w:tcW w:w="1530" w:type="dxa"/>
            <w:tcBorders>
              <w:top w:val="single" w:sz="8" w:space="0" w:color="000000"/>
              <w:left w:val="single" w:sz="8" w:space="0" w:color="000000"/>
              <w:bottom w:val="single" w:sz="8" w:space="0" w:color="000000"/>
              <w:right w:val="single" w:sz="8" w:space="0" w:color="000000"/>
            </w:tcBorders>
            <w:hideMark/>
          </w:tcPr>
          <w:p w:rsidR="00C30012" w:rsidRPr="00C30012" w:rsidRDefault="00C30012" w:rsidP="00C30012">
            <w:pPr>
              <w:autoSpaceDE w:val="0"/>
              <w:autoSpaceDN w:val="0"/>
              <w:adjustRightInd w:val="0"/>
              <w:jc w:val="center"/>
              <w:rPr>
                <w:rFonts w:ascii="Georgia" w:eastAsia="Times New Roman" w:hAnsi="Georgia" w:cs="Courier New"/>
                <w:color w:val="000000"/>
                <w:sz w:val="20"/>
                <w:szCs w:val="20"/>
              </w:rPr>
            </w:pPr>
            <w:r w:rsidRPr="00C30012">
              <w:rPr>
                <w:rFonts w:ascii="Georgia" w:eastAsia="Times New Roman" w:hAnsi="Georgia" w:cs="Courier New"/>
                <w:color w:val="000000"/>
                <w:sz w:val="20"/>
                <w:szCs w:val="20"/>
              </w:rPr>
              <w:t>Questionnaire</w:t>
            </w:r>
          </w:p>
        </w:tc>
        <w:tc>
          <w:tcPr>
            <w:tcW w:w="1440" w:type="dxa"/>
            <w:tcBorders>
              <w:top w:val="single" w:sz="8" w:space="0" w:color="000000"/>
              <w:left w:val="single" w:sz="8" w:space="0" w:color="000000"/>
              <w:bottom w:val="single" w:sz="8" w:space="0" w:color="000000"/>
              <w:right w:val="single" w:sz="8" w:space="0" w:color="000000"/>
            </w:tcBorders>
          </w:tcPr>
          <w:p w:rsidR="00C30012" w:rsidRPr="00C30012" w:rsidRDefault="00C30012" w:rsidP="00C30012">
            <w:pPr>
              <w:autoSpaceDE w:val="0"/>
              <w:autoSpaceDN w:val="0"/>
              <w:adjustRightInd w:val="0"/>
              <w:spacing w:after="0" w:line="240" w:lineRule="auto"/>
              <w:jc w:val="center"/>
              <w:rPr>
                <w:rFonts w:ascii="Georgia" w:eastAsia="Times New Roman" w:hAnsi="Georgia" w:cs="Courier New"/>
                <w:color w:val="000000"/>
                <w:sz w:val="20"/>
                <w:szCs w:val="20"/>
              </w:rPr>
            </w:pPr>
            <w:r w:rsidRPr="00C30012">
              <w:rPr>
                <w:rFonts w:ascii="Georgia" w:eastAsia="Times New Roman" w:hAnsi="Georgia" w:cs="Courier New"/>
                <w:color w:val="000000"/>
                <w:sz w:val="20"/>
                <w:szCs w:val="20"/>
              </w:rPr>
              <w:t>33</w:t>
            </w:r>
          </w:p>
          <w:p w:rsidR="00C30012" w:rsidRPr="00C30012" w:rsidRDefault="00C30012" w:rsidP="00C30012">
            <w:pPr>
              <w:autoSpaceDE w:val="0"/>
              <w:autoSpaceDN w:val="0"/>
              <w:adjustRightInd w:val="0"/>
              <w:jc w:val="center"/>
              <w:rPr>
                <w:rFonts w:ascii="Georgia" w:eastAsia="Times New Roman" w:hAnsi="Georgia" w:cs="Courier New"/>
                <w:color w:val="000000"/>
                <w:sz w:val="20"/>
                <w:szCs w:val="20"/>
              </w:rPr>
            </w:pPr>
          </w:p>
        </w:tc>
        <w:tc>
          <w:tcPr>
            <w:tcW w:w="1080" w:type="dxa"/>
            <w:tcBorders>
              <w:top w:val="single" w:sz="8" w:space="0" w:color="000000"/>
              <w:left w:val="single" w:sz="8" w:space="0" w:color="000000"/>
              <w:bottom w:val="single" w:sz="8" w:space="0" w:color="000000"/>
              <w:right w:val="single" w:sz="8" w:space="0" w:color="000000"/>
            </w:tcBorders>
            <w:hideMark/>
          </w:tcPr>
          <w:p w:rsidR="00C30012" w:rsidRPr="00C30012" w:rsidRDefault="00C30012" w:rsidP="00C30012">
            <w:pPr>
              <w:autoSpaceDE w:val="0"/>
              <w:autoSpaceDN w:val="0"/>
              <w:adjustRightInd w:val="0"/>
              <w:jc w:val="center"/>
              <w:rPr>
                <w:rFonts w:ascii="Georgia" w:eastAsia="Times New Roman" w:hAnsi="Georgia" w:cs="Courier New"/>
                <w:color w:val="000000"/>
                <w:sz w:val="20"/>
                <w:szCs w:val="20"/>
              </w:rPr>
            </w:pPr>
            <w:r w:rsidRPr="00C30012">
              <w:rPr>
                <w:rFonts w:ascii="Georgia" w:eastAsia="Times New Roman" w:hAnsi="Georgia" w:cs="Courier New"/>
                <w:color w:val="000000"/>
                <w:sz w:val="20"/>
                <w:szCs w:val="20"/>
              </w:rPr>
              <w:t>1</w:t>
            </w:r>
          </w:p>
        </w:tc>
        <w:tc>
          <w:tcPr>
            <w:tcW w:w="1321" w:type="dxa"/>
            <w:tcBorders>
              <w:top w:val="single" w:sz="8" w:space="0" w:color="000000"/>
              <w:left w:val="single" w:sz="8" w:space="0" w:color="000000"/>
              <w:bottom w:val="single" w:sz="8" w:space="0" w:color="000000"/>
              <w:right w:val="single" w:sz="8" w:space="0" w:color="000000"/>
            </w:tcBorders>
            <w:hideMark/>
          </w:tcPr>
          <w:p w:rsidR="00C30012" w:rsidRPr="00C30012" w:rsidRDefault="00C30012" w:rsidP="00C30012">
            <w:pPr>
              <w:autoSpaceDE w:val="0"/>
              <w:autoSpaceDN w:val="0"/>
              <w:adjustRightInd w:val="0"/>
              <w:jc w:val="center"/>
              <w:rPr>
                <w:rFonts w:ascii="Georgia" w:eastAsia="Times New Roman" w:hAnsi="Georgia" w:cs="Courier New"/>
                <w:color w:val="000000"/>
                <w:sz w:val="20"/>
                <w:szCs w:val="20"/>
              </w:rPr>
            </w:pPr>
            <w:r w:rsidRPr="00C30012">
              <w:rPr>
                <w:rFonts w:ascii="Georgia" w:eastAsia="Times New Roman" w:hAnsi="Georgia" w:cs="Courier New"/>
                <w:color w:val="000000"/>
                <w:sz w:val="20"/>
                <w:szCs w:val="20"/>
              </w:rPr>
              <w:t xml:space="preserve">22/60 </w:t>
            </w:r>
          </w:p>
        </w:tc>
        <w:tc>
          <w:tcPr>
            <w:tcW w:w="1381" w:type="dxa"/>
            <w:tcBorders>
              <w:top w:val="single" w:sz="8" w:space="0" w:color="000000"/>
              <w:left w:val="single" w:sz="8" w:space="0" w:color="000000"/>
              <w:bottom w:val="single" w:sz="8" w:space="0" w:color="000000"/>
              <w:right w:val="single" w:sz="8" w:space="0" w:color="000000"/>
            </w:tcBorders>
            <w:hideMark/>
          </w:tcPr>
          <w:p w:rsidR="00C30012" w:rsidRPr="00C30012" w:rsidRDefault="00C30012" w:rsidP="001F5722">
            <w:pPr>
              <w:autoSpaceDE w:val="0"/>
              <w:autoSpaceDN w:val="0"/>
              <w:adjustRightInd w:val="0"/>
              <w:jc w:val="center"/>
              <w:rPr>
                <w:rFonts w:ascii="Georgia" w:eastAsia="Times New Roman" w:hAnsi="Georgia" w:cs="Courier New"/>
                <w:color w:val="000000"/>
                <w:sz w:val="20"/>
                <w:szCs w:val="20"/>
              </w:rPr>
            </w:pPr>
            <w:r w:rsidRPr="00C30012">
              <w:rPr>
                <w:rFonts w:ascii="Georgia" w:eastAsia="Times New Roman" w:hAnsi="Georgia" w:cs="Courier New"/>
                <w:color w:val="000000"/>
                <w:sz w:val="20"/>
                <w:szCs w:val="20"/>
              </w:rPr>
              <w:t>12</w:t>
            </w:r>
          </w:p>
        </w:tc>
      </w:tr>
      <w:tr w:rsidR="00C30012" w:rsidRPr="00C30012" w:rsidTr="00250F2F">
        <w:trPr>
          <w:trHeight w:val="253"/>
        </w:trPr>
        <w:tc>
          <w:tcPr>
            <w:tcW w:w="1538" w:type="dxa"/>
            <w:tcBorders>
              <w:top w:val="single" w:sz="8" w:space="0" w:color="000000"/>
              <w:left w:val="single" w:sz="8" w:space="0" w:color="000000"/>
              <w:bottom w:val="single" w:sz="8" w:space="0" w:color="000000"/>
              <w:right w:val="single" w:sz="8" w:space="0" w:color="000000"/>
            </w:tcBorders>
            <w:hideMark/>
          </w:tcPr>
          <w:p w:rsidR="00C30012" w:rsidRPr="00C30012" w:rsidRDefault="00C30012" w:rsidP="00C30012">
            <w:pPr>
              <w:autoSpaceDE w:val="0"/>
              <w:autoSpaceDN w:val="0"/>
              <w:adjustRightInd w:val="0"/>
              <w:rPr>
                <w:rFonts w:ascii="Georgia" w:eastAsia="Times New Roman" w:hAnsi="Georgia" w:cs="Courier New"/>
                <w:color w:val="000000"/>
                <w:sz w:val="20"/>
                <w:szCs w:val="20"/>
              </w:rPr>
            </w:pPr>
            <w:r w:rsidRPr="00C30012">
              <w:rPr>
                <w:rFonts w:ascii="Georgia" w:eastAsia="Times New Roman" w:hAnsi="Georgia" w:cs="Courier New"/>
                <w:color w:val="000000"/>
                <w:sz w:val="20"/>
                <w:szCs w:val="20"/>
              </w:rPr>
              <w:t xml:space="preserve">Nanomaterials </w:t>
            </w:r>
            <w:r w:rsidRPr="00C30012">
              <w:rPr>
                <w:rFonts w:ascii="Georgia" w:eastAsia="Times New Roman" w:hAnsi="Georgia" w:cs="Courier New"/>
                <w:color w:val="000000"/>
                <w:sz w:val="20"/>
                <w:szCs w:val="20"/>
              </w:rPr>
              <w:lastRenderedPageBreak/>
              <w:t>Workers</w:t>
            </w:r>
          </w:p>
        </w:tc>
        <w:tc>
          <w:tcPr>
            <w:tcW w:w="1530" w:type="dxa"/>
            <w:tcBorders>
              <w:top w:val="single" w:sz="8" w:space="0" w:color="000000"/>
              <w:left w:val="single" w:sz="8" w:space="0" w:color="000000"/>
              <w:bottom w:val="single" w:sz="8" w:space="0" w:color="000000"/>
              <w:right w:val="single" w:sz="8" w:space="0" w:color="000000"/>
            </w:tcBorders>
            <w:hideMark/>
          </w:tcPr>
          <w:p w:rsidR="00C30012" w:rsidRPr="00C30012" w:rsidRDefault="00C30012" w:rsidP="00C30012">
            <w:pPr>
              <w:autoSpaceDE w:val="0"/>
              <w:autoSpaceDN w:val="0"/>
              <w:adjustRightInd w:val="0"/>
              <w:jc w:val="center"/>
              <w:rPr>
                <w:rFonts w:ascii="Georgia" w:eastAsia="Times New Roman" w:hAnsi="Georgia" w:cs="Courier New"/>
                <w:color w:val="000000"/>
                <w:sz w:val="20"/>
                <w:szCs w:val="20"/>
              </w:rPr>
            </w:pPr>
            <w:r w:rsidRPr="00C30012">
              <w:rPr>
                <w:rFonts w:ascii="Georgia" w:eastAsia="Times New Roman" w:hAnsi="Georgia" w:cs="Courier New"/>
                <w:color w:val="000000"/>
                <w:sz w:val="20"/>
                <w:szCs w:val="20"/>
              </w:rPr>
              <w:lastRenderedPageBreak/>
              <w:t xml:space="preserve">Informed </w:t>
            </w:r>
            <w:r w:rsidRPr="00C30012">
              <w:rPr>
                <w:rFonts w:ascii="Georgia" w:eastAsia="Times New Roman" w:hAnsi="Georgia" w:cs="Courier New"/>
                <w:color w:val="000000"/>
                <w:sz w:val="20"/>
                <w:szCs w:val="20"/>
              </w:rPr>
              <w:lastRenderedPageBreak/>
              <w:t>Consent</w:t>
            </w:r>
          </w:p>
        </w:tc>
        <w:tc>
          <w:tcPr>
            <w:tcW w:w="1440" w:type="dxa"/>
            <w:tcBorders>
              <w:top w:val="single" w:sz="8" w:space="0" w:color="000000"/>
              <w:left w:val="single" w:sz="8" w:space="0" w:color="000000"/>
              <w:bottom w:val="single" w:sz="8" w:space="0" w:color="000000"/>
              <w:right w:val="single" w:sz="8" w:space="0" w:color="000000"/>
            </w:tcBorders>
            <w:hideMark/>
          </w:tcPr>
          <w:p w:rsidR="00C30012" w:rsidRPr="00C30012" w:rsidRDefault="00C30012" w:rsidP="001F5722">
            <w:pPr>
              <w:autoSpaceDE w:val="0"/>
              <w:autoSpaceDN w:val="0"/>
              <w:adjustRightInd w:val="0"/>
              <w:jc w:val="center"/>
              <w:rPr>
                <w:rFonts w:ascii="Georgia" w:eastAsia="Times New Roman" w:hAnsi="Georgia" w:cs="Courier New"/>
                <w:color w:val="000000"/>
                <w:sz w:val="20"/>
                <w:szCs w:val="20"/>
              </w:rPr>
            </w:pPr>
            <w:r w:rsidRPr="00C30012">
              <w:rPr>
                <w:rFonts w:ascii="Georgia" w:eastAsia="Times New Roman" w:hAnsi="Georgia" w:cs="Courier New"/>
                <w:color w:val="000000"/>
                <w:sz w:val="20"/>
                <w:szCs w:val="20"/>
              </w:rPr>
              <w:lastRenderedPageBreak/>
              <w:t>33</w:t>
            </w:r>
          </w:p>
        </w:tc>
        <w:tc>
          <w:tcPr>
            <w:tcW w:w="1080" w:type="dxa"/>
            <w:tcBorders>
              <w:top w:val="single" w:sz="8" w:space="0" w:color="000000"/>
              <w:left w:val="single" w:sz="8" w:space="0" w:color="000000"/>
              <w:bottom w:val="single" w:sz="8" w:space="0" w:color="000000"/>
              <w:right w:val="single" w:sz="8" w:space="0" w:color="000000"/>
            </w:tcBorders>
            <w:hideMark/>
          </w:tcPr>
          <w:p w:rsidR="00C30012" w:rsidRPr="00C30012" w:rsidRDefault="00C30012" w:rsidP="00C30012">
            <w:pPr>
              <w:autoSpaceDE w:val="0"/>
              <w:autoSpaceDN w:val="0"/>
              <w:adjustRightInd w:val="0"/>
              <w:jc w:val="center"/>
              <w:rPr>
                <w:rFonts w:ascii="Georgia" w:eastAsia="Times New Roman" w:hAnsi="Georgia" w:cs="Courier New"/>
                <w:color w:val="000000"/>
                <w:sz w:val="20"/>
                <w:szCs w:val="20"/>
              </w:rPr>
            </w:pPr>
            <w:r w:rsidRPr="00C30012">
              <w:rPr>
                <w:rFonts w:ascii="Georgia" w:eastAsia="Times New Roman" w:hAnsi="Georgia" w:cs="Courier New"/>
                <w:color w:val="000000"/>
                <w:sz w:val="20"/>
                <w:szCs w:val="20"/>
              </w:rPr>
              <w:t>1</w:t>
            </w:r>
          </w:p>
        </w:tc>
        <w:tc>
          <w:tcPr>
            <w:tcW w:w="1321" w:type="dxa"/>
            <w:tcBorders>
              <w:top w:val="single" w:sz="8" w:space="0" w:color="000000"/>
              <w:left w:val="single" w:sz="8" w:space="0" w:color="000000"/>
              <w:bottom w:val="single" w:sz="8" w:space="0" w:color="000000"/>
              <w:right w:val="single" w:sz="8" w:space="0" w:color="000000"/>
            </w:tcBorders>
          </w:tcPr>
          <w:p w:rsidR="00C30012" w:rsidRPr="00C30012" w:rsidRDefault="00C30012" w:rsidP="00C30012">
            <w:pPr>
              <w:autoSpaceDE w:val="0"/>
              <w:autoSpaceDN w:val="0"/>
              <w:adjustRightInd w:val="0"/>
              <w:jc w:val="center"/>
              <w:rPr>
                <w:rFonts w:ascii="Georgia" w:eastAsia="Times New Roman" w:hAnsi="Georgia" w:cs="Courier New"/>
                <w:color w:val="000000" w:themeColor="text1"/>
                <w:sz w:val="20"/>
                <w:szCs w:val="20"/>
              </w:rPr>
            </w:pPr>
            <w:r w:rsidRPr="00C30012">
              <w:rPr>
                <w:rFonts w:ascii="Georgia" w:eastAsia="Times New Roman" w:hAnsi="Georgia" w:cs="Courier New"/>
                <w:color w:val="000000" w:themeColor="text1"/>
                <w:sz w:val="20"/>
                <w:szCs w:val="20"/>
              </w:rPr>
              <w:t>20/60</w:t>
            </w:r>
          </w:p>
        </w:tc>
        <w:tc>
          <w:tcPr>
            <w:tcW w:w="1381" w:type="dxa"/>
            <w:tcBorders>
              <w:top w:val="single" w:sz="8" w:space="0" w:color="000000"/>
              <w:left w:val="single" w:sz="8" w:space="0" w:color="000000"/>
              <w:bottom w:val="single" w:sz="8" w:space="0" w:color="000000"/>
              <w:right w:val="single" w:sz="8" w:space="0" w:color="000000"/>
            </w:tcBorders>
          </w:tcPr>
          <w:p w:rsidR="00C30012" w:rsidRPr="00C30012" w:rsidRDefault="00C30012" w:rsidP="001F5722">
            <w:pPr>
              <w:autoSpaceDE w:val="0"/>
              <w:autoSpaceDN w:val="0"/>
              <w:adjustRightInd w:val="0"/>
              <w:jc w:val="center"/>
              <w:rPr>
                <w:rFonts w:ascii="Georgia" w:eastAsia="Times New Roman" w:hAnsi="Georgia" w:cs="Courier New"/>
                <w:color w:val="000000" w:themeColor="text1"/>
                <w:sz w:val="20"/>
                <w:szCs w:val="20"/>
              </w:rPr>
            </w:pPr>
            <w:r w:rsidRPr="00C30012">
              <w:rPr>
                <w:rFonts w:ascii="Georgia" w:eastAsia="Times New Roman" w:hAnsi="Georgia" w:cs="Courier New"/>
                <w:color w:val="000000" w:themeColor="text1"/>
                <w:sz w:val="20"/>
                <w:szCs w:val="20"/>
              </w:rPr>
              <w:t>11</w:t>
            </w:r>
          </w:p>
        </w:tc>
      </w:tr>
      <w:tr w:rsidR="007B1B81" w:rsidRPr="00C30012" w:rsidTr="00250F2F">
        <w:trPr>
          <w:trHeight w:val="253"/>
        </w:trPr>
        <w:tc>
          <w:tcPr>
            <w:tcW w:w="1538" w:type="dxa"/>
            <w:tcBorders>
              <w:top w:val="single" w:sz="8" w:space="0" w:color="000000"/>
              <w:left w:val="single" w:sz="8" w:space="0" w:color="000000"/>
              <w:bottom w:val="single" w:sz="8" w:space="0" w:color="000000"/>
              <w:right w:val="single" w:sz="8" w:space="0" w:color="000000"/>
            </w:tcBorders>
          </w:tcPr>
          <w:p w:rsidR="007B1B81" w:rsidRPr="00C30012" w:rsidRDefault="007B1B81" w:rsidP="00C30012">
            <w:pPr>
              <w:autoSpaceDE w:val="0"/>
              <w:autoSpaceDN w:val="0"/>
              <w:adjustRightInd w:val="0"/>
              <w:rPr>
                <w:rFonts w:ascii="Georgia" w:eastAsia="Times New Roman" w:hAnsi="Georgia" w:cs="Courier New"/>
                <w:color w:val="000000"/>
                <w:sz w:val="20"/>
                <w:szCs w:val="20"/>
              </w:rPr>
            </w:pPr>
            <w:r>
              <w:rPr>
                <w:rFonts w:ascii="Georgia" w:eastAsia="Times New Roman" w:hAnsi="Georgia" w:cs="Courier New"/>
                <w:color w:val="000000"/>
                <w:sz w:val="20"/>
                <w:szCs w:val="20"/>
              </w:rPr>
              <w:lastRenderedPageBreak/>
              <w:t>Nanomaterials Workers</w:t>
            </w:r>
          </w:p>
        </w:tc>
        <w:tc>
          <w:tcPr>
            <w:tcW w:w="1530" w:type="dxa"/>
            <w:tcBorders>
              <w:top w:val="single" w:sz="8" w:space="0" w:color="000000"/>
              <w:left w:val="single" w:sz="8" w:space="0" w:color="000000"/>
              <w:bottom w:val="single" w:sz="8" w:space="0" w:color="000000"/>
              <w:right w:val="single" w:sz="8" w:space="0" w:color="000000"/>
            </w:tcBorders>
          </w:tcPr>
          <w:p w:rsidR="007B1B81" w:rsidRPr="00C30012" w:rsidRDefault="007B1B81" w:rsidP="006F2BBC">
            <w:pPr>
              <w:autoSpaceDE w:val="0"/>
              <w:autoSpaceDN w:val="0"/>
              <w:adjustRightInd w:val="0"/>
              <w:jc w:val="center"/>
              <w:rPr>
                <w:rFonts w:ascii="Georgia" w:eastAsia="Times New Roman" w:hAnsi="Georgia" w:cs="Courier New"/>
                <w:color w:val="000000"/>
                <w:sz w:val="20"/>
                <w:szCs w:val="20"/>
              </w:rPr>
            </w:pPr>
            <w:r>
              <w:rPr>
                <w:rFonts w:ascii="Georgia" w:eastAsia="Times New Roman" w:hAnsi="Georgia" w:cs="Courier New"/>
                <w:color w:val="000000"/>
                <w:sz w:val="20"/>
                <w:szCs w:val="20"/>
              </w:rPr>
              <w:t>Medical examination</w:t>
            </w:r>
            <w:r w:rsidR="006F2BBC">
              <w:rPr>
                <w:rFonts w:ascii="Georgia" w:eastAsia="Times New Roman" w:hAnsi="Georgia" w:cs="Courier New"/>
                <w:color w:val="000000"/>
                <w:sz w:val="20"/>
                <w:szCs w:val="20"/>
              </w:rPr>
              <w:t xml:space="preserve">, </w:t>
            </w:r>
            <w:r>
              <w:rPr>
                <w:rFonts w:ascii="Georgia" w:eastAsia="Times New Roman" w:hAnsi="Georgia" w:cs="Courier New"/>
                <w:color w:val="000000"/>
                <w:sz w:val="20"/>
                <w:szCs w:val="20"/>
              </w:rPr>
              <w:t>biospecimen collection</w:t>
            </w:r>
            <w:r w:rsidR="006F2BBC">
              <w:rPr>
                <w:rFonts w:ascii="Georgia" w:eastAsia="Times New Roman" w:hAnsi="Georgia" w:cs="Courier New"/>
                <w:color w:val="000000"/>
                <w:sz w:val="20"/>
                <w:szCs w:val="20"/>
              </w:rPr>
              <w:t>, and exposure monitoring</w:t>
            </w:r>
          </w:p>
        </w:tc>
        <w:tc>
          <w:tcPr>
            <w:tcW w:w="1440" w:type="dxa"/>
            <w:tcBorders>
              <w:top w:val="single" w:sz="8" w:space="0" w:color="000000"/>
              <w:left w:val="single" w:sz="8" w:space="0" w:color="000000"/>
              <w:bottom w:val="single" w:sz="8" w:space="0" w:color="000000"/>
              <w:right w:val="single" w:sz="8" w:space="0" w:color="000000"/>
            </w:tcBorders>
          </w:tcPr>
          <w:p w:rsidR="007B1B81" w:rsidRPr="00C30012" w:rsidRDefault="007B1B81" w:rsidP="001F5722">
            <w:pPr>
              <w:autoSpaceDE w:val="0"/>
              <w:autoSpaceDN w:val="0"/>
              <w:adjustRightInd w:val="0"/>
              <w:jc w:val="center"/>
              <w:rPr>
                <w:rFonts w:ascii="Georgia" w:eastAsia="Times New Roman" w:hAnsi="Georgia" w:cs="Courier New"/>
                <w:color w:val="000000"/>
                <w:sz w:val="20"/>
                <w:szCs w:val="20"/>
              </w:rPr>
            </w:pPr>
            <w:r>
              <w:rPr>
                <w:rFonts w:ascii="Georgia" w:eastAsia="Times New Roman" w:hAnsi="Georgia" w:cs="Courier New"/>
                <w:color w:val="000000"/>
                <w:sz w:val="20"/>
                <w:szCs w:val="20"/>
              </w:rPr>
              <w:t>33</w:t>
            </w:r>
          </w:p>
        </w:tc>
        <w:tc>
          <w:tcPr>
            <w:tcW w:w="1080" w:type="dxa"/>
            <w:tcBorders>
              <w:top w:val="single" w:sz="8" w:space="0" w:color="000000"/>
              <w:left w:val="single" w:sz="8" w:space="0" w:color="000000"/>
              <w:bottom w:val="single" w:sz="8" w:space="0" w:color="000000"/>
              <w:right w:val="single" w:sz="8" w:space="0" w:color="000000"/>
            </w:tcBorders>
          </w:tcPr>
          <w:p w:rsidR="007B1B81" w:rsidRPr="00C30012" w:rsidRDefault="007B1B81" w:rsidP="00C30012">
            <w:pPr>
              <w:autoSpaceDE w:val="0"/>
              <w:autoSpaceDN w:val="0"/>
              <w:adjustRightInd w:val="0"/>
              <w:jc w:val="center"/>
              <w:rPr>
                <w:rFonts w:ascii="Georgia" w:eastAsia="Times New Roman" w:hAnsi="Georgia" w:cs="Courier New"/>
                <w:color w:val="000000"/>
                <w:sz w:val="20"/>
                <w:szCs w:val="20"/>
              </w:rPr>
            </w:pPr>
            <w:r>
              <w:rPr>
                <w:rFonts w:ascii="Georgia" w:eastAsia="Times New Roman" w:hAnsi="Georgia" w:cs="Courier New"/>
                <w:color w:val="000000"/>
                <w:sz w:val="20"/>
                <w:szCs w:val="20"/>
              </w:rPr>
              <w:t>1</w:t>
            </w:r>
          </w:p>
        </w:tc>
        <w:tc>
          <w:tcPr>
            <w:tcW w:w="1321" w:type="dxa"/>
            <w:tcBorders>
              <w:top w:val="single" w:sz="8" w:space="0" w:color="000000"/>
              <w:left w:val="single" w:sz="8" w:space="0" w:color="000000"/>
              <w:bottom w:val="single" w:sz="8" w:space="0" w:color="000000"/>
              <w:right w:val="single" w:sz="8" w:space="0" w:color="000000"/>
            </w:tcBorders>
          </w:tcPr>
          <w:p w:rsidR="007B1B81" w:rsidRPr="00C30012" w:rsidRDefault="000F3F8D" w:rsidP="00C30012">
            <w:pPr>
              <w:autoSpaceDE w:val="0"/>
              <w:autoSpaceDN w:val="0"/>
              <w:adjustRightInd w:val="0"/>
              <w:jc w:val="center"/>
              <w:rPr>
                <w:rFonts w:ascii="Georgia" w:eastAsia="Times New Roman" w:hAnsi="Georgia" w:cs="Courier New"/>
                <w:color w:val="000000" w:themeColor="text1"/>
                <w:sz w:val="20"/>
                <w:szCs w:val="20"/>
              </w:rPr>
            </w:pPr>
            <w:r>
              <w:rPr>
                <w:rFonts w:ascii="Georgia" w:eastAsia="Times New Roman" w:hAnsi="Georgia" w:cs="Courier New"/>
                <w:color w:val="000000" w:themeColor="text1"/>
                <w:sz w:val="20"/>
                <w:szCs w:val="20"/>
              </w:rPr>
              <w:t>1.3</w:t>
            </w:r>
            <w:bookmarkStart w:id="26" w:name="_GoBack"/>
            <w:bookmarkEnd w:id="26"/>
          </w:p>
        </w:tc>
        <w:tc>
          <w:tcPr>
            <w:tcW w:w="1381" w:type="dxa"/>
            <w:tcBorders>
              <w:top w:val="single" w:sz="8" w:space="0" w:color="000000"/>
              <w:left w:val="single" w:sz="8" w:space="0" w:color="000000"/>
              <w:bottom w:val="single" w:sz="8" w:space="0" w:color="000000"/>
              <w:right w:val="single" w:sz="8" w:space="0" w:color="000000"/>
            </w:tcBorders>
          </w:tcPr>
          <w:p w:rsidR="007B1B81" w:rsidRPr="00C30012" w:rsidRDefault="006F2BBC" w:rsidP="00535B62">
            <w:pPr>
              <w:autoSpaceDE w:val="0"/>
              <w:autoSpaceDN w:val="0"/>
              <w:adjustRightInd w:val="0"/>
              <w:jc w:val="center"/>
              <w:rPr>
                <w:rFonts w:ascii="Georgia" w:eastAsia="Times New Roman" w:hAnsi="Georgia" w:cs="Courier New"/>
                <w:color w:val="000000" w:themeColor="text1"/>
                <w:sz w:val="20"/>
                <w:szCs w:val="20"/>
              </w:rPr>
            </w:pPr>
            <w:r>
              <w:rPr>
                <w:rFonts w:ascii="Georgia" w:eastAsia="Times New Roman" w:hAnsi="Georgia" w:cs="Courier New"/>
                <w:color w:val="000000" w:themeColor="text1"/>
                <w:sz w:val="20"/>
                <w:szCs w:val="20"/>
              </w:rPr>
              <w:t>4</w:t>
            </w:r>
            <w:r w:rsidR="00535B62">
              <w:rPr>
                <w:rFonts w:ascii="Georgia" w:eastAsia="Times New Roman" w:hAnsi="Georgia" w:cs="Courier New"/>
                <w:color w:val="000000" w:themeColor="text1"/>
                <w:sz w:val="20"/>
                <w:szCs w:val="20"/>
              </w:rPr>
              <w:t>3</w:t>
            </w:r>
          </w:p>
        </w:tc>
      </w:tr>
      <w:tr w:rsidR="00C30012" w:rsidRPr="00C30012" w:rsidTr="00C30012">
        <w:trPr>
          <w:trHeight w:val="253"/>
        </w:trPr>
        <w:tc>
          <w:tcPr>
            <w:tcW w:w="1538" w:type="dxa"/>
            <w:tcBorders>
              <w:top w:val="single" w:sz="8" w:space="0" w:color="000000"/>
              <w:left w:val="single" w:sz="8" w:space="0" w:color="000000"/>
              <w:bottom w:val="single" w:sz="8" w:space="0" w:color="000000"/>
              <w:right w:val="single" w:sz="8" w:space="0" w:color="000000"/>
            </w:tcBorders>
          </w:tcPr>
          <w:p w:rsidR="00C30012" w:rsidRPr="00C30012" w:rsidRDefault="00C30012" w:rsidP="00C30012">
            <w:pPr>
              <w:autoSpaceDE w:val="0"/>
              <w:autoSpaceDN w:val="0"/>
              <w:adjustRightInd w:val="0"/>
              <w:rPr>
                <w:rFonts w:ascii="Georgia" w:eastAsia="Times New Roman" w:hAnsi="Georgia" w:cs="Courier New"/>
                <w:color w:val="000000"/>
                <w:sz w:val="20"/>
                <w:szCs w:val="20"/>
              </w:rPr>
            </w:pPr>
          </w:p>
        </w:tc>
        <w:tc>
          <w:tcPr>
            <w:tcW w:w="2970" w:type="dxa"/>
            <w:gridSpan w:val="2"/>
            <w:tcBorders>
              <w:top w:val="single" w:sz="8" w:space="0" w:color="000000"/>
              <w:left w:val="single" w:sz="8" w:space="0" w:color="000000"/>
              <w:bottom w:val="single" w:sz="8" w:space="0" w:color="000000"/>
              <w:right w:val="single" w:sz="8" w:space="0" w:color="000000"/>
            </w:tcBorders>
            <w:hideMark/>
          </w:tcPr>
          <w:p w:rsidR="00C30012" w:rsidRPr="00C30012" w:rsidRDefault="00C30012" w:rsidP="00C30012">
            <w:pPr>
              <w:autoSpaceDE w:val="0"/>
              <w:autoSpaceDN w:val="0"/>
              <w:adjustRightInd w:val="0"/>
              <w:rPr>
                <w:rFonts w:ascii="Georgia" w:eastAsia="Times New Roman" w:hAnsi="Georgia" w:cs="Courier New"/>
                <w:color w:val="000000"/>
                <w:sz w:val="20"/>
                <w:szCs w:val="20"/>
              </w:rPr>
            </w:pPr>
            <w:r w:rsidRPr="00C30012">
              <w:rPr>
                <w:rFonts w:ascii="Georgia" w:eastAsia="Times New Roman" w:hAnsi="Georgia" w:cs="Courier New"/>
                <w:color w:val="000000"/>
                <w:sz w:val="20"/>
                <w:szCs w:val="20"/>
              </w:rPr>
              <w:t xml:space="preserve">Total  </w:t>
            </w:r>
          </w:p>
        </w:tc>
        <w:tc>
          <w:tcPr>
            <w:tcW w:w="3782" w:type="dxa"/>
            <w:gridSpan w:val="3"/>
            <w:tcBorders>
              <w:top w:val="single" w:sz="8" w:space="0" w:color="000000"/>
              <w:left w:val="single" w:sz="8" w:space="0" w:color="000000"/>
              <w:bottom w:val="single" w:sz="8" w:space="0" w:color="000000"/>
              <w:right w:val="single" w:sz="8" w:space="0" w:color="000000"/>
            </w:tcBorders>
            <w:hideMark/>
          </w:tcPr>
          <w:p w:rsidR="00C30012" w:rsidRPr="00C30012" w:rsidRDefault="00C30012" w:rsidP="00535B62">
            <w:pPr>
              <w:autoSpaceDE w:val="0"/>
              <w:autoSpaceDN w:val="0"/>
              <w:adjustRightInd w:val="0"/>
              <w:jc w:val="center"/>
              <w:rPr>
                <w:rFonts w:ascii="Georgia" w:eastAsia="Times New Roman" w:hAnsi="Georgia" w:cs="Courier New"/>
                <w:color w:val="000000" w:themeColor="text1"/>
                <w:sz w:val="20"/>
                <w:szCs w:val="20"/>
              </w:rPr>
            </w:pPr>
            <w:r w:rsidRPr="00C30012">
              <w:rPr>
                <w:rFonts w:ascii="Georgia" w:eastAsia="Times New Roman" w:hAnsi="Georgia" w:cs="Courier New"/>
                <w:color w:val="000000" w:themeColor="text1"/>
                <w:sz w:val="20"/>
                <w:szCs w:val="20"/>
              </w:rPr>
              <w:t xml:space="preserve">                                                             </w:t>
            </w:r>
            <w:r w:rsidR="00535B62">
              <w:rPr>
                <w:rFonts w:ascii="Georgia" w:eastAsia="Times New Roman" w:hAnsi="Georgia" w:cs="Courier New"/>
                <w:color w:val="000000" w:themeColor="text1"/>
                <w:sz w:val="20"/>
                <w:szCs w:val="20"/>
              </w:rPr>
              <w:t>66</w:t>
            </w:r>
          </w:p>
        </w:tc>
      </w:tr>
    </w:tbl>
    <w:p w:rsidR="001752EB" w:rsidRDefault="001752EB" w:rsidP="001752EB">
      <w:pPr>
        <w:autoSpaceDE w:val="0"/>
        <w:autoSpaceDN w:val="0"/>
        <w:adjustRightInd w:val="0"/>
        <w:spacing w:after="100" w:afterAutospacing="1" w:line="360" w:lineRule="auto"/>
        <w:ind w:left="360"/>
        <w:rPr>
          <w:rFonts w:ascii="Georgia" w:hAnsi="Georgia"/>
          <w:sz w:val="24"/>
          <w:szCs w:val="24"/>
        </w:rPr>
      </w:pPr>
    </w:p>
    <w:p w:rsidR="00DE6EA7" w:rsidRPr="001752EB" w:rsidRDefault="001752EB" w:rsidP="001752EB">
      <w:pPr>
        <w:autoSpaceDE w:val="0"/>
        <w:autoSpaceDN w:val="0"/>
        <w:adjustRightInd w:val="0"/>
        <w:spacing w:after="100" w:afterAutospacing="1" w:line="360" w:lineRule="auto"/>
        <w:ind w:left="360"/>
        <w:rPr>
          <w:rFonts w:ascii="Georgia" w:hAnsi="Georgia"/>
          <w:sz w:val="24"/>
          <w:szCs w:val="24"/>
        </w:rPr>
      </w:pPr>
      <w:r>
        <w:rPr>
          <w:rFonts w:ascii="Georgia" w:hAnsi="Georgia"/>
          <w:sz w:val="24"/>
          <w:szCs w:val="24"/>
        </w:rPr>
        <w:t xml:space="preserve">B. </w:t>
      </w:r>
      <w:r w:rsidR="00516E13">
        <w:rPr>
          <w:rFonts w:ascii="Georgia" w:hAnsi="Georgia"/>
          <w:sz w:val="24"/>
          <w:szCs w:val="24"/>
        </w:rPr>
        <w:t xml:space="preserve">Estimated </w:t>
      </w:r>
      <w:r>
        <w:rPr>
          <w:rFonts w:ascii="Georgia" w:hAnsi="Georgia"/>
          <w:sz w:val="24"/>
          <w:szCs w:val="24"/>
        </w:rPr>
        <w:t>A</w:t>
      </w:r>
      <w:r w:rsidR="00DE6EA7" w:rsidRPr="001752EB">
        <w:rPr>
          <w:rFonts w:ascii="Georgia" w:hAnsi="Georgia"/>
          <w:sz w:val="24"/>
          <w:szCs w:val="24"/>
        </w:rPr>
        <w:t>nnualized Cost to Respondents</w:t>
      </w:r>
    </w:p>
    <w:p w:rsidR="00AF1E97" w:rsidRDefault="00DE6EA7" w:rsidP="00DF4D93">
      <w:pPr>
        <w:autoSpaceDE w:val="0"/>
        <w:autoSpaceDN w:val="0"/>
        <w:adjustRightInd w:val="0"/>
        <w:spacing w:after="100" w:afterAutospacing="1" w:line="360" w:lineRule="auto"/>
        <w:ind w:left="360"/>
        <w:rPr>
          <w:rFonts w:ascii="Georgia" w:hAnsi="Georgia"/>
          <w:sz w:val="24"/>
          <w:szCs w:val="24"/>
        </w:rPr>
      </w:pPr>
      <w:r>
        <w:rPr>
          <w:rFonts w:ascii="Georgia" w:hAnsi="Georgia"/>
          <w:sz w:val="24"/>
          <w:szCs w:val="24"/>
        </w:rPr>
        <w:t>The total estimated annualized cost to respondents is $</w:t>
      </w:r>
      <w:r w:rsidR="00702029">
        <w:rPr>
          <w:rFonts w:ascii="Georgia" w:hAnsi="Georgia"/>
          <w:sz w:val="24"/>
          <w:szCs w:val="24"/>
        </w:rPr>
        <w:t>2640</w:t>
      </w:r>
      <w:r>
        <w:rPr>
          <w:rFonts w:ascii="Georgia" w:hAnsi="Georgia"/>
          <w:sz w:val="24"/>
          <w:szCs w:val="24"/>
        </w:rPr>
        <w:t>, as summarized in Table A.12-</w:t>
      </w:r>
      <w:r w:rsidR="00AF1E97">
        <w:rPr>
          <w:rFonts w:ascii="Georgia" w:hAnsi="Georgia"/>
          <w:sz w:val="24"/>
          <w:szCs w:val="24"/>
        </w:rPr>
        <w:t>2</w:t>
      </w:r>
      <w:r>
        <w:rPr>
          <w:rFonts w:ascii="Georgia" w:hAnsi="Georgia"/>
          <w:sz w:val="24"/>
          <w:szCs w:val="24"/>
        </w:rPr>
        <w:t xml:space="preserve">. </w:t>
      </w:r>
      <w:r w:rsidR="00DC2765">
        <w:rPr>
          <w:rFonts w:ascii="Georgia" w:hAnsi="Georgia"/>
          <w:sz w:val="24"/>
          <w:szCs w:val="24"/>
        </w:rPr>
        <w:t xml:space="preserve">The average </w:t>
      </w:r>
      <w:r>
        <w:rPr>
          <w:rFonts w:ascii="Georgia" w:hAnsi="Georgia"/>
          <w:sz w:val="24"/>
          <w:szCs w:val="24"/>
        </w:rPr>
        <w:t xml:space="preserve">hourly wage rate </w:t>
      </w:r>
      <w:r w:rsidR="00ED5618">
        <w:rPr>
          <w:rFonts w:ascii="Georgia" w:hAnsi="Georgia"/>
          <w:sz w:val="24"/>
          <w:szCs w:val="24"/>
        </w:rPr>
        <w:t xml:space="preserve">is </w:t>
      </w:r>
      <w:r w:rsidR="00DC2765">
        <w:rPr>
          <w:rFonts w:ascii="Georgia" w:hAnsi="Georgia"/>
          <w:sz w:val="24"/>
          <w:szCs w:val="24"/>
        </w:rPr>
        <w:t>$40 per worker</w:t>
      </w:r>
      <w:r w:rsidR="00920C7A">
        <w:rPr>
          <w:rFonts w:ascii="Georgia" w:hAnsi="Georgia"/>
          <w:sz w:val="24"/>
          <w:szCs w:val="24"/>
        </w:rPr>
        <w:t xml:space="preserve"> (the 75</w:t>
      </w:r>
      <w:r w:rsidR="00920C7A" w:rsidRPr="00920C7A">
        <w:rPr>
          <w:rFonts w:ascii="Georgia" w:hAnsi="Georgia"/>
          <w:sz w:val="24"/>
          <w:szCs w:val="24"/>
          <w:vertAlign w:val="superscript"/>
        </w:rPr>
        <w:t>th</w:t>
      </w:r>
      <w:r w:rsidR="00920C7A">
        <w:rPr>
          <w:rFonts w:ascii="Georgia" w:hAnsi="Georgia"/>
          <w:sz w:val="24"/>
          <w:szCs w:val="24"/>
        </w:rPr>
        <w:t xml:space="preserve"> percentile hourly wage rate among U.S. Materials Engineer-II in the U.S. as obtained from </w:t>
      </w:r>
      <w:r w:rsidR="00920C7A" w:rsidRPr="00920C7A">
        <w:rPr>
          <w:rFonts w:ascii="Georgia" w:hAnsi="Georgia"/>
          <w:sz w:val="24"/>
          <w:szCs w:val="24"/>
        </w:rPr>
        <w:t>http://www1.salary.com/Materials-Engineer-II-salary.html</w:t>
      </w:r>
      <w:r w:rsidR="00920C7A">
        <w:rPr>
          <w:rFonts w:ascii="Georgia" w:hAnsi="Georgia"/>
          <w:sz w:val="24"/>
          <w:szCs w:val="24"/>
        </w:rPr>
        <w:t>)</w:t>
      </w:r>
      <w:r w:rsidR="00DC2765">
        <w:rPr>
          <w:rFonts w:ascii="Georgia" w:hAnsi="Georgia"/>
          <w:sz w:val="24"/>
          <w:szCs w:val="24"/>
        </w:rPr>
        <w:t xml:space="preserve">. </w:t>
      </w:r>
    </w:p>
    <w:p w:rsidR="005D0D2B" w:rsidRDefault="005D0D2B">
      <w:pPr>
        <w:rPr>
          <w:rFonts w:ascii="Georgia" w:hAnsi="Georgia"/>
          <w:sz w:val="24"/>
          <w:szCs w:val="24"/>
        </w:rPr>
      </w:pPr>
      <w:r>
        <w:rPr>
          <w:rFonts w:ascii="Georgia" w:hAnsi="Georgia"/>
          <w:sz w:val="24"/>
          <w:szCs w:val="24"/>
        </w:rPr>
        <w:br w:type="page"/>
      </w:r>
    </w:p>
    <w:p w:rsidR="007F75B8" w:rsidRDefault="002C4664" w:rsidP="002C4664">
      <w:pPr>
        <w:autoSpaceDE w:val="0"/>
        <w:autoSpaceDN w:val="0"/>
        <w:adjustRightInd w:val="0"/>
        <w:spacing w:after="100" w:afterAutospacing="1" w:line="360" w:lineRule="auto"/>
        <w:ind w:left="360"/>
        <w:jc w:val="center"/>
        <w:rPr>
          <w:rFonts w:ascii="Georgia" w:hAnsi="Georgia"/>
          <w:sz w:val="24"/>
          <w:szCs w:val="24"/>
        </w:rPr>
      </w:pPr>
      <w:r>
        <w:rPr>
          <w:rFonts w:ascii="Georgia" w:hAnsi="Georgia"/>
          <w:sz w:val="24"/>
          <w:szCs w:val="24"/>
        </w:rPr>
        <w:lastRenderedPageBreak/>
        <w:t>Table A.12.2. Annualized Co</w:t>
      </w:r>
      <w:r w:rsidR="00FE2134">
        <w:rPr>
          <w:rFonts w:ascii="Georgia" w:hAnsi="Georgia"/>
          <w:sz w:val="24"/>
          <w:szCs w:val="24"/>
        </w:rPr>
        <w:t>s</w:t>
      </w:r>
      <w:r>
        <w:rPr>
          <w:rFonts w:ascii="Georgia" w:hAnsi="Georgia"/>
          <w:sz w:val="24"/>
          <w:szCs w:val="24"/>
        </w:rPr>
        <w:t>t to Employer</w:t>
      </w:r>
    </w:p>
    <w:tbl>
      <w:tblPr>
        <w:tblW w:w="0" w:type="auto"/>
        <w:tblInd w:w="10" w:type="dxa"/>
        <w:tblBorders>
          <w:top w:val="nil"/>
          <w:left w:val="nil"/>
          <w:bottom w:val="nil"/>
          <w:right w:val="nil"/>
        </w:tblBorders>
        <w:tblLook w:val="0000" w:firstRow="0" w:lastRow="0" w:firstColumn="0" w:lastColumn="0" w:noHBand="0" w:noVBand="0"/>
      </w:tblPr>
      <w:tblGrid>
        <w:gridCol w:w="2653"/>
        <w:gridCol w:w="1365"/>
        <w:gridCol w:w="1286"/>
        <w:gridCol w:w="1156"/>
        <w:gridCol w:w="882"/>
        <w:gridCol w:w="928"/>
        <w:gridCol w:w="1296"/>
      </w:tblGrid>
      <w:tr w:rsidR="00AF1E97" w:rsidRPr="001752EB" w:rsidTr="00AF1E97">
        <w:trPr>
          <w:trHeight w:val="973"/>
        </w:trPr>
        <w:tc>
          <w:tcPr>
            <w:tcW w:w="0" w:type="auto"/>
            <w:tcBorders>
              <w:top w:val="single" w:sz="8" w:space="0" w:color="000000"/>
              <w:left w:val="single" w:sz="8" w:space="0" w:color="000000"/>
              <w:bottom w:val="single" w:sz="8" w:space="0" w:color="000000"/>
              <w:right w:val="single" w:sz="8" w:space="0" w:color="000000"/>
            </w:tcBorders>
          </w:tcPr>
          <w:p w:rsidR="004B698E" w:rsidRPr="001752EB" w:rsidRDefault="00AF1E97" w:rsidP="007F75B8">
            <w:pPr>
              <w:autoSpaceDE w:val="0"/>
              <w:autoSpaceDN w:val="0"/>
              <w:adjustRightInd w:val="0"/>
              <w:spacing w:after="0" w:line="240" w:lineRule="auto"/>
              <w:jc w:val="center"/>
              <w:rPr>
                <w:rFonts w:ascii="Georgia" w:hAnsi="Georgia" w:cs="Courier New"/>
                <w:color w:val="000000"/>
                <w:sz w:val="20"/>
                <w:szCs w:val="20"/>
              </w:rPr>
            </w:pPr>
            <w:r>
              <w:rPr>
                <w:rFonts w:ascii="Georgia" w:hAnsi="Georgia" w:cs="Courier New"/>
                <w:color w:val="000000"/>
                <w:sz w:val="20"/>
                <w:szCs w:val="20"/>
              </w:rPr>
              <w:t xml:space="preserve">Type of </w:t>
            </w:r>
            <w:r w:rsidR="004B698E" w:rsidRPr="001752EB">
              <w:rPr>
                <w:rFonts w:ascii="Georgia" w:hAnsi="Georgia" w:cs="Courier New"/>
                <w:color w:val="000000"/>
                <w:sz w:val="20"/>
                <w:szCs w:val="20"/>
              </w:rPr>
              <w:t xml:space="preserve">Respondent </w:t>
            </w:r>
          </w:p>
        </w:tc>
        <w:tc>
          <w:tcPr>
            <w:tcW w:w="0" w:type="auto"/>
            <w:tcBorders>
              <w:top w:val="single" w:sz="8" w:space="0" w:color="000000"/>
              <w:left w:val="single" w:sz="8" w:space="0" w:color="000000"/>
              <w:bottom w:val="single" w:sz="8" w:space="0" w:color="000000"/>
              <w:right w:val="single" w:sz="8" w:space="0" w:color="000000"/>
            </w:tcBorders>
          </w:tcPr>
          <w:p w:rsidR="004B698E" w:rsidRPr="001752EB" w:rsidRDefault="004B698E" w:rsidP="007F75B8">
            <w:pPr>
              <w:autoSpaceDE w:val="0"/>
              <w:autoSpaceDN w:val="0"/>
              <w:adjustRightInd w:val="0"/>
              <w:spacing w:after="0" w:line="240" w:lineRule="auto"/>
              <w:jc w:val="center"/>
              <w:rPr>
                <w:rFonts w:ascii="Georgia" w:hAnsi="Georgia" w:cs="Courier New"/>
                <w:color w:val="000000"/>
                <w:sz w:val="20"/>
                <w:szCs w:val="20"/>
              </w:rPr>
            </w:pPr>
            <w:r w:rsidRPr="001752EB">
              <w:rPr>
                <w:rFonts w:ascii="Georgia" w:hAnsi="Georgia" w:cs="Courier New"/>
                <w:color w:val="000000"/>
                <w:sz w:val="20"/>
                <w:szCs w:val="20"/>
              </w:rPr>
              <w:t xml:space="preserve">No. of </w:t>
            </w:r>
          </w:p>
          <w:p w:rsidR="004B698E" w:rsidRPr="001752EB" w:rsidRDefault="004B698E" w:rsidP="007F75B8">
            <w:pPr>
              <w:autoSpaceDE w:val="0"/>
              <w:autoSpaceDN w:val="0"/>
              <w:adjustRightInd w:val="0"/>
              <w:spacing w:after="0" w:line="240" w:lineRule="auto"/>
              <w:jc w:val="center"/>
              <w:rPr>
                <w:rFonts w:ascii="Georgia" w:hAnsi="Georgia" w:cs="Courier New"/>
                <w:color w:val="000000"/>
                <w:sz w:val="20"/>
                <w:szCs w:val="20"/>
              </w:rPr>
            </w:pPr>
            <w:r w:rsidRPr="001752EB">
              <w:rPr>
                <w:rFonts w:ascii="Georgia" w:hAnsi="Georgia" w:cs="Courier New"/>
                <w:color w:val="000000"/>
                <w:sz w:val="20"/>
                <w:szCs w:val="20"/>
              </w:rPr>
              <w:t>Respondents</w:t>
            </w:r>
          </w:p>
        </w:tc>
        <w:tc>
          <w:tcPr>
            <w:tcW w:w="0" w:type="auto"/>
            <w:tcBorders>
              <w:top w:val="single" w:sz="8" w:space="0" w:color="000000"/>
              <w:left w:val="single" w:sz="8" w:space="0" w:color="000000"/>
              <w:bottom w:val="single" w:sz="8" w:space="0" w:color="000000"/>
              <w:right w:val="single" w:sz="8" w:space="0" w:color="000000"/>
            </w:tcBorders>
          </w:tcPr>
          <w:p w:rsidR="004B698E" w:rsidRDefault="004B698E" w:rsidP="007F75B8">
            <w:pPr>
              <w:autoSpaceDE w:val="0"/>
              <w:autoSpaceDN w:val="0"/>
              <w:adjustRightInd w:val="0"/>
              <w:spacing w:after="0" w:line="240" w:lineRule="auto"/>
              <w:jc w:val="center"/>
              <w:rPr>
                <w:rFonts w:ascii="Georgia" w:hAnsi="Georgia" w:cs="Courier New"/>
                <w:color w:val="000000"/>
                <w:sz w:val="20"/>
                <w:szCs w:val="20"/>
              </w:rPr>
            </w:pPr>
            <w:r>
              <w:rPr>
                <w:rFonts w:ascii="Georgia" w:hAnsi="Georgia" w:cs="Courier New"/>
                <w:color w:val="000000"/>
                <w:sz w:val="20"/>
                <w:szCs w:val="20"/>
              </w:rPr>
              <w:t xml:space="preserve">Number of </w:t>
            </w:r>
          </w:p>
          <w:p w:rsidR="004B698E" w:rsidRDefault="004B698E" w:rsidP="007F75B8">
            <w:pPr>
              <w:autoSpaceDE w:val="0"/>
              <w:autoSpaceDN w:val="0"/>
              <w:adjustRightInd w:val="0"/>
              <w:spacing w:after="0" w:line="240" w:lineRule="auto"/>
              <w:jc w:val="center"/>
              <w:rPr>
                <w:rFonts w:ascii="Georgia" w:hAnsi="Georgia" w:cs="Courier New"/>
                <w:color w:val="000000"/>
                <w:sz w:val="20"/>
                <w:szCs w:val="20"/>
              </w:rPr>
            </w:pPr>
            <w:r>
              <w:rPr>
                <w:rFonts w:ascii="Georgia" w:hAnsi="Georgia" w:cs="Courier New"/>
                <w:color w:val="000000"/>
                <w:sz w:val="20"/>
                <w:szCs w:val="20"/>
              </w:rPr>
              <w:t>Responses</w:t>
            </w:r>
          </w:p>
          <w:p w:rsidR="004B698E" w:rsidRDefault="004B698E" w:rsidP="00516E13">
            <w:pPr>
              <w:autoSpaceDE w:val="0"/>
              <w:autoSpaceDN w:val="0"/>
              <w:adjustRightInd w:val="0"/>
              <w:spacing w:after="0" w:line="240" w:lineRule="auto"/>
              <w:jc w:val="center"/>
              <w:rPr>
                <w:rFonts w:ascii="Georgia" w:hAnsi="Georgia" w:cs="Courier New"/>
                <w:color w:val="000000"/>
                <w:sz w:val="20"/>
                <w:szCs w:val="20"/>
              </w:rPr>
            </w:pPr>
            <w:r>
              <w:rPr>
                <w:rFonts w:ascii="Georgia" w:hAnsi="Georgia" w:cs="Courier New"/>
                <w:color w:val="000000"/>
                <w:sz w:val="20"/>
                <w:szCs w:val="20"/>
              </w:rPr>
              <w:t>Per</w:t>
            </w:r>
          </w:p>
          <w:p w:rsidR="004B698E" w:rsidRPr="001752EB" w:rsidRDefault="004B698E" w:rsidP="00516E13">
            <w:pPr>
              <w:autoSpaceDE w:val="0"/>
              <w:autoSpaceDN w:val="0"/>
              <w:adjustRightInd w:val="0"/>
              <w:spacing w:after="0" w:line="240" w:lineRule="auto"/>
              <w:jc w:val="center"/>
              <w:rPr>
                <w:rFonts w:ascii="Georgia" w:hAnsi="Georgia" w:cs="Courier New"/>
                <w:color w:val="000000"/>
                <w:sz w:val="20"/>
                <w:szCs w:val="20"/>
              </w:rPr>
            </w:pPr>
            <w:r>
              <w:rPr>
                <w:rFonts w:ascii="Georgia" w:hAnsi="Georgia" w:cs="Courier New"/>
                <w:color w:val="000000"/>
                <w:sz w:val="20"/>
                <w:szCs w:val="20"/>
              </w:rPr>
              <w:t xml:space="preserve"> Respondent</w:t>
            </w:r>
          </w:p>
        </w:tc>
        <w:tc>
          <w:tcPr>
            <w:tcW w:w="0" w:type="auto"/>
            <w:tcBorders>
              <w:top w:val="single" w:sz="8" w:space="0" w:color="000000"/>
              <w:left w:val="single" w:sz="8" w:space="0" w:color="000000"/>
              <w:bottom w:val="single" w:sz="8" w:space="0" w:color="000000"/>
              <w:right w:val="single" w:sz="8" w:space="0" w:color="000000"/>
            </w:tcBorders>
          </w:tcPr>
          <w:p w:rsidR="004B698E" w:rsidRDefault="004B698E" w:rsidP="007F75B8">
            <w:pPr>
              <w:autoSpaceDE w:val="0"/>
              <w:autoSpaceDN w:val="0"/>
              <w:adjustRightInd w:val="0"/>
              <w:spacing w:after="0" w:line="240" w:lineRule="auto"/>
              <w:jc w:val="center"/>
              <w:rPr>
                <w:rFonts w:ascii="Georgia" w:hAnsi="Georgia" w:cs="Courier New"/>
                <w:color w:val="000000"/>
                <w:sz w:val="20"/>
                <w:szCs w:val="20"/>
              </w:rPr>
            </w:pPr>
            <w:r>
              <w:rPr>
                <w:rFonts w:ascii="Georgia" w:hAnsi="Georgia" w:cs="Courier New"/>
                <w:color w:val="000000"/>
                <w:sz w:val="20"/>
                <w:szCs w:val="20"/>
              </w:rPr>
              <w:t xml:space="preserve">  Average Burden</w:t>
            </w:r>
          </w:p>
          <w:p w:rsidR="004B698E" w:rsidRDefault="004B698E" w:rsidP="007F75B8">
            <w:pPr>
              <w:autoSpaceDE w:val="0"/>
              <w:autoSpaceDN w:val="0"/>
              <w:adjustRightInd w:val="0"/>
              <w:spacing w:after="0" w:line="240" w:lineRule="auto"/>
              <w:jc w:val="center"/>
              <w:rPr>
                <w:rFonts w:ascii="Georgia" w:hAnsi="Georgia" w:cs="Courier New"/>
                <w:color w:val="000000"/>
                <w:sz w:val="20"/>
                <w:szCs w:val="20"/>
              </w:rPr>
            </w:pPr>
            <w:r>
              <w:rPr>
                <w:rFonts w:ascii="Georgia" w:hAnsi="Georgia" w:cs="Courier New"/>
                <w:color w:val="000000"/>
                <w:sz w:val="20"/>
                <w:szCs w:val="20"/>
              </w:rPr>
              <w:t>Per Response</w:t>
            </w:r>
          </w:p>
          <w:p w:rsidR="004B698E" w:rsidRDefault="004B698E" w:rsidP="007F75B8">
            <w:pPr>
              <w:autoSpaceDE w:val="0"/>
              <w:autoSpaceDN w:val="0"/>
              <w:adjustRightInd w:val="0"/>
              <w:spacing w:after="0" w:line="240" w:lineRule="auto"/>
              <w:jc w:val="center"/>
              <w:rPr>
                <w:rFonts w:ascii="Georgia" w:hAnsi="Georgia" w:cs="Courier New"/>
                <w:color w:val="000000"/>
                <w:sz w:val="20"/>
                <w:szCs w:val="20"/>
              </w:rPr>
            </w:pPr>
            <w:r>
              <w:rPr>
                <w:rFonts w:ascii="Georgia" w:hAnsi="Georgia" w:cs="Courier New"/>
                <w:color w:val="000000"/>
                <w:sz w:val="20"/>
                <w:szCs w:val="20"/>
              </w:rPr>
              <w:t>(in hrs.)</w:t>
            </w:r>
          </w:p>
          <w:p w:rsidR="004B698E" w:rsidRPr="001752EB" w:rsidRDefault="004B698E" w:rsidP="007F75B8">
            <w:pPr>
              <w:autoSpaceDE w:val="0"/>
              <w:autoSpaceDN w:val="0"/>
              <w:adjustRightInd w:val="0"/>
              <w:spacing w:after="0" w:line="240" w:lineRule="auto"/>
              <w:jc w:val="center"/>
              <w:rPr>
                <w:rFonts w:ascii="Georgia" w:hAnsi="Georgia" w:cs="Courier New"/>
                <w:color w:val="000000"/>
                <w:sz w:val="20"/>
                <w:szCs w:val="20"/>
              </w:rPr>
            </w:pPr>
          </w:p>
          <w:p w:rsidR="004B698E" w:rsidRPr="001752EB" w:rsidRDefault="004B698E" w:rsidP="002C4664">
            <w:pPr>
              <w:autoSpaceDE w:val="0"/>
              <w:autoSpaceDN w:val="0"/>
              <w:adjustRightInd w:val="0"/>
              <w:spacing w:after="0" w:line="240" w:lineRule="auto"/>
              <w:jc w:val="center"/>
              <w:rPr>
                <w:rFonts w:ascii="Georgia" w:hAnsi="Georgia" w:cs="Courier New"/>
                <w:color w:val="000000"/>
                <w:sz w:val="20"/>
                <w:szCs w:val="20"/>
              </w:rPr>
            </w:pPr>
            <w:r w:rsidRPr="001752EB">
              <w:rPr>
                <w:rFonts w:ascii="Georgia" w:hAnsi="Georgia" w:cs="Courier New"/>
                <w:color w:val="000000"/>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4B698E" w:rsidRDefault="004B698E" w:rsidP="007F75B8">
            <w:pPr>
              <w:autoSpaceDE w:val="0"/>
              <w:autoSpaceDN w:val="0"/>
              <w:adjustRightInd w:val="0"/>
              <w:spacing w:after="0" w:line="240" w:lineRule="auto"/>
              <w:jc w:val="center"/>
              <w:rPr>
                <w:rFonts w:ascii="Georgia" w:hAnsi="Georgia" w:cs="Courier New"/>
                <w:color w:val="000000"/>
                <w:sz w:val="20"/>
                <w:szCs w:val="20"/>
              </w:rPr>
            </w:pPr>
            <w:r>
              <w:rPr>
                <w:rFonts w:ascii="Georgia" w:hAnsi="Georgia" w:cs="Courier New"/>
                <w:color w:val="000000"/>
                <w:sz w:val="20"/>
                <w:szCs w:val="20"/>
              </w:rPr>
              <w:t>Total</w:t>
            </w:r>
          </w:p>
          <w:p w:rsidR="004B698E" w:rsidRDefault="004B698E" w:rsidP="007F75B8">
            <w:pPr>
              <w:autoSpaceDE w:val="0"/>
              <w:autoSpaceDN w:val="0"/>
              <w:adjustRightInd w:val="0"/>
              <w:spacing w:after="0" w:line="240" w:lineRule="auto"/>
              <w:jc w:val="center"/>
              <w:rPr>
                <w:rFonts w:ascii="Georgia" w:hAnsi="Georgia" w:cs="Courier New"/>
                <w:color w:val="000000"/>
                <w:sz w:val="20"/>
                <w:szCs w:val="20"/>
              </w:rPr>
            </w:pPr>
            <w:r>
              <w:rPr>
                <w:rFonts w:ascii="Georgia" w:hAnsi="Georgia" w:cs="Courier New"/>
                <w:color w:val="000000"/>
                <w:sz w:val="20"/>
                <w:szCs w:val="20"/>
              </w:rPr>
              <w:t xml:space="preserve"> Burden</w:t>
            </w:r>
          </w:p>
          <w:p w:rsidR="004B698E" w:rsidRPr="001752EB" w:rsidRDefault="004B698E" w:rsidP="00516E13">
            <w:pPr>
              <w:autoSpaceDE w:val="0"/>
              <w:autoSpaceDN w:val="0"/>
              <w:adjustRightInd w:val="0"/>
              <w:spacing w:after="0" w:line="240" w:lineRule="auto"/>
              <w:jc w:val="center"/>
              <w:rPr>
                <w:rFonts w:ascii="Georgia" w:hAnsi="Georgia" w:cs="Courier New"/>
                <w:color w:val="000000"/>
                <w:sz w:val="20"/>
                <w:szCs w:val="20"/>
              </w:rPr>
            </w:pPr>
            <w:r>
              <w:rPr>
                <w:rFonts w:ascii="Georgia" w:hAnsi="Georgia" w:cs="Courier New"/>
                <w:color w:val="000000"/>
                <w:sz w:val="20"/>
                <w:szCs w:val="20"/>
              </w:rPr>
              <w:t xml:space="preserve">(in hrs.) </w:t>
            </w:r>
          </w:p>
        </w:tc>
        <w:tc>
          <w:tcPr>
            <w:tcW w:w="928" w:type="dxa"/>
            <w:tcBorders>
              <w:top w:val="single" w:sz="8" w:space="0" w:color="000000"/>
              <w:left w:val="single" w:sz="8" w:space="0" w:color="000000"/>
              <w:bottom w:val="single" w:sz="8" w:space="0" w:color="000000"/>
              <w:right w:val="single" w:sz="8" w:space="0" w:color="000000"/>
            </w:tcBorders>
          </w:tcPr>
          <w:p w:rsidR="004B698E" w:rsidRDefault="004B698E" w:rsidP="007F75B8">
            <w:pPr>
              <w:autoSpaceDE w:val="0"/>
              <w:autoSpaceDN w:val="0"/>
              <w:adjustRightInd w:val="0"/>
              <w:spacing w:after="0" w:line="240" w:lineRule="auto"/>
              <w:jc w:val="center"/>
              <w:rPr>
                <w:rFonts w:ascii="Georgia" w:hAnsi="Georgia" w:cs="Courier New"/>
                <w:color w:val="000000"/>
                <w:sz w:val="20"/>
                <w:szCs w:val="20"/>
              </w:rPr>
            </w:pPr>
            <w:r>
              <w:rPr>
                <w:rFonts w:ascii="Georgia" w:hAnsi="Georgia" w:cs="Courier New"/>
                <w:color w:val="000000"/>
                <w:sz w:val="20"/>
                <w:szCs w:val="20"/>
              </w:rPr>
              <w:t>Hourly</w:t>
            </w:r>
          </w:p>
          <w:p w:rsidR="004B698E" w:rsidRDefault="004B698E" w:rsidP="007F75B8">
            <w:pPr>
              <w:autoSpaceDE w:val="0"/>
              <w:autoSpaceDN w:val="0"/>
              <w:adjustRightInd w:val="0"/>
              <w:spacing w:after="0" w:line="240" w:lineRule="auto"/>
              <w:jc w:val="center"/>
              <w:rPr>
                <w:rFonts w:ascii="Georgia" w:hAnsi="Georgia" w:cs="Courier New"/>
                <w:color w:val="000000"/>
                <w:sz w:val="20"/>
                <w:szCs w:val="20"/>
              </w:rPr>
            </w:pPr>
            <w:r>
              <w:rPr>
                <w:rFonts w:ascii="Georgia" w:hAnsi="Georgia" w:cs="Courier New"/>
                <w:color w:val="000000"/>
                <w:sz w:val="20"/>
                <w:szCs w:val="20"/>
              </w:rPr>
              <w:t>Wage</w:t>
            </w:r>
          </w:p>
          <w:p w:rsidR="00AF1E97" w:rsidRDefault="00AF1E97" w:rsidP="007F75B8">
            <w:pPr>
              <w:autoSpaceDE w:val="0"/>
              <w:autoSpaceDN w:val="0"/>
              <w:adjustRightInd w:val="0"/>
              <w:spacing w:after="0" w:line="240" w:lineRule="auto"/>
              <w:jc w:val="center"/>
              <w:rPr>
                <w:rFonts w:ascii="Georgia" w:hAnsi="Georgia" w:cs="Courier New"/>
                <w:color w:val="000000"/>
                <w:sz w:val="20"/>
                <w:szCs w:val="20"/>
              </w:rPr>
            </w:pPr>
            <w:r>
              <w:rPr>
                <w:rFonts w:ascii="Georgia" w:hAnsi="Georgia" w:cs="Courier New"/>
                <w:color w:val="000000"/>
                <w:sz w:val="20"/>
                <w:szCs w:val="20"/>
              </w:rPr>
              <w:t>Rate</w:t>
            </w:r>
          </w:p>
          <w:p w:rsidR="004B698E" w:rsidRDefault="004B698E" w:rsidP="007F75B8">
            <w:pPr>
              <w:autoSpaceDE w:val="0"/>
              <w:autoSpaceDN w:val="0"/>
              <w:adjustRightInd w:val="0"/>
              <w:spacing w:after="0" w:line="240" w:lineRule="auto"/>
              <w:jc w:val="center"/>
              <w:rPr>
                <w:rFonts w:ascii="Georgia" w:hAnsi="Georgia" w:cs="Courier New"/>
                <w:color w:val="000000"/>
                <w:sz w:val="20"/>
                <w:szCs w:val="20"/>
              </w:rPr>
            </w:pPr>
          </w:p>
        </w:tc>
        <w:tc>
          <w:tcPr>
            <w:tcW w:w="1296" w:type="dxa"/>
            <w:tcBorders>
              <w:top w:val="single" w:sz="8" w:space="0" w:color="000000"/>
              <w:left w:val="single" w:sz="8" w:space="0" w:color="000000"/>
              <w:bottom w:val="single" w:sz="8" w:space="0" w:color="000000"/>
              <w:right w:val="single" w:sz="8" w:space="0" w:color="000000"/>
            </w:tcBorders>
          </w:tcPr>
          <w:p w:rsidR="004B698E" w:rsidRDefault="004B698E" w:rsidP="004B698E">
            <w:pPr>
              <w:autoSpaceDE w:val="0"/>
              <w:autoSpaceDN w:val="0"/>
              <w:adjustRightInd w:val="0"/>
              <w:spacing w:after="0" w:line="240" w:lineRule="auto"/>
              <w:jc w:val="center"/>
              <w:rPr>
                <w:rFonts w:ascii="Georgia" w:hAnsi="Georgia" w:cs="Courier New"/>
                <w:color w:val="000000"/>
                <w:sz w:val="20"/>
                <w:szCs w:val="20"/>
              </w:rPr>
            </w:pPr>
            <w:r>
              <w:rPr>
                <w:rFonts w:ascii="Georgia" w:hAnsi="Georgia" w:cs="Courier New"/>
                <w:color w:val="000000"/>
                <w:sz w:val="20"/>
                <w:szCs w:val="20"/>
              </w:rPr>
              <w:t>Total</w:t>
            </w:r>
            <w:r w:rsidR="00AF1E97">
              <w:rPr>
                <w:rFonts w:ascii="Georgia" w:hAnsi="Georgia" w:cs="Courier New"/>
                <w:color w:val="000000"/>
                <w:sz w:val="20"/>
                <w:szCs w:val="20"/>
              </w:rPr>
              <w:t xml:space="preserve"> Respondent</w:t>
            </w:r>
          </w:p>
          <w:p w:rsidR="004B698E" w:rsidRDefault="004B698E" w:rsidP="004B698E">
            <w:pPr>
              <w:autoSpaceDE w:val="0"/>
              <w:autoSpaceDN w:val="0"/>
              <w:adjustRightInd w:val="0"/>
              <w:spacing w:after="0" w:line="240" w:lineRule="auto"/>
              <w:jc w:val="center"/>
              <w:rPr>
                <w:rFonts w:ascii="Georgia" w:hAnsi="Georgia" w:cs="Courier New"/>
                <w:color w:val="000000"/>
                <w:sz w:val="20"/>
                <w:szCs w:val="20"/>
              </w:rPr>
            </w:pPr>
            <w:r>
              <w:rPr>
                <w:rFonts w:ascii="Georgia" w:hAnsi="Georgia" w:cs="Courier New"/>
                <w:color w:val="000000"/>
                <w:sz w:val="20"/>
                <w:szCs w:val="20"/>
              </w:rPr>
              <w:t>Cost</w:t>
            </w:r>
          </w:p>
          <w:p w:rsidR="004B698E" w:rsidRDefault="004B698E" w:rsidP="004B698E">
            <w:pPr>
              <w:autoSpaceDE w:val="0"/>
              <w:autoSpaceDN w:val="0"/>
              <w:adjustRightInd w:val="0"/>
              <w:spacing w:after="0" w:line="240" w:lineRule="auto"/>
              <w:jc w:val="center"/>
              <w:rPr>
                <w:rFonts w:ascii="Georgia" w:hAnsi="Georgia" w:cs="Courier New"/>
                <w:color w:val="000000"/>
                <w:sz w:val="20"/>
                <w:szCs w:val="20"/>
              </w:rPr>
            </w:pPr>
          </w:p>
          <w:p w:rsidR="004B698E" w:rsidRDefault="004B698E" w:rsidP="004B698E">
            <w:pPr>
              <w:autoSpaceDE w:val="0"/>
              <w:autoSpaceDN w:val="0"/>
              <w:adjustRightInd w:val="0"/>
              <w:spacing w:after="0" w:line="240" w:lineRule="auto"/>
              <w:jc w:val="center"/>
              <w:rPr>
                <w:rFonts w:ascii="Georgia" w:hAnsi="Georgia" w:cs="Courier New"/>
                <w:color w:val="000000"/>
                <w:sz w:val="20"/>
                <w:szCs w:val="20"/>
              </w:rPr>
            </w:pPr>
          </w:p>
        </w:tc>
      </w:tr>
      <w:tr w:rsidR="00AF1E97" w:rsidRPr="001752EB" w:rsidTr="00AF1E97">
        <w:trPr>
          <w:trHeight w:val="253"/>
        </w:trPr>
        <w:tc>
          <w:tcPr>
            <w:tcW w:w="0" w:type="auto"/>
            <w:tcBorders>
              <w:top w:val="single" w:sz="8" w:space="0" w:color="000000"/>
              <w:left w:val="single" w:sz="8" w:space="0" w:color="000000"/>
              <w:bottom w:val="single" w:sz="8" w:space="0" w:color="000000"/>
              <w:right w:val="single" w:sz="8" w:space="0" w:color="000000"/>
            </w:tcBorders>
          </w:tcPr>
          <w:p w:rsidR="004B698E" w:rsidRPr="001752EB" w:rsidRDefault="004B698E" w:rsidP="007F75B8">
            <w:pPr>
              <w:autoSpaceDE w:val="0"/>
              <w:autoSpaceDN w:val="0"/>
              <w:adjustRightInd w:val="0"/>
              <w:rPr>
                <w:rFonts w:ascii="Georgia" w:hAnsi="Georgia" w:cs="Courier New"/>
                <w:color w:val="000000"/>
                <w:sz w:val="20"/>
                <w:szCs w:val="20"/>
              </w:rPr>
            </w:pPr>
            <w:r w:rsidRPr="001752EB">
              <w:rPr>
                <w:rFonts w:ascii="Georgia" w:hAnsi="Georgia" w:cs="Courier New"/>
                <w:color w:val="000000"/>
                <w:sz w:val="20"/>
                <w:szCs w:val="20"/>
              </w:rPr>
              <w:t>Nanomaterials</w:t>
            </w:r>
          </w:p>
          <w:p w:rsidR="004B698E" w:rsidRPr="001752EB" w:rsidRDefault="004B698E" w:rsidP="007F75B8">
            <w:pPr>
              <w:autoSpaceDE w:val="0"/>
              <w:autoSpaceDN w:val="0"/>
              <w:adjustRightInd w:val="0"/>
              <w:rPr>
                <w:rFonts w:ascii="Georgia" w:hAnsi="Georgia" w:cs="Courier New"/>
                <w:color w:val="000000"/>
                <w:sz w:val="20"/>
                <w:szCs w:val="20"/>
              </w:rPr>
            </w:pPr>
            <w:r w:rsidRPr="001752EB">
              <w:rPr>
                <w:rFonts w:ascii="Georgia" w:hAnsi="Georgia" w:cs="Courier New"/>
                <w:color w:val="000000"/>
                <w:sz w:val="20"/>
                <w:szCs w:val="20"/>
              </w:rPr>
              <w:t>Workers</w:t>
            </w:r>
            <w:r w:rsidR="005D0D2B">
              <w:rPr>
                <w:rFonts w:ascii="Georgia" w:hAnsi="Georgia" w:cs="Courier New"/>
                <w:color w:val="000000"/>
                <w:sz w:val="20"/>
                <w:szCs w:val="20"/>
              </w:rPr>
              <w:t xml:space="preserve"> (Questionnaire)</w:t>
            </w:r>
          </w:p>
        </w:tc>
        <w:tc>
          <w:tcPr>
            <w:tcW w:w="0" w:type="auto"/>
            <w:tcBorders>
              <w:top w:val="single" w:sz="8" w:space="0" w:color="000000"/>
              <w:left w:val="single" w:sz="8" w:space="0" w:color="000000"/>
              <w:bottom w:val="single" w:sz="8" w:space="0" w:color="000000"/>
              <w:right w:val="single" w:sz="8" w:space="0" w:color="000000"/>
            </w:tcBorders>
          </w:tcPr>
          <w:p w:rsidR="004B698E" w:rsidRDefault="004B698E" w:rsidP="007F75B8">
            <w:pPr>
              <w:autoSpaceDE w:val="0"/>
              <w:autoSpaceDN w:val="0"/>
              <w:adjustRightInd w:val="0"/>
              <w:jc w:val="center"/>
              <w:rPr>
                <w:rFonts w:ascii="Georgia" w:hAnsi="Georgia" w:cs="Courier New"/>
                <w:color w:val="000000"/>
                <w:sz w:val="20"/>
                <w:szCs w:val="20"/>
              </w:rPr>
            </w:pPr>
          </w:p>
          <w:p w:rsidR="004B698E" w:rsidRPr="001752EB" w:rsidRDefault="00FE09EC" w:rsidP="007F75B8">
            <w:pPr>
              <w:autoSpaceDE w:val="0"/>
              <w:autoSpaceDN w:val="0"/>
              <w:adjustRightInd w:val="0"/>
              <w:jc w:val="center"/>
              <w:rPr>
                <w:rFonts w:ascii="Georgia" w:hAnsi="Georgia" w:cs="Courier New"/>
                <w:color w:val="000000"/>
                <w:sz w:val="20"/>
                <w:szCs w:val="20"/>
              </w:rPr>
            </w:pPr>
            <w:r>
              <w:rPr>
                <w:rFonts w:ascii="Georgia" w:hAnsi="Georgia" w:cs="Courier New"/>
                <w:color w:val="000000"/>
                <w:sz w:val="20"/>
                <w:szCs w:val="20"/>
              </w:rPr>
              <w:t>33</w:t>
            </w:r>
          </w:p>
          <w:p w:rsidR="004B698E" w:rsidRPr="001752EB" w:rsidRDefault="004B698E" w:rsidP="007F75B8">
            <w:pPr>
              <w:autoSpaceDE w:val="0"/>
              <w:autoSpaceDN w:val="0"/>
              <w:adjustRightInd w:val="0"/>
              <w:jc w:val="center"/>
              <w:rPr>
                <w:rFonts w:ascii="Georgia" w:hAnsi="Georgia" w:cs="Courier New"/>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tcPr>
          <w:p w:rsidR="004B698E" w:rsidRDefault="004B698E" w:rsidP="00516E13">
            <w:pPr>
              <w:autoSpaceDE w:val="0"/>
              <w:autoSpaceDN w:val="0"/>
              <w:adjustRightInd w:val="0"/>
              <w:jc w:val="center"/>
              <w:rPr>
                <w:rFonts w:ascii="Georgia" w:hAnsi="Georgia" w:cs="Courier New"/>
                <w:color w:val="000000"/>
                <w:sz w:val="20"/>
                <w:szCs w:val="20"/>
              </w:rPr>
            </w:pPr>
          </w:p>
          <w:p w:rsidR="004B698E" w:rsidRPr="001752EB" w:rsidRDefault="004B698E" w:rsidP="00516E13">
            <w:pPr>
              <w:autoSpaceDE w:val="0"/>
              <w:autoSpaceDN w:val="0"/>
              <w:adjustRightInd w:val="0"/>
              <w:jc w:val="center"/>
              <w:rPr>
                <w:rFonts w:ascii="Georgia" w:hAnsi="Georgia" w:cs="Courier New"/>
                <w:color w:val="000000"/>
                <w:sz w:val="20"/>
                <w:szCs w:val="20"/>
              </w:rPr>
            </w:pPr>
            <w:r>
              <w:rPr>
                <w:rFonts w:ascii="Georgia" w:hAnsi="Georgia" w:cs="Courier New"/>
                <w:color w:val="000000"/>
                <w:sz w:val="20"/>
                <w:szCs w:val="20"/>
              </w:rPr>
              <w:t>1</w:t>
            </w:r>
          </w:p>
        </w:tc>
        <w:tc>
          <w:tcPr>
            <w:tcW w:w="0" w:type="auto"/>
            <w:tcBorders>
              <w:top w:val="single" w:sz="8" w:space="0" w:color="000000"/>
              <w:left w:val="single" w:sz="8" w:space="0" w:color="000000"/>
              <w:bottom w:val="single" w:sz="8" w:space="0" w:color="000000"/>
              <w:right w:val="single" w:sz="8" w:space="0" w:color="000000"/>
            </w:tcBorders>
          </w:tcPr>
          <w:p w:rsidR="004B698E" w:rsidRDefault="004B698E" w:rsidP="00516E13">
            <w:pPr>
              <w:autoSpaceDE w:val="0"/>
              <w:autoSpaceDN w:val="0"/>
              <w:adjustRightInd w:val="0"/>
              <w:jc w:val="center"/>
              <w:rPr>
                <w:rFonts w:ascii="Georgia" w:hAnsi="Georgia" w:cs="Courier New"/>
                <w:color w:val="000000"/>
                <w:sz w:val="20"/>
                <w:szCs w:val="20"/>
              </w:rPr>
            </w:pPr>
          </w:p>
          <w:p w:rsidR="004B698E" w:rsidRPr="001752EB" w:rsidRDefault="00AF1E97" w:rsidP="00516E13">
            <w:pPr>
              <w:autoSpaceDE w:val="0"/>
              <w:autoSpaceDN w:val="0"/>
              <w:adjustRightInd w:val="0"/>
              <w:jc w:val="center"/>
              <w:rPr>
                <w:rFonts w:ascii="Georgia" w:hAnsi="Georgia" w:cs="Courier New"/>
                <w:color w:val="000000"/>
                <w:sz w:val="20"/>
                <w:szCs w:val="20"/>
              </w:rPr>
            </w:pPr>
            <w:r>
              <w:rPr>
                <w:rFonts w:ascii="Georgia" w:hAnsi="Georgia" w:cs="Courier New"/>
                <w:color w:val="000000"/>
                <w:sz w:val="20"/>
                <w:szCs w:val="20"/>
              </w:rPr>
              <w:t>22</w:t>
            </w:r>
            <w:r w:rsidR="004B698E">
              <w:rPr>
                <w:rFonts w:ascii="Georgia" w:hAnsi="Georgia" w:cs="Courier New"/>
                <w:color w:val="000000"/>
                <w:sz w:val="20"/>
                <w:szCs w:val="20"/>
              </w:rPr>
              <w:t>/60</w:t>
            </w:r>
          </w:p>
        </w:tc>
        <w:tc>
          <w:tcPr>
            <w:tcW w:w="0" w:type="auto"/>
            <w:tcBorders>
              <w:top w:val="single" w:sz="8" w:space="0" w:color="000000"/>
              <w:left w:val="single" w:sz="8" w:space="0" w:color="000000"/>
              <w:bottom w:val="single" w:sz="8" w:space="0" w:color="000000"/>
              <w:right w:val="single" w:sz="8" w:space="0" w:color="000000"/>
            </w:tcBorders>
          </w:tcPr>
          <w:p w:rsidR="004B698E" w:rsidRDefault="004B698E" w:rsidP="004B698E">
            <w:pPr>
              <w:autoSpaceDE w:val="0"/>
              <w:autoSpaceDN w:val="0"/>
              <w:adjustRightInd w:val="0"/>
              <w:jc w:val="center"/>
              <w:rPr>
                <w:rFonts w:ascii="Georgia" w:hAnsi="Georgia" w:cs="Courier New"/>
                <w:color w:val="000000"/>
                <w:sz w:val="20"/>
                <w:szCs w:val="20"/>
              </w:rPr>
            </w:pPr>
          </w:p>
          <w:p w:rsidR="004B698E" w:rsidRPr="001752EB" w:rsidRDefault="00AF1E97" w:rsidP="004B698E">
            <w:pPr>
              <w:autoSpaceDE w:val="0"/>
              <w:autoSpaceDN w:val="0"/>
              <w:adjustRightInd w:val="0"/>
              <w:jc w:val="center"/>
              <w:rPr>
                <w:rFonts w:ascii="Georgia" w:hAnsi="Georgia" w:cs="Courier New"/>
                <w:color w:val="000000"/>
                <w:sz w:val="20"/>
                <w:szCs w:val="20"/>
              </w:rPr>
            </w:pPr>
            <w:r>
              <w:rPr>
                <w:rFonts w:ascii="Georgia" w:hAnsi="Georgia" w:cs="Courier New"/>
                <w:color w:val="000000"/>
                <w:sz w:val="20"/>
                <w:szCs w:val="20"/>
              </w:rPr>
              <w:t>12</w:t>
            </w:r>
          </w:p>
        </w:tc>
        <w:tc>
          <w:tcPr>
            <w:tcW w:w="928" w:type="dxa"/>
            <w:tcBorders>
              <w:top w:val="single" w:sz="8" w:space="0" w:color="000000"/>
              <w:left w:val="single" w:sz="8" w:space="0" w:color="000000"/>
              <w:bottom w:val="single" w:sz="8" w:space="0" w:color="000000"/>
              <w:right w:val="single" w:sz="8" w:space="0" w:color="000000"/>
            </w:tcBorders>
          </w:tcPr>
          <w:p w:rsidR="004B698E" w:rsidRDefault="004B698E" w:rsidP="004B698E">
            <w:pPr>
              <w:autoSpaceDE w:val="0"/>
              <w:autoSpaceDN w:val="0"/>
              <w:adjustRightInd w:val="0"/>
              <w:jc w:val="center"/>
              <w:rPr>
                <w:rFonts w:ascii="Georgia" w:hAnsi="Georgia" w:cs="Courier New"/>
                <w:color w:val="000000"/>
                <w:sz w:val="20"/>
                <w:szCs w:val="20"/>
              </w:rPr>
            </w:pPr>
          </w:p>
          <w:p w:rsidR="004B698E" w:rsidDel="004B698E" w:rsidRDefault="00AF1E97" w:rsidP="004B698E">
            <w:pPr>
              <w:autoSpaceDE w:val="0"/>
              <w:autoSpaceDN w:val="0"/>
              <w:adjustRightInd w:val="0"/>
              <w:jc w:val="center"/>
              <w:rPr>
                <w:rFonts w:ascii="Georgia" w:hAnsi="Georgia" w:cs="Courier New"/>
                <w:color w:val="000000"/>
                <w:sz w:val="20"/>
                <w:szCs w:val="20"/>
              </w:rPr>
            </w:pPr>
            <w:r>
              <w:rPr>
                <w:rFonts w:ascii="Georgia" w:hAnsi="Georgia" w:cs="Courier New"/>
                <w:color w:val="000000"/>
                <w:sz w:val="20"/>
                <w:szCs w:val="20"/>
              </w:rPr>
              <w:t>$</w:t>
            </w:r>
            <w:r w:rsidR="004B698E">
              <w:rPr>
                <w:rFonts w:ascii="Georgia" w:hAnsi="Georgia" w:cs="Courier New"/>
                <w:color w:val="000000"/>
                <w:sz w:val="20"/>
                <w:szCs w:val="20"/>
              </w:rPr>
              <w:t>40</w:t>
            </w:r>
          </w:p>
        </w:tc>
        <w:tc>
          <w:tcPr>
            <w:tcW w:w="1296" w:type="dxa"/>
            <w:tcBorders>
              <w:top w:val="single" w:sz="8" w:space="0" w:color="000000"/>
              <w:left w:val="single" w:sz="8" w:space="0" w:color="000000"/>
              <w:bottom w:val="single" w:sz="8" w:space="0" w:color="000000"/>
              <w:right w:val="single" w:sz="8" w:space="0" w:color="000000"/>
            </w:tcBorders>
          </w:tcPr>
          <w:p w:rsidR="004B698E" w:rsidRDefault="004B698E" w:rsidP="004B698E">
            <w:pPr>
              <w:autoSpaceDE w:val="0"/>
              <w:autoSpaceDN w:val="0"/>
              <w:adjustRightInd w:val="0"/>
              <w:jc w:val="center"/>
              <w:rPr>
                <w:rFonts w:ascii="Georgia" w:hAnsi="Georgia" w:cs="Courier New"/>
                <w:color w:val="000000"/>
                <w:sz w:val="20"/>
                <w:szCs w:val="20"/>
              </w:rPr>
            </w:pPr>
          </w:p>
          <w:p w:rsidR="004B698E" w:rsidDel="004B698E" w:rsidRDefault="00AF1E97" w:rsidP="00F07BDB">
            <w:pPr>
              <w:autoSpaceDE w:val="0"/>
              <w:autoSpaceDN w:val="0"/>
              <w:adjustRightInd w:val="0"/>
              <w:jc w:val="center"/>
              <w:rPr>
                <w:rFonts w:ascii="Georgia" w:hAnsi="Georgia" w:cs="Courier New"/>
                <w:color w:val="000000"/>
                <w:sz w:val="20"/>
                <w:szCs w:val="20"/>
              </w:rPr>
            </w:pPr>
            <w:r>
              <w:rPr>
                <w:rFonts w:ascii="Georgia" w:hAnsi="Georgia" w:cs="Courier New"/>
                <w:color w:val="000000"/>
                <w:sz w:val="20"/>
                <w:szCs w:val="20"/>
              </w:rPr>
              <w:t>$48</w:t>
            </w:r>
            <w:r w:rsidR="00F07BDB">
              <w:rPr>
                <w:rFonts w:ascii="Georgia" w:hAnsi="Georgia" w:cs="Courier New"/>
                <w:color w:val="000000"/>
                <w:sz w:val="20"/>
                <w:szCs w:val="20"/>
              </w:rPr>
              <w:t>0</w:t>
            </w:r>
          </w:p>
        </w:tc>
      </w:tr>
      <w:tr w:rsidR="00AF1E97" w:rsidRPr="001752EB" w:rsidTr="00AF1E97">
        <w:trPr>
          <w:trHeight w:val="253"/>
        </w:trPr>
        <w:tc>
          <w:tcPr>
            <w:tcW w:w="0" w:type="auto"/>
            <w:tcBorders>
              <w:top w:val="single" w:sz="8" w:space="0" w:color="000000"/>
              <w:left w:val="single" w:sz="8" w:space="0" w:color="000000"/>
              <w:bottom w:val="single" w:sz="8" w:space="0" w:color="000000"/>
              <w:right w:val="single" w:sz="8" w:space="0" w:color="000000"/>
            </w:tcBorders>
          </w:tcPr>
          <w:p w:rsidR="00AF1E97" w:rsidRPr="001752EB" w:rsidRDefault="00AF1E97" w:rsidP="007F75B8">
            <w:pPr>
              <w:autoSpaceDE w:val="0"/>
              <w:autoSpaceDN w:val="0"/>
              <w:adjustRightInd w:val="0"/>
              <w:rPr>
                <w:rFonts w:ascii="Georgia" w:hAnsi="Georgia" w:cs="Courier New"/>
                <w:color w:val="000000"/>
                <w:sz w:val="20"/>
                <w:szCs w:val="20"/>
              </w:rPr>
            </w:pPr>
            <w:r>
              <w:rPr>
                <w:rFonts w:ascii="Georgia" w:hAnsi="Georgia" w:cs="Courier New"/>
                <w:color w:val="000000"/>
                <w:sz w:val="20"/>
                <w:szCs w:val="20"/>
              </w:rPr>
              <w:t>Nanomaterials Workers (Consent Form)</w:t>
            </w:r>
          </w:p>
        </w:tc>
        <w:tc>
          <w:tcPr>
            <w:tcW w:w="0" w:type="auto"/>
            <w:tcBorders>
              <w:top w:val="single" w:sz="8" w:space="0" w:color="000000"/>
              <w:left w:val="single" w:sz="8" w:space="0" w:color="000000"/>
              <w:bottom w:val="single" w:sz="8" w:space="0" w:color="000000"/>
              <w:right w:val="single" w:sz="8" w:space="0" w:color="000000"/>
            </w:tcBorders>
          </w:tcPr>
          <w:p w:rsidR="00AF1E97" w:rsidRDefault="00AF1E97" w:rsidP="007F75B8">
            <w:pPr>
              <w:autoSpaceDE w:val="0"/>
              <w:autoSpaceDN w:val="0"/>
              <w:adjustRightInd w:val="0"/>
              <w:jc w:val="center"/>
              <w:rPr>
                <w:rFonts w:ascii="Georgia" w:hAnsi="Georgia" w:cs="Courier New"/>
                <w:color w:val="000000"/>
                <w:sz w:val="20"/>
                <w:szCs w:val="20"/>
              </w:rPr>
            </w:pPr>
            <w:r>
              <w:rPr>
                <w:rFonts w:ascii="Georgia" w:hAnsi="Georgia" w:cs="Courier New"/>
                <w:color w:val="000000"/>
                <w:sz w:val="20"/>
                <w:szCs w:val="20"/>
              </w:rPr>
              <w:t>33</w:t>
            </w:r>
          </w:p>
        </w:tc>
        <w:tc>
          <w:tcPr>
            <w:tcW w:w="0" w:type="auto"/>
            <w:tcBorders>
              <w:top w:val="single" w:sz="8" w:space="0" w:color="000000"/>
              <w:left w:val="single" w:sz="8" w:space="0" w:color="000000"/>
              <w:bottom w:val="single" w:sz="8" w:space="0" w:color="000000"/>
              <w:right w:val="single" w:sz="8" w:space="0" w:color="000000"/>
            </w:tcBorders>
          </w:tcPr>
          <w:p w:rsidR="00AF1E97" w:rsidRDefault="00AF1E97" w:rsidP="00516E13">
            <w:pPr>
              <w:autoSpaceDE w:val="0"/>
              <w:autoSpaceDN w:val="0"/>
              <w:adjustRightInd w:val="0"/>
              <w:jc w:val="center"/>
              <w:rPr>
                <w:rFonts w:ascii="Georgia" w:hAnsi="Georgia" w:cs="Courier New"/>
                <w:color w:val="000000"/>
                <w:sz w:val="20"/>
                <w:szCs w:val="20"/>
              </w:rPr>
            </w:pPr>
            <w:r>
              <w:rPr>
                <w:rFonts w:ascii="Georgia" w:hAnsi="Georgia" w:cs="Courier New"/>
                <w:color w:val="000000"/>
                <w:sz w:val="20"/>
                <w:szCs w:val="20"/>
              </w:rPr>
              <w:t>1</w:t>
            </w:r>
          </w:p>
        </w:tc>
        <w:tc>
          <w:tcPr>
            <w:tcW w:w="0" w:type="auto"/>
            <w:tcBorders>
              <w:top w:val="single" w:sz="8" w:space="0" w:color="000000"/>
              <w:left w:val="single" w:sz="8" w:space="0" w:color="000000"/>
              <w:bottom w:val="single" w:sz="8" w:space="0" w:color="000000"/>
              <w:right w:val="single" w:sz="8" w:space="0" w:color="000000"/>
            </w:tcBorders>
          </w:tcPr>
          <w:p w:rsidR="00AF1E97" w:rsidRDefault="00AF1E97" w:rsidP="00516E13">
            <w:pPr>
              <w:autoSpaceDE w:val="0"/>
              <w:autoSpaceDN w:val="0"/>
              <w:adjustRightInd w:val="0"/>
              <w:jc w:val="center"/>
              <w:rPr>
                <w:rFonts w:ascii="Georgia" w:hAnsi="Georgia" w:cs="Courier New"/>
                <w:color w:val="000000"/>
                <w:sz w:val="20"/>
                <w:szCs w:val="20"/>
              </w:rPr>
            </w:pPr>
            <w:r>
              <w:rPr>
                <w:rFonts w:ascii="Georgia" w:hAnsi="Georgia" w:cs="Courier New"/>
                <w:color w:val="000000"/>
                <w:sz w:val="20"/>
                <w:szCs w:val="20"/>
              </w:rPr>
              <w:t>20/60</w:t>
            </w:r>
          </w:p>
        </w:tc>
        <w:tc>
          <w:tcPr>
            <w:tcW w:w="0" w:type="auto"/>
            <w:tcBorders>
              <w:top w:val="single" w:sz="8" w:space="0" w:color="000000"/>
              <w:left w:val="single" w:sz="8" w:space="0" w:color="000000"/>
              <w:bottom w:val="single" w:sz="8" w:space="0" w:color="000000"/>
              <w:right w:val="single" w:sz="8" w:space="0" w:color="000000"/>
            </w:tcBorders>
          </w:tcPr>
          <w:p w:rsidR="00AF1E97" w:rsidRDefault="00AF1E97" w:rsidP="004B698E">
            <w:pPr>
              <w:autoSpaceDE w:val="0"/>
              <w:autoSpaceDN w:val="0"/>
              <w:adjustRightInd w:val="0"/>
              <w:jc w:val="center"/>
              <w:rPr>
                <w:rFonts w:ascii="Georgia" w:hAnsi="Georgia" w:cs="Courier New"/>
                <w:color w:val="000000"/>
                <w:sz w:val="20"/>
                <w:szCs w:val="20"/>
              </w:rPr>
            </w:pPr>
            <w:r>
              <w:rPr>
                <w:rFonts w:ascii="Georgia" w:hAnsi="Georgia" w:cs="Courier New"/>
                <w:color w:val="000000"/>
                <w:sz w:val="20"/>
                <w:szCs w:val="20"/>
              </w:rPr>
              <w:t>11</w:t>
            </w:r>
          </w:p>
        </w:tc>
        <w:tc>
          <w:tcPr>
            <w:tcW w:w="928" w:type="dxa"/>
            <w:tcBorders>
              <w:top w:val="single" w:sz="8" w:space="0" w:color="000000"/>
              <w:left w:val="single" w:sz="8" w:space="0" w:color="000000"/>
              <w:bottom w:val="single" w:sz="8" w:space="0" w:color="000000"/>
              <w:right w:val="single" w:sz="8" w:space="0" w:color="000000"/>
            </w:tcBorders>
          </w:tcPr>
          <w:p w:rsidR="00AF1E97" w:rsidRDefault="00AF1E97" w:rsidP="004B698E">
            <w:pPr>
              <w:autoSpaceDE w:val="0"/>
              <w:autoSpaceDN w:val="0"/>
              <w:adjustRightInd w:val="0"/>
              <w:jc w:val="center"/>
              <w:rPr>
                <w:rFonts w:ascii="Georgia" w:hAnsi="Georgia" w:cs="Courier New"/>
                <w:color w:val="000000"/>
                <w:sz w:val="20"/>
                <w:szCs w:val="20"/>
              </w:rPr>
            </w:pPr>
            <w:r>
              <w:rPr>
                <w:rFonts w:ascii="Georgia" w:hAnsi="Georgia" w:cs="Courier New"/>
                <w:color w:val="000000"/>
                <w:sz w:val="20"/>
                <w:szCs w:val="20"/>
              </w:rPr>
              <w:t>$40</w:t>
            </w:r>
          </w:p>
        </w:tc>
        <w:tc>
          <w:tcPr>
            <w:tcW w:w="1296" w:type="dxa"/>
            <w:tcBorders>
              <w:top w:val="single" w:sz="8" w:space="0" w:color="000000"/>
              <w:left w:val="single" w:sz="8" w:space="0" w:color="000000"/>
              <w:bottom w:val="single" w:sz="8" w:space="0" w:color="000000"/>
              <w:right w:val="single" w:sz="8" w:space="0" w:color="000000"/>
            </w:tcBorders>
          </w:tcPr>
          <w:p w:rsidR="00AF1E97" w:rsidRDefault="00AF1E97" w:rsidP="004B698E">
            <w:pPr>
              <w:autoSpaceDE w:val="0"/>
              <w:autoSpaceDN w:val="0"/>
              <w:adjustRightInd w:val="0"/>
              <w:jc w:val="center"/>
              <w:rPr>
                <w:rFonts w:ascii="Georgia" w:hAnsi="Georgia" w:cs="Courier New"/>
                <w:color w:val="000000"/>
                <w:sz w:val="20"/>
                <w:szCs w:val="20"/>
              </w:rPr>
            </w:pPr>
            <w:r>
              <w:rPr>
                <w:rFonts w:ascii="Georgia" w:hAnsi="Georgia" w:cs="Courier New"/>
                <w:color w:val="000000"/>
                <w:sz w:val="20"/>
                <w:szCs w:val="20"/>
              </w:rPr>
              <w:t>$440</w:t>
            </w:r>
          </w:p>
        </w:tc>
      </w:tr>
      <w:tr w:rsidR="005D0D2B" w:rsidRPr="001752EB" w:rsidTr="00AF1E97">
        <w:trPr>
          <w:trHeight w:val="253"/>
        </w:trPr>
        <w:tc>
          <w:tcPr>
            <w:tcW w:w="0" w:type="auto"/>
            <w:tcBorders>
              <w:top w:val="single" w:sz="8" w:space="0" w:color="000000"/>
              <w:left w:val="single" w:sz="8" w:space="0" w:color="000000"/>
              <w:bottom w:val="single" w:sz="8" w:space="0" w:color="000000"/>
              <w:right w:val="single" w:sz="8" w:space="0" w:color="000000"/>
            </w:tcBorders>
          </w:tcPr>
          <w:p w:rsidR="005D0D2B" w:rsidRDefault="005D0D2B" w:rsidP="006C73D4">
            <w:pPr>
              <w:autoSpaceDE w:val="0"/>
              <w:autoSpaceDN w:val="0"/>
              <w:adjustRightInd w:val="0"/>
              <w:rPr>
                <w:rFonts w:ascii="Georgia" w:hAnsi="Georgia" w:cs="Courier New"/>
                <w:color w:val="000000"/>
                <w:sz w:val="20"/>
                <w:szCs w:val="20"/>
              </w:rPr>
            </w:pPr>
            <w:r>
              <w:rPr>
                <w:rFonts w:ascii="Georgia" w:hAnsi="Georgia" w:cs="Courier New"/>
                <w:color w:val="000000"/>
                <w:sz w:val="20"/>
                <w:szCs w:val="20"/>
              </w:rPr>
              <w:t>Nanomaterials Workers (Medical Examination</w:t>
            </w:r>
            <w:r w:rsidR="006C73D4">
              <w:rPr>
                <w:rFonts w:ascii="Georgia" w:hAnsi="Georgia" w:cs="Courier New"/>
                <w:color w:val="000000"/>
                <w:sz w:val="20"/>
                <w:szCs w:val="20"/>
              </w:rPr>
              <w:t>,</w:t>
            </w:r>
            <w:r>
              <w:rPr>
                <w:rFonts w:ascii="Georgia" w:hAnsi="Georgia" w:cs="Courier New"/>
                <w:color w:val="000000"/>
                <w:sz w:val="20"/>
                <w:szCs w:val="20"/>
              </w:rPr>
              <w:t xml:space="preserve"> Biospecimen Collection</w:t>
            </w:r>
            <w:r w:rsidR="00535B62">
              <w:rPr>
                <w:rFonts w:ascii="Georgia" w:hAnsi="Georgia" w:cs="Courier New"/>
                <w:color w:val="000000"/>
                <w:sz w:val="20"/>
                <w:szCs w:val="20"/>
              </w:rPr>
              <w:t>, and Exposure Assessment</w:t>
            </w:r>
            <w:r>
              <w:rPr>
                <w:rFonts w:ascii="Georgia" w:hAnsi="Georgia" w:cs="Courier New"/>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Pr>
          <w:p w:rsidR="005D0D2B" w:rsidRDefault="005D0D2B" w:rsidP="007F75B8">
            <w:pPr>
              <w:autoSpaceDE w:val="0"/>
              <w:autoSpaceDN w:val="0"/>
              <w:adjustRightInd w:val="0"/>
              <w:jc w:val="center"/>
              <w:rPr>
                <w:rFonts w:ascii="Georgia" w:hAnsi="Georgia" w:cs="Courier New"/>
                <w:color w:val="000000"/>
                <w:sz w:val="20"/>
                <w:szCs w:val="20"/>
              </w:rPr>
            </w:pPr>
            <w:r>
              <w:rPr>
                <w:rFonts w:ascii="Georgia" w:hAnsi="Georgia" w:cs="Courier New"/>
                <w:color w:val="000000"/>
                <w:sz w:val="20"/>
                <w:szCs w:val="20"/>
              </w:rPr>
              <w:t>33</w:t>
            </w:r>
          </w:p>
        </w:tc>
        <w:tc>
          <w:tcPr>
            <w:tcW w:w="0" w:type="auto"/>
            <w:tcBorders>
              <w:top w:val="single" w:sz="8" w:space="0" w:color="000000"/>
              <w:left w:val="single" w:sz="8" w:space="0" w:color="000000"/>
              <w:bottom w:val="single" w:sz="8" w:space="0" w:color="000000"/>
              <w:right w:val="single" w:sz="8" w:space="0" w:color="000000"/>
            </w:tcBorders>
          </w:tcPr>
          <w:p w:rsidR="005D0D2B" w:rsidRDefault="005D0D2B" w:rsidP="00516E13">
            <w:pPr>
              <w:autoSpaceDE w:val="0"/>
              <w:autoSpaceDN w:val="0"/>
              <w:adjustRightInd w:val="0"/>
              <w:jc w:val="center"/>
              <w:rPr>
                <w:rFonts w:ascii="Georgia" w:hAnsi="Georgia" w:cs="Courier New"/>
                <w:color w:val="000000"/>
                <w:sz w:val="20"/>
                <w:szCs w:val="20"/>
              </w:rPr>
            </w:pPr>
            <w:r>
              <w:rPr>
                <w:rFonts w:ascii="Georgia" w:hAnsi="Georgia" w:cs="Courier New"/>
                <w:color w:val="000000"/>
                <w:sz w:val="20"/>
                <w:szCs w:val="20"/>
              </w:rPr>
              <w:t>1</w:t>
            </w:r>
          </w:p>
        </w:tc>
        <w:tc>
          <w:tcPr>
            <w:tcW w:w="0" w:type="auto"/>
            <w:tcBorders>
              <w:top w:val="single" w:sz="8" w:space="0" w:color="000000"/>
              <w:left w:val="single" w:sz="8" w:space="0" w:color="000000"/>
              <w:bottom w:val="single" w:sz="8" w:space="0" w:color="000000"/>
              <w:right w:val="single" w:sz="8" w:space="0" w:color="000000"/>
            </w:tcBorders>
          </w:tcPr>
          <w:p w:rsidR="005D0D2B" w:rsidRDefault="000F3F8D" w:rsidP="00516E13">
            <w:pPr>
              <w:autoSpaceDE w:val="0"/>
              <w:autoSpaceDN w:val="0"/>
              <w:adjustRightInd w:val="0"/>
              <w:jc w:val="center"/>
              <w:rPr>
                <w:rFonts w:ascii="Georgia" w:hAnsi="Georgia" w:cs="Courier New"/>
                <w:color w:val="000000"/>
                <w:sz w:val="20"/>
                <w:szCs w:val="20"/>
              </w:rPr>
            </w:pPr>
            <w:r>
              <w:rPr>
                <w:rFonts w:ascii="Georgia" w:hAnsi="Georgia" w:cs="Courier New"/>
                <w:color w:val="000000"/>
                <w:sz w:val="20"/>
                <w:szCs w:val="20"/>
              </w:rPr>
              <w:t>1.3</w:t>
            </w:r>
          </w:p>
        </w:tc>
        <w:tc>
          <w:tcPr>
            <w:tcW w:w="0" w:type="auto"/>
            <w:tcBorders>
              <w:top w:val="single" w:sz="8" w:space="0" w:color="000000"/>
              <w:left w:val="single" w:sz="8" w:space="0" w:color="000000"/>
              <w:bottom w:val="single" w:sz="8" w:space="0" w:color="000000"/>
              <w:right w:val="single" w:sz="8" w:space="0" w:color="000000"/>
            </w:tcBorders>
          </w:tcPr>
          <w:p w:rsidR="005D0D2B" w:rsidRDefault="00535B62" w:rsidP="00535B62">
            <w:pPr>
              <w:autoSpaceDE w:val="0"/>
              <w:autoSpaceDN w:val="0"/>
              <w:adjustRightInd w:val="0"/>
              <w:jc w:val="center"/>
              <w:rPr>
                <w:rFonts w:ascii="Georgia" w:hAnsi="Georgia" w:cs="Courier New"/>
                <w:color w:val="000000"/>
                <w:sz w:val="20"/>
                <w:szCs w:val="20"/>
              </w:rPr>
            </w:pPr>
            <w:r>
              <w:rPr>
                <w:rFonts w:ascii="Georgia" w:hAnsi="Georgia" w:cs="Courier New"/>
                <w:color w:val="000000"/>
                <w:sz w:val="20"/>
                <w:szCs w:val="20"/>
              </w:rPr>
              <w:t>43</w:t>
            </w:r>
          </w:p>
        </w:tc>
        <w:tc>
          <w:tcPr>
            <w:tcW w:w="928" w:type="dxa"/>
            <w:tcBorders>
              <w:top w:val="single" w:sz="8" w:space="0" w:color="000000"/>
              <w:left w:val="single" w:sz="8" w:space="0" w:color="000000"/>
              <w:bottom w:val="single" w:sz="8" w:space="0" w:color="000000"/>
              <w:right w:val="single" w:sz="8" w:space="0" w:color="000000"/>
            </w:tcBorders>
          </w:tcPr>
          <w:p w:rsidR="005D0D2B" w:rsidRDefault="005D0D2B" w:rsidP="004B698E">
            <w:pPr>
              <w:autoSpaceDE w:val="0"/>
              <w:autoSpaceDN w:val="0"/>
              <w:adjustRightInd w:val="0"/>
              <w:jc w:val="center"/>
              <w:rPr>
                <w:rFonts w:ascii="Georgia" w:hAnsi="Georgia" w:cs="Courier New"/>
                <w:color w:val="000000"/>
                <w:sz w:val="20"/>
                <w:szCs w:val="20"/>
              </w:rPr>
            </w:pPr>
            <w:r>
              <w:rPr>
                <w:rFonts w:ascii="Georgia" w:hAnsi="Georgia" w:cs="Courier New"/>
                <w:color w:val="000000"/>
                <w:sz w:val="20"/>
                <w:szCs w:val="20"/>
              </w:rPr>
              <w:t>$40</w:t>
            </w:r>
          </w:p>
        </w:tc>
        <w:tc>
          <w:tcPr>
            <w:tcW w:w="1296" w:type="dxa"/>
            <w:tcBorders>
              <w:top w:val="single" w:sz="8" w:space="0" w:color="000000"/>
              <w:left w:val="single" w:sz="8" w:space="0" w:color="000000"/>
              <w:bottom w:val="single" w:sz="8" w:space="0" w:color="000000"/>
              <w:right w:val="single" w:sz="8" w:space="0" w:color="000000"/>
            </w:tcBorders>
          </w:tcPr>
          <w:p w:rsidR="005D0D2B" w:rsidRDefault="005D0D2B" w:rsidP="00535B62">
            <w:pPr>
              <w:autoSpaceDE w:val="0"/>
              <w:autoSpaceDN w:val="0"/>
              <w:adjustRightInd w:val="0"/>
              <w:jc w:val="center"/>
              <w:rPr>
                <w:rFonts w:ascii="Georgia" w:hAnsi="Georgia" w:cs="Courier New"/>
                <w:color w:val="000000"/>
                <w:sz w:val="20"/>
                <w:szCs w:val="20"/>
              </w:rPr>
            </w:pPr>
            <w:r>
              <w:rPr>
                <w:rFonts w:ascii="Georgia" w:hAnsi="Georgia" w:cs="Courier New"/>
                <w:color w:val="000000"/>
                <w:sz w:val="20"/>
                <w:szCs w:val="20"/>
              </w:rPr>
              <w:t>$</w:t>
            </w:r>
            <w:r w:rsidR="00535B62">
              <w:rPr>
                <w:rFonts w:ascii="Georgia" w:hAnsi="Georgia" w:cs="Courier New"/>
                <w:color w:val="000000"/>
                <w:sz w:val="20"/>
                <w:szCs w:val="20"/>
              </w:rPr>
              <w:t>1720</w:t>
            </w:r>
          </w:p>
        </w:tc>
      </w:tr>
      <w:tr w:rsidR="00AF1E97" w:rsidRPr="001752EB" w:rsidTr="00250F2F">
        <w:trPr>
          <w:trHeight w:val="253"/>
        </w:trPr>
        <w:tc>
          <w:tcPr>
            <w:tcW w:w="0" w:type="auto"/>
            <w:tcBorders>
              <w:top w:val="single" w:sz="8" w:space="0" w:color="000000"/>
              <w:left w:val="single" w:sz="8" w:space="0" w:color="000000"/>
              <w:bottom w:val="single" w:sz="8" w:space="0" w:color="000000"/>
              <w:right w:val="single" w:sz="8" w:space="0" w:color="000000"/>
            </w:tcBorders>
          </w:tcPr>
          <w:p w:rsidR="00AF1E97" w:rsidRPr="001752EB" w:rsidRDefault="00AF1E97" w:rsidP="007F75B8">
            <w:pPr>
              <w:autoSpaceDE w:val="0"/>
              <w:autoSpaceDN w:val="0"/>
              <w:adjustRightInd w:val="0"/>
              <w:rPr>
                <w:rFonts w:ascii="Georgia" w:hAnsi="Georgia" w:cs="Courier New"/>
                <w:color w:val="000000"/>
                <w:sz w:val="20"/>
                <w:szCs w:val="20"/>
              </w:rPr>
            </w:pPr>
            <w:r>
              <w:rPr>
                <w:rFonts w:ascii="Georgia" w:hAnsi="Georgia" w:cs="Courier New"/>
                <w:color w:val="000000"/>
                <w:sz w:val="20"/>
                <w:szCs w:val="20"/>
              </w:rPr>
              <w:t>Total</w:t>
            </w:r>
          </w:p>
        </w:tc>
        <w:tc>
          <w:tcPr>
            <w:tcW w:w="7136" w:type="dxa"/>
            <w:gridSpan w:val="6"/>
            <w:tcBorders>
              <w:top w:val="single" w:sz="8" w:space="0" w:color="000000"/>
              <w:left w:val="single" w:sz="8" w:space="0" w:color="000000"/>
              <w:bottom w:val="single" w:sz="8" w:space="0" w:color="000000"/>
              <w:right w:val="single" w:sz="8" w:space="0" w:color="000000"/>
            </w:tcBorders>
          </w:tcPr>
          <w:p w:rsidR="00AF1E97" w:rsidRDefault="00AF1E97" w:rsidP="00535B62">
            <w:pPr>
              <w:autoSpaceDE w:val="0"/>
              <w:autoSpaceDN w:val="0"/>
              <w:adjustRightInd w:val="0"/>
              <w:jc w:val="center"/>
              <w:rPr>
                <w:rFonts w:ascii="Georgia" w:hAnsi="Georgia" w:cs="Courier New"/>
                <w:color w:val="000000"/>
                <w:sz w:val="20"/>
                <w:szCs w:val="20"/>
              </w:rPr>
            </w:pPr>
            <w:r>
              <w:rPr>
                <w:rFonts w:ascii="Georgia" w:hAnsi="Georgia" w:cs="Courier New"/>
                <w:color w:val="000000"/>
                <w:sz w:val="20"/>
                <w:szCs w:val="20"/>
              </w:rPr>
              <w:t xml:space="preserve">                                                                                                             $</w:t>
            </w:r>
            <w:r w:rsidR="00535B62">
              <w:rPr>
                <w:rFonts w:ascii="Georgia" w:hAnsi="Georgia" w:cs="Courier New"/>
                <w:color w:val="000000"/>
                <w:sz w:val="20"/>
                <w:szCs w:val="20"/>
              </w:rPr>
              <w:t>2640</w:t>
            </w:r>
          </w:p>
        </w:tc>
      </w:tr>
    </w:tbl>
    <w:p w:rsidR="00DE6EA7" w:rsidRPr="006B2903" w:rsidRDefault="00DE6EA7" w:rsidP="006B2903">
      <w:pPr>
        <w:pStyle w:val="Heading1"/>
      </w:pPr>
      <w:r>
        <w:t xml:space="preserve">      </w:t>
      </w:r>
    </w:p>
    <w:p w:rsidR="007F2A39" w:rsidRDefault="007F2A39" w:rsidP="00E321F3">
      <w:pPr>
        <w:pStyle w:val="Heading2"/>
      </w:pPr>
      <w:bookmarkStart w:id="27" w:name="_Toc345399541"/>
      <w:bookmarkStart w:id="28" w:name="_Toc347997726"/>
      <w:r w:rsidRPr="007F2A39">
        <w:t>A13.</w:t>
      </w:r>
      <w:r w:rsidRPr="007F2A39">
        <w:tab/>
        <w:t>Estimates of Other Total Annual Cost Burden to Respondents or Record Keepers</w:t>
      </w:r>
      <w:bookmarkEnd w:id="27"/>
      <w:bookmarkEnd w:id="28"/>
    </w:p>
    <w:p w:rsidR="00493F17" w:rsidRDefault="00493F17" w:rsidP="007F2A39">
      <w:pPr>
        <w:autoSpaceDE w:val="0"/>
        <w:autoSpaceDN w:val="0"/>
        <w:adjustRightInd w:val="0"/>
        <w:spacing w:after="100" w:afterAutospacing="1" w:line="360" w:lineRule="auto"/>
        <w:ind w:left="720" w:hanging="720"/>
        <w:rPr>
          <w:rFonts w:ascii="Georgia" w:hAnsi="Georgia"/>
          <w:sz w:val="24"/>
          <w:szCs w:val="24"/>
        </w:rPr>
      </w:pPr>
      <w:r>
        <w:rPr>
          <w:rFonts w:ascii="Georgia" w:hAnsi="Georgia"/>
          <w:sz w:val="24"/>
          <w:szCs w:val="24"/>
        </w:rPr>
        <w:t xml:space="preserve">There are no capital or maintenance costs </w:t>
      </w:r>
      <w:r w:rsidR="00BC4D74">
        <w:rPr>
          <w:rFonts w:ascii="Georgia" w:hAnsi="Georgia"/>
          <w:sz w:val="24"/>
          <w:szCs w:val="24"/>
        </w:rPr>
        <w:t>to</w:t>
      </w:r>
      <w:r>
        <w:rPr>
          <w:rFonts w:ascii="Georgia" w:hAnsi="Georgia"/>
          <w:sz w:val="24"/>
          <w:szCs w:val="24"/>
        </w:rPr>
        <w:t xml:space="preserve"> respondents.</w:t>
      </w:r>
    </w:p>
    <w:p w:rsidR="00493F17" w:rsidRDefault="00493F17" w:rsidP="00E321F3">
      <w:pPr>
        <w:pStyle w:val="Heading2"/>
      </w:pPr>
      <w:bookmarkStart w:id="29" w:name="_Toc345399542"/>
      <w:bookmarkStart w:id="30" w:name="_Toc347997727"/>
      <w:r w:rsidRPr="00493F17">
        <w:t>A14.</w:t>
      </w:r>
      <w:r w:rsidRPr="00493F17">
        <w:tab/>
        <w:t xml:space="preserve">Annualized </w:t>
      </w:r>
      <w:r w:rsidR="00C96754">
        <w:t>C</w:t>
      </w:r>
      <w:r w:rsidRPr="00493F17">
        <w:t>ost to the Government</w:t>
      </w:r>
      <w:bookmarkEnd w:id="29"/>
      <w:bookmarkEnd w:id="30"/>
    </w:p>
    <w:p w:rsidR="00B5536E" w:rsidRDefault="00875726" w:rsidP="00B5536E">
      <w:pPr>
        <w:tabs>
          <w:tab w:val="left" w:pos="0"/>
        </w:tabs>
        <w:autoSpaceDE w:val="0"/>
        <w:autoSpaceDN w:val="0"/>
        <w:adjustRightInd w:val="0"/>
        <w:spacing w:after="100" w:afterAutospacing="1" w:line="360" w:lineRule="auto"/>
        <w:ind w:hanging="720"/>
        <w:rPr>
          <w:rFonts w:ascii="Georgia" w:hAnsi="Georgia"/>
          <w:sz w:val="24"/>
          <w:szCs w:val="24"/>
        </w:rPr>
      </w:pPr>
      <w:r>
        <w:rPr>
          <w:rFonts w:ascii="Georgia" w:hAnsi="Georgia"/>
          <w:sz w:val="24"/>
          <w:szCs w:val="24"/>
        </w:rPr>
        <w:t xml:space="preserve">         </w:t>
      </w:r>
      <w:r w:rsidR="00B5536E">
        <w:rPr>
          <w:rFonts w:ascii="Georgia" w:hAnsi="Georgia"/>
          <w:sz w:val="24"/>
          <w:szCs w:val="24"/>
        </w:rPr>
        <w:t xml:space="preserve">    </w:t>
      </w:r>
      <w:r>
        <w:rPr>
          <w:rFonts w:ascii="Georgia" w:hAnsi="Georgia"/>
          <w:sz w:val="24"/>
          <w:szCs w:val="24"/>
        </w:rPr>
        <w:t>Total costs include work performed by CDC</w:t>
      </w:r>
      <w:r w:rsidR="00ED5618">
        <w:rPr>
          <w:rFonts w:ascii="Georgia" w:hAnsi="Georgia"/>
          <w:sz w:val="24"/>
          <w:szCs w:val="24"/>
        </w:rPr>
        <w:t>/NIOSH</w:t>
      </w:r>
      <w:r>
        <w:rPr>
          <w:rFonts w:ascii="Georgia" w:hAnsi="Georgia"/>
          <w:sz w:val="24"/>
          <w:szCs w:val="24"/>
        </w:rPr>
        <w:t xml:space="preserve"> researchers  including a research</w:t>
      </w:r>
      <w:r w:rsidR="00ED5618">
        <w:rPr>
          <w:rFonts w:ascii="Georgia" w:hAnsi="Georgia"/>
          <w:sz w:val="24"/>
          <w:szCs w:val="24"/>
        </w:rPr>
        <w:t xml:space="preserve"> </w:t>
      </w:r>
      <w:r>
        <w:rPr>
          <w:rFonts w:ascii="Georgia" w:hAnsi="Georgia"/>
          <w:sz w:val="24"/>
          <w:szCs w:val="24"/>
        </w:rPr>
        <w:t>epid</w:t>
      </w:r>
      <w:r w:rsidR="00B5536E">
        <w:rPr>
          <w:rFonts w:ascii="Georgia" w:hAnsi="Georgia"/>
          <w:sz w:val="24"/>
          <w:szCs w:val="24"/>
        </w:rPr>
        <w:t>emiologist</w:t>
      </w:r>
      <w:r w:rsidR="007C30FC">
        <w:rPr>
          <w:rFonts w:ascii="Georgia" w:hAnsi="Georgia"/>
          <w:sz w:val="24"/>
          <w:szCs w:val="24"/>
        </w:rPr>
        <w:t xml:space="preserve"> (co-project officer)</w:t>
      </w:r>
      <w:r w:rsidR="00B5536E">
        <w:rPr>
          <w:rFonts w:ascii="Georgia" w:hAnsi="Georgia"/>
          <w:sz w:val="24"/>
          <w:szCs w:val="24"/>
        </w:rPr>
        <w:t xml:space="preserve">, </w:t>
      </w:r>
      <w:r w:rsidR="00E36BC6">
        <w:rPr>
          <w:rFonts w:ascii="Georgia" w:hAnsi="Georgia"/>
          <w:sz w:val="24"/>
          <w:szCs w:val="24"/>
        </w:rPr>
        <w:t xml:space="preserve">research </w:t>
      </w:r>
      <w:r w:rsidR="00B5536E">
        <w:rPr>
          <w:rFonts w:ascii="Georgia" w:hAnsi="Georgia"/>
          <w:sz w:val="24"/>
          <w:szCs w:val="24"/>
        </w:rPr>
        <w:t>industrial hygienist</w:t>
      </w:r>
      <w:r w:rsidR="007C30FC">
        <w:rPr>
          <w:rFonts w:ascii="Georgia" w:hAnsi="Georgia"/>
          <w:sz w:val="24"/>
          <w:szCs w:val="24"/>
        </w:rPr>
        <w:t xml:space="preserve"> (co-project officer)</w:t>
      </w:r>
      <w:r w:rsidR="00B5536E">
        <w:rPr>
          <w:rFonts w:ascii="Georgia" w:hAnsi="Georgia"/>
          <w:sz w:val="24"/>
          <w:szCs w:val="24"/>
        </w:rPr>
        <w:t xml:space="preserve">, </w:t>
      </w:r>
      <w:r w:rsidR="00E36BC6">
        <w:rPr>
          <w:rFonts w:ascii="Georgia" w:hAnsi="Georgia"/>
          <w:sz w:val="24"/>
          <w:szCs w:val="24"/>
        </w:rPr>
        <w:t xml:space="preserve">aerosol scientist, research chemist, electron microscopist, phlebotomist, </w:t>
      </w:r>
      <w:r w:rsidR="007C30FC">
        <w:rPr>
          <w:rFonts w:ascii="Georgia" w:hAnsi="Georgia"/>
          <w:sz w:val="24"/>
          <w:szCs w:val="24"/>
        </w:rPr>
        <w:t xml:space="preserve">industrial hygiene technician </w:t>
      </w:r>
      <w:r w:rsidR="00E36BC6">
        <w:rPr>
          <w:rFonts w:ascii="Georgia" w:hAnsi="Georgia"/>
          <w:sz w:val="24"/>
          <w:szCs w:val="24"/>
        </w:rPr>
        <w:t xml:space="preserve">and spirometry technician </w:t>
      </w:r>
      <w:r w:rsidR="00B5536E">
        <w:rPr>
          <w:rFonts w:ascii="Georgia" w:hAnsi="Georgia"/>
          <w:sz w:val="24"/>
          <w:szCs w:val="24"/>
        </w:rPr>
        <w:t xml:space="preserve">and will require </w:t>
      </w:r>
      <w:r w:rsidR="00E36BC6">
        <w:rPr>
          <w:rFonts w:ascii="Georgia" w:hAnsi="Georgia"/>
          <w:sz w:val="24"/>
          <w:szCs w:val="24"/>
        </w:rPr>
        <w:t xml:space="preserve">2.5 </w:t>
      </w:r>
      <w:r w:rsidR="002A6C22">
        <w:rPr>
          <w:rFonts w:ascii="Georgia" w:hAnsi="Georgia"/>
          <w:sz w:val="24"/>
          <w:szCs w:val="24"/>
        </w:rPr>
        <w:t xml:space="preserve"> years </w:t>
      </w:r>
      <w:r w:rsidR="00B5536E">
        <w:rPr>
          <w:rFonts w:ascii="Georgia" w:hAnsi="Georgia"/>
          <w:sz w:val="24"/>
          <w:szCs w:val="24"/>
        </w:rPr>
        <w:t>of full-time effort</w:t>
      </w:r>
      <w:r w:rsidR="002A6C22">
        <w:rPr>
          <w:rFonts w:ascii="Georgia" w:hAnsi="Georgia"/>
          <w:sz w:val="24"/>
          <w:szCs w:val="24"/>
        </w:rPr>
        <w:t xml:space="preserve"> for each of two fiscal years</w:t>
      </w:r>
      <w:r w:rsidR="00B5536E">
        <w:rPr>
          <w:rFonts w:ascii="Georgia" w:hAnsi="Georgia"/>
          <w:sz w:val="24"/>
          <w:szCs w:val="24"/>
        </w:rPr>
        <w:t xml:space="preserve">.  </w:t>
      </w:r>
      <w:r w:rsidR="002A6C22">
        <w:rPr>
          <w:rFonts w:ascii="Georgia" w:hAnsi="Georgia"/>
          <w:sz w:val="24"/>
          <w:szCs w:val="24"/>
        </w:rPr>
        <w:t>There will be</w:t>
      </w:r>
      <w:r w:rsidR="00960B93">
        <w:rPr>
          <w:rFonts w:ascii="Georgia" w:hAnsi="Georgia"/>
          <w:sz w:val="24"/>
          <w:szCs w:val="24"/>
        </w:rPr>
        <w:t xml:space="preserve"> total</w:t>
      </w:r>
      <w:r w:rsidR="007C30FC">
        <w:rPr>
          <w:rFonts w:ascii="Georgia" w:hAnsi="Georgia"/>
          <w:sz w:val="24"/>
          <w:szCs w:val="24"/>
        </w:rPr>
        <w:t xml:space="preserve"> average</w:t>
      </w:r>
      <w:r w:rsidR="002A6C22">
        <w:rPr>
          <w:rFonts w:ascii="Georgia" w:hAnsi="Georgia"/>
          <w:sz w:val="24"/>
          <w:szCs w:val="24"/>
        </w:rPr>
        <w:t xml:space="preserve"> costs in </w:t>
      </w:r>
      <w:r w:rsidR="00960B93">
        <w:rPr>
          <w:rFonts w:ascii="Georgia" w:hAnsi="Georgia"/>
          <w:sz w:val="24"/>
          <w:szCs w:val="24"/>
        </w:rPr>
        <w:t>the amount of $</w:t>
      </w:r>
      <w:r w:rsidR="007C30FC">
        <w:rPr>
          <w:rFonts w:ascii="Georgia" w:hAnsi="Georgia"/>
          <w:sz w:val="24"/>
          <w:szCs w:val="24"/>
        </w:rPr>
        <w:t>429,415</w:t>
      </w:r>
      <w:r w:rsidR="00960B93">
        <w:rPr>
          <w:rFonts w:ascii="Georgia" w:hAnsi="Georgia"/>
          <w:sz w:val="24"/>
          <w:szCs w:val="24"/>
        </w:rPr>
        <w:t xml:space="preserve"> for </w:t>
      </w:r>
      <w:r w:rsidR="007C30FC">
        <w:rPr>
          <w:rFonts w:ascii="Georgia" w:hAnsi="Georgia"/>
          <w:sz w:val="24"/>
          <w:szCs w:val="24"/>
        </w:rPr>
        <w:t xml:space="preserve">each of </w:t>
      </w:r>
      <w:r w:rsidR="00960B93">
        <w:rPr>
          <w:rFonts w:ascii="Georgia" w:hAnsi="Georgia"/>
          <w:sz w:val="24"/>
          <w:szCs w:val="24"/>
        </w:rPr>
        <w:t xml:space="preserve">the two fiscal years to conduct the work (including </w:t>
      </w:r>
      <w:r w:rsidR="007C30FC">
        <w:rPr>
          <w:rFonts w:ascii="Georgia" w:hAnsi="Georgia"/>
          <w:sz w:val="24"/>
          <w:szCs w:val="24"/>
        </w:rPr>
        <w:t xml:space="preserve">personnel and </w:t>
      </w:r>
      <w:r w:rsidR="00960B93">
        <w:rPr>
          <w:rFonts w:ascii="Georgia" w:hAnsi="Georgia"/>
          <w:sz w:val="24"/>
          <w:szCs w:val="24"/>
        </w:rPr>
        <w:t xml:space="preserve">travel costs for the research team, contracts for some of the biomarker analyses, and supplies and materials). </w:t>
      </w:r>
      <w:r w:rsidR="00B5536E">
        <w:rPr>
          <w:rFonts w:ascii="Georgia" w:hAnsi="Georgia"/>
          <w:sz w:val="24"/>
          <w:szCs w:val="24"/>
        </w:rPr>
        <w:t>There will be additional dissemination costs to NIOSH (not yet determined) for preparing reports and publications that NIOSH anticipates following analysis of the data captur</w:t>
      </w:r>
      <w:r w:rsidR="007C30FC">
        <w:rPr>
          <w:rFonts w:ascii="Georgia" w:hAnsi="Georgia"/>
          <w:sz w:val="24"/>
          <w:szCs w:val="24"/>
        </w:rPr>
        <w:t>ed in this survey.  CDC personnel</w:t>
      </w:r>
      <w:r w:rsidR="00B5536E">
        <w:rPr>
          <w:rFonts w:ascii="Georgia" w:hAnsi="Georgia"/>
          <w:sz w:val="24"/>
          <w:szCs w:val="24"/>
        </w:rPr>
        <w:t xml:space="preserve"> costs are estimated at </w:t>
      </w:r>
      <w:r w:rsidR="00081597">
        <w:rPr>
          <w:rFonts w:ascii="Georgia" w:hAnsi="Georgia"/>
          <w:sz w:val="24"/>
          <w:szCs w:val="24"/>
        </w:rPr>
        <w:t>$263,000</w:t>
      </w:r>
      <w:r w:rsidR="000D0A0D">
        <w:rPr>
          <w:rFonts w:ascii="Georgia" w:hAnsi="Georgia"/>
          <w:sz w:val="24"/>
          <w:szCs w:val="24"/>
        </w:rPr>
        <w:t xml:space="preserve"> per year </w:t>
      </w:r>
      <w:r w:rsidR="00B5536E">
        <w:rPr>
          <w:rFonts w:ascii="Georgia" w:hAnsi="Georgia"/>
          <w:sz w:val="24"/>
          <w:szCs w:val="24"/>
        </w:rPr>
        <w:t>for</w:t>
      </w:r>
      <w:r w:rsidR="00081597">
        <w:rPr>
          <w:rFonts w:ascii="Georgia" w:hAnsi="Georgia"/>
          <w:sz w:val="24"/>
          <w:szCs w:val="24"/>
        </w:rPr>
        <w:t xml:space="preserve"> all</w:t>
      </w:r>
      <w:r w:rsidR="00B5536E">
        <w:rPr>
          <w:rFonts w:ascii="Georgia" w:hAnsi="Georgia"/>
          <w:sz w:val="24"/>
          <w:szCs w:val="24"/>
        </w:rPr>
        <w:t xml:space="preserve"> </w:t>
      </w:r>
      <w:r w:rsidR="00081597">
        <w:rPr>
          <w:rFonts w:ascii="Georgia" w:hAnsi="Georgia"/>
          <w:sz w:val="24"/>
          <w:szCs w:val="24"/>
        </w:rPr>
        <w:t>project</w:t>
      </w:r>
      <w:r w:rsidR="00B5536E">
        <w:rPr>
          <w:rFonts w:ascii="Georgia" w:hAnsi="Georgia"/>
          <w:sz w:val="24"/>
          <w:szCs w:val="24"/>
        </w:rPr>
        <w:t xml:space="preserve"> </w:t>
      </w:r>
      <w:r w:rsidR="002D5924">
        <w:rPr>
          <w:rFonts w:ascii="Georgia" w:hAnsi="Georgia"/>
          <w:sz w:val="24"/>
          <w:szCs w:val="24"/>
        </w:rPr>
        <w:t>staff.</w:t>
      </w:r>
    </w:p>
    <w:p w:rsidR="00875726" w:rsidRPr="00875726" w:rsidRDefault="000B0952" w:rsidP="006D61AF">
      <w:pPr>
        <w:tabs>
          <w:tab w:val="left" w:pos="0"/>
        </w:tabs>
        <w:autoSpaceDE w:val="0"/>
        <w:autoSpaceDN w:val="0"/>
        <w:adjustRightInd w:val="0"/>
        <w:spacing w:after="100" w:afterAutospacing="1" w:line="360" w:lineRule="auto"/>
        <w:ind w:hanging="720"/>
        <w:rPr>
          <w:rFonts w:ascii="Georgia" w:hAnsi="Georgia"/>
          <w:sz w:val="24"/>
          <w:szCs w:val="24"/>
        </w:rPr>
      </w:pPr>
      <w:r>
        <w:rPr>
          <w:rFonts w:ascii="Georgia" w:hAnsi="Georgia"/>
          <w:sz w:val="24"/>
          <w:szCs w:val="24"/>
        </w:rPr>
        <w:lastRenderedPageBreak/>
        <w:tab/>
        <w:t>Estimated annualized costs to the Federal Government for the survey period are presented in Table A.14-1 below.</w:t>
      </w:r>
      <w:r w:rsidR="00B5536E">
        <w:rPr>
          <w:rFonts w:ascii="Georgia" w:hAnsi="Georgia"/>
          <w:sz w:val="24"/>
          <w:szCs w:val="24"/>
        </w:rPr>
        <w:tab/>
        <w:t xml:space="preserve"> </w:t>
      </w:r>
      <w:r w:rsidR="00875726">
        <w:rPr>
          <w:rFonts w:ascii="Georgia" w:hAnsi="Georgia"/>
          <w:sz w:val="24"/>
          <w:szCs w:val="24"/>
        </w:rPr>
        <w:t xml:space="preserve"> </w:t>
      </w:r>
    </w:p>
    <w:p w:rsidR="000437D1" w:rsidRPr="004102D5" w:rsidRDefault="000437D1" w:rsidP="004102D5">
      <w:pPr>
        <w:rPr>
          <w:rFonts w:ascii="Georgia" w:hAnsi="Georgia"/>
        </w:rPr>
      </w:pPr>
      <w:bookmarkStart w:id="31" w:name="_Toc345399543"/>
      <w:r w:rsidRPr="004102D5">
        <w:rPr>
          <w:rFonts w:ascii="Georgia" w:hAnsi="Georgia"/>
        </w:rPr>
        <w:t>Table A.14.1.  Estimated Annualized Cost to the Federal Government</w:t>
      </w:r>
      <w:bookmarkEnd w:id="31"/>
    </w:p>
    <w:tbl>
      <w:tblPr>
        <w:tblStyle w:val="TableGrid"/>
        <w:tblW w:w="0" w:type="auto"/>
        <w:jc w:val="center"/>
        <w:tblLook w:val="04A0" w:firstRow="1" w:lastRow="0" w:firstColumn="1" w:lastColumn="0" w:noHBand="0" w:noVBand="1"/>
      </w:tblPr>
      <w:tblGrid>
        <w:gridCol w:w="4725"/>
        <w:gridCol w:w="940"/>
        <w:gridCol w:w="940"/>
      </w:tblGrid>
      <w:tr w:rsidR="007C30FC" w:rsidTr="007C30FC">
        <w:trPr>
          <w:jc w:val="center"/>
        </w:trPr>
        <w:tc>
          <w:tcPr>
            <w:tcW w:w="0" w:type="auto"/>
          </w:tcPr>
          <w:p w:rsidR="007C30FC" w:rsidRDefault="007C30FC" w:rsidP="005B47D3"/>
        </w:tc>
        <w:tc>
          <w:tcPr>
            <w:tcW w:w="0" w:type="auto"/>
          </w:tcPr>
          <w:p w:rsidR="007C30FC" w:rsidRDefault="007C30FC" w:rsidP="005B47D3">
            <w:r>
              <w:t>FY 2013</w:t>
            </w:r>
          </w:p>
          <w:p w:rsidR="007C30FC" w:rsidRDefault="007C30FC" w:rsidP="005B47D3">
            <w:r>
              <w:t xml:space="preserve">      $</w:t>
            </w:r>
          </w:p>
        </w:tc>
        <w:tc>
          <w:tcPr>
            <w:tcW w:w="0" w:type="auto"/>
          </w:tcPr>
          <w:p w:rsidR="007C30FC" w:rsidRDefault="007C30FC" w:rsidP="005B47D3">
            <w:r>
              <w:t>FY2014</w:t>
            </w:r>
          </w:p>
          <w:p w:rsidR="007C30FC" w:rsidRDefault="007C30FC" w:rsidP="006F45D6">
            <w:r>
              <w:t xml:space="preserve">    $</w:t>
            </w:r>
          </w:p>
        </w:tc>
      </w:tr>
      <w:tr w:rsidR="007C30FC" w:rsidTr="007C30FC">
        <w:trPr>
          <w:jc w:val="center"/>
        </w:trPr>
        <w:tc>
          <w:tcPr>
            <w:tcW w:w="0" w:type="auto"/>
          </w:tcPr>
          <w:p w:rsidR="007C30FC" w:rsidRDefault="007C30FC" w:rsidP="005B47D3">
            <w:r>
              <w:t>CDC Personnel</w:t>
            </w:r>
          </w:p>
        </w:tc>
        <w:tc>
          <w:tcPr>
            <w:tcW w:w="0" w:type="auto"/>
          </w:tcPr>
          <w:p w:rsidR="007C30FC" w:rsidRDefault="007C30FC" w:rsidP="00E74099">
            <w:r>
              <w:t>263,000</w:t>
            </w:r>
          </w:p>
        </w:tc>
        <w:tc>
          <w:tcPr>
            <w:tcW w:w="0" w:type="auto"/>
          </w:tcPr>
          <w:p w:rsidR="007C30FC" w:rsidRDefault="007C30FC" w:rsidP="00E74099">
            <w:r>
              <w:t>263,000</w:t>
            </w:r>
          </w:p>
        </w:tc>
      </w:tr>
      <w:tr w:rsidR="007C30FC" w:rsidTr="007C30FC">
        <w:trPr>
          <w:jc w:val="center"/>
        </w:trPr>
        <w:tc>
          <w:tcPr>
            <w:tcW w:w="0" w:type="auto"/>
          </w:tcPr>
          <w:p w:rsidR="007C30FC" w:rsidRDefault="007C30FC" w:rsidP="005B47D3">
            <w:r>
              <w:t>NIOSH Travel</w:t>
            </w:r>
          </w:p>
        </w:tc>
        <w:tc>
          <w:tcPr>
            <w:tcW w:w="0" w:type="auto"/>
          </w:tcPr>
          <w:p w:rsidR="007C30FC" w:rsidRDefault="007C30FC" w:rsidP="00802F56">
            <w:r>
              <w:t xml:space="preserve"> 41,495</w:t>
            </w:r>
          </w:p>
        </w:tc>
        <w:tc>
          <w:tcPr>
            <w:tcW w:w="0" w:type="auto"/>
          </w:tcPr>
          <w:p w:rsidR="007C30FC" w:rsidRDefault="007C30FC" w:rsidP="00802F56">
            <w:r>
              <w:t xml:space="preserve"> 79,564</w:t>
            </w:r>
          </w:p>
        </w:tc>
      </w:tr>
      <w:tr w:rsidR="007C30FC" w:rsidTr="007C30FC">
        <w:trPr>
          <w:jc w:val="center"/>
        </w:trPr>
        <w:tc>
          <w:tcPr>
            <w:tcW w:w="0" w:type="auto"/>
          </w:tcPr>
          <w:p w:rsidR="007C30FC" w:rsidRDefault="007C30FC" w:rsidP="005B47D3">
            <w:r>
              <w:t>Use of FERV*</w:t>
            </w:r>
          </w:p>
        </w:tc>
        <w:tc>
          <w:tcPr>
            <w:tcW w:w="0" w:type="auto"/>
          </w:tcPr>
          <w:p w:rsidR="007C30FC" w:rsidRDefault="007C30FC" w:rsidP="00802F56">
            <w:r>
              <w:t xml:space="preserve">   2,517</w:t>
            </w:r>
          </w:p>
        </w:tc>
        <w:tc>
          <w:tcPr>
            <w:tcW w:w="0" w:type="auto"/>
          </w:tcPr>
          <w:p w:rsidR="007C30FC" w:rsidRDefault="007C30FC" w:rsidP="00802F56">
            <w:r>
              <w:t xml:space="preserve">   3,443</w:t>
            </w:r>
          </w:p>
        </w:tc>
      </w:tr>
      <w:tr w:rsidR="007C30FC" w:rsidTr="007C30FC">
        <w:trPr>
          <w:jc w:val="center"/>
        </w:trPr>
        <w:tc>
          <w:tcPr>
            <w:tcW w:w="0" w:type="auto"/>
          </w:tcPr>
          <w:p w:rsidR="007C30FC" w:rsidRDefault="007C30FC" w:rsidP="005B47D3">
            <w:r>
              <w:t>Overtime/Drive FERV after regular hrs. (contracts)</w:t>
            </w:r>
          </w:p>
        </w:tc>
        <w:tc>
          <w:tcPr>
            <w:tcW w:w="0" w:type="auto"/>
          </w:tcPr>
          <w:p w:rsidR="007C30FC" w:rsidRDefault="007C30FC" w:rsidP="00802F56">
            <w:r>
              <w:t xml:space="preserve">   2,340</w:t>
            </w:r>
          </w:p>
        </w:tc>
        <w:tc>
          <w:tcPr>
            <w:tcW w:w="0" w:type="auto"/>
          </w:tcPr>
          <w:p w:rsidR="007C30FC" w:rsidRDefault="007C30FC" w:rsidP="00802F56">
            <w:r>
              <w:t xml:space="preserve">   2,340</w:t>
            </w:r>
          </w:p>
        </w:tc>
      </w:tr>
      <w:tr w:rsidR="007C30FC" w:rsidTr="007C30FC">
        <w:trPr>
          <w:jc w:val="center"/>
        </w:trPr>
        <w:tc>
          <w:tcPr>
            <w:tcW w:w="0" w:type="auto"/>
          </w:tcPr>
          <w:p w:rsidR="007C30FC" w:rsidRDefault="007C30FC" w:rsidP="005B47D3">
            <w:r>
              <w:t>Supplies &amp; Materials</w:t>
            </w:r>
          </w:p>
        </w:tc>
        <w:tc>
          <w:tcPr>
            <w:tcW w:w="0" w:type="auto"/>
          </w:tcPr>
          <w:p w:rsidR="007C30FC" w:rsidRDefault="007C30FC" w:rsidP="00583352">
            <w:r>
              <w:t xml:space="preserve"> 24,000</w:t>
            </w:r>
          </w:p>
        </w:tc>
        <w:tc>
          <w:tcPr>
            <w:tcW w:w="0" w:type="auto"/>
          </w:tcPr>
          <w:p w:rsidR="007C30FC" w:rsidRDefault="007C30FC" w:rsidP="00802F56">
            <w:r>
              <w:t xml:space="preserve">   5,900</w:t>
            </w:r>
          </w:p>
        </w:tc>
      </w:tr>
      <w:tr w:rsidR="007C30FC" w:rsidTr="007C30FC">
        <w:trPr>
          <w:jc w:val="center"/>
        </w:trPr>
        <w:tc>
          <w:tcPr>
            <w:tcW w:w="0" w:type="auto"/>
          </w:tcPr>
          <w:p w:rsidR="007C30FC" w:rsidRDefault="007C30FC" w:rsidP="005B47D3">
            <w:r>
              <w:t>Equipment Purchases</w:t>
            </w:r>
          </w:p>
        </w:tc>
        <w:tc>
          <w:tcPr>
            <w:tcW w:w="0" w:type="auto"/>
          </w:tcPr>
          <w:p w:rsidR="007C30FC" w:rsidRDefault="007C30FC" w:rsidP="00802F56">
            <w:r>
              <w:t xml:space="preserve">           0        </w:t>
            </w:r>
          </w:p>
        </w:tc>
        <w:tc>
          <w:tcPr>
            <w:tcW w:w="0" w:type="auto"/>
          </w:tcPr>
          <w:p w:rsidR="007C30FC" w:rsidRDefault="007C30FC" w:rsidP="00802F56">
            <w:r>
              <w:t xml:space="preserve">           0        </w:t>
            </w:r>
          </w:p>
        </w:tc>
      </w:tr>
      <w:tr w:rsidR="007C30FC" w:rsidTr="007C30FC">
        <w:trPr>
          <w:jc w:val="center"/>
        </w:trPr>
        <w:tc>
          <w:tcPr>
            <w:tcW w:w="0" w:type="auto"/>
          </w:tcPr>
          <w:p w:rsidR="007C30FC" w:rsidRDefault="007C30FC" w:rsidP="005B47D3">
            <w:r>
              <w:t>Shipping of specimens to NIOSH and contract labs.</w:t>
            </w:r>
          </w:p>
        </w:tc>
        <w:tc>
          <w:tcPr>
            <w:tcW w:w="0" w:type="auto"/>
          </w:tcPr>
          <w:p w:rsidR="007C30FC" w:rsidRDefault="007C30FC" w:rsidP="00802F56">
            <w:r>
              <w:t xml:space="preserve">    1,500</w:t>
            </w:r>
          </w:p>
        </w:tc>
        <w:tc>
          <w:tcPr>
            <w:tcW w:w="0" w:type="auto"/>
          </w:tcPr>
          <w:p w:rsidR="007C30FC" w:rsidRDefault="007C30FC" w:rsidP="00802F56">
            <w:r>
              <w:t xml:space="preserve">   1,500</w:t>
            </w:r>
          </w:p>
        </w:tc>
      </w:tr>
      <w:tr w:rsidR="007C30FC" w:rsidTr="007C30FC">
        <w:trPr>
          <w:jc w:val="center"/>
        </w:trPr>
        <w:tc>
          <w:tcPr>
            <w:tcW w:w="0" w:type="auto"/>
          </w:tcPr>
          <w:p w:rsidR="007C30FC" w:rsidRDefault="007C30FC" w:rsidP="005B47D3">
            <w:r>
              <w:t>Contract for sample analysis &amp; calibration</w:t>
            </w:r>
          </w:p>
        </w:tc>
        <w:tc>
          <w:tcPr>
            <w:tcW w:w="0" w:type="auto"/>
          </w:tcPr>
          <w:p w:rsidR="007C30FC" w:rsidRDefault="007C30FC" w:rsidP="00802F56">
            <w:r>
              <w:t xml:space="preserve">  82,500</w:t>
            </w:r>
          </w:p>
        </w:tc>
        <w:tc>
          <w:tcPr>
            <w:tcW w:w="0" w:type="auto"/>
          </w:tcPr>
          <w:p w:rsidR="007C30FC" w:rsidRDefault="007C30FC" w:rsidP="00802F56">
            <w:r>
              <w:t xml:space="preserve">  85,730    </w:t>
            </w:r>
          </w:p>
        </w:tc>
      </w:tr>
      <w:tr w:rsidR="007C30FC" w:rsidTr="007C30FC">
        <w:trPr>
          <w:jc w:val="center"/>
        </w:trPr>
        <w:tc>
          <w:tcPr>
            <w:tcW w:w="0" w:type="auto"/>
          </w:tcPr>
          <w:p w:rsidR="007C30FC" w:rsidRDefault="007C30FC" w:rsidP="005F7354">
            <w:r>
              <w:t>Total</w:t>
            </w:r>
          </w:p>
        </w:tc>
        <w:tc>
          <w:tcPr>
            <w:tcW w:w="0" w:type="auto"/>
          </w:tcPr>
          <w:p w:rsidR="007C30FC" w:rsidRDefault="007C30FC" w:rsidP="00E74099">
            <w:r>
              <w:t>417,352</w:t>
            </w:r>
          </w:p>
        </w:tc>
        <w:tc>
          <w:tcPr>
            <w:tcW w:w="0" w:type="auto"/>
          </w:tcPr>
          <w:p w:rsidR="007C30FC" w:rsidRDefault="007C30FC" w:rsidP="007C30FC">
            <w:r>
              <w:t>441,477</w:t>
            </w:r>
          </w:p>
        </w:tc>
      </w:tr>
    </w:tbl>
    <w:p w:rsidR="000437D1" w:rsidRDefault="000437D1" w:rsidP="000437D1"/>
    <w:p w:rsidR="000437D1" w:rsidRPr="00F12AC1" w:rsidRDefault="000437D1" w:rsidP="000437D1">
      <w:pPr>
        <w:autoSpaceDE w:val="0"/>
        <w:autoSpaceDN w:val="0"/>
        <w:adjustRightInd w:val="0"/>
        <w:spacing w:after="0" w:line="240" w:lineRule="auto"/>
        <w:ind w:left="720" w:hanging="720"/>
        <w:rPr>
          <w:rFonts w:ascii="Georgia" w:hAnsi="Georgia"/>
          <w:sz w:val="16"/>
          <w:szCs w:val="16"/>
        </w:rPr>
      </w:pPr>
      <w:r w:rsidRPr="000437D1">
        <w:rPr>
          <w:rFonts w:ascii="Georgia" w:hAnsi="Georgia"/>
          <w:b/>
          <w:sz w:val="16"/>
          <w:szCs w:val="16"/>
        </w:rPr>
        <w:t>*</w:t>
      </w:r>
      <w:r w:rsidRPr="00F12AC1">
        <w:rPr>
          <w:rFonts w:ascii="Georgia" w:hAnsi="Georgia"/>
          <w:sz w:val="16"/>
          <w:szCs w:val="16"/>
        </w:rPr>
        <w:t xml:space="preserve">The NIOSH Field Evaluations and Response Vehicle (FERV) will be used at each site to conduct medical </w:t>
      </w:r>
    </w:p>
    <w:p w:rsidR="000437D1" w:rsidRPr="00F12AC1" w:rsidRDefault="000437D1" w:rsidP="000437D1">
      <w:pPr>
        <w:autoSpaceDE w:val="0"/>
        <w:autoSpaceDN w:val="0"/>
        <w:adjustRightInd w:val="0"/>
        <w:spacing w:after="0" w:line="240" w:lineRule="auto"/>
        <w:ind w:left="720" w:hanging="720"/>
        <w:rPr>
          <w:rFonts w:ascii="Georgia" w:hAnsi="Georgia"/>
          <w:sz w:val="16"/>
          <w:szCs w:val="16"/>
        </w:rPr>
      </w:pPr>
      <w:r w:rsidRPr="00F12AC1">
        <w:rPr>
          <w:rFonts w:ascii="Georgia" w:hAnsi="Georgia"/>
          <w:sz w:val="16"/>
          <w:szCs w:val="16"/>
        </w:rPr>
        <w:t xml:space="preserve"> examinations, spirometry, and biospecimen collection (serum, sputum, buccal cells), and to administer a</w:t>
      </w:r>
    </w:p>
    <w:p w:rsidR="000437D1" w:rsidRPr="00F12AC1" w:rsidRDefault="000437D1" w:rsidP="000437D1">
      <w:pPr>
        <w:autoSpaceDE w:val="0"/>
        <w:autoSpaceDN w:val="0"/>
        <w:adjustRightInd w:val="0"/>
        <w:spacing w:after="0" w:line="240" w:lineRule="auto"/>
        <w:ind w:left="720" w:hanging="720"/>
        <w:rPr>
          <w:rFonts w:ascii="Georgia" w:hAnsi="Georgia"/>
          <w:sz w:val="16"/>
          <w:szCs w:val="16"/>
        </w:rPr>
      </w:pPr>
      <w:r w:rsidRPr="00F12AC1">
        <w:rPr>
          <w:rFonts w:ascii="Georgia" w:hAnsi="Georgia"/>
          <w:sz w:val="16"/>
          <w:szCs w:val="16"/>
        </w:rPr>
        <w:t xml:space="preserve"> questionnaire to participating workers. </w:t>
      </w:r>
    </w:p>
    <w:p w:rsidR="000437D1" w:rsidRDefault="000437D1" w:rsidP="007F2A39">
      <w:pPr>
        <w:autoSpaceDE w:val="0"/>
        <w:autoSpaceDN w:val="0"/>
        <w:adjustRightInd w:val="0"/>
        <w:spacing w:after="100" w:afterAutospacing="1" w:line="360" w:lineRule="auto"/>
        <w:ind w:left="720" w:hanging="720"/>
        <w:rPr>
          <w:rFonts w:ascii="Georgia" w:hAnsi="Georgia"/>
          <w:sz w:val="24"/>
          <w:szCs w:val="24"/>
        </w:rPr>
      </w:pPr>
    </w:p>
    <w:p w:rsidR="00493F17" w:rsidRDefault="00B708B1" w:rsidP="00E321F3">
      <w:pPr>
        <w:pStyle w:val="Heading2"/>
      </w:pPr>
      <w:bookmarkStart w:id="32" w:name="_Toc345399544"/>
      <w:bookmarkStart w:id="33" w:name="_Toc347997728"/>
      <w:r w:rsidRPr="00B708B1">
        <w:t>A15.</w:t>
      </w:r>
      <w:r w:rsidRPr="00B708B1">
        <w:tab/>
        <w:t>Explanation for Program Changes or Adjustments</w:t>
      </w:r>
      <w:bookmarkEnd w:id="32"/>
      <w:bookmarkEnd w:id="33"/>
    </w:p>
    <w:p w:rsidR="00B708B1" w:rsidRDefault="00B708B1" w:rsidP="007F2A39">
      <w:pPr>
        <w:autoSpaceDE w:val="0"/>
        <w:autoSpaceDN w:val="0"/>
        <w:adjustRightInd w:val="0"/>
        <w:spacing w:after="100" w:afterAutospacing="1" w:line="360" w:lineRule="auto"/>
        <w:ind w:left="720" w:hanging="720"/>
        <w:rPr>
          <w:rFonts w:ascii="Georgia" w:hAnsi="Georgia"/>
          <w:sz w:val="24"/>
          <w:szCs w:val="24"/>
        </w:rPr>
      </w:pPr>
      <w:r>
        <w:rPr>
          <w:rFonts w:ascii="Georgia" w:hAnsi="Georgia"/>
          <w:sz w:val="24"/>
          <w:szCs w:val="24"/>
        </w:rPr>
        <w:t>This is a new data collection.</w:t>
      </w:r>
    </w:p>
    <w:p w:rsidR="00B708B1" w:rsidRDefault="004102D5" w:rsidP="00E321F3">
      <w:pPr>
        <w:pStyle w:val="Heading2"/>
      </w:pPr>
      <w:bookmarkStart w:id="34" w:name="_Toc345399545"/>
      <w:bookmarkStart w:id="35" w:name="_Toc347997729"/>
      <w:r>
        <w:t>A</w:t>
      </w:r>
      <w:r w:rsidR="00B708B1" w:rsidRPr="00B708B1">
        <w:t>16.</w:t>
      </w:r>
      <w:r w:rsidR="00B708B1" w:rsidRPr="00B708B1">
        <w:tab/>
        <w:t>Plans for Tabulation and Publication and Project Time Schedule</w:t>
      </w:r>
      <w:bookmarkEnd w:id="34"/>
      <w:bookmarkEnd w:id="35"/>
    </w:p>
    <w:p w:rsidR="002308D2" w:rsidRDefault="005D0D2B" w:rsidP="00945F28">
      <w:pPr>
        <w:autoSpaceDE w:val="0"/>
        <w:autoSpaceDN w:val="0"/>
        <w:adjustRightInd w:val="0"/>
        <w:spacing w:after="100" w:afterAutospacing="1" w:line="360" w:lineRule="auto"/>
        <w:rPr>
          <w:rFonts w:ascii="Georgia" w:hAnsi="Georgia" w:cs="Courier New"/>
          <w:color w:val="000000"/>
          <w:sz w:val="24"/>
        </w:rPr>
      </w:pPr>
      <w:r>
        <w:rPr>
          <w:rFonts w:ascii="Georgia" w:hAnsi="Georgia" w:cs="Courier New"/>
          <w:color w:val="000000"/>
          <w:sz w:val="24"/>
        </w:rPr>
        <w:t>As described in the study protocol (Schubauer-Berigan et al. NIOSH protocol. Pp.</w:t>
      </w:r>
      <w:r w:rsidR="00361C6B">
        <w:rPr>
          <w:rFonts w:ascii="Georgia" w:hAnsi="Georgia" w:cs="Courier New"/>
          <w:color w:val="000000"/>
          <w:sz w:val="24"/>
        </w:rPr>
        <w:t xml:space="preserve"> 54-56, 2013), s</w:t>
      </w:r>
      <w:r>
        <w:rPr>
          <w:rFonts w:ascii="Georgia" w:hAnsi="Georgia" w:cs="Courier New"/>
          <w:color w:val="000000"/>
          <w:sz w:val="24"/>
        </w:rPr>
        <w:t xml:space="preserve">tatistical analyses will be conducted to </w:t>
      </w:r>
      <w:r w:rsidR="00006CA2">
        <w:rPr>
          <w:rFonts w:ascii="Georgia" w:hAnsi="Georgia" w:cs="Courier New"/>
          <w:color w:val="000000"/>
          <w:sz w:val="24"/>
        </w:rPr>
        <w:t>explore whether</w:t>
      </w:r>
      <w:r>
        <w:rPr>
          <w:rFonts w:ascii="Georgia" w:hAnsi="Georgia" w:cs="Courier New"/>
          <w:color w:val="000000"/>
          <w:sz w:val="24"/>
        </w:rPr>
        <w:t xml:space="preserve"> exposure to CNT and CNF </w:t>
      </w:r>
      <w:r w:rsidR="00006CA2">
        <w:rPr>
          <w:rFonts w:ascii="Georgia" w:hAnsi="Georgia" w:cs="Courier New"/>
          <w:color w:val="000000"/>
          <w:sz w:val="24"/>
        </w:rPr>
        <w:t>is associated with</w:t>
      </w:r>
      <w:r>
        <w:rPr>
          <w:rFonts w:ascii="Georgia" w:hAnsi="Georgia" w:cs="Courier New"/>
          <w:color w:val="000000"/>
          <w:sz w:val="24"/>
        </w:rPr>
        <w:t xml:space="preserve"> the outcome measures of interest. These outcome measures are: systolic and diastolic blood pressure; lung function metrics, including forced vital capacity and forced expiratory volume in one second; and each measured biomarker of early health effects, including biomarkers of inflammation, oxidative stress, pulmonary fibrosis, cardiovascular disease and cancer.  These analyses will be based on</w:t>
      </w:r>
      <w:r w:rsidRPr="00965EDF">
        <w:rPr>
          <w:rFonts w:ascii="Georgia" w:hAnsi="Georgia" w:cs="Courier New"/>
          <w:color w:val="000000"/>
          <w:sz w:val="24"/>
        </w:rPr>
        <w:t xml:space="preserve"> multiple</w:t>
      </w:r>
      <w:r>
        <w:rPr>
          <w:rFonts w:ascii="Georgia" w:hAnsi="Georgia" w:cs="Courier New"/>
          <w:color w:val="000000"/>
          <w:sz w:val="24"/>
        </w:rPr>
        <w:t xml:space="preserve"> linear or logistic</w:t>
      </w:r>
      <w:r w:rsidRPr="00965EDF">
        <w:rPr>
          <w:rFonts w:ascii="Georgia" w:hAnsi="Georgia" w:cs="Courier New"/>
          <w:color w:val="000000"/>
          <w:sz w:val="24"/>
        </w:rPr>
        <w:t xml:space="preserve"> regression analyses to </w:t>
      </w:r>
      <w:r w:rsidR="002308D2">
        <w:rPr>
          <w:rFonts w:ascii="Georgia" w:hAnsi="Georgia" w:cs="Courier New"/>
          <w:color w:val="000000"/>
          <w:sz w:val="24"/>
        </w:rPr>
        <w:t xml:space="preserve">assess whether </w:t>
      </w:r>
      <w:r>
        <w:rPr>
          <w:rFonts w:ascii="Georgia" w:hAnsi="Georgia" w:cs="Courier New"/>
          <w:color w:val="000000"/>
          <w:sz w:val="24"/>
        </w:rPr>
        <w:t xml:space="preserve">quantitative metrics of </w:t>
      </w:r>
      <w:r w:rsidRPr="00965EDF">
        <w:rPr>
          <w:rFonts w:ascii="Georgia" w:hAnsi="Georgia" w:cs="Courier New"/>
          <w:color w:val="000000"/>
          <w:sz w:val="24"/>
        </w:rPr>
        <w:t xml:space="preserve">exposure to CNT and CNF </w:t>
      </w:r>
      <w:r>
        <w:rPr>
          <w:rFonts w:ascii="Georgia" w:hAnsi="Georgia" w:cs="Courier New"/>
          <w:color w:val="000000"/>
          <w:sz w:val="24"/>
        </w:rPr>
        <w:t xml:space="preserve">(based on elemental carbon measurements and CNT or CNF structure counts via transmission electron microscopy) </w:t>
      </w:r>
      <w:r w:rsidR="00006CA2">
        <w:rPr>
          <w:rFonts w:ascii="Georgia" w:hAnsi="Georgia" w:cs="Courier New"/>
          <w:color w:val="000000"/>
          <w:sz w:val="24"/>
        </w:rPr>
        <w:t>are related to</w:t>
      </w:r>
      <w:r w:rsidRPr="00965EDF">
        <w:rPr>
          <w:rFonts w:ascii="Georgia" w:hAnsi="Georgia" w:cs="Courier New"/>
          <w:color w:val="000000"/>
          <w:sz w:val="24"/>
        </w:rPr>
        <w:t xml:space="preserve"> </w:t>
      </w:r>
      <w:r>
        <w:rPr>
          <w:rFonts w:ascii="Georgia" w:hAnsi="Georgia" w:cs="Courier New"/>
          <w:color w:val="000000"/>
          <w:sz w:val="24"/>
        </w:rPr>
        <w:t xml:space="preserve">each outcome measure listed above. The statistical models will adjust for important </w:t>
      </w:r>
      <w:r w:rsidRPr="00965EDF">
        <w:rPr>
          <w:rFonts w:ascii="Georgia" w:hAnsi="Georgia" w:cs="Courier New"/>
          <w:color w:val="000000"/>
          <w:sz w:val="24"/>
        </w:rPr>
        <w:t>potenti</w:t>
      </w:r>
      <w:r>
        <w:rPr>
          <w:rFonts w:ascii="Georgia" w:hAnsi="Georgia" w:cs="Courier New"/>
          <w:color w:val="000000"/>
          <w:sz w:val="24"/>
        </w:rPr>
        <w:t>al confounding factors such as tobacco</w:t>
      </w:r>
      <w:r w:rsidRPr="00965EDF">
        <w:rPr>
          <w:rFonts w:ascii="Georgia" w:hAnsi="Georgia" w:cs="Courier New"/>
          <w:color w:val="000000"/>
          <w:sz w:val="24"/>
        </w:rPr>
        <w:t xml:space="preserve"> and alcohol consumption history, age, gender, </w:t>
      </w:r>
      <w:r>
        <w:rPr>
          <w:rFonts w:ascii="Georgia" w:hAnsi="Georgia" w:cs="Courier New"/>
          <w:color w:val="000000"/>
          <w:sz w:val="24"/>
        </w:rPr>
        <w:t xml:space="preserve">body mass index, </w:t>
      </w:r>
      <w:r>
        <w:rPr>
          <w:rFonts w:ascii="Georgia" w:hAnsi="Georgia" w:cs="Courier New"/>
          <w:color w:val="000000"/>
          <w:sz w:val="24"/>
        </w:rPr>
        <w:lastRenderedPageBreak/>
        <w:t xml:space="preserve">waist circumference, use of certain medications, </w:t>
      </w:r>
      <w:r w:rsidRPr="00965EDF">
        <w:rPr>
          <w:rFonts w:ascii="Georgia" w:hAnsi="Georgia" w:cs="Courier New"/>
          <w:color w:val="000000"/>
          <w:sz w:val="24"/>
        </w:rPr>
        <w:t xml:space="preserve">and workplace </w:t>
      </w:r>
      <w:r>
        <w:rPr>
          <w:rFonts w:ascii="Georgia" w:hAnsi="Georgia" w:cs="Courier New"/>
          <w:color w:val="000000"/>
          <w:sz w:val="24"/>
        </w:rPr>
        <w:t xml:space="preserve">or hobby </w:t>
      </w:r>
      <w:r w:rsidRPr="00965EDF">
        <w:rPr>
          <w:rFonts w:ascii="Georgia" w:hAnsi="Georgia" w:cs="Courier New"/>
          <w:color w:val="000000"/>
          <w:sz w:val="24"/>
        </w:rPr>
        <w:t>co-exposures,</w:t>
      </w:r>
      <w:r>
        <w:rPr>
          <w:rFonts w:ascii="Georgia" w:hAnsi="Georgia" w:cs="Courier New"/>
          <w:color w:val="000000"/>
          <w:sz w:val="24"/>
        </w:rPr>
        <w:t xml:space="preserve"> </w:t>
      </w:r>
      <w:r w:rsidRPr="00965EDF">
        <w:rPr>
          <w:rFonts w:ascii="Georgia" w:hAnsi="Georgia" w:cs="Courier New"/>
          <w:color w:val="000000"/>
          <w:sz w:val="24"/>
        </w:rPr>
        <w:t>including non-engineered nanoscale particulate matter</w:t>
      </w:r>
      <w:r>
        <w:rPr>
          <w:rFonts w:ascii="Georgia" w:hAnsi="Georgia" w:cs="Courier New"/>
          <w:color w:val="000000"/>
          <w:sz w:val="24"/>
        </w:rPr>
        <w:t xml:space="preserve">. </w:t>
      </w:r>
    </w:p>
    <w:p w:rsidR="006D61AF" w:rsidRPr="00346955" w:rsidRDefault="005D0D2B" w:rsidP="00945F28">
      <w:pPr>
        <w:autoSpaceDE w:val="0"/>
        <w:autoSpaceDN w:val="0"/>
        <w:adjustRightInd w:val="0"/>
        <w:spacing w:after="100" w:afterAutospacing="1" w:line="360" w:lineRule="auto"/>
        <w:rPr>
          <w:rFonts w:ascii="Georgia" w:hAnsi="Georgia"/>
          <w:sz w:val="24"/>
          <w:szCs w:val="24"/>
        </w:rPr>
      </w:pPr>
      <w:r>
        <w:rPr>
          <w:rFonts w:ascii="Georgia" w:hAnsi="Georgia" w:cs="Courier New"/>
          <w:color w:val="000000"/>
          <w:sz w:val="24"/>
        </w:rPr>
        <w:t xml:space="preserve">In order to carry out the </w:t>
      </w:r>
      <w:r w:rsidR="000F70A2">
        <w:rPr>
          <w:rFonts w:ascii="Georgia" w:hAnsi="Georgia" w:cs="Courier New"/>
          <w:color w:val="000000"/>
          <w:sz w:val="24"/>
        </w:rPr>
        <w:t>planned statistical analyses, t</w:t>
      </w:r>
      <w:r w:rsidR="000D0A0D" w:rsidRPr="00346955">
        <w:rPr>
          <w:rFonts w:ascii="Georgia" w:hAnsi="Georgia"/>
          <w:sz w:val="24"/>
          <w:szCs w:val="24"/>
        </w:rPr>
        <w:t>he data from the questionnaire will be combined with the results of the exposure assessment, medical examinations and the biomarker tests as soon as feasible after collection, during FY 13 and FY14</w:t>
      </w:r>
      <w:r w:rsidR="001871CD">
        <w:rPr>
          <w:rFonts w:ascii="Georgia" w:hAnsi="Georgia"/>
          <w:sz w:val="24"/>
          <w:szCs w:val="24"/>
        </w:rPr>
        <w:t>, and possibly FY15 (if necessary)</w:t>
      </w:r>
      <w:r w:rsidR="000D0A0D" w:rsidRPr="00346955">
        <w:rPr>
          <w:rFonts w:ascii="Georgia" w:hAnsi="Georgia"/>
          <w:sz w:val="24"/>
          <w:szCs w:val="24"/>
        </w:rPr>
        <w:t xml:space="preserve">. Because it will take two </w:t>
      </w:r>
      <w:r w:rsidR="001871CD">
        <w:rPr>
          <w:rFonts w:ascii="Georgia" w:hAnsi="Georgia"/>
          <w:sz w:val="24"/>
          <w:szCs w:val="24"/>
        </w:rPr>
        <w:t xml:space="preserve">to three </w:t>
      </w:r>
      <w:r w:rsidR="000D0A0D" w:rsidRPr="00346955">
        <w:rPr>
          <w:rFonts w:ascii="Georgia" w:hAnsi="Georgia"/>
          <w:sz w:val="24"/>
          <w:szCs w:val="24"/>
        </w:rPr>
        <w:t xml:space="preserve">years to collect all the data necessary for the study, an additional year is required to complete the biomarker analyses and conduct statistical analyses. </w:t>
      </w:r>
      <w:r w:rsidR="006A16CC" w:rsidRPr="00346955">
        <w:rPr>
          <w:rFonts w:ascii="Georgia" w:hAnsi="Georgia"/>
          <w:sz w:val="24"/>
          <w:szCs w:val="24"/>
        </w:rPr>
        <w:t xml:space="preserve">After analyses are complete, several manuscripts will be published describing the occupational exposure assessment, the measurement methods used in the study, and the results of the analyses of the association between exposure to CNT or CNF and the measures of early health effects in the study participants. We anticipate that these manuscripts will be submitted for publication in FY15 and beyond, and will be followed by notification of workers of the study findings. Workers will be notified of their individual results of clinically relevant medical tests within five days of their completion, and will be notified of their other findings </w:t>
      </w:r>
      <w:r w:rsidR="00F01A51" w:rsidRPr="00346955">
        <w:rPr>
          <w:rFonts w:ascii="Georgia" w:hAnsi="Georgia"/>
          <w:sz w:val="24"/>
          <w:szCs w:val="24"/>
        </w:rPr>
        <w:t>(including exposure assessment</w:t>
      </w:r>
      <w:r w:rsidR="007C30FC">
        <w:rPr>
          <w:rFonts w:ascii="Georgia" w:hAnsi="Georgia"/>
          <w:sz w:val="24"/>
          <w:szCs w:val="24"/>
        </w:rPr>
        <w:t xml:space="preserve"> measurement</w:t>
      </w:r>
      <w:r w:rsidR="00F01A51" w:rsidRPr="00346955">
        <w:rPr>
          <w:rFonts w:ascii="Georgia" w:hAnsi="Georgia"/>
          <w:sz w:val="24"/>
          <w:szCs w:val="24"/>
        </w:rPr>
        <w:t xml:space="preserve"> results) </w:t>
      </w:r>
      <w:r w:rsidR="006A16CC" w:rsidRPr="00346955">
        <w:rPr>
          <w:rFonts w:ascii="Georgia" w:hAnsi="Georgia"/>
          <w:sz w:val="24"/>
          <w:szCs w:val="24"/>
        </w:rPr>
        <w:t xml:space="preserve">within one </w:t>
      </w:r>
      <w:r w:rsidR="00F01A51" w:rsidRPr="00346955">
        <w:rPr>
          <w:rFonts w:ascii="Georgia" w:hAnsi="Georgia"/>
          <w:sz w:val="24"/>
          <w:szCs w:val="24"/>
        </w:rPr>
        <w:t>month of the completion of these tests and measurements</w:t>
      </w:r>
      <w:r w:rsidR="007C30FC">
        <w:rPr>
          <w:rFonts w:ascii="Georgia" w:hAnsi="Georgia"/>
          <w:sz w:val="24"/>
          <w:szCs w:val="24"/>
        </w:rPr>
        <w:t>, which may be up to 1.5 years after the participant is enrolled in the study</w:t>
      </w:r>
      <w:r w:rsidR="00F01A51" w:rsidRPr="00346955">
        <w:rPr>
          <w:rFonts w:ascii="Georgia" w:hAnsi="Georgia"/>
          <w:sz w:val="24"/>
          <w:szCs w:val="24"/>
        </w:rPr>
        <w:t>.</w:t>
      </w:r>
      <w:r w:rsidR="006A16CC" w:rsidRPr="00346955">
        <w:rPr>
          <w:rFonts w:ascii="Georgia" w:hAnsi="Georgia"/>
          <w:sz w:val="24"/>
          <w:szCs w:val="24"/>
        </w:rPr>
        <w:t xml:space="preserve"> </w:t>
      </w:r>
    </w:p>
    <w:p w:rsidR="0041476A" w:rsidRDefault="0041476A">
      <w:bookmarkStart w:id="36" w:name="OLE_LINK11"/>
      <w:bookmarkStart w:id="37" w:name="OLE_LINK12"/>
      <w:r>
        <w:br w:type="page"/>
      </w:r>
    </w:p>
    <w:p w:rsidR="00034953" w:rsidRPr="00F81BA5" w:rsidRDefault="00034953" w:rsidP="00034953">
      <w:r w:rsidRPr="00F81BA5">
        <w:lastRenderedPageBreak/>
        <w:t>Project Time Schedule</w:t>
      </w:r>
    </w:p>
    <w:bookmarkEnd w:id="36"/>
    <w:bookmarkEnd w:id="37"/>
    <w:p w:rsidR="00034953" w:rsidRPr="00F81BA5" w:rsidRDefault="00034953" w:rsidP="00034953">
      <w:pPr>
        <w:pStyle w:val="TableTitle"/>
        <w:rPr>
          <w:rFonts w:ascii="Times New Roman" w:hAnsi="Times New Roman"/>
          <w:b w:val="0"/>
          <w:sz w:val="24"/>
          <w:szCs w:val="24"/>
        </w:rPr>
      </w:pPr>
      <w:r w:rsidRPr="00F81BA5">
        <w:rPr>
          <w:b w:val="0"/>
        </w:rPr>
        <w:t xml:space="preserve"> </w:t>
      </w:r>
      <w:bookmarkStart w:id="38" w:name="_Toc140979763"/>
      <w:r w:rsidRPr="00F81BA5">
        <w:rPr>
          <w:rFonts w:ascii="Times New Roman" w:hAnsi="Times New Roman"/>
          <w:b w:val="0"/>
          <w:sz w:val="24"/>
          <w:szCs w:val="24"/>
        </w:rPr>
        <w:t>Table A.16-1. Project Time Schedule</w:t>
      </w:r>
      <w:bookmarkEnd w:id="38"/>
      <w:r w:rsidRPr="00F81BA5">
        <w:rPr>
          <w:rFonts w:ascii="Times New Roman" w:hAnsi="Times New Roman"/>
          <w:b w:val="0"/>
          <w:sz w:val="24"/>
          <w:szCs w:val="24"/>
        </w:rPr>
        <w:t xml:space="preserve"> </w:t>
      </w:r>
    </w:p>
    <w:tbl>
      <w:tblPr>
        <w:tblW w:w="882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7"/>
        <w:gridCol w:w="3960"/>
      </w:tblGrid>
      <w:tr w:rsidR="00034953" w:rsidRPr="00F81BA5" w:rsidTr="0092243A">
        <w:trPr>
          <w:cantSplit/>
        </w:trPr>
        <w:tc>
          <w:tcPr>
            <w:tcW w:w="2757" w:type="pct"/>
            <w:tcBorders>
              <w:bottom w:val="single" w:sz="4" w:space="0" w:color="auto"/>
            </w:tcBorders>
            <w:noWrap/>
          </w:tcPr>
          <w:p w:rsidR="00034953" w:rsidRPr="00F81BA5" w:rsidRDefault="00034953" w:rsidP="002F1B92">
            <w:pPr>
              <w:rPr>
                <w:bCs/>
                <w:color w:val="000000"/>
              </w:rPr>
            </w:pPr>
            <w:r w:rsidRPr="00F81BA5">
              <w:rPr>
                <w:bCs/>
                <w:color w:val="000000"/>
              </w:rPr>
              <w:t>Activity</w:t>
            </w:r>
          </w:p>
        </w:tc>
        <w:tc>
          <w:tcPr>
            <w:tcW w:w="2243" w:type="pct"/>
            <w:tcBorders>
              <w:bottom w:val="single" w:sz="4" w:space="0" w:color="auto"/>
            </w:tcBorders>
            <w:noWrap/>
          </w:tcPr>
          <w:p w:rsidR="00034953" w:rsidRPr="00F81BA5" w:rsidRDefault="00034953" w:rsidP="002F1B92">
            <w:pPr>
              <w:rPr>
                <w:bCs/>
                <w:color w:val="000000"/>
              </w:rPr>
            </w:pPr>
            <w:r w:rsidRPr="00F81BA5">
              <w:rPr>
                <w:bCs/>
                <w:color w:val="000000"/>
              </w:rPr>
              <w:t>Time Schedule (Months After OMB Approval)</w:t>
            </w:r>
          </w:p>
        </w:tc>
      </w:tr>
      <w:tr w:rsidR="00AC69A6" w:rsidRPr="00F81BA5" w:rsidTr="0092243A">
        <w:trPr>
          <w:cantSplit/>
        </w:trPr>
        <w:tc>
          <w:tcPr>
            <w:tcW w:w="2757" w:type="pct"/>
            <w:noWrap/>
          </w:tcPr>
          <w:p w:rsidR="00AC69A6" w:rsidRPr="003F1D31" w:rsidRDefault="00AC69A6" w:rsidP="00250F2F">
            <w:r w:rsidRPr="003F1D31">
              <w:t xml:space="preserve">Consent and enroll workers from 10 previously identified workplaces, administer questionnaire, conduct medical examination, collect biospecimens and measure occupational exposure at each workplace </w:t>
            </w:r>
          </w:p>
        </w:tc>
        <w:tc>
          <w:tcPr>
            <w:tcW w:w="2243" w:type="pct"/>
            <w:noWrap/>
          </w:tcPr>
          <w:p w:rsidR="00AC69A6" w:rsidRDefault="00AC69A6" w:rsidP="00250F2F">
            <w:r w:rsidRPr="003F1D31">
              <w:t xml:space="preserve">Start within 1 month </w:t>
            </w:r>
            <w:r w:rsidR="00D65477">
              <w:t>after OMB approval (completed 24-28</w:t>
            </w:r>
            <w:r w:rsidRPr="003F1D31">
              <w:t xml:space="preserve"> months after OMB approval)</w:t>
            </w:r>
          </w:p>
        </w:tc>
      </w:tr>
      <w:tr w:rsidR="00034953" w:rsidRPr="00F81BA5" w:rsidTr="0092243A">
        <w:trPr>
          <w:cantSplit/>
        </w:trPr>
        <w:tc>
          <w:tcPr>
            <w:tcW w:w="2757" w:type="pct"/>
            <w:noWrap/>
          </w:tcPr>
          <w:p w:rsidR="00034953" w:rsidRDefault="00034953" w:rsidP="002F1B92">
            <w:pPr>
              <w:rPr>
                <w:bCs/>
                <w:color w:val="000000"/>
              </w:rPr>
            </w:pPr>
            <w:r>
              <w:rPr>
                <w:bCs/>
                <w:color w:val="000000"/>
              </w:rPr>
              <w:t>Complete biomarker analyses</w:t>
            </w:r>
          </w:p>
        </w:tc>
        <w:tc>
          <w:tcPr>
            <w:tcW w:w="2243" w:type="pct"/>
            <w:noWrap/>
          </w:tcPr>
          <w:p w:rsidR="00034953" w:rsidRDefault="00AC69A6" w:rsidP="002F1B92">
            <w:pPr>
              <w:rPr>
                <w:bCs/>
                <w:color w:val="000000"/>
              </w:rPr>
            </w:pPr>
            <w:r>
              <w:rPr>
                <w:bCs/>
                <w:color w:val="000000"/>
              </w:rPr>
              <w:t xml:space="preserve">Within </w:t>
            </w:r>
            <w:r w:rsidR="00D65477">
              <w:rPr>
                <w:bCs/>
                <w:color w:val="000000"/>
              </w:rPr>
              <w:t>30</w:t>
            </w:r>
            <w:r w:rsidR="00034953">
              <w:rPr>
                <w:bCs/>
                <w:color w:val="000000"/>
              </w:rPr>
              <w:t xml:space="preserve"> months after OMB approval</w:t>
            </w:r>
          </w:p>
        </w:tc>
      </w:tr>
      <w:tr w:rsidR="00034953" w:rsidRPr="00F81BA5" w:rsidTr="0092243A">
        <w:trPr>
          <w:cantSplit/>
        </w:trPr>
        <w:tc>
          <w:tcPr>
            <w:tcW w:w="2757" w:type="pct"/>
            <w:noWrap/>
          </w:tcPr>
          <w:p w:rsidR="00034953" w:rsidRPr="00F81BA5" w:rsidRDefault="00034953" w:rsidP="002F1B92">
            <w:pPr>
              <w:rPr>
                <w:bCs/>
                <w:color w:val="000000"/>
              </w:rPr>
            </w:pPr>
            <w:r>
              <w:rPr>
                <w:bCs/>
                <w:color w:val="000000"/>
              </w:rPr>
              <w:t>Combine data from questionnaire with results of exposure assessment, medical examination and biomarker tests</w:t>
            </w:r>
          </w:p>
        </w:tc>
        <w:tc>
          <w:tcPr>
            <w:tcW w:w="2243" w:type="pct"/>
            <w:noWrap/>
          </w:tcPr>
          <w:p w:rsidR="00034953" w:rsidRPr="00F81BA5" w:rsidRDefault="00AC69A6" w:rsidP="002F1B92">
            <w:pPr>
              <w:rPr>
                <w:bCs/>
                <w:color w:val="000000"/>
              </w:rPr>
            </w:pPr>
            <w:r>
              <w:rPr>
                <w:bCs/>
                <w:color w:val="000000"/>
              </w:rPr>
              <w:t>Within 3</w:t>
            </w:r>
            <w:r w:rsidR="00D65477">
              <w:rPr>
                <w:bCs/>
                <w:color w:val="000000"/>
              </w:rPr>
              <w:t>2</w:t>
            </w:r>
            <w:r w:rsidR="00034953">
              <w:rPr>
                <w:bCs/>
                <w:color w:val="000000"/>
              </w:rPr>
              <w:t xml:space="preserve"> months after OMB approval</w:t>
            </w:r>
          </w:p>
        </w:tc>
      </w:tr>
      <w:tr w:rsidR="00034953" w:rsidRPr="00F81BA5" w:rsidTr="0092243A">
        <w:trPr>
          <w:cantSplit/>
        </w:trPr>
        <w:tc>
          <w:tcPr>
            <w:tcW w:w="2757" w:type="pct"/>
            <w:noWrap/>
          </w:tcPr>
          <w:p w:rsidR="00034953" w:rsidRPr="00F81BA5" w:rsidRDefault="00034953" w:rsidP="002F1B92">
            <w:pPr>
              <w:rPr>
                <w:bCs/>
                <w:color w:val="000000"/>
              </w:rPr>
            </w:pPr>
            <w:r>
              <w:rPr>
                <w:bCs/>
                <w:color w:val="000000"/>
              </w:rPr>
              <w:t>Conduct statistical analyses relating exposure with medical examination and biomarker results</w:t>
            </w:r>
          </w:p>
        </w:tc>
        <w:tc>
          <w:tcPr>
            <w:tcW w:w="2243" w:type="pct"/>
            <w:noWrap/>
          </w:tcPr>
          <w:p w:rsidR="00034953" w:rsidRPr="00F81BA5" w:rsidRDefault="00034953" w:rsidP="002F1B92">
            <w:pPr>
              <w:rPr>
                <w:bCs/>
                <w:color w:val="000000"/>
              </w:rPr>
            </w:pPr>
            <w:r w:rsidRPr="00F81BA5">
              <w:rPr>
                <w:bCs/>
                <w:color w:val="000000"/>
              </w:rPr>
              <w:t xml:space="preserve">Within </w:t>
            </w:r>
            <w:r>
              <w:rPr>
                <w:bCs/>
                <w:color w:val="000000"/>
              </w:rPr>
              <w:t>36</w:t>
            </w:r>
            <w:r w:rsidRPr="00F81BA5">
              <w:rPr>
                <w:bCs/>
                <w:color w:val="000000"/>
              </w:rPr>
              <w:t xml:space="preserve"> months after OMB approval</w:t>
            </w:r>
          </w:p>
        </w:tc>
      </w:tr>
      <w:tr w:rsidR="00034953" w:rsidRPr="00F81BA5" w:rsidTr="0092243A">
        <w:trPr>
          <w:cantSplit/>
        </w:trPr>
        <w:tc>
          <w:tcPr>
            <w:tcW w:w="2757" w:type="pct"/>
            <w:noWrap/>
          </w:tcPr>
          <w:p w:rsidR="00034953" w:rsidRPr="00F81BA5" w:rsidRDefault="00034953" w:rsidP="002F1B92">
            <w:pPr>
              <w:rPr>
                <w:bCs/>
                <w:color w:val="000000"/>
              </w:rPr>
            </w:pPr>
            <w:r w:rsidRPr="00F81BA5">
              <w:rPr>
                <w:bCs/>
                <w:color w:val="000000"/>
              </w:rPr>
              <w:t>Prepare survey technical documentation</w:t>
            </w:r>
            <w:r>
              <w:rPr>
                <w:bCs/>
                <w:color w:val="000000"/>
              </w:rPr>
              <w:t xml:space="preserve"> and manuscripts</w:t>
            </w:r>
          </w:p>
        </w:tc>
        <w:tc>
          <w:tcPr>
            <w:tcW w:w="2243" w:type="pct"/>
            <w:noWrap/>
          </w:tcPr>
          <w:p w:rsidR="00034953" w:rsidRPr="00F81BA5" w:rsidRDefault="00034953" w:rsidP="002F1B92">
            <w:pPr>
              <w:rPr>
                <w:bCs/>
                <w:color w:val="000000"/>
              </w:rPr>
            </w:pPr>
            <w:r w:rsidRPr="00F81BA5">
              <w:rPr>
                <w:bCs/>
                <w:color w:val="000000"/>
              </w:rPr>
              <w:t xml:space="preserve">Within </w:t>
            </w:r>
            <w:r>
              <w:rPr>
                <w:bCs/>
                <w:color w:val="000000"/>
              </w:rPr>
              <w:t>42</w:t>
            </w:r>
            <w:r w:rsidRPr="00F81BA5">
              <w:rPr>
                <w:bCs/>
                <w:color w:val="000000"/>
              </w:rPr>
              <w:t xml:space="preserve"> months after OMB approval</w:t>
            </w:r>
          </w:p>
        </w:tc>
      </w:tr>
      <w:tr w:rsidR="00034953" w:rsidRPr="00F81BA5" w:rsidTr="0092243A">
        <w:trPr>
          <w:cantSplit/>
        </w:trPr>
        <w:tc>
          <w:tcPr>
            <w:tcW w:w="2757" w:type="pct"/>
            <w:noWrap/>
          </w:tcPr>
          <w:p w:rsidR="00034953" w:rsidRPr="00F81BA5" w:rsidRDefault="00034953" w:rsidP="002F1B92">
            <w:pPr>
              <w:rPr>
                <w:bCs/>
                <w:color w:val="000000"/>
              </w:rPr>
            </w:pPr>
            <w:r w:rsidRPr="00F81BA5">
              <w:rPr>
                <w:color w:val="000000"/>
              </w:rPr>
              <w:t xml:space="preserve">Begin </w:t>
            </w:r>
            <w:r>
              <w:rPr>
                <w:color w:val="000000"/>
              </w:rPr>
              <w:t>notification of workers of the study findings.</w:t>
            </w:r>
          </w:p>
        </w:tc>
        <w:tc>
          <w:tcPr>
            <w:tcW w:w="2243" w:type="pct"/>
            <w:noWrap/>
          </w:tcPr>
          <w:p w:rsidR="00034953" w:rsidRPr="00F81BA5" w:rsidRDefault="00034953" w:rsidP="002F1B92">
            <w:pPr>
              <w:rPr>
                <w:bCs/>
                <w:color w:val="000000"/>
              </w:rPr>
            </w:pPr>
            <w:r w:rsidRPr="00F81BA5">
              <w:rPr>
                <w:bCs/>
                <w:color w:val="000000"/>
              </w:rPr>
              <w:t xml:space="preserve">Within </w:t>
            </w:r>
            <w:r>
              <w:rPr>
                <w:bCs/>
                <w:color w:val="000000"/>
              </w:rPr>
              <w:t>48</w:t>
            </w:r>
            <w:r w:rsidRPr="00F81BA5">
              <w:rPr>
                <w:bCs/>
                <w:color w:val="000000"/>
              </w:rPr>
              <w:t xml:space="preserve"> months after OMB approval</w:t>
            </w:r>
          </w:p>
        </w:tc>
      </w:tr>
    </w:tbl>
    <w:p w:rsidR="00034953" w:rsidRPr="00F81BA5" w:rsidRDefault="00034953" w:rsidP="00034953"/>
    <w:p w:rsidR="00B708B1" w:rsidRDefault="00CA604D" w:rsidP="00E321F3">
      <w:pPr>
        <w:pStyle w:val="Heading1"/>
      </w:pPr>
      <w:bookmarkStart w:id="39" w:name="_Toc345399546"/>
      <w:bookmarkStart w:id="40" w:name="_Toc347997730"/>
      <w:r>
        <w:t>A</w:t>
      </w:r>
      <w:r w:rsidR="00B708B1">
        <w:t>17.</w:t>
      </w:r>
      <w:r w:rsidR="00B708B1">
        <w:tab/>
        <w:t>Reason(s) Display of OMB Expiration Date is Inappropriate</w:t>
      </w:r>
      <w:bookmarkEnd w:id="39"/>
      <w:bookmarkEnd w:id="40"/>
    </w:p>
    <w:p w:rsidR="00B708B1" w:rsidRDefault="00B708B1" w:rsidP="007F2A39">
      <w:pPr>
        <w:autoSpaceDE w:val="0"/>
        <w:autoSpaceDN w:val="0"/>
        <w:adjustRightInd w:val="0"/>
        <w:spacing w:after="100" w:afterAutospacing="1" w:line="360" w:lineRule="auto"/>
        <w:ind w:left="720" w:hanging="720"/>
        <w:rPr>
          <w:rFonts w:ascii="Georgia" w:hAnsi="Georgia"/>
          <w:sz w:val="24"/>
          <w:szCs w:val="24"/>
        </w:rPr>
      </w:pPr>
      <w:r>
        <w:rPr>
          <w:rFonts w:ascii="Georgia" w:hAnsi="Georgia"/>
          <w:sz w:val="24"/>
          <w:szCs w:val="24"/>
        </w:rPr>
        <w:t>There is no request for an expiration date display exemption.</w:t>
      </w:r>
    </w:p>
    <w:p w:rsidR="00B708B1" w:rsidRPr="00B708B1" w:rsidRDefault="00B708B1" w:rsidP="00E321F3">
      <w:pPr>
        <w:pStyle w:val="Heading1"/>
      </w:pPr>
      <w:bookmarkStart w:id="41" w:name="_Toc345399547"/>
      <w:bookmarkStart w:id="42" w:name="_Toc347997731"/>
      <w:r w:rsidRPr="00B708B1">
        <w:t>A18.</w:t>
      </w:r>
      <w:r w:rsidRPr="00B708B1">
        <w:tab/>
        <w:t>Exceptions to Certification for Paperwork Reduction Act Submissions</w:t>
      </w:r>
      <w:bookmarkEnd w:id="41"/>
      <w:bookmarkEnd w:id="42"/>
    </w:p>
    <w:p w:rsidR="00ED5618" w:rsidRDefault="00B708B1" w:rsidP="00ED5618">
      <w:pPr>
        <w:autoSpaceDE w:val="0"/>
        <w:autoSpaceDN w:val="0"/>
        <w:adjustRightInd w:val="0"/>
        <w:spacing w:after="100" w:afterAutospacing="1" w:line="360" w:lineRule="auto"/>
        <w:ind w:left="720" w:hanging="720"/>
        <w:rPr>
          <w:rFonts w:ascii="Georgia" w:hAnsi="Georgia"/>
          <w:sz w:val="24"/>
          <w:szCs w:val="24"/>
        </w:rPr>
      </w:pPr>
      <w:r>
        <w:rPr>
          <w:rFonts w:ascii="Georgia" w:hAnsi="Georgia"/>
          <w:sz w:val="24"/>
          <w:szCs w:val="24"/>
        </w:rPr>
        <w:t>There are no exceptions being sought to the certification statement.</w:t>
      </w:r>
    </w:p>
    <w:p w:rsidR="00DF4D93" w:rsidRDefault="00DF4D93" w:rsidP="00ED5618">
      <w:pPr>
        <w:autoSpaceDE w:val="0"/>
        <w:autoSpaceDN w:val="0"/>
        <w:adjustRightInd w:val="0"/>
        <w:spacing w:after="100" w:afterAutospacing="1" w:line="360" w:lineRule="auto"/>
        <w:ind w:left="720" w:hanging="720"/>
        <w:rPr>
          <w:rFonts w:ascii="Georgia" w:hAnsi="Georgia"/>
          <w:sz w:val="24"/>
          <w:szCs w:val="24"/>
        </w:rPr>
      </w:pPr>
    </w:p>
    <w:p w:rsidR="00DF4D93" w:rsidRDefault="00DF4D93" w:rsidP="00ED5618">
      <w:pPr>
        <w:autoSpaceDE w:val="0"/>
        <w:autoSpaceDN w:val="0"/>
        <w:adjustRightInd w:val="0"/>
        <w:spacing w:after="100" w:afterAutospacing="1" w:line="360" w:lineRule="auto"/>
        <w:ind w:left="720" w:hanging="720"/>
        <w:rPr>
          <w:rFonts w:ascii="Georgia" w:hAnsi="Georgia"/>
          <w:sz w:val="24"/>
          <w:szCs w:val="24"/>
        </w:rPr>
      </w:pPr>
    </w:p>
    <w:p w:rsidR="00DF4D93" w:rsidRDefault="00DF4D93" w:rsidP="00ED5618">
      <w:pPr>
        <w:autoSpaceDE w:val="0"/>
        <w:autoSpaceDN w:val="0"/>
        <w:adjustRightInd w:val="0"/>
        <w:spacing w:after="100" w:afterAutospacing="1" w:line="360" w:lineRule="auto"/>
        <w:ind w:left="720" w:hanging="720"/>
        <w:rPr>
          <w:rFonts w:ascii="Georgia" w:hAnsi="Georgia"/>
          <w:sz w:val="24"/>
          <w:szCs w:val="24"/>
        </w:rPr>
      </w:pPr>
    </w:p>
    <w:p w:rsidR="00DF4D93" w:rsidRDefault="00DF4D93" w:rsidP="00ED5618">
      <w:pPr>
        <w:autoSpaceDE w:val="0"/>
        <w:autoSpaceDN w:val="0"/>
        <w:adjustRightInd w:val="0"/>
        <w:spacing w:after="100" w:afterAutospacing="1" w:line="360" w:lineRule="auto"/>
        <w:ind w:left="720" w:hanging="720"/>
        <w:rPr>
          <w:rFonts w:ascii="Georgia" w:hAnsi="Georgia"/>
          <w:b/>
          <w:sz w:val="24"/>
          <w:szCs w:val="24"/>
        </w:rPr>
      </w:pPr>
    </w:p>
    <w:sectPr w:rsidR="00DF4D93" w:rsidSect="000C42C7">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E44" w:rsidRDefault="00AC6E44" w:rsidP="000C42C7">
      <w:pPr>
        <w:spacing w:after="0" w:line="240" w:lineRule="auto"/>
      </w:pPr>
      <w:r>
        <w:separator/>
      </w:r>
    </w:p>
  </w:endnote>
  <w:endnote w:type="continuationSeparator" w:id="0">
    <w:p w:rsidR="00AC6E44" w:rsidRDefault="00AC6E44" w:rsidP="000C4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884160"/>
      <w:docPartObj>
        <w:docPartGallery w:val="Page Numbers (Bottom of Page)"/>
        <w:docPartUnique/>
      </w:docPartObj>
    </w:sdtPr>
    <w:sdtEndPr>
      <w:rPr>
        <w:noProof/>
      </w:rPr>
    </w:sdtEndPr>
    <w:sdtContent>
      <w:p w:rsidR="00AC6E44" w:rsidRDefault="00AC6E44">
        <w:pPr>
          <w:pStyle w:val="Footer"/>
          <w:jc w:val="center"/>
        </w:pPr>
        <w:r>
          <w:fldChar w:fldCharType="begin"/>
        </w:r>
        <w:r>
          <w:instrText xml:space="preserve"> PAGE   \* MERGEFORMAT </w:instrText>
        </w:r>
        <w:r>
          <w:fldChar w:fldCharType="separate"/>
        </w:r>
        <w:r w:rsidR="000F3F8D">
          <w:rPr>
            <w:noProof/>
          </w:rPr>
          <w:t>23</w:t>
        </w:r>
        <w:r>
          <w:rPr>
            <w:noProof/>
          </w:rPr>
          <w:fldChar w:fldCharType="end"/>
        </w:r>
      </w:p>
    </w:sdtContent>
  </w:sdt>
  <w:p w:rsidR="00AC6E44" w:rsidRDefault="00AC6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E44" w:rsidRDefault="00AC6E44" w:rsidP="000C42C7">
      <w:pPr>
        <w:spacing w:after="0" w:line="240" w:lineRule="auto"/>
      </w:pPr>
      <w:r>
        <w:separator/>
      </w:r>
    </w:p>
  </w:footnote>
  <w:footnote w:type="continuationSeparator" w:id="0">
    <w:p w:rsidR="00AC6E44" w:rsidRDefault="00AC6E44" w:rsidP="000C42C7">
      <w:pPr>
        <w:spacing w:after="0" w:line="240" w:lineRule="auto"/>
      </w:pPr>
      <w:r>
        <w:continuationSeparator/>
      </w:r>
    </w:p>
  </w:footnote>
  <w:footnote w:id="1">
    <w:p w:rsidR="00AC6E44" w:rsidRPr="00972FE6" w:rsidRDefault="00AC6E44">
      <w:pPr>
        <w:pStyle w:val="FootnoteText"/>
        <w:rPr>
          <w:rFonts w:ascii="Georgia" w:hAnsi="Georgia"/>
        </w:rPr>
      </w:pPr>
      <w:r w:rsidRPr="00972FE6">
        <w:rPr>
          <w:rStyle w:val="FootnoteReference"/>
          <w:rFonts w:ascii="Georgia" w:hAnsi="Georgia"/>
        </w:rPr>
        <w:footnoteRef/>
      </w:r>
      <w:r w:rsidRPr="00972FE6">
        <w:rPr>
          <w:rFonts w:ascii="Georgia" w:hAnsi="Georgia"/>
        </w:rPr>
        <w:t xml:space="preserve"> Title 26 – Internal Revenue Code 6103(m)(3), (http://www.irs.gov/irm/part11/irm_11-003-029.html) as amended and Public Law 96-128, title V, Sec. 502, as amended, (http://thomas.loc.gov/cgi-bin/bdquery/z?d096:HR02282:@@@D&amp;summ2=m&amp;) allows the IRS to disclose address information upon written request solely for the purpose of locating individuals who are, or may have been, exposed to occupational hazards, in order to determine the status of their health or to inform them of the possible need for medical care and treatment.  These provisions also require the Director of NIOSH, upon request by the VA (or other federal department, agency, or instrumentality) to request the current mailing address from the IRS of persons whom the Administrator or other department, agency, or instrumentality head certifies may have been exposed to occupational hazards during military service.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6B75"/>
    <w:multiLevelType w:val="hybridMultilevel"/>
    <w:tmpl w:val="54721A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7F7DC2"/>
    <w:multiLevelType w:val="hybridMultilevel"/>
    <w:tmpl w:val="BD6EC20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2128464B"/>
    <w:multiLevelType w:val="hybridMultilevel"/>
    <w:tmpl w:val="A990A6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302BA3"/>
    <w:multiLevelType w:val="hybridMultilevel"/>
    <w:tmpl w:val="3070A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5F6E23"/>
    <w:multiLevelType w:val="hybridMultilevel"/>
    <w:tmpl w:val="076C0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4211AC"/>
    <w:multiLevelType w:val="hybridMultilevel"/>
    <w:tmpl w:val="8D8A70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E29"/>
    <w:rsid w:val="00006CA2"/>
    <w:rsid w:val="00034953"/>
    <w:rsid w:val="000437D1"/>
    <w:rsid w:val="00047B2E"/>
    <w:rsid w:val="00081597"/>
    <w:rsid w:val="000941A7"/>
    <w:rsid w:val="00097018"/>
    <w:rsid w:val="000B02FD"/>
    <w:rsid w:val="000B0952"/>
    <w:rsid w:val="000B209B"/>
    <w:rsid w:val="000C1517"/>
    <w:rsid w:val="000C42C7"/>
    <w:rsid w:val="000D0A0D"/>
    <w:rsid w:val="000D2E5F"/>
    <w:rsid w:val="000D38E9"/>
    <w:rsid w:val="000E09CB"/>
    <w:rsid w:val="000F23A3"/>
    <w:rsid w:val="000F3F8D"/>
    <w:rsid w:val="000F70A2"/>
    <w:rsid w:val="00103BBB"/>
    <w:rsid w:val="00115B95"/>
    <w:rsid w:val="001244EE"/>
    <w:rsid w:val="001351A4"/>
    <w:rsid w:val="00143DB0"/>
    <w:rsid w:val="001556E2"/>
    <w:rsid w:val="00157947"/>
    <w:rsid w:val="0016114F"/>
    <w:rsid w:val="00164532"/>
    <w:rsid w:val="00165A9D"/>
    <w:rsid w:val="001752EB"/>
    <w:rsid w:val="001862DA"/>
    <w:rsid w:val="001871CD"/>
    <w:rsid w:val="00187C8F"/>
    <w:rsid w:val="001910E3"/>
    <w:rsid w:val="001925AA"/>
    <w:rsid w:val="001B09D1"/>
    <w:rsid w:val="001D0EAD"/>
    <w:rsid w:val="001E4542"/>
    <w:rsid w:val="001F5722"/>
    <w:rsid w:val="001F79F9"/>
    <w:rsid w:val="00202C3D"/>
    <w:rsid w:val="00203A40"/>
    <w:rsid w:val="002151DB"/>
    <w:rsid w:val="002308D2"/>
    <w:rsid w:val="00250F2F"/>
    <w:rsid w:val="00252E6D"/>
    <w:rsid w:val="00265268"/>
    <w:rsid w:val="002763A9"/>
    <w:rsid w:val="0029322E"/>
    <w:rsid w:val="00293C5A"/>
    <w:rsid w:val="002A3049"/>
    <w:rsid w:val="002A6085"/>
    <w:rsid w:val="002A6C22"/>
    <w:rsid w:val="002C0F8D"/>
    <w:rsid w:val="002C2B9A"/>
    <w:rsid w:val="002C4664"/>
    <w:rsid w:val="002C779A"/>
    <w:rsid w:val="002D5924"/>
    <w:rsid w:val="002E1823"/>
    <w:rsid w:val="002E7482"/>
    <w:rsid w:val="002F1B92"/>
    <w:rsid w:val="002F61F4"/>
    <w:rsid w:val="00310583"/>
    <w:rsid w:val="00312A46"/>
    <w:rsid w:val="00315DCD"/>
    <w:rsid w:val="003201F3"/>
    <w:rsid w:val="0032255D"/>
    <w:rsid w:val="00326204"/>
    <w:rsid w:val="00332F97"/>
    <w:rsid w:val="00333F83"/>
    <w:rsid w:val="00336884"/>
    <w:rsid w:val="003463C9"/>
    <w:rsid w:val="00346955"/>
    <w:rsid w:val="00346DA9"/>
    <w:rsid w:val="00361C6B"/>
    <w:rsid w:val="003667C2"/>
    <w:rsid w:val="00380A71"/>
    <w:rsid w:val="00383FF6"/>
    <w:rsid w:val="00387DDA"/>
    <w:rsid w:val="0039574E"/>
    <w:rsid w:val="003A0D72"/>
    <w:rsid w:val="003A23FD"/>
    <w:rsid w:val="003A3848"/>
    <w:rsid w:val="003A71AB"/>
    <w:rsid w:val="003C1E6C"/>
    <w:rsid w:val="003C2808"/>
    <w:rsid w:val="003C4F16"/>
    <w:rsid w:val="003D5B57"/>
    <w:rsid w:val="003D5D40"/>
    <w:rsid w:val="003F2C82"/>
    <w:rsid w:val="004102D5"/>
    <w:rsid w:val="0041476A"/>
    <w:rsid w:val="004156C0"/>
    <w:rsid w:val="004220FE"/>
    <w:rsid w:val="00427616"/>
    <w:rsid w:val="00435DB7"/>
    <w:rsid w:val="004374F9"/>
    <w:rsid w:val="004446EC"/>
    <w:rsid w:val="00454CE2"/>
    <w:rsid w:val="0046494D"/>
    <w:rsid w:val="004935DD"/>
    <w:rsid w:val="00493F17"/>
    <w:rsid w:val="004959FD"/>
    <w:rsid w:val="00496C7E"/>
    <w:rsid w:val="004A0A9C"/>
    <w:rsid w:val="004A1F07"/>
    <w:rsid w:val="004A492E"/>
    <w:rsid w:val="004A69AE"/>
    <w:rsid w:val="004B698E"/>
    <w:rsid w:val="004C1351"/>
    <w:rsid w:val="004C4D7B"/>
    <w:rsid w:val="004C4DB9"/>
    <w:rsid w:val="004C5F20"/>
    <w:rsid w:val="004C77CB"/>
    <w:rsid w:val="004D58A6"/>
    <w:rsid w:val="004E3FFC"/>
    <w:rsid w:val="004F5CD8"/>
    <w:rsid w:val="005009A1"/>
    <w:rsid w:val="00505E95"/>
    <w:rsid w:val="005147F7"/>
    <w:rsid w:val="00515F1E"/>
    <w:rsid w:val="00516E13"/>
    <w:rsid w:val="0053386B"/>
    <w:rsid w:val="00535B62"/>
    <w:rsid w:val="005427D3"/>
    <w:rsid w:val="005528CF"/>
    <w:rsid w:val="00575411"/>
    <w:rsid w:val="00583352"/>
    <w:rsid w:val="005851AC"/>
    <w:rsid w:val="005941FF"/>
    <w:rsid w:val="005A103D"/>
    <w:rsid w:val="005B47D3"/>
    <w:rsid w:val="005C345B"/>
    <w:rsid w:val="005D099F"/>
    <w:rsid w:val="005D0D2B"/>
    <w:rsid w:val="005E5209"/>
    <w:rsid w:val="005F4336"/>
    <w:rsid w:val="005F7354"/>
    <w:rsid w:val="0060106C"/>
    <w:rsid w:val="006102E9"/>
    <w:rsid w:val="00613488"/>
    <w:rsid w:val="006173C4"/>
    <w:rsid w:val="00622305"/>
    <w:rsid w:val="00626AC2"/>
    <w:rsid w:val="00637707"/>
    <w:rsid w:val="006408EB"/>
    <w:rsid w:val="00661538"/>
    <w:rsid w:val="0068706F"/>
    <w:rsid w:val="00697A8A"/>
    <w:rsid w:val="006A16CC"/>
    <w:rsid w:val="006A3E4D"/>
    <w:rsid w:val="006A7883"/>
    <w:rsid w:val="006B2903"/>
    <w:rsid w:val="006C15CD"/>
    <w:rsid w:val="006C3489"/>
    <w:rsid w:val="006C7039"/>
    <w:rsid w:val="006C73D4"/>
    <w:rsid w:val="006D4739"/>
    <w:rsid w:val="006D61AF"/>
    <w:rsid w:val="006E1E57"/>
    <w:rsid w:val="006E7A13"/>
    <w:rsid w:val="006F2BBC"/>
    <w:rsid w:val="006F45D6"/>
    <w:rsid w:val="00702029"/>
    <w:rsid w:val="00707335"/>
    <w:rsid w:val="007079C7"/>
    <w:rsid w:val="0071602A"/>
    <w:rsid w:val="007238D4"/>
    <w:rsid w:val="007319F5"/>
    <w:rsid w:val="007446AA"/>
    <w:rsid w:val="007448E0"/>
    <w:rsid w:val="00760283"/>
    <w:rsid w:val="00764F2B"/>
    <w:rsid w:val="0076686B"/>
    <w:rsid w:val="00785480"/>
    <w:rsid w:val="007879E1"/>
    <w:rsid w:val="007A4BEF"/>
    <w:rsid w:val="007B1AD3"/>
    <w:rsid w:val="007B1B81"/>
    <w:rsid w:val="007B6C9E"/>
    <w:rsid w:val="007C30FC"/>
    <w:rsid w:val="007D25FC"/>
    <w:rsid w:val="007E0837"/>
    <w:rsid w:val="007F2A39"/>
    <w:rsid w:val="007F73D9"/>
    <w:rsid w:val="007F75B8"/>
    <w:rsid w:val="00802F56"/>
    <w:rsid w:val="00804DA4"/>
    <w:rsid w:val="00826827"/>
    <w:rsid w:val="008346A9"/>
    <w:rsid w:val="008446CE"/>
    <w:rsid w:val="00845B94"/>
    <w:rsid w:val="00850BAD"/>
    <w:rsid w:val="00872B92"/>
    <w:rsid w:val="00875726"/>
    <w:rsid w:val="00876B2F"/>
    <w:rsid w:val="008851F5"/>
    <w:rsid w:val="008A448C"/>
    <w:rsid w:val="008C0E29"/>
    <w:rsid w:val="008F1C2F"/>
    <w:rsid w:val="00920C7A"/>
    <w:rsid w:val="0092243A"/>
    <w:rsid w:val="009242EC"/>
    <w:rsid w:val="0094268A"/>
    <w:rsid w:val="00945F28"/>
    <w:rsid w:val="00947CA0"/>
    <w:rsid w:val="0095375D"/>
    <w:rsid w:val="00960B93"/>
    <w:rsid w:val="00972163"/>
    <w:rsid w:val="00972FE6"/>
    <w:rsid w:val="009972A6"/>
    <w:rsid w:val="009C241F"/>
    <w:rsid w:val="009C319B"/>
    <w:rsid w:val="009D107C"/>
    <w:rsid w:val="009E0E4A"/>
    <w:rsid w:val="00A02DD3"/>
    <w:rsid w:val="00A10519"/>
    <w:rsid w:val="00A343C0"/>
    <w:rsid w:val="00A36036"/>
    <w:rsid w:val="00A735FA"/>
    <w:rsid w:val="00A83EC1"/>
    <w:rsid w:val="00A912A7"/>
    <w:rsid w:val="00AA2672"/>
    <w:rsid w:val="00AA6E95"/>
    <w:rsid w:val="00AB6795"/>
    <w:rsid w:val="00AC69A6"/>
    <w:rsid w:val="00AC6E44"/>
    <w:rsid w:val="00AD1807"/>
    <w:rsid w:val="00AD607D"/>
    <w:rsid w:val="00AE06A4"/>
    <w:rsid w:val="00AF1C83"/>
    <w:rsid w:val="00AF1E97"/>
    <w:rsid w:val="00AF4F9C"/>
    <w:rsid w:val="00B03C9A"/>
    <w:rsid w:val="00B06FF6"/>
    <w:rsid w:val="00B24BE5"/>
    <w:rsid w:val="00B34AEA"/>
    <w:rsid w:val="00B35DE8"/>
    <w:rsid w:val="00B46D22"/>
    <w:rsid w:val="00B5536E"/>
    <w:rsid w:val="00B62BD4"/>
    <w:rsid w:val="00B708B1"/>
    <w:rsid w:val="00BA56F9"/>
    <w:rsid w:val="00BA7DB3"/>
    <w:rsid w:val="00BB6B87"/>
    <w:rsid w:val="00BC4D74"/>
    <w:rsid w:val="00BD65C4"/>
    <w:rsid w:val="00BE19DA"/>
    <w:rsid w:val="00BE67EE"/>
    <w:rsid w:val="00BE6ECF"/>
    <w:rsid w:val="00BF1B31"/>
    <w:rsid w:val="00BF2A0C"/>
    <w:rsid w:val="00C03F75"/>
    <w:rsid w:val="00C05993"/>
    <w:rsid w:val="00C30012"/>
    <w:rsid w:val="00C34B42"/>
    <w:rsid w:val="00C37BAA"/>
    <w:rsid w:val="00C4538A"/>
    <w:rsid w:val="00C46F45"/>
    <w:rsid w:val="00C73DE2"/>
    <w:rsid w:val="00C75610"/>
    <w:rsid w:val="00C96754"/>
    <w:rsid w:val="00CA23F3"/>
    <w:rsid w:val="00CA604D"/>
    <w:rsid w:val="00CA796D"/>
    <w:rsid w:val="00CB01F0"/>
    <w:rsid w:val="00CD62F6"/>
    <w:rsid w:val="00CF177F"/>
    <w:rsid w:val="00CF2F84"/>
    <w:rsid w:val="00CF75D4"/>
    <w:rsid w:val="00D04D1E"/>
    <w:rsid w:val="00D10F08"/>
    <w:rsid w:val="00D138E3"/>
    <w:rsid w:val="00D15E06"/>
    <w:rsid w:val="00D258F4"/>
    <w:rsid w:val="00D25AE7"/>
    <w:rsid w:val="00D43975"/>
    <w:rsid w:val="00D62C2C"/>
    <w:rsid w:val="00D64C5B"/>
    <w:rsid w:val="00D65477"/>
    <w:rsid w:val="00D92908"/>
    <w:rsid w:val="00D963BF"/>
    <w:rsid w:val="00DA1226"/>
    <w:rsid w:val="00DA2DB1"/>
    <w:rsid w:val="00DB7F61"/>
    <w:rsid w:val="00DC2765"/>
    <w:rsid w:val="00DC2A4C"/>
    <w:rsid w:val="00DE0321"/>
    <w:rsid w:val="00DE1AE3"/>
    <w:rsid w:val="00DE6EA7"/>
    <w:rsid w:val="00DF4D93"/>
    <w:rsid w:val="00DF5904"/>
    <w:rsid w:val="00E0014D"/>
    <w:rsid w:val="00E06DD2"/>
    <w:rsid w:val="00E3106D"/>
    <w:rsid w:val="00E31B87"/>
    <w:rsid w:val="00E321F3"/>
    <w:rsid w:val="00E33F41"/>
    <w:rsid w:val="00E36BC6"/>
    <w:rsid w:val="00E44C02"/>
    <w:rsid w:val="00E460D2"/>
    <w:rsid w:val="00E70D2E"/>
    <w:rsid w:val="00E74099"/>
    <w:rsid w:val="00E776FF"/>
    <w:rsid w:val="00E810F5"/>
    <w:rsid w:val="00EA36A5"/>
    <w:rsid w:val="00EA4F61"/>
    <w:rsid w:val="00EA5C19"/>
    <w:rsid w:val="00EB11D9"/>
    <w:rsid w:val="00EC247A"/>
    <w:rsid w:val="00EC443B"/>
    <w:rsid w:val="00EC5586"/>
    <w:rsid w:val="00EC68B5"/>
    <w:rsid w:val="00ED0EDC"/>
    <w:rsid w:val="00ED21E0"/>
    <w:rsid w:val="00ED3E7B"/>
    <w:rsid w:val="00ED4222"/>
    <w:rsid w:val="00ED5618"/>
    <w:rsid w:val="00F01A51"/>
    <w:rsid w:val="00F07BDB"/>
    <w:rsid w:val="00F12AC1"/>
    <w:rsid w:val="00F36F69"/>
    <w:rsid w:val="00F37A53"/>
    <w:rsid w:val="00F53E20"/>
    <w:rsid w:val="00F73D99"/>
    <w:rsid w:val="00F9040B"/>
    <w:rsid w:val="00FA1649"/>
    <w:rsid w:val="00FA6215"/>
    <w:rsid w:val="00FB3D7C"/>
    <w:rsid w:val="00FB53D6"/>
    <w:rsid w:val="00FC3790"/>
    <w:rsid w:val="00FD152C"/>
    <w:rsid w:val="00FE09EC"/>
    <w:rsid w:val="00FE2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1B92"/>
    <w:pPr>
      <w:outlineLvl w:val="0"/>
    </w:pPr>
    <w:rPr>
      <w:rFonts w:ascii="Georgia" w:hAnsi="Georgia"/>
    </w:rPr>
  </w:style>
  <w:style w:type="paragraph" w:styleId="Heading2">
    <w:name w:val="heading 2"/>
    <w:basedOn w:val="Heading1"/>
    <w:next w:val="Normal"/>
    <w:link w:val="Heading2Char"/>
    <w:uiPriority w:val="9"/>
    <w:unhideWhenUsed/>
    <w:qFormat/>
    <w:rsid w:val="00E321F3"/>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02A"/>
    <w:rPr>
      <w:color w:val="0000FF" w:themeColor="hyperlink"/>
      <w:u w:val="single"/>
    </w:rPr>
  </w:style>
  <w:style w:type="table" w:styleId="TableGrid">
    <w:name w:val="Table Grid"/>
    <w:basedOn w:val="TableNormal"/>
    <w:uiPriority w:val="59"/>
    <w:rsid w:val="005338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319B"/>
    <w:pPr>
      <w:ind w:left="720"/>
      <w:contextualSpacing/>
    </w:pPr>
  </w:style>
  <w:style w:type="paragraph" w:styleId="Header">
    <w:name w:val="header"/>
    <w:basedOn w:val="Normal"/>
    <w:link w:val="HeaderChar"/>
    <w:uiPriority w:val="99"/>
    <w:unhideWhenUsed/>
    <w:rsid w:val="000C4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2C7"/>
  </w:style>
  <w:style w:type="paragraph" w:styleId="Footer">
    <w:name w:val="footer"/>
    <w:basedOn w:val="Normal"/>
    <w:link w:val="FooterChar"/>
    <w:uiPriority w:val="99"/>
    <w:unhideWhenUsed/>
    <w:rsid w:val="000C4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2C7"/>
  </w:style>
  <w:style w:type="paragraph" w:styleId="BalloonText">
    <w:name w:val="Balloon Text"/>
    <w:basedOn w:val="Normal"/>
    <w:link w:val="BalloonTextChar"/>
    <w:uiPriority w:val="99"/>
    <w:semiHidden/>
    <w:unhideWhenUsed/>
    <w:rsid w:val="00BE6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7EE"/>
    <w:rPr>
      <w:rFonts w:ascii="Tahoma" w:hAnsi="Tahoma" w:cs="Tahoma"/>
      <w:sz w:val="16"/>
      <w:szCs w:val="16"/>
    </w:rPr>
  </w:style>
  <w:style w:type="character" w:styleId="CommentReference">
    <w:name w:val="annotation reference"/>
    <w:basedOn w:val="DefaultParagraphFont"/>
    <w:uiPriority w:val="99"/>
    <w:semiHidden/>
    <w:unhideWhenUsed/>
    <w:rsid w:val="00AE06A4"/>
    <w:rPr>
      <w:sz w:val="16"/>
      <w:szCs w:val="16"/>
    </w:rPr>
  </w:style>
  <w:style w:type="paragraph" w:styleId="CommentText">
    <w:name w:val="annotation text"/>
    <w:basedOn w:val="Normal"/>
    <w:link w:val="CommentTextChar"/>
    <w:uiPriority w:val="99"/>
    <w:semiHidden/>
    <w:unhideWhenUsed/>
    <w:rsid w:val="00AE06A4"/>
    <w:pPr>
      <w:spacing w:line="240" w:lineRule="auto"/>
    </w:pPr>
    <w:rPr>
      <w:sz w:val="20"/>
      <w:szCs w:val="20"/>
    </w:rPr>
  </w:style>
  <w:style w:type="character" w:customStyle="1" w:styleId="CommentTextChar">
    <w:name w:val="Comment Text Char"/>
    <w:basedOn w:val="DefaultParagraphFont"/>
    <w:link w:val="CommentText"/>
    <w:uiPriority w:val="99"/>
    <w:semiHidden/>
    <w:rsid w:val="00AE06A4"/>
    <w:rPr>
      <w:sz w:val="20"/>
      <w:szCs w:val="20"/>
    </w:rPr>
  </w:style>
  <w:style w:type="paragraph" w:styleId="CommentSubject">
    <w:name w:val="annotation subject"/>
    <w:basedOn w:val="CommentText"/>
    <w:next w:val="CommentText"/>
    <w:link w:val="CommentSubjectChar"/>
    <w:uiPriority w:val="99"/>
    <w:semiHidden/>
    <w:unhideWhenUsed/>
    <w:rsid w:val="00AE06A4"/>
    <w:rPr>
      <w:b/>
      <w:bCs/>
    </w:rPr>
  </w:style>
  <w:style w:type="character" w:customStyle="1" w:styleId="CommentSubjectChar">
    <w:name w:val="Comment Subject Char"/>
    <w:basedOn w:val="CommentTextChar"/>
    <w:link w:val="CommentSubject"/>
    <w:uiPriority w:val="99"/>
    <w:semiHidden/>
    <w:rsid w:val="00AE06A4"/>
    <w:rPr>
      <w:b/>
      <w:bCs/>
      <w:sz w:val="20"/>
      <w:szCs w:val="20"/>
    </w:rPr>
  </w:style>
  <w:style w:type="paragraph" w:customStyle="1" w:styleId="TableTitle">
    <w:name w:val="Table Title"/>
    <w:basedOn w:val="Normal"/>
    <w:rsid w:val="00034953"/>
    <w:pPr>
      <w:keepNext/>
      <w:keepLines/>
      <w:spacing w:before="320" w:after="120" w:line="240" w:lineRule="auto"/>
      <w:ind w:left="1440" w:hanging="1440"/>
    </w:pPr>
    <w:rPr>
      <w:rFonts w:ascii="Verdana" w:eastAsia="MS Mincho" w:hAnsi="Verdana" w:cs="Times New Roman"/>
      <w:b/>
      <w:sz w:val="20"/>
      <w:szCs w:val="20"/>
    </w:rPr>
  </w:style>
  <w:style w:type="character" w:customStyle="1" w:styleId="Heading1Char">
    <w:name w:val="Heading 1 Char"/>
    <w:basedOn w:val="DefaultParagraphFont"/>
    <w:link w:val="Heading1"/>
    <w:uiPriority w:val="9"/>
    <w:rsid w:val="002F1B92"/>
    <w:rPr>
      <w:rFonts w:ascii="Georgia" w:hAnsi="Georgia"/>
    </w:rPr>
  </w:style>
  <w:style w:type="paragraph" w:styleId="TOC1">
    <w:name w:val="toc 1"/>
    <w:basedOn w:val="Normal"/>
    <w:next w:val="Normal"/>
    <w:autoRedefine/>
    <w:uiPriority w:val="39"/>
    <w:unhideWhenUsed/>
    <w:rsid w:val="0092243A"/>
    <w:pPr>
      <w:tabs>
        <w:tab w:val="right" w:leader="dot" w:pos="9350"/>
      </w:tabs>
      <w:spacing w:after="100"/>
      <w:ind w:left="1440" w:hanging="1170"/>
    </w:pPr>
  </w:style>
  <w:style w:type="character" w:customStyle="1" w:styleId="Heading2Char">
    <w:name w:val="Heading 2 Char"/>
    <w:basedOn w:val="DefaultParagraphFont"/>
    <w:link w:val="Heading2"/>
    <w:uiPriority w:val="9"/>
    <w:rsid w:val="00E321F3"/>
    <w:rPr>
      <w:rFonts w:ascii="Georgia" w:hAnsi="Georgia"/>
    </w:rPr>
  </w:style>
  <w:style w:type="paragraph" w:styleId="TOC2">
    <w:name w:val="toc 2"/>
    <w:basedOn w:val="Normal"/>
    <w:next w:val="Normal"/>
    <w:autoRedefine/>
    <w:uiPriority w:val="39"/>
    <w:unhideWhenUsed/>
    <w:rsid w:val="0092243A"/>
    <w:pPr>
      <w:tabs>
        <w:tab w:val="left" w:pos="1440"/>
        <w:tab w:val="left" w:pos="2250"/>
        <w:tab w:val="right" w:leader="dot" w:pos="9350"/>
      </w:tabs>
      <w:spacing w:after="100"/>
      <w:ind w:left="220"/>
    </w:pPr>
  </w:style>
  <w:style w:type="paragraph" w:styleId="Caption">
    <w:name w:val="caption"/>
    <w:basedOn w:val="Normal"/>
    <w:next w:val="Normal"/>
    <w:qFormat/>
    <w:rsid w:val="00250F2F"/>
    <w:pPr>
      <w:spacing w:before="120" w:after="120" w:line="240" w:lineRule="auto"/>
    </w:pPr>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EA4F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4F61"/>
    <w:rPr>
      <w:sz w:val="20"/>
      <w:szCs w:val="20"/>
    </w:rPr>
  </w:style>
  <w:style w:type="character" w:styleId="FootnoteReference">
    <w:name w:val="footnote reference"/>
    <w:basedOn w:val="DefaultParagraphFont"/>
    <w:uiPriority w:val="99"/>
    <w:semiHidden/>
    <w:unhideWhenUsed/>
    <w:rsid w:val="00EA4F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1B92"/>
    <w:pPr>
      <w:outlineLvl w:val="0"/>
    </w:pPr>
    <w:rPr>
      <w:rFonts w:ascii="Georgia" w:hAnsi="Georgia"/>
    </w:rPr>
  </w:style>
  <w:style w:type="paragraph" w:styleId="Heading2">
    <w:name w:val="heading 2"/>
    <w:basedOn w:val="Heading1"/>
    <w:next w:val="Normal"/>
    <w:link w:val="Heading2Char"/>
    <w:uiPriority w:val="9"/>
    <w:unhideWhenUsed/>
    <w:qFormat/>
    <w:rsid w:val="00E321F3"/>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02A"/>
    <w:rPr>
      <w:color w:val="0000FF" w:themeColor="hyperlink"/>
      <w:u w:val="single"/>
    </w:rPr>
  </w:style>
  <w:style w:type="table" w:styleId="TableGrid">
    <w:name w:val="Table Grid"/>
    <w:basedOn w:val="TableNormal"/>
    <w:uiPriority w:val="59"/>
    <w:rsid w:val="005338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319B"/>
    <w:pPr>
      <w:ind w:left="720"/>
      <w:contextualSpacing/>
    </w:pPr>
  </w:style>
  <w:style w:type="paragraph" w:styleId="Header">
    <w:name w:val="header"/>
    <w:basedOn w:val="Normal"/>
    <w:link w:val="HeaderChar"/>
    <w:uiPriority w:val="99"/>
    <w:unhideWhenUsed/>
    <w:rsid w:val="000C4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2C7"/>
  </w:style>
  <w:style w:type="paragraph" w:styleId="Footer">
    <w:name w:val="footer"/>
    <w:basedOn w:val="Normal"/>
    <w:link w:val="FooterChar"/>
    <w:uiPriority w:val="99"/>
    <w:unhideWhenUsed/>
    <w:rsid w:val="000C4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2C7"/>
  </w:style>
  <w:style w:type="paragraph" w:styleId="BalloonText">
    <w:name w:val="Balloon Text"/>
    <w:basedOn w:val="Normal"/>
    <w:link w:val="BalloonTextChar"/>
    <w:uiPriority w:val="99"/>
    <w:semiHidden/>
    <w:unhideWhenUsed/>
    <w:rsid w:val="00BE6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7EE"/>
    <w:rPr>
      <w:rFonts w:ascii="Tahoma" w:hAnsi="Tahoma" w:cs="Tahoma"/>
      <w:sz w:val="16"/>
      <w:szCs w:val="16"/>
    </w:rPr>
  </w:style>
  <w:style w:type="character" w:styleId="CommentReference">
    <w:name w:val="annotation reference"/>
    <w:basedOn w:val="DefaultParagraphFont"/>
    <w:uiPriority w:val="99"/>
    <w:semiHidden/>
    <w:unhideWhenUsed/>
    <w:rsid w:val="00AE06A4"/>
    <w:rPr>
      <w:sz w:val="16"/>
      <w:szCs w:val="16"/>
    </w:rPr>
  </w:style>
  <w:style w:type="paragraph" w:styleId="CommentText">
    <w:name w:val="annotation text"/>
    <w:basedOn w:val="Normal"/>
    <w:link w:val="CommentTextChar"/>
    <w:uiPriority w:val="99"/>
    <w:semiHidden/>
    <w:unhideWhenUsed/>
    <w:rsid w:val="00AE06A4"/>
    <w:pPr>
      <w:spacing w:line="240" w:lineRule="auto"/>
    </w:pPr>
    <w:rPr>
      <w:sz w:val="20"/>
      <w:szCs w:val="20"/>
    </w:rPr>
  </w:style>
  <w:style w:type="character" w:customStyle="1" w:styleId="CommentTextChar">
    <w:name w:val="Comment Text Char"/>
    <w:basedOn w:val="DefaultParagraphFont"/>
    <w:link w:val="CommentText"/>
    <w:uiPriority w:val="99"/>
    <w:semiHidden/>
    <w:rsid w:val="00AE06A4"/>
    <w:rPr>
      <w:sz w:val="20"/>
      <w:szCs w:val="20"/>
    </w:rPr>
  </w:style>
  <w:style w:type="paragraph" w:styleId="CommentSubject">
    <w:name w:val="annotation subject"/>
    <w:basedOn w:val="CommentText"/>
    <w:next w:val="CommentText"/>
    <w:link w:val="CommentSubjectChar"/>
    <w:uiPriority w:val="99"/>
    <w:semiHidden/>
    <w:unhideWhenUsed/>
    <w:rsid w:val="00AE06A4"/>
    <w:rPr>
      <w:b/>
      <w:bCs/>
    </w:rPr>
  </w:style>
  <w:style w:type="character" w:customStyle="1" w:styleId="CommentSubjectChar">
    <w:name w:val="Comment Subject Char"/>
    <w:basedOn w:val="CommentTextChar"/>
    <w:link w:val="CommentSubject"/>
    <w:uiPriority w:val="99"/>
    <w:semiHidden/>
    <w:rsid w:val="00AE06A4"/>
    <w:rPr>
      <w:b/>
      <w:bCs/>
      <w:sz w:val="20"/>
      <w:szCs w:val="20"/>
    </w:rPr>
  </w:style>
  <w:style w:type="paragraph" w:customStyle="1" w:styleId="TableTitle">
    <w:name w:val="Table Title"/>
    <w:basedOn w:val="Normal"/>
    <w:rsid w:val="00034953"/>
    <w:pPr>
      <w:keepNext/>
      <w:keepLines/>
      <w:spacing w:before="320" w:after="120" w:line="240" w:lineRule="auto"/>
      <w:ind w:left="1440" w:hanging="1440"/>
    </w:pPr>
    <w:rPr>
      <w:rFonts w:ascii="Verdana" w:eastAsia="MS Mincho" w:hAnsi="Verdana" w:cs="Times New Roman"/>
      <w:b/>
      <w:sz w:val="20"/>
      <w:szCs w:val="20"/>
    </w:rPr>
  </w:style>
  <w:style w:type="character" w:customStyle="1" w:styleId="Heading1Char">
    <w:name w:val="Heading 1 Char"/>
    <w:basedOn w:val="DefaultParagraphFont"/>
    <w:link w:val="Heading1"/>
    <w:uiPriority w:val="9"/>
    <w:rsid w:val="002F1B92"/>
    <w:rPr>
      <w:rFonts w:ascii="Georgia" w:hAnsi="Georgia"/>
    </w:rPr>
  </w:style>
  <w:style w:type="paragraph" w:styleId="TOC1">
    <w:name w:val="toc 1"/>
    <w:basedOn w:val="Normal"/>
    <w:next w:val="Normal"/>
    <w:autoRedefine/>
    <w:uiPriority w:val="39"/>
    <w:unhideWhenUsed/>
    <w:rsid w:val="0092243A"/>
    <w:pPr>
      <w:tabs>
        <w:tab w:val="right" w:leader="dot" w:pos="9350"/>
      </w:tabs>
      <w:spacing w:after="100"/>
      <w:ind w:left="1440" w:hanging="1170"/>
    </w:pPr>
  </w:style>
  <w:style w:type="character" w:customStyle="1" w:styleId="Heading2Char">
    <w:name w:val="Heading 2 Char"/>
    <w:basedOn w:val="DefaultParagraphFont"/>
    <w:link w:val="Heading2"/>
    <w:uiPriority w:val="9"/>
    <w:rsid w:val="00E321F3"/>
    <w:rPr>
      <w:rFonts w:ascii="Georgia" w:hAnsi="Georgia"/>
    </w:rPr>
  </w:style>
  <w:style w:type="paragraph" w:styleId="TOC2">
    <w:name w:val="toc 2"/>
    <w:basedOn w:val="Normal"/>
    <w:next w:val="Normal"/>
    <w:autoRedefine/>
    <w:uiPriority w:val="39"/>
    <w:unhideWhenUsed/>
    <w:rsid w:val="0092243A"/>
    <w:pPr>
      <w:tabs>
        <w:tab w:val="left" w:pos="1440"/>
        <w:tab w:val="left" w:pos="2250"/>
        <w:tab w:val="right" w:leader="dot" w:pos="9350"/>
      </w:tabs>
      <w:spacing w:after="100"/>
      <w:ind w:left="220"/>
    </w:pPr>
  </w:style>
  <w:style w:type="paragraph" w:styleId="Caption">
    <w:name w:val="caption"/>
    <w:basedOn w:val="Normal"/>
    <w:next w:val="Normal"/>
    <w:qFormat/>
    <w:rsid w:val="00250F2F"/>
    <w:pPr>
      <w:spacing w:before="120" w:after="120" w:line="240" w:lineRule="auto"/>
    </w:pPr>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EA4F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4F61"/>
    <w:rPr>
      <w:sz w:val="20"/>
      <w:szCs w:val="20"/>
    </w:rPr>
  </w:style>
  <w:style w:type="character" w:styleId="FootnoteReference">
    <w:name w:val="footnote reference"/>
    <w:basedOn w:val="DefaultParagraphFont"/>
    <w:uiPriority w:val="99"/>
    <w:semiHidden/>
    <w:unhideWhenUsed/>
    <w:rsid w:val="00EA4F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0299">
      <w:bodyDiv w:val="1"/>
      <w:marLeft w:val="0"/>
      <w:marRight w:val="0"/>
      <w:marTop w:val="0"/>
      <w:marBottom w:val="0"/>
      <w:divBdr>
        <w:top w:val="none" w:sz="0" w:space="0" w:color="auto"/>
        <w:left w:val="none" w:sz="0" w:space="0" w:color="auto"/>
        <w:bottom w:val="none" w:sz="0" w:space="0" w:color="auto"/>
        <w:right w:val="none" w:sz="0" w:space="0" w:color="auto"/>
      </w:divBdr>
    </w:div>
    <w:div w:id="936476002">
      <w:bodyDiv w:val="1"/>
      <w:marLeft w:val="0"/>
      <w:marRight w:val="0"/>
      <w:marTop w:val="0"/>
      <w:marBottom w:val="0"/>
      <w:divBdr>
        <w:top w:val="none" w:sz="0" w:space="0" w:color="auto"/>
        <w:left w:val="none" w:sz="0" w:space="0" w:color="auto"/>
        <w:bottom w:val="none" w:sz="0" w:space="0" w:color="auto"/>
        <w:right w:val="none" w:sz="0" w:space="0" w:color="auto"/>
      </w:divBdr>
    </w:div>
    <w:div w:id="198115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brenner@albany.ed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con.rice.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1.nist.gov/fipspub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Dahm@cdc.gov" TargetMode="External"/><Relationship Id="rId4" Type="http://schemas.microsoft.com/office/2007/relationships/stylesWithEffects" Target="stylesWithEffects.xml"/><Relationship Id="rId9" Type="http://schemas.openxmlformats.org/officeDocument/2006/relationships/hyperlink" Target="mailto:MSchubauer-Berigan@cdc.gov" TargetMode="External"/><Relationship Id="rId14" Type="http://schemas.openxmlformats.org/officeDocument/2006/relationships/hyperlink" Target="mailto:lockeyje@ucmail.u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A4010-9567-44B2-815A-631E43CB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7741</Words>
  <Characters>44130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Kendall, Roz (CDC/NIOSH/DSHEFS) (CTR)</dc:creator>
  <cp:lastModifiedBy>Marsh, Carol E. (CDC/OPHPR/OD)</cp:lastModifiedBy>
  <cp:revision>3</cp:revision>
  <cp:lastPrinted>2013-01-16T18:37:00Z</cp:lastPrinted>
  <dcterms:created xsi:type="dcterms:W3CDTF">2013-06-07T19:00:00Z</dcterms:created>
  <dcterms:modified xsi:type="dcterms:W3CDTF">2013-06-07T19:02:00Z</dcterms:modified>
</cp:coreProperties>
</file>