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E7" w:rsidRPr="00CB1D66" w:rsidRDefault="00DA58E7" w:rsidP="00DA58E7">
      <w:pPr>
        <w:autoSpaceDE w:val="0"/>
        <w:autoSpaceDN w:val="0"/>
        <w:adjustRightInd w:val="0"/>
        <w:jc w:val="center"/>
        <w:rPr>
          <w:b/>
          <w:bCs/>
          <w:sz w:val="23"/>
          <w:szCs w:val="23"/>
        </w:rPr>
      </w:pPr>
      <w:r w:rsidRPr="00CB1D66">
        <w:rPr>
          <w:b/>
          <w:bCs/>
          <w:sz w:val="23"/>
          <w:szCs w:val="23"/>
        </w:rPr>
        <w:t xml:space="preserve">Registration of Food Facilities under the Public Health </w:t>
      </w:r>
    </w:p>
    <w:p w:rsidR="00DA58E7" w:rsidRPr="00CB1D66" w:rsidRDefault="00DA58E7" w:rsidP="00DA58E7">
      <w:pPr>
        <w:autoSpaceDE w:val="0"/>
        <w:autoSpaceDN w:val="0"/>
        <w:adjustRightInd w:val="0"/>
        <w:jc w:val="center"/>
        <w:rPr>
          <w:b/>
          <w:bCs/>
          <w:sz w:val="23"/>
          <w:szCs w:val="23"/>
        </w:rPr>
      </w:pPr>
      <w:r w:rsidRPr="00CB1D66">
        <w:rPr>
          <w:b/>
          <w:bCs/>
          <w:sz w:val="23"/>
          <w:szCs w:val="23"/>
        </w:rPr>
        <w:t>Security and Bioterrorism Preparedness and Response Act of 2002</w:t>
      </w:r>
    </w:p>
    <w:p w:rsidR="000D471B" w:rsidRDefault="000D471B" w:rsidP="000D471B">
      <w:pPr>
        <w:jc w:val="center"/>
        <w:rPr>
          <w:b/>
        </w:rPr>
      </w:pPr>
    </w:p>
    <w:p w:rsidR="000D471B" w:rsidRPr="000D471B" w:rsidRDefault="00DE2D50" w:rsidP="000D471B">
      <w:pPr>
        <w:jc w:val="center"/>
        <w:rPr>
          <w:b/>
        </w:rPr>
      </w:pPr>
      <w:r>
        <w:rPr>
          <w:b/>
        </w:rPr>
        <w:t>0910-0502</w:t>
      </w:r>
    </w:p>
    <w:p w:rsidR="00B23769" w:rsidRPr="00BF2901" w:rsidRDefault="00B23769" w:rsidP="000D471B">
      <w:pPr>
        <w:jc w:val="center"/>
        <w:rPr>
          <w:b/>
        </w:rPr>
      </w:pPr>
    </w:p>
    <w:p w:rsidR="00645868" w:rsidRDefault="00EB7538" w:rsidP="00523652">
      <w:pPr>
        <w:jc w:val="center"/>
        <w:rPr>
          <w:b/>
        </w:rPr>
      </w:pPr>
      <w:r w:rsidRPr="00CE108F">
        <w:rPr>
          <w:b/>
        </w:rPr>
        <w:t>SUPPORTING STATEMENT</w:t>
      </w:r>
    </w:p>
    <w:p w:rsidR="00523652" w:rsidRDefault="00523652" w:rsidP="00523652">
      <w:pPr>
        <w:pStyle w:val="NormalWeb"/>
        <w:rPr>
          <w:bCs/>
        </w:rPr>
      </w:pPr>
      <w:r w:rsidRPr="00523652">
        <w:rPr>
          <w:b/>
          <w:bCs/>
        </w:rPr>
        <w:t>Terms of Clearance:</w:t>
      </w:r>
      <w:r w:rsidRPr="00523652">
        <w:rPr>
          <w:bCs/>
        </w:rPr>
        <w:t xml:space="preserve"> </w:t>
      </w:r>
    </w:p>
    <w:p w:rsidR="00523652" w:rsidRPr="00523652" w:rsidRDefault="00523652" w:rsidP="00523652">
      <w:pPr>
        <w:pStyle w:val="NormalWeb"/>
        <w:rPr>
          <w:bCs/>
        </w:rPr>
      </w:pPr>
      <w:r w:rsidRPr="00523652">
        <w:rPr>
          <w:bCs/>
          <w:i/>
        </w:rPr>
        <w:t>September 14, 2012</w:t>
      </w:r>
      <w:r w:rsidRPr="00523652">
        <w:rPr>
          <w:bCs/>
        </w:rPr>
        <w:t xml:space="preserve"> - In accordance with the terms of 5 CFR 1320, the ICR is approved for a period of 6 months. Before resubmitting this collection for approval, FDA must develop an implementation plan for making this collection electronically fileable.  </w:t>
      </w:r>
      <w:r w:rsidRPr="00523652">
        <w:rPr>
          <w:bCs/>
          <w:i/>
        </w:rPr>
        <w:t>October 19, 2012</w:t>
      </w:r>
      <w:r w:rsidRPr="00523652">
        <w:rPr>
          <w:bCs/>
        </w:rPr>
        <w:t xml:space="preserve"> - Terms of the previous clearance remain in effect. The change is approved. In the next request for approval, the agency should ensure that the burden statement on their forms and in the system are consistent and reflect the burden accurately. We also ask that FDA submit or report on their progress in developing instructions for both the paper and electronic formats. We also will want to discuss whether the electronic pre-populates the forms for both updates and re-registration.</w:t>
      </w:r>
    </w:p>
    <w:p w:rsidR="00523652" w:rsidRPr="00523652" w:rsidRDefault="00523652" w:rsidP="00523652">
      <w:pPr>
        <w:pStyle w:val="NormalWeb"/>
        <w:rPr>
          <w:bCs/>
        </w:rPr>
      </w:pPr>
      <w:r w:rsidRPr="00523652">
        <w:rPr>
          <w:b/>
          <w:bCs/>
        </w:rPr>
        <w:t>Response:</w:t>
      </w:r>
      <w:r w:rsidRPr="00523652">
        <w:rPr>
          <w:bCs/>
        </w:rPr>
        <w:t xml:space="preserve">  </w:t>
      </w:r>
    </w:p>
    <w:p w:rsidR="00523652" w:rsidRPr="00523652" w:rsidRDefault="00523652" w:rsidP="00523652">
      <w:pPr>
        <w:pStyle w:val="NormalWeb"/>
        <w:rPr>
          <w:bCs/>
        </w:rPr>
      </w:pPr>
      <w:r w:rsidRPr="00523652">
        <w:rPr>
          <w:bCs/>
          <w:i/>
        </w:rPr>
        <w:t>Electronic submission capability –</w:t>
      </w:r>
      <w:r w:rsidRPr="00523652">
        <w:rPr>
          <w:bCs/>
        </w:rPr>
        <w:t>Electronic submission of Food Facility Registration forms has been available and promoted as the best method of registering since October 2003, when the Registration Interim Final Rule was published.</w:t>
      </w:r>
    </w:p>
    <w:p w:rsidR="00523652" w:rsidRPr="00523652" w:rsidRDefault="00523652" w:rsidP="00523652">
      <w:pPr>
        <w:pStyle w:val="NormalWeb"/>
        <w:rPr>
          <w:bCs/>
        </w:rPr>
      </w:pPr>
      <w:r w:rsidRPr="00523652">
        <w:rPr>
          <w:bCs/>
          <w:i/>
        </w:rPr>
        <w:t>Accuracy of burden statements</w:t>
      </w:r>
      <w:r w:rsidRPr="00523652">
        <w:rPr>
          <w:bCs/>
        </w:rPr>
        <w:t xml:space="preserve"> – We have updated the burden statements on the draft pdf of Form FDA 3537 submitted with this request for approval to reflect the burden of the additional data elements required by FSMA.  Form FDA 3537a was unchanged by FSMA.  Previously, the public reporting burden of Form FDA 3537 was stated as: “The burden for this collection of information is estimated to average betw</w:t>
      </w:r>
      <w:r w:rsidR="00D925C0">
        <w:rPr>
          <w:bCs/>
        </w:rPr>
        <w:t xml:space="preserve">een 1 and 12 hours per response </w:t>
      </w:r>
      <w:r w:rsidRPr="00523652">
        <w:rPr>
          <w:bCs/>
        </w:rPr>
        <w:t>…</w:t>
      </w:r>
      <w:r w:rsidR="00D925C0">
        <w:rPr>
          <w:bCs/>
        </w:rPr>
        <w:t xml:space="preserve"> .</w:t>
      </w:r>
      <w:r w:rsidRPr="00523652">
        <w:rPr>
          <w:bCs/>
        </w:rPr>
        <w:t>”  This statement has been revised to read: “Public reporting burden for this collection of information is estimated to average 2.7 hours to register a domestic facility; 8.9 hours to register a foreign facility; 1.2 hours to submit an occasional update to an existing registration; and 0.5 hour to submit a biennial rene</w:t>
      </w:r>
      <w:r w:rsidR="00D925C0">
        <w:rPr>
          <w:bCs/>
        </w:rPr>
        <w:t>wal of an existing registration</w:t>
      </w:r>
      <w:r w:rsidRPr="00523652">
        <w:rPr>
          <w:bCs/>
        </w:rPr>
        <w:t xml:space="preserve"> ...</w:t>
      </w:r>
      <w:r w:rsidR="00D925C0">
        <w:rPr>
          <w:bCs/>
        </w:rPr>
        <w:t xml:space="preserve"> .</w:t>
      </w:r>
      <w:r w:rsidRPr="00523652">
        <w:rPr>
          <w:bCs/>
        </w:rPr>
        <w:t>”  This same change will be made to the electronic system. Please also note that the expiration date on both pdf forms and the electronic system will be updated once it is received.</w:t>
      </w:r>
    </w:p>
    <w:p w:rsidR="00523652" w:rsidRPr="00523652" w:rsidRDefault="00523652" w:rsidP="00523652">
      <w:pPr>
        <w:pStyle w:val="NormalWeb"/>
        <w:rPr>
          <w:bCs/>
        </w:rPr>
      </w:pPr>
      <w:r w:rsidRPr="00523652">
        <w:rPr>
          <w:bCs/>
          <w:i/>
        </w:rPr>
        <w:t>Instructions</w:t>
      </w:r>
      <w:r w:rsidRPr="00523652">
        <w:rPr>
          <w:bCs/>
        </w:rPr>
        <w:t xml:space="preserve"> – Instructions for both the paper and electronic formats for Forms FDA 3537 and 3537a are available in the form of guidance documents, mouse-over help and a live help desk.  The original pdf form and electronic system were approved by OMB in 2003 with these aids in lieu of having written instructions attached to or included as part of the form.  FDA issued guidance with regard to food facility registration in 2003.  The guidance is available on FDA’s website at: </w:t>
      </w:r>
      <w:hyperlink r:id="rId8" w:history="1">
        <w:r w:rsidRPr="00523652">
          <w:rPr>
            <w:rStyle w:val="Hyperlink"/>
            <w:bCs/>
          </w:rPr>
          <w:t>http://www.fda.gov/Food/GuidanceRegulation/FoodFacilityRegistration/default.htm</w:t>
        </w:r>
      </w:hyperlink>
      <w:r w:rsidRPr="00523652">
        <w:rPr>
          <w:bCs/>
        </w:rPr>
        <w:t xml:space="preserve">.  FDA also offers mouse-over help on the electronic system.  In addition,  the FDA Industry System Help Desk is available by telephone at 1-800-216-7331 or 1-301-575-0156 from 7:30 a.m.-11:00 p.m. Eastern Time on U.S. Government business days (Monday to Friday, excluding U.S. government holidays) for technical assistance with online registration.  </w:t>
      </w:r>
    </w:p>
    <w:p w:rsidR="00523652" w:rsidRPr="00523652" w:rsidRDefault="00523652" w:rsidP="00523652">
      <w:pPr>
        <w:pStyle w:val="NormalWeb"/>
        <w:rPr>
          <w:bCs/>
        </w:rPr>
      </w:pPr>
      <w:r w:rsidRPr="00523652">
        <w:rPr>
          <w:bCs/>
          <w:i/>
        </w:rPr>
        <w:t>Electronic pre-population of updates and biennial renewal</w:t>
      </w:r>
      <w:r w:rsidRPr="00523652">
        <w:rPr>
          <w:bCs/>
        </w:rPr>
        <w:t xml:space="preserve"> – When a respondent from a previously registered facility accesses the electronic system (see </w:t>
      </w:r>
      <w:hyperlink r:id="rId9" w:history="1">
        <w:r w:rsidRPr="00523652">
          <w:rPr>
            <w:rStyle w:val="Hyperlink"/>
            <w:bCs/>
          </w:rPr>
          <w:t>http://access.fda.gov</w:t>
        </w:r>
      </w:hyperlink>
      <w:r w:rsidRPr="00523652">
        <w:rPr>
          <w:bCs/>
        </w:rPr>
        <w:t>) with its registration number and PIN, the electronic system will pre-populate the information</w:t>
      </w:r>
      <w:r w:rsidR="008A4DDA">
        <w:rPr>
          <w:bCs/>
        </w:rPr>
        <w:t xml:space="preserve"> needed for </w:t>
      </w:r>
      <w:r w:rsidR="008A4DDA">
        <w:rPr>
          <w:bCs/>
        </w:rPr>
        <w:lastRenderedPageBreak/>
        <w:t xml:space="preserve">both updates and </w:t>
      </w:r>
      <w:r w:rsidRPr="00523652">
        <w:rPr>
          <w:bCs/>
        </w:rPr>
        <w:t>registration</w:t>
      </w:r>
      <w:r w:rsidR="008A4DDA">
        <w:rPr>
          <w:bCs/>
        </w:rPr>
        <w:t xml:space="preserve"> renewal</w:t>
      </w:r>
      <w:r w:rsidRPr="00523652">
        <w:rPr>
          <w:bCs/>
        </w:rPr>
        <w:t xml:space="preserve">. The respondent must, however, complete any new information required by FSMA (if the facility has not previously submitted it) and will need to make any changes to previously entered information that are necessary to update the registration.  The respondent will also need to complete the certifications/assurance statements associated with signing and submitting the electronic registration.  </w:t>
      </w:r>
    </w:p>
    <w:p w:rsidR="00EB7538" w:rsidRDefault="00F714BC" w:rsidP="000D471B">
      <w:pPr>
        <w:pStyle w:val="NormalWeb"/>
        <w:rPr>
          <w:b/>
          <w:bCs/>
        </w:rPr>
      </w:pPr>
      <w:r>
        <w:rPr>
          <w:b/>
          <w:bCs/>
        </w:rPr>
        <w:t xml:space="preserve">A.  </w:t>
      </w:r>
      <w:r w:rsidR="00EB7538">
        <w:rPr>
          <w:b/>
          <w:bCs/>
        </w:rPr>
        <w:t>Justification</w:t>
      </w:r>
    </w:p>
    <w:p w:rsidR="000D471B" w:rsidRPr="000D471B" w:rsidRDefault="00F714BC" w:rsidP="000D471B">
      <w:pPr>
        <w:pStyle w:val="NormalWeb"/>
        <w:rPr>
          <w:b/>
        </w:rPr>
      </w:pPr>
      <w:r>
        <w:rPr>
          <w:b/>
        </w:rPr>
        <w:t xml:space="preserve">1.  </w:t>
      </w:r>
      <w:r w:rsidR="000D471B" w:rsidRPr="000D471B">
        <w:rPr>
          <w:b/>
        </w:rPr>
        <w:t xml:space="preserve">Circumstances Making the Collection </w:t>
      </w:r>
      <w:r w:rsidR="000D471B" w:rsidRPr="00C63658">
        <w:rPr>
          <w:b/>
        </w:rPr>
        <w:t>of Information Necessary</w:t>
      </w:r>
    </w:p>
    <w:p w:rsidR="00421DBD" w:rsidRDefault="00421DBD" w:rsidP="00421DBD">
      <w:pPr>
        <w:autoSpaceDE w:val="0"/>
        <w:autoSpaceDN w:val="0"/>
        <w:adjustRightInd w:val="0"/>
      </w:pPr>
      <w:r w:rsidRPr="00421DBD">
        <w:t>The Public Health Security and Bioterrorism Preparedness and Response Act of 2002 (the Bioterrorism Act) added section 415 to the Federal Food, Drug, and Cosmetic Act (the FD&amp;C Act) (21 U.S.C. 350d), which requires domestic and foreign facilities that manufacture, process, pack, or hold food for human or animal consumption in the United States to register with the Food and Drug Administration (FDA).  Sections 1.230 - 1.235 of FDA’s regulations (21 CFR 1.230 - 1.235) set forth the procedures for registration of food facilities.  Information provided to FDA under these regulations helps the Agency to notify quickly the facilities that might be affected by a deliberate or accidental contamination of the food supply.  In addition, data collected through registration is used to support FDA enforcement activities and to screen imported food shipments.  Advance notice of imported food allows FDA, with the support of the Bureau of Customs and Border Protection (CBP), to target import inspections more effectively and help protect the nation's food supply against terrorist acts and other public health emergencies.  If a facility is not registered or the registration for a facility is not updated when necessary, FDA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 xml:space="preserve">FDA’s regulations require that each facility that manufactures, processes, packs, or holds food for human or animal consumption in the United States register with FDA using Form FDA 3537 (§ 1.231).  The term “Form FDA 3537” refers to both the paper version of the form and the electronic system known as the Food Facility Registration Module, which is available at http://www.access.fda.gov.  Domestic facilities are required to register whether or not food from the facility enters interstate commerce.  Foreign facilities that manufacture/process, pack, or hold food also are required to register unless food from that facility undergoes further processing (including packaging) by another foreign facility before the food is exported to the </w:t>
      </w:r>
      <w:smartTag w:uri="urn:schemas-microsoft-com:office:smarttags" w:element="country-region">
        <w:smartTag w:uri="urn:schemas-microsoft-com:office:smarttags" w:element="place">
          <w:r w:rsidRPr="00421DBD">
            <w:t>United States</w:t>
          </w:r>
        </w:smartTag>
      </w:smartTag>
      <w:r w:rsidRPr="00421DBD">
        <w:t>.  However, if the subsequent foreign facility performs only a minimal activity, such as putting on a label, both facilities are required to register.</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Information FDA requires on the registration form includes the name and full address of the facility; emergency contact information; all trade names the facility uses; applicable food product categories; and a certification statement that includes the name of the individual authorized to submit the registration form.  Additionally, facilities are encouraged to submit their preferred mailing address; type of activity conducted at the facility; type of storage, if the facility is primarily a holding facility; and approximate dates of operation if the facility’s business is seasonal.</w:t>
      </w:r>
    </w:p>
    <w:p w:rsidR="00523652" w:rsidRPr="00421DBD" w:rsidRDefault="00523652" w:rsidP="00421DBD">
      <w:pPr>
        <w:autoSpaceDE w:val="0"/>
        <w:autoSpaceDN w:val="0"/>
        <w:adjustRightInd w:val="0"/>
      </w:pPr>
    </w:p>
    <w:p w:rsidR="00421DBD" w:rsidRDefault="00421DBD" w:rsidP="00421DBD">
      <w:pPr>
        <w:autoSpaceDE w:val="0"/>
        <w:autoSpaceDN w:val="0"/>
        <w:adjustRightInd w:val="0"/>
      </w:pPr>
      <w:r w:rsidRPr="00421DBD">
        <w:t xml:space="preserve">In addition to registering, a facility is required to submit timely updates within 60 days of a change to any required information on its registration form, using Form FDA 3537 (§ 1.234), and to cancel its registration when the facility ceases to operate or is sold to new owners or ceases to </w:t>
      </w:r>
      <w:r w:rsidRPr="00421DBD">
        <w:lastRenderedPageBreak/>
        <w:t xml:space="preserve">manufacture/process, pack, or hold food for consumption in the United States, </w:t>
      </w:r>
      <w:r>
        <w:t>using Form FDA 3537a (§ 1.235).</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 xml:space="preserve">The FDA Food Safety Modernization Act (FSMA) (Pub. L. 111-353), enacted on January 4, 2011, amended section 415 of the FD&amp;C Act in relevant part to require registrants for food facilities to submit additional registration information to FDA, and to require facilities required to register with FDA to renew such registrations biennially.  Section 415(a)(2) of the FD&amp;C Act, as amended by FSMA, also provides that, when determined necessary by FDA “through guidance,” a food facility is required to submit to FDA information about the general food category of a food manufactured, processed, packed or held at such facility, as determined appropriate by FDA, including by guidance.  </w:t>
      </w:r>
      <w:r>
        <w:rPr>
          <w:iCs/>
        </w:rPr>
        <w:t xml:space="preserve">FSMA also amended </w:t>
      </w:r>
      <w:r>
        <w:t>section</w:t>
      </w:r>
      <w:r>
        <w:rPr>
          <w:iCs/>
        </w:rPr>
        <w:t xml:space="preserve"> 415 to provide FDA with authority to suspend the registration of a food facility in certain circumstances.  Specifically, if FDA </w:t>
      </w:r>
      <w:r w:rsidRPr="00B35ABA">
        <w:t xml:space="preserve">determines that food manufactured, processed, packed, received, or held by </w:t>
      </w:r>
      <w:r>
        <w:t xml:space="preserve">a registered </w:t>
      </w:r>
      <w:r w:rsidRPr="00B35ABA">
        <w:t>facility has a reasonable probability of causing serious adverse health consequences or death to</w:t>
      </w:r>
      <w:r>
        <w:t xml:space="preserve"> humans or animals, FDA may by order suspend the registration of a facility that: (1) c</w:t>
      </w:r>
      <w:r w:rsidRPr="00B35ABA">
        <w:t xml:space="preserve">reated, caused, or was otherwise responsible for such reasonable </w:t>
      </w:r>
      <w:r w:rsidRPr="003408CB">
        <w:t xml:space="preserve">probability; or (2) knew of, or had reason to know of, such reasonable </w:t>
      </w:r>
      <w:r>
        <w:t>probability,</w:t>
      </w:r>
      <w:r w:rsidRPr="00155709">
        <w:t xml:space="preserve"> and packed, received, or held such food.</w:t>
      </w:r>
      <w:r>
        <w:t xml:space="preserve">  Under section</w:t>
      </w:r>
      <w:r w:rsidRPr="00B128CF">
        <w:t xml:space="preserve"> 415(b)</w:t>
      </w:r>
      <w:r>
        <w:t xml:space="preserve">(2), FDA is required to provide </w:t>
      </w:r>
      <w:r w:rsidRPr="00D60A4F">
        <w:t>a registrant</w:t>
      </w:r>
      <w:r>
        <w:t xml:space="preserve"> subject to a suspension order with an</w:t>
      </w:r>
      <w:r w:rsidRPr="00D60A4F">
        <w:t xml:space="preserve"> opportunity to request an informal hearing </w:t>
      </w:r>
      <w:r>
        <w:t>on the actions required for reinstatement of registration and why the registration should be reinstated.</w:t>
      </w:r>
      <w:r w:rsidRPr="00D60A4F">
        <w:t xml:space="preserve"> </w:t>
      </w:r>
      <w:r>
        <w:t xml:space="preserve"> Section 415(b)(3) provides that </w:t>
      </w:r>
      <w:r w:rsidRPr="00D60A4F">
        <w:t>if FDA determines that a suspension of registration remains necessary</w:t>
      </w:r>
      <w:r>
        <w:t>,</w:t>
      </w:r>
      <w:r w:rsidRPr="00D60A4F">
        <w:t xml:space="preserve"> </w:t>
      </w:r>
      <w:r>
        <w:t>the registrant is required</w:t>
      </w:r>
      <w:r w:rsidRPr="00D60A4F">
        <w:t xml:space="preserve"> to submit a corrective action plan to demonstrate how the registrant plans to correct the conditions found by FDA.</w:t>
      </w:r>
      <w:r w:rsidRPr="00421DBD">
        <w:rPr>
          <w:rStyle w:val="FootnoteReference"/>
        </w:rPr>
        <w:t xml:space="preserve"> </w:t>
      </w:r>
      <w:r>
        <w:rPr>
          <w:rStyle w:val="FootnoteReference"/>
        </w:rPr>
        <w:footnoteReference w:id="1"/>
      </w:r>
      <w:r>
        <w:t xml:space="preserve">  </w:t>
      </w:r>
      <w:r w:rsidRPr="00421DBD">
        <w:t>These amendments took effect October 1, 2012.  To comply with this st</w:t>
      </w:r>
      <w:r w:rsidR="00044ADB">
        <w:t xml:space="preserve">atutory deadline, FDA </w:t>
      </w:r>
      <w:r w:rsidRPr="00421DBD">
        <w:t xml:space="preserve">obtained OMB approval </w:t>
      </w:r>
      <w:r w:rsidR="00044ADB">
        <w:t xml:space="preserve">in September 2012 </w:t>
      </w:r>
      <w:r w:rsidRPr="00421DBD">
        <w:t>of the following additional collection of information requirements under the emergency processing provisions of the PRA:</w:t>
      </w:r>
    </w:p>
    <w:p w:rsidR="00277DB2" w:rsidRPr="00421DBD" w:rsidRDefault="00277DB2" w:rsidP="00421DBD">
      <w:pPr>
        <w:autoSpaceDE w:val="0"/>
        <w:autoSpaceDN w:val="0"/>
        <w:adjustRightInd w:val="0"/>
      </w:pPr>
    </w:p>
    <w:p w:rsidR="00421DBD" w:rsidRDefault="00421DBD" w:rsidP="00421DBD">
      <w:pPr>
        <w:autoSpaceDE w:val="0"/>
        <w:autoSpaceDN w:val="0"/>
        <w:adjustRightInd w:val="0"/>
      </w:pPr>
      <w:r w:rsidRPr="00421DBD">
        <w:tab/>
        <w:t>•  Modification of food facility registration forms to include the following mandatory fields: the e-mail address for the contact person of a domestic facility and the e-mail address of the United States agent for a foreign facility, an assurance that FDA will be permitted to inspect the facility, and specific food categories as identified in the guidance document entitled, “Guidance for Industry: Necessity of the Use of Food Product Categories in Food Facility Registrations and Updates to Food Product Categories” (section 415(a)(2) of the FD&amp;C Act 21 U.S.C. 350d(a)(2))</w:t>
      </w:r>
      <w:r w:rsidR="001734BF">
        <w:t xml:space="preserve"> (the “Food Product Categories guidance”)</w:t>
      </w:r>
      <w:r w:rsidRPr="00421DBD">
        <w:t>; and</w:t>
      </w:r>
    </w:p>
    <w:p w:rsidR="00EF7AD4" w:rsidRPr="00421DBD" w:rsidRDefault="00EF7AD4" w:rsidP="00421DBD">
      <w:pPr>
        <w:autoSpaceDE w:val="0"/>
        <w:autoSpaceDN w:val="0"/>
        <w:adjustRightInd w:val="0"/>
      </w:pPr>
    </w:p>
    <w:p w:rsidR="00C64035" w:rsidRDefault="00421DBD" w:rsidP="00421DBD">
      <w:pPr>
        <w:autoSpaceDE w:val="0"/>
        <w:autoSpaceDN w:val="0"/>
        <w:adjustRightInd w:val="0"/>
      </w:pPr>
      <w:r w:rsidRPr="00421DBD">
        <w:tab/>
        <w:t>•  The requirement that registered facilities submit registration renewals to FDA biennially (section 415(a)(3) of the FD&amp;C Act (21 U</w:t>
      </w:r>
      <w:r>
        <w:t>.S.C. 350d(a)(3))</w:t>
      </w:r>
      <w:r w:rsidR="00DF129A">
        <w:t xml:space="preserve">. </w:t>
      </w:r>
    </w:p>
    <w:p w:rsidR="00787B92" w:rsidRDefault="00787B92" w:rsidP="0026749E">
      <w:pPr>
        <w:autoSpaceDE w:val="0"/>
        <w:autoSpaceDN w:val="0"/>
        <w:adjustRightInd w:val="0"/>
      </w:pPr>
    </w:p>
    <w:p w:rsidR="00B438F8" w:rsidRDefault="00044ADB" w:rsidP="0026749E">
      <w:pPr>
        <w:autoSpaceDE w:val="0"/>
        <w:autoSpaceDN w:val="0"/>
        <w:adjustRightInd w:val="0"/>
      </w:pPr>
      <w:r>
        <w:t xml:space="preserve">FDA requests the extension of OMB approval of the </w:t>
      </w:r>
      <w:r w:rsidR="00B438F8">
        <w:t>information collection</w:t>
      </w:r>
      <w:r>
        <w:t xml:space="preserve"> provisions</w:t>
      </w:r>
      <w:r w:rsidR="008518D6">
        <w:t xml:space="preserve"> in the </w:t>
      </w:r>
      <w:r w:rsidR="001734BF">
        <w:t xml:space="preserve">Food Product Categories </w:t>
      </w:r>
      <w:r w:rsidR="008518D6">
        <w:t>guidance and the following citations</w:t>
      </w:r>
      <w:r w:rsidR="00B438F8">
        <w:t>:</w:t>
      </w:r>
    </w:p>
    <w:p w:rsidR="00C64035" w:rsidRDefault="00C64035" w:rsidP="0026749E">
      <w:pPr>
        <w:autoSpaceDE w:val="0"/>
        <w:autoSpaceDN w:val="0"/>
        <w:adjustRightInd w:val="0"/>
      </w:pPr>
    </w:p>
    <w:p w:rsidR="004375AC" w:rsidRPr="001734BF" w:rsidRDefault="004375AC" w:rsidP="00787B92">
      <w:pPr>
        <w:keepNext/>
        <w:autoSpaceDE w:val="0"/>
        <w:autoSpaceDN w:val="0"/>
        <w:adjustRightInd w:val="0"/>
        <w:rPr>
          <w:b/>
        </w:rPr>
      </w:pPr>
      <w:r w:rsidRPr="001734BF">
        <w:rPr>
          <w:b/>
        </w:rPr>
        <w:t>S</w:t>
      </w:r>
      <w:r w:rsidRPr="004375AC">
        <w:rPr>
          <w:b/>
        </w:rPr>
        <w:t>ection 415(a)(</w:t>
      </w:r>
      <w:r>
        <w:rPr>
          <w:b/>
        </w:rPr>
        <w:t>2</w:t>
      </w:r>
      <w:r w:rsidRPr="001734BF">
        <w:rPr>
          <w:b/>
        </w:rPr>
        <w:t>)</w:t>
      </w:r>
      <w:r>
        <w:rPr>
          <w:b/>
        </w:rPr>
        <w:t xml:space="preserve"> and (3) </w:t>
      </w:r>
      <w:r w:rsidRPr="001734BF">
        <w:rPr>
          <w:b/>
        </w:rPr>
        <w:t>of the FD&amp;C Act  -- Reporting</w:t>
      </w:r>
    </w:p>
    <w:p w:rsidR="004375AC" w:rsidRDefault="004375AC" w:rsidP="00787B92">
      <w:pPr>
        <w:keepNext/>
        <w:autoSpaceDE w:val="0"/>
        <w:autoSpaceDN w:val="0"/>
        <w:adjustRightInd w:val="0"/>
      </w:pPr>
    </w:p>
    <w:p w:rsidR="00787B1F" w:rsidRDefault="004375AC" w:rsidP="00787B92">
      <w:pPr>
        <w:keepNext/>
        <w:autoSpaceDE w:val="0"/>
        <w:autoSpaceDN w:val="0"/>
        <w:adjustRightInd w:val="0"/>
      </w:pPr>
      <w:r>
        <w:t>Requires</w:t>
      </w:r>
      <w:r w:rsidRPr="00421DBD">
        <w:t xml:space="preserve"> registered facilities</w:t>
      </w:r>
      <w:r>
        <w:t xml:space="preserve"> to</w:t>
      </w:r>
      <w:r w:rsidRPr="00421DBD">
        <w:t xml:space="preserve"> submit registration renewals to FDA biennially</w:t>
      </w:r>
      <w:r>
        <w:t xml:space="preserve"> and adds the following required elements to the registration submission: </w:t>
      </w:r>
      <w:r w:rsidRPr="00421DBD">
        <w:t xml:space="preserve">e-mail address for the contact person </w:t>
      </w:r>
      <w:r w:rsidRPr="00421DBD">
        <w:lastRenderedPageBreak/>
        <w:t>of a domestic facility</w:t>
      </w:r>
      <w:r w:rsidR="00787B1F">
        <w:t>,</w:t>
      </w:r>
      <w:r w:rsidRPr="00421DBD">
        <w:t xml:space="preserve"> e-mail address </w:t>
      </w:r>
      <w:r w:rsidR="00787B1F">
        <w:t xml:space="preserve">for </w:t>
      </w:r>
      <w:r w:rsidRPr="00421DBD">
        <w:t>the U</w:t>
      </w:r>
      <w:r w:rsidR="00787B1F">
        <w:t>.</w:t>
      </w:r>
      <w:r w:rsidRPr="00421DBD">
        <w:t>S</w:t>
      </w:r>
      <w:r w:rsidR="00787B1F">
        <w:t xml:space="preserve">. </w:t>
      </w:r>
      <w:r w:rsidRPr="00421DBD">
        <w:t>agent for a foreign facility, an assurance that FDA will be permitted to inspect the facility</w:t>
      </w:r>
      <w:r w:rsidR="00787B1F">
        <w:t xml:space="preserve"> at the times and in the manner permitted by the FD&amp;C Act</w:t>
      </w:r>
      <w:r w:rsidRPr="00421DBD">
        <w:t xml:space="preserve">, and specific food </w:t>
      </w:r>
      <w:r w:rsidR="009B48F8">
        <w:t xml:space="preserve">product </w:t>
      </w:r>
      <w:r w:rsidRPr="00421DBD">
        <w:t xml:space="preserve">categories as identified in the </w:t>
      </w:r>
      <w:r w:rsidR="001734BF" w:rsidRPr="00421DBD">
        <w:t xml:space="preserve">Food Product Categories </w:t>
      </w:r>
      <w:r w:rsidRPr="00421DBD">
        <w:t>guidance document</w:t>
      </w:r>
      <w:r>
        <w:t>.</w:t>
      </w:r>
    </w:p>
    <w:p w:rsidR="00523652" w:rsidRDefault="00523652" w:rsidP="00787B92">
      <w:pPr>
        <w:keepNext/>
        <w:autoSpaceDE w:val="0"/>
        <w:autoSpaceDN w:val="0"/>
        <w:adjustRightInd w:val="0"/>
      </w:pPr>
    </w:p>
    <w:p w:rsidR="00B438F8" w:rsidRPr="001734BF" w:rsidRDefault="00B438F8" w:rsidP="00787B92">
      <w:pPr>
        <w:keepNext/>
        <w:autoSpaceDE w:val="0"/>
        <w:autoSpaceDN w:val="0"/>
        <w:adjustRightInd w:val="0"/>
        <w:rPr>
          <w:b/>
        </w:rPr>
      </w:pPr>
      <w:r w:rsidRPr="001734BF">
        <w:rPr>
          <w:b/>
        </w:rPr>
        <w:t>21 CFR 1.230 - 1.233 -- Reporting</w:t>
      </w:r>
    </w:p>
    <w:p w:rsidR="00B438F8" w:rsidRPr="001734BF" w:rsidRDefault="00B438F8" w:rsidP="00787B92">
      <w:pPr>
        <w:keepNext/>
        <w:autoSpaceDE w:val="0"/>
        <w:autoSpaceDN w:val="0"/>
        <w:adjustRightInd w:val="0"/>
      </w:pPr>
    </w:p>
    <w:p w:rsidR="00B438F8" w:rsidRPr="001734BF" w:rsidRDefault="00B438F8" w:rsidP="00787B92">
      <w:pPr>
        <w:keepNext/>
        <w:autoSpaceDE w:val="0"/>
        <w:autoSpaceDN w:val="0"/>
        <w:adjustRightInd w:val="0"/>
      </w:pPr>
      <w:r w:rsidRPr="001734BF">
        <w:t>Requires a facility to register with FDA and sets forth the information that the registration submission is required to contain, as well as items of information that registrants are encouraged, but are not required, to submit and the method of submitting the registration.</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21 CFR 1.234 -- Reporting</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pPr>
      <w:r w:rsidRPr="001734BF">
        <w:t>Requires a facility to submit timely updates within 60 days of a change to any required item of registration information.</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21 CFR 1.235 -- Reporting</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pPr>
      <w:r w:rsidRPr="001734BF">
        <w:t xml:space="preserve">Requires the registration for a facility to be cancelled when the facility ceases to operate, is sold to a new owner, or ceases to manufacture/process, pack, or hold food for consumption in the </w:t>
      </w:r>
      <w:smartTag w:uri="urn:schemas-microsoft-com:office:smarttags" w:element="place">
        <w:smartTag w:uri="urn:schemas-microsoft-com:office:smarttags" w:element="country-region">
          <w:r w:rsidRPr="001734BF">
            <w:t>United States</w:t>
          </w:r>
        </w:smartTag>
      </w:smartTag>
      <w:r w:rsidRPr="001734BF">
        <w:t>.</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Form FDA 3537 and Form FDA 3537a</w:t>
      </w:r>
    </w:p>
    <w:p w:rsidR="00B438F8" w:rsidRPr="001734BF" w:rsidRDefault="00B438F8" w:rsidP="00B438F8">
      <w:pPr>
        <w:autoSpaceDE w:val="0"/>
        <w:autoSpaceDN w:val="0"/>
        <w:adjustRightInd w:val="0"/>
      </w:pPr>
    </w:p>
    <w:p w:rsidR="004375AC" w:rsidRDefault="00B438F8" w:rsidP="00B438F8">
      <w:pPr>
        <w:autoSpaceDE w:val="0"/>
        <w:autoSpaceDN w:val="0"/>
        <w:adjustRightInd w:val="0"/>
      </w:pPr>
      <w:r w:rsidRPr="001734BF">
        <w:t xml:space="preserve">The terms “Form FDA 3537”  and “Form FDA 3537a” refer to both the paper version of each form and the electronic system known as the Food Facility Registration Module, which is available at </w:t>
      </w:r>
      <w:hyperlink r:id="rId10" w:history="1">
        <w:r w:rsidR="004375AC" w:rsidRPr="001734BF">
          <w:rPr>
            <w:rStyle w:val="Hyperlink"/>
          </w:rPr>
          <w:t>http://www.access.fda.gov</w:t>
        </w:r>
      </w:hyperlink>
      <w:r w:rsidRPr="001734BF">
        <w:t>.</w:t>
      </w:r>
    </w:p>
    <w:p w:rsidR="001A515F" w:rsidRPr="003C3C35" w:rsidRDefault="00F714BC" w:rsidP="000D471B">
      <w:pPr>
        <w:spacing w:before="100" w:beforeAutospacing="1" w:after="100" w:afterAutospacing="1"/>
      </w:pPr>
      <w:r>
        <w:rPr>
          <w:b/>
          <w:bCs/>
        </w:rPr>
        <w:t xml:space="preserve">2.  </w:t>
      </w:r>
      <w:r w:rsidR="001A515F" w:rsidRPr="008E63CF">
        <w:rPr>
          <w:b/>
          <w:bCs/>
        </w:rPr>
        <w:t>Purpose and Use of the Information Collection</w:t>
      </w:r>
    </w:p>
    <w:p w:rsidR="00CD2CAF" w:rsidRPr="00CD2CAF" w:rsidRDefault="00CD2CAF" w:rsidP="00CD2CAF">
      <w:r w:rsidRPr="00CD2CAF">
        <w:t xml:space="preserve">Food Facility Registration, in conjunction with advance notice of imported food, helps FDA act quickly in responding to a threatened or actual bioterrorist attack on the </w:t>
      </w:r>
      <w:smartTag w:uri="urn:schemas-microsoft-com:office:smarttags" w:element="country-region">
        <w:smartTag w:uri="urn:schemas-microsoft-com:office:smarttags" w:element="place">
          <w:r w:rsidRPr="00CD2CAF">
            <w:t>U.S.</w:t>
          </w:r>
        </w:smartTag>
      </w:smartTag>
      <w:r w:rsidRPr="00CD2CAF">
        <w:t xml:space="preserve"> food supply or to other food-related emergencies.  Food Facility Registration provides FDA with information about facilities that manufacture/process, pack, or hold food for consumption in the </w:t>
      </w:r>
      <w:smartTag w:uri="urn:schemas-microsoft-com:office:smarttags" w:element="country-region">
        <w:smartTag w:uri="urn:schemas-microsoft-com:office:smarttags" w:element="place">
          <w:r w:rsidRPr="00CD2CAF">
            <w:t>United States</w:t>
          </w:r>
        </w:smartTag>
      </w:smartTag>
      <w:r w:rsidRPr="00CD2CAF">
        <w:t>.  In the event of an outbreak of foodborne illness, such information helps FDA and other authorities determine the source and cause of the event.  In addition, the registration information enables FDA to notify more quickly the facilities that might be affected by the outbreak.  See Interim Final Rule entitled, “Registration of Food Facilities Under the Public Health Security and Bioterrorism Preparedness and Response Act of 2002” (68 FR 58894, at 58895; October 10, 2003).</w:t>
      </w:r>
    </w:p>
    <w:p w:rsidR="00CD2CAF" w:rsidRDefault="00CD2CAF" w:rsidP="00CD2CAF">
      <w:r w:rsidRPr="00CD2CAF">
        <w:tab/>
      </w:r>
    </w:p>
    <w:p w:rsidR="00513D72" w:rsidRDefault="00CD2CAF" w:rsidP="000D471B">
      <w:r w:rsidRPr="00CD2CAF">
        <w:t xml:space="preserve">Implementation of the new FSMA requirements described previously helps enable FDA to quickly identify and remove from commerce an article of food for which there is a reasonable probability that the use of, or exposure to, such article of food will cause serious adverse health consequences or death to humans or animals.  FDA uses the information collected under these provisions to help ensure that such food products are quickly and efficiently removed from the market. </w:t>
      </w:r>
    </w:p>
    <w:p w:rsidR="00277DB2" w:rsidRPr="00513D72" w:rsidRDefault="00277DB2" w:rsidP="000D471B"/>
    <w:p w:rsidR="00C879EE" w:rsidRPr="00FF4F97" w:rsidRDefault="00C879EE" w:rsidP="00C879EE">
      <w:pPr>
        <w:autoSpaceDE w:val="0"/>
        <w:autoSpaceDN w:val="0"/>
        <w:adjustRightInd w:val="0"/>
      </w:pPr>
      <w:r w:rsidRPr="001A515F">
        <w:rPr>
          <w:i/>
        </w:rPr>
        <w:t>Description of Respondents</w:t>
      </w:r>
      <w:r w:rsidR="001A515F">
        <w:rPr>
          <w:i/>
        </w:rPr>
        <w:t xml:space="preserve">: </w:t>
      </w:r>
      <w:r w:rsidR="000D1BBD" w:rsidRPr="005F28B7">
        <w:t xml:space="preserve">Respondents to this collection of information </w:t>
      </w:r>
      <w:r w:rsidR="000D1BBD">
        <w:t>are</w:t>
      </w:r>
      <w:r w:rsidR="000D1BBD" w:rsidRPr="005F28B7">
        <w:t xml:space="preserve"> owners, operators, or agents in charge of domestic or foreign facilities that manufacture, process, pack, or hold food </w:t>
      </w:r>
      <w:r w:rsidR="000D1BBD" w:rsidRPr="005F28B7">
        <w:lastRenderedPageBreak/>
        <w:t xml:space="preserve">for human or animal consumption in the </w:t>
      </w:r>
      <w:smartTag w:uri="urn:schemas-microsoft-com:office:smarttags" w:element="country-region">
        <w:smartTag w:uri="urn:schemas-microsoft-com:office:smarttags" w:element="place">
          <w:r w:rsidR="000D1BBD" w:rsidRPr="005F28B7">
            <w:t>United States</w:t>
          </w:r>
        </w:smartTag>
      </w:smartTag>
      <w:r w:rsidR="000D1BBD" w:rsidRPr="005F28B7">
        <w:t>.</w:t>
      </w:r>
      <w:r w:rsidR="000D1BBD">
        <w:t xml:space="preserve">  Respondents are from the private sector (for-profit businesses).</w:t>
      </w:r>
    </w:p>
    <w:p w:rsidR="006D0081" w:rsidRDefault="006D0081" w:rsidP="006D0081">
      <w:pPr>
        <w:rPr>
          <w:u w:val="single"/>
        </w:rPr>
      </w:pPr>
    </w:p>
    <w:p w:rsidR="0064618B" w:rsidRDefault="0064618B" w:rsidP="000D471B">
      <w:r>
        <w:rPr>
          <w:b/>
          <w:bCs/>
        </w:rPr>
        <w:t>3.</w:t>
      </w:r>
      <w:r w:rsidR="00F714BC">
        <w:rPr>
          <w:b/>
          <w:bCs/>
        </w:rPr>
        <w:t xml:space="preserve">  </w:t>
      </w:r>
      <w:r w:rsidRPr="008E63CF">
        <w:rPr>
          <w:b/>
          <w:bCs/>
        </w:rPr>
        <w:t>Use of Improved Information Technology and Burden Reduction</w:t>
      </w:r>
      <w:r w:rsidRPr="0019428C">
        <w:t xml:space="preserve"> </w:t>
      </w:r>
    </w:p>
    <w:p w:rsidR="0064618B" w:rsidRDefault="0064618B" w:rsidP="000D471B"/>
    <w:p w:rsidR="00843752" w:rsidRDefault="0026749E" w:rsidP="0017083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w:t>
      </w:r>
      <w:r w:rsidR="0017083F" w:rsidRPr="005F28B7">
        <w:t xml:space="preserve">he term “Form FDA 3537” refers to both the paper version of the form and the electronic </w:t>
      </w:r>
      <w:r w:rsidR="00EB30A1">
        <w:t xml:space="preserve">submission </w:t>
      </w:r>
      <w:r w:rsidR="0017083F" w:rsidRPr="005F28B7">
        <w:t xml:space="preserve">system known as the Food Facility Registration Module, which is available at </w:t>
      </w:r>
      <w:hyperlink r:id="rId11" w:history="1">
        <w:r w:rsidR="0017083F" w:rsidRPr="005F28B7">
          <w:rPr>
            <w:rStyle w:val="Hyperlink"/>
            <w:bCs/>
          </w:rPr>
          <w:t>http://www.access.fda.gov</w:t>
        </w:r>
      </w:hyperlink>
      <w:r w:rsidR="0017083F" w:rsidRPr="005F28B7">
        <w:t xml:space="preserve">.  </w:t>
      </w:r>
      <w:r w:rsidR="0017083F" w:rsidRPr="005F28B7">
        <w:rPr>
          <w:bCs/>
        </w:rPr>
        <w:t>Form</w:t>
      </w:r>
      <w:r w:rsidR="0017083F">
        <w:rPr>
          <w:bCs/>
        </w:rPr>
        <w:t>s</w:t>
      </w:r>
      <w:r w:rsidR="0017083F" w:rsidRPr="005F28B7">
        <w:rPr>
          <w:bCs/>
        </w:rPr>
        <w:t xml:space="preserve"> FDA 3537</w:t>
      </w:r>
      <w:r w:rsidR="0017083F">
        <w:t xml:space="preserve"> and </w:t>
      </w:r>
      <w:r w:rsidR="0017083F" w:rsidRPr="005F28B7">
        <w:rPr>
          <w:bCs/>
        </w:rPr>
        <w:t>3537</w:t>
      </w:r>
      <w:r w:rsidR="0017083F">
        <w:rPr>
          <w:bCs/>
        </w:rPr>
        <w:t>a</w:t>
      </w:r>
      <w:r w:rsidR="0017083F" w:rsidRPr="005F28B7">
        <w:t xml:space="preserve"> </w:t>
      </w:r>
      <w:r w:rsidR="0017083F">
        <w:t xml:space="preserve">are </w:t>
      </w:r>
      <w:r w:rsidR="0017083F" w:rsidRPr="005F28B7">
        <w:t xml:space="preserve">available for download for registration by mail, fax, or CD-ROM.  </w:t>
      </w:r>
      <w:r w:rsidR="0017083F">
        <w:rPr>
          <w:bCs/>
        </w:rPr>
        <w:t xml:space="preserve">FDA estimates that </w:t>
      </w:r>
      <w:r w:rsidR="0017083F" w:rsidRPr="00EB33B9">
        <w:rPr>
          <w:bCs/>
        </w:rPr>
        <w:t>ninety-</w:t>
      </w:r>
      <w:r w:rsidR="0017083F">
        <w:rPr>
          <w:bCs/>
        </w:rPr>
        <w:t>four</w:t>
      </w:r>
      <w:r w:rsidR="0017083F" w:rsidRPr="00EB33B9">
        <w:rPr>
          <w:bCs/>
        </w:rPr>
        <w:t xml:space="preserve"> percent (9</w:t>
      </w:r>
      <w:r w:rsidR="0017083F">
        <w:rPr>
          <w:bCs/>
        </w:rPr>
        <w:t>4%</w:t>
      </w:r>
      <w:r w:rsidR="0017083F" w:rsidRPr="00EB33B9">
        <w:rPr>
          <w:bCs/>
        </w:rPr>
        <w:t>) of the respondents</w:t>
      </w:r>
      <w:r w:rsidR="0017083F">
        <w:rPr>
          <w:bCs/>
        </w:rPr>
        <w:t xml:space="preserve"> will use electronic means to submit the required information.</w:t>
      </w:r>
      <w:r w:rsidR="005C5029">
        <w:t xml:space="preserve"> </w:t>
      </w:r>
    </w:p>
    <w:p w:rsidR="0064618B" w:rsidRDefault="0064618B" w:rsidP="000D471B">
      <w:pPr>
        <w:rPr>
          <w:u w:val="single"/>
        </w:rPr>
      </w:pPr>
    </w:p>
    <w:p w:rsidR="0064618B" w:rsidRDefault="0064618B" w:rsidP="000D471B">
      <w:pPr>
        <w:rPr>
          <w:b/>
          <w:bCs/>
        </w:rPr>
      </w:pPr>
      <w:r>
        <w:rPr>
          <w:b/>
          <w:bCs/>
        </w:rPr>
        <w:t>4.</w:t>
      </w:r>
      <w:r w:rsidR="00F714BC">
        <w:rPr>
          <w:b/>
          <w:bCs/>
        </w:rPr>
        <w:t xml:space="preserve">  </w:t>
      </w:r>
      <w:r w:rsidRPr="008E63CF">
        <w:rPr>
          <w:b/>
          <w:bCs/>
        </w:rPr>
        <w:t>Efforts to Identify Duplication and Use of Similar Information</w:t>
      </w:r>
    </w:p>
    <w:p w:rsidR="0064618B" w:rsidRDefault="0064618B" w:rsidP="000D471B">
      <w:pPr>
        <w:rPr>
          <w:u w:val="single"/>
        </w:rPr>
      </w:pPr>
    </w:p>
    <w:p w:rsidR="0017083F" w:rsidRPr="009941C5" w:rsidRDefault="0064618B" w:rsidP="0017083F">
      <w:r w:rsidRPr="00EE0A1A">
        <w:t>FDA is the only Federal agency that collects this information</w:t>
      </w:r>
      <w:r>
        <w:t xml:space="preserve"> as a result of the mandatory reporting requirements in Section 41</w:t>
      </w:r>
      <w:r w:rsidR="0017083F">
        <w:t xml:space="preserve">5 of the </w:t>
      </w:r>
      <w:r w:rsidR="00E53266">
        <w:t>FD&amp;C A</w:t>
      </w:r>
      <w:r w:rsidR="0017083F">
        <w:t xml:space="preserve">ct.  </w:t>
      </w:r>
      <w:r w:rsidR="0017083F" w:rsidRPr="009941C5">
        <w:t xml:space="preserve">FDA also requires registration of Low Acid Canned Foods (LACF) and infant formulas.  However, these two registration programs are not a good substitute for the </w:t>
      </w:r>
      <w:r w:rsidR="00E53266">
        <w:t xml:space="preserve">Food Facility </w:t>
      </w:r>
      <w:r w:rsidR="0017083F" w:rsidRPr="009941C5">
        <w:t xml:space="preserve">Registration information collection for the following reasons.  LACF and infant formula registration is on a per formulation or process basis; there may be multiple registered products produced in a single facility or a single registered process or formulation may be produced in multiple facilities; not all items of information required for </w:t>
      </w:r>
      <w:r w:rsidR="00E53266">
        <w:t>Food Facility</w:t>
      </w:r>
      <w:r w:rsidR="00E53266" w:rsidRPr="009941C5">
        <w:t xml:space="preserve"> </w:t>
      </w:r>
      <w:r w:rsidR="0017083F" w:rsidRPr="009941C5">
        <w:t>registration (especially relating to emergency contact) are required for LACF or infant formula registration; in addition, these two registration programs do not cover all food types</w:t>
      </w:r>
      <w:r w:rsidR="00E53266">
        <w:t xml:space="preserve"> covered under Food Facility Registration</w:t>
      </w:r>
      <w:r w:rsidR="0017083F" w:rsidRPr="009941C5">
        <w:t xml:space="preserve">.  Thus, LACF and infant formula registrations cannot satisfy the </w:t>
      </w:r>
      <w:r w:rsidR="00E53266">
        <w:t>requirement of section 415(a)(5) of the FD&amp;C Act that FDA</w:t>
      </w:r>
      <w:r w:rsidR="0017083F" w:rsidRPr="009941C5">
        <w:t xml:space="preserve"> compile and maintain an up-to-date list of registered facilities.</w:t>
      </w:r>
    </w:p>
    <w:p w:rsidR="0017083F" w:rsidRPr="009941C5" w:rsidRDefault="0017083F" w:rsidP="0017083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7083F" w:rsidRDefault="00390E31" w:rsidP="0017083F">
      <w:r>
        <w:t>Certain r</w:t>
      </w:r>
      <w:r w:rsidR="0017083F" w:rsidRPr="009941C5">
        <w:t xml:space="preserve">egistration requirements also exist at the state and local level.  However, the registration requirements vary from jurisdiction to jurisdiction in terms of the information required, facilities covered, and form of reporting.  FDA requires consistent reporting of information and coverage of facilities in order to comply with the </w:t>
      </w:r>
      <w:r>
        <w:t>requirement of</w:t>
      </w:r>
      <w:r w:rsidR="0017083F" w:rsidRPr="009941C5">
        <w:t xml:space="preserve"> section 415(a)(</w:t>
      </w:r>
      <w:r>
        <w:t>5</w:t>
      </w:r>
      <w:r w:rsidR="0017083F" w:rsidRPr="009941C5">
        <w:t xml:space="preserve">) to compile and maintain an up-to-date list of registered food facilities.  Finally, FDA is required to assign each </w:t>
      </w:r>
      <w:r>
        <w:t xml:space="preserve">food </w:t>
      </w:r>
      <w:r w:rsidR="0017083F" w:rsidRPr="009941C5">
        <w:t>facility a unique registration number</w:t>
      </w:r>
      <w:r>
        <w:t xml:space="preserve"> under section 415(a)(4) of the FD&amp;C Act</w:t>
      </w:r>
      <w:r w:rsidR="0017083F" w:rsidRPr="009941C5">
        <w:t>.  None of these registration systems meet these requirements.</w:t>
      </w:r>
    </w:p>
    <w:p w:rsidR="0064618B" w:rsidRDefault="0064618B" w:rsidP="000D471B">
      <w:pPr>
        <w:rPr>
          <w:u w:val="single"/>
        </w:rPr>
      </w:pPr>
    </w:p>
    <w:p w:rsidR="006D0081" w:rsidRPr="008E63CF" w:rsidRDefault="00F714BC" w:rsidP="000F06CA">
      <w:r>
        <w:rPr>
          <w:b/>
          <w:bCs/>
        </w:rPr>
        <w:t xml:space="preserve">5.  </w:t>
      </w:r>
      <w:r w:rsidR="007A64D2" w:rsidRPr="008E63CF">
        <w:rPr>
          <w:b/>
          <w:bCs/>
        </w:rPr>
        <w:t>Impact on Small Businesses or Other Small Entities</w:t>
      </w:r>
      <w:r w:rsidR="007A64D2" w:rsidRPr="008E63CF">
        <w:rPr>
          <w:b/>
          <w:bCs/>
          <w:u w:val="single"/>
        </w:rPr>
        <w:br/>
      </w:r>
      <w:r w:rsidR="007A64D2" w:rsidRPr="008E63CF">
        <w:rPr>
          <w:b/>
          <w:bCs/>
          <w:u w:val="single"/>
        </w:rPr>
        <w:br/>
      </w:r>
      <w:r w:rsidR="0017083F" w:rsidRPr="002344EC">
        <w:rPr>
          <w:bCs/>
        </w:rPr>
        <w:t xml:space="preserve">FDA estimates that approximately ninety-nine percent (99%) of the respondents are small businesses.  </w:t>
      </w:r>
      <w:r w:rsidR="0017083F" w:rsidRPr="002344EC">
        <w:t>The</w:t>
      </w:r>
      <w:r w:rsidR="0017083F" w:rsidRPr="009941C5">
        <w:t xml:space="preserve"> reporting requirements are those mandated by the Bioterrorism Act </w:t>
      </w:r>
      <w:r w:rsidR="006D0081" w:rsidRPr="009941C5">
        <w:t xml:space="preserve">and </w:t>
      </w:r>
      <w:r w:rsidR="006D0081">
        <w:t xml:space="preserve">FSMA </w:t>
      </w:r>
      <w:r w:rsidR="00143BA2">
        <w:t xml:space="preserve">and </w:t>
      </w:r>
      <w:r w:rsidR="0017083F" w:rsidRPr="009941C5">
        <w:t xml:space="preserve">there is no statutory exception for small businesses in </w:t>
      </w:r>
      <w:r w:rsidR="00A9456C">
        <w:t>those acts</w:t>
      </w:r>
      <w:r w:rsidR="0017083F" w:rsidRPr="009941C5">
        <w:t xml:space="preserve">.  </w:t>
      </w:r>
      <w:r w:rsidR="006D0081" w:rsidRPr="006D0081">
        <w:t xml:space="preserve"> </w:t>
      </w:r>
      <w:r w:rsidR="006D0081" w:rsidRPr="00120587">
        <w:t>The same information is requested from large and small firms and is</w:t>
      </w:r>
      <w:r w:rsidR="006D0081">
        <w:t xml:space="preserve"> the minimal amount needed. </w:t>
      </w:r>
      <w:r w:rsidR="00143BA2" w:rsidRPr="00120587">
        <w:t xml:space="preserve"> </w:t>
      </w:r>
      <w:r w:rsidR="006D0081">
        <w:t xml:space="preserve">However, </w:t>
      </w:r>
      <w:r w:rsidR="00143BA2" w:rsidRPr="005A6C7D">
        <w:t>FDA aids small businesses in</w:t>
      </w:r>
      <w:r w:rsidR="00A9456C" w:rsidRPr="00A9456C">
        <w:rPr>
          <w:bCs/>
        </w:rPr>
        <w:t xml:space="preserve"> </w:t>
      </w:r>
      <w:r w:rsidR="00A9456C">
        <w:t>complying</w:t>
      </w:r>
      <w:r w:rsidR="00143BA2" w:rsidRPr="005A6C7D">
        <w:t xml:space="preserve"> with </w:t>
      </w:r>
      <w:r w:rsidR="00143BA2">
        <w:t>its</w:t>
      </w:r>
      <w:r w:rsidR="00143BA2" w:rsidRPr="005A6C7D">
        <w:t xml:space="preserve"> requirements through </w:t>
      </w:r>
      <w:r w:rsidR="00143BA2" w:rsidRPr="005112BB">
        <w:t xml:space="preserve">the </w:t>
      </w:r>
      <w:r w:rsidR="00B438F8">
        <w:t>A</w:t>
      </w:r>
      <w:r w:rsidR="00143BA2" w:rsidRPr="005112BB">
        <w:t>gency’s Regional Small Business Representatives</w:t>
      </w:r>
      <w:r w:rsidR="00143BA2" w:rsidRPr="005A6C7D">
        <w:t xml:space="preserve"> and through the scientific and administrative staffs </w:t>
      </w:r>
      <w:r w:rsidR="00143BA2">
        <w:t>within</w:t>
      </w:r>
      <w:r w:rsidR="00143BA2" w:rsidRPr="005A6C7D">
        <w:t xml:space="preserve"> the </w:t>
      </w:r>
      <w:r w:rsidR="00B438F8">
        <w:t>A</w:t>
      </w:r>
      <w:r w:rsidR="00143BA2" w:rsidRPr="005A6C7D">
        <w:t>gency.</w:t>
      </w:r>
      <w:r w:rsidR="00143BA2">
        <w:t xml:space="preserve">  </w:t>
      </w:r>
      <w:r w:rsidR="00143BA2" w:rsidRPr="005112BB">
        <w:t xml:space="preserve">FDA has provided a Small Business Guide on the </w:t>
      </w:r>
      <w:r w:rsidR="00B438F8">
        <w:t>A</w:t>
      </w:r>
      <w:r w:rsidR="00143BA2" w:rsidRPr="005112BB">
        <w:t xml:space="preserve">gency’s website at </w:t>
      </w:r>
      <w:hyperlink r:id="rId12" w:history="1">
        <w:r w:rsidR="00143BA2" w:rsidRPr="005112BB">
          <w:rPr>
            <w:rStyle w:val="Hyperlink"/>
          </w:rPr>
          <w:t>http://www.fda.gov/oc/industry/</w:t>
        </w:r>
      </w:hyperlink>
      <w:r w:rsidR="00143BA2" w:rsidRPr="005112BB">
        <w:t>.</w:t>
      </w:r>
      <w:r w:rsidR="00143BA2">
        <w:rPr>
          <w:bCs/>
        </w:rPr>
        <w:t xml:space="preserve">  </w:t>
      </w:r>
      <w:r w:rsidR="0017083F" w:rsidRPr="009941C5">
        <w:t xml:space="preserve">In addition, the FDA Industry Systems Help Desk can answer computer system and technical questions, as well as general questions about Registration and will attempt to assist small businesses to register.  The Help Desk is available Monday through Friday from 7:00 a.m. to 11:00 p.m. Eastern Time.  </w:t>
      </w:r>
      <w:r w:rsidR="006D0081" w:rsidRPr="009941C5">
        <w:t>FDA strongly encourages electronic registration, but provides registration through postal mail, which can reduce the burden on small entities.</w:t>
      </w:r>
    </w:p>
    <w:p w:rsidR="00D675EF" w:rsidRDefault="00D675EF" w:rsidP="000D471B">
      <w:pPr>
        <w:rPr>
          <w:u w:val="single"/>
        </w:rPr>
      </w:pPr>
    </w:p>
    <w:p w:rsidR="00F207A4" w:rsidRPr="00D675EF" w:rsidRDefault="00F714BC" w:rsidP="000D471B">
      <w:pPr>
        <w:rPr>
          <w:color w:val="000000"/>
        </w:rPr>
      </w:pPr>
      <w:r>
        <w:rPr>
          <w:b/>
          <w:bCs/>
        </w:rPr>
        <w:lastRenderedPageBreak/>
        <w:t xml:space="preserve">6.  </w:t>
      </w:r>
      <w:r w:rsidR="00D675EF" w:rsidRPr="008E63CF">
        <w:rPr>
          <w:b/>
          <w:bCs/>
        </w:rPr>
        <w:t>Consequences of Collecting the Information Less Frequently</w:t>
      </w:r>
      <w:r w:rsidR="00D675EF" w:rsidRPr="008E63CF">
        <w:br/>
      </w:r>
      <w:r w:rsidR="00D675EF" w:rsidRPr="008E63CF">
        <w:br/>
      </w:r>
      <w:r w:rsidR="004E1732">
        <w:t>A facility</w:t>
      </w:r>
      <w:r w:rsidR="005B4FBB">
        <w:t xml:space="preserve"> </w:t>
      </w:r>
      <w:r w:rsidR="004E1732">
        <w:t xml:space="preserve">that </w:t>
      </w:r>
      <w:r w:rsidR="005B4FBB">
        <w:t xml:space="preserve">begins to </w:t>
      </w:r>
      <w:r w:rsidR="004E1732">
        <w:t xml:space="preserve">manufacture/process, pack, or hold food for consumption in the </w:t>
      </w:r>
      <w:smartTag w:uri="urn:schemas-microsoft-com:office:smarttags" w:element="place">
        <w:smartTag w:uri="urn:schemas-microsoft-com:office:smarttags" w:element="country-region">
          <w:r w:rsidR="004E1732">
            <w:t>U.S.</w:t>
          </w:r>
        </w:smartTag>
      </w:smartTag>
      <w:r w:rsidR="004E1732">
        <w:t xml:space="preserve"> </w:t>
      </w:r>
      <w:r w:rsidR="005B4FBB">
        <w:t xml:space="preserve">on or after December 12, 2003 </w:t>
      </w:r>
      <w:r w:rsidR="004E1732">
        <w:t xml:space="preserve">is required to register before it begins </w:t>
      </w:r>
      <w:r w:rsidR="00F32300">
        <w:t xml:space="preserve">such </w:t>
      </w:r>
      <w:r w:rsidR="004E1732">
        <w:t>operations.  In addition,</w:t>
      </w:r>
      <w:r w:rsidR="00F32300">
        <w:t xml:space="preserve"> all </w:t>
      </w:r>
      <w:r w:rsidR="004E1732">
        <w:t>facilit</w:t>
      </w:r>
      <w:r w:rsidR="00F32300">
        <w:t>ies that manufacture/process, pack or hold food for consumption in the U.S.</w:t>
      </w:r>
      <w:r w:rsidR="004E1732">
        <w:t xml:space="preserve"> </w:t>
      </w:r>
      <w:r w:rsidR="00F32300">
        <w:t>are required to</w:t>
      </w:r>
      <w:r w:rsidR="004E1732">
        <w:t xml:space="preserve"> submit registration renewals to FDA biennially</w:t>
      </w:r>
      <w:r w:rsidR="00F32300">
        <w:t xml:space="preserve">, </w:t>
      </w:r>
      <w:r w:rsidR="00DA05FE">
        <w:t>occasional updates</w:t>
      </w:r>
      <w:r w:rsidR="004E1732">
        <w:t xml:space="preserve"> within 60 days of a change in a facility’s required information</w:t>
      </w:r>
      <w:r w:rsidR="00CD3BE9">
        <w:t>, and</w:t>
      </w:r>
      <w:r w:rsidR="00DA05FE">
        <w:t xml:space="preserve"> cancellation</w:t>
      </w:r>
      <w:r w:rsidR="00CD3BE9">
        <w:t>s</w:t>
      </w:r>
      <w:r w:rsidR="00DA05FE">
        <w:t xml:space="preserve"> when </w:t>
      </w:r>
      <w:r w:rsidR="00CD3BE9">
        <w:t xml:space="preserve">such </w:t>
      </w:r>
      <w:r w:rsidR="007C6C9C">
        <w:t>facilit</w:t>
      </w:r>
      <w:r w:rsidR="00CD3BE9">
        <w:t>ies</w:t>
      </w:r>
      <w:r w:rsidR="007C6C9C">
        <w:t xml:space="preserve"> cease operations</w:t>
      </w:r>
      <w:r w:rsidR="004E1732">
        <w:t xml:space="preserve">.  </w:t>
      </w:r>
      <w:r w:rsidR="00143BA2" w:rsidRPr="009941C5">
        <w:t xml:space="preserve">If the collection is not conducted or is conducted less frequently, domestic and foreign facilities that manufacture, process, pack, or hold food for human or animal consumption in the </w:t>
      </w:r>
      <w:smartTag w:uri="urn:schemas-microsoft-com:office:smarttags" w:element="place">
        <w:smartTag w:uri="urn:schemas-microsoft-com:office:smarttags" w:element="country-region">
          <w:r w:rsidR="00143BA2" w:rsidRPr="009941C5">
            <w:t>United States</w:t>
          </w:r>
        </w:smartTag>
      </w:smartTag>
      <w:r w:rsidR="00143BA2" w:rsidRPr="009941C5">
        <w:t xml:space="preserve"> may not be in compliance with section 415 of the </w:t>
      </w:r>
      <w:r w:rsidR="00390E31">
        <w:t>FD&amp;C A</w:t>
      </w:r>
      <w:r w:rsidR="00143BA2" w:rsidRPr="009941C5">
        <w:t>ct.  If a facility is not registered or the registration for a facility is not updated when necessary, FDA may not be able to contact the facility in case of a known or potential threat to the food supply or other food-related emergency.</w:t>
      </w:r>
      <w:r w:rsidR="009B5B40" w:rsidRPr="009B5B40">
        <w:t xml:space="preserve"> </w:t>
      </w:r>
    </w:p>
    <w:p w:rsidR="00D675EF" w:rsidRDefault="00D675EF" w:rsidP="000D471B">
      <w:pPr>
        <w:rPr>
          <w:u w:val="single"/>
        </w:rPr>
      </w:pPr>
    </w:p>
    <w:p w:rsidR="00D675EF" w:rsidRDefault="00F714BC" w:rsidP="00786F3D">
      <w:pPr>
        <w:rPr>
          <w:u w:val="single"/>
        </w:rPr>
      </w:pPr>
      <w:r>
        <w:rPr>
          <w:b/>
          <w:bCs/>
        </w:rPr>
        <w:t xml:space="preserve">7.  </w:t>
      </w:r>
      <w:r w:rsidR="00D675EF" w:rsidRPr="008E63CF">
        <w:rPr>
          <w:b/>
          <w:bCs/>
        </w:rPr>
        <w:t>Special Circumstances</w:t>
      </w:r>
      <w:r w:rsidR="00D675EF" w:rsidRPr="008E63CF">
        <w:t xml:space="preserve"> </w:t>
      </w:r>
      <w:r w:rsidR="00D675EF" w:rsidRPr="008E63CF">
        <w:rPr>
          <w:b/>
          <w:bCs/>
        </w:rPr>
        <w:t>Relating to the Guidelines of 5 CFR 1320.5</w:t>
      </w:r>
    </w:p>
    <w:p w:rsidR="00D675EF" w:rsidRDefault="00D675EF" w:rsidP="004375AC"/>
    <w:p w:rsidR="00786F3D" w:rsidRDefault="009927B8" w:rsidP="004375A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8934C0">
        <w:t>There are no special circumstances associated with this collection of information.</w:t>
      </w:r>
    </w:p>
    <w:p w:rsidR="003A7426" w:rsidRPr="00D92535" w:rsidRDefault="00F714BC" w:rsidP="004375AC">
      <w:pPr>
        <w:spacing w:before="100" w:beforeAutospacing="1" w:after="100" w:afterAutospacing="1"/>
        <w:ind w:left="360" w:hanging="360"/>
        <w:rPr>
          <w:b/>
        </w:rPr>
      </w:pPr>
      <w:r>
        <w:rPr>
          <w:b/>
        </w:rPr>
        <w:t xml:space="preserve">8.  </w:t>
      </w:r>
      <w:r w:rsidR="003A7426" w:rsidRPr="00D92535">
        <w:rPr>
          <w:b/>
        </w:rPr>
        <w:t>Comments in Response to the Federal Register Notice and Efforts to Consult Outside the Agency</w:t>
      </w:r>
    </w:p>
    <w:p w:rsidR="00A9456C" w:rsidRDefault="00786F3D" w:rsidP="00C80DEC">
      <w:pPr>
        <w:spacing w:before="100" w:beforeAutospacing="1" w:after="100" w:afterAutospacing="1"/>
      </w:pPr>
      <w:r w:rsidRPr="0053448F">
        <w:t>In</w:t>
      </w:r>
      <w:r>
        <w:t xml:space="preserve"> accordance with 5 CFR 1320.8(d), FDA published a 60-day notice for public comment in </w:t>
      </w:r>
      <w:r w:rsidRPr="0053448F">
        <w:t xml:space="preserve">the </w:t>
      </w:r>
      <w:r w:rsidRPr="00786F3D">
        <w:rPr>
          <w:i/>
        </w:rPr>
        <w:t>Federal Register</w:t>
      </w:r>
      <w:r>
        <w:t xml:space="preserve"> of January 22, 2013 (78 FR 4414)</w:t>
      </w:r>
      <w:r w:rsidR="008A4DDA">
        <w:t xml:space="preserve">.  </w:t>
      </w:r>
      <w:r w:rsidR="00C80DEC">
        <w:t>We received one comment after the close of the comment period.  While we were not able to address the comment in the 30-day notice, we address it here.  The comment supported food facility registration and suggested three changes: (1) requiring facilities to note if they intend to claim qualified facility status or believe they are eligible for the very-small on-farm exemption; (2) requiring facility profile information to be reported as part of the biennial registration process; and (3) requiring facilities to submit their food safety plans during registration.  To the extent that the comment recommended changes to our food facility registration regulations that can only be accomplished by rulemaking, the comment is outside the scope of the  Paperwork Reduction Act notice.  We are, however, considering whether changes to our regulations are necessary due to the recent enactment of the FDA Food Safety Modernization Act, and, if we decide to revise the food facility registration requirements, suggestions concerning additional changes to those regulations can be made as part of any resulting rulemaking.</w:t>
      </w:r>
    </w:p>
    <w:p w:rsidR="00B8492B" w:rsidRDefault="00B8492B" w:rsidP="00786F3D">
      <w:pPr>
        <w:spacing w:before="100" w:beforeAutospacing="1" w:after="100" w:afterAutospacing="1"/>
        <w:rPr>
          <w:u w:val="single"/>
        </w:rPr>
      </w:pPr>
      <w:r w:rsidRPr="008E63CF">
        <w:rPr>
          <w:b/>
        </w:rPr>
        <w:t>9.</w:t>
      </w:r>
      <w:r w:rsidR="00F714BC">
        <w:t xml:space="preserve">  </w:t>
      </w:r>
      <w:r w:rsidRPr="008E63CF">
        <w:rPr>
          <w:b/>
        </w:rPr>
        <w:t>Explanation of Any Payment or Gift to Respondents</w:t>
      </w:r>
    </w:p>
    <w:p w:rsidR="00B8492B" w:rsidRDefault="0021464B" w:rsidP="00786F3D">
      <w:pPr>
        <w:spacing w:before="100" w:beforeAutospacing="1" w:after="100" w:afterAutospacing="1"/>
        <w:rPr>
          <w:u w:val="single"/>
        </w:rPr>
      </w:pPr>
      <w:r w:rsidRPr="0019428C">
        <w:t>FDA does not provide any payment or gift to respondents.</w:t>
      </w:r>
    </w:p>
    <w:p w:rsidR="00B8492B" w:rsidRDefault="00F714BC" w:rsidP="00786F3D">
      <w:pPr>
        <w:spacing w:before="100" w:beforeAutospacing="1" w:after="100" w:afterAutospacing="1"/>
        <w:rPr>
          <w:u w:val="single"/>
        </w:rPr>
      </w:pPr>
      <w:r>
        <w:rPr>
          <w:b/>
          <w:bCs/>
        </w:rPr>
        <w:t xml:space="preserve">10.  </w:t>
      </w:r>
      <w:r w:rsidR="00B8492B" w:rsidRPr="008E63CF">
        <w:rPr>
          <w:b/>
          <w:bCs/>
        </w:rPr>
        <w:t>Assurance of Confidentiality Provided to Respondents</w:t>
      </w:r>
    </w:p>
    <w:p w:rsidR="00672C5D" w:rsidRDefault="00996035" w:rsidP="00786F3D">
      <w:r w:rsidRPr="00A72EA6">
        <w:t>Se</w:t>
      </w:r>
      <w:r w:rsidRPr="00D358DC">
        <w:t>ction 415</w:t>
      </w:r>
      <w:r w:rsidR="008B3C0E">
        <w:t>(a)(5)</w:t>
      </w:r>
      <w:r>
        <w:t xml:space="preserve"> of the</w:t>
      </w:r>
      <w:r w:rsidR="008B3C0E">
        <w:t xml:space="preserve"> FD&amp;C</w:t>
      </w:r>
      <w:r>
        <w:t xml:space="preserve"> </w:t>
      </w:r>
      <w:r w:rsidR="008B3C0E">
        <w:t>A</w:t>
      </w:r>
      <w:r>
        <w:t xml:space="preserve">ct provides that the list of facilities and any registration documents submitted pursuant to </w:t>
      </w:r>
      <w:r w:rsidR="008B3C0E">
        <w:t xml:space="preserve">section 415(a) of the FD&amp;C Act </w:t>
      </w:r>
      <w:r>
        <w:t xml:space="preserve">shall not be subject to disclosure under the Freedom of Information Act </w:t>
      </w:r>
      <w:r w:rsidR="00625E01">
        <w:t xml:space="preserve">(FOIA) </w:t>
      </w:r>
      <w:r>
        <w:t>(5 U.S.C. § 552)</w:t>
      </w:r>
      <w:r w:rsidR="008B3C0E">
        <w:t xml:space="preserve">, and information derived from such list or registration document shall not be subject to disclosure </w:t>
      </w:r>
      <w:r w:rsidR="00625E01">
        <w:t>under FOIA</w:t>
      </w:r>
      <w:r w:rsidR="008B3C0E">
        <w:t xml:space="preserve"> to the extent that it discloses the identity or location of a specific registered person</w:t>
      </w:r>
      <w:r>
        <w:t xml:space="preserve">. </w:t>
      </w:r>
      <w:r w:rsidR="00A9456C" w:rsidRPr="00A9456C">
        <w:rPr>
          <w:rStyle w:val="Strong"/>
          <w:b w:val="0"/>
          <w:color w:val="000000"/>
        </w:rPr>
        <w:t xml:space="preserve"> </w:t>
      </w:r>
      <w:r w:rsidR="00A9456C">
        <w:rPr>
          <w:rStyle w:val="Strong"/>
          <w:b w:val="0"/>
          <w:color w:val="000000"/>
        </w:rPr>
        <w:t>In addition, c</w:t>
      </w:r>
      <w:r w:rsidR="00A9456C" w:rsidRPr="00A10B3D">
        <w:t xml:space="preserve">onfidential commercial information is </w:t>
      </w:r>
      <w:r w:rsidR="00A9456C" w:rsidRPr="00A10B3D">
        <w:rPr>
          <w:rFonts w:cs="Courier New"/>
        </w:rPr>
        <w:t>protected from disclosure under FOIA under sections 552(a) and (b) (5 U.S.C. 552(a) a</w:t>
      </w:r>
      <w:r w:rsidR="00F714BC">
        <w:rPr>
          <w:rFonts w:cs="Courier New"/>
        </w:rPr>
        <w:t>nd (b)), and by part 20 of the A</w:t>
      </w:r>
      <w:r w:rsidR="00A9456C" w:rsidRPr="00A10B3D">
        <w:rPr>
          <w:rFonts w:cs="Courier New"/>
        </w:rPr>
        <w:t xml:space="preserve">gency’s regulations (21 CFR part 20).  </w:t>
      </w:r>
      <w:r w:rsidR="00A9456C">
        <w:t xml:space="preserve">  </w:t>
      </w:r>
      <w:r w:rsidR="00672C5D">
        <w:t xml:space="preserve"> </w:t>
      </w:r>
    </w:p>
    <w:p w:rsidR="00635554" w:rsidRDefault="00635554" w:rsidP="00672C5D">
      <w:pPr>
        <w:rPr>
          <w:b/>
        </w:rPr>
      </w:pPr>
    </w:p>
    <w:p w:rsidR="00B3567F" w:rsidRPr="005E55D1" w:rsidRDefault="00635554" w:rsidP="005E55D1">
      <w:r w:rsidRPr="008E63CF">
        <w:rPr>
          <w:b/>
        </w:rPr>
        <w:t>11.</w:t>
      </w:r>
      <w:r w:rsidR="00F714BC">
        <w:t xml:space="preserve">  </w:t>
      </w:r>
      <w:r w:rsidRPr="008E63CF">
        <w:rPr>
          <w:b/>
        </w:rPr>
        <w:t>Justification for</w:t>
      </w:r>
      <w:r w:rsidRPr="008E63CF">
        <w:t xml:space="preserve"> </w:t>
      </w:r>
      <w:r w:rsidRPr="008E63CF">
        <w:rPr>
          <w:b/>
          <w:bCs/>
        </w:rPr>
        <w:t>Sensitive Questions</w:t>
      </w:r>
      <w:r w:rsidRPr="008E63CF">
        <w:br/>
      </w:r>
      <w:r w:rsidRPr="008E63CF">
        <w:br/>
        <w:t xml:space="preserve">This information collection does not involve questions </w:t>
      </w:r>
      <w:r>
        <w:t xml:space="preserve">that are </w:t>
      </w:r>
      <w:r w:rsidRPr="008E63CF">
        <w:t xml:space="preserve">of a </w:t>
      </w:r>
      <w:r>
        <w:t xml:space="preserve">personally </w:t>
      </w:r>
      <w:r w:rsidRPr="008E63CF">
        <w:t>sensitive nature.</w:t>
      </w:r>
    </w:p>
    <w:p w:rsidR="006D2274" w:rsidRDefault="006D2274"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3567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5D1921">
        <w:rPr>
          <w:b/>
        </w:rPr>
        <w:t>12.</w:t>
      </w:r>
      <w:r w:rsidR="00F714BC">
        <w:t xml:space="preserve">  </w:t>
      </w:r>
      <w:r w:rsidRPr="005D1921">
        <w:rPr>
          <w:b/>
          <w:bCs/>
        </w:rPr>
        <w:t>Estimates of Annualized Burden Hours and Costs</w:t>
      </w:r>
      <w:r w:rsidRPr="00FB79D6">
        <w:br/>
      </w:r>
      <w:r w:rsidRPr="00FB79D6">
        <w:br/>
      </w:r>
      <w:r>
        <w:tab/>
      </w:r>
      <w:r>
        <w:tab/>
      </w:r>
      <w:r w:rsidRPr="00B3567F">
        <w:rPr>
          <w:b/>
        </w:rPr>
        <w:t>12 a. Annualized Hour Burden Estimate</w:t>
      </w:r>
    </w:p>
    <w:p w:rsidR="00854979" w:rsidRDefault="00B3567F" w:rsidP="00854979">
      <w:pPr>
        <w:rPr>
          <w:szCs w:val="20"/>
        </w:rPr>
      </w:pPr>
      <w:r w:rsidRPr="008E63CF">
        <w:br/>
      </w:r>
      <w:r w:rsidR="00854979" w:rsidRPr="007C2340">
        <w:rPr>
          <w:szCs w:val="20"/>
        </w:rPr>
        <w:t>FDA estimates the burden of this collection of information as follows:</w:t>
      </w:r>
    </w:p>
    <w:p w:rsidR="00277DB2" w:rsidRPr="007C2340" w:rsidRDefault="00277DB2" w:rsidP="00854979">
      <w:pPr>
        <w:rPr>
          <w:szCs w:val="20"/>
        </w:rPr>
      </w:pPr>
    </w:p>
    <w:tbl>
      <w:tblPr>
        <w:tblpPr w:leftFromText="180" w:rightFromText="180" w:vertAnchor="text" w:horzAnchor="margin" w:tblpXSpec="center" w:tblpY="15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25"/>
        <w:gridCol w:w="1417"/>
        <w:gridCol w:w="1585"/>
        <w:gridCol w:w="1417"/>
        <w:gridCol w:w="1639"/>
        <w:gridCol w:w="1177"/>
        <w:gridCol w:w="1418"/>
      </w:tblGrid>
      <w:tr w:rsidR="00854979" w:rsidRPr="0025061A" w:rsidTr="00277DB2">
        <w:trPr>
          <w:trHeight w:val="437"/>
        </w:trPr>
        <w:tc>
          <w:tcPr>
            <w:tcW w:w="10278" w:type="dxa"/>
            <w:gridSpan w:val="7"/>
            <w:shd w:val="clear" w:color="auto" w:fill="auto"/>
            <w:noWrap/>
          </w:tcPr>
          <w:p w:rsidR="00854979" w:rsidRPr="0025061A" w:rsidRDefault="00854979" w:rsidP="0025061A">
            <w:pPr>
              <w:jc w:val="center"/>
              <w:rPr>
                <w:sz w:val="20"/>
                <w:szCs w:val="20"/>
              </w:rPr>
            </w:pPr>
            <w:r w:rsidRPr="0025061A">
              <w:rPr>
                <w:bCs/>
              </w:rPr>
              <w:t xml:space="preserve">Table 1.-- </w:t>
            </w:r>
            <w:r w:rsidRPr="007C2340">
              <w:t>Estimated Annual Reporting Burden</w:t>
            </w:r>
            <w:r w:rsidRPr="0025061A">
              <w:rPr>
                <w:bCs/>
                <w:vertAlign w:val="superscript"/>
              </w:rPr>
              <w:t>1</w:t>
            </w:r>
          </w:p>
        </w:tc>
      </w:tr>
      <w:tr w:rsidR="00854979" w:rsidRPr="0025061A" w:rsidTr="00277DB2">
        <w:trPr>
          <w:trHeight w:val="797"/>
        </w:trPr>
        <w:tc>
          <w:tcPr>
            <w:tcW w:w="1625" w:type="dxa"/>
            <w:shd w:val="clear" w:color="auto" w:fill="auto"/>
            <w:noWrap/>
          </w:tcPr>
          <w:p w:rsidR="00854979" w:rsidRPr="0025061A" w:rsidRDefault="00854979" w:rsidP="0025061A">
            <w:pPr>
              <w:rPr>
                <w:sz w:val="20"/>
                <w:szCs w:val="20"/>
              </w:rPr>
            </w:pPr>
            <w:r w:rsidRPr="0025061A">
              <w:rPr>
                <w:sz w:val="20"/>
                <w:szCs w:val="20"/>
              </w:rPr>
              <w:t>21 CFR Section</w:t>
            </w:r>
          </w:p>
          <w:p w:rsidR="00854979" w:rsidRPr="0025061A" w:rsidRDefault="00854979" w:rsidP="0025061A">
            <w:pPr>
              <w:rPr>
                <w:sz w:val="20"/>
                <w:szCs w:val="20"/>
              </w:rPr>
            </w:pPr>
            <w:r w:rsidRPr="0025061A">
              <w:rPr>
                <w:sz w:val="20"/>
                <w:szCs w:val="20"/>
              </w:rPr>
              <w:t xml:space="preserve">and/or Section of </w:t>
            </w:r>
            <w:r w:rsidRPr="0025061A">
              <w:rPr>
                <w:iCs/>
                <w:szCs w:val="20"/>
              </w:rPr>
              <w:t xml:space="preserve"> </w:t>
            </w:r>
            <w:r w:rsidRPr="0025061A">
              <w:rPr>
                <w:iCs/>
                <w:sz w:val="20"/>
                <w:szCs w:val="20"/>
              </w:rPr>
              <w:t>FD&amp;C Act</w:t>
            </w:r>
          </w:p>
        </w:tc>
        <w:tc>
          <w:tcPr>
            <w:tcW w:w="1417" w:type="dxa"/>
            <w:shd w:val="clear" w:color="auto" w:fill="auto"/>
            <w:noWrap/>
          </w:tcPr>
          <w:p w:rsidR="00854979" w:rsidRPr="0025061A" w:rsidRDefault="00854979" w:rsidP="0025061A">
            <w:pPr>
              <w:rPr>
                <w:sz w:val="20"/>
                <w:szCs w:val="20"/>
              </w:rPr>
            </w:pPr>
            <w:r w:rsidRPr="0025061A">
              <w:rPr>
                <w:sz w:val="20"/>
                <w:szCs w:val="20"/>
              </w:rPr>
              <w:t>FDA Form No.</w:t>
            </w:r>
          </w:p>
        </w:tc>
        <w:tc>
          <w:tcPr>
            <w:tcW w:w="1585" w:type="dxa"/>
            <w:shd w:val="clear" w:color="auto" w:fill="auto"/>
            <w:noWrap/>
          </w:tcPr>
          <w:p w:rsidR="00854979" w:rsidRPr="0025061A" w:rsidRDefault="00854979" w:rsidP="0025061A">
            <w:pPr>
              <w:rPr>
                <w:sz w:val="20"/>
                <w:szCs w:val="20"/>
              </w:rPr>
            </w:pPr>
            <w:r w:rsidRPr="0025061A">
              <w:rPr>
                <w:sz w:val="20"/>
                <w:szCs w:val="20"/>
              </w:rPr>
              <w:t>No. of Respondents</w:t>
            </w:r>
          </w:p>
        </w:tc>
        <w:tc>
          <w:tcPr>
            <w:tcW w:w="1417" w:type="dxa"/>
            <w:shd w:val="clear" w:color="auto" w:fill="auto"/>
            <w:noWrap/>
          </w:tcPr>
          <w:p w:rsidR="00854979" w:rsidRPr="0025061A" w:rsidRDefault="00854979" w:rsidP="0025061A">
            <w:pPr>
              <w:rPr>
                <w:sz w:val="20"/>
                <w:szCs w:val="20"/>
              </w:rPr>
            </w:pPr>
            <w:r w:rsidRPr="0025061A">
              <w:rPr>
                <w:bCs/>
                <w:sz w:val="20"/>
                <w:szCs w:val="20"/>
              </w:rPr>
              <w:t>No. of Responses per Respondent</w:t>
            </w:r>
          </w:p>
        </w:tc>
        <w:tc>
          <w:tcPr>
            <w:tcW w:w="1639" w:type="dxa"/>
            <w:shd w:val="clear" w:color="auto" w:fill="auto"/>
            <w:noWrap/>
          </w:tcPr>
          <w:p w:rsidR="00854979" w:rsidRPr="0025061A" w:rsidRDefault="00854979" w:rsidP="0025061A">
            <w:pPr>
              <w:rPr>
                <w:sz w:val="20"/>
                <w:szCs w:val="20"/>
              </w:rPr>
            </w:pPr>
            <w:r w:rsidRPr="0025061A">
              <w:rPr>
                <w:sz w:val="20"/>
                <w:szCs w:val="20"/>
              </w:rPr>
              <w:t>Total Annual Responses</w:t>
            </w:r>
          </w:p>
        </w:tc>
        <w:tc>
          <w:tcPr>
            <w:tcW w:w="1177" w:type="dxa"/>
            <w:shd w:val="clear" w:color="auto" w:fill="auto"/>
            <w:noWrap/>
          </w:tcPr>
          <w:p w:rsidR="00854979" w:rsidRPr="0025061A" w:rsidRDefault="00854979" w:rsidP="0025061A">
            <w:pPr>
              <w:rPr>
                <w:sz w:val="20"/>
                <w:szCs w:val="20"/>
              </w:rPr>
            </w:pPr>
            <w:r w:rsidRPr="0025061A">
              <w:rPr>
                <w:bCs/>
                <w:sz w:val="20"/>
                <w:szCs w:val="20"/>
              </w:rPr>
              <w:t>Average Burden per Response</w:t>
            </w:r>
          </w:p>
        </w:tc>
        <w:tc>
          <w:tcPr>
            <w:tcW w:w="1418" w:type="dxa"/>
            <w:shd w:val="clear" w:color="auto" w:fill="auto"/>
          </w:tcPr>
          <w:p w:rsidR="00854979" w:rsidRPr="0025061A" w:rsidRDefault="00854979" w:rsidP="0025061A">
            <w:pPr>
              <w:jc w:val="center"/>
              <w:rPr>
                <w:sz w:val="20"/>
                <w:szCs w:val="20"/>
              </w:rPr>
            </w:pPr>
            <w:r w:rsidRPr="0025061A">
              <w:rPr>
                <w:sz w:val="20"/>
                <w:szCs w:val="20"/>
              </w:rPr>
              <w:t>Total</w:t>
            </w:r>
          </w:p>
          <w:p w:rsidR="00854979" w:rsidRPr="0025061A" w:rsidRDefault="00854979" w:rsidP="0025061A">
            <w:pPr>
              <w:jc w:val="center"/>
              <w:rPr>
                <w:sz w:val="20"/>
                <w:szCs w:val="20"/>
              </w:rPr>
            </w:pPr>
            <w:r w:rsidRPr="0025061A">
              <w:rPr>
                <w:sz w:val="20"/>
                <w:szCs w:val="20"/>
              </w:rPr>
              <w:t>Hours</w:t>
            </w:r>
          </w:p>
        </w:tc>
      </w:tr>
      <w:tr w:rsidR="00854979" w:rsidRPr="0025061A" w:rsidTr="00277DB2">
        <w:trPr>
          <w:trHeight w:val="270"/>
        </w:trPr>
        <w:tc>
          <w:tcPr>
            <w:tcW w:w="10278" w:type="dxa"/>
            <w:gridSpan w:val="7"/>
            <w:shd w:val="clear" w:color="auto" w:fill="auto"/>
            <w:noWrap/>
          </w:tcPr>
          <w:p w:rsidR="00854979" w:rsidRPr="0025061A" w:rsidRDefault="00854979" w:rsidP="0025061A">
            <w:pPr>
              <w:rPr>
                <w:sz w:val="20"/>
                <w:szCs w:val="20"/>
              </w:rPr>
            </w:pPr>
            <w:r w:rsidRPr="0025061A">
              <w:rPr>
                <w:b/>
                <w:bCs/>
                <w:sz w:val="20"/>
                <w:szCs w:val="20"/>
              </w:rPr>
              <w:t>New Facilities</w:t>
            </w:r>
          </w:p>
        </w:tc>
      </w:tr>
      <w:tr w:rsidR="00854979" w:rsidRPr="0025061A" w:rsidTr="00277DB2">
        <w:trPr>
          <w:trHeight w:val="315"/>
        </w:trPr>
        <w:tc>
          <w:tcPr>
            <w:tcW w:w="10278" w:type="dxa"/>
            <w:gridSpan w:val="7"/>
            <w:shd w:val="clear" w:color="auto" w:fill="auto"/>
            <w:noWrap/>
          </w:tcPr>
          <w:p w:rsidR="00854979" w:rsidRPr="0025061A" w:rsidRDefault="00854979" w:rsidP="0025061A">
            <w:pPr>
              <w:rPr>
                <w:i/>
                <w:sz w:val="20"/>
                <w:szCs w:val="20"/>
              </w:rPr>
            </w:pPr>
            <w:r w:rsidRPr="0025061A">
              <w:rPr>
                <w:i/>
                <w:sz w:val="20"/>
                <w:szCs w:val="20"/>
                <w:lang w:val="es-BO"/>
              </w:rPr>
              <w:t>Domestic</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lang w:val="es-BO"/>
              </w:rPr>
            </w:pPr>
            <w:r w:rsidRPr="0025061A">
              <w:rPr>
                <w:sz w:val="20"/>
                <w:szCs w:val="20"/>
              </w:rPr>
              <w:t xml:space="preserve">21 CFR </w:t>
            </w:r>
            <w:r w:rsidRPr="0025061A">
              <w:rPr>
                <w:sz w:val="20"/>
                <w:szCs w:val="20"/>
                <w:lang w:val="es-BO"/>
              </w:rPr>
              <w:t>1.230-1.233</w:t>
            </w:r>
            <w:r w:rsidRPr="0025061A">
              <w:rPr>
                <w:sz w:val="20"/>
                <w:szCs w:val="20"/>
              </w:rPr>
              <w:t xml:space="preserve"> </w:t>
            </w:r>
            <w:r w:rsidRPr="0025061A">
              <w:rPr>
                <w:sz w:val="20"/>
                <w:szCs w:val="20"/>
                <w:lang w:val="es-BO"/>
              </w:rPr>
              <w:t xml:space="preserve">and section 415 of the FD&amp;C Act </w:t>
            </w:r>
          </w:p>
        </w:tc>
        <w:tc>
          <w:tcPr>
            <w:tcW w:w="1417" w:type="dxa"/>
            <w:shd w:val="clear" w:color="auto" w:fill="auto"/>
            <w:noWrap/>
          </w:tcPr>
          <w:p w:rsidR="00854979" w:rsidRPr="0025061A" w:rsidRDefault="00854979" w:rsidP="0025061A">
            <w:pPr>
              <w:rPr>
                <w:sz w:val="20"/>
                <w:szCs w:val="20"/>
                <w:lang w:val="es-BO"/>
              </w:rPr>
            </w:pPr>
            <w:r w:rsidRPr="0025061A">
              <w:rPr>
                <w:sz w:val="20"/>
                <w:szCs w:val="20"/>
                <w:lang w:val="es-BO"/>
              </w:rPr>
              <w:t>FDA 3537</w:t>
            </w:r>
            <w:r w:rsidRPr="0025061A">
              <w:rPr>
                <w:bCs/>
                <w:sz w:val="20"/>
                <w:szCs w:val="20"/>
                <w:vertAlign w:val="superscript"/>
              </w:rPr>
              <w:t>2</w:t>
            </w:r>
          </w:p>
        </w:tc>
        <w:tc>
          <w:tcPr>
            <w:tcW w:w="1585" w:type="dxa"/>
            <w:shd w:val="clear" w:color="auto" w:fill="auto"/>
            <w:noWrap/>
          </w:tcPr>
          <w:p w:rsidR="00854979" w:rsidRPr="0025061A" w:rsidRDefault="00854979" w:rsidP="0025061A">
            <w:pPr>
              <w:jc w:val="right"/>
              <w:rPr>
                <w:sz w:val="20"/>
                <w:szCs w:val="20"/>
                <w:lang w:val="es-BO"/>
              </w:rPr>
            </w:pPr>
            <w:r w:rsidRPr="0025061A">
              <w:rPr>
                <w:sz w:val="20"/>
                <w:szCs w:val="20"/>
                <w:lang w:val="es-BO"/>
              </w:rPr>
              <w:t>11,080</w:t>
            </w:r>
          </w:p>
        </w:tc>
        <w:tc>
          <w:tcPr>
            <w:tcW w:w="1417" w:type="dxa"/>
            <w:shd w:val="clear" w:color="auto" w:fill="auto"/>
            <w:noWrap/>
          </w:tcPr>
          <w:p w:rsidR="00854979" w:rsidRPr="0025061A" w:rsidRDefault="00854979" w:rsidP="0025061A">
            <w:pPr>
              <w:jc w:val="right"/>
              <w:rPr>
                <w:sz w:val="20"/>
                <w:szCs w:val="20"/>
                <w:lang w:val="es-BO"/>
              </w:rPr>
            </w:pPr>
            <w:r w:rsidRPr="0025061A">
              <w:rPr>
                <w:sz w:val="20"/>
                <w:szCs w:val="20"/>
                <w:lang w:val="es-BO"/>
              </w:rPr>
              <w:t>1</w:t>
            </w:r>
          </w:p>
        </w:tc>
        <w:tc>
          <w:tcPr>
            <w:tcW w:w="1639" w:type="dxa"/>
            <w:shd w:val="clear" w:color="auto" w:fill="auto"/>
            <w:noWrap/>
          </w:tcPr>
          <w:p w:rsidR="00854979" w:rsidRPr="0025061A" w:rsidRDefault="00854979" w:rsidP="0025061A">
            <w:pPr>
              <w:jc w:val="right"/>
              <w:rPr>
                <w:sz w:val="20"/>
                <w:szCs w:val="20"/>
                <w:lang w:val="es-BO"/>
              </w:rPr>
            </w:pPr>
            <w:r w:rsidRPr="0025061A">
              <w:rPr>
                <w:sz w:val="20"/>
                <w:szCs w:val="20"/>
                <w:lang w:val="es-BO"/>
              </w:rPr>
              <w:t>11,080</w:t>
            </w:r>
          </w:p>
        </w:tc>
        <w:tc>
          <w:tcPr>
            <w:tcW w:w="1177" w:type="dxa"/>
            <w:shd w:val="clear" w:color="auto" w:fill="auto"/>
            <w:noWrap/>
          </w:tcPr>
          <w:p w:rsidR="00854979" w:rsidRPr="0025061A" w:rsidRDefault="00854979" w:rsidP="0025061A">
            <w:pPr>
              <w:jc w:val="right"/>
              <w:rPr>
                <w:sz w:val="20"/>
                <w:szCs w:val="20"/>
                <w:lang w:val="es-BO"/>
              </w:rPr>
            </w:pPr>
            <w:r w:rsidRPr="0025061A">
              <w:rPr>
                <w:sz w:val="20"/>
                <w:szCs w:val="20"/>
                <w:lang w:val="es-BO"/>
              </w:rPr>
              <w:t>2.7</w:t>
            </w:r>
          </w:p>
        </w:tc>
        <w:tc>
          <w:tcPr>
            <w:tcW w:w="1418" w:type="dxa"/>
            <w:shd w:val="clear" w:color="auto" w:fill="auto"/>
          </w:tcPr>
          <w:p w:rsidR="00854979" w:rsidRPr="0025061A" w:rsidRDefault="00854979" w:rsidP="0025061A">
            <w:pPr>
              <w:jc w:val="right"/>
              <w:rPr>
                <w:sz w:val="20"/>
                <w:szCs w:val="20"/>
                <w:lang w:val="es-BO"/>
              </w:rPr>
            </w:pPr>
            <w:r w:rsidRPr="0025061A">
              <w:rPr>
                <w:sz w:val="20"/>
                <w:szCs w:val="20"/>
              </w:rPr>
              <w:t>29,916</w:t>
            </w:r>
          </w:p>
        </w:tc>
      </w:tr>
      <w:tr w:rsidR="00854979" w:rsidRPr="0025061A" w:rsidTr="00277DB2">
        <w:trPr>
          <w:trHeight w:val="315"/>
        </w:trPr>
        <w:tc>
          <w:tcPr>
            <w:tcW w:w="10278" w:type="dxa"/>
            <w:gridSpan w:val="7"/>
            <w:shd w:val="clear" w:color="auto" w:fill="auto"/>
            <w:noWrap/>
          </w:tcPr>
          <w:p w:rsidR="00854979" w:rsidRPr="0025061A" w:rsidRDefault="00854979" w:rsidP="0025061A">
            <w:pPr>
              <w:rPr>
                <w:sz w:val="20"/>
                <w:szCs w:val="20"/>
                <w:lang w:val="es-BO"/>
              </w:rPr>
            </w:pPr>
            <w:r w:rsidRPr="0025061A">
              <w:rPr>
                <w:i/>
                <w:sz w:val="20"/>
                <w:szCs w:val="20"/>
                <w:lang w:val="es-BO"/>
              </w:rPr>
              <w:t>Foreign</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lang w:val="es-BO"/>
              </w:rPr>
            </w:pPr>
            <w:r w:rsidRPr="0025061A">
              <w:rPr>
                <w:sz w:val="20"/>
                <w:szCs w:val="20"/>
              </w:rPr>
              <w:t xml:space="preserve">21 CFR </w:t>
            </w:r>
            <w:r w:rsidRPr="0025061A">
              <w:rPr>
                <w:sz w:val="20"/>
                <w:szCs w:val="20"/>
                <w:lang w:val="es-BO"/>
              </w:rPr>
              <w:t xml:space="preserve">1.230-1.233 </w:t>
            </w:r>
            <w:r w:rsidRPr="0025061A">
              <w:rPr>
                <w:sz w:val="20"/>
                <w:szCs w:val="20"/>
              </w:rPr>
              <w:t xml:space="preserve"> and section 415 of the FD&amp;C Act</w:t>
            </w:r>
          </w:p>
        </w:tc>
        <w:tc>
          <w:tcPr>
            <w:tcW w:w="1417" w:type="dxa"/>
            <w:shd w:val="clear" w:color="auto" w:fill="auto"/>
            <w:noWrap/>
          </w:tcPr>
          <w:p w:rsidR="00854979" w:rsidRPr="0025061A" w:rsidRDefault="00854979" w:rsidP="0025061A">
            <w:pPr>
              <w:rPr>
                <w:sz w:val="20"/>
                <w:szCs w:val="20"/>
                <w:lang w:val="es-BO"/>
              </w:rPr>
            </w:pPr>
            <w:r w:rsidRPr="0025061A">
              <w:rPr>
                <w:sz w:val="20"/>
                <w:szCs w:val="20"/>
                <w:lang w:val="es-BO"/>
              </w:rPr>
              <w:t>FDA 3537</w:t>
            </w:r>
          </w:p>
        </w:tc>
        <w:tc>
          <w:tcPr>
            <w:tcW w:w="1585" w:type="dxa"/>
            <w:shd w:val="clear" w:color="auto" w:fill="auto"/>
            <w:noWrap/>
          </w:tcPr>
          <w:p w:rsidR="00854979" w:rsidRPr="0025061A" w:rsidRDefault="00854979" w:rsidP="0025061A">
            <w:pPr>
              <w:jc w:val="right"/>
              <w:rPr>
                <w:sz w:val="20"/>
                <w:szCs w:val="20"/>
                <w:lang w:val="es-BO"/>
              </w:rPr>
            </w:pPr>
            <w:r w:rsidRPr="0025061A">
              <w:rPr>
                <w:sz w:val="20"/>
                <w:szCs w:val="20"/>
                <w:lang w:val="es-BO"/>
              </w:rPr>
              <w:t>19,900</w:t>
            </w:r>
          </w:p>
        </w:tc>
        <w:tc>
          <w:tcPr>
            <w:tcW w:w="1417" w:type="dxa"/>
            <w:shd w:val="clear" w:color="auto" w:fill="auto"/>
            <w:noWrap/>
          </w:tcPr>
          <w:p w:rsidR="00854979" w:rsidRPr="0025061A" w:rsidRDefault="00854979" w:rsidP="0025061A">
            <w:pPr>
              <w:jc w:val="right"/>
              <w:rPr>
                <w:sz w:val="20"/>
                <w:szCs w:val="20"/>
                <w:lang w:val="es-BO"/>
              </w:rPr>
            </w:pPr>
            <w:r w:rsidRPr="0025061A">
              <w:rPr>
                <w:sz w:val="20"/>
                <w:szCs w:val="20"/>
                <w:lang w:val="es-BO"/>
              </w:rPr>
              <w:t>1</w:t>
            </w:r>
          </w:p>
        </w:tc>
        <w:tc>
          <w:tcPr>
            <w:tcW w:w="1639" w:type="dxa"/>
            <w:shd w:val="clear" w:color="auto" w:fill="auto"/>
            <w:noWrap/>
          </w:tcPr>
          <w:p w:rsidR="00854979" w:rsidRPr="0025061A" w:rsidRDefault="00854979" w:rsidP="0025061A">
            <w:pPr>
              <w:jc w:val="right"/>
              <w:rPr>
                <w:sz w:val="20"/>
                <w:szCs w:val="20"/>
                <w:lang w:val="es-BO"/>
              </w:rPr>
            </w:pPr>
            <w:r w:rsidRPr="0025061A">
              <w:rPr>
                <w:sz w:val="20"/>
                <w:szCs w:val="20"/>
                <w:lang w:val="es-BO"/>
              </w:rPr>
              <w:t>19,900</w:t>
            </w:r>
          </w:p>
        </w:tc>
        <w:tc>
          <w:tcPr>
            <w:tcW w:w="1177" w:type="dxa"/>
            <w:shd w:val="clear" w:color="auto" w:fill="auto"/>
            <w:noWrap/>
          </w:tcPr>
          <w:p w:rsidR="00854979" w:rsidRPr="0025061A" w:rsidRDefault="00854979" w:rsidP="0025061A">
            <w:pPr>
              <w:jc w:val="right"/>
              <w:rPr>
                <w:sz w:val="20"/>
                <w:szCs w:val="20"/>
                <w:lang w:val="es-BO"/>
              </w:rPr>
            </w:pPr>
            <w:r w:rsidRPr="0025061A">
              <w:rPr>
                <w:sz w:val="20"/>
                <w:szCs w:val="20"/>
                <w:lang w:val="es-BO"/>
              </w:rPr>
              <w:t>8.9</w:t>
            </w:r>
          </w:p>
        </w:tc>
        <w:tc>
          <w:tcPr>
            <w:tcW w:w="1418" w:type="dxa"/>
            <w:shd w:val="clear" w:color="auto" w:fill="auto"/>
          </w:tcPr>
          <w:p w:rsidR="00854979" w:rsidRPr="0025061A" w:rsidRDefault="00854979" w:rsidP="0025061A">
            <w:pPr>
              <w:jc w:val="right"/>
              <w:rPr>
                <w:sz w:val="20"/>
                <w:szCs w:val="20"/>
                <w:lang w:val="es-BO"/>
              </w:rPr>
            </w:pPr>
            <w:r w:rsidRPr="0025061A">
              <w:rPr>
                <w:sz w:val="20"/>
                <w:szCs w:val="20"/>
                <w:lang w:val="es-BO"/>
              </w:rPr>
              <w:t>177,110</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New Facility Reg</w:t>
            </w:r>
            <w:smartTag w:uri="urn:schemas-microsoft-com:office:smarttags" w:element="PersonName">
              <w:r w:rsidRPr="0025061A">
                <w:rPr>
                  <w:b/>
                  <w:sz w:val="20"/>
                  <w:szCs w:val="20"/>
                </w:rPr>
                <w:t>is</w:t>
              </w:r>
            </w:smartTag>
            <w:r w:rsidRPr="0025061A">
              <w:rPr>
                <w:b/>
                <w:sz w:val="20"/>
                <w:szCs w:val="20"/>
              </w:rPr>
              <w:t>tration Subtotal</w:t>
            </w:r>
          </w:p>
        </w:tc>
        <w:tc>
          <w:tcPr>
            <w:tcW w:w="1418" w:type="dxa"/>
            <w:shd w:val="clear" w:color="auto" w:fill="auto"/>
          </w:tcPr>
          <w:p w:rsidR="00854979" w:rsidRPr="0025061A" w:rsidRDefault="00854979" w:rsidP="0025061A">
            <w:pPr>
              <w:jc w:val="right"/>
              <w:rPr>
                <w:b/>
                <w:sz w:val="20"/>
                <w:szCs w:val="20"/>
              </w:rPr>
            </w:pPr>
            <w:r w:rsidRPr="0025061A">
              <w:rPr>
                <w:b/>
                <w:sz w:val="20"/>
                <w:szCs w:val="20"/>
              </w:rPr>
              <w:t>207,026</w:t>
            </w:r>
          </w:p>
        </w:tc>
      </w:tr>
      <w:tr w:rsidR="00854979" w:rsidRPr="0025061A" w:rsidTr="00277DB2">
        <w:trPr>
          <w:trHeight w:val="377"/>
        </w:trPr>
        <w:tc>
          <w:tcPr>
            <w:tcW w:w="10278" w:type="dxa"/>
            <w:gridSpan w:val="7"/>
            <w:shd w:val="clear" w:color="auto" w:fill="auto"/>
            <w:noWrap/>
          </w:tcPr>
          <w:p w:rsidR="00854979" w:rsidRPr="0025061A" w:rsidRDefault="00854979" w:rsidP="0025061A">
            <w:pPr>
              <w:rPr>
                <w:b/>
                <w:bCs/>
                <w:sz w:val="20"/>
                <w:szCs w:val="20"/>
              </w:rPr>
            </w:pPr>
            <w:r w:rsidRPr="0025061A">
              <w:rPr>
                <w:b/>
                <w:bCs/>
                <w:sz w:val="20"/>
                <w:szCs w:val="20"/>
              </w:rPr>
              <w:t>Previously Reg</w:t>
            </w:r>
            <w:smartTag w:uri="urn:schemas-microsoft-com:office:smarttags" w:element="PersonName">
              <w:r w:rsidRPr="0025061A">
                <w:rPr>
                  <w:b/>
                  <w:bCs/>
                  <w:sz w:val="20"/>
                  <w:szCs w:val="20"/>
                </w:rPr>
                <w:t>is</w:t>
              </w:r>
            </w:smartTag>
            <w:r w:rsidRPr="0025061A">
              <w:rPr>
                <w:b/>
                <w:bCs/>
                <w:sz w:val="20"/>
                <w:szCs w:val="20"/>
              </w:rPr>
              <w:t>tered Facilities</w:t>
            </w:r>
          </w:p>
          <w:p w:rsidR="00854979" w:rsidRPr="0025061A" w:rsidRDefault="00854979" w:rsidP="0025061A">
            <w:pPr>
              <w:rPr>
                <w:b/>
                <w:bCs/>
                <w:sz w:val="20"/>
                <w:szCs w:val="20"/>
              </w:rPr>
            </w:pP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sz w:val="20"/>
                <w:szCs w:val="20"/>
              </w:rPr>
              <w:t>Updates under 21 CFR 1.234 and section 415 of the FD&amp;C Act</w:t>
            </w:r>
            <w:r w:rsidRPr="0025061A" w:rsidDel="00AC4C93">
              <w:rPr>
                <w:sz w:val="20"/>
                <w:szCs w:val="20"/>
                <w:vertAlign w:val="superscript"/>
              </w:rPr>
              <w:t xml:space="preserve"> </w:t>
            </w:r>
          </w:p>
        </w:tc>
        <w:tc>
          <w:tcPr>
            <w:tcW w:w="1417" w:type="dxa"/>
            <w:shd w:val="clear" w:color="auto" w:fill="auto"/>
            <w:noWrap/>
          </w:tcPr>
          <w:p w:rsidR="00854979" w:rsidRPr="0025061A" w:rsidRDefault="00854979" w:rsidP="0025061A">
            <w:pPr>
              <w:rPr>
                <w:sz w:val="20"/>
                <w:szCs w:val="20"/>
              </w:rPr>
            </w:pPr>
            <w:r w:rsidRPr="0025061A">
              <w:rPr>
                <w:sz w:val="20"/>
                <w:szCs w:val="20"/>
              </w:rPr>
              <w:t>FDA 3537</w:t>
            </w:r>
          </w:p>
        </w:tc>
        <w:tc>
          <w:tcPr>
            <w:tcW w:w="1585" w:type="dxa"/>
            <w:shd w:val="clear" w:color="auto" w:fill="auto"/>
            <w:noWrap/>
          </w:tcPr>
          <w:p w:rsidR="00854979" w:rsidRPr="0025061A" w:rsidRDefault="00854979" w:rsidP="0025061A">
            <w:pPr>
              <w:jc w:val="right"/>
              <w:rPr>
                <w:sz w:val="20"/>
                <w:szCs w:val="20"/>
              </w:rPr>
            </w:pPr>
            <w:r w:rsidRPr="0025061A">
              <w:rPr>
                <w:sz w:val="20"/>
                <w:szCs w:val="20"/>
              </w:rPr>
              <w:t>118,530</w:t>
            </w:r>
          </w:p>
        </w:tc>
        <w:tc>
          <w:tcPr>
            <w:tcW w:w="1417" w:type="dxa"/>
            <w:shd w:val="clear" w:color="auto" w:fill="auto"/>
            <w:noWrap/>
          </w:tcPr>
          <w:p w:rsidR="00854979" w:rsidRPr="0025061A" w:rsidRDefault="00854979" w:rsidP="0025061A">
            <w:pPr>
              <w:jc w:val="right"/>
              <w:rPr>
                <w:sz w:val="20"/>
                <w:szCs w:val="20"/>
              </w:rPr>
            </w:pPr>
            <w:r w:rsidRPr="0025061A">
              <w:rPr>
                <w:sz w:val="20"/>
                <w:szCs w:val="20"/>
              </w:rPr>
              <w:t>1</w:t>
            </w:r>
          </w:p>
        </w:tc>
        <w:tc>
          <w:tcPr>
            <w:tcW w:w="1639" w:type="dxa"/>
            <w:shd w:val="clear" w:color="auto" w:fill="auto"/>
            <w:noWrap/>
          </w:tcPr>
          <w:p w:rsidR="00854979" w:rsidRPr="0025061A" w:rsidRDefault="00854979" w:rsidP="0025061A">
            <w:pPr>
              <w:jc w:val="right"/>
              <w:rPr>
                <w:sz w:val="20"/>
                <w:szCs w:val="20"/>
              </w:rPr>
            </w:pPr>
            <w:r w:rsidRPr="0025061A">
              <w:rPr>
                <w:sz w:val="20"/>
                <w:szCs w:val="20"/>
              </w:rPr>
              <w:t>118,530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1.2</w:t>
            </w:r>
          </w:p>
        </w:tc>
        <w:tc>
          <w:tcPr>
            <w:tcW w:w="1418" w:type="dxa"/>
            <w:shd w:val="clear" w:color="auto" w:fill="auto"/>
          </w:tcPr>
          <w:p w:rsidR="00854979" w:rsidRPr="0025061A" w:rsidRDefault="00854979" w:rsidP="0025061A">
            <w:pPr>
              <w:jc w:val="right"/>
              <w:rPr>
                <w:sz w:val="20"/>
                <w:szCs w:val="20"/>
              </w:rPr>
            </w:pPr>
            <w:r w:rsidRPr="0025061A">
              <w:rPr>
                <w:rFonts w:cs="Courier New"/>
                <w:sz w:val="20"/>
                <w:szCs w:val="20"/>
              </w:rPr>
              <w:t xml:space="preserve">142,236 </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bCs/>
                <w:sz w:val="20"/>
                <w:szCs w:val="20"/>
              </w:rPr>
              <w:t>Cancellations</w:t>
            </w:r>
            <w:r w:rsidRPr="0025061A">
              <w:rPr>
                <w:sz w:val="20"/>
                <w:szCs w:val="20"/>
              </w:rPr>
              <w:t xml:space="preserve"> under 21 CFR 1.235</w:t>
            </w:r>
            <w:r w:rsidRPr="0025061A" w:rsidDel="001677A6">
              <w:rPr>
                <w:sz w:val="20"/>
                <w:szCs w:val="20"/>
              </w:rPr>
              <w:t xml:space="preserve"> </w:t>
            </w:r>
          </w:p>
        </w:tc>
        <w:tc>
          <w:tcPr>
            <w:tcW w:w="1417" w:type="dxa"/>
            <w:shd w:val="clear" w:color="auto" w:fill="auto"/>
            <w:noWrap/>
          </w:tcPr>
          <w:p w:rsidR="00854979" w:rsidRPr="0025061A" w:rsidRDefault="00854979" w:rsidP="0025061A">
            <w:pPr>
              <w:rPr>
                <w:sz w:val="20"/>
                <w:szCs w:val="20"/>
              </w:rPr>
            </w:pPr>
            <w:r w:rsidRPr="0025061A">
              <w:rPr>
                <w:sz w:val="20"/>
                <w:szCs w:val="20"/>
              </w:rPr>
              <w:t>FDA 3537a</w:t>
            </w:r>
          </w:p>
        </w:tc>
        <w:tc>
          <w:tcPr>
            <w:tcW w:w="1585" w:type="dxa"/>
            <w:shd w:val="clear" w:color="auto" w:fill="auto"/>
            <w:noWrap/>
          </w:tcPr>
          <w:p w:rsidR="00854979" w:rsidRPr="0025061A" w:rsidRDefault="00854979" w:rsidP="0025061A">
            <w:pPr>
              <w:jc w:val="right"/>
              <w:rPr>
                <w:sz w:val="20"/>
                <w:szCs w:val="20"/>
              </w:rPr>
            </w:pPr>
            <w:r w:rsidRPr="0025061A">
              <w:rPr>
                <w:sz w:val="20"/>
                <w:szCs w:val="20"/>
              </w:rPr>
              <w:t>6,390</w:t>
            </w:r>
          </w:p>
        </w:tc>
        <w:tc>
          <w:tcPr>
            <w:tcW w:w="1417" w:type="dxa"/>
            <w:shd w:val="clear" w:color="auto" w:fill="auto"/>
            <w:noWrap/>
          </w:tcPr>
          <w:p w:rsidR="00854979" w:rsidRPr="0025061A" w:rsidRDefault="00854979" w:rsidP="0025061A">
            <w:pPr>
              <w:jc w:val="right"/>
              <w:rPr>
                <w:sz w:val="20"/>
                <w:szCs w:val="20"/>
              </w:rPr>
            </w:pPr>
            <w:r w:rsidRPr="0025061A">
              <w:rPr>
                <w:sz w:val="20"/>
                <w:szCs w:val="20"/>
              </w:rPr>
              <w:t>1</w:t>
            </w:r>
          </w:p>
        </w:tc>
        <w:tc>
          <w:tcPr>
            <w:tcW w:w="1639" w:type="dxa"/>
            <w:shd w:val="clear" w:color="auto" w:fill="auto"/>
            <w:noWrap/>
          </w:tcPr>
          <w:p w:rsidR="00854979" w:rsidRPr="0025061A" w:rsidRDefault="00854979" w:rsidP="0025061A">
            <w:pPr>
              <w:jc w:val="right"/>
              <w:rPr>
                <w:sz w:val="20"/>
                <w:szCs w:val="20"/>
              </w:rPr>
            </w:pPr>
            <w:r w:rsidRPr="0025061A">
              <w:rPr>
                <w:sz w:val="20"/>
                <w:szCs w:val="20"/>
              </w:rPr>
              <w:t>6,390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1</w:t>
            </w:r>
          </w:p>
        </w:tc>
        <w:tc>
          <w:tcPr>
            <w:tcW w:w="1418" w:type="dxa"/>
            <w:shd w:val="clear" w:color="auto" w:fill="auto"/>
          </w:tcPr>
          <w:p w:rsidR="00854979" w:rsidRPr="0025061A" w:rsidRDefault="00854979" w:rsidP="0025061A">
            <w:pPr>
              <w:jc w:val="right"/>
              <w:rPr>
                <w:sz w:val="20"/>
                <w:szCs w:val="20"/>
              </w:rPr>
            </w:pPr>
            <w:r w:rsidRPr="0025061A">
              <w:rPr>
                <w:sz w:val="20"/>
                <w:szCs w:val="20"/>
              </w:rPr>
              <w:t>6,390</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sz w:val="20"/>
                <w:szCs w:val="20"/>
              </w:rPr>
              <w:t xml:space="preserve">Biennial Renewal of Registration required by </w:t>
            </w:r>
          </w:p>
          <w:p w:rsidR="00854979" w:rsidRPr="0025061A" w:rsidRDefault="00854979" w:rsidP="0025061A">
            <w:pPr>
              <w:rPr>
                <w:rFonts w:cs="Courier New"/>
                <w:sz w:val="20"/>
                <w:szCs w:val="20"/>
                <w:lang w:val="es-BO"/>
              </w:rPr>
            </w:pPr>
            <w:r w:rsidRPr="0025061A">
              <w:rPr>
                <w:sz w:val="20"/>
                <w:szCs w:val="20"/>
              </w:rPr>
              <w:t>Section 415 of the FD&amp;C Act</w:t>
            </w:r>
          </w:p>
        </w:tc>
        <w:tc>
          <w:tcPr>
            <w:tcW w:w="1417" w:type="dxa"/>
            <w:shd w:val="clear" w:color="auto" w:fill="auto"/>
            <w:noWrap/>
          </w:tcPr>
          <w:p w:rsidR="00854979" w:rsidRPr="0025061A" w:rsidRDefault="00854979" w:rsidP="0025061A">
            <w:pPr>
              <w:rPr>
                <w:rFonts w:cs="Courier New"/>
                <w:sz w:val="20"/>
                <w:szCs w:val="20"/>
                <w:lang w:val="es-BO"/>
              </w:rPr>
            </w:pPr>
            <w:r w:rsidRPr="0025061A">
              <w:rPr>
                <w:rFonts w:cs="Courier New"/>
                <w:sz w:val="20"/>
                <w:szCs w:val="20"/>
                <w:lang w:val="es-BO"/>
              </w:rPr>
              <w:t>FDA 3537</w:t>
            </w:r>
          </w:p>
        </w:tc>
        <w:tc>
          <w:tcPr>
            <w:tcW w:w="1585" w:type="dxa"/>
            <w:shd w:val="clear" w:color="auto" w:fill="auto"/>
            <w:noWrap/>
          </w:tcPr>
          <w:p w:rsidR="00854979" w:rsidRPr="0025061A" w:rsidRDefault="00854979" w:rsidP="0025061A">
            <w:pPr>
              <w:jc w:val="right"/>
              <w:rPr>
                <w:rFonts w:cs="Courier New"/>
                <w:sz w:val="20"/>
                <w:szCs w:val="20"/>
                <w:lang w:val="es-BO"/>
              </w:rPr>
            </w:pPr>
            <w:r w:rsidRPr="0025061A">
              <w:rPr>
                <w:sz w:val="20"/>
                <w:szCs w:val="20"/>
              </w:rPr>
              <w:t>224,930</w:t>
            </w:r>
          </w:p>
        </w:tc>
        <w:tc>
          <w:tcPr>
            <w:tcW w:w="1417" w:type="dxa"/>
            <w:shd w:val="clear" w:color="auto" w:fill="auto"/>
            <w:noWrap/>
          </w:tcPr>
          <w:p w:rsidR="00854979" w:rsidRPr="0025061A" w:rsidRDefault="00854979" w:rsidP="0025061A">
            <w:pPr>
              <w:jc w:val="right"/>
              <w:rPr>
                <w:rFonts w:cs="Courier New"/>
                <w:sz w:val="20"/>
                <w:szCs w:val="20"/>
                <w:lang w:val="es-BO"/>
              </w:rPr>
            </w:pPr>
            <w:r w:rsidRPr="0025061A">
              <w:rPr>
                <w:rFonts w:cs="Courier New"/>
                <w:sz w:val="20"/>
                <w:szCs w:val="20"/>
              </w:rPr>
              <w:t>1</w:t>
            </w:r>
          </w:p>
        </w:tc>
        <w:tc>
          <w:tcPr>
            <w:tcW w:w="1639" w:type="dxa"/>
            <w:shd w:val="clear" w:color="auto" w:fill="auto"/>
            <w:noWrap/>
          </w:tcPr>
          <w:p w:rsidR="00854979" w:rsidRPr="0025061A" w:rsidRDefault="00854979" w:rsidP="0025061A">
            <w:pPr>
              <w:jc w:val="right"/>
              <w:rPr>
                <w:rFonts w:cs="Courier New"/>
                <w:sz w:val="20"/>
                <w:szCs w:val="20"/>
                <w:lang w:val="es-BO"/>
              </w:rPr>
            </w:pPr>
            <w:r w:rsidRPr="0025061A">
              <w:rPr>
                <w:sz w:val="20"/>
                <w:szCs w:val="20"/>
              </w:rPr>
              <w:t>224,930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 xml:space="preserve">0.50 </w:t>
            </w:r>
          </w:p>
          <w:p w:rsidR="00854979" w:rsidRPr="0025061A" w:rsidRDefault="00854979" w:rsidP="0025061A">
            <w:pPr>
              <w:jc w:val="right"/>
              <w:rPr>
                <w:rFonts w:cs="Courier New"/>
                <w:sz w:val="20"/>
                <w:szCs w:val="20"/>
                <w:lang w:val="es-BO"/>
              </w:rPr>
            </w:pPr>
            <w:r w:rsidRPr="0025061A">
              <w:rPr>
                <w:sz w:val="20"/>
                <w:szCs w:val="20"/>
              </w:rPr>
              <w:t>(30 mins.)</w:t>
            </w:r>
          </w:p>
        </w:tc>
        <w:tc>
          <w:tcPr>
            <w:tcW w:w="1418" w:type="dxa"/>
            <w:shd w:val="clear" w:color="auto" w:fill="auto"/>
          </w:tcPr>
          <w:p w:rsidR="00854979" w:rsidRPr="0025061A" w:rsidRDefault="00854979" w:rsidP="0025061A">
            <w:pPr>
              <w:jc w:val="right"/>
              <w:rPr>
                <w:sz w:val="20"/>
                <w:szCs w:val="20"/>
              </w:rPr>
            </w:pPr>
            <w:r w:rsidRPr="0025061A">
              <w:rPr>
                <w:sz w:val="20"/>
                <w:szCs w:val="20"/>
              </w:rPr>
              <w:t>112,465</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 xml:space="preserve">Updates, Cancellations or </w:t>
            </w:r>
            <w:r w:rsidRPr="0025061A">
              <w:rPr>
                <w:b/>
                <w:bCs/>
                <w:sz w:val="20"/>
                <w:szCs w:val="20"/>
              </w:rPr>
              <w:t xml:space="preserve">Biennial </w:t>
            </w:r>
            <w:r w:rsidRPr="0025061A">
              <w:rPr>
                <w:b/>
                <w:sz w:val="20"/>
                <w:szCs w:val="20"/>
              </w:rPr>
              <w:t>Renewals Subtotal</w:t>
            </w:r>
          </w:p>
        </w:tc>
        <w:tc>
          <w:tcPr>
            <w:tcW w:w="1418" w:type="dxa"/>
            <w:shd w:val="clear" w:color="auto" w:fill="auto"/>
          </w:tcPr>
          <w:p w:rsidR="00854979" w:rsidRPr="0025061A" w:rsidRDefault="00854979" w:rsidP="0025061A">
            <w:pPr>
              <w:jc w:val="right"/>
              <w:rPr>
                <w:sz w:val="20"/>
                <w:szCs w:val="20"/>
              </w:rPr>
            </w:pPr>
            <w:r w:rsidRPr="0025061A">
              <w:rPr>
                <w:sz w:val="20"/>
                <w:szCs w:val="20"/>
              </w:rPr>
              <w:t>261,091</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Total Hours Annually</w:t>
            </w:r>
          </w:p>
        </w:tc>
        <w:tc>
          <w:tcPr>
            <w:tcW w:w="1418" w:type="dxa"/>
            <w:shd w:val="clear" w:color="auto" w:fill="auto"/>
          </w:tcPr>
          <w:p w:rsidR="00854979" w:rsidRPr="0025061A" w:rsidRDefault="00854979" w:rsidP="0025061A">
            <w:pPr>
              <w:jc w:val="right"/>
              <w:rPr>
                <w:b/>
                <w:sz w:val="20"/>
                <w:szCs w:val="20"/>
              </w:rPr>
            </w:pPr>
            <w:r w:rsidRPr="0025061A">
              <w:rPr>
                <w:b/>
                <w:sz w:val="20"/>
                <w:szCs w:val="20"/>
              </w:rPr>
              <w:t>468,117</w:t>
            </w:r>
          </w:p>
        </w:tc>
      </w:tr>
    </w:tbl>
    <w:p w:rsidR="00854979" w:rsidRPr="007C2340" w:rsidRDefault="00854979" w:rsidP="00854979">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outlineLvl w:val="0"/>
        <w:rPr>
          <w:bCs/>
          <w:sz w:val="20"/>
          <w:szCs w:val="20"/>
        </w:rPr>
      </w:pPr>
      <w:r w:rsidRPr="007C2340">
        <w:rPr>
          <w:bCs/>
          <w:sz w:val="20"/>
          <w:szCs w:val="20"/>
          <w:vertAlign w:val="superscript"/>
        </w:rPr>
        <w:t>1</w:t>
      </w:r>
      <w:r w:rsidRPr="007C2340">
        <w:rPr>
          <w:bCs/>
          <w:sz w:val="20"/>
          <w:szCs w:val="20"/>
        </w:rPr>
        <w:t>There are no capital costs or operating and maintenance costs associated with th</w:t>
      </w:r>
      <w:smartTag w:uri="urn:schemas-microsoft-com:office:smarttags" w:element="PersonName">
        <w:r w:rsidRPr="007C2340">
          <w:rPr>
            <w:bCs/>
            <w:sz w:val="20"/>
            <w:szCs w:val="20"/>
          </w:rPr>
          <w:t>is</w:t>
        </w:r>
      </w:smartTag>
      <w:r w:rsidRPr="007C2340">
        <w:rPr>
          <w:bCs/>
          <w:sz w:val="20"/>
          <w:szCs w:val="20"/>
        </w:rPr>
        <w:t xml:space="preserve"> collection of information.  </w:t>
      </w:r>
    </w:p>
    <w:p w:rsidR="00854979" w:rsidRPr="007C2340" w:rsidRDefault="00854979" w:rsidP="00854979">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outlineLvl w:val="0"/>
        <w:rPr>
          <w:bCs/>
          <w:sz w:val="20"/>
          <w:szCs w:val="20"/>
        </w:rPr>
      </w:pPr>
      <w:r w:rsidRPr="007C2340">
        <w:rPr>
          <w:bCs/>
          <w:szCs w:val="20"/>
          <w:vertAlign w:val="superscript"/>
        </w:rPr>
        <w:t>2</w:t>
      </w:r>
      <w:r w:rsidRPr="007C2340">
        <w:rPr>
          <w:bCs/>
          <w:sz w:val="20"/>
          <w:szCs w:val="20"/>
        </w:rPr>
        <w:t>The term “Form FDA 3537” refers to both the paper version of the form and the electronic system known as the Food Facility Registration Module, which is available at http://</w:t>
      </w:r>
      <w:hyperlink r:id="rId13" w:history="1">
        <w:r w:rsidRPr="007C2340">
          <w:rPr>
            <w:bCs/>
            <w:color w:val="0000FF"/>
            <w:sz w:val="20"/>
            <w:szCs w:val="20"/>
            <w:u w:val="single"/>
          </w:rPr>
          <w:t>www.access.fda.gov</w:t>
        </w:r>
      </w:hyperlink>
      <w:r w:rsidRPr="007C2340">
        <w:rPr>
          <w:bCs/>
          <w:sz w:val="20"/>
          <w:szCs w:val="20"/>
        </w:rPr>
        <w:t xml:space="preserve">.   </w:t>
      </w:r>
    </w:p>
    <w:p w:rsidR="00854979" w:rsidRDefault="00854979" w:rsidP="00854979">
      <w:pPr>
        <w:spacing w:line="480" w:lineRule="auto"/>
        <w:rPr>
          <w:rFonts w:ascii="Arial" w:hAnsi="Arial" w:cs="Arial"/>
          <w:color w:val="0000FF"/>
          <w:sz w:val="20"/>
          <w:szCs w:val="20"/>
        </w:rPr>
      </w:pPr>
    </w:p>
    <w:p w:rsidR="00854979" w:rsidRDefault="00854979" w:rsidP="00854979">
      <w:pPr>
        <w:rPr>
          <w:szCs w:val="20"/>
        </w:rPr>
      </w:pPr>
      <w:r w:rsidRPr="007C2340">
        <w:rPr>
          <w:szCs w:val="20"/>
        </w:rPr>
        <w:t>This estimate is based on FDA’s experience and the average number of new facility registrations, updates and cancellations received</w:t>
      </w:r>
      <w:r w:rsidR="006A0825">
        <w:rPr>
          <w:szCs w:val="20"/>
        </w:rPr>
        <w:t xml:space="preserve"> via the </w:t>
      </w:r>
      <w:r w:rsidR="006A0825" w:rsidRPr="006A0825">
        <w:rPr>
          <w:bCs/>
          <w:szCs w:val="20"/>
        </w:rPr>
        <w:t>Food Facility Registration Module</w:t>
      </w:r>
      <w:r w:rsidR="006A0825">
        <w:rPr>
          <w:bCs/>
          <w:szCs w:val="20"/>
        </w:rPr>
        <w:t xml:space="preserve"> or on paper Form FDA 3537</w:t>
      </w:r>
      <w:r w:rsidRPr="007C2340">
        <w:rPr>
          <w:szCs w:val="20"/>
        </w:rPr>
        <w:t xml:space="preserve"> in the past 3 years.  FDA received 12,011 new domestic facility registrations during </w:t>
      </w:r>
      <w:r w:rsidRPr="007C2340">
        <w:rPr>
          <w:szCs w:val="20"/>
        </w:rPr>
        <w:lastRenderedPageBreak/>
        <w:t>2010; 10,646 during 2011; and 10,584 during 2012.  Based on this experience, FDA estimates the annual number of new domestic facility registrations will be 11,080.  FDA estimates that listing the information required by the Bioterrorism Act and presenting it in a format that will meet the Agency’s registration regulations will require a burden of approximately 2.5 hours per average domestic facility registration.  We estimate that the FSMA-required additional information for new facility registrations will require an additional 12 minutes (0.2 hour) per response for domestic facilities.  The average domestic facility burden hour estimate of 2.7 hours takes into account that some respondents completing the registration may not have readily available Internet access.  Thus, the total annual burden for new domestic facility registrations is estimated to be 29,916 hours (11,080 x 2.7 hours).</w:t>
      </w:r>
    </w:p>
    <w:p w:rsidR="00854979" w:rsidRDefault="00854979" w:rsidP="00854979">
      <w:pPr>
        <w:rPr>
          <w:szCs w:val="20"/>
        </w:rPr>
      </w:pPr>
    </w:p>
    <w:p w:rsidR="00854979" w:rsidRPr="007C2340" w:rsidRDefault="00854979" w:rsidP="00854979">
      <w:pPr>
        <w:rPr>
          <w:szCs w:val="20"/>
        </w:rPr>
      </w:pPr>
      <w:r w:rsidRPr="007C2340">
        <w:rPr>
          <w:szCs w:val="20"/>
        </w:rPr>
        <w:t xml:space="preserve">FDA received 20,598 new foreign facility registrations during 2010; 20,009 during 2011; and 19,092 during 2012.  Based on this experience, FDA estimates the annual number of new foreign facility registrations will be 19,900.  FDA estimates that listing the information required by the Bioterrorism Act and presenting it in a format that will meet the Agency’s registration regulations will require a burden of approximately 8.5 hours per average foreign facility registration.  We estimate that the FSMA-required additional information for new facility registrations will require an additional 24 minutes (0.4 hour) per response for foreign facilities.  The average foreign facility burden hour estimate of 8.9 hours includes an estimate of the additional burden on a foreign facility to obtain a </w:t>
      </w:r>
      <w:smartTag w:uri="urn:schemas-microsoft-com:office:smarttags" w:element="place">
        <w:smartTag w:uri="urn:schemas-microsoft-com:office:smarttags" w:element="country-region">
          <w:r w:rsidRPr="007C2340">
            <w:rPr>
              <w:szCs w:val="20"/>
            </w:rPr>
            <w:t>U.S.</w:t>
          </w:r>
        </w:smartTag>
      </w:smartTag>
      <w:r w:rsidRPr="007C2340">
        <w:rPr>
          <w:szCs w:val="20"/>
        </w:rPr>
        <w:t xml:space="preserve"> agent, and takes into account that for some foreign facilities the respondent completing the registration may not be fluent in English and/or not have readily available Internet access.  Thus, the total annual burden for new foreign facility registrations is estimated to be </w:t>
      </w:r>
      <w:r w:rsidRPr="007C2340">
        <w:rPr>
          <w:szCs w:val="20"/>
          <w:lang w:val="es-BO"/>
        </w:rPr>
        <w:t xml:space="preserve">177,110 </w:t>
      </w:r>
      <w:r w:rsidRPr="007C2340">
        <w:rPr>
          <w:szCs w:val="20"/>
        </w:rPr>
        <w:t>hours (19,900 x 8.9 hours).</w:t>
      </w:r>
    </w:p>
    <w:p w:rsidR="00854979" w:rsidRDefault="00854979" w:rsidP="00854979">
      <w:pPr>
        <w:ind w:firstLine="720"/>
        <w:rPr>
          <w:szCs w:val="20"/>
        </w:rPr>
      </w:pPr>
    </w:p>
    <w:p w:rsidR="00854979" w:rsidRPr="007C2340" w:rsidRDefault="00854979" w:rsidP="00854979">
      <w:pPr>
        <w:rPr>
          <w:szCs w:val="20"/>
        </w:rPr>
      </w:pPr>
      <w:r w:rsidRPr="007C2340">
        <w:rPr>
          <w:szCs w:val="20"/>
        </w:rPr>
        <w:t>Based on its experience, FDA estimates that the average annual number of updates to facility registrations will remain unchanged at 118,530 updates annually over the next three years.   FDA also estimates that updating a registration will, on average, require a burden of approximately 1 hour, taking into account fluency in English and Internet access.  We estimate that the FSMA-required additional information for updates will require an additional 12 minutes (0.2 hour) per response. Thus, the total annual burden of submitting updates to facility registrations is estimated to be 142,236 hours (118,530 x 1.2 hours).</w:t>
      </w:r>
    </w:p>
    <w:p w:rsidR="00854979" w:rsidRDefault="00854979" w:rsidP="00854979">
      <w:pPr>
        <w:ind w:firstLine="720"/>
        <w:rPr>
          <w:szCs w:val="20"/>
        </w:rPr>
      </w:pPr>
    </w:p>
    <w:p w:rsidR="00854979" w:rsidRPr="007C2340" w:rsidRDefault="00854979" w:rsidP="00854979">
      <w:pPr>
        <w:rPr>
          <w:szCs w:val="20"/>
        </w:rPr>
      </w:pPr>
      <w:r w:rsidRPr="007C2340">
        <w:rPr>
          <w:szCs w:val="20"/>
        </w:rPr>
        <w:t>Based on its experience, FDA estimates that the average annual number of cancellations of facility registrations will remain unchanged at 6,390 cancellations annually over the next three years.   FDA also estimates that cancelling a registration will, on average, require a burden of approximately 1 hour, taking into account fluency in English and Internet access.  FSMA did not change the required information for cancellations. Thus, the total annual burden for cancelling registrations is estimated to be 6,390 hours.</w:t>
      </w:r>
    </w:p>
    <w:p w:rsidR="00854979" w:rsidRDefault="00854979" w:rsidP="00854979">
      <w:pPr>
        <w:rPr>
          <w:szCs w:val="20"/>
        </w:rPr>
      </w:pPr>
      <w:r w:rsidRPr="007C2340">
        <w:rPr>
          <w:szCs w:val="20"/>
        </w:rPr>
        <w:tab/>
      </w:r>
    </w:p>
    <w:p w:rsidR="0006556C" w:rsidRDefault="00854979" w:rsidP="00786F3D">
      <w:pPr>
        <w:rPr>
          <w:szCs w:val="20"/>
        </w:rPr>
      </w:pPr>
      <w:r w:rsidRPr="007C2340">
        <w:rPr>
          <w:szCs w:val="20"/>
        </w:rPr>
        <w:t>We estimate that the new biennial registration required by FSMA, which will require the submission of certain new data elements and the verification and possible updating of other information rather than re-entering all information, will require 30 minutes (0.5 hour) per response, including time for the new FSMA-required information.  FDA estimates that, on an annualized basis, the number of biennial registrations submitted over the next three years will be 224,930.  This estimate is based on the number of currently registered firms (449,860) divided by two.  Thus, the total annual burden for biennial registration is estimated to be 112,465 hours (224,930 x 0.5 hours).</w:t>
      </w:r>
    </w:p>
    <w:p w:rsidR="0068749D" w:rsidRDefault="0068749D" w:rsidP="00786F3D">
      <w:pPr>
        <w:rPr>
          <w:szCs w:val="20"/>
        </w:rPr>
      </w:pPr>
    </w:p>
    <w:p w:rsidR="0068749D" w:rsidRPr="00854979" w:rsidRDefault="0068749D" w:rsidP="00786F3D">
      <w:pPr>
        <w:rPr>
          <w:szCs w:val="20"/>
        </w:rPr>
      </w:pPr>
    </w:p>
    <w:p w:rsidR="002C5963" w:rsidRDefault="002C5963" w:rsidP="000D471B">
      <w:pPr>
        <w:pStyle w:val="BodyText2"/>
      </w:pPr>
    </w:p>
    <w:p w:rsidR="00B3567F" w:rsidRPr="008E63C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3567F">
        <w:rPr>
          <w:b/>
          <w:bCs/>
        </w:rPr>
        <w:lastRenderedPageBreak/>
        <w:tab/>
      </w:r>
      <w:r w:rsidRPr="00B3567F">
        <w:rPr>
          <w:b/>
          <w:bCs/>
        </w:rPr>
        <w:tab/>
        <w:t>12 b. Annualized Cost Burden Estimate</w:t>
      </w:r>
    </w:p>
    <w:p w:rsidR="00B3567F" w:rsidRPr="008E63C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A23408" w:rsidRPr="0008565F" w:rsidRDefault="00A23408" w:rsidP="00A23408">
      <w:r w:rsidRPr="00295964">
        <w:rPr>
          <w:snapToGrid w:val="0"/>
        </w:rPr>
        <w:t xml:space="preserve">FDA estimates the annualized burden hour cost to respondents for this collection of information to be approximately </w:t>
      </w:r>
      <w:r>
        <w:rPr>
          <w:snapToGrid w:val="0"/>
        </w:rPr>
        <w:t>$</w:t>
      </w:r>
      <w:r w:rsidR="001734BF" w:rsidRPr="00A23408">
        <w:t>33,592,075</w:t>
      </w:r>
      <w:r w:rsidR="00B3567F" w:rsidRPr="00A23408">
        <w:t>.</w:t>
      </w:r>
      <w:r w:rsidRPr="00A23408">
        <w:t xml:space="preserve">  FDA estimates that the registration process will involve an employee making an</w:t>
      </w:r>
      <w:r w:rsidRPr="00A23408">
        <w:rPr>
          <w:snapToGrid w:val="0"/>
        </w:rPr>
        <w:t xml:space="preserve"> average wage similar that of a Federal government employee at the </w:t>
      </w:r>
      <w:r w:rsidRPr="00A23408">
        <w:t>GS-12/Step-1 rate for the Washington-Baltimore locality pay area for the year 2013</w:t>
      </w:r>
      <w:r w:rsidRPr="00A23408">
        <w:rPr>
          <w:snapToGrid w:val="0"/>
        </w:rPr>
        <w:t xml:space="preserve">, which is $35.88 per hour.  </w:t>
      </w:r>
      <w:r w:rsidRPr="00A23408">
        <w:rPr>
          <w:bCs/>
        </w:rPr>
        <w:t xml:space="preserve">Doubling this wage to account for overhead costs, FDA estimates the average hourly cost to respondents to be $71.76/hour.  </w:t>
      </w:r>
      <w:r w:rsidRPr="00A23408">
        <w:rPr>
          <w:snapToGrid w:val="0"/>
        </w:rPr>
        <w:t xml:space="preserve">Thus, the </w:t>
      </w:r>
      <w:r w:rsidRPr="00295964">
        <w:rPr>
          <w:snapToGrid w:val="0"/>
        </w:rPr>
        <w:t xml:space="preserve">annualized burden hour cost </w:t>
      </w:r>
      <w:r w:rsidRPr="00A23408">
        <w:rPr>
          <w:snapToGrid w:val="0"/>
        </w:rPr>
        <w:t>imposed by this collection of information is approximately $</w:t>
      </w:r>
      <w:r w:rsidRPr="00A23408">
        <w:t xml:space="preserve">33,592,075 </w:t>
      </w:r>
      <w:r w:rsidRPr="00A23408">
        <w:rPr>
          <w:snapToGrid w:val="0"/>
        </w:rPr>
        <w:t>(</w:t>
      </w:r>
      <w:r w:rsidRPr="00A23408">
        <w:rPr>
          <w:bCs/>
        </w:rPr>
        <w:t>468,117</w:t>
      </w:r>
      <w:r w:rsidRPr="00A23408">
        <w:t xml:space="preserve"> </w:t>
      </w:r>
      <w:r w:rsidRPr="00A23408">
        <w:rPr>
          <w:snapToGrid w:val="0"/>
        </w:rPr>
        <w:t>hours x $</w:t>
      </w:r>
      <w:r w:rsidRPr="00A23408">
        <w:rPr>
          <w:bCs/>
        </w:rPr>
        <w:t>71.76/hour</w:t>
      </w:r>
      <w:r w:rsidRPr="00A23408">
        <w:rPr>
          <w:snapToGrid w:val="0"/>
        </w:rPr>
        <w:t>).</w:t>
      </w:r>
      <w:r w:rsidRPr="00295964">
        <w:rPr>
          <w:snapToGrid w:val="0"/>
        </w:rPr>
        <w:t xml:space="preserve"> </w:t>
      </w:r>
    </w:p>
    <w:p w:rsidR="00B3567F" w:rsidRDefault="00B3567F" w:rsidP="00A23408">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1C6C3C" w:rsidRDefault="00F714BC" w:rsidP="0047134F">
      <w:pPr>
        <w:ind w:left="450" w:hanging="450"/>
      </w:pPr>
      <w:r>
        <w:rPr>
          <w:b/>
          <w:bCs/>
        </w:rPr>
        <w:t xml:space="preserve">13.  </w:t>
      </w:r>
      <w:r w:rsidR="00B3567F" w:rsidRPr="005D1921">
        <w:rPr>
          <w:b/>
          <w:bCs/>
        </w:rPr>
        <w:t>Estimates of Other Total Annual Cost</w:t>
      </w:r>
      <w:r w:rsidR="00B3567F">
        <w:rPr>
          <w:b/>
          <w:bCs/>
        </w:rPr>
        <w:t>s</w:t>
      </w:r>
      <w:r w:rsidR="00B3567F" w:rsidRPr="005D1921">
        <w:rPr>
          <w:b/>
          <w:bCs/>
        </w:rPr>
        <w:t xml:space="preserve"> to Respondents and</w:t>
      </w:r>
      <w:r w:rsidR="00B3567F">
        <w:rPr>
          <w:b/>
          <w:bCs/>
        </w:rPr>
        <w:t>/or Recordk</w:t>
      </w:r>
      <w:r w:rsidR="00B3567F" w:rsidRPr="005D1921">
        <w:rPr>
          <w:b/>
          <w:bCs/>
        </w:rPr>
        <w:t>eepers</w:t>
      </w:r>
      <w:r>
        <w:rPr>
          <w:b/>
          <w:bCs/>
        </w:rPr>
        <w:t>/</w:t>
      </w:r>
      <w:r w:rsidR="00B3567F">
        <w:rPr>
          <w:b/>
          <w:bCs/>
        </w:rPr>
        <w:t>Capital Costs</w:t>
      </w:r>
    </w:p>
    <w:p w:rsidR="0047134F" w:rsidRDefault="0047134F" w:rsidP="0047134F">
      <w:pPr>
        <w:ind w:left="450" w:hanging="450"/>
      </w:pPr>
    </w:p>
    <w:p w:rsidR="0047134F" w:rsidRDefault="0047134F" w:rsidP="0047134F">
      <w:pPr>
        <w:ind w:left="450" w:hanging="450"/>
      </w:pPr>
      <w:r w:rsidRPr="0047134F">
        <w:t>There are no capital, start-up, operating, or maintenance costs associated with this collection.</w:t>
      </w:r>
    </w:p>
    <w:p w:rsidR="006A0825" w:rsidRDefault="006A0825" w:rsidP="0047134F">
      <w:pPr>
        <w:ind w:left="450" w:hanging="450"/>
      </w:pPr>
    </w:p>
    <w:p w:rsidR="00645868" w:rsidRPr="00BC7C04" w:rsidRDefault="001C6C3C" w:rsidP="00645868">
      <w:r w:rsidRPr="008E63CF">
        <w:rPr>
          <w:b/>
        </w:rPr>
        <w:t>14.</w:t>
      </w:r>
      <w:r w:rsidR="00F714BC">
        <w:t xml:space="preserve">  </w:t>
      </w:r>
      <w:r w:rsidRPr="008E63CF">
        <w:rPr>
          <w:b/>
        </w:rPr>
        <w:t xml:space="preserve">Annualized </w:t>
      </w:r>
      <w:r w:rsidRPr="008E63CF">
        <w:rPr>
          <w:b/>
          <w:bCs/>
        </w:rPr>
        <w:t xml:space="preserve">Cost to </w:t>
      </w:r>
      <w:r>
        <w:rPr>
          <w:b/>
          <w:bCs/>
        </w:rPr>
        <w:t xml:space="preserve">the </w:t>
      </w:r>
      <w:r w:rsidRPr="008E63CF">
        <w:rPr>
          <w:b/>
          <w:bCs/>
        </w:rPr>
        <w:t>Federal Government</w:t>
      </w:r>
      <w:r w:rsidRPr="008E63CF">
        <w:br/>
      </w:r>
      <w:r w:rsidRPr="008E63CF">
        <w:br/>
      </w:r>
      <w:r w:rsidR="00645868" w:rsidRPr="00296F01">
        <w:t xml:space="preserve">The estimated </w:t>
      </w:r>
      <w:r w:rsidR="00645868">
        <w:t xml:space="preserve">annual </w:t>
      </w:r>
      <w:r w:rsidR="00645868" w:rsidRPr="00296F01">
        <w:t xml:space="preserve">cost to the </w:t>
      </w:r>
      <w:r w:rsidR="00645868">
        <w:t>F</w:t>
      </w:r>
      <w:r w:rsidR="00645868" w:rsidRPr="00296F01">
        <w:t>ederal government is approximately $</w:t>
      </w:r>
      <w:r w:rsidR="00645868">
        <w:t>8</w:t>
      </w:r>
      <w:r w:rsidR="00645868" w:rsidRPr="005F28B7">
        <w:t>,</w:t>
      </w:r>
      <w:r w:rsidR="0068749D">
        <w:t>70</w:t>
      </w:r>
      <w:r w:rsidR="00645868">
        <w:t>9</w:t>
      </w:r>
      <w:r w:rsidR="00645868" w:rsidRPr="005F28B7">
        <w:t>,000</w:t>
      </w:r>
      <w:r w:rsidR="00645868">
        <w:t xml:space="preserve">, </w:t>
      </w:r>
      <w:r w:rsidR="00645868" w:rsidRPr="0008565F">
        <w:t xml:space="preserve">to </w:t>
      </w:r>
      <w:r w:rsidR="00645868">
        <w:t>m</w:t>
      </w:r>
      <w:r w:rsidR="00645868" w:rsidRPr="0008565F">
        <w:t>aintain a database and process paper submissions</w:t>
      </w:r>
      <w:r w:rsidR="00645868" w:rsidRPr="00296F01">
        <w:t xml:space="preserve">.  </w:t>
      </w:r>
      <w:r w:rsidR="00645868">
        <w:t xml:space="preserve">FDA bases its estimate </w:t>
      </w:r>
      <w:r w:rsidR="00645868" w:rsidRPr="00296F01">
        <w:t xml:space="preserve">on the </w:t>
      </w:r>
      <w:r w:rsidR="00645868">
        <w:t>following:</w:t>
      </w:r>
    </w:p>
    <w:p w:rsidR="00645868" w:rsidRPr="00BC7C04" w:rsidRDefault="00645868" w:rsidP="00645868"/>
    <w:tbl>
      <w:tblPr>
        <w:tblW w:w="0" w:type="auto"/>
        <w:tblInd w:w="-70" w:type="dxa"/>
        <w:tblLayout w:type="fixed"/>
        <w:tblCellMar>
          <w:left w:w="0" w:type="dxa"/>
          <w:right w:w="0" w:type="dxa"/>
        </w:tblCellMar>
        <w:tblLook w:val="0000" w:firstRow="0" w:lastRow="0" w:firstColumn="0" w:lastColumn="0" w:noHBand="0" w:noVBand="0"/>
      </w:tblPr>
      <w:tblGrid>
        <w:gridCol w:w="4215"/>
        <w:gridCol w:w="1440"/>
      </w:tblGrid>
      <w:tr w:rsidR="00645868" w:rsidRPr="00BC7C04" w:rsidTr="00645868">
        <w:trPr>
          <w:trHeight w:val="315"/>
        </w:trPr>
        <w:tc>
          <w:tcPr>
            <w:tcW w:w="4215" w:type="dxa"/>
            <w:tcBorders>
              <w:top w:val="single" w:sz="4" w:space="0" w:color="auto"/>
              <w:left w:val="single" w:sz="4" w:space="0" w:color="auto"/>
              <w:bottom w:val="single" w:sz="4" w:space="0" w:color="auto"/>
              <w:right w:val="single" w:sz="4" w:space="0" w:color="auto"/>
            </w:tcBorders>
            <w:vAlign w:val="bottom"/>
          </w:tcPr>
          <w:p w:rsidR="00645868" w:rsidRPr="00645868" w:rsidRDefault="00645868" w:rsidP="002A233E">
            <w:pPr>
              <w:rPr>
                <w:rFonts w:eastAsia="Arial Unicode MS"/>
                <w:b/>
              </w:rPr>
            </w:pPr>
            <w:r w:rsidRPr="00645868">
              <w:rPr>
                <w:b/>
              </w:rPr>
              <w:t>FDA Costs</w:t>
            </w:r>
          </w:p>
        </w:tc>
        <w:tc>
          <w:tcPr>
            <w:tcW w:w="1440" w:type="dxa"/>
            <w:tcBorders>
              <w:top w:val="single" w:sz="4" w:space="0" w:color="auto"/>
              <w:left w:val="nil"/>
              <w:bottom w:val="single" w:sz="4" w:space="0" w:color="auto"/>
              <w:right w:val="single" w:sz="4" w:space="0" w:color="auto"/>
            </w:tcBorders>
            <w:vAlign w:val="bottom"/>
          </w:tcPr>
          <w:p w:rsidR="00645868" w:rsidRPr="005F28B7" w:rsidRDefault="00645868" w:rsidP="002A233E">
            <w:pPr>
              <w:rPr>
                <w:rFonts w:eastAsia="Arial Unicode MS"/>
              </w:rPr>
            </w:pP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Development/Modification/Enhancement</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$2,300,000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Maintenance/Steady State</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$4,300,000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Number of FTEs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2</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Cost per FTE</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$97,000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Processing paper submissions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$1,600,000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Mailing costs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$35,000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645868">
            <w:r>
              <w:t xml:space="preserve">FSMA-required </w:t>
            </w:r>
            <w:r>
              <w:rPr>
                <w:rFonts w:cs="Courier New"/>
              </w:rPr>
              <w:t>changes to the paper form and the electronic submission system (</w:t>
            </w:r>
            <w:r w:rsidRPr="0019428C">
              <w:rPr>
                <w:rFonts w:cs="Courier New"/>
              </w:rPr>
              <w:t>design</w:t>
            </w:r>
            <w:r>
              <w:rPr>
                <w:rFonts w:cs="Courier New"/>
              </w:rPr>
              <w:t xml:space="preserve">, software </w:t>
            </w:r>
            <w:r w:rsidRPr="0019428C">
              <w:rPr>
                <w:rFonts w:cs="Courier New"/>
              </w:rPr>
              <w:t xml:space="preserve">and </w:t>
            </w:r>
            <w:r>
              <w:rPr>
                <w:rFonts w:cs="Courier New"/>
              </w:rPr>
              <w:t xml:space="preserve"> </w:t>
            </w:r>
            <w:r w:rsidRPr="0019428C">
              <w:rPr>
                <w:rFonts w:cs="Courier New"/>
              </w:rPr>
              <w:t>network interface</w:t>
            </w:r>
            <w:r>
              <w:rPr>
                <w:rFonts w:cs="Courier New"/>
              </w:rPr>
              <w:t xml:space="preserve"> changes)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pPr>
            <w:r>
              <w:t>$280,000</w:t>
            </w:r>
          </w:p>
        </w:tc>
      </w:tr>
      <w:tr w:rsidR="00645868" w:rsidRPr="00BC7C04" w:rsidTr="00645868">
        <w:trPr>
          <w:trHeight w:val="330"/>
        </w:trPr>
        <w:tc>
          <w:tcPr>
            <w:tcW w:w="4215" w:type="dxa"/>
            <w:tcBorders>
              <w:top w:val="single" w:sz="4" w:space="0" w:color="auto"/>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b/>
              </w:rPr>
            </w:pPr>
            <w:r w:rsidRPr="00BC7C04">
              <w:rPr>
                <w:b/>
              </w:rPr>
              <w:t>Total</w:t>
            </w:r>
          </w:p>
        </w:tc>
        <w:tc>
          <w:tcPr>
            <w:tcW w:w="1440" w:type="dxa"/>
            <w:tcBorders>
              <w:top w:val="single" w:sz="4" w:space="0" w:color="auto"/>
              <w:left w:val="nil"/>
              <w:bottom w:val="single" w:sz="4" w:space="0" w:color="auto"/>
              <w:right w:val="single" w:sz="4" w:space="0" w:color="auto"/>
            </w:tcBorders>
            <w:vAlign w:val="bottom"/>
          </w:tcPr>
          <w:p w:rsidR="00645868" w:rsidRPr="005F28B7" w:rsidRDefault="00645868" w:rsidP="00645868">
            <w:pPr>
              <w:jc w:val="right"/>
              <w:rPr>
                <w:rFonts w:eastAsia="Arial Unicode MS"/>
                <w:b/>
              </w:rPr>
            </w:pPr>
            <w:r w:rsidRPr="005F28B7">
              <w:rPr>
                <w:b/>
              </w:rPr>
              <w:t>$8,</w:t>
            </w:r>
            <w:r>
              <w:rPr>
                <w:b/>
              </w:rPr>
              <w:t>70</w:t>
            </w:r>
            <w:r w:rsidRPr="005F28B7">
              <w:rPr>
                <w:b/>
              </w:rPr>
              <w:t>9,000</w:t>
            </w:r>
          </w:p>
        </w:tc>
      </w:tr>
    </w:tbl>
    <w:p w:rsidR="001C6C3C" w:rsidRDefault="00F714BC" w:rsidP="004F166E">
      <w:pPr>
        <w:spacing w:before="100" w:beforeAutospacing="1" w:after="100" w:afterAutospacing="1"/>
      </w:pPr>
      <w:r>
        <w:rPr>
          <w:b/>
          <w:bCs/>
        </w:rPr>
        <w:t xml:space="preserve">15.  </w:t>
      </w:r>
      <w:r w:rsidR="001C6C3C" w:rsidRPr="008E63CF">
        <w:rPr>
          <w:b/>
          <w:bCs/>
        </w:rPr>
        <w:t>Explanation for Program Changes or Adjustments</w:t>
      </w:r>
      <w:r w:rsidR="001C6C3C">
        <w:t xml:space="preserve"> </w:t>
      </w:r>
    </w:p>
    <w:p w:rsidR="001C6C3C" w:rsidRDefault="006A0825"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time burden shown in the current inventory (505,696 hours) is higher than the requested burden </w:t>
      </w:r>
      <w:r w:rsidR="00E67EA0">
        <w:t xml:space="preserve">of </w:t>
      </w:r>
      <w:r w:rsidRPr="00523652">
        <w:t>468,117</w:t>
      </w:r>
      <w:r w:rsidR="00E67EA0">
        <w:t xml:space="preserve"> hours</w:t>
      </w:r>
      <w:r>
        <w:t xml:space="preserve">. This adjustment is </w:t>
      </w:r>
      <w:r w:rsidR="00842AD6">
        <w:t xml:space="preserve">primarily </w:t>
      </w:r>
      <w:r w:rsidR="00E67EA0">
        <w:t>the</w:t>
      </w:r>
      <w:r>
        <w:t xml:space="preserve"> result of </w:t>
      </w:r>
      <w:r w:rsidRPr="009733A9">
        <w:t xml:space="preserve">a reduction in the </w:t>
      </w:r>
      <w:r w:rsidR="00E67EA0">
        <w:t xml:space="preserve">estimated </w:t>
      </w:r>
      <w:r w:rsidRPr="009733A9">
        <w:t xml:space="preserve">number of new </w:t>
      </w:r>
      <w:r w:rsidR="00842AD6">
        <w:t>domestic and foreign</w:t>
      </w:r>
      <w:r w:rsidR="00842AD6" w:rsidRPr="009733A9">
        <w:t xml:space="preserve"> </w:t>
      </w:r>
      <w:r w:rsidRPr="009733A9">
        <w:t>registrations</w:t>
      </w:r>
      <w:r w:rsidR="00842AD6">
        <w:t xml:space="preserve">.  Based on data from 2011 and 2012 registrations, new domestic registrations are estimated to decrease from 13,560 to 11,080 per year and new foreign registrations are estimated to decrease from 23,370 to 19,900 per year.  </w:t>
      </w:r>
      <w:r w:rsidR="00DE6F3A" w:rsidRPr="00DE6F3A">
        <w:t xml:space="preserve"> Additionally, IC nos. 5, 6, and 8 were removed/deleted, as the burden for these previously new elements are now incorporated into the existing approved elements respectively.</w:t>
      </w:r>
    </w:p>
    <w:p w:rsidR="00EA13B0" w:rsidRDefault="00EA13B0"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1C6C3C" w:rsidRPr="008E63CF" w:rsidRDefault="00F714BC"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 xml:space="preserve">16.  </w:t>
      </w:r>
      <w:r w:rsidR="001C6C3C" w:rsidRPr="008E63CF">
        <w:rPr>
          <w:b/>
          <w:bCs/>
        </w:rPr>
        <w:t xml:space="preserve">Plans for Tabulation and Publication and Project Time Schedule </w:t>
      </w:r>
    </w:p>
    <w:p w:rsidR="00AD39EE" w:rsidRDefault="001C6C3C"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8E63CF">
        <w:rPr>
          <w:u w:val="single"/>
        </w:rPr>
        <w:br/>
      </w:r>
      <w:r w:rsidR="00DC3893" w:rsidRPr="00851A4E">
        <w:t>The information from this collection will not be published.</w:t>
      </w:r>
    </w:p>
    <w:p w:rsidR="00F26AD2" w:rsidRPr="008E63CF" w:rsidRDefault="00DC3893"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id="0" w:name="_GoBack"/>
      <w:bookmarkEnd w:id="0"/>
      <w:r w:rsidRPr="003F44F2">
        <w:br/>
      </w:r>
    </w:p>
    <w:p w:rsidR="00F26AD2" w:rsidRDefault="00F714BC" w:rsidP="00F26AD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lastRenderedPageBreak/>
        <w:t xml:space="preserve">17.  </w:t>
      </w:r>
      <w:r w:rsidR="00F26AD2" w:rsidRPr="008E63CF">
        <w:rPr>
          <w:b/>
          <w:bCs/>
        </w:rPr>
        <w:t xml:space="preserve">Reason(s) Display of OMB Expiration Date is Inappropriate </w:t>
      </w:r>
    </w:p>
    <w:p w:rsidR="001C6C3C" w:rsidRDefault="00F26AD2" w:rsidP="005B6236">
      <w:r w:rsidRPr="008E63CF">
        <w:br/>
      </w:r>
      <w:r w:rsidR="00DC3893">
        <w:t>There are no reasons why display of the expiration date for OMB approval of the information collection would be inappropriate.</w:t>
      </w:r>
    </w:p>
    <w:p w:rsidR="005B6236" w:rsidRPr="005B6236" w:rsidRDefault="005B6236" w:rsidP="005B6236"/>
    <w:p w:rsidR="002746DB" w:rsidRPr="004C6979" w:rsidRDefault="00F714BC" w:rsidP="003750D5">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bCs/>
        </w:rPr>
        <w:t xml:space="preserve">18.  </w:t>
      </w:r>
      <w:r w:rsidR="00F26AD2" w:rsidRPr="008E63CF">
        <w:rPr>
          <w:b/>
          <w:bCs/>
        </w:rPr>
        <w:t>Exceptions to Certification for Paperwork Reduction Act Submissions</w:t>
      </w:r>
      <w:r w:rsidR="00F26AD2" w:rsidRPr="008E63CF">
        <w:br/>
      </w:r>
      <w:r w:rsidR="00F26AD2" w:rsidRPr="008E63CF">
        <w:br/>
      </w:r>
      <w:r w:rsidR="00F26AD2">
        <w:t>There are no exceptions to the certification.</w:t>
      </w:r>
    </w:p>
    <w:sectPr w:rsidR="002746DB" w:rsidRPr="004C6979" w:rsidSect="0068749D">
      <w:footerReference w:type="even" r:id="rId14"/>
      <w:footerReference w:type="default" r:id="rId15"/>
      <w:pgSz w:w="12240" w:h="15840" w:code="1"/>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8F" w:rsidRDefault="00E8308F">
      <w:r>
        <w:separator/>
      </w:r>
    </w:p>
  </w:endnote>
  <w:endnote w:type="continuationSeparator" w:id="0">
    <w:p w:rsidR="00E8308F" w:rsidRDefault="00E8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F8" w:rsidRDefault="00FC1DF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1DF8" w:rsidRDefault="00FC1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F8" w:rsidRDefault="00FC1DF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9EE">
      <w:rPr>
        <w:rStyle w:val="PageNumber"/>
      </w:rPr>
      <w:t>1</w:t>
    </w:r>
    <w:r>
      <w:rPr>
        <w:rStyle w:val="PageNumber"/>
      </w:rPr>
      <w:fldChar w:fldCharType="end"/>
    </w:r>
  </w:p>
  <w:p w:rsidR="00FC1DF8" w:rsidRDefault="00FC1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8F" w:rsidRDefault="00E8308F">
      <w:r>
        <w:separator/>
      </w:r>
    </w:p>
  </w:footnote>
  <w:footnote w:type="continuationSeparator" w:id="0">
    <w:p w:rsidR="00E8308F" w:rsidRDefault="00E8308F">
      <w:r>
        <w:continuationSeparator/>
      </w:r>
    </w:p>
  </w:footnote>
  <w:footnote w:id="1">
    <w:p w:rsidR="00421DBD" w:rsidRDefault="00421DBD" w:rsidP="00421DBD">
      <w:pPr>
        <w:pStyle w:val="FootnoteText"/>
      </w:pPr>
      <w:r>
        <w:rPr>
          <w:rStyle w:val="FootnoteReference"/>
        </w:rPr>
        <w:footnoteRef/>
      </w:r>
      <w:r>
        <w:t xml:space="preserve"> FDA concludes that the suspension of registration collections of information in section 415(b) of the FD&amp;C Act are exempt from OMB review under 44 U.S.C. 3518(c)(1)(B)(ii) and 5 CFR 1320.4(a)(2) as collections of information obtained during the conduct of a civil action to which the United States or any official or agency thereof is a party, or during the conduct of an administrative action, investigation, or audit involving an agency against specific individuals or entities.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62E228F"/>
    <w:multiLevelType w:val="hybridMultilevel"/>
    <w:tmpl w:val="13366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02ECC"/>
    <w:multiLevelType w:val="hybridMultilevel"/>
    <w:tmpl w:val="EF8EA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7"/>
  </w:num>
  <w:num w:numId="6">
    <w:abstractNumId w:val="23"/>
  </w:num>
  <w:num w:numId="7">
    <w:abstractNumId w:val="29"/>
  </w:num>
  <w:num w:numId="8">
    <w:abstractNumId w:val="4"/>
  </w:num>
  <w:num w:numId="9">
    <w:abstractNumId w:val="24"/>
  </w:num>
  <w:num w:numId="10">
    <w:abstractNumId w:val="20"/>
  </w:num>
  <w:num w:numId="11">
    <w:abstractNumId w:val="9"/>
  </w:num>
  <w:num w:numId="12">
    <w:abstractNumId w:val="32"/>
  </w:num>
  <w:num w:numId="13">
    <w:abstractNumId w:val="19"/>
  </w:num>
  <w:num w:numId="14">
    <w:abstractNumId w:val="8"/>
  </w:num>
  <w:num w:numId="15">
    <w:abstractNumId w:val="14"/>
  </w:num>
  <w:num w:numId="16">
    <w:abstractNumId w:val="13"/>
  </w:num>
  <w:num w:numId="17">
    <w:abstractNumId w:val="28"/>
  </w:num>
  <w:num w:numId="18">
    <w:abstractNumId w:val="31"/>
  </w:num>
  <w:num w:numId="19">
    <w:abstractNumId w:val="30"/>
  </w:num>
  <w:num w:numId="20">
    <w:abstractNumId w:val="18"/>
  </w:num>
  <w:num w:numId="21">
    <w:abstractNumId w:val="12"/>
  </w:num>
  <w:num w:numId="22">
    <w:abstractNumId w:val="3"/>
  </w:num>
  <w:num w:numId="23">
    <w:abstractNumId w:val="25"/>
  </w:num>
  <w:num w:numId="24">
    <w:abstractNumId w:val="22"/>
  </w:num>
  <w:num w:numId="25">
    <w:abstractNumId w:val="11"/>
  </w:num>
  <w:num w:numId="26">
    <w:abstractNumId w:val="6"/>
  </w:num>
  <w:num w:numId="27">
    <w:abstractNumId w:val="33"/>
  </w:num>
  <w:num w:numId="28">
    <w:abstractNumId w:val="27"/>
  </w:num>
  <w:num w:numId="29">
    <w:abstractNumId w:val="5"/>
  </w:num>
  <w:num w:numId="30">
    <w:abstractNumId w:val="17"/>
  </w:num>
  <w:num w:numId="31">
    <w:abstractNumId w:val="2"/>
  </w:num>
  <w:num w:numId="32">
    <w:abstractNumId w:val="1"/>
  </w:num>
  <w:num w:numId="33">
    <w:abstractNumId w:val="26"/>
  </w:num>
  <w:num w:numId="3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728A"/>
    <w:rsid w:val="00012455"/>
    <w:rsid w:val="00026E1A"/>
    <w:rsid w:val="00030E4D"/>
    <w:rsid w:val="00033A8B"/>
    <w:rsid w:val="0004434E"/>
    <w:rsid w:val="00044ADB"/>
    <w:rsid w:val="00047159"/>
    <w:rsid w:val="00051FAD"/>
    <w:rsid w:val="0005448D"/>
    <w:rsid w:val="000620D8"/>
    <w:rsid w:val="0006556C"/>
    <w:rsid w:val="0006570F"/>
    <w:rsid w:val="00071615"/>
    <w:rsid w:val="00084149"/>
    <w:rsid w:val="00093D44"/>
    <w:rsid w:val="00093E50"/>
    <w:rsid w:val="00097C38"/>
    <w:rsid w:val="000A1E64"/>
    <w:rsid w:val="000A3CA3"/>
    <w:rsid w:val="000A752D"/>
    <w:rsid w:val="000B1B0C"/>
    <w:rsid w:val="000C1173"/>
    <w:rsid w:val="000C2153"/>
    <w:rsid w:val="000C711F"/>
    <w:rsid w:val="000D1BBD"/>
    <w:rsid w:val="000D471B"/>
    <w:rsid w:val="000D48FD"/>
    <w:rsid w:val="000D7A0E"/>
    <w:rsid w:val="000E1C64"/>
    <w:rsid w:val="000F06CA"/>
    <w:rsid w:val="00102FD0"/>
    <w:rsid w:val="0010496A"/>
    <w:rsid w:val="00107885"/>
    <w:rsid w:val="001108FD"/>
    <w:rsid w:val="00111FF3"/>
    <w:rsid w:val="00114FC4"/>
    <w:rsid w:val="0012329C"/>
    <w:rsid w:val="001253E2"/>
    <w:rsid w:val="00134FA7"/>
    <w:rsid w:val="00137950"/>
    <w:rsid w:val="00141AE2"/>
    <w:rsid w:val="00141CE1"/>
    <w:rsid w:val="00143BA2"/>
    <w:rsid w:val="00150813"/>
    <w:rsid w:val="00151304"/>
    <w:rsid w:val="00152F29"/>
    <w:rsid w:val="00155B7D"/>
    <w:rsid w:val="00156009"/>
    <w:rsid w:val="001571FC"/>
    <w:rsid w:val="0017083F"/>
    <w:rsid w:val="00170CAC"/>
    <w:rsid w:val="001734BF"/>
    <w:rsid w:val="00173BF8"/>
    <w:rsid w:val="00175A50"/>
    <w:rsid w:val="00185237"/>
    <w:rsid w:val="00185270"/>
    <w:rsid w:val="00186224"/>
    <w:rsid w:val="001A054F"/>
    <w:rsid w:val="001A32CC"/>
    <w:rsid w:val="001A3B5A"/>
    <w:rsid w:val="001A515F"/>
    <w:rsid w:val="001B1A72"/>
    <w:rsid w:val="001B5138"/>
    <w:rsid w:val="001B559D"/>
    <w:rsid w:val="001B7CE9"/>
    <w:rsid w:val="001C2626"/>
    <w:rsid w:val="001C6C3C"/>
    <w:rsid w:val="001D495A"/>
    <w:rsid w:val="001D50EA"/>
    <w:rsid w:val="00206F4F"/>
    <w:rsid w:val="002129D6"/>
    <w:rsid w:val="0021464B"/>
    <w:rsid w:val="002218CC"/>
    <w:rsid w:val="002259EF"/>
    <w:rsid w:val="00242ED1"/>
    <w:rsid w:val="002437C1"/>
    <w:rsid w:val="002449AD"/>
    <w:rsid w:val="00245259"/>
    <w:rsid w:val="002459DD"/>
    <w:rsid w:val="0025061A"/>
    <w:rsid w:val="00251347"/>
    <w:rsid w:val="002536A2"/>
    <w:rsid w:val="00254069"/>
    <w:rsid w:val="0025648F"/>
    <w:rsid w:val="0026749E"/>
    <w:rsid w:val="002734E5"/>
    <w:rsid w:val="002746DB"/>
    <w:rsid w:val="00277DB2"/>
    <w:rsid w:val="00280CAF"/>
    <w:rsid w:val="00282F09"/>
    <w:rsid w:val="00286684"/>
    <w:rsid w:val="002A233E"/>
    <w:rsid w:val="002A49A2"/>
    <w:rsid w:val="002B1199"/>
    <w:rsid w:val="002C5963"/>
    <w:rsid w:val="002D3BBB"/>
    <w:rsid w:val="002D3EA0"/>
    <w:rsid w:val="002D4635"/>
    <w:rsid w:val="002D4799"/>
    <w:rsid w:val="002D7A8B"/>
    <w:rsid w:val="002E3FA4"/>
    <w:rsid w:val="002E450E"/>
    <w:rsid w:val="002E451B"/>
    <w:rsid w:val="002E49A2"/>
    <w:rsid w:val="002F03EF"/>
    <w:rsid w:val="002F3B9A"/>
    <w:rsid w:val="00303AD6"/>
    <w:rsid w:val="003065EB"/>
    <w:rsid w:val="00307D67"/>
    <w:rsid w:val="003132F2"/>
    <w:rsid w:val="003176E7"/>
    <w:rsid w:val="00321179"/>
    <w:rsid w:val="0032277F"/>
    <w:rsid w:val="00324558"/>
    <w:rsid w:val="0033016F"/>
    <w:rsid w:val="003338F2"/>
    <w:rsid w:val="00335583"/>
    <w:rsid w:val="00350523"/>
    <w:rsid w:val="00370D4D"/>
    <w:rsid w:val="003740BC"/>
    <w:rsid w:val="003750D5"/>
    <w:rsid w:val="00376313"/>
    <w:rsid w:val="003801A3"/>
    <w:rsid w:val="00383BB2"/>
    <w:rsid w:val="00383D90"/>
    <w:rsid w:val="00386A33"/>
    <w:rsid w:val="00390E31"/>
    <w:rsid w:val="00396F05"/>
    <w:rsid w:val="003A047D"/>
    <w:rsid w:val="003A7426"/>
    <w:rsid w:val="003B3F50"/>
    <w:rsid w:val="003B42B3"/>
    <w:rsid w:val="003B604E"/>
    <w:rsid w:val="003B6384"/>
    <w:rsid w:val="003B6C48"/>
    <w:rsid w:val="003C0BBA"/>
    <w:rsid w:val="003C176A"/>
    <w:rsid w:val="003C371B"/>
    <w:rsid w:val="003C3C35"/>
    <w:rsid w:val="003C4EBB"/>
    <w:rsid w:val="003C6C3C"/>
    <w:rsid w:val="003D1531"/>
    <w:rsid w:val="003D4BAC"/>
    <w:rsid w:val="003D6517"/>
    <w:rsid w:val="003E26C9"/>
    <w:rsid w:val="003E4EC6"/>
    <w:rsid w:val="003E527E"/>
    <w:rsid w:val="003E553E"/>
    <w:rsid w:val="003E7078"/>
    <w:rsid w:val="003F3DF5"/>
    <w:rsid w:val="00406D8E"/>
    <w:rsid w:val="00411D11"/>
    <w:rsid w:val="004121CA"/>
    <w:rsid w:val="00415E23"/>
    <w:rsid w:val="00417AE5"/>
    <w:rsid w:val="00421DBD"/>
    <w:rsid w:val="00422808"/>
    <w:rsid w:val="00424061"/>
    <w:rsid w:val="00424183"/>
    <w:rsid w:val="004356FB"/>
    <w:rsid w:val="00435ED1"/>
    <w:rsid w:val="004375AC"/>
    <w:rsid w:val="00437D94"/>
    <w:rsid w:val="00440756"/>
    <w:rsid w:val="00443969"/>
    <w:rsid w:val="00447441"/>
    <w:rsid w:val="00447D74"/>
    <w:rsid w:val="00460225"/>
    <w:rsid w:val="00465350"/>
    <w:rsid w:val="0047134F"/>
    <w:rsid w:val="004720AC"/>
    <w:rsid w:val="004846BF"/>
    <w:rsid w:val="0049330A"/>
    <w:rsid w:val="00496AE6"/>
    <w:rsid w:val="004A0BF3"/>
    <w:rsid w:val="004A1957"/>
    <w:rsid w:val="004B3885"/>
    <w:rsid w:val="004C6979"/>
    <w:rsid w:val="004C7BFC"/>
    <w:rsid w:val="004D3E7A"/>
    <w:rsid w:val="004E0027"/>
    <w:rsid w:val="004E1732"/>
    <w:rsid w:val="004E24B7"/>
    <w:rsid w:val="004E53D2"/>
    <w:rsid w:val="004F166E"/>
    <w:rsid w:val="004F52F7"/>
    <w:rsid w:val="00500157"/>
    <w:rsid w:val="005002E9"/>
    <w:rsid w:val="0051282F"/>
    <w:rsid w:val="00512AB5"/>
    <w:rsid w:val="00513930"/>
    <w:rsid w:val="00513D72"/>
    <w:rsid w:val="00523652"/>
    <w:rsid w:val="00524634"/>
    <w:rsid w:val="005357C3"/>
    <w:rsid w:val="00542170"/>
    <w:rsid w:val="00544138"/>
    <w:rsid w:val="00545B3A"/>
    <w:rsid w:val="00555C85"/>
    <w:rsid w:val="0056403B"/>
    <w:rsid w:val="00574020"/>
    <w:rsid w:val="005808A8"/>
    <w:rsid w:val="00581553"/>
    <w:rsid w:val="00584583"/>
    <w:rsid w:val="005855CF"/>
    <w:rsid w:val="00585C49"/>
    <w:rsid w:val="005924B2"/>
    <w:rsid w:val="00594AD6"/>
    <w:rsid w:val="005A370A"/>
    <w:rsid w:val="005A4099"/>
    <w:rsid w:val="005A65DA"/>
    <w:rsid w:val="005B4FBB"/>
    <w:rsid w:val="005B5AD9"/>
    <w:rsid w:val="005B6236"/>
    <w:rsid w:val="005C38B2"/>
    <w:rsid w:val="005C5029"/>
    <w:rsid w:val="005C55C2"/>
    <w:rsid w:val="005D4DF5"/>
    <w:rsid w:val="005D51A3"/>
    <w:rsid w:val="005E212F"/>
    <w:rsid w:val="005E2510"/>
    <w:rsid w:val="005E2DC0"/>
    <w:rsid w:val="005E55D1"/>
    <w:rsid w:val="005F4559"/>
    <w:rsid w:val="0060375E"/>
    <w:rsid w:val="00606622"/>
    <w:rsid w:val="00611D6B"/>
    <w:rsid w:val="006165A4"/>
    <w:rsid w:val="00620D19"/>
    <w:rsid w:val="00625040"/>
    <w:rsid w:val="00625E01"/>
    <w:rsid w:val="00626481"/>
    <w:rsid w:val="006270E2"/>
    <w:rsid w:val="00627675"/>
    <w:rsid w:val="00635554"/>
    <w:rsid w:val="00636FCA"/>
    <w:rsid w:val="00645868"/>
    <w:rsid w:val="0064618B"/>
    <w:rsid w:val="00646F13"/>
    <w:rsid w:val="00656165"/>
    <w:rsid w:val="0066386E"/>
    <w:rsid w:val="00667056"/>
    <w:rsid w:val="0066758C"/>
    <w:rsid w:val="00672C5D"/>
    <w:rsid w:val="00681F40"/>
    <w:rsid w:val="0068749D"/>
    <w:rsid w:val="0069536B"/>
    <w:rsid w:val="00696AF9"/>
    <w:rsid w:val="006A0825"/>
    <w:rsid w:val="006A14AB"/>
    <w:rsid w:val="006A26C6"/>
    <w:rsid w:val="006A69DD"/>
    <w:rsid w:val="006A6F68"/>
    <w:rsid w:val="006A7D5D"/>
    <w:rsid w:val="006B4FC5"/>
    <w:rsid w:val="006B6988"/>
    <w:rsid w:val="006B6D67"/>
    <w:rsid w:val="006C4349"/>
    <w:rsid w:val="006C6C18"/>
    <w:rsid w:val="006D0081"/>
    <w:rsid w:val="006D2274"/>
    <w:rsid w:val="006F3EF2"/>
    <w:rsid w:val="006F4D6D"/>
    <w:rsid w:val="00701680"/>
    <w:rsid w:val="00705086"/>
    <w:rsid w:val="00712687"/>
    <w:rsid w:val="00715D63"/>
    <w:rsid w:val="00736C57"/>
    <w:rsid w:val="00754497"/>
    <w:rsid w:val="0078402B"/>
    <w:rsid w:val="00785D20"/>
    <w:rsid w:val="00786F3D"/>
    <w:rsid w:val="00787B1F"/>
    <w:rsid w:val="00787B92"/>
    <w:rsid w:val="00787C39"/>
    <w:rsid w:val="00795DF3"/>
    <w:rsid w:val="007978D1"/>
    <w:rsid w:val="007A1661"/>
    <w:rsid w:val="007A373C"/>
    <w:rsid w:val="007A495C"/>
    <w:rsid w:val="007A64D2"/>
    <w:rsid w:val="007B3594"/>
    <w:rsid w:val="007B795C"/>
    <w:rsid w:val="007C19EC"/>
    <w:rsid w:val="007C6C9C"/>
    <w:rsid w:val="007C75B1"/>
    <w:rsid w:val="007D1FCF"/>
    <w:rsid w:val="007D3DFC"/>
    <w:rsid w:val="007F432B"/>
    <w:rsid w:val="007F755B"/>
    <w:rsid w:val="007F7D94"/>
    <w:rsid w:val="0080776D"/>
    <w:rsid w:val="00810145"/>
    <w:rsid w:val="008108FA"/>
    <w:rsid w:val="00810FF1"/>
    <w:rsid w:val="0081160C"/>
    <w:rsid w:val="0081289A"/>
    <w:rsid w:val="00813D8C"/>
    <w:rsid w:val="00814C5C"/>
    <w:rsid w:val="0081610D"/>
    <w:rsid w:val="008164DC"/>
    <w:rsid w:val="00817B32"/>
    <w:rsid w:val="00822336"/>
    <w:rsid w:val="00823DFA"/>
    <w:rsid w:val="00826F2B"/>
    <w:rsid w:val="008374B4"/>
    <w:rsid w:val="0084110E"/>
    <w:rsid w:val="0084276F"/>
    <w:rsid w:val="00842AD6"/>
    <w:rsid w:val="00843752"/>
    <w:rsid w:val="00843F9B"/>
    <w:rsid w:val="00846AAF"/>
    <w:rsid w:val="008518D6"/>
    <w:rsid w:val="00852517"/>
    <w:rsid w:val="00854979"/>
    <w:rsid w:val="00855BCF"/>
    <w:rsid w:val="00885B09"/>
    <w:rsid w:val="00892400"/>
    <w:rsid w:val="00895D18"/>
    <w:rsid w:val="008A209D"/>
    <w:rsid w:val="008A4DDA"/>
    <w:rsid w:val="008B0E29"/>
    <w:rsid w:val="008B0EFA"/>
    <w:rsid w:val="008B30AB"/>
    <w:rsid w:val="008B3ABC"/>
    <w:rsid w:val="008B3C0E"/>
    <w:rsid w:val="008C3CC1"/>
    <w:rsid w:val="008C6229"/>
    <w:rsid w:val="008F0BDE"/>
    <w:rsid w:val="00902FB4"/>
    <w:rsid w:val="00905DEF"/>
    <w:rsid w:val="00910136"/>
    <w:rsid w:val="009115DB"/>
    <w:rsid w:val="00924DCD"/>
    <w:rsid w:val="00926678"/>
    <w:rsid w:val="00930203"/>
    <w:rsid w:val="009311D2"/>
    <w:rsid w:val="00931275"/>
    <w:rsid w:val="00936AC7"/>
    <w:rsid w:val="009440B8"/>
    <w:rsid w:val="0095108A"/>
    <w:rsid w:val="0095396F"/>
    <w:rsid w:val="00957625"/>
    <w:rsid w:val="00957DA0"/>
    <w:rsid w:val="00960918"/>
    <w:rsid w:val="00960B87"/>
    <w:rsid w:val="009729E6"/>
    <w:rsid w:val="009755ED"/>
    <w:rsid w:val="00982923"/>
    <w:rsid w:val="00990EBD"/>
    <w:rsid w:val="009927B8"/>
    <w:rsid w:val="00992DAB"/>
    <w:rsid w:val="0099406C"/>
    <w:rsid w:val="00996035"/>
    <w:rsid w:val="00997079"/>
    <w:rsid w:val="00997984"/>
    <w:rsid w:val="009A02AE"/>
    <w:rsid w:val="009A1674"/>
    <w:rsid w:val="009A4126"/>
    <w:rsid w:val="009B1856"/>
    <w:rsid w:val="009B19D8"/>
    <w:rsid w:val="009B48F8"/>
    <w:rsid w:val="009B5B40"/>
    <w:rsid w:val="009C086B"/>
    <w:rsid w:val="009C2875"/>
    <w:rsid w:val="009C333B"/>
    <w:rsid w:val="009D074C"/>
    <w:rsid w:val="009E6D0C"/>
    <w:rsid w:val="009F21CF"/>
    <w:rsid w:val="009F2B4F"/>
    <w:rsid w:val="009F4F14"/>
    <w:rsid w:val="009F66B5"/>
    <w:rsid w:val="00A10A6E"/>
    <w:rsid w:val="00A11B56"/>
    <w:rsid w:val="00A137CB"/>
    <w:rsid w:val="00A20A7D"/>
    <w:rsid w:val="00A215DD"/>
    <w:rsid w:val="00A23408"/>
    <w:rsid w:val="00A27161"/>
    <w:rsid w:val="00A3116B"/>
    <w:rsid w:val="00A35D42"/>
    <w:rsid w:val="00A37B0B"/>
    <w:rsid w:val="00A41C00"/>
    <w:rsid w:val="00A420F0"/>
    <w:rsid w:val="00A4395E"/>
    <w:rsid w:val="00A46CCF"/>
    <w:rsid w:val="00A55A53"/>
    <w:rsid w:val="00A5644B"/>
    <w:rsid w:val="00A56D3B"/>
    <w:rsid w:val="00A57F64"/>
    <w:rsid w:val="00A601E9"/>
    <w:rsid w:val="00A60DCA"/>
    <w:rsid w:val="00A63DE5"/>
    <w:rsid w:val="00A658A6"/>
    <w:rsid w:val="00A65B1E"/>
    <w:rsid w:val="00A67530"/>
    <w:rsid w:val="00A70426"/>
    <w:rsid w:val="00A712D8"/>
    <w:rsid w:val="00A91E9A"/>
    <w:rsid w:val="00A93ED9"/>
    <w:rsid w:val="00A9456C"/>
    <w:rsid w:val="00A971D4"/>
    <w:rsid w:val="00A97606"/>
    <w:rsid w:val="00AA3479"/>
    <w:rsid w:val="00AA6712"/>
    <w:rsid w:val="00AA7ECE"/>
    <w:rsid w:val="00AB4197"/>
    <w:rsid w:val="00AC1C17"/>
    <w:rsid w:val="00AC5419"/>
    <w:rsid w:val="00AC6A99"/>
    <w:rsid w:val="00AD39EE"/>
    <w:rsid w:val="00AD4389"/>
    <w:rsid w:val="00AE157E"/>
    <w:rsid w:val="00AE191C"/>
    <w:rsid w:val="00AE2043"/>
    <w:rsid w:val="00AE5072"/>
    <w:rsid w:val="00AE6A63"/>
    <w:rsid w:val="00AF58C5"/>
    <w:rsid w:val="00B01A5F"/>
    <w:rsid w:val="00B055EF"/>
    <w:rsid w:val="00B11C04"/>
    <w:rsid w:val="00B23769"/>
    <w:rsid w:val="00B3567F"/>
    <w:rsid w:val="00B362B2"/>
    <w:rsid w:val="00B4282C"/>
    <w:rsid w:val="00B42BC9"/>
    <w:rsid w:val="00B438F8"/>
    <w:rsid w:val="00B44ECA"/>
    <w:rsid w:val="00B45713"/>
    <w:rsid w:val="00B51FB3"/>
    <w:rsid w:val="00B523A7"/>
    <w:rsid w:val="00B52714"/>
    <w:rsid w:val="00B55D39"/>
    <w:rsid w:val="00B56D63"/>
    <w:rsid w:val="00B6381A"/>
    <w:rsid w:val="00B66976"/>
    <w:rsid w:val="00B77495"/>
    <w:rsid w:val="00B8492B"/>
    <w:rsid w:val="00B936D0"/>
    <w:rsid w:val="00BA3700"/>
    <w:rsid w:val="00BA5422"/>
    <w:rsid w:val="00BB4F02"/>
    <w:rsid w:val="00BD7DCD"/>
    <w:rsid w:val="00BE3600"/>
    <w:rsid w:val="00BF2901"/>
    <w:rsid w:val="00C01F6F"/>
    <w:rsid w:val="00C106BF"/>
    <w:rsid w:val="00C12A84"/>
    <w:rsid w:val="00C149AB"/>
    <w:rsid w:val="00C1502F"/>
    <w:rsid w:val="00C23E27"/>
    <w:rsid w:val="00C3518D"/>
    <w:rsid w:val="00C37684"/>
    <w:rsid w:val="00C4039E"/>
    <w:rsid w:val="00C40694"/>
    <w:rsid w:val="00C415EF"/>
    <w:rsid w:val="00C43631"/>
    <w:rsid w:val="00C551C2"/>
    <w:rsid w:val="00C63658"/>
    <w:rsid w:val="00C64035"/>
    <w:rsid w:val="00C644CB"/>
    <w:rsid w:val="00C70542"/>
    <w:rsid w:val="00C71F0C"/>
    <w:rsid w:val="00C75CBF"/>
    <w:rsid w:val="00C80DEC"/>
    <w:rsid w:val="00C86E2F"/>
    <w:rsid w:val="00C879EE"/>
    <w:rsid w:val="00C87DF6"/>
    <w:rsid w:val="00CA32D1"/>
    <w:rsid w:val="00CB4A1E"/>
    <w:rsid w:val="00CC2894"/>
    <w:rsid w:val="00CC5F7D"/>
    <w:rsid w:val="00CC765F"/>
    <w:rsid w:val="00CD2CAF"/>
    <w:rsid w:val="00CD3BE9"/>
    <w:rsid w:val="00CD77C3"/>
    <w:rsid w:val="00CE0A87"/>
    <w:rsid w:val="00CE108F"/>
    <w:rsid w:val="00CE112C"/>
    <w:rsid w:val="00CE37CC"/>
    <w:rsid w:val="00CE4A1E"/>
    <w:rsid w:val="00CE4B54"/>
    <w:rsid w:val="00D126E7"/>
    <w:rsid w:val="00D23AE5"/>
    <w:rsid w:val="00D23D94"/>
    <w:rsid w:val="00D3156F"/>
    <w:rsid w:val="00D608DA"/>
    <w:rsid w:val="00D619B6"/>
    <w:rsid w:val="00D64203"/>
    <w:rsid w:val="00D65BBD"/>
    <w:rsid w:val="00D675EF"/>
    <w:rsid w:val="00D716E6"/>
    <w:rsid w:val="00D730BF"/>
    <w:rsid w:val="00D76CAA"/>
    <w:rsid w:val="00D832E5"/>
    <w:rsid w:val="00D85888"/>
    <w:rsid w:val="00D866D3"/>
    <w:rsid w:val="00D86A8F"/>
    <w:rsid w:val="00D87956"/>
    <w:rsid w:val="00D9148F"/>
    <w:rsid w:val="00D925C0"/>
    <w:rsid w:val="00D93D63"/>
    <w:rsid w:val="00DA05FE"/>
    <w:rsid w:val="00DA58E7"/>
    <w:rsid w:val="00DB4D92"/>
    <w:rsid w:val="00DB5400"/>
    <w:rsid w:val="00DB5ADD"/>
    <w:rsid w:val="00DC3893"/>
    <w:rsid w:val="00DC76C7"/>
    <w:rsid w:val="00DC7807"/>
    <w:rsid w:val="00DD09F5"/>
    <w:rsid w:val="00DD4201"/>
    <w:rsid w:val="00DE2D50"/>
    <w:rsid w:val="00DE5711"/>
    <w:rsid w:val="00DE6F3A"/>
    <w:rsid w:val="00DE70DB"/>
    <w:rsid w:val="00DF129A"/>
    <w:rsid w:val="00DF3036"/>
    <w:rsid w:val="00DF4EDE"/>
    <w:rsid w:val="00DF52FB"/>
    <w:rsid w:val="00E00EA0"/>
    <w:rsid w:val="00E02815"/>
    <w:rsid w:val="00E05B98"/>
    <w:rsid w:val="00E21764"/>
    <w:rsid w:val="00E2303B"/>
    <w:rsid w:val="00E26758"/>
    <w:rsid w:val="00E35D00"/>
    <w:rsid w:val="00E4357B"/>
    <w:rsid w:val="00E442F7"/>
    <w:rsid w:val="00E50838"/>
    <w:rsid w:val="00E53266"/>
    <w:rsid w:val="00E62206"/>
    <w:rsid w:val="00E67EA0"/>
    <w:rsid w:val="00E70313"/>
    <w:rsid w:val="00E76B92"/>
    <w:rsid w:val="00E7722A"/>
    <w:rsid w:val="00E77B48"/>
    <w:rsid w:val="00E8308F"/>
    <w:rsid w:val="00E91799"/>
    <w:rsid w:val="00EA13B0"/>
    <w:rsid w:val="00EA13C7"/>
    <w:rsid w:val="00EA34E3"/>
    <w:rsid w:val="00EA6EE7"/>
    <w:rsid w:val="00EB12EF"/>
    <w:rsid w:val="00EB30A1"/>
    <w:rsid w:val="00EB406E"/>
    <w:rsid w:val="00EB7538"/>
    <w:rsid w:val="00ED2996"/>
    <w:rsid w:val="00ED35EA"/>
    <w:rsid w:val="00ED7F2A"/>
    <w:rsid w:val="00EE2DD2"/>
    <w:rsid w:val="00EE5949"/>
    <w:rsid w:val="00EE6FD2"/>
    <w:rsid w:val="00EF3BE4"/>
    <w:rsid w:val="00EF69B3"/>
    <w:rsid w:val="00EF7AD4"/>
    <w:rsid w:val="00F10323"/>
    <w:rsid w:val="00F160EA"/>
    <w:rsid w:val="00F207A4"/>
    <w:rsid w:val="00F26AD2"/>
    <w:rsid w:val="00F32300"/>
    <w:rsid w:val="00F355AC"/>
    <w:rsid w:val="00F35BA3"/>
    <w:rsid w:val="00F50548"/>
    <w:rsid w:val="00F65F01"/>
    <w:rsid w:val="00F714BC"/>
    <w:rsid w:val="00F71A5A"/>
    <w:rsid w:val="00F769E0"/>
    <w:rsid w:val="00F84871"/>
    <w:rsid w:val="00F9234E"/>
    <w:rsid w:val="00FA4E96"/>
    <w:rsid w:val="00FB0EBD"/>
    <w:rsid w:val="00FB19E9"/>
    <w:rsid w:val="00FB297B"/>
    <w:rsid w:val="00FB3C2C"/>
    <w:rsid w:val="00FC115C"/>
    <w:rsid w:val="00FC1DF8"/>
    <w:rsid w:val="00FC4162"/>
    <w:rsid w:val="00FC6BDE"/>
    <w:rsid w:val="00FD264F"/>
    <w:rsid w:val="00FD4692"/>
    <w:rsid w:val="00FE006C"/>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F0C"/>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semiHidden/>
    <w:rsid w:val="00DB5400"/>
    <w:rPr>
      <w:sz w:val="16"/>
      <w:szCs w:val="16"/>
    </w:rPr>
  </w:style>
  <w:style w:type="paragraph" w:styleId="CommentText">
    <w:name w:val="annotation text"/>
    <w:basedOn w:val="Normal"/>
    <w:link w:val="CommentTextChar"/>
    <w:semiHidden/>
    <w:rsid w:val="00DB5400"/>
    <w:rPr>
      <w:sz w:val="20"/>
      <w:szCs w:val="20"/>
    </w:rPr>
  </w:style>
  <w:style w:type="paragraph" w:styleId="CommentSubject">
    <w:name w:val="annotation subject"/>
    <w:basedOn w:val="CommentText"/>
    <w:next w:val="CommentText"/>
    <w:semiHidden/>
    <w:rsid w:val="00DB5400"/>
    <w:rPr>
      <w:b/>
      <w:bCs/>
    </w:rPr>
  </w:style>
  <w:style w:type="character" w:styleId="Hyperlink">
    <w:name w:val="Hyperlink"/>
    <w:rsid w:val="00A601E9"/>
    <w:rPr>
      <w:color w:val="0000FF"/>
      <w:u w:val="single"/>
    </w:rPr>
  </w:style>
  <w:style w:type="character" w:styleId="Strong">
    <w:name w:val="Strong"/>
    <w:qFormat/>
    <w:rsid w:val="002218CC"/>
    <w:rPr>
      <w:b/>
      <w:bCs/>
    </w:rPr>
  </w:style>
  <w:style w:type="character" w:customStyle="1" w:styleId="CommentTextChar">
    <w:name w:val="Comment Text Char"/>
    <w:link w:val="CommentText"/>
    <w:semiHidden/>
    <w:locked/>
    <w:rsid w:val="00DF4EDE"/>
    <w:rPr>
      <w:lang w:val="en-US" w:eastAsia="en-US" w:bidi="ar-SA"/>
    </w:rPr>
  </w:style>
  <w:style w:type="paragraph" w:styleId="FootnoteText">
    <w:name w:val="footnote text"/>
    <w:basedOn w:val="Normal"/>
    <w:semiHidden/>
    <w:rsid w:val="00696AF9"/>
    <w:rPr>
      <w:sz w:val="20"/>
      <w:szCs w:val="20"/>
    </w:rPr>
  </w:style>
  <w:style w:type="character" w:styleId="FootnoteReference">
    <w:name w:val="footnote reference"/>
    <w:semiHidden/>
    <w:rsid w:val="00696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F0C"/>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semiHidden/>
    <w:rsid w:val="00DB5400"/>
    <w:rPr>
      <w:sz w:val="16"/>
      <w:szCs w:val="16"/>
    </w:rPr>
  </w:style>
  <w:style w:type="paragraph" w:styleId="CommentText">
    <w:name w:val="annotation text"/>
    <w:basedOn w:val="Normal"/>
    <w:link w:val="CommentTextChar"/>
    <w:semiHidden/>
    <w:rsid w:val="00DB5400"/>
    <w:rPr>
      <w:sz w:val="20"/>
      <w:szCs w:val="20"/>
    </w:rPr>
  </w:style>
  <w:style w:type="paragraph" w:styleId="CommentSubject">
    <w:name w:val="annotation subject"/>
    <w:basedOn w:val="CommentText"/>
    <w:next w:val="CommentText"/>
    <w:semiHidden/>
    <w:rsid w:val="00DB5400"/>
    <w:rPr>
      <w:b/>
      <w:bCs/>
    </w:rPr>
  </w:style>
  <w:style w:type="character" w:styleId="Hyperlink">
    <w:name w:val="Hyperlink"/>
    <w:rsid w:val="00A601E9"/>
    <w:rPr>
      <w:color w:val="0000FF"/>
      <w:u w:val="single"/>
    </w:rPr>
  </w:style>
  <w:style w:type="character" w:styleId="Strong">
    <w:name w:val="Strong"/>
    <w:qFormat/>
    <w:rsid w:val="002218CC"/>
    <w:rPr>
      <w:b/>
      <w:bCs/>
    </w:rPr>
  </w:style>
  <w:style w:type="character" w:customStyle="1" w:styleId="CommentTextChar">
    <w:name w:val="Comment Text Char"/>
    <w:link w:val="CommentText"/>
    <w:semiHidden/>
    <w:locked/>
    <w:rsid w:val="00DF4EDE"/>
    <w:rPr>
      <w:lang w:val="en-US" w:eastAsia="en-US" w:bidi="ar-SA"/>
    </w:rPr>
  </w:style>
  <w:style w:type="paragraph" w:styleId="FootnoteText">
    <w:name w:val="footnote text"/>
    <w:basedOn w:val="Normal"/>
    <w:semiHidden/>
    <w:rsid w:val="00696AF9"/>
    <w:rPr>
      <w:sz w:val="20"/>
      <w:szCs w:val="20"/>
    </w:rPr>
  </w:style>
  <w:style w:type="character" w:styleId="FootnoteReference">
    <w:name w:val="footnote reference"/>
    <w:semiHidden/>
    <w:rsid w:val="0069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871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FoodFacilityRegistration/default.htm" TargetMode="External"/><Relationship Id="rId13" Type="http://schemas.openxmlformats.org/officeDocument/2006/relationships/hyperlink" Target="http://www.access.f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oc/indust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cess.fd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cess.fda.gov" TargetMode="External"/><Relationship Id="rId4" Type="http://schemas.openxmlformats.org/officeDocument/2006/relationships/settings" Target="settings.xml"/><Relationship Id="rId9" Type="http://schemas.openxmlformats.org/officeDocument/2006/relationships/hyperlink" Target="http://access.f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28840</CharactersWithSpaces>
  <SharedDoc>false</SharedDoc>
  <HLinks>
    <vt:vector size="36" baseType="variant">
      <vt:variant>
        <vt:i4>8257587</vt:i4>
      </vt:variant>
      <vt:variant>
        <vt:i4>15</vt:i4>
      </vt:variant>
      <vt:variant>
        <vt:i4>0</vt:i4>
      </vt:variant>
      <vt:variant>
        <vt:i4>5</vt:i4>
      </vt:variant>
      <vt:variant>
        <vt:lpwstr>http://www.access.fda.gov/</vt:lpwstr>
      </vt:variant>
      <vt:variant>
        <vt:lpwstr/>
      </vt:variant>
      <vt:variant>
        <vt:i4>7012405</vt:i4>
      </vt:variant>
      <vt:variant>
        <vt:i4>12</vt:i4>
      </vt:variant>
      <vt:variant>
        <vt:i4>0</vt:i4>
      </vt:variant>
      <vt:variant>
        <vt:i4>5</vt:i4>
      </vt:variant>
      <vt:variant>
        <vt:lpwstr>http://www.fda.gov/oc/industry/</vt:lpwstr>
      </vt:variant>
      <vt:variant>
        <vt:lpwstr/>
      </vt:variant>
      <vt:variant>
        <vt:i4>8257587</vt:i4>
      </vt:variant>
      <vt:variant>
        <vt:i4>9</vt:i4>
      </vt:variant>
      <vt:variant>
        <vt:i4>0</vt:i4>
      </vt:variant>
      <vt:variant>
        <vt:i4>5</vt:i4>
      </vt:variant>
      <vt:variant>
        <vt:lpwstr>http://www.access.fda.gov/</vt:lpwstr>
      </vt:variant>
      <vt:variant>
        <vt:lpwstr/>
      </vt:variant>
      <vt:variant>
        <vt:i4>8257587</vt:i4>
      </vt:variant>
      <vt:variant>
        <vt:i4>6</vt:i4>
      </vt:variant>
      <vt:variant>
        <vt:i4>0</vt:i4>
      </vt:variant>
      <vt:variant>
        <vt:i4>5</vt:i4>
      </vt:variant>
      <vt:variant>
        <vt:lpwstr>http://www.access.fda.gov/</vt:lpwstr>
      </vt:variant>
      <vt:variant>
        <vt:lpwstr/>
      </vt:variant>
      <vt:variant>
        <vt:i4>8257642</vt:i4>
      </vt:variant>
      <vt:variant>
        <vt:i4>3</vt:i4>
      </vt:variant>
      <vt:variant>
        <vt:i4>0</vt:i4>
      </vt:variant>
      <vt:variant>
        <vt:i4>5</vt:i4>
      </vt:variant>
      <vt:variant>
        <vt:lpwstr>http://access.fda.gov/</vt:lpwstr>
      </vt:variant>
      <vt:variant>
        <vt:lpwstr/>
      </vt:variant>
      <vt:variant>
        <vt:i4>7405686</vt:i4>
      </vt:variant>
      <vt:variant>
        <vt:i4>0</vt:i4>
      </vt:variant>
      <vt:variant>
        <vt:i4>0</vt:i4>
      </vt:variant>
      <vt:variant>
        <vt:i4>5</vt:i4>
      </vt:variant>
      <vt:variant>
        <vt:lpwstr>http://www.fda.gov/Food/GuidanceRegulation/FoodFacilityRegistration/default.htm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Bean, Domini</cp:lastModifiedBy>
  <cp:revision>6</cp:revision>
  <cp:lastPrinted>2013-03-15T15:56:00Z</cp:lastPrinted>
  <dcterms:created xsi:type="dcterms:W3CDTF">2013-03-27T15:41:00Z</dcterms:created>
  <dcterms:modified xsi:type="dcterms:W3CDTF">2013-03-27T17:35:00Z</dcterms:modified>
</cp:coreProperties>
</file>