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8B8" w:rsidRPr="007F49E6" w:rsidRDefault="00D6434F" w:rsidP="004868B8">
      <w:pPr>
        <w:widowControl/>
        <w:tabs>
          <w:tab w:val="center" w:pos="4680"/>
        </w:tabs>
        <w:jc w:val="center"/>
        <w:rPr>
          <w:rFonts w:ascii="Times New Roman" w:hAnsi="Times New Roman"/>
          <w:b/>
          <w:color w:val="000000"/>
          <w:sz w:val="24"/>
        </w:rPr>
      </w:pPr>
      <w:r w:rsidRPr="007F49E6">
        <w:rPr>
          <w:rFonts w:ascii="Times New Roman" w:hAnsi="Times New Roman"/>
          <w:b/>
          <w:color w:val="000000"/>
          <w:sz w:val="24"/>
        </w:rPr>
        <w:t xml:space="preserve">Supporting Statement for </w:t>
      </w:r>
      <w:r w:rsidR="00D04B49" w:rsidRPr="007F49E6">
        <w:rPr>
          <w:rFonts w:ascii="Times New Roman" w:hAnsi="Times New Roman"/>
          <w:b/>
          <w:color w:val="000000"/>
          <w:sz w:val="24"/>
        </w:rPr>
        <w:t>the</w:t>
      </w:r>
    </w:p>
    <w:p w:rsidR="00D6434F" w:rsidRPr="007F49E6" w:rsidRDefault="004868B8" w:rsidP="004868B8">
      <w:pPr>
        <w:widowControl/>
        <w:tabs>
          <w:tab w:val="center" w:pos="4680"/>
        </w:tabs>
        <w:jc w:val="center"/>
        <w:rPr>
          <w:rFonts w:ascii="Times New Roman" w:hAnsi="Times New Roman"/>
          <w:b/>
          <w:color w:val="000000"/>
          <w:sz w:val="24"/>
        </w:rPr>
      </w:pPr>
      <w:r w:rsidRPr="007F49E6">
        <w:rPr>
          <w:rFonts w:ascii="Times New Roman" w:hAnsi="Times New Roman"/>
          <w:b/>
          <w:color w:val="000000"/>
          <w:sz w:val="24"/>
        </w:rPr>
        <w:t>G</w:t>
      </w:r>
      <w:r w:rsidR="00D04B49" w:rsidRPr="007F49E6">
        <w:rPr>
          <w:rFonts w:ascii="Times New Roman" w:hAnsi="Times New Roman"/>
          <w:b/>
          <w:color w:val="000000"/>
          <w:sz w:val="24"/>
        </w:rPr>
        <w:t xml:space="preserve">overnment </w:t>
      </w:r>
      <w:r w:rsidRPr="007F49E6">
        <w:rPr>
          <w:rFonts w:ascii="Times New Roman" w:hAnsi="Times New Roman"/>
          <w:b/>
          <w:color w:val="000000"/>
          <w:sz w:val="24"/>
        </w:rPr>
        <w:t>S</w:t>
      </w:r>
      <w:r w:rsidR="00D04B49" w:rsidRPr="007F49E6">
        <w:rPr>
          <w:rFonts w:ascii="Times New Roman" w:hAnsi="Times New Roman"/>
          <w:b/>
          <w:color w:val="000000"/>
          <w:sz w:val="24"/>
        </w:rPr>
        <w:t xml:space="preserve">ecurities </w:t>
      </w:r>
      <w:r w:rsidRPr="007F49E6">
        <w:rPr>
          <w:rFonts w:ascii="Times New Roman" w:hAnsi="Times New Roman"/>
          <w:b/>
          <w:color w:val="000000"/>
          <w:sz w:val="24"/>
        </w:rPr>
        <w:t>B</w:t>
      </w:r>
      <w:r w:rsidR="00D04B49" w:rsidRPr="007F49E6">
        <w:rPr>
          <w:rFonts w:ascii="Times New Roman" w:hAnsi="Times New Roman"/>
          <w:b/>
          <w:color w:val="000000"/>
          <w:sz w:val="24"/>
        </w:rPr>
        <w:t xml:space="preserve">roker or </w:t>
      </w:r>
      <w:r w:rsidRPr="007F49E6">
        <w:rPr>
          <w:rFonts w:ascii="Times New Roman" w:hAnsi="Times New Roman"/>
          <w:b/>
          <w:color w:val="000000"/>
          <w:sz w:val="24"/>
        </w:rPr>
        <w:t>D</w:t>
      </w:r>
      <w:r w:rsidR="00D04B49" w:rsidRPr="007F49E6">
        <w:rPr>
          <w:rFonts w:ascii="Times New Roman" w:hAnsi="Times New Roman"/>
          <w:b/>
          <w:color w:val="000000"/>
          <w:sz w:val="24"/>
        </w:rPr>
        <w:t xml:space="preserve">ealer </w:t>
      </w:r>
      <w:r w:rsidRPr="007F49E6">
        <w:rPr>
          <w:rFonts w:ascii="Times New Roman" w:hAnsi="Times New Roman"/>
          <w:b/>
          <w:color w:val="000000"/>
          <w:sz w:val="24"/>
        </w:rPr>
        <w:t>N</w:t>
      </w:r>
      <w:r w:rsidR="00D04B49" w:rsidRPr="007F49E6">
        <w:rPr>
          <w:rFonts w:ascii="Times New Roman" w:hAnsi="Times New Roman"/>
          <w:b/>
          <w:color w:val="000000"/>
          <w:sz w:val="24"/>
        </w:rPr>
        <w:t xml:space="preserve">otice and </w:t>
      </w:r>
      <w:r w:rsidRPr="007F49E6">
        <w:rPr>
          <w:rFonts w:ascii="Times New Roman" w:hAnsi="Times New Roman"/>
          <w:b/>
          <w:color w:val="000000"/>
          <w:sz w:val="24"/>
        </w:rPr>
        <w:t>T</w:t>
      </w:r>
      <w:r w:rsidR="00D04B49" w:rsidRPr="007F49E6">
        <w:rPr>
          <w:rFonts w:ascii="Times New Roman" w:hAnsi="Times New Roman"/>
          <w:b/>
          <w:color w:val="000000"/>
          <w:sz w:val="24"/>
        </w:rPr>
        <w:t xml:space="preserve">ermination </w:t>
      </w:r>
      <w:r w:rsidRPr="007F49E6">
        <w:rPr>
          <w:rFonts w:ascii="Times New Roman" w:hAnsi="Times New Roman"/>
          <w:b/>
          <w:color w:val="000000"/>
          <w:sz w:val="24"/>
        </w:rPr>
        <w:t>R</w:t>
      </w:r>
      <w:r w:rsidR="00D04B49" w:rsidRPr="007F49E6">
        <w:rPr>
          <w:rFonts w:ascii="Times New Roman" w:hAnsi="Times New Roman"/>
          <w:b/>
          <w:color w:val="000000"/>
          <w:sz w:val="24"/>
        </w:rPr>
        <w:t>eports</w:t>
      </w:r>
    </w:p>
    <w:p w:rsidR="00D04B49" w:rsidRPr="007F49E6" w:rsidRDefault="00D04B49" w:rsidP="004868B8">
      <w:pPr>
        <w:widowControl/>
        <w:tabs>
          <w:tab w:val="center" w:pos="4680"/>
        </w:tabs>
        <w:jc w:val="center"/>
        <w:rPr>
          <w:rFonts w:ascii="Times New Roman" w:hAnsi="Times New Roman"/>
          <w:b/>
          <w:color w:val="000000"/>
          <w:sz w:val="24"/>
        </w:rPr>
      </w:pPr>
      <w:r w:rsidRPr="007F49E6">
        <w:rPr>
          <w:rFonts w:ascii="Times New Roman" w:hAnsi="Times New Roman"/>
          <w:b/>
          <w:color w:val="000000"/>
          <w:sz w:val="24"/>
        </w:rPr>
        <w:t>(</w:t>
      </w:r>
      <w:r w:rsidR="007F49E6">
        <w:rPr>
          <w:rFonts w:ascii="Times New Roman" w:hAnsi="Times New Roman"/>
          <w:b/>
          <w:color w:val="000000"/>
          <w:sz w:val="24"/>
        </w:rPr>
        <w:t>G-</w:t>
      </w:r>
      <w:r w:rsidRPr="007F49E6">
        <w:rPr>
          <w:rFonts w:ascii="Times New Roman" w:hAnsi="Times New Roman"/>
          <w:b/>
          <w:color w:val="000000"/>
          <w:sz w:val="24"/>
        </w:rPr>
        <w:t xml:space="preserve">FIN and </w:t>
      </w:r>
      <w:r w:rsidR="007F49E6">
        <w:rPr>
          <w:rFonts w:ascii="Times New Roman" w:hAnsi="Times New Roman"/>
          <w:b/>
          <w:color w:val="000000"/>
          <w:sz w:val="24"/>
        </w:rPr>
        <w:t>G-</w:t>
      </w:r>
      <w:r w:rsidRPr="007F49E6">
        <w:rPr>
          <w:rFonts w:ascii="Times New Roman" w:hAnsi="Times New Roman"/>
          <w:b/>
          <w:color w:val="000000"/>
          <w:sz w:val="24"/>
        </w:rPr>
        <w:t>FINW</w:t>
      </w:r>
      <w:r w:rsidR="00D6434F" w:rsidRPr="007F49E6">
        <w:rPr>
          <w:rFonts w:ascii="Times New Roman" w:hAnsi="Times New Roman"/>
          <w:b/>
          <w:color w:val="000000"/>
          <w:sz w:val="24"/>
        </w:rPr>
        <w:t>; OMB No. 7100-0224</w:t>
      </w:r>
      <w:r w:rsidRPr="007F49E6">
        <w:rPr>
          <w:rFonts w:ascii="Times New Roman" w:hAnsi="Times New Roman"/>
          <w:b/>
          <w:color w:val="000000"/>
          <w:sz w:val="24"/>
        </w:rPr>
        <w:t>)</w:t>
      </w:r>
    </w:p>
    <w:p w:rsidR="00D04B49" w:rsidRPr="007F49E6" w:rsidRDefault="00D04B49">
      <w:pPr>
        <w:widowControl/>
        <w:rPr>
          <w:rFonts w:ascii="Times New Roman" w:hAnsi="Times New Roman"/>
          <w:sz w:val="24"/>
        </w:rPr>
      </w:pP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7F49E6">
        <w:rPr>
          <w:rFonts w:ascii="Times New Roman" w:hAnsi="Times New Roman"/>
          <w:b/>
          <w:color w:val="000000"/>
          <w:szCs w:val="24"/>
        </w:rPr>
        <w:t>Summary</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7F49E6">
      <w:pPr>
        <w:pStyle w:val="Style0"/>
        <w:ind w:firstLine="720"/>
        <w:rPr>
          <w:rFonts w:ascii="Times New Roman" w:hAnsi="Times New Roman"/>
          <w:color w:val="000000"/>
          <w:szCs w:val="24"/>
        </w:rPr>
      </w:pPr>
      <w:r w:rsidRPr="007F49E6">
        <w:rPr>
          <w:rFonts w:ascii="Times New Roman" w:hAnsi="Times New Roman"/>
          <w:color w:val="000000"/>
          <w:szCs w:val="24"/>
        </w:rPr>
        <w:t xml:space="preserve">The </w:t>
      </w:r>
      <w:r w:rsidR="00D6434F" w:rsidRPr="007F49E6">
        <w:rPr>
          <w:rFonts w:ascii="Times New Roman" w:hAnsi="Times New Roman"/>
          <w:color w:val="000000"/>
          <w:szCs w:val="24"/>
        </w:rPr>
        <w:t>Board of Governors of the Federal Reserve System, under delegated authority from the Office of Management and Budget (OMB),</w:t>
      </w:r>
      <w:r w:rsidRPr="007F49E6">
        <w:rPr>
          <w:rFonts w:ascii="Times New Roman" w:hAnsi="Times New Roman"/>
          <w:color w:val="000000"/>
          <w:szCs w:val="24"/>
        </w:rPr>
        <w:t xml:space="preserve"> proposes to extend for three years</w:t>
      </w:r>
      <w:r w:rsidR="00AB1D48">
        <w:rPr>
          <w:rFonts w:ascii="Times New Roman" w:hAnsi="Times New Roman"/>
          <w:color w:val="000000"/>
          <w:szCs w:val="24"/>
        </w:rPr>
        <w:t>,</w:t>
      </w:r>
      <w:r w:rsidRPr="007F49E6">
        <w:rPr>
          <w:rFonts w:ascii="Times New Roman" w:hAnsi="Times New Roman"/>
          <w:color w:val="000000"/>
          <w:szCs w:val="24"/>
        </w:rPr>
        <w:t xml:space="preserve"> without revision</w:t>
      </w:r>
      <w:r w:rsidR="00AB1D48">
        <w:rPr>
          <w:rFonts w:ascii="Times New Roman" w:hAnsi="Times New Roman"/>
          <w:color w:val="000000"/>
          <w:szCs w:val="24"/>
        </w:rPr>
        <w:t>,</w:t>
      </w:r>
      <w:r w:rsidRPr="007F49E6">
        <w:rPr>
          <w:rFonts w:ascii="Times New Roman" w:hAnsi="Times New Roman"/>
          <w:color w:val="000000"/>
          <w:szCs w:val="24"/>
        </w:rPr>
        <w:t xml:space="preserve"> </w:t>
      </w:r>
      <w:r w:rsidR="00B936B1" w:rsidRPr="007F49E6">
        <w:rPr>
          <w:rFonts w:ascii="Times New Roman" w:hAnsi="Times New Roman"/>
          <w:color w:val="000000"/>
          <w:szCs w:val="24"/>
        </w:rPr>
        <w:t xml:space="preserve">the following </w:t>
      </w:r>
      <w:r w:rsidR="00601763" w:rsidRPr="007F49E6">
        <w:rPr>
          <w:rFonts w:ascii="Times New Roman" w:hAnsi="Times New Roman"/>
          <w:color w:val="000000"/>
          <w:szCs w:val="24"/>
        </w:rPr>
        <w:t xml:space="preserve">mandatory </w:t>
      </w:r>
      <w:r w:rsidRPr="007F49E6">
        <w:rPr>
          <w:rFonts w:ascii="Times New Roman" w:hAnsi="Times New Roman"/>
          <w:color w:val="000000"/>
          <w:szCs w:val="24"/>
        </w:rPr>
        <w:t>interagency information collection</w:t>
      </w:r>
      <w:r w:rsidR="00B936B1" w:rsidRPr="007F49E6">
        <w:rPr>
          <w:rFonts w:ascii="Times New Roman" w:hAnsi="Times New Roman"/>
          <w:color w:val="000000"/>
          <w:szCs w:val="24"/>
        </w:rPr>
        <w:t xml:space="preserve"> (</w:t>
      </w:r>
      <w:r w:rsidR="00301909" w:rsidRPr="007F49E6">
        <w:rPr>
          <w:rFonts w:ascii="Times New Roman" w:hAnsi="Times New Roman"/>
          <w:color w:val="000000"/>
          <w:szCs w:val="24"/>
        </w:rPr>
        <w:t xml:space="preserve">OMB No. </w:t>
      </w:r>
      <w:r w:rsidR="00B936B1" w:rsidRPr="007F49E6">
        <w:rPr>
          <w:rFonts w:ascii="Times New Roman" w:hAnsi="Times New Roman"/>
          <w:color w:val="000000"/>
          <w:szCs w:val="24"/>
        </w:rPr>
        <w:t>7100-0224)</w:t>
      </w:r>
      <w:r w:rsidRPr="007F49E6">
        <w:rPr>
          <w:rFonts w:ascii="Times New Roman" w:hAnsi="Times New Roman"/>
          <w:color w:val="000000"/>
          <w:szCs w:val="24"/>
        </w:rPr>
        <w:t>:</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pPr>
        <w:pStyle w:val="Style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7F49E6">
        <w:rPr>
          <w:rFonts w:ascii="Times New Roman" w:hAnsi="Times New Roman"/>
          <w:color w:val="000000"/>
          <w:szCs w:val="24"/>
        </w:rPr>
        <w:t>the Notice By Financial Institutions of Government Securities Broker or Government Securities Dealer Activities (G-FIN)</w:t>
      </w:r>
    </w:p>
    <w:p w:rsidR="00D04B49" w:rsidRPr="007F49E6" w:rsidRDefault="00D04B49">
      <w:pPr>
        <w:pStyle w:val="Style0"/>
        <w:numPr>
          <w:ilvl w:val="0"/>
          <w:numId w:val="1"/>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roofErr w:type="gramStart"/>
      <w:r w:rsidRPr="007F49E6">
        <w:rPr>
          <w:rFonts w:ascii="Times New Roman" w:hAnsi="Times New Roman"/>
          <w:color w:val="000000"/>
          <w:szCs w:val="24"/>
        </w:rPr>
        <w:t>the</w:t>
      </w:r>
      <w:proofErr w:type="gramEnd"/>
      <w:r w:rsidRPr="007F49E6">
        <w:rPr>
          <w:rFonts w:ascii="Times New Roman" w:hAnsi="Times New Roman"/>
          <w:color w:val="000000"/>
          <w:szCs w:val="24"/>
        </w:rPr>
        <w:t xml:space="preserve"> Notice By Financial Institutions of Termination of Activities as a Government Securities Broker or Government Securities Dealer (G</w:t>
      </w:r>
      <w:r w:rsidR="007F49E6">
        <w:rPr>
          <w:rFonts w:ascii="Times New Roman" w:hAnsi="Times New Roman"/>
          <w:color w:val="000000"/>
          <w:szCs w:val="24"/>
        </w:rPr>
        <w:t>-FINW).</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7F49E6">
      <w:pPr>
        <w:pStyle w:val="Style0"/>
        <w:ind w:firstLine="720"/>
        <w:rPr>
          <w:rFonts w:ascii="Times New Roman" w:hAnsi="Times New Roman"/>
          <w:color w:val="000000"/>
          <w:szCs w:val="24"/>
        </w:rPr>
      </w:pPr>
      <w:r w:rsidRPr="007F49E6">
        <w:rPr>
          <w:rFonts w:ascii="Times New Roman" w:hAnsi="Times New Roman"/>
          <w:color w:val="000000"/>
          <w:szCs w:val="24"/>
        </w:rPr>
        <w:t xml:space="preserve">The Government Securities Act of 1986 (the Act) requires financial institutions to notify their appropriate regulatory </w:t>
      </w:r>
      <w:r w:rsidR="0008436A" w:rsidRPr="007F49E6">
        <w:rPr>
          <w:rFonts w:ascii="Times New Roman" w:hAnsi="Times New Roman"/>
          <w:color w:val="000000"/>
          <w:szCs w:val="24"/>
        </w:rPr>
        <w:t>agency</w:t>
      </w:r>
      <w:r w:rsidR="00EA1854" w:rsidRPr="007F49E6">
        <w:rPr>
          <w:rStyle w:val="FootnoteReference"/>
          <w:rFonts w:ascii="Times New Roman" w:hAnsi="Times New Roman"/>
          <w:color w:val="000000"/>
          <w:szCs w:val="24"/>
          <w:vertAlign w:val="superscript"/>
        </w:rPr>
        <w:footnoteReference w:id="1"/>
      </w:r>
      <w:r w:rsidR="007F49E6">
        <w:rPr>
          <w:rFonts w:ascii="Times New Roman" w:hAnsi="Times New Roman"/>
          <w:color w:val="000000"/>
          <w:szCs w:val="24"/>
        </w:rPr>
        <w:t xml:space="preserve"> (</w:t>
      </w:r>
      <w:r w:rsidRPr="007F49E6">
        <w:rPr>
          <w:rFonts w:ascii="Times New Roman" w:hAnsi="Times New Roman"/>
          <w:color w:val="000000"/>
          <w:szCs w:val="24"/>
        </w:rPr>
        <w:t>ARA) of their intent to engage in government securities broker or dealer activity, to amend information submitted previously, and to record their termination of such activity.</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7F49E6">
      <w:pPr>
        <w:pStyle w:val="Style0"/>
        <w:ind w:firstLine="720"/>
        <w:rPr>
          <w:rFonts w:ascii="Times New Roman" w:hAnsi="Times New Roman"/>
          <w:color w:val="000000"/>
          <w:szCs w:val="24"/>
        </w:rPr>
      </w:pPr>
      <w:r w:rsidRPr="007F49E6">
        <w:rPr>
          <w:rFonts w:ascii="Times New Roman" w:hAnsi="Times New Roman"/>
          <w:color w:val="000000"/>
          <w:szCs w:val="24"/>
        </w:rPr>
        <w:t>The 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 xml:space="preserve"> is the ARA for state member banks, foreign banks, uninsured state branches or state agencies of foreign banks, commercial lending companies owned or controlled by foreign banks, and Edge corporations.</w:t>
      </w:r>
      <w:r w:rsidR="009F79FF" w:rsidRPr="007F49E6">
        <w:rPr>
          <w:rStyle w:val="FootnoteReference"/>
          <w:rFonts w:ascii="Times New Roman" w:hAnsi="Times New Roman"/>
          <w:color w:val="000000"/>
          <w:szCs w:val="24"/>
          <w:vertAlign w:val="superscript"/>
        </w:rPr>
        <w:footnoteReference w:id="2"/>
      </w:r>
      <w:r w:rsidRPr="007F49E6">
        <w:rPr>
          <w:rFonts w:ascii="Times New Roman" w:hAnsi="Times New Roman"/>
          <w:color w:val="000000"/>
          <w:szCs w:val="24"/>
        </w:rPr>
        <w:t xml:space="preserve">  The 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 xml:space="preserve"> uses the information in its supervisory capacity to measure compliance with the Act.  The total annual burden for both notices is</w:t>
      </w:r>
      <w:r w:rsidR="00B936B1" w:rsidRPr="007F49E6">
        <w:rPr>
          <w:rFonts w:ascii="Times New Roman" w:hAnsi="Times New Roman"/>
          <w:color w:val="000000"/>
          <w:szCs w:val="24"/>
        </w:rPr>
        <w:t xml:space="preserve"> estimated to be</w:t>
      </w:r>
      <w:r w:rsidRPr="007F49E6">
        <w:rPr>
          <w:rFonts w:ascii="Times New Roman" w:hAnsi="Times New Roman"/>
          <w:color w:val="000000"/>
          <w:szCs w:val="24"/>
        </w:rPr>
        <w:t xml:space="preserve"> </w:t>
      </w:r>
      <w:r w:rsidR="00A538D9" w:rsidRPr="007F49E6">
        <w:rPr>
          <w:rFonts w:ascii="Times New Roman" w:hAnsi="Times New Roman"/>
          <w:color w:val="000000"/>
          <w:szCs w:val="24"/>
        </w:rPr>
        <w:t>5</w:t>
      </w:r>
      <w:r w:rsidR="001E0434" w:rsidRPr="007F49E6">
        <w:rPr>
          <w:rFonts w:ascii="Times New Roman" w:hAnsi="Times New Roman"/>
          <w:color w:val="000000"/>
          <w:szCs w:val="24"/>
        </w:rPr>
        <w:t xml:space="preserve"> hours</w:t>
      </w:r>
      <w:r w:rsidR="00E15213" w:rsidRPr="007F49E6">
        <w:rPr>
          <w:rFonts w:ascii="Times New Roman" w:hAnsi="Times New Roman"/>
          <w:color w:val="000000"/>
          <w:szCs w:val="24"/>
        </w:rPr>
        <w:t>.</w:t>
      </w:r>
    </w:p>
    <w:p w:rsidR="001D51D8" w:rsidRPr="007F49E6" w:rsidRDefault="001D5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7F49E6">
        <w:rPr>
          <w:rFonts w:ascii="Times New Roman" w:hAnsi="Times New Roman"/>
          <w:b/>
          <w:color w:val="000000"/>
          <w:szCs w:val="24"/>
        </w:rPr>
        <w:t>Background and Justification</w:t>
      </w:r>
    </w:p>
    <w:p w:rsidR="00495771" w:rsidRPr="007F49E6" w:rsidRDefault="00495771">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7F49E6">
      <w:pPr>
        <w:pStyle w:val="Style0"/>
        <w:ind w:firstLine="720"/>
        <w:rPr>
          <w:rFonts w:ascii="Times New Roman" w:hAnsi="Times New Roman"/>
          <w:color w:val="000000"/>
          <w:szCs w:val="24"/>
        </w:rPr>
      </w:pPr>
      <w:r w:rsidRPr="007F49E6">
        <w:rPr>
          <w:rFonts w:ascii="Times New Roman" w:hAnsi="Times New Roman"/>
          <w:color w:val="000000"/>
          <w:szCs w:val="24"/>
        </w:rPr>
        <w:t xml:space="preserve">The Act established federal regulation of brokers and dealers of government securities, </w:t>
      </w:r>
      <w:r w:rsidR="00A538D9" w:rsidRPr="007F49E6">
        <w:rPr>
          <w:rFonts w:ascii="Times New Roman" w:hAnsi="Times New Roman"/>
          <w:color w:val="000000"/>
          <w:szCs w:val="24"/>
        </w:rPr>
        <w:t>(</w:t>
      </w:r>
      <w:r w:rsidRPr="007F49E6">
        <w:rPr>
          <w:rFonts w:ascii="Times New Roman" w:hAnsi="Times New Roman"/>
          <w:color w:val="000000"/>
          <w:szCs w:val="24"/>
        </w:rPr>
        <w:t>including banks and other financial institutions</w:t>
      </w:r>
      <w:r w:rsidR="00A538D9" w:rsidRPr="007F49E6">
        <w:rPr>
          <w:rFonts w:ascii="Times New Roman" w:hAnsi="Times New Roman"/>
          <w:color w:val="000000"/>
          <w:szCs w:val="24"/>
        </w:rPr>
        <w:t>)</w:t>
      </w:r>
      <w:r w:rsidR="000C47F8" w:rsidRPr="007F49E6">
        <w:rPr>
          <w:rFonts w:ascii="Times New Roman" w:hAnsi="Times New Roman"/>
          <w:color w:val="000000"/>
          <w:szCs w:val="24"/>
        </w:rPr>
        <w:t xml:space="preserve"> authorizing</w:t>
      </w:r>
      <w:r w:rsidRPr="007F49E6">
        <w:rPr>
          <w:rFonts w:ascii="Times New Roman" w:hAnsi="Times New Roman"/>
          <w:color w:val="000000"/>
          <w:szCs w:val="24"/>
        </w:rPr>
        <w:t xml:space="preserve"> the Secretary </w:t>
      </w:r>
      <w:r w:rsidR="00301909" w:rsidRPr="007F49E6">
        <w:rPr>
          <w:rFonts w:ascii="Times New Roman" w:hAnsi="Times New Roman"/>
          <w:color w:val="000000"/>
          <w:szCs w:val="24"/>
        </w:rPr>
        <w:t xml:space="preserve">of the Department of the Treasury (Treasury) </w:t>
      </w:r>
      <w:r w:rsidRPr="007F49E6">
        <w:rPr>
          <w:rFonts w:ascii="Times New Roman" w:hAnsi="Times New Roman"/>
          <w:color w:val="000000"/>
          <w:szCs w:val="24"/>
        </w:rPr>
        <w:t xml:space="preserve">to adopt regulations concerning </w:t>
      </w:r>
      <w:r w:rsidR="000C47F8" w:rsidRPr="007F49E6">
        <w:rPr>
          <w:rFonts w:ascii="Times New Roman" w:hAnsi="Times New Roman"/>
          <w:color w:val="000000"/>
          <w:szCs w:val="24"/>
        </w:rPr>
        <w:t>the</w:t>
      </w:r>
      <w:r w:rsidRPr="007F49E6">
        <w:rPr>
          <w:rFonts w:ascii="Times New Roman" w:hAnsi="Times New Roman"/>
          <w:color w:val="000000"/>
          <w:szCs w:val="24"/>
        </w:rPr>
        <w:t xml:space="preserve"> protection</w:t>
      </w:r>
      <w:r w:rsidR="000C47F8" w:rsidRPr="007F49E6">
        <w:rPr>
          <w:rFonts w:ascii="Times New Roman" w:hAnsi="Times New Roman"/>
          <w:color w:val="000000"/>
          <w:szCs w:val="24"/>
        </w:rPr>
        <w:t xml:space="preserve"> </w:t>
      </w:r>
      <w:r w:rsidR="00A538D9" w:rsidRPr="007F49E6">
        <w:rPr>
          <w:rFonts w:ascii="Times New Roman" w:hAnsi="Times New Roman"/>
          <w:color w:val="000000"/>
          <w:szCs w:val="24"/>
        </w:rPr>
        <w:t xml:space="preserve">of </w:t>
      </w:r>
      <w:r w:rsidR="000C47F8" w:rsidRPr="007F49E6">
        <w:rPr>
          <w:rFonts w:ascii="Times New Roman" w:hAnsi="Times New Roman"/>
          <w:color w:val="000000"/>
          <w:szCs w:val="24"/>
        </w:rPr>
        <w:t>customer securities</w:t>
      </w:r>
      <w:r w:rsidR="00A538D9" w:rsidRPr="007F49E6">
        <w:rPr>
          <w:rFonts w:ascii="Times New Roman" w:hAnsi="Times New Roman"/>
          <w:color w:val="000000"/>
          <w:szCs w:val="24"/>
        </w:rPr>
        <w:t xml:space="preserve"> and the</w:t>
      </w:r>
      <w:r w:rsidRPr="007F49E6">
        <w:rPr>
          <w:rFonts w:ascii="Times New Roman" w:hAnsi="Times New Roman"/>
          <w:color w:val="000000"/>
          <w:szCs w:val="24"/>
        </w:rPr>
        <w:t xml:space="preserve"> financial</w:t>
      </w:r>
      <w:r w:rsidR="000C47F8" w:rsidRPr="007F49E6">
        <w:rPr>
          <w:rFonts w:ascii="Times New Roman" w:hAnsi="Times New Roman"/>
          <w:color w:val="000000"/>
          <w:szCs w:val="24"/>
        </w:rPr>
        <w:t xml:space="preserve"> responsibility</w:t>
      </w:r>
      <w:r w:rsidRPr="007F49E6">
        <w:rPr>
          <w:rFonts w:ascii="Times New Roman" w:hAnsi="Times New Roman"/>
          <w:color w:val="000000"/>
          <w:szCs w:val="24"/>
        </w:rPr>
        <w:t>, reporting, and recordkeeping of brokers and dealers</w:t>
      </w:r>
      <w:r w:rsidR="000C47F8" w:rsidRPr="007F49E6">
        <w:rPr>
          <w:rFonts w:ascii="Times New Roman" w:hAnsi="Times New Roman"/>
          <w:color w:val="000000"/>
          <w:szCs w:val="24"/>
        </w:rPr>
        <w:t xml:space="preserve"> in government securities</w:t>
      </w:r>
      <w:r w:rsidRPr="007F49E6">
        <w:rPr>
          <w:rFonts w:ascii="Times New Roman" w:hAnsi="Times New Roman"/>
          <w:color w:val="000000"/>
          <w:szCs w:val="24"/>
        </w:rPr>
        <w:t>.  In promulgating its regulations, the Treasury was directed to consult with the Securities and Exchange Commission (SEC), the 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 xml:space="preserve">, and the other federal banking regulatory agencies to consider the </w:t>
      </w:r>
      <w:r w:rsidR="0050313A" w:rsidRPr="007F49E6">
        <w:rPr>
          <w:rFonts w:ascii="Times New Roman" w:hAnsi="Times New Roman"/>
          <w:color w:val="000000"/>
          <w:szCs w:val="24"/>
        </w:rPr>
        <w:t>adequacy</w:t>
      </w:r>
      <w:r w:rsidRPr="007F49E6">
        <w:rPr>
          <w:rFonts w:ascii="Times New Roman" w:hAnsi="Times New Roman"/>
          <w:color w:val="000000"/>
          <w:szCs w:val="24"/>
        </w:rPr>
        <w:t xml:space="preserve"> of existing laws and regulations.</w:t>
      </w:r>
      <w:r w:rsidR="000C47F8" w:rsidRPr="007F49E6">
        <w:rPr>
          <w:rFonts w:ascii="Times New Roman" w:hAnsi="Times New Roman"/>
          <w:color w:val="000000"/>
          <w:szCs w:val="24"/>
        </w:rPr>
        <w:t xml:space="preserve">  The Act also required previously unregulated nonbank government securities brokers and dealers to register with the SEC and to join a self</w:t>
      </w:r>
      <w:r w:rsidR="007F49E6">
        <w:rPr>
          <w:rFonts w:ascii="Times New Roman" w:hAnsi="Times New Roman"/>
          <w:color w:val="000000"/>
          <w:szCs w:val="24"/>
        </w:rPr>
        <w:t>-regulatory organization (SRO).</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0C47F8" w:rsidP="007F49E6">
      <w:pPr>
        <w:pStyle w:val="Style0"/>
        <w:ind w:firstLine="720"/>
        <w:rPr>
          <w:rFonts w:ascii="Times New Roman" w:hAnsi="Times New Roman"/>
          <w:color w:val="000000"/>
          <w:szCs w:val="24"/>
        </w:rPr>
      </w:pPr>
      <w:r w:rsidRPr="007F49E6">
        <w:rPr>
          <w:rFonts w:ascii="Times New Roman" w:hAnsi="Times New Roman"/>
          <w:color w:val="000000"/>
          <w:szCs w:val="24"/>
        </w:rPr>
        <w:t>Today, a</w:t>
      </w:r>
      <w:r w:rsidR="00D04B49" w:rsidRPr="007F49E6">
        <w:rPr>
          <w:rFonts w:ascii="Times New Roman" w:hAnsi="Times New Roman"/>
          <w:color w:val="000000"/>
          <w:szCs w:val="24"/>
        </w:rPr>
        <w:t xml:space="preserve">ll financial institutions that serve as government securities brokers and government securities dealers </w:t>
      </w:r>
      <w:r w:rsidRPr="007F49E6">
        <w:rPr>
          <w:rFonts w:ascii="Times New Roman" w:hAnsi="Times New Roman"/>
          <w:color w:val="000000"/>
          <w:szCs w:val="24"/>
        </w:rPr>
        <w:t>are</w:t>
      </w:r>
      <w:r w:rsidR="00D04B49" w:rsidRPr="007F49E6">
        <w:rPr>
          <w:rFonts w:ascii="Times New Roman" w:hAnsi="Times New Roman"/>
          <w:color w:val="000000"/>
          <w:szCs w:val="24"/>
        </w:rPr>
        <w:t xml:space="preserve"> required to notify their </w:t>
      </w:r>
      <w:r w:rsidR="00016F3B" w:rsidRPr="007F49E6">
        <w:rPr>
          <w:rFonts w:ascii="Times New Roman" w:hAnsi="Times New Roman"/>
          <w:color w:val="000000"/>
          <w:szCs w:val="24"/>
        </w:rPr>
        <w:t>ARA</w:t>
      </w:r>
      <w:r w:rsidR="00AF4E0C" w:rsidRPr="007F49E6">
        <w:rPr>
          <w:rFonts w:ascii="Times New Roman" w:hAnsi="Times New Roman"/>
          <w:color w:val="000000"/>
          <w:szCs w:val="24"/>
        </w:rPr>
        <w:t xml:space="preserve"> </w:t>
      </w:r>
      <w:r w:rsidRPr="007F49E6">
        <w:rPr>
          <w:rFonts w:ascii="Times New Roman" w:hAnsi="Times New Roman"/>
          <w:color w:val="000000"/>
          <w:szCs w:val="24"/>
        </w:rPr>
        <w:t>when they plan to engage in or cease to engage in government securities broker or dealer activity</w:t>
      </w:r>
      <w:r w:rsidR="00E07E93" w:rsidRPr="007F49E6">
        <w:rPr>
          <w:rFonts w:ascii="Times New Roman" w:hAnsi="Times New Roman"/>
          <w:color w:val="000000"/>
          <w:szCs w:val="24"/>
        </w:rPr>
        <w:t>.</w:t>
      </w:r>
      <w:r w:rsidR="002A12E6" w:rsidRPr="007F49E6">
        <w:rPr>
          <w:rFonts w:ascii="Times New Roman" w:hAnsi="Times New Roman"/>
          <w:color w:val="000000"/>
          <w:szCs w:val="24"/>
        </w:rPr>
        <w:t xml:space="preserve"> </w:t>
      </w:r>
      <w:r w:rsidRPr="007F49E6">
        <w:rPr>
          <w:rFonts w:ascii="Times New Roman" w:hAnsi="Times New Roman"/>
          <w:color w:val="000000"/>
          <w:szCs w:val="24"/>
        </w:rPr>
        <w:t xml:space="preserve"> </w:t>
      </w:r>
      <w:r w:rsidR="00E07E93" w:rsidRPr="007F49E6">
        <w:rPr>
          <w:rFonts w:ascii="Times New Roman" w:hAnsi="Times New Roman"/>
          <w:color w:val="000000"/>
          <w:szCs w:val="24"/>
        </w:rPr>
        <w:t>This notification is provided through</w:t>
      </w:r>
      <w:r w:rsidR="00D04B49" w:rsidRPr="007F49E6">
        <w:rPr>
          <w:rFonts w:ascii="Times New Roman" w:hAnsi="Times New Roman"/>
          <w:color w:val="000000"/>
          <w:szCs w:val="24"/>
        </w:rPr>
        <w:t xml:space="preserve"> </w:t>
      </w:r>
      <w:r w:rsidR="00301909" w:rsidRPr="007F49E6">
        <w:rPr>
          <w:rFonts w:ascii="Times New Roman" w:hAnsi="Times New Roman"/>
          <w:color w:val="000000"/>
          <w:szCs w:val="24"/>
        </w:rPr>
        <w:t xml:space="preserve">reporting </w:t>
      </w:r>
      <w:r w:rsidR="00D04B49" w:rsidRPr="007F49E6">
        <w:rPr>
          <w:rFonts w:ascii="Times New Roman" w:hAnsi="Times New Roman"/>
          <w:color w:val="000000"/>
          <w:szCs w:val="24"/>
        </w:rPr>
        <w:t>forms prescribed by the 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w:t>
      </w:r>
      <w:r w:rsidR="00D04B49" w:rsidRPr="007F49E6">
        <w:rPr>
          <w:rFonts w:ascii="Times New Roman" w:hAnsi="Times New Roman"/>
          <w:color w:val="000000"/>
          <w:szCs w:val="24"/>
        </w:rPr>
        <w:t xml:space="preserve">  The </w:t>
      </w:r>
      <w:r w:rsidR="00AF4E0C" w:rsidRPr="007F49E6">
        <w:rPr>
          <w:rFonts w:ascii="Times New Roman" w:hAnsi="Times New Roman"/>
          <w:color w:val="000000"/>
          <w:szCs w:val="24"/>
        </w:rPr>
        <w:t>ARAs</w:t>
      </w:r>
      <w:r w:rsidR="00D04B49" w:rsidRPr="007F49E6">
        <w:rPr>
          <w:rFonts w:ascii="Times New Roman" w:hAnsi="Times New Roman"/>
          <w:color w:val="000000"/>
          <w:szCs w:val="24"/>
        </w:rPr>
        <w:t xml:space="preserve"> </w:t>
      </w:r>
      <w:proofErr w:type="gramStart"/>
      <w:r w:rsidRPr="007F49E6">
        <w:rPr>
          <w:rFonts w:ascii="Times New Roman" w:hAnsi="Times New Roman"/>
          <w:color w:val="000000"/>
          <w:szCs w:val="24"/>
        </w:rPr>
        <w:t>are</w:t>
      </w:r>
      <w:proofErr w:type="gramEnd"/>
      <w:r w:rsidRPr="007F49E6">
        <w:rPr>
          <w:rFonts w:ascii="Times New Roman" w:hAnsi="Times New Roman"/>
          <w:color w:val="000000"/>
          <w:szCs w:val="24"/>
        </w:rPr>
        <w:t xml:space="preserve"> responsible for </w:t>
      </w:r>
      <w:r w:rsidR="00185C34" w:rsidRPr="007F49E6">
        <w:rPr>
          <w:rFonts w:ascii="Times New Roman" w:hAnsi="Times New Roman"/>
          <w:color w:val="000000"/>
          <w:szCs w:val="24"/>
        </w:rPr>
        <w:lastRenderedPageBreak/>
        <w:t>enforc</w:t>
      </w:r>
      <w:r w:rsidRPr="007F49E6">
        <w:rPr>
          <w:rFonts w:ascii="Times New Roman" w:hAnsi="Times New Roman"/>
          <w:color w:val="000000"/>
          <w:szCs w:val="24"/>
        </w:rPr>
        <w:t>ing</w:t>
      </w:r>
      <w:r w:rsidR="00D04B49" w:rsidRPr="007F49E6">
        <w:rPr>
          <w:rFonts w:ascii="Times New Roman" w:hAnsi="Times New Roman"/>
          <w:color w:val="000000"/>
          <w:szCs w:val="24"/>
        </w:rPr>
        <w:t xml:space="preserve"> these Treasury regulations for financial institutions.  The SEC and SROs enforce Treasury regulations for nonbanks.</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7F49E6">
      <w:pPr>
        <w:pStyle w:val="Style0"/>
        <w:ind w:firstLine="720"/>
        <w:rPr>
          <w:rFonts w:ascii="Times New Roman" w:hAnsi="Times New Roman"/>
          <w:color w:val="000000"/>
          <w:szCs w:val="24"/>
        </w:rPr>
      </w:pPr>
      <w:r w:rsidRPr="007F49E6">
        <w:rPr>
          <w:rFonts w:ascii="Times New Roman" w:hAnsi="Times New Roman"/>
          <w:color w:val="000000"/>
          <w:szCs w:val="24"/>
        </w:rPr>
        <w:t xml:space="preserve">Some institutions are exempt from the notice requirement </w:t>
      </w:r>
      <w:r w:rsidR="000C47F8" w:rsidRPr="007F49E6">
        <w:rPr>
          <w:rFonts w:ascii="Times New Roman" w:hAnsi="Times New Roman"/>
          <w:color w:val="000000"/>
          <w:szCs w:val="24"/>
        </w:rPr>
        <w:t>under</w:t>
      </w:r>
      <w:r w:rsidRPr="007F49E6">
        <w:rPr>
          <w:rFonts w:ascii="Times New Roman" w:hAnsi="Times New Roman"/>
          <w:color w:val="000000"/>
          <w:szCs w:val="24"/>
        </w:rPr>
        <w:t xml:space="preserve"> the Treasury regulation</w:t>
      </w:r>
      <w:r w:rsidR="00CC2C25" w:rsidRPr="007F49E6">
        <w:rPr>
          <w:rFonts w:ascii="Times New Roman" w:hAnsi="Times New Roman"/>
          <w:color w:val="000000"/>
          <w:szCs w:val="24"/>
        </w:rPr>
        <w:t>s</w:t>
      </w:r>
      <w:r w:rsidRPr="007F49E6">
        <w:rPr>
          <w:rFonts w:ascii="Times New Roman" w:hAnsi="Times New Roman"/>
          <w:color w:val="000000"/>
          <w:szCs w:val="24"/>
        </w:rPr>
        <w:t xml:space="preserve"> </w:t>
      </w:r>
      <w:r w:rsidR="00301909" w:rsidRPr="007F49E6">
        <w:rPr>
          <w:rFonts w:ascii="Times New Roman" w:hAnsi="Times New Roman"/>
          <w:color w:val="000000"/>
          <w:szCs w:val="24"/>
        </w:rPr>
        <w:t>(</w:t>
      </w:r>
      <w:r w:rsidR="00CC2C25" w:rsidRPr="007F49E6">
        <w:rPr>
          <w:rFonts w:ascii="Times New Roman" w:hAnsi="Times New Roman"/>
          <w:color w:val="000000"/>
          <w:szCs w:val="24"/>
        </w:rPr>
        <w:t>f</w:t>
      </w:r>
      <w:r w:rsidRPr="007F49E6">
        <w:rPr>
          <w:rFonts w:ascii="Times New Roman" w:hAnsi="Times New Roman"/>
          <w:color w:val="000000"/>
          <w:szCs w:val="24"/>
        </w:rPr>
        <w:t>or example</w:t>
      </w:r>
      <w:r w:rsidR="000C47F8" w:rsidRPr="007F49E6">
        <w:rPr>
          <w:rFonts w:ascii="Times New Roman" w:hAnsi="Times New Roman"/>
          <w:color w:val="000000"/>
          <w:szCs w:val="24"/>
        </w:rPr>
        <w:t>,</w:t>
      </w:r>
      <w:r w:rsidRPr="007F49E6">
        <w:rPr>
          <w:rFonts w:ascii="Times New Roman" w:hAnsi="Times New Roman"/>
          <w:color w:val="000000"/>
          <w:szCs w:val="24"/>
        </w:rPr>
        <w:t xml:space="preserve"> an institution whose activity is limited to issuing or forwarding U.S. Savings Bonds</w:t>
      </w:r>
      <w:r w:rsidR="00301909" w:rsidRPr="007F49E6">
        <w:rPr>
          <w:rFonts w:ascii="Times New Roman" w:hAnsi="Times New Roman"/>
          <w:color w:val="000000"/>
          <w:szCs w:val="24"/>
        </w:rPr>
        <w:t>)</w:t>
      </w:r>
      <w:r w:rsidR="00CC2C25" w:rsidRPr="007F49E6">
        <w:rPr>
          <w:rFonts w:ascii="Times New Roman" w:hAnsi="Times New Roman"/>
          <w:color w:val="000000"/>
          <w:szCs w:val="24"/>
        </w:rPr>
        <w:t>.</w:t>
      </w:r>
      <w:r w:rsidRPr="007F49E6">
        <w:rPr>
          <w:rFonts w:ascii="Times New Roman" w:hAnsi="Times New Roman"/>
          <w:color w:val="000000"/>
          <w:szCs w:val="24"/>
        </w:rPr>
        <w:t xml:space="preserve"> </w:t>
      </w:r>
      <w:r w:rsidR="002C3B72" w:rsidRPr="007F49E6">
        <w:rPr>
          <w:rFonts w:ascii="Times New Roman" w:hAnsi="Times New Roman"/>
          <w:color w:val="000000"/>
          <w:szCs w:val="24"/>
        </w:rPr>
        <w:t xml:space="preserve"> </w:t>
      </w:r>
      <w:r w:rsidRPr="007F49E6">
        <w:rPr>
          <w:rFonts w:ascii="Times New Roman" w:hAnsi="Times New Roman"/>
          <w:color w:val="000000"/>
          <w:szCs w:val="24"/>
        </w:rPr>
        <w:t>When an exemption no longer applies, the institution must immediately</w:t>
      </w:r>
      <w:r w:rsidR="007F49E6">
        <w:rPr>
          <w:rFonts w:ascii="Times New Roman" w:hAnsi="Times New Roman"/>
          <w:color w:val="000000"/>
          <w:szCs w:val="24"/>
        </w:rPr>
        <w:t xml:space="preserve"> file a notice.</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7F49E6">
        <w:rPr>
          <w:rFonts w:ascii="Times New Roman" w:hAnsi="Times New Roman"/>
          <w:b/>
          <w:color w:val="000000"/>
          <w:szCs w:val="24"/>
        </w:rPr>
        <w:t>Description of Information Collection</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7F49E6">
      <w:pPr>
        <w:pStyle w:val="Style0"/>
        <w:ind w:firstLine="720"/>
        <w:rPr>
          <w:rFonts w:ascii="Times New Roman" w:hAnsi="Times New Roman"/>
          <w:color w:val="000000"/>
          <w:szCs w:val="24"/>
        </w:rPr>
      </w:pPr>
      <w:r w:rsidRPr="007F49E6">
        <w:rPr>
          <w:rFonts w:ascii="Times New Roman" w:hAnsi="Times New Roman"/>
          <w:color w:val="000000"/>
          <w:szCs w:val="24"/>
        </w:rPr>
        <w:t>Pursuant to the Act, the FR</w:t>
      </w:r>
      <w:r w:rsidR="007F49E6">
        <w:rPr>
          <w:rFonts w:ascii="Times New Roman" w:hAnsi="Times New Roman"/>
          <w:color w:val="000000"/>
          <w:szCs w:val="24"/>
        </w:rPr>
        <w:t> </w:t>
      </w:r>
      <w:r w:rsidRPr="007F49E6">
        <w:rPr>
          <w:rFonts w:ascii="Times New Roman" w:hAnsi="Times New Roman"/>
          <w:color w:val="000000"/>
          <w:szCs w:val="24"/>
        </w:rPr>
        <w:t>G</w:t>
      </w:r>
      <w:r w:rsidR="007F49E6">
        <w:rPr>
          <w:rFonts w:ascii="Times New Roman" w:hAnsi="Times New Roman"/>
          <w:color w:val="000000"/>
          <w:szCs w:val="24"/>
        </w:rPr>
        <w:t>-</w:t>
      </w:r>
      <w:r w:rsidRPr="007F49E6">
        <w:rPr>
          <w:rFonts w:ascii="Times New Roman" w:hAnsi="Times New Roman"/>
          <w:color w:val="000000"/>
          <w:szCs w:val="24"/>
        </w:rPr>
        <w:t xml:space="preserve">FIN is </w:t>
      </w:r>
      <w:r w:rsidR="000A2EED" w:rsidRPr="007F49E6">
        <w:rPr>
          <w:rFonts w:ascii="Times New Roman" w:hAnsi="Times New Roman"/>
          <w:color w:val="000000"/>
          <w:szCs w:val="24"/>
        </w:rPr>
        <w:t>used to provide</w:t>
      </w:r>
      <w:r w:rsidRPr="007F49E6">
        <w:rPr>
          <w:rFonts w:ascii="Times New Roman" w:hAnsi="Times New Roman"/>
          <w:color w:val="000000"/>
          <w:szCs w:val="24"/>
        </w:rPr>
        <w:t xml:space="preserve"> initial notice of government securities broker or dealer activities </w:t>
      </w:r>
      <w:r w:rsidR="000A2EED" w:rsidRPr="007F49E6">
        <w:rPr>
          <w:rFonts w:ascii="Times New Roman" w:hAnsi="Times New Roman"/>
          <w:color w:val="000000"/>
          <w:szCs w:val="24"/>
        </w:rPr>
        <w:t>or</w:t>
      </w:r>
      <w:r w:rsidRPr="007F49E6">
        <w:rPr>
          <w:rFonts w:ascii="Times New Roman" w:hAnsi="Times New Roman"/>
          <w:color w:val="000000"/>
          <w:szCs w:val="24"/>
        </w:rPr>
        <w:t xml:space="preserve"> to amend information</w:t>
      </w:r>
      <w:r w:rsidR="00CC2C25" w:rsidRPr="007F49E6">
        <w:rPr>
          <w:rFonts w:ascii="Times New Roman" w:hAnsi="Times New Roman"/>
          <w:color w:val="000000"/>
          <w:szCs w:val="24"/>
        </w:rPr>
        <w:t xml:space="preserve"> previously provided</w:t>
      </w:r>
      <w:r w:rsidRPr="007F49E6">
        <w:rPr>
          <w:rFonts w:ascii="Times New Roman" w:hAnsi="Times New Roman"/>
          <w:color w:val="000000"/>
          <w:szCs w:val="24"/>
        </w:rPr>
        <w:t xml:space="preserve">.  The G-FIN </w:t>
      </w:r>
      <w:r w:rsidR="00817A87" w:rsidRPr="007F49E6">
        <w:rPr>
          <w:rFonts w:ascii="Times New Roman" w:hAnsi="Times New Roman"/>
          <w:color w:val="000000"/>
          <w:szCs w:val="24"/>
        </w:rPr>
        <w:t xml:space="preserve">collects </w:t>
      </w:r>
      <w:r w:rsidR="00F44E8A" w:rsidRPr="007F49E6">
        <w:rPr>
          <w:rFonts w:ascii="Times New Roman" w:hAnsi="Times New Roman"/>
          <w:color w:val="000000"/>
          <w:szCs w:val="24"/>
        </w:rPr>
        <w:t xml:space="preserve">such information as </w:t>
      </w:r>
      <w:r w:rsidRPr="007F49E6">
        <w:rPr>
          <w:rFonts w:ascii="Times New Roman" w:hAnsi="Times New Roman"/>
          <w:color w:val="000000"/>
          <w:szCs w:val="24"/>
        </w:rPr>
        <w:t xml:space="preserve">the company name, all business addresses, names and titles of managers of government securities activities, and </w:t>
      </w:r>
      <w:r w:rsidR="000A2EED" w:rsidRPr="007F49E6">
        <w:rPr>
          <w:rFonts w:ascii="Times New Roman" w:hAnsi="Times New Roman"/>
          <w:color w:val="000000"/>
          <w:szCs w:val="24"/>
        </w:rPr>
        <w:t>the names of any</w:t>
      </w:r>
      <w:r w:rsidRPr="007F49E6">
        <w:rPr>
          <w:rFonts w:ascii="Times New Roman" w:hAnsi="Times New Roman"/>
          <w:color w:val="000000"/>
          <w:szCs w:val="24"/>
        </w:rPr>
        <w:t xml:space="preserve"> person</w:t>
      </w:r>
      <w:r w:rsidR="000A2EED" w:rsidRPr="007F49E6">
        <w:rPr>
          <w:rFonts w:ascii="Times New Roman" w:hAnsi="Times New Roman"/>
          <w:color w:val="000000"/>
          <w:szCs w:val="24"/>
        </w:rPr>
        <w:t>s</w:t>
      </w:r>
      <w:r w:rsidRPr="007F49E6">
        <w:rPr>
          <w:rFonts w:ascii="Times New Roman" w:hAnsi="Times New Roman"/>
          <w:color w:val="000000"/>
          <w:szCs w:val="24"/>
        </w:rPr>
        <w:t xml:space="preserve"> involved in disciplinary proceedings related to </w:t>
      </w:r>
      <w:r w:rsidR="000A2EED" w:rsidRPr="007F49E6">
        <w:rPr>
          <w:rFonts w:ascii="Times New Roman" w:hAnsi="Times New Roman"/>
          <w:color w:val="000000"/>
          <w:szCs w:val="24"/>
        </w:rPr>
        <w:t xml:space="preserve">the sale of </w:t>
      </w:r>
      <w:r w:rsidR="00397A97">
        <w:rPr>
          <w:rFonts w:ascii="Times New Roman" w:hAnsi="Times New Roman"/>
          <w:color w:val="000000"/>
          <w:szCs w:val="24"/>
        </w:rPr>
        <w:t>securities.  The G-</w:t>
      </w:r>
      <w:r w:rsidRPr="007F49E6">
        <w:rPr>
          <w:rFonts w:ascii="Times New Roman" w:hAnsi="Times New Roman"/>
          <w:color w:val="000000"/>
          <w:szCs w:val="24"/>
        </w:rPr>
        <w:t xml:space="preserve">FINW is the notice of termination of government securities broker or dealer activities and collects </w:t>
      </w:r>
      <w:r w:rsidR="000A2EED" w:rsidRPr="007F49E6">
        <w:rPr>
          <w:rFonts w:ascii="Times New Roman" w:hAnsi="Times New Roman"/>
          <w:color w:val="000000"/>
          <w:szCs w:val="24"/>
        </w:rPr>
        <w:t xml:space="preserve">such information as </w:t>
      </w:r>
      <w:r w:rsidRPr="007F49E6">
        <w:rPr>
          <w:rFonts w:ascii="Times New Roman" w:hAnsi="Times New Roman"/>
          <w:color w:val="000000"/>
          <w:szCs w:val="24"/>
        </w:rPr>
        <w:t>the company name, address, and contact person responsible for the records associated with the government securities broker or dealer</w:t>
      </w:r>
      <w:r w:rsidR="000A2EED" w:rsidRPr="007F49E6">
        <w:rPr>
          <w:rFonts w:ascii="Times New Roman" w:hAnsi="Times New Roman"/>
          <w:color w:val="000000"/>
          <w:szCs w:val="24"/>
        </w:rPr>
        <w:t xml:space="preserve"> activities</w:t>
      </w:r>
      <w:r w:rsidRPr="007F49E6">
        <w:rPr>
          <w:rFonts w:ascii="Times New Roman" w:hAnsi="Times New Roman"/>
          <w:color w:val="000000"/>
          <w:szCs w:val="24"/>
        </w:rPr>
        <w:t xml:space="preserve">.  Both </w:t>
      </w:r>
      <w:r w:rsidR="00301909" w:rsidRPr="007F49E6">
        <w:rPr>
          <w:rFonts w:ascii="Times New Roman" w:hAnsi="Times New Roman"/>
          <w:color w:val="000000"/>
          <w:szCs w:val="24"/>
        </w:rPr>
        <w:t xml:space="preserve">information collections </w:t>
      </w:r>
      <w:r w:rsidRPr="007F49E6">
        <w:rPr>
          <w:rFonts w:ascii="Times New Roman" w:hAnsi="Times New Roman"/>
          <w:color w:val="000000"/>
          <w:szCs w:val="24"/>
        </w:rPr>
        <w:t>are event</w:t>
      </w:r>
      <w:r w:rsidR="00301909" w:rsidRPr="007F49E6">
        <w:rPr>
          <w:rFonts w:ascii="Times New Roman" w:hAnsi="Times New Roman"/>
          <w:color w:val="000000"/>
          <w:szCs w:val="24"/>
        </w:rPr>
        <w:t>-</w:t>
      </w:r>
      <w:r w:rsidRPr="007F49E6">
        <w:rPr>
          <w:rFonts w:ascii="Times New Roman" w:hAnsi="Times New Roman"/>
          <w:color w:val="000000"/>
          <w:szCs w:val="24"/>
        </w:rPr>
        <w:t>generated.</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397A97">
      <w:pPr>
        <w:pStyle w:val="Style0"/>
        <w:ind w:firstLine="720"/>
        <w:rPr>
          <w:rFonts w:ascii="Times New Roman" w:hAnsi="Times New Roman"/>
          <w:color w:val="000000"/>
          <w:szCs w:val="24"/>
        </w:rPr>
      </w:pPr>
      <w:r w:rsidRPr="007F49E6">
        <w:rPr>
          <w:rFonts w:ascii="Times New Roman" w:hAnsi="Times New Roman"/>
          <w:color w:val="000000"/>
          <w:szCs w:val="24"/>
        </w:rPr>
        <w:t>An important function of the G</w:t>
      </w:r>
      <w:r w:rsidR="00397A97">
        <w:rPr>
          <w:rFonts w:ascii="Times New Roman" w:hAnsi="Times New Roman"/>
          <w:color w:val="000000"/>
          <w:szCs w:val="24"/>
        </w:rPr>
        <w:t>-</w:t>
      </w:r>
      <w:r w:rsidRPr="007F49E6">
        <w:rPr>
          <w:rFonts w:ascii="Times New Roman" w:hAnsi="Times New Roman"/>
          <w:color w:val="000000"/>
          <w:szCs w:val="24"/>
        </w:rPr>
        <w:t xml:space="preserve">FIN is to help financial institutions determine whether they must file notices pursuant to the Act.  The definitions of government securities broker and government securities dealer in the statute are very broad and </w:t>
      </w:r>
      <w:r w:rsidR="00301909" w:rsidRPr="007F49E6">
        <w:rPr>
          <w:rFonts w:ascii="Times New Roman" w:hAnsi="Times New Roman"/>
          <w:color w:val="000000"/>
          <w:szCs w:val="24"/>
        </w:rPr>
        <w:t xml:space="preserve">if </w:t>
      </w:r>
      <w:r w:rsidRPr="007F49E6">
        <w:rPr>
          <w:rFonts w:ascii="Times New Roman" w:hAnsi="Times New Roman"/>
          <w:color w:val="000000"/>
          <w:szCs w:val="24"/>
        </w:rPr>
        <w:t xml:space="preserve">read literally would encompass most banks and many thrift institutions. </w:t>
      </w:r>
      <w:r w:rsidR="00301909" w:rsidRPr="007F49E6">
        <w:rPr>
          <w:rFonts w:ascii="Times New Roman" w:hAnsi="Times New Roman"/>
          <w:color w:val="000000"/>
          <w:szCs w:val="24"/>
        </w:rPr>
        <w:t xml:space="preserve"> The</w:t>
      </w:r>
      <w:r w:rsidRPr="007F49E6">
        <w:rPr>
          <w:rFonts w:ascii="Times New Roman" w:hAnsi="Times New Roman"/>
          <w:color w:val="000000"/>
          <w:szCs w:val="24"/>
        </w:rPr>
        <w:t xml:space="preserve"> Treasury has the authority to exempt institutions from this requirement if it is consistent with the intent of the Act.  When the Treasury regulations were first </w:t>
      </w:r>
      <w:r w:rsidR="00301909" w:rsidRPr="007F49E6">
        <w:rPr>
          <w:rFonts w:ascii="Times New Roman" w:hAnsi="Times New Roman"/>
          <w:color w:val="000000"/>
          <w:szCs w:val="24"/>
        </w:rPr>
        <w:t xml:space="preserve">drafted </w:t>
      </w:r>
      <w:r w:rsidRPr="007F49E6">
        <w:rPr>
          <w:rFonts w:ascii="Times New Roman" w:hAnsi="Times New Roman"/>
          <w:color w:val="000000"/>
          <w:szCs w:val="24"/>
        </w:rPr>
        <w:t xml:space="preserve">to implement the reporting requirements of the Act, </w:t>
      </w:r>
      <w:r w:rsidR="00301909" w:rsidRPr="007F49E6">
        <w:rPr>
          <w:rFonts w:ascii="Times New Roman" w:hAnsi="Times New Roman"/>
          <w:color w:val="000000"/>
          <w:szCs w:val="24"/>
        </w:rPr>
        <w:t xml:space="preserve">the ARAs </w:t>
      </w:r>
      <w:r w:rsidRPr="007F49E6">
        <w:rPr>
          <w:rFonts w:ascii="Times New Roman" w:hAnsi="Times New Roman"/>
          <w:color w:val="000000"/>
          <w:szCs w:val="24"/>
        </w:rPr>
        <w:t xml:space="preserve">worked closely to narrow the class of financial institution required to file </w:t>
      </w:r>
      <w:r w:rsidR="00F319A5" w:rsidRPr="007F49E6">
        <w:rPr>
          <w:rFonts w:ascii="Times New Roman" w:hAnsi="Times New Roman"/>
          <w:color w:val="000000"/>
          <w:szCs w:val="24"/>
        </w:rPr>
        <w:t xml:space="preserve">the </w:t>
      </w:r>
      <w:r w:rsidRPr="007F49E6">
        <w:rPr>
          <w:rFonts w:ascii="Times New Roman" w:hAnsi="Times New Roman"/>
          <w:color w:val="000000"/>
          <w:szCs w:val="24"/>
        </w:rPr>
        <w:t>G</w:t>
      </w:r>
      <w:r w:rsidR="002B688F">
        <w:rPr>
          <w:rFonts w:ascii="Times New Roman" w:hAnsi="Times New Roman"/>
          <w:color w:val="000000"/>
          <w:szCs w:val="24"/>
        </w:rPr>
        <w:t>-</w:t>
      </w:r>
      <w:r w:rsidRPr="007F49E6">
        <w:rPr>
          <w:rFonts w:ascii="Times New Roman" w:hAnsi="Times New Roman"/>
          <w:color w:val="000000"/>
          <w:szCs w:val="24"/>
        </w:rPr>
        <w:t xml:space="preserve">FIN </w:t>
      </w:r>
      <w:r w:rsidR="00F319A5" w:rsidRPr="007F49E6">
        <w:rPr>
          <w:rFonts w:ascii="Times New Roman" w:hAnsi="Times New Roman"/>
          <w:color w:val="000000"/>
          <w:szCs w:val="24"/>
        </w:rPr>
        <w:t>(</w:t>
      </w:r>
      <w:r w:rsidRPr="007F49E6">
        <w:rPr>
          <w:rFonts w:ascii="Times New Roman" w:hAnsi="Times New Roman"/>
          <w:color w:val="000000"/>
          <w:szCs w:val="24"/>
        </w:rPr>
        <w:t xml:space="preserve">reflected in </w:t>
      </w:r>
      <w:r w:rsidR="00AF4E0C" w:rsidRPr="007F49E6">
        <w:rPr>
          <w:rFonts w:ascii="Times New Roman" w:hAnsi="Times New Roman"/>
          <w:color w:val="000000"/>
          <w:szCs w:val="24"/>
        </w:rPr>
        <w:t xml:space="preserve">Part B of the </w:t>
      </w:r>
      <w:r w:rsidRPr="007F49E6">
        <w:rPr>
          <w:rFonts w:ascii="Times New Roman" w:hAnsi="Times New Roman"/>
          <w:color w:val="000000"/>
          <w:szCs w:val="24"/>
        </w:rPr>
        <w:t>instruction</w:t>
      </w:r>
      <w:r w:rsidR="00AF4E0C" w:rsidRPr="007F49E6">
        <w:rPr>
          <w:rFonts w:ascii="Times New Roman" w:hAnsi="Times New Roman"/>
          <w:color w:val="000000"/>
          <w:szCs w:val="24"/>
        </w:rPr>
        <w:t>s, Who Must File</w:t>
      </w:r>
      <w:r w:rsidR="00F319A5" w:rsidRPr="007F49E6">
        <w:rPr>
          <w:rFonts w:ascii="Times New Roman" w:hAnsi="Times New Roman"/>
          <w:color w:val="000000"/>
          <w:szCs w:val="24"/>
        </w:rPr>
        <w:t>)</w:t>
      </w:r>
      <w:r w:rsidR="00AF4E0C" w:rsidRPr="007F49E6">
        <w:rPr>
          <w:rFonts w:ascii="Times New Roman" w:hAnsi="Times New Roman"/>
          <w:color w:val="000000"/>
          <w:szCs w:val="24"/>
        </w:rPr>
        <w:t>.</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2B688F">
      <w:pPr>
        <w:pStyle w:val="Style0"/>
        <w:ind w:firstLine="720"/>
        <w:rPr>
          <w:rFonts w:ascii="Times New Roman" w:hAnsi="Times New Roman"/>
          <w:color w:val="000000"/>
          <w:szCs w:val="24"/>
        </w:rPr>
      </w:pPr>
      <w:r w:rsidRPr="007F49E6">
        <w:rPr>
          <w:rFonts w:ascii="Times New Roman" w:hAnsi="Times New Roman"/>
          <w:color w:val="000000"/>
          <w:szCs w:val="24"/>
        </w:rPr>
        <w:t>In addition to incorporating Treasury</w:t>
      </w:r>
      <w:r w:rsidR="002B688F">
        <w:rPr>
          <w:rFonts w:ascii="Times New Roman" w:hAnsi="Times New Roman"/>
          <w:color w:val="000000"/>
          <w:szCs w:val="24"/>
        </w:rPr>
        <w:t>’</w:t>
      </w:r>
      <w:r w:rsidRPr="007F49E6">
        <w:rPr>
          <w:rFonts w:ascii="Times New Roman" w:hAnsi="Times New Roman"/>
          <w:color w:val="000000"/>
          <w:szCs w:val="24"/>
        </w:rPr>
        <w:t xml:space="preserve">s exemptions from the notice requirement in the </w:t>
      </w:r>
      <w:r w:rsidR="00AF4E0C" w:rsidRPr="007F49E6">
        <w:rPr>
          <w:rFonts w:ascii="Times New Roman" w:hAnsi="Times New Roman"/>
          <w:color w:val="000000"/>
          <w:szCs w:val="24"/>
        </w:rPr>
        <w:t xml:space="preserve">reporting </w:t>
      </w:r>
      <w:r w:rsidRPr="007F49E6">
        <w:rPr>
          <w:rFonts w:ascii="Times New Roman" w:hAnsi="Times New Roman"/>
          <w:color w:val="000000"/>
          <w:szCs w:val="24"/>
        </w:rPr>
        <w:t>instruction</w:t>
      </w:r>
      <w:r w:rsidR="00AF4E0C" w:rsidRPr="007F49E6">
        <w:rPr>
          <w:rFonts w:ascii="Times New Roman" w:hAnsi="Times New Roman"/>
          <w:color w:val="000000"/>
          <w:szCs w:val="24"/>
        </w:rPr>
        <w:t>s</w:t>
      </w:r>
      <w:r w:rsidRPr="007F49E6">
        <w:rPr>
          <w:rFonts w:ascii="Times New Roman" w:hAnsi="Times New Roman"/>
          <w:color w:val="000000"/>
          <w:szCs w:val="24"/>
        </w:rPr>
        <w:t xml:space="preserve">, the </w:t>
      </w:r>
      <w:r w:rsidR="0008436A" w:rsidRPr="007F49E6">
        <w:rPr>
          <w:rFonts w:ascii="Times New Roman" w:hAnsi="Times New Roman"/>
          <w:color w:val="000000"/>
          <w:szCs w:val="24"/>
        </w:rPr>
        <w:t>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 xml:space="preserve"> has prominently summarized these exemptions on the cover of the G</w:t>
      </w:r>
      <w:r w:rsidR="002B688F">
        <w:rPr>
          <w:rFonts w:ascii="Times New Roman" w:hAnsi="Times New Roman"/>
          <w:color w:val="000000"/>
          <w:szCs w:val="24"/>
        </w:rPr>
        <w:t>-</w:t>
      </w:r>
      <w:r w:rsidRPr="007F49E6">
        <w:rPr>
          <w:rFonts w:ascii="Times New Roman" w:hAnsi="Times New Roman"/>
          <w:color w:val="000000"/>
          <w:szCs w:val="24"/>
        </w:rPr>
        <w:t>FIN in a box labeled Notice Requirements in order to provide a simpler and easier means for financial institutions to determine if they are exempt.</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197256" w:rsidRDefault="00D04B49" w:rsidP="00197256">
      <w:pPr>
        <w:pStyle w:val="Style0"/>
        <w:ind w:firstLine="720"/>
        <w:rPr>
          <w:rFonts w:ascii="Times New Roman" w:hAnsi="Times New Roman"/>
          <w:color w:val="000000"/>
          <w:szCs w:val="24"/>
        </w:rPr>
      </w:pPr>
      <w:r w:rsidRPr="007F49E6">
        <w:rPr>
          <w:rFonts w:ascii="Times New Roman" w:hAnsi="Times New Roman"/>
          <w:color w:val="000000"/>
          <w:szCs w:val="24"/>
        </w:rPr>
        <w:t xml:space="preserve">The statute requires that the notice contain </w:t>
      </w:r>
      <w:r w:rsidR="00CC2C25" w:rsidRPr="007F49E6">
        <w:rPr>
          <w:rFonts w:ascii="Times New Roman" w:hAnsi="Times New Roman"/>
          <w:color w:val="000000"/>
          <w:szCs w:val="24"/>
        </w:rPr>
        <w:t xml:space="preserve">such </w:t>
      </w:r>
      <w:r w:rsidRPr="007F49E6">
        <w:rPr>
          <w:rFonts w:ascii="Times New Roman" w:hAnsi="Times New Roman"/>
          <w:color w:val="000000"/>
          <w:szCs w:val="24"/>
        </w:rPr>
        <w:t xml:space="preserve">information concerning the financial institution and any persons associated with the institution as the </w:t>
      </w:r>
      <w:r w:rsidR="00AC0418" w:rsidRPr="007F49E6">
        <w:rPr>
          <w:rFonts w:ascii="Times New Roman" w:hAnsi="Times New Roman"/>
          <w:color w:val="000000"/>
          <w:szCs w:val="24"/>
        </w:rPr>
        <w:t>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 xml:space="preserve"> deems to be in the public interest or necessary for the protection of investors.  Respondents are required to report in </w:t>
      </w:r>
      <w:r w:rsidR="00EA1854" w:rsidRPr="007F49E6">
        <w:rPr>
          <w:rFonts w:ascii="Times New Roman" w:hAnsi="Times New Roman"/>
          <w:color w:val="000000"/>
          <w:szCs w:val="24"/>
        </w:rPr>
        <w:t xml:space="preserve">data </w:t>
      </w:r>
      <w:r w:rsidRPr="007F49E6">
        <w:rPr>
          <w:rFonts w:ascii="Times New Roman" w:hAnsi="Times New Roman"/>
          <w:color w:val="000000"/>
          <w:szCs w:val="24"/>
        </w:rPr>
        <w:t>item 6 the names of persons directly engaged in the management, direction, or supervision of their government securities dealer activities (rather than all management personnel of the financial institution).  This parallels similar information that the SEC requires in the municipal securities dealer registration form (MSD; OMB No. 3235</w:t>
      </w:r>
      <w:r w:rsidR="00197256">
        <w:rPr>
          <w:rFonts w:ascii="Times New Roman" w:hAnsi="Times New Roman"/>
          <w:color w:val="000000"/>
          <w:szCs w:val="24"/>
        </w:rPr>
        <w:t>-</w:t>
      </w:r>
      <w:r w:rsidRPr="007F49E6">
        <w:rPr>
          <w:rFonts w:ascii="Times New Roman" w:hAnsi="Times New Roman"/>
          <w:color w:val="000000"/>
          <w:szCs w:val="24"/>
        </w:rPr>
        <w:t xml:space="preserve">0083).  </w:t>
      </w:r>
      <w:r w:rsidR="00EA1854" w:rsidRPr="007F49E6">
        <w:rPr>
          <w:rFonts w:ascii="Times New Roman" w:hAnsi="Times New Roman"/>
          <w:color w:val="000000"/>
          <w:szCs w:val="24"/>
        </w:rPr>
        <w:t>Data i</w:t>
      </w:r>
      <w:r w:rsidRPr="007F49E6">
        <w:rPr>
          <w:rFonts w:ascii="Times New Roman" w:hAnsi="Times New Roman"/>
          <w:color w:val="000000"/>
          <w:szCs w:val="24"/>
        </w:rPr>
        <w:t xml:space="preserve">tem 7 incorporates a narrower definition of </w:t>
      </w:r>
      <w:r w:rsidR="008F01C8" w:rsidRPr="007F49E6">
        <w:rPr>
          <w:rFonts w:ascii="Times New Roman" w:hAnsi="Times New Roman"/>
          <w:color w:val="000000"/>
          <w:szCs w:val="24"/>
        </w:rPr>
        <w:t xml:space="preserve">associated </w:t>
      </w:r>
      <w:r w:rsidRPr="007F49E6">
        <w:rPr>
          <w:rFonts w:ascii="Times New Roman" w:hAnsi="Times New Roman"/>
          <w:color w:val="000000"/>
          <w:szCs w:val="24"/>
        </w:rPr>
        <w:t xml:space="preserve">person than is contained in the statute (this narrower definition has been agreed to by the ARAs).  The respondent is required to review </w:t>
      </w:r>
    </w:p>
    <w:p w:rsidR="00197256" w:rsidRDefault="00197256">
      <w:pPr>
        <w:widowControl/>
        <w:autoSpaceDE/>
        <w:autoSpaceDN/>
        <w:adjustRightInd/>
        <w:rPr>
          <w:rFonts w:ascii="Times New Roman" w:hAnsi="Times New Roman"/>
          <w:snapToGrid w:val="0"/>
          <w:color w:val="000000"/>
          <w:sz w:val="24"/>
        </w:rPr>
      </w:pPr>
      <w:r>
        <w:rPr>
          <w:rFonts w:ascii="Times New Roman" w:hAnsi="Times New Roman"/>
          <w:color w:val="000000"/>
        </w:rPr>
        <w:br w:type="page"/>
      </w:r>
    </w:p>
    <w:p w:rsidR="00EB1083" w:rsidRPr="007F49E6" w:rsidRDefault="00D04B49" w:rsidP="00197256">
      <w:pPr>
        <w:pStyle w:val="Style0"/>
        <w:rPr>
          <w:rFonts w:ascii="Times New Roman" w:hAnsi="Times New Roman"/>
          <w:color w:val="000000"/>
          <w:szCs w:val="24"/>
        </w:rPr>
      </w:pPr>
      <w:r w:rsidRPr="007F49E6">
        <w:rPr>
          <w:rFonts w:ascii="Times New Roman" w:hAnsi="Times New Roman"/>
          <w:color w:val="000000"/>
          <w:szCs w:val="24"/>
        </w:rPr>
        <w:lastRenderedPageBreak/>
        <w:t>employee data from other information collections</w:t>
      </w:r>
      <w:r w:rsidR="00D74E6D" w:rsidRPr="007F49E6">
        <w:rPr>
          <w:rStyle w:val="FootnoteReference"/>
          <w:rFonts w:ascii="Times New Roman" w:hAnsi="Times New Roman"/>
          <w:color w:val="000000"/>
          <w:szCs w:val="24"/>
          <w:vertAlign w:val="superscript"/>
        </w:rPr>
        <w:footnoteReference w:id="3"/>
      </w:r>
      <w:r w:rsidRPr="007F49E6">
        <w:rPr>
          <w:rFonts w:ascii="Times New Roman" w:hAnsi="Times New Roman"/>
          <w:color w:val="000000"/>
          <w:szCs w:val="24"/>
        </w:rPr>
        <w:t xml:space="preserve"> and inform its ARA if any associated person has responded</w:t>
      </w:r>
      <w:r w:rsidR="00EA1854" w:rsidRPr="007F49E6">
        <w:rPr>
          <w:rFonts w:ascii="Times New Roman" w:hAnsi="Times New Roman"/>
          <w:color w:val="000000"/>
          <w:szCs w:val="24"/>
        </w:rPr>
        <w:t xml:space="preserve"> </w:t>
      </w:r>
      <w:r w:rsidR="001957FB" w:rsidRPr="007F49E6">
        <w:rPr>
          <w:rFonts w:ascii="Times New Roman" w:hAnsi="Times New Roman"/>
          <w:color w:val="000000"/>
          <w:szCs w:val="24"/>
        </w:rPr>
        <w:t>Yes</w:t>
      </w:r>
      <w:r w:rsidR="00EA1854" w:rsidRPr="007F49E6">
        <w:rPr>
          <w:rFonts w:ascii="Times New Roman" w:hAnsi="Times New Roman"/>
          <w:color w:val="000000"/>
          <w:szCs w:val="24"/>
        </w:rPr>
        <w:t xml:space="preserve"> </w:t>
      </w:r>
      <w:r w:rsidRPr="007F49E6">
        <w:rPr>
          <w:rFonts w:ascii="Times New Roman" w:hAnsi="Times New Roman"/>
          <w:color w:val="000000"/>
          <w:szCs w:val="24"/>
        </w:rPr>
        <w:t xml:space="preserve">to any questions on those </w:t>
      </w:r>
      <w:r w:rsidR="00EB1083" w:rsidRPr="007F49E6">
        <w:rPr>
          <w:rFonts w:ascii="Times New Roman" w:hAnsi="Times New Roman"/>
          <w:color w:val="000000"/>
          <w:szCs w:val="24"/>
        </w:rPr>
        <w:t xml:space="preserve">reporting </w:t>
      </w:r>
      <w:r w:rsidRPr="007F49E6">
        <w:rPr>
          <w:rFonts w:ascii="Times New Roman" w:hAnsi="Times New Roman"/>
          <w:color w:val="000000"/>
          <w:szCs w:val="24"/>
        </w:rPr>
        <w:t>forms related to previous disciplinary actions that would constitute statutory disqualifications against the associated person or any of the employers for whom the associated person worked.</w:t>
      </w:r>
    </w:p>
    <w:p w:rsidR="00EB1083" w:rsidRPr="007F49E6" w:rsidRDefault="00EB1083" w:rsidP="00C76B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C76B0E" w:rsidRPr="007F49E6" w:rsidRDefault="00C76B0E" w:rsidP="00197256">
      <w:pPr>
        <w:pStyle w:val="Style0"/>
        <w:ind w:firstLine="720"/>
        <w:rPr>
          <w:rFonts w:ascii="Times New Roman" w:hAnsi="Times New Roman"/>
          <w:color w:val="000000"/>
          <w:szCs w:val="24"/>
        </w:rPr>
      </w:pPr>
      <w:r w:rsidRPr="007F49E6">
        <w:rPr>
          <w:rFonts w:ascii="Times New Roman" w:hAnsi="Times New Roman"/>
          <w:color w:val="000000"/>
          <w:szCs w:val="24"/>
        </w:rPr>
        <w:t>The G</w:t>
      </w:r>
      <w:r w:rsidR="00197256">
        <w:rPr>
          <w:rFonts w:ascii="Times New Roman" w:hAnsi="Times New Roman"/>
          <w:color w:val="000000"/>
          <w:szCs w:val="24"/>
        </w:rPr>
        <w:t>-</w:t>
      </w:r>
      <w:r w:rsidRPr="007F49E6">
        <w:rPr>
          <w:rFonts w:ascii="Times New Roman" w:hAnsi="Times New Roman"/>
          <w:color w:val="000000"/>
          <w:szCs w:val="24"/>
        </w:rPr>
        <w:t>FINW termination notice collects the name and address of the financial institution, as well as the name and address of the custodian of the institution</w:t>
      </w:r>
      <w:r w:rsidR="002B688F">
        <w:rPr>
          <w:rFonts w:ascii="Times New Roman" w:hAnsi="Times New Roman"/>
          <w:color w:val="000000"/>
          <w:szCs w:val="24"/>
        </w:rPr>
        <w:t>’</w:t>
      </w:r>
      <w:r w:rsidRPr="007F49E6">
        <w:rPr>
          <w:rFonts w:ascii="Times New Roman" w:hAnsi="Times New Roman"/>
          <w:color w:val="000000"/>
          <w:szCs w:val="24"/>
        </w:rPr>
        <w:t>s records of its government securities activities.</w:t>
      </w:r>
    </w:p>
    <w:p w:rsidR="00F62C4A" w:rsidRPr="007F49E6" w:rsidRDefault="00F62C4A">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5632EF" w:rsidP="00197256">
      <w:pPr>
        <w:pStyle w:val="Style0"/>
        <w:ind w:firstLine="720"/>
        <w:rPr>
          <w:rFonts w:ascii="Times New Roman" w:hAnsi="Times New Roman"/>
          <w:color w:val="000000"/>
          <w:szCs w:val="24"/>
        </w:rPr>
      </w:pPr>
      <w:r w:rsidRPr="007F49E6">
        <w:rPr>
          <w:rFonts w:ascii="Times New Roman" w:hAnsi="Times New Roman"/>
          <w:color w:val="000000"/>
          <w:szCs w:val="24"/>
        </w:rPr>
        <w:t>Currently, t</w:t>
      </w:r>
      <w:r w:rsidR="00D04B49" w:rsidRPr="007F49E6">
        <w:rPr>
          <w:rFonts w:ascii="Times New Roman" w:hAnsi="Times New Roman"/>
          <w:color w:val="000000"/>
          <w:szCs w:val="24"/>
        </w:rPr>
        <w:t xml:space="preserve">he Federal Reserve is the ARA for </w:t>
      </w:r>
      <w:r w:rsidR="00973B74" w:rsidRPr="007F49E6">
        <w:rPr>
          <w:rFonts w:ascii="Times New Roman" w:hAnsi="Times New Roman"/>
          <w:color w:val="000000"/>
          <w:szCs w:val="24"/>
        </w:rPr>
        <w:t>19</w:t>
      </w:r>
      <w:r w:rsidR="00D04B49" w:rsidRPr="007F49E6">
        <w:rPr>
          <w:rFonts w:ascii="Times New Roman" w:hAnsi="Times New Roman"/>
          <w:color w:val="000000"/>
          <w:szCs w:val="24"/>
        </w:rPr>
        <w:t xml:space="preserve"> </w:t>
      </w:r>
      <w:r w:rsidRPr="007F49E6">
        <w:rPr>
          <w:rFonts w:ascii="Times New Roman" w:hAnsi="Times New Roman"/>
          <w:color w:val="000000"/>
          <w:szCs w:val="24"/>
        </w:rPr>
        <w:t>nonexempt government securities brokers or dealers</w:t>
      </w:r>
      <w:r w:rsidR="007629D4" w:rsidRPr="007F49E6">
        <w:rPr>
          <w:rFonts w:ascii="Times New Roman" w:hAnsi="Times New Roman"/>
          <w:color w:val="000000"/>
          <w:szCs w:val="24"/>
        </w:rPr>
        <w:t xml:space="preserve">: </w:t>
      </w:r>
      <w:r w:rsidR="00197256">
        <w:rPr>
          <w:rFonts w:ascii="Times New Roman" w:hAnsi="Times New Roman"/>
          <w:color w:val="000000"/>
          <w:szCs w:val="24"/>
        </w:rPr>
        <w:t xml:space="preserve"> </w:t>
      </w:r>
      <w:r w:rsidR="00973B74" w:rsidRPr="007F49E6">
        <w:rPr>
          <w:rFonts w:ascii="Times New Roman" w:hAnsi="Times New Roman"/>
          <w:color w:val="000000"/>
          <w:szCs w:val="24"/>
        </w:rPr>
        <w:t>14</w:t>
      </w:r>
      <w:r w:rsidR="007629D4" w:rsidRPr="007F49E6">
        <w:rPr>
          <w:rFonts w:ascii="Times New Roman" w:hAnsi="Times New Roman"/>
          <w:color w:val="000000"/>
          <w:szCs w:val="24"/>
        </w:rPr>
        <w:t xml:space="preserve"> state </w:t>
      </w:r>
      <w:r w:rsidR="00D04B49" w:rsidRPr="007F49E6">
        <w:rPr>
          <w:rFonts w:ascii="Times New Roman" w:hAnsi="Times New Roman"/>
          <w:color w:val="000000"/>
          <w:szCs w:val="24"/>
        </w:rPr>
        <w:t>member banks</w:t>
      </w:r>
      <w:r w:rsidR="007629D4" w:rsidRPr="007F49E6">
        <w:rPr>
          <w:rFonts w:ascii="Times New Roman" w:hAnsi="Times New Roman"/>
          <w:color w:val="000000"/>
          <w:szCs w:val="24"/>
        </w:rPr>
        <w:t xml:space="preserve"> and </w:t>
      </w:r>
      <w:r w:rsidR="00973B74" w:rsidRPr="007F49E6">
        <w:rPr>
          <w:rFonts w:ascii="Times New Roman" w:hAnsi="Times New Roman"/>
          <w:color w:val="000000"/>
          <w:szCs w:val="24"/>
        </w:rPr>
        <w:t>5</w:t>
      </w:r>
      <w:r w:rsidR="007629D4" w:rsidRPr="007F49E6">
        <w:rPr>
          <w:rFonts w:ascii="Times New Roman" w:hAnsi="Times New Roman"/>
          <w:color w:val="000000"/>
          <w:szCs w:val="24"/>
        </w:rPr>
        <w:t xml:space="preserve"> branches and agencies of foreign banks</w:t>
      </w:r>
      <w:r w:rsidR="00D04B49" w:rsidRPr="007F49E6">
        <w:rPr>
          <w:rFonts w:ascii="Times New Roman" w:hAnsi="Times New Roman"/>
          <w:color w:val="000000"/>
          <w:szCs w:val="24"/>
        </w:rPr>
        <w:t xml:space="preserve">.  </w:t>
      </w:r>
      <w:r w:rsidR="002C3B72" w:rsidRPr="007F49E6">
        <w:rPr>
          <w:rFonts w:ascii="Times New Roman" w:hAnsi="Times New Roman"/>
          <w:color w:val="000000"/>
          <w:szCs w:val="24"/>
        </w:rPr>
        <w:t xml:space="preserve">Most </w:t>
      </w:r>
      <w:r w:rsidR="00D04B49" w:rsidRPr="007F49E6">
        <w:rPr>
          <w:rFonts w:ascii="Times New Roman" w:hAnsi="Times New Roman"/>
          <w:color w:val="000000"/>
          <w:szCs w:val="24"/>
        </w:rPr>
        <w:t xml:space="preserve">of these </w:t>
      </w:r>
      <w:r w:rsidR="002A194A" w:rsidRPr="007F49E6">
        <w:rPr>
          <w:rFonts w:ascii="Times New Roman" w:hAnsi="Times New Roman"/>
          <w:color w:val="000000"/>
          <w:szCs w:val="24"/>
        </w:rPr>
        <w:t>institutions</w:t>
      </w:r>
      <w:r w:rsidR="00D04B49" w:rsidRPr="007F49E6">
        <w:rPr>
          <w:rFonts w:ascii="Times New Roman" w:hAnsi="Times New Roman"/>
          <w:color w:val="000000"/>
          <w:szCs w:val="24"/>
        </w:rPr>
        <w:t xml:space="preserve"> are also registered municipal securities dealers.</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7F49E6">
        <w:rPr>
          <w:rFonts w:ascii="Times New Roman" w:hAnsi="Times New Roman"/>
          <w:b/>
          <w:color w:val="000000"/>
          <w:szCs w:val="24"/>
        </w:rPr>
        <w:t>Time Sche</w:t>
      </w:r>
      <w:r w:rsidR="00197256">
        <w:rPr>
          <w:rFonts w:ascii="Times New Roman" w:hAnsi="Times New Roman"/>
          <w:b/>
          <w:color w:val="000000"/>
          <w:szCs w:val="24"/>
        </w:rPr>
        <w:t>dule for Information Collection</w:t>
      </w:r>
    </w:p>
    <w:p w:rsidR="00D04B49" w:rsidRPr="0019725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3F6F12">
      <w:pPr>
        <w:pStyle w:val="Style0"/>
        <w:ind w:firstLine="720"/>
        <w:rPr>
          <w:rFonts w:ascii="Times New Roman" w:hAnsi="Times New Roman"/>
          <w:color w:val="000000"/>
          <w:szCs w:val="24"/>
        </w:rPr>
      </w:pPr>
      <w:r w:rsidRPr="007F49E6">
        <w:rPr>
          <w:rFonts w:ascii="Times New Roman" w:hAnsi="Times New Roman"/>
          <w:color w:val="000000"/>
          <w:szCs w:val="24"/>
        </w:rPr>
        <w:t xml:space="preserve">Financial institutions file </w:t>
      </w:r>
      <w:r w:rsidR="008D7722" w:rsidRPr="007F49E6">
        <w:rPr>
          <w:rFonts w:ascii="Times New Roman" w:hAnsi="Times New Roman"/>
          <w:color w:val="000000"/>
          <w:szCs w:val="24"/>
        </w:rPr>
        <w:t xml:space="preserve">the </w:t>
      </w:r>
      <w:r w:rsidRPr="007F49E6">
        <w:rPr>
          <w:rFonts w:ascii="Times New Roman" w:hAnsi="Times New Roman"/>
          <w:color w:val="000000"/>
          <w:szCs w:val="24"/>
        </w:rPr>
        <w:t>G</w:t>
      </w:r>
      <w:r w:rsidR="003F6F12">
        <w:rPr>
          <w:rFonts w:ascii="Times New Roman" w:hAnsi="Times New Roman"/>
          <w:color w:val="000000"/>
          <w:szCs w:val="24"/>
        </w:rPr>
        <w:t>-</w:t>
      </w:r>
      <w:r w:rsidRPr="007F49E6">
        <w:rPr>
          <w:rFonts w:ascii="Times New Roman" w:hAnsi="Times New Roman"/>
          <w:color w:val="000000"/>
          <w:szCs w:val="24"/>
        </w:rPr>
        <w:t>FIN before commencing operations as a government securities broker or dealer.  Amended G</w:t>
      </w:r>
      <w:r w:rsidR="003F6F12">
        <w:rPr>
          <w:rFonts w:ascii="Times New Roman" w:hAnsi="Times New Roman"/>
          <w:color w:val="000000"/>
          <w:szCs w:val="24"/>
        </w:rPr>
        <w:t>-</w:t>
      </w:r>
      <w:r w:rsidRPr="007F49E6">
        <w:rPr>
          <w:rFonts w:ascii="Times New Roman" w:hAnsi="Times New Roman"/>
          <w:color w:val="000000"/>
          <w:szCs w:val="24"/>
        </w:rPr>
        <w:t xml:space="preserve">FIN </w:t>
      </w:r>
      <w:r w:rsidR="005E6367" w:rsidRPr="007F49E6">
        <w:rPr>
          <w:rFonts w:ascii="Times New Roman" w:hAnsi="Times New Roman"/>
          <w:color w:val="000000"/>
          <w:szCs w:val="24"/>
        </w:rPr>
        <w:t xml:space="preserve">notices </w:t>
      </w:r>
      <w:r w:rsidRPr="007F49E6">
        <w:rPr>
          <w:rFonts w:ascii="Times New Roman" w:hAnsi="Times New Roman"/>
          <w:color w:val="000000"/>
          <w:szCs w:val="24"/>
        </w:rPr>
        <w:t xml:space="preserve">are due within </w:t>
      </w:r>
      <w:r w:rsidR="00364353" w:rsidRPr="007F49E6">
        <w:rPr>
          <w:rFonts w:ascii="Times New Roman" w:hAnsi="Times New Roman"/>
          <w:color w:val="000000"/>
          <w:szCs w:val="24"/>
        </w:rPr>
        <w:t xml:space="preserve">30 </w:t>
      </w:r>
      <w:r w:rsidRPr="007F49E6">
        <w:rPr>
          <w:rFonts w:ascii="Times New Roman" w:hAnsi="Times New Roman"/>
          <w:color w:val="000000"/>
          <w:szCs w:val="24"/>
        </w:rPr>
        <w:t xml:space="preserve">days of the date on which information on the previous notice became inaccurate.  Financial institutions that cease to act as a government securities broker or dealer should file </w:t>
      </w:r>
      <w:r w:rsidR="00BB76FE" w:rsidRPr="007F49E6">
        <w:rPr>
          <w:rFonts w:ascii="Times New Roman" w:hAnsi="Times New Roman"/>
          <w:color w:val="000000"/>
          <w:szCs w:val="24"/>
        </w:rPr>
        <w:t xml:space="preserve">the </w:t>
      </w:r>
      <w:r w:rsidRPr="007F49E6">
        <w:rPr>
          <w:rFonts w:ascii="Times New Roman" w:hAnsi="Times New Roman"/>
          <w:color w:val="000000"/>
          <w:szCs w:val="24"/>
        </w:rPr>
        <w:t>G</w:t>
      </w:r>
      <w:r w:rsidR="003F6F12">
        <w:rPr>
          <w:rFonts w:ascii="Times New Roman" w:hAnsi="Times New Roman"/>
          <w:color w:val="000000"/>
          <w:szCs w:val="24"/>
        </w:rPr>
        <w:t>-</w:t>
      </w:r>
      <w:r w:rsidRPr="007F49E6">
        <w:rPr>
          <w:rFonts w:ascii="Times New Roman" w:hAnsi="Times New Roman"/>
          <w:color w:val="000000"/>
          <w:szCs w:val="24"/>
        </w:rPr>
        <w:t xml:space="preserve">FINW immediately. </w:t>
      </w:r>
      <w:r w:rsidR="00846D48" w:rsidRPr="007F49E6">
        <w:rPr>
          <w:rFonts w:ascii="Times New Roman" w:hAnsi="Times New Roman"/>
          <w:color w:val="000000"/>
          <w:szCs w:val="24"/>
        </w:rPr>
        <w:t xml:space="preserve"> </w:t>
      </w:r>
      <w:r w:rsidRPr="007F49E6">
        <w:rPr>
          <w:rFonts w:ascii="Times New Roman" w:hAnsi="Times New Roman"/>
          <w:color w:val="000000"/>
          <w:szCs w:val="24"/>
        </w:rPr>
        <w:t>Respondents file two copies of the notice directly with the 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 xml:space="preserve">.  The </w:t>
      </w:r>
      <w:r w:rsidR="00C76B0E" w:rsidRPr="007F49E6">
        <w:rPr>
          <w:rFonts w:ascii="Times New Roman" w:hAnsi="Times New Roman"/>
          <w:color w:val="000000"/>
          <w:szCs w:val="24"/>
        </w:rPr>
        <w:t>Federal Reserve</w:t>
      </w:r>
      <w:r w:rsidR="00A85DD1" w:rsidRPr="007F49E6">
        <w:rPr>
          <w:rFonts w:ascii="Times New Roman" w:hAnsi="Times New Roman"/>
          <w:color w:val="000000"/>
          <w:szCs w:val="24"/>
        </w:rPr>
        <w:t xml:space="preserve"> Board</w:t>
      </w:r>
      <w:r w:rsidRPr="007F49E6">
        <w:rPr>
          <w:rFonts w:ascii="Times New Roman" w:hAnsi="Times New Roman"/>
          <w:color w:val="000000"/>
          <w:szCs w:val="24"/>
        </w:rPr>
        <w:t xml:space="preserve"> forwards one copy to the SEC.  The notices are available to the public upon request to the </w:t>
      </w:r>
      <w:r w:rsidR="00EB1083" w:rsidRPr="007F49E6">
        <w:rPr>
          <w:rFonts w:ascii="Times New Roman" w:hAnsi="Times New Roman"/>
          <w:color w:val="000000"/>
          <w:szCs w:val="24"/>
        </w:rPr>
        <w:t>Federal Reserve</w:t>
      </w:r>
      <w:r w:rsidR="00A85DD1" w:rsidRPr="007F49E6">
        <w:rPr>
          <w:rFonts w:ascii="Times New Roman" w:hAnsi="Times New Roman"/>
          <w:color w:val="000000"/>
          <w:szCs w:val="24"/>
        </w:rPr>
        <w:t xml:space="preserve"> Board</w:t>
      </w:r>
      <w:r w:rsidR="00EB1083" w:rsidRPr="007F49E6">
        <w:rPr>
          <w:rFonts w:ascii="Times New Roman" w:hAnsi="Times New Roman"/>
          <w:color w:val="000000"/>
          <w:szCs w:val="24"/>
        </w:rPr>
        <w:t xml:space="preserve"> </w:t>
      </w:r>
      <w:r w:rsidRPr="007F49E6">
        <w:rPr>
          <w:rFonts w:ascii="Times New Roman" w:hAnsi="Times New Roman"/>
          <w:color w:val="000000"/>
          <w:szCs w:val="24"/>
        </w:rPr>
        <w:t>or the SEC.  The data are not published.</w:t>
      </w:r>
    </w:p>
    <w:p w:rsidR="00D04B49" w:rsidRPr="003F6F12"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702CC9">
      <w:pPr>
        <w:widowControl/>
        <w:autoSpaceDE/>
        <w:autoSpaceDN/>
        <w:adjustRightInd/>
        <w:rPr>
          <w:rFonts w:ascii="Times New Roman" w:hAnsi="Times New Roman"/>
          <w:color w:val="000000"/>
          <w:sz w:val="24"/>
        </w:rPr>
      </w:pPr>
      <w:r w:rsidRPr="007F49E6">
        <w:rPr>
          <w:rFonts w:ascii="Times New Roman" w:hAnsi="Times New Roman"/>
          <w:b/>
          <w:color w:val="000000"/>
          <w:sz w:val="24"/>
        </w:rPr>
        <w:t>Legal Status</w:t>
      </w:r>
    </w:p>
    <w:p w:rsidR="00C76B0E" w:rsidRPr="007F49E6" w:rsidRDefault="00C76B0E">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8F01C8" w:rsidRPr="007F49E6" w:rsidRDefault="00D04B49" w:rsidP="00EE42CC">
      <w:pPr>
        <w:widowControl/>
        <w:ind w:firstLine="720"/>
        <w:rPr>
          <w:rFonts w:ascii="Times New Roman" w:hAnsi="Times New Roman"/>
          <w:sz w:val="24"/>
        </w:rPr>
      </w:pPr>
      <w:r w:rsidRPr="007F49E6">
        <w:rPr>
          <w:rFonts w:ascii="Times New Roman" w:hAnsi="Times New Roman"/>
          <w:color w:val="000000"/>
          <w:sz w:val="24"/>
        </w:rPr>
        <w:t xml:space="preserve">The </w:t>
      </w:r>
      <w:r w:rsidR="007A00A1" w:rsidRPr="007F49E6">
        <w:rPr>
          <w:rFonts w:ascii="Times New Roman" w:hAnsi="Times New Roman"/>
          <w:color w:val="000000"/>
          <w:sz w:val="24"/>
        </w:rPr>
        <w:t xml:space="preserve">Federal Reserve </w:t>
      </w:r>
      <w:r w:rsidRPr="007F49E6">
        <w:rPr>
          <w:rFonts w:ascii="Times New Roman" w:hAnsi="Times New Roman"/>
          <w:color w:val="000000"/>
          <w:sz w:val="24"/>
        </w:rPr>
        <w:t>Board</w:t>
      </w:r>
      <w:r w:rsidR="002B688F">
        <w:rPr>
          <w:rFonts w:ascii="Times New Roman" w:hAnsi="Times New Roman"/>
          <w:color w:val="000000"/>
          <w:sz w:val="24"/>
        </w:rPr>
        <w:t>’</w:t>
      </w:r>
      <w:r w:rsidRPr="007F49E6">
        <w:rPr>
          <w:rFonts w:ascii="Times New Roman" w:hAnsi="Times New Roman"/>
          <w:color w:val="000000"/>
          <w:sz w:val="24"/>
        </w:rPr>
        <w:t>s Legal Division has</w:t>
      </w:r>
      <w:r w:rsidR="00E15213" w:rsidRPr="007F49E6">
        <w:rPr>
          <w:rFonts w:ascii="Times New Roman" w:hAnsi="Times New Roman"/>
          <w:color w:val="000000"/>
          <w:sz w:val="24"/>
        </w:rPr>
        <w:t xml:space="preserve"> </w:t>
      </w:r>
      <w:r w:rsidRPr="007F49E6">
        <w:rPr>
          <w:rFonts w:ascii="Times New Roman" w:hAnsi="Times New Roman"/>
          <w:color w:val="000000"/>
          <w:sz w:val="24"/>
        </w:rPr>
        <w:t xml:space="preserve">determined that </w:t>
      </w:r>
      <w:r w:rsidR="00094CB3" w:rsidRPr="007F49E6">
        <w:rPr>
          <w:rFonts w:ascii="Times New Roman" w:hAnsi="Times New Roman"/>
          <w:color w:val="000000"/>
          <w:sz w:val="24"/>
        </w:rPr>
        <w:t xml:space="preserve">the Securities Exchange Act of 1934 </w:t>
      </w:r>
      <w:r w:rsidRPr="007F49E6">
        <w:rPr>
          <w:rFonts w:ascii="Times New Roman" w:hAnsi="Times New Roman"/>
          <w:color w:val="000000"/>
          <w:sz w:val="24"/>
        </w:rPr>
        <w:t xml:space="preserve">authorizes the </w:t>
      </w:r>
      <w:r w:rsidR="007A00A1" w:rsidRPr="007F49E6">
        <w:rPr>
          <w:rFonts w:ascii="Times New Roman" w:hAnsi="Times New Roman"/>
          <w:color w:val="000000"/>
          <w:sz w:val="24"/>
        </w:rPr>
        <w:t xml:space="preserve">Federal Reserve </w:t>
      </w:r>
      <w:r w:rsidRPr="007F49E6">
        <w:rPr>
          <w:rFonts w:ascii="Times New Roman" w:hAnsi="Times New Roman"/>
          <w:color w:val="000000"/>
          <w:sz w:val="24"/>
        </w:rPr>
        <w:t xml:space="preserve">Board to require these </w:t>
      </w:r>
      <w:r w:rsidR="00846D48" w:rsidRPr="007F49E6">
        <w:rPr>
          <w:rFonts w:ascii="Times New Roman" w:hAnsi="Times New Roman"/>
          <w:color w:val="000000"/>
          <w:sz w:val="24"/>
        </w:rPr>
        <w:t>notices</w:t>
      </w:r>
      <w:r w:rsidRPr="007F49E6">
        <w:rPr>
          <w:rFonts w:ascii="Times New Roman" w:hAnsi="Times New Roman"/>
          <w:color w:val="000000"/>
          <w:sz w:val="24"/>
        </w:rPr>
        <w:t xml:space="preserve">.  </w:t>
      </w:r>
      <w:r w:rsidR="00601763" w:rsidRPr="007F49E6">
        <w:rPr>
          <w:rFonts w:ascii="Times New Roman" w:hAnsi="Times New Roman"/>
          <w:color w:val="201F24"/>
          <w:sz w:val="24"/>
        </w:rPr>
        <w:t xml:space="preserve">The reporting forms are authorized under 15 U.S.C. § 78o-5(a)(l)(B), which requires a financial institution that is a broker or dealer of government securities dealer to notify the ARA that it is a government securities broker or a government securities dealer, or that it has ceased to act as such. </w:t>
      </w:r>
      <w:r w:rsidR="00EE42CC">
        <w:rPr>
          <w:rFonts w:ascii="Times New Roman" w:hAnsi="Times New Roman"/>
          <w:color w:val="201F24"/>
          <w:sz w:val="24"/>
        </w:rPr>
        <w:t xml:space="preserve"> </w:t>
      </w:r>
      <w:r w:rsidR="00601763" w:rsidRPr="007F49E6">
        <w:rPr>
          <w:rFonts w:ascii="Times New Roman" w:hAnsi="Times New Roman"/>
          <w:color w:val="201F24"/>
          <w:sz w:val="24"/>
        </w:rPr>
        <w:t>In addition, 15 U.S.C</w:t>
      </w:r>
      <w:r w:rsidR="00070A75" w:rsidRPr="007F49E6">
        <w:rPr>
          <w:rFonts w:ascii="Times New Roman" w:hAnsi="Times New Roman"/>
          <w:color w:val="201F24"/>
          <w:sz w:val="24"/>
        </w:rPr>
        <w:t xml:space="preserve">. </w:t>
      </w:r>
      <w:r w:rsidR="00601763" w:rsidRPr="007F49E6">
        <w:rPr>
          <w:rFonts w:ascii="Times New Roman" w:hAnsi="Times New Roman"/>
          <w:color w:val="201F24"/>
          <w:sz w:val="24"/>
        </w:rPr>
        <w:t>§ 78o-5(b</w:t>
      </w:r>
      <w:proofErr w:type="gramStart"/>
      <w:r w:rsidR="00601763" w:rsidRPr="007F49E6">
        <w:rPr>
          <w:rFonts w:ascii="Times New Roman" w:hAnsi="Times New Roman"/>
          <w:color w:val="201F24"/>
          <w:sz w:val="24"/>
        </w:rPr>
        <w:t>)(</w:t>
      </w:r>
      <w:proofErr w:type="gramEnd"/>
      <w:r w:rsidR="00601763" w:rsidRPr="007F49E6">
        <w:rPr>
          <w:rFonts w:ascii="Times New Roman" w:hAnsi="Times New Roman"/>
          <w:color w:val="201F24"/>
          <w:sz w:val="24"/>
        </w:rPr>
        <w:t xml:space="preserve">1) directs the Treasury to adopt rules requiring every government securities broker and government securities dealer to collect information and to provide reports to </w:t>
      </w:r>
      <w:r w:rsidR="00601763" w:rsidRPr="007F49E6">
        <w:rPr>
          <w:rFonts w:ascii="Times New Roman" w:hAnsi="Times New Roman"/>
          <w:color w:val="202024"/>
          <w:sz w:val="24"/>
        </w:rPr>
        <w:t>the applicable ARA, and 15 U.S.C. § 78o-5(c)(2)(B) authorizes ARAs to enforce compliance with the Treasury</w:t>
      </w:r>
      <w:r w:rsidR="002B688F">
        <w:rPr>
          <w:rFonts w:ascii="Times New Roman" w:hAnsi="Times New Roman"/>
          <w:color w:val="202024"/>
          <w:sz w:val="24"/>
        </w:rPr>
        <w:t>’</w:t>
      </w:r>
      <w:r w:rsidR="00601763" w:rsidRPr="007F49E6">
        <w:rPr>
          <w:rFonts w:ascii="Times New Roman" w:hAnsi="Times New Roman"/>
          <w:color w:val="202024"/>
          <w:sz w:val="24"/>
        </w:rPr>
        <w:t xml:space="preserve">s rules. </w:t>
      </w:r>
      <w:r w:rsidR="00070A75" w:rsidRPr="007F49E6">
        <w:rPr>
          <w:rFonts w:ascii="Times New Roman" w:hAnsi="Times New Roman"/>
          <w:color w:val="202024"/>
          <w:sz w:val="24"/>
        </w:rPr>
        <w:t xml:space="preserve"> </w:t>
      </w:r>
      <w:r w:rsidR="00601763" w:rsidRPr="007F49E6">
        <w:rPr>
          <w:rFonts w:ascii="Times New Roman" w:hAnsi="Times New Roman"/>
          <w:color w:val="202024"/>
          <w:sz w:val="24"/>
        </w:rPr>
        <w:t>As noted above</w:t>
      </w:r>
      <w:r w:rsidR="00601763" w:rsidRPr="007F49E6">
        <w:rPr>
          <w:rFonts w:ascii="Times New Roman" w:hAnsi="Times New Roman"/>
          <w:color w:val="3A3A3A"/>
          <w:sz w:val="24"/>
        </w:rPr>
        <w:t xml:space="preserve">, </w:t>
      </w:r>
      <w:r w:rsidR="00601763" w:rsidRPr="007F49E6">
        <w:rPr>
          <w:rFonts w:ascii="Times New Roman" w:hAnsi="Times New Roman"/>
          <w:color w:val="202024"/>
          <w:sz w:val="24"/>
        </w:rPr>
        <w:t xml:space="preserve">the </w:t>
      </w:r>
      <w:r w:rsidR="00AC0418" w:rsidRPr="007F49E6">
        <w:rPr>
          <w:rFonts w:ascii="Times New Roman" w:hAnsi="Times New Roman"/>
          <w:color w:val="202024"/>
          <w:sz w:val="24"/>
        </w:rPr>
        <w:t>Federal Reserve</w:t>
      </w:r>
      <w:r w:rsidR="00042A10" w:rsidRPr="007F49E6">
        <w:rPr>
          <w:rFonts w:ascii="Times New Roman" w:hAnsi="Times New Roman"/>
          <w:color w:val="202024"/>
          <w:sz w:val="24"/>
        </w:rPr>
        <w:t xml:space="preserve"> </w:t>
      </w:r>
      <w:r w:rsidR="00601763" w:rsidRPr="007F49E6">
        <w:rPr>
          <w:rFonts w:ascii="Times New Roman" w:hAnsi="Times New Roman"/>
          <w:color w:val="202024"/>
          <w:sz w:val="24"/>
        </w:rPr>
        <w:t>Board is an ARA</w:t>
      </w:r>
      <w:r w:rsidR="00070A75" w:rsidRPr="007F49E6">
        <w:rPr>
          <w:rFonts w:ascii="Times New Roman" w:hAnsi="Times New Roman"/>
          <w:color w:val="202024"/>
          <w:sz w:val="24"/>
        </w:rPr>
        <w:t xml:space="preserve"> </w:t>
      </w:r>
      <w:r w:rsidR="00EE42CC">
        <w:rPr>
          <w:rFonts w:ascii="Times New Roman" w:hAnsi="Times New Roman"/>
          <w:color w:val="202024"/>
          <w:sz w:val="24"/>
        </w:rPr>
        <w:t>(</w:t>
      </w:r>
      <w:r w:rsidR="00601763" w:rsidRPr="007F49E6">
        <w:rPr>
          <w:rFonts w:ascii="Times New Roman" w:hAnsi="Times New Roman"/>
          <w:color w:val="202024"/>
          <w:sz w:val="24"/>
        </w:rPr>
        <w:t>15 U</w:t>
      </w:r>
      <w:r w:rsidR="00601763" w:rsidRPr="007F49E6">
        <w:rPr>
          <w:rFonts w:ascii="Times New Roman" w:hAnsi="Times New Roman"/>
          <w:color w:val="3A3A3A"/>
          <w:sz w:val="24"/>
        </w:rPr>
        <w:t>.</w:t>
      </w:r>
      <w:r w:rsidR="00601763" w:rsidRPr="007F49E6">
        <w:rPr>
          <w:rFonts w:ascii="Times New Roman" w:hAnsi="Times New Roman"/>
          <w:color w:val="202024"/>
          <w:sz w:val="24"/>
        </w:rPr>
        <w:t>S.C</w:t>
      </w:r>
      <w:r w:rsidR="00601763" w:rsidRPr="007F49E6">
        <w:rPr>
          <w:rFonts w:ascii="Times New Roman" w:hAnsi="Times New Roman"/>
          <w:color w:val="080808"/>
          <w:sz w:val="24"/>
        </w:rPr>
        <w:t xml:space="preserve">. </w:t>
      </w:r>
      <w:r w:rsidR="00601763" w:rsidRPr="007F49E6">
        <w:rPr>
          <w:rFonts w:ascii="Times New Roman" w:hAnsi="Times New Roman"/>
          <w:color w:val="202024"/>
          <w:sz w:val="24"/>
        </w:rPr>
        <w:t xml:space="preserve">§ </w:t>
      </w:r>
      <w:proofErr w:type="gramStart"/>
      <w:r w:rsidR="00070A75" w:rsidRPr="007F49E6">
        <w:rPr>
          <w:rFonts w:ascii="Times New Roman" w:hAnsi="Times New Roman"/>
          <w:color w:val="202024"/>
          <w:sz w:val="24"/>
        </w:rPr>
        <w:t>7</w:t>
      </w:r>
      <w:r w:rsidR="00601763" w:rsidRPr="007F49E6">
        <w:rPr>
          <w:rFonts w:ascii="Times New Roman" w:hAnsi="Times New Roman"/>
          <w:color w:val="202024"/>
          <w:sz w:val="24"/>
        </w:rPr>
        <w:t>8c(</w:t>
      </w:r>
      <w:proofErr w:type="gramEnd"/>
      <w:r w:rsidR="00601763" w:rsidRPr="007F49E6">
        <w:rPr>
          <w:rFonts w:ascii="Times New Roman" w:hAnsi="Times New Roman"/>
          <w:color w:val="202024"/>
          <w:sz w:val="24"/>
        </w:rPr>
        <w:t>a)(34)(G)(ii)</w:t>
      </w:r>
      <w:r w:rsidR="00EE42CC">
        <w:rPr>
          <w:rFonts w:ascii="Times New Roman" w:hAnsi="Times New Roman"/>
          <w:color w:val="202024"/>
          <w:sz w:val="24"/>
        </w:rPr>
        <w:t>)</w:t>
      </w:r>
      <w:r w:rsidR="00601763" w:rsidRPr="007F49E6">
        <w:rPr>
          <w:rFonts w:ascii="Times New Roman" w:hAnsi="Times New Roman"/>
          <w:color w:val="3A3A3A"/>
          <w:sz w:val="24"/>
        </w:rPr>
        <w:t>.</w:t>
      </w:r>
    </w:p>
    <w:p w:rsidR="00601763" w:rsidRPr="007F49E6" w:rsidRDefault="0060176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szCs w:val="24"/>
        </w:rPr>
      </w:pPr>
    </w:p>
    <w:p w:rsidR="00601763" w:rsidRPr="007F49E6" w:rsidRDefault="00601763" w:rsidP="00070A75">
      <w:pPr>
        <w:widowControl/>
        <w:ind w:firstLine="720"/>
        <w:rPr>
          <w:rFonts w:ascii="Times New Roman" w:hAnsi="Times New Roman"/>
          <w:color w:val="202024"/>
          <w:sz w:val="24"/>
        </w:rPr>
      </w:pPr>
      <w:r w:rsidRPr="007F49E6">
        <w:rPr>
          <w:rFonts w:ascii="Times New Roman" w:hAnsi="Times New Roman"/>
          <w:color w:val="202024"/>
          <w:sz w:val="24"/>
        </w:rPr>
        <w:t xml:space="preserve">The obligation to file the reporting forms with the </w:t>
      </w:r>
      <w:r w:rsidR="007A00A1" w:rsidRPr="007F49E6">
        <w:rPr>
          <w:rFonts w:ascii="Times New Roman" w:hAnsi="Times New Roman"/>
          <w:color w:val="202024"/>
          <w:sz w:val="24"/>
        </w:rPr>
        <w:t xml:space="preserve">Federal Reserve </w:t>
      </w:r>
      <w:r w:rsidRPr="007F49E6">
        <w:rPr>
          <w:rFonts w:ascii="Times New Roman" w:hAnsi="Times New Roman"/>
          <w:color w:val="202024"/>
          <w:sz w:val="24"/>
        </w:rPr>
        <w:t xml:space="preserve">Board is mandatory for those financial institutions for which the </w:t>
      </w:r>
      <w:r w:rsidR="007A00A1" w:rsidRPr="007F49E6">
        <w:rPr>
          <w:rFonts w:ascii="Times New Roman" w:hAnsi="Times New Roman"/>
          <w:color w:val="202024"/>
          <w:sz w:val="24"/>
        </w:rPr>
        <w:t xml:space="preserve">Federal </w:t>
      </w:r>
      <w:r w:rsidR="00AC0418" w:rsidRPr="007F49E6">
        <w:rPr>
          <w:rFonts w:ascii="Times New Roman" w:hAnsi="Times New Roman"/>
          <w:color w:val="202024"/>
          <w:sz w:val="24"/>
        </w:rPr>
        <w:t xml:space="preserve">Reserve Board </w:t>
      </w:r>
      <w:r w:rsidRPr="007F49E6">
        <w:rPr>
          <w:rFonts w:ascii="Times New Roman" w:hAnsi="Times New Roman"/>
          <w:color w:val="202024"/>
          <w:sz w:val="24"/>
        </w:rPr>
        <w:t>serves as the ARA</w:t>
      </w:r>
      <w:r w:rsidRPr="007F49E6">
        <w:rPr>
          <w:rFonts w:ascii="Times New Roman" w:hAnsi="Times New Roman"/>
          <w:color w:val="3A3A3A"/>
          <w:sz w:val="24"/>
        </w:rPr>
        <w:t xml:space="preserve">, </w:t>
      </w:r>
      <w:r w:rsidRPr="007F49E6">
        <w:rPr>
          <w:rFonts w:ascii="Times New Roman" w:hAnsi="Times New Roman"/>
          <w:color w:val="202024"/>
          <w:sz w:val="24"/>
        </w:rPr>
        <w:t>and the filing of these reporting forms is event generated.</w:t>
      </w:r>
    </w:p>
    <w:p w:rsidR="00601763" w:rsidRPr="007F49E6" w:rsidRDefault="00601763" w:rsidP="00601763">
      <w:pPr>
        <w:widowControl/>
        <w:rPr>
          <w:rFonts w:ascii="Times New Roman" w:hAnsi="Times New Roman"/>
          <w:color w:val="202024"/>
          <w:sz w:val="24"/>
        </w:rPr>
      </w:pPr>
    </w:p>
    <w:p w:rsidR="00601763" w:rsidRPr="007F49E6" w:rsidRDefault="00601763" w:rsidP="00070A75">
      <w:pPr>
        <w:widowControl/>
        <w:ind w:firstLine="720"/>
        <w:rPr>
          <w:rFonts w:ascii="Times New Roman" w:hAnsi="Times New Roman"/>
          <w:b/>
          <w:color w:val="000000"/>
          <w:sz w:val="24"/>
        </w:rPr>
      </w:pPr>
      <w:r w:rsidRPr="007F49E6">
        <w:rPr>
          <w:rFonts w:ascii="Times New Roman" w:hAnsi="Times New Roman"/>
          <w:color w:val="202024"/>
          <w:sz w:val="24"/>
        </w:rPr>
        <w:t xml:space="preserve">Respondents file two copies of the notices directly with the </w:t>
      </w:r>
      <w:r w:rsidR="007A00A1" w:rsidRPr="007F49E6">
        <w:rPr>
          <w:rFonts w:ascii="Times New Roman" w:hAnsi="Times New Roman"/>
          <w:color w:val="202024"/>
          <w:sz w:val="24"/>
        </w:rPr>
        <w:t>Federal Reserve</w:t>
      </w:r>
      <w:r w:rsidR="00A85DD1" w:rsidRPr="007F49E6">
        <w:rPr>
          <w:rFonts w:ascii="Times New Roman" w:hAnsi="Times New Roman"/>
          <w:color w:val="202024"/>
          <w:sz w:val="24"/>
        </w:rPr>
        <w:t xml:space="preserve"> Board</w:t>
      </w:r>
      <w:r w:rsidRPr="007F49E6">
        <w:rPr>
          <w:rFonts w:ascii="Times New Roman" w:hAnsi="Times New Roman"/>
          <w:color w:val="202024"/>
          <w:sz w:val="24"/>
        </w:rPr>
        <w:t>.</w:t>
      </w:r>
      <w:r w:rsidR="00070A75" w:rsidRPr="007F49E6">
        <w:rPr>
          <w:rFonts w:ascii="Times New Roman" w:hAnsi="Times New Roman"/>
          <w:color w:val="202024"/>
          <w:sz w:val="24"/>
        </w:rPr>
        <w:t xml:space="preserve"> </w:t>
      </w:r>
      <w:r w:rsidRPr="007F49E6">
        <w:rPr>
          <w:rFonts w:ascii="Times New Roman" w:hAnsi="Times New Roman"/>
          <w:color w:val="202024"/>
          <w:sz w:val="24"/>
        </w:rPr>
        <w:t xml:space="preserve"> Under the statute, the </w:t>
      </w:r>
      <w:r w:rsidR="007A00A1" w:rsidRPr="007F49E6">
        <w:rPr>
          <w:rFonts w:ascii="Times New Roman" w:hAnsi="Times New Roman"/>
          <w:color w:val="202024"/>
          <w:sz w:val="24"/>
        </w:rPr>
        <w:t xml:space="preserve">Federal Reserve </w:t>
      </w:r>
      <w:r w:rsidRPr="007F49E6">
        <w:rPr>
          <w:rFonts w:ascii="Times New Roman" w:hAnsi="Times New Roman"/>
          <w:color w:val="202024"/>
          <w:sz w:val="24"/>
        </w:rPr>
        <w:t xml:space="preserve">Board forwards one copy to the SEC, and the notices are </w:t>
      </w:r>
      <w:r w:rsidRPr="007F49E6">
        <w:rPr>
          <w:rFonts w:ascii="Times New Roman" w:hAnsi="Times New Roman"/>
          <w:color w:val="202024"/>
          <w:sz w:val="24"/>
        </w:rPr>
        <w:lastRenderedPageBreak/>
        <w:t xml:space="preserve">then made public by the SEC </w:t>
      </w:r>
      <w:r w:rsidR="00EE42CC">
        <w:rPr>
          <w:rFonts w:ascii="Times New Roman" w:hAnsi="Times New Roman"/>
          <w:color w:val="202024"/>
          <w:sz w:val="24"/>
        </w:rPr>
        <w:t>(</w:t>
      </w:r>
      <w:r w:rsidRPr="007F49E6">
        <w:rPr>
          <w:rFonts w:ascii="Times New Roman" w:hAnsi="Times New Roman"/>
          <w:color w:val="202024"/>
          <w:sz w:val="24"/>
        </w:rPr>
        <w:t>15 U.S.C. § 78o-5(a)(l)(B)(iii)</w:t>
      </w:r>
      <w:r w:rsidR="00EE42CC">
        <w:rPr>
          <w:rFonts w:ascii="Times New Roman" w:hAnsi="Times New Roman"/>
          <w:color w:val="202024"/>
          <w:sz w:val="24"/>
        </w:rPr>
        <w:t>)</w:t>
      </w:r>
      <w:r w:rsidRPr="007F49E6">
        <w:rPr>
          <w:rFonts w:ascii="Times New Roman" w:hAnsi="Times New Roman"/>
          <w:color w:val="202024"/>
          <w:sz w:val="24"/>
        </w:rPr>
        <w:t xml:space="preserve">. </w:t>
      </w:r>
      <w:r w:rsidR="00070A75" w:rsidRPr="007F49E6">
        <w:rPr>
          <w:rFonts w:ascii="Times New Roman" w:hAnsi="Times New Roman"/>
          <w:color w:val="202024"/>
          <w:sz w:val="24"/>
        </w:rPr>
        <w:t xml:space="preserve"> </w:t>
      </w:r>
      <w:r w:rsidRPr="007F49E6">
        <w:rPr>
          <w:rFonts w:ascii="Times New Roman" w:hAnsi="Times New Roman"/>
          <w:color w:val="202024"/>
          <w:sz w:val="24"/>
        </w:rPr>
        <w:t xml:space="preserve">While the statute only requires the SEC to produce the notices to the public, the notices are also available to the public upon request made to the </w:t>
      </w:r>
      <w:r w:rsidR="00A85DD1" w:rsidRPr="007F49E6">
        <w:rPr>
          <w:rFonts w:ascii="Times New Roman" w:hAnsi="Times New Roman"/>
          <w:color w:val="202024"/>
          <w:sz w:val="24"/>
        </w:rPr>
        <w:t xml:space="preserve">Federal Reserve </w:t>
      </w:r>
      <w:r w:rsidR="00070A75" w:rsidRPr="007F49E6">
        <w:rPr>
          <w:rFonts w:ascii="Times New Roman" w:hAnsi="Times New Roman"/>
          <w:color w:val="202024"/>
          <w:sz w:val="24"/>
        </w:rPr>
        <w:t>Board</w:t>
      </w:r>
      <w:r w:rsidRPr="007F49E6">
        <w:rPr>
          <w:rFonts w:ascii="Times New Roman" w:hAnsi="Times New Roman"/>
          <w:color w:val="202024"/>
          <w:sz w:val="24"/>
        </w:rPr>
        <w:t>.</w:t>
      </w:r>
      <w:r w:rsidR="00070A75" w:rsidRPr="007F49E6">
        <w:rPr>
          <w:rFonts w:ascii="Times New Roman" w:hAnsi="Times New Roman"/>
          <w:color w:val="202024"/>
          <w:sz w:val="24"/>
        </w:rPr>
        <w:t xml:space="preserve"> </w:t>
      </w:r>
      <w:r w:rsidRPr="007F49E6">
        <w:rPr>
          <w:rFonts w:ascii="Times New Roman" w:hAnsi="Times New Roman"/>
          <w:color w:val="202024"/>
          <w:sz w:val="24"/>
        </w:rPr>
        <w:t xml:space="preserve"> Accordingly, </w:t>
      </w:r>
      <w:r w:rsidR="00070A75" w:rsidRPr="007F49E6">
        <w:rPr>
          <w:rFonts w:ascii="Times New Roman" w:hAnsi="Times New Roman"/>
          <w:color w:val="202024"/>
          <w:sz w:val="24"/>
        </w:rPr>
        <w:t xml:space="preserve">the </w:t>
      </w:r>
      <w:r w:rsidR="007A00A1" w:rsidRPr="007F49E6">
        <w:rPr>
          <w:rFonts w:ascii="Times New Roman" w:hAnsi="Times New Roman"/>
          <w:color w:val="202024"/>
          <w:sz w:val="24"/>
        </w:rPr>
        <w:t>Federal Reserve</w:t>
      </w:r>
      <w:r w:rsidR="00A85DD1" w:rsidRPr="007F49E6">
        <w:rPr>
          <w:rFonts w:ascii="Times New Roman" w:hAnsi="Times New Roman"/>
          <w:color w:val="202024"/>
          <w:sz w:val="24"/>
        </w:rPr>
        <w:t xml:space="preserve"> Board</w:t>
      </w:r>
      <w:r w:rsidR="00070A75" w:rsidRPr="007F49E6">
        <w:rPr>
          <w:rFonts w:ascii="Times New Roman" w:hAnsi="Times New Roman"/>
          <w:color w:val="202024"/>
          <w:sz w:val="24"/>
        </w:rPr>
        <w:t xml:space="preserve"> does not consider these data to be confidential</w:t>
      </w:r>
      <w:r w:rsidRPr="007F49E6">
        <w:rPr>
          <w:rFonts w:ascii="Times New Roman" w:hAnsi="Times New Roman"/>
          <w:color w:val="202024"/>
          <w:sz w:val="24"/>
        </w:rPr>
        <w:t>.</w:t>
      </w:r>
    </w:p>
    <w:p w:rsidR="00A52250" w:rsidRPr="007F49E6" w:rsidRDefault="00A5225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7F49E6">
        <w:rPr>
          <w:rFonts w:ascii="Times New Roman" w:hAnsi="Times New Roman"/>
          <w:b/>
          <w:color w:val="000000"/>
          <w:szCs w:val="24"/>
        </w:rPr>
        <w:t xml:space="preserve">Consultation </w:t>
      </w:r>
      <w:proofErr w:type="gramStart"/>
      <w:r w:rsidRPr="007F49E6">
        <w:rPr>
          <w:rFonts w:ascii="Times New Roman" w:hAnsi="Times New Roman"/>
          <w:b/>
          <w:color w:val="000000"/>
          <w:szCs w:val="24"/>
        </w:rPr>
        <w:t>Outside</w:t>
      </w:r>
      <w:proofErr w:type="gramEnd"/>
      <w:r w:rsidRPr="007F49E6">
        <w:rPr>
          <w:rFonts w:ascii="Times New Roman" w:hAnsi="Times New Roman"/>
          <w:b/>
          <w:color w:val="000000"/>
          <w:szCs w:val="24"/>
        </w:rPr>
        <w:t xml:space="preserve"> the Agency</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p>
    <w:p w:rsidR="00D04B49" w:rsidRPr="007F49E6" w:rsidRDefault="007A00A1" w:rsidP="00EE42CC">
      <w:pPr>
        <w:pStyle w:val="Style0"/>
        <w:ind w:firstLine="720"/>
        <w:rPr>
          <w:rFonts w:ascii="Times New Roman" w:hAnsi="Times New Roman"/>
          <w:color w:val="000000"/>
          <w:szCs w:val="24"/>
        </w:rPr>
      </w:pPr>
      <w:r w:rsidRPr="007F49E6">
        <w:rPr>
          <w:rFonts w:ascii="Times New Roman" w:hAnsi="Times New Roman"/>
          <w:color w:val="000000"/>
          <w:szCs w:val="24"/>
        </w:rPr>
        <w:t xml:space="preserve">On February 11, 2013, the Federal Reserve published a notice in the </w:t>
      </w:r>
      <w:r w:rsidRPr="007F49E6">
        <w:rPr>
          <w:rFonts w:ascii="Times New Roman" w:hAnsi="Times New Roman"/>
          <w:i/>
          <w:color w:val="000000"/>
          <w:szCs w:val="24"/>
        </w:rPr>
        <w:t>Federal Register</w:t>
      </w:r>
      <w:r w:rsidRPr="007F49E6">
        <w:rPr>
          <w:rFonts w:ascii="Times New Roman" w:hAnsi="Times New Roman"/>
          <w:color w:val="000000"/>
          <w:szCs w:val="24"/>
        </w:rPr>
        <w:t xml:space="preserve"> (78</w:t>
      </w:r>
      <w:r w:rsidR="00EE42CC">
        <w:rPr>
          <w:rFonts w:ascii="Times New Roman" w:hAnsi="Times New Roman"/>
          <w:color w:val="000000"/>
          <w:szCs w:val="24"/>
        </w:rPr>
        <w:t> </w:t>
      </w:r>
      <w:r w:rsidRPr="007F49E6">
        <w:rPr>
          <w:rFonts w:ascii="Times New Roman" w:hAnsi="Times New Roman"/>
          <w:color w:val="000000"/>
          <w:szCs w:val="24"/>
        </w:rPr>
        <w:t xml:space="preserve">FR 9691) requesting public comment for 60 days on the </w:t>
      </w:r>
      <w:r w:rsidR="00AC0418" w:rsidRPr="007F49E6">
        <w:rPr>
          <w:rFonts w:ascii="Times New Roman" w:hAnsi="Times New Roman"/>
          <w:color w:val="000000"/>
          <w:szCs w:val="24"/>
        </w:rPr>
        <w:t>extension, without revision, of the</w:t>
      </w:r>
      <w:r w:rsidRPr="007F49E6">
        <w:rPr>
          <w:rFonts w:ascii="Times New Roman" w:hAnsi="Times New Roman"/>
          <w:color w:val="000000"/>
          <w:szCs w:val="24"/>
        </w:rPr>
        <w:t xml:space="preserve"> G-FIN and G-FINW.  The commen</w:t>
      </w:r>
      <w:r w:rsidR="004B3BAF">
        <w:rPr>
          <w:rFonts w:ascii="Times New Roman" w:hAnsi="Times New Roman"/>
          <w:color w:val="000000"/>
          <w:szCs w:val="24"/>
        </w:rPr>
        <w:t>t period for this notice expired</w:t>
      </w:r>
      <w:r w:rsidRPr="007F49E6">
        <w:rPr>
          <w:rFonts w:ascii="Times New Roman" w:hAnsi="Times New Roman"/>
          <w:color w:val="000000"/>
          <w:szCs w:val="24"/>
        </w:rPr>
        <w:t xml:space="preserve"> on April 12, 2013.</w:t>
      </w:r>
      <w:r w:rsidR="004B3BAF" w:rsidRPr="004B3BAF">
        <w:rPr>
          <w:rFonts w:ascii="Times New Roman" w:hAnsi="Times New Roman"/>
          <w:color w:val="000000"/>
          <w:szCs w:val="24"/>
        </w:rPr>
        <w:t xml:space="preserve"> </w:t>
      </w:r>
      <w:r w:rsidR="004B3BAF">
        <w:rPr>
          <w:rFonts w:ascii="Times New Roman" w:hAnsi="Times New Roman"/>
          <w:color w:val="000000"/>
          <w:szCs w:val="24"/>
        </w:rPr>
        <w:t xml:space="preserve"> The Federal Reserve did not receive any comments.  On April 26, 2013, the Federal Reserve published a final notice in the </w:t>
      </w:r>
      <w:r w:rsidR="004B3BAF" w:rsidRPr="00204632">
        <w:rPr>
          <w:rFonts w:ascii="Times New Roman" w:hAnsi="Times New Roman"/>
          <w:i/>
          <w:color w:val="000000"/>
          <w:szCs w:val="24"/>
        </w:rPr>
        <w:t>Federal Register</w:t>
      </w:r>
      <w:r w:rsidR="004B3BAF">
        <w:rPr>
          <w:rFonts w:ascii="Times New Roman" w:hAnsi="Times New Roman"/>
          <w:color w:val="000000"/>
          <w:szCs w:val="24"/>
        </w:rPr>
        <w:t xml:space="preserve"> (78 FR 24745).</w:t>
      </w: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7F49E6">
        <w:rPr>
          <w:rFonts w:ascii="Times New Roman" w:hAnsi="Times New Roman"/>
          <w:b/>
          <w:color w:val="000000"/>
          <w:szCs w:val="24"/>
        </w:rPr>
        <w:t>Estimate of Respondent Burden</w:t>
      </w:r>
    </w:p>
    <w:p w:rsidR="00D04B49" w:rsidRPr="00615CD2"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364353" w:rsidP="008C4315">
      <w:pPr>
        <w:pStyle w:val="Style0"/>
        <w:ind w:firstLine="720"/>
        <w:rPr>
          <w:rFonts w:ascii="Times New Roman" w:hAnsi="Times New Roman"/>
          <w:color w:val="000000"/>
          <w:szCs w:val="24"/>
        </w:rPr>
      </w:pPr>
      <w:r w:rsidRPr="007F49E6">
        <w:rPr>
          <w:rFonts w:ascii="Times New Roman" w:hAnsi="Times New Roman"/>
          <w:color w:val="000000"/>
          <w:szCs w:val="24"/>
        </w:rPr>
        <w:t xml:space="preserve">As shown in the following table, the total annual burden for both notices is estimated to be </w:t>
      </w:r>
      <w:r w:rsidR="006E3AE8" w:rsidRPr="007F49E6">
        <w:rPr>
          <w:rFonts w:ascii="Times New Roman" w:hAnsi="Times New Roman"/>
          <w:color w:val="000000"/>
          <w:szCs w:val="24"/>
        </w:rPr>
        <w:t>5</w:t>
      </w:r>
      <w:r w:rsidRPr="007F49E6">
        <w:rPr>
          <w:rFonts w:ascii="Times New Roman" w:hAnsi="Times New Roman"/>
          <w:color w:val="000000"/>
          <w:szCs w:val="24"/>
        </w:rPr>
        <w:t xml:space="preserve"> hours.  </w:t>
      </w:r>
      <w:r w:rsidR="00D04B49" w:rsidRPr="007F49E6">
        <w:rPr>
          <w:rFonts w:ascii="Times New Roman" w:hAnsi="Times New Roman"/>
          <w:color w:val="000000"/>
          <w:szCs w:val="24"/>
        </w:rPr>
        <w:t>The estimated average response time is one hour for the G</w:t>
      </w:r>
      <w:r w:rsidR="00D04B49" w:rsidRPr="007F49E6">
        <w:rPr>
          <w:rFonts w:ascii="Times New Roman" w:hAnsi="Times New Roman"/>
          <w:color w:val="000000"/>
          <w:szCs w:val="24"/>
        </w:rPr>
        <w:noBreakHyphen/>
        <w:t xml:space="preserve">FIN and </w:t>
      </w:r>
      <w:r w:rsidRPr="007F49E6">
        <w:rPr>
          <w:rFonts w:ascii="Times New Roman" w:hAnsi="Times New Roman"/>
          <w:color w:val="000000"/>
          <w:szCs w:val="24"/>
        </w:rPr>
        <w:t xml:space="preserve">15 </w:t>
      </w:r>
      <w:r w:rsidR="00D04B49" w:rsidRPr="007F49E6">
        <w:rPr>
          <w:rFonts w:ascii="Times New Roman" w:hAnsi="Times New Roman"/>
          <w:color w:val="000000"/>
          <w:szCs w:val="24"/>
        </w:rPr>
        <w:t>minutes for the G</w:t>
      </w:r>
      <w:r w:rsidR="00D04B49" w:rsidRPr="007F49E6">
        <w:rPr>
          <w:rFonts w:ascii="Times New Roman" w:hAnsi="Times New Roman"/>
          <w:color w:val="000000"/>
          <w:szCs w:val="24"/>
        </w:rPr>
        <w:noBreakHyphen/>
        <w:t xml:space="preserve">FINW.  Because the frequency of filing these </w:t>
      </w:r>
      <w:r w:rsidR="005E6367" w:rsidRPr="007F49E6">
        <w:rPr>
          <w:rFonts w:ascii="Times New Roman" w:hAnsi="Times New Roman"/>
          <w:color w:val="000000"/>
          <w:szCs w:val="24"/>
        </w:rPr>
        <w:t xml:space="preserve">notices </w:t>
      </w:r>
      <w:r w:rsidR="00D04B49" w:rsidRPr="007F49E6">
        <w:rPr>
          <w:rFonts w:ascii="Times New Roman" w:hAnsi="Times New Roman"/>
          <w:color w:val="000000"/>
          <w:szCs w:val="24"/>
        </w:rPr>
        <w:t>is event</w:t>
      </w:r>
      <w:r w:rsidR="002F4E86" w:rsidRPr="007F49E6">
        <w:rPr>
          <w:rFonts w:ascii="Times New Roman" w:hAnsi="Times New Roman"/>
          <w:color w:val="000000"/>
          <w:szCs w:val="24"/>
        </w:rPr>
        <w:t>-</w:t>
      </w:r>
      <w:r w:rsidR="00D04B49" w:rsidRPr="007F49E6">
        <w:rPr>
          <w:rFonts w:ascii="Times New Roman" w:hAnsi="Times New Roman"/>
          <w:color w:val="000000"/>
          <w:szCs w:val="24"/>
        </w:rPr>
        <w:t xml:space="preserve">generated, it is not possible to predict exactly how many </w:t>
      </w:r>
      <w:r w:rsidR="002F4E86" w:rsidRPr="007F49E6">
        <w:rPr>
          <w:rFonts w:ascii="Times New Roman" w:hAnsi="Times New Roman"/>
          <w:color w:val="000000"/>
          <w:szCs w:val="24"/>
        </w:rPr>
        <w:t xml:space="preserve">would </w:t>
      </w:r>
      <w:r w:rsidR="00D04B49" w:rsidRPr="007F49E6">
        <w:rPr>
          <w:rFonts w:ascii="Times New Roman" w:hAnsi="Times New Roman"/>
          <w:color w:val="000000"/>
          <w:szCs w:val="24"/>
        </w:rPr>
        <w:t xml:space="preserve">be filed in a particular year.  The </w:t>
      </w:r>
      <w:r w:rsidR="006D3D96" w:rsidRPr="007F49E6">
        <w:rPr>
          <w:rFonts w:ascii="Times New Roman" w:hAnsi="Times New Roman"/>
          <w:color w:val="000000"/>
          <w:szCs w:val="24"/>
        </w:rPr>
        <w:t xml:space="preserve">estimated </w:t>
      </w:r>
      <w:r w:rsidR="00D04B49" w:rsidRPr="007F49E6">
        <w:rPr>
          <w:rFonts w:ascii="Times New Roman" w:hAnsi="Times New Roman"/>
          <w:color w:val="000000"/>
          <w:szCs w:val="24"/>
        </w:rPr>
        <w:t>number of</w:t>
      </w:r>
      <w:r w:rsidR="0054610A" w:rsidRPr="007F49E6">
        <w:rPr>
          <w:rFonts w:ascii="Times New Roman" w:hAnsi="Times New Roman"/>
          <w:color w:val="000000"/>
          <w:szCs w:val="24"/>
        </w:rPr>
        <w:t xml:space="preserve"> responses was </w:t>
      </w:r>
      <w:r w:rsidR="006D3D96" w:rsidRPr="007F49E6">
        <w:rPr>
          <w:rFonts w:ascii="Times New Roman" w:hAnsi="Times New Roman"/>
          <w:color w:val="000000"/>
          <w:szCs w:val="24"/>
        </w:rPr>
        <w:t>determined</w:t>
      </w:r>
      <w:r w:rsidR="0054610A" w:rsidRPr="007F49E6">
        <w:rPr>
          <w:rFonts w:ascii="Times New Roman" w:hAnsi="Times New Roman"/>
          <w:color w:val="000000"/>
          <w:szCs w:val="24"/>
        </w:rPr>
        <w:t xml:space="preserve"> using the number of </w:t>
      </w:r>
      <w:r w:rsidR="00D04B49" w:rsidRPr="007F49E6">
        <w:rPr>
          <w:rFonts w:ascii="Times New Roman" w:hAnsi="Times New Roman"/>
          <w:color w:val="000000"/>
          <w:szCs w:val="24"/>
        </w:rPr>
        <w:t xml:space="preserve">notices received </w:t>
      </w:r>
      <w:r w:rsidR="0054610A" w:rsidRPr="007F49E6">
        <w:rPr>
          <w:rFonts w:ascii="Times New Roman" w:hAnsi="Times New Roman"/>
          <w:color w:val="000000"/>
          <w:szCs w:val="24"/>
        </w:rPr>
        <w:t xml:space="preserve">over the past </w:t>
      </w:r>
      <w:r w:rsidR="00973B74" w:rsidRPr="007F49E6">
        <w:rPr>
          <w:rFonts w:ascii="Times New Roman" w:hAnsi="Times New Roman"/>
          <w:color w:val="000000"/>
          <w:szCs w:val="24"/>
        </w:rPr>
        <w:t>3</w:t>
      </w:r>
      <w:r w:rsidR="0054610A" w:rsidRPr="007F49E6">
        <w:rPr>
          <w:rFonts w:ascii="Times New Roman" w:hAnsi="Times New Roman"/>
          <w:color w:val="000000"/>
          <w:szCs w:val="24"/>
        </w:rPr>
        <w:t xml:space="preserve"> years.</w:t>
      </w:r>
      <w:r w:rsidR="006D3D96" w:rsidRPr="007F49E6">
        <w:rPr>
          <w:rFonts w:ascii="Times New Roman" w:hAnsi="Times New Roman"/>
          <w:color w:val="000000"/>
          <w:szCs w:val="24"/>
        </w:rPr>
        <w:t xml:space="preserve">  </w:t>
      </w:r>
      <w:r w:rsidR="00D04B49" w:rsidRPr="007F49E6">
        <w:rPr>
          <w:rFonts w:ascii="Times New Roman" w:hAnsi="Times New Roman"/>
          <w:color w:val="000000"/>
          <w:szCs w:val="24"/>
        </w:rPr>
        <w:t xml:space="preserve">The annual burden of </w:t>
      </w:r>
      <w:r w:rsidR="005E6367" w:rsidRPr="007F49E6">
        <w:rPr>
          <w:rFonts w:ascii="Times New Roman" w:hAnsi="Times New Roman"/>
          <w:color w:val="000000"/>
          <w:szCs w:val="24"/>
        </w:rPr>
        <w:t xml:space="preserve">this information collection </w:t>
      </w:r>
      <w:r w:rsidR="00D04B49" w:rsidRPr="007F49E6">
        <w:rPr>
          <w:rFonts w:ascii="Times New Roman" w:hAnsi="Times New Roman"/>
          <w:color w:val="000000"/>
          <w:szCs w:val="24"/>
        </w:rPr>
        <w:t xml:space="preserve">represents less than 1 percent of </w:t>
      </w:r>
      <w:r w:rsidR="005E6367" w:rsidRPr="007F49E6">
        <w:rPr>
          <w:rFonts w:ascii="Times New Roman" w:hAnsi="Times New Roman"/>
          <w:color w:val="000000"/>
          <w:szCs w:val="24"/>
        </w:rPr>
        <w:t xml:space="preserve">the </w:t>
      </w:r>
      <w:r w:rsidR="00D04B49" w:rsidRPr="007F49E6">
        <w:rPr>
          <w:rFonts w:ascii="Times New Roman" w:hAnsi="Times New Roman"/>
          <w:color w:val="000000"/>
          <w:szCs w:val="24"/>
        </w:rPr>
        <w:t xml:space="preserve">total Federal Reserve System </w:t>
      </w:r>
      <w:r w:rsidR="005E6367" w:rsidRPr="007F49E6">
        <w:rPr>
          <w:rFonts w:ascii="Times New Roman" w:hAnsi="Times New Roman"/>
          <w:color w:val="000000"/>
          <w:szCs w:val="24"/>
        </w:rPr>
        <w:t xml:space="preserve">paperwork </w:t>
      </w:r>
      <w:r w:rsidR="00D04B49" w:rsidRPr="007F49E6">
        <w:rPr>
          <w:rFonts w:ascii="Times New Roman" w:hAnsi="Times New Roman"/>
          <w:color w:val="000000"/>
          <w:szCs w:val="24"/>
        </w:rPr>
        <w:t>burden.</w:t>
      </w:r>
    </w:p>
    <w:p w:rsidR="001D51D8" w:rsidRPr="007F49E6" w:rsidRDefault="001D51D8">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bl>
      <w:tblPr>
        <w:tblW w:w="5000" w:type="pct"/>
        <w:tblBorders>
          <w:top w:val="single" w:sz="6" w:space="0" w:color="000000"/>
          <w:bottom w:val="single" w:sz="6" w:space="0" w:color="000000"/>
        </w:tblBorders>
        <w:tblCellMar>
          <w:left w:w="0" w:type="dxa"/>
          <w:right w:w="0" w:type="dxa"/>
        </w:tblCellMar>
        <w:tblLook w:val="0000" w:firstRow="0" w:lastRow="0" w:firstColumn="0" w:lastColumn="0" w:noHBand="0" w:noVBand="0"/>
      </w:tblPr>
      <w:tblGrid>
        <w:gridCol w:w="2377"/>
        <w:gridCol w:w="2001"/>
        <w:gridCol w:w="1498"/>
        <w:gridCol w:w="1786"/>
        <w:gridCol w:w="1698"/>
      </w:tblGrid>
      <w:tr w:rsidR="00D04B49" w:rsidRPr="007F49E6" w:rsidTr="008C4315">
        <w:trPr>
          <w:cantSplit/>
        </w:trPr>
        <w:tc>
          <w:tcPr>
            <w:tcW w:w="1270" w:type="pct"/>
            <w:tcBorders>
              <w:top w:val="single" w:sz="6" w:space="0" w:color="000000"/>
              <w:bottom w:val="single" w:sz="6" w:space="0" w:color="000000"/>
            </w:tcBorders>
          </w:tcPr>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tc>
        <w:tc>
          <w:tcPr>
            <w:tcW w:w="1069" w:type="pct"/>
            <w:tcBorders>
              <w:top w:val="single" w:sz="6" w:space="0" w:color="000000"/>
              <w:bottom w:val="single" w:sz="6" w:space="0" w:color="000000"/>
            </w:tcBorders>
            <w:vAlign w:val="center"/>
          </w:tcPr>
          <w:p w:rsidR="00D04B49" w:rsidRPr="007F49E6" w:rsidRDefault="00D04B49" w:rsidP="00F320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Estimated</w:t>
            </w:r>
          </w:p>
          <w:p w:rsidR="00D04B49" w:rsidRPr="007F49E6" w:rsidRDefault="00D04B49" w:rsidP="00F320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number of</w:t>
            </w:r>
          </w:p>
          <w:p w:rsidR="002B395D" w:rsidRPr="007F49E6" w:rsidRDefault="00D04B49" w:rsidP="00A37DD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respon</w:t>
            </w:r>
            <w:r w:rsidR="00A37DDC" w:rsidRPr="007F49E6">
              <w:rPr>
                <w:rFonts w:ascii="Times New Roman" w:hAnsi="Times New Roman"/>
                <w:i/>
                <w:color w:val="000000"/>
                <w:sz w:val="22"/>
                <w:szCs w:val="22"/>
              </w:rPr>
              <w:t>dent</w:t>
            </w:r>
            <w:r w:rsidRPr="007F49E6">
              <w:rPr>
                <w:rFonts w:ascii="Times New Roman" w:hAnsi="Times New Roman"/>
                <w:i/>
                <w:color w:val="000000"/>
                <w:sz w:val="22"/>
                <w:szCs w:val="22"/>
              </w:rPr>
              <w:t>s</w:t>
            </w:r>
            <w:r w:rsidR="007D3E5F" w:rsidRPr="008C4315">
              <w:rPr>
                <w:rFonts w:ascii="Times New Roman" w:hAnsi="Times New Roman"/>
                <w:snapToGrid/>
                <w:szCs w:val="24"/>
                <w:vertAlign w:val="superscript"/>
              </w:rPr>
              <w:footnoteReference w:id="4"/>
            </w:r>
          </w:p>
        </w:tc>
        <w:tc>
          <w:tcPr>
            <w:tcW w:w="800" w:type="pct"/>
            <w:tcBorders>
              <w:top w:val="single" w:sz="6" w:space="0" w:color="000000"/>
              <w:bottom w:val="single" w:sz="6" w:space="0" w:color="000000"/>
            </w:tcBorders>
            <w:vAlign w:val="center"/>
          </w:tcPr>
          <w:p w:rsidR="00D04B49" w:rsidRPr="007F49E6" w:rsidRDefault="00D04B49" w:rsidP="00F320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Annual</w:t>
            </w:r>
          </w:p>
          <w:p w:rsidR="00D04B49" w:rsidRPr="007F49E6" w:rsidRDefault="00D04B49" w:rsidP="00F320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frequency</w:t>
            </w:r>
          </w:p>
        </w:tc>
        <w:tc>
          <w:tcPr>
            <w:tcW w:w="954" w:type="pct"/>
            <w:tcBorders>
              <w:top w:val="single" w:sz="6" w:space="0" w:color="000000"/>
              <w:bottom w:val="single" w:sz="6" w:space="0" w:color="000000"/>
            </w:tcBorders>
            <w:vAlign w:val="center"/>
          </w:tcPr>
          <w:p w:rsidR="00D04B49" w:rsidRPr="007F49E6" w:rsidRDefault="00D04B49" w:rsidP="00F320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Estimated</w:t>
            </w:r>
          </w:p>
          <w:p w:rsidR="00C44506" w:rsidRPr="007F49E6" w:rsidRDefault="00D04B49" w:rsidP="00F320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average hours</w:t>
            </w:r>
          </w:p>
          <w:p w:rsidR="00D04B49" w:rsidRPr="007F49E6" w:rsidRDefault="00D04B49" w:rsidP="00F32010">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per response</w:t>
            </w:r>
          </w:p>
        </w:tc>
        <w:tc>
          <w:tcPr>
            <w:tcW w:w="907" w:type="pct"/>
            <w:tcBorders>
              <w:top w:val="single" w:sz="6" w:space="0" w:color="000000"/>
              <w:bottom w:val="single" w:sz="6" w:space="0" w:color="000000"/>
            </w:tcBorders>
            <w:vAlign w:val="center"/>
          </w:tcPr>
          <w:p w:rsidR="00D04B49" w:rsidRPr="007F49E6" w:rsidRDefault="00D04B49" w:rsidP="009E6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Estimated</w:t>
            </w:r>
          </w:p>
          <w:p w:rsidR="00D04B49" w:rsidRPr="007F49E6" w:rsidRDefault="00D04B49" w:rsidP="009E6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annual</w:t>
            </w:r>
          </w:p>
          <w:p w:rsidR="00D04B49" w:rsidRPr="007F49E6" w:rsidRDefault="00D04B49" w:rsidP="009E601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i/>
                <w:color w:val="000000"/>
                <w:sz w:val="22"/>
                <w:szCs w:val="22"/>
              </w:rPr>
            </w:pPr>
            <w:r w:rsidRPr="007F49E6">
              <w:rPr>
                <w:rFonts w:ascii="Times New Roman" w:hAnsi="Times New Roman"/>
                <w:i/>
                <w:color w:val="000000"/>
                <w:sz w:val="22"/>
                <w:szCs w:val="22"/>
              </w:rPr>
              <w:t>burden hours</w:t>
            </w:r>
          </w:p>
        </w:tc>
      </w:tr>
      <w:tr w:rsidR="00C44506" w:rsidRPr="007F49E6" w:rsidTr="008C4315">
        <w:trPr>
          <w:cantSplit/>
          <w:trHeight w:val="198"/>
        </w:trPr>
        <w:tc>
          <w:tcPr>
            <w:tcW w:w="1270" w:type="pct"/>
            <w:tcBorders>
              <w:top w:val="single" w:sz="6" w:space="0" w:color="000000"/>
            </w:tcBorders>
            <w:vAlign w:val="center"/>
          </w:tcPr>
          <w:p w:rsidR="00C44506" w:rsidRPr="007F49E6" w:rsidRDefault="00C44506" w:rsidP="00C44506">
            <w:pPr>
              <w:pStyle w:val="Style0"/>
              <w:rPr>
                <w:rFonts w:ascii="Times New Roman" w:hAnsi="Times New Roman"/>
                <w:color w:val="000000"/>
                <w:szCs w:val="24"/>
              </w:rPr>
            </w:pPr>
          </w:p>
        </w:tc>
        <w:tc>
          <w:tcPr>
            <w:tcW w:w="1069" w:type="pct"/>
            <w:tcBorders>
              <w:top w:val="single" w:sz="6" w:space="0" w:color="000000"/>
            </w:tcBorders>
          </w:tcPr>
          <w:p w:rsidR="00C44506" w:rsidRPr="007F49E6" w:rsidDel="00087E3A" w:rsidRDefault="00C44506">
            <w:pPr>
              <w:pStyle w:val="Style0"/>
              <w:jc w:val="center"/>
              <w:rPr>
                <w:rFonts w:ascii="Times New Roman" w:hAnsi="Times New Roman"/>
                <w:color w:val="000000"/>
                <w:szCs w:val="24"/>
              </w:rPr>
            </w:pPr>
          </w:p>
        </w:tc>
        <w:tc>
          <w:tcPr>
            <w:tcW w:w="800" w:type="pct"/>
            <w:tcBorders>
              <w:top w:val="single" w:sz="6" w:space="0" w:color="000000"/>
            </w:tcBorders>
          </w:tcPr>
          <w:p w:rsidR="00C44506" w:rsidRPr="007F49E6" w:rsidRDefault="00C44506">
            <w:pPr>
              <w:pStyle w:val="Style0"/>
              <w:jc w:val="center"/>
              <w:rPr>
                <w:rFonts w:ascii="Times New Roman" w:hAnsi="Times New Roman"/>
                <w:color w:val="000000"/>
                <w:szCs w:val="24"/>
              </w:rPr>
            </w:pPr>
          </w:p>
        </w:tc>
        <w:tc>
          <w:tcPr>
            <w:tcW w:w="954" w:type="pct"/>
            <w:tcBorders>
              <w:top w:val="single" w:sz="6" w:space="0" w:color="000000"/>
            </w:tcBorders>
            <w:vAlign w:val="center"/>
          </w:tcPr>
          <w:p w:rsidR="00C44506" w:rsidRPr="007F49E6" w:rsidRDefault="00C44506" w:rsidP="008C4315">
            <w:pPr>
              <w:pStyle w:val="Style0"/>
              <w:tabs>
                <w:tab w:val="decimal" w:pos="874"/>
              </w:tabs>
              <w:rPr>
                <w:rFonts w:ascii="Times New Roman" w:hAnsi="Times New Roman"/>
                <w:color w:val="000000"/>
                <w:szCs w:val="24"/>
              </w:rPr>
            </w:pPr>
          </w:p>
        </w:tc>
        <w:tc>
          <w:tcPr>
            <w:tcW w:w="907" w:type="pct"/>
            <w:tcBorders>
              <w:top w:val="single" w:sz="6" w:space="0" w:color="000000"/>
            </w:tcBorders>
          </w:tcPr>
          <w:p w:rsidR="00C44506" w:rsidRPr="007F49E6" w:rsidDel="00087E3A" w:rsidRDefault="00C44506" w:rsidP="009E6013">
            <w:pPr>
              <w:pStyle w:val="Style0"/>
              <w:jc w:val="center"/>
              <w:rPr>
                <w:rFonts w:ascii="Times New Roman" w:hAnsi="Times New Roman"/>
                <w:color w:val="000000"/>
                <w:szCs w:val="24"/>
              </w:rPr>
            </w:pPr>
          </w:p>
        </w:tc>
      </w:tr>
      <w:tr w:rsidR="00F45D01" w:rsidRPr="007F49E6" w:rsidTr="008C4315">
        <w:trPr>
          <w:cantSplit/>
        </w:trPr>
        <w:tc>
          <w:tcPr>
            <w:tcW w:w="1270" w:type="pct"/>
            <w:vAlign w:val="center"/>
          </w:tcPr>
          <w:p w:rsidR="00F45D01" w:rsidRPr="007F49E6" w:rsidRDefault="00F45D01" w:rsidP="00C44506">
            <w:pPr>
              <w:pStyle w:val="Style0"/>
              <w:rPr>
                <w:rFonts w:ascii="Times New Roman" w:hAnsi="Times New Roman"/>
                <w:color w:val="000000"/>
                <w:szCs w:val="24"/>
              </w:rPr>
            </w:pPr>
            <w:r w:rsidRPr="007F49E6">
              <w:rPr>
                <w:rFonts w:ascii="Times New Roman" w:hAnsi="Times New Roman"/>
                <w:color w:val="000000"/>
                <w:szCs w:val="24"/>
              </w:rPr>
              <w:t>G</w:t>
            </w:r>
            <w:r w:rsidR="008C4315">
              <w:rPr>
                <w:rFonts w:ascii="Times New Roman" w:hAnsi="Times New Roman"/>
                <w:color w:val="000000"/>
                <w:szCs w:val="24"/>
              </w:rPr>
              <w:t>-</w:t>
            </w:r>
            <w:r w:rsidRPr="007F49E6">
              <w:rPr>
                <w:rFonts w:ascii="Times New Roman" w:hAnsi="Times New Roman"/>
                <w:color w:val="000000"/>
                <w:szCs w:val="24"/>
              </w:rPr>
              <w:t>FIN</w:t>
            </w:r>
          </w:p>
          <w:p w:rsidR="00F45D01" w:rsidRPr="007F49E6" w:rsidRDefault="00F45D01" w:rsidP="00C44506">
            <w:pPr>
              <w:pStyle w:val="Style0"/>
              <w:rPr>
                <w:rFonts w:ascii="Times New Roman" w:hAnsi="Times New Roman"/>
                <w:color w:val="000000"/>
                <w:szCs w:val="24"/>
              </w:rPr>
            </w:pPr>
            <w:bookmarkStart w:id="0" w:name="_GoBack"/>
            <w:bookmarkEnd w:id="0"/>
            <w:r w:rsidRPr="007F49E6">
              <w:rPr>
                <w:rFonts w:ascii="Times New Roman" w:hAnsi="Times New Roman"/>
                <w:color w:val="000000"/>
                <w:szCs w:val="24"/>
              </w:rPr>
              <w:t>G</w:t>
            </w:r>
            <w:r w:rsidR="008C4315">
              <w:rPr>
                <w:rFonts w:ascii="Times New Roman" w:hAnsi="Times New Roman"/>
                <w:color w:val="000000"/>
                <w:szCs w:val="24"/>
              </w:rPr>
              <w:t>-</w:t>
            </w:r>
            <w:r w:rsidRPr="007F49E6">
              <w:rPr>
                <w:rFonts w:ascii="Times New Roman" w:hAnsi="Times New Roman"/>
                <w:color w:val="000000"/>
                <w:szCs w:val="24"/>
              </w:rPr>
              <w:t>FINW</w:t>
            </w:r>
          </w:p>
          <w:p w:rsidR="00F45D01" w:rsidRPr="007F49E6" w:rsidRDefault="00F45D01" w:rsidP="008C4315">
            <w:pPr>
              <w:pStyle w:val="Style0"/>
              <w:jc w:val="right"/>
              <w:rPr>
                <w:rFonts w:ascii="Times New Roman" w:hAnsi="Times New Roman"/>
                <w:i/>
                <w:color w:val="000000"/>
                <w:szCs w:val="24"/>
              </w:rPr>
            </w:pPr>
            <w:r w:rsidRPr="007F49E6">
              <w:rPr>
                <w:rFonts w:ascii="Times New Roman" w:hAnsi="Times New Roman"/>
                <w:i/>
                <w:color w:val="000000"/>
                <w:szCs w:val="24"/>
              </w:rPr>
              <w:t>Total</w:t>
            </w:r>
          </w:p>
        </w:tc>
        <w:tc>
          <w:tcPr>
            <w:tcW w:w="1069" w:type="pct"/>
            <w:vAlign w:val="center"/>
          </w:tcPr>
          <w:p w:rsidR="00F45D01" w:rsidRPr="007F49E6" w:rsidRDefault="00F45D01" w:rsidP="00F45D01">
            <w:pPr>
              <w:pStyle w:val="Style0"/>
              <w:jc w:val="center"/>
              <w:rPr>
                <w:rFonts w:ascii="Times New Roman" w:hAnsi="Times New Roman"/>
                <w:color w:val="000000"/>
                <w:szCs w:val="24"/>
              </w:rPr>
            </w:pPr>
            <w:r w:rsidRPr="007F49E6">
              <w:rPr>
                <w:rFonts w:ascii="Times New Roman" w:hAnsi="Times New Roman"/>
                <w:color w:val="000000"/>
                <w:szCs w:val="24"/>
              </w:rPr>
              <w:t>4</w:t>
            </w:r>
          </w:p>
          <w:p w:rsidR="00F45D01" w:rsidRPr="007F49E6" w:rsidRDefault="00F45D01" w:rsidP="00F45D01">
            <w:pPr>
              <w:pStyle w:val="Style0"/>
              <w:jc w:val="center"/>
              <w:rPr>
                <w:rFonts w:ascii="Times New Roman" w:hAnsi="Times New Roman"/>
                <w:color w:val="000000"/>
                <w:szCs w:val="24"/>
              </w:rPr>
            </w:pPr>
            <w:r w:rsidRPr="007F49E6">
              <w:rPr>
                <w:rFonts w:ascii="Times New Roman" w:hAnsi="Times New Roman"/>
                <w:color w:val="000000"/>
                <w:szCs w:val="24"/>
              </w:rPr>
              <w:t>2</w:t>
            </w:r>
          </w:p>
          <w:p w:rsidR="00F45D01" w:rsidRPr="007F49E6" w:rsidRDefault="00F45D01" w:rsidP="00F32010">
            <w:pPr>
              <w:pStyle w:val="Style0"/>
              <w:jc w:val="center"/>
              <w:rPr>
                <w:rFonts w:ascii="Times New Roman" w:hAnsi="Times New Roman"/>
                <w:color w:val="000000"/>
                <w:szCs w:val="24"/>
                <w:highlight w:val="yellow"/>
              </w:rPr>
            </w:pPr>
          </w:p>
        </w:tc>
        <w:tc>
          <w:tcPr>
            <w:tcW w:w="800" w:type="pct"/>
            <w:vAlign w:val="center"/>
          </w:tcPr>
          <w:p w:rsidR="00F45D01" w:rsidRPr="007F49E6" w:rsidRDefault="00F45D01" w:rsidP="00F32010">
            <w:pPr>
              <w:pStyle w:val="Style0"/>
              <w:jc w:val="center"/>
              <w:rPr>
                <w:rFonts w:ascii="Times New Roman" w:hAnsi="Times New Roman"/>
                <w:color w:val="000000"/>
                <w:szCs w:val="24"/>
              </w:rPr>
            </w:pPr>
            <w:r w:rsidRPr="007F49E6">
              <w:rPr>
                <w:rFonts w:ascii="Times New Roman" w:hAnsi="Times New Roman"/>
                <w:color w:val="000000"/>
                <w:szCs w:val="24"/>
              </w:rPr>
              <w:t>1</w:t>
            </w:r>
          </w:p>
          <w:p w:rsidR="00F45D01" w:rsidRPr="007F49E6" w:rsidRDefault="00F45D01" w:rsidP="00F32010">
            <w:pPr>
              <w:pStyle w:val="Style0"/>
              <w:jc w:val="center"/>
              <w:rPr>
                <w:rFonts w:ascii="Times New Roman" w:hAnsi="Times New Roman"/>
                <w:color w:val="000000"/>
                <w:szCs w:val="24"/>
              </w:rPr>
            </w:pPr>
            <w:r w:rsidRPr="007F49E6">
              <w:rPr>
                <w:rFonts w:ascii="Times New Roman" w:hAnsi="Times New Roman"/>
                <w:color w:val="000000"/>
                <w:szCs w:val="24"/>
              </w:rPr>
              <w:t>1</w:t>
            </w:r>
          </w:p>
          <w:p w:rsidR="00F45D01" w:rsidRPr="007F49E6" w:rsidRDefault="00F45D01" w:rsidP="00F32010">
            <w:pPr>
              <w:pStyle w:val="Style0"/>
              <w:jc w:val="center"/>
              <w:rPr>
                <w:rFonts w:ascii="Times New Roman" w:hAnsi="Times New Roman"/>
                <w:color w:val="000000"/>
                <w:szCs w:val="24"/>
              </w:rPr>
            </w:pPr>
          </w:p>
        </w:tc>
        <w:tc>
          <w:tcPr>
            <w:tcW w:w="954" w:type="pct"/>
            <w:vAlign w:val="center"/>
          </w:tcPr>
          <w:p w:rsidR="00F45D01" w:rsidRPr="007F49E6" w:rsidRDefault="00F45D01" w:rsidP="008C4315">
            <w:pPr>
              <w:pStyle w:val="Style0"/>
              <w:tabs>
                <w:tab w:val="decimal" w:pos="874"/>
              </w:tabs>
              <w:rPr>
                <w:rFonts w:ascii="Times New Roman" w:hAnsi="Times New Roman"/>
                <w:color w:val="000000"/>
                <w:szCs w:val="24"/>
              </w:rPr>
            </w:pPr>
            <w:r w:rsidRPr="007F49E6">
              <w:rPr>
                <w:rFonts w:ascii="Times New Roman" w:hAnsi="Times New Roman"/>
                <w:color w:val="000000"/>
                <w:szCs w:val="24"/>
              </w:rPr>
              <w:t>1.00</w:t>
            </w:r>
          </w:p>
          <w:p w:rsidR="00F45D01" w:rsidRPr="007F49E6" w:rsidRDefault="008C4315" w:rsidP="008C4315">
            <w:pPr>
              <w:pStyle w:val="Style0"/>
              <w:tabs>
                <w:tab w:val="decimal" w:pos="874"/>
              </w:tabs>
              <w:rPr>
                <w:rFonts w:ascii="Times New Roman" w:hAnsi="Times New Roman"/>
                <w:color w:val="000000"/>
                <w:szCs w:val="24"/>
              </w:rPr>
            </w:pPr>
            <w:r>
              <w:rPr>
                <w:rFonts w:ascii="Times New Roman" w:hAnsi="Times New Roman"/>
                <w:color w:val="000000"/>
                <w:szCs w:val="24"/>
              </w:rPr>
              <w:t>0</w:t>
            </w:r>
            <w:r w:rsidR="00F45D01" w:rsidRPr="007F49E6">
              <w:rPr>
                <w:rFonts w:ascii="Times New Roman" w:hAnsi="Times New Roman"/>
                <w:color w:val="000000"/>
                <w:szCs w:val="24"/>
              </w:rPr>
              <w:t>.25</w:t>
            </w:r>
          </w:p>
          <w:p w:rsidR="00F45D01" w:rsidRPr="007F49E6" w:rsidRDefault="00F45D01" w:rsidP="008C4315">
            <w:pPr>
              <w:pStyle w:val="Style0"/>
              <w:tabs>
                <w:tab w:val="decimal" w:pos="874"/>
              </w:tabs>
              <w:rPr>
                <w:rFonts w:ascii="Times New Roman" w:hAnsi="Times New Roman"/>
                <w:color w:val="000000"/>
                <w:szCs w:val="24"/>
              </w:rPr>
            </w:pPr>
          </w:p>
        </w:tc>
        <w:tc>
          <w:tcPr>
            <w:tcW w:w="907" w:type="pct"/>
            <w:vAlign w:val="center"/>
          </w:tcPr>
          <w:p w:rsidR="00F45D01" w:rsidRPr="007F49E6" w:rsidRDefault="00F45D01" w:rsidP="009E6013">
            <w:pPr>
              <w:pStyle w:val="Style0"/>
              <w:jc w:val="center"/>
              <w:rPr>
                <w:rFonts w:ascii="Times New Roman" w:hAnsi="Times New Roman"/>
                <w:color w:val="000000"/>
                <w:szCs w:val="24"/>
              </w:rPr>
            </w:pPr>
            <w:r w:rsidRPr="007F49E6">
              <w:rPr>
                <w:rFonts w:ascii="Times New Roman" w:hAnsi="Times New Roman"/>
                <w:color w:val="000000"/>
                <w:szCs w:val="24"/>
              </w:rPr>
              <w:t>4</w:t>
            </w:r>
          </w:p>
          <w:p w:rsidR="00F45D01" w:rsidRPr="007F49E6" w:rsidRDefault="00A538D9" w:rsidP="009E6013">
            <w:pPr>
              <w:pStyle w:val="Style0"/>
              <w:jc w:val="center"/>
              <w:rPr>
                <w:rFonts w:ascii="Times New Roman" w:hAnsi="Times New Roman"/>
                <w:color w:val="000000"/>
                <w:szCs w:val="24"/>
                <w:u w:val="single"/>
              </w:rPr>
            </w:pPr>
            <w:r w:rsidRPr="007F49E6">
              <w:rPr>
                <w:rFonts w:ascii="Times New Roman" w:hAnsi="Times New Roman"/>
                <w:color w:val="000000"/>
                <w:szCs w:val="24"/>
                <w:u w:val="single"/>
              </w:rPr>
              <w:t>1</w:t>
            </w:r>
          </w:p>
          <w:p w:rsidR="00F45D01" w:rsidRPr="007F49E6" w:rsidRDefault="00A538D9" w:rsidP="00F62C4A">
            <w:pPr>
              <w:pStyle w:val="Style0"/>
              <w:jc w:val="center"/>
              <w:rPr>
                <w:rFonts w:ascii="Times New Roman" w:hAnsi="Times New Roman"/>
                <w:color w:val="000000"/>
                <w:szCs w:val="24"/>
                <w:highlight w:val="yellow"/>
              </w:rPr>
            </w:pPr>
            <w:r w:rsidRPr="007F49E6">
              <w:rPr>
                <w:rFonts w:ascii="Times New Roman" w:hAnsi="Times New Roman"/>
                <w:color w:val="000000"/>
                <w:szCs w:val="24"/>
              </w:rPr>
              <w:t>5</w:t>
            </w:r>
          </w:p>
        </w:tc>
      </w:tr>
    </w:tbl>
    <w:p w:rsidR="00C44506" w:rsidRPr="007F49E6" w:rsidRDefault="00C44506">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5519E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r w:rsidRPr="007F49E6">
        <w:rPr>
          <w:rFonts w:ascii="Times New Roman" w:hAnsi="Times New Roman"/>
          <w:color w:val="000000"/>
          <w:szCs w:val="24"/>
        </w:rPr>
        <w:t>T</w:t>
      </w:r>
      <w:r w:rsidR="00D04B49" w:rsidRPr="007F49E6">
        <w:rPr>
          <w:rFonts w:ascii="Times New Roman" w:hAnsi="Times New Roman"/>
          <w:color w:val="000000"/>
          <w:szCs w:val="24"/>
        </w:rPr>
        <w:t xml:space="preserve">he annual cost to the public of </w:t>
      </w:r>
      <w:r w:rsidR="002F4E86" w:rsidRPr="007F49E6">
        <w:rPr>
          <w:rFonts w:ascii="Times New Roman" w:hAnsi="Times New Roman"/>
          <w:color w:val="000000"/>
          <w:szCs w:val="24"/>
        </w:rPr>
        <w:t>information collection</w:t>
      </w:r>
      <w:r w:rsidR="00D04B49" w:rsidRPr="007F49E6">
        <w:rPr>
          <w:rFonts w:ascii="Times New Roman" w:hAnsi="Times New Roman"/>
          <w:color w:val="000000"/>
          <w:szCs w:val="24"/>
        </w:rPr>
        <w:t xml:space="preserve"> is estimated to be $</w:t>
      </w:r>
      <w:r w:rsidR="00A538D9" w:rsidRPr="007F49E6">
        <w:rPr>
          <w:rFonts w:ascii="Times New Roman" w:hAnsi="Times New Roman"/>
          <w:color w:val="000000"/>
          <w:szCs w:val="24"/>
        </w:rPr>
        <w:t>224</w:t>
      </w:r>
      <w:r w:rsidR="00D04B49" w:rsidRPr="007F49E6">
        <w:rPr>
          <w:rFonts w:ascii="Times New Roman" w:hAnsi="Times New Roman"/>
          <w:color w:val="000000"/>
          <w:szCs w:val="24"/>
        </w:rPr>
        <w:t>.</w:t>
      </w:r>
      <w:r w:rsidR="009E6013" w:rsidRPr="007F49E6">
        <w:rPr>
          <w:rStyle w:val="FootnoteReference"/>
          <w:rFonts w:ascii="Times New Roman" w:hAnsi="Times New Roman"/>
          <w:color w:val="000000"/>
          <w:szCs w:val="24"/>
          <w:vertAlign w:val="superscript"/>
        </w:rPr>
        <w:footnoteReference w:id="5"/>
      </w:r>
    </w:p>
    <w:p w:rsidR="000837AF" w:rsidRPr="007F49E6" w:rsidRDefault="000837A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sidRPr="007F49E6">
        <w:rPr>
          <w:rFonts w:ascii="Times New Roman" w:hAnsi="Times New Roman"/>
          <w:b/>
          <w:color w:val="000000"/>
          <w:szCs w:val="24"/>
        </w:rPr>
        <w:t>Sensitive Questions</w:t>
      </w:r>
    </w:p>
    <w:p w:rsidR="00D04B49" w:rsidRPr="008C4315"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8C4315">
      <w:pPr>
        <w:pStyle w:val="Style0"/>
        <w:ind w:firstLine="720"/>
        <w:rPr>
          <w:rFonts w:ascii="Times New Roman" w:hAnsi="Times New Roman"/>
          <w:color w:val="000000"/>
          <w:szCs w:val="24"/>
        </w:rPr>
      </w:pPr>
      <w:r w:rsidRPr="007F49E6">
        <w:rPr>
          <w:rFonts w:ascii="Times New Roman" w:hAnsi="Times New Roman"/>
          <w:color w:val="000000"/>
          <w:szCs w:val="24"/>
        </w:rPr>
        <w:t>Th</w:t>
      </w:r>
      <w:r w:rsidR="00E33F02" w:rsidRPr="007F49E6">
        <w:rPr>
          <w:rFonts w:ascii="Times New Roman" w:hAnsi="Times New Roman"/>
          <w:color w:val="000000"/>
          <w:szCs w:val="24"/>
        </w:rPr>
        <w:t>e</w:t>
      </w:r>
      <w:r w:rsidRPr="007F49E6">
        <w:rPr>
          <w:rFonts w:ascii="Times New Roman" w:hAnsi="Times New Roman"/>
          <w:color w:val="000000"/>
          <w:szCs w:val="24"/>
        </w:rPr>
        <w:t>s</w:t>
      </w:r>
      <w:r w:rsidR="00E33F02" w:rsidRPr="007F49E6">
        <w:rPr>
          <w:rFonts w:ascii="Times New Roman" w:hAnsi="Times New Roman"/>
          <w:color w:val="000000"/>
          <w:szCs w:val="24"/>
        </w:rPr>
        <w:t>e information</w:t>
      </w:r>
      <w:r w:rsidRPr="007F49E6">
        <w:rPr>
          <w:rFonts w:ascii="Times New Roman" w:hAnsi="Times New Roman"/>
          <w:color w:val="000000"/>
          <w:szCs w:val="24"/>
        </w:rPr>
        <w:t xml:space="preserve"> collection</w:t>
      </w:r>
      <w:r w:rsidR="00E33F02" w:rsidRPr="007F49E6">
        <w:rPr>
          <w:rFonts w:ascii="Times New Roman" w:hAnsi="Times New Roman"/>
          <w:color w:val="000000"/>
          <w:szCs w:val="24"/>
        </w:rPr>
        <w:t>s</w:t>
      </w:r>
      <w:r w:rsidRPr="007F49E6">
        <w:rPr>
          <w:rFonts w:ascii="Times New Roman" w:hAnsi="Times New Roman"/>
          <w:color w:val="000000"/>
          <w:szCs w:val="24"/>
        </w:rPr>
        <w:t xml:space="preserve"> contain no questions of a sensitive nature, as defined by OMB guidelines.</w:t>
      </w:r>
    </w:p>
    <w:p w:rsidR="008E2646" w:rsidRDefault="008E2646">
      <w:pPr>
        <w:widowControl/>
        <w:autoSpaceDE/>
        <w:autoSpaceDN/>
        <w:adjustRightInd/>
        <w:rPr>
          <w:rFonts w:ascii="Times New Roman" w:hAnsi="Times New Roman"/>
          <w:b/>
          <w:snapToGrid w:val="0"/>
          <w:color w:val="000000"/>
          <w:sz w:val="24"/>
        </w:rPr>
      </w:pPr>
      <w:r>
        <w:rPr>
          <w:rFonts w:ascii="Times New Roman" w:hAnsi="Times New Roman"/>
          <w:b/>
          <w:color w:val="000000"/>
        </w:rPr>
        <w:br w:type="page"/>
      </w:r>
    </w:p>
    <w:p w:rsidR="00D04B49" w:rsidRPr="007F49E6" w:rsidRDefault="008C431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Cs w:val="24"/>
        </w:rPr>
      </w:pPr>
      <w:r>
        <w:rPr>
          <w:rFonts w:ascii="Times New Roman" w:hAnsi="Times New Roman"/>
          <w:b/>
          <w:color w:val="000000"/>
          <w:szCs w:val="24"/>
        </w:rPr>
        <w:lastRenderedPageBreak/>
        <w:t xml:space="preserve">Estimate of </w:t>
      </w:r>
      <w:r w:rsidR="00D04B49" w:rsidRPr="007F49E6">
        <w:rPr>
          <w:rFonts w:ascii="Times New Roman" w:hAnsi="Times New Roman"/>
          <w:b/>
          <w:color w:val="000000"/>
          <w:szCs w:val="24"/>
        </w:rPr>
        <w:t>Cost to the Federal Reserve System</w:t>
      </w:r>
    </w:p>
    <w:p w:rsidR="00D04B49" w:rsidRPr="008C4315" w:rsidRDefault="00D04B4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Cs w:val="24"/>
        </w:rPr>
      </w:pPr>
    </w:p>
    <w:p w:rsidR="00D04B49" w:rsidRPr="007F49E6" w:rsidRDefault="00D04B49" w:rsidP="008C4315">
      <w:pPr>
        <w:ind w:firstLine="720"/>
        <w:rPr>
          <w:rFonts w:ascii="Times New Roman" w:hAnsi="Times New Roman"/>
          <w:sz w:val="24"/>
        </w:rPr>
      </w:pPr>
      <w:r w:rsidRPr="007F49E6">
        <w:rPr>
          <w:rFonts w:ascii="Times New Roman" w:hAnsi="Times New Roman"/>
          <w:color w:val="000000"/>
          <w:sz w:val="24"/>
        </w:rPr>
        <w:t xml:space="preserve">Since the </w:t>
      </w:r>
      <w:r w:rsidR="005E6367" w:rsidRPr="007F49E6">
        <w:rPr>
          <w:rFonts w:ascii="Times New Roman" w:hAnsi="Times New Roman"/>
          <w:color w:val="000000"/>
          <w:sz w:val="24"/>
        </w:rPr>
        <w:t xml:space="preserve">notices </w:t>
      </w:r>
      <w:r w:rsidRPr="007F49E6">
        <w:rPr>
          <w:rFonts w:ascii="Times New Roman" w:hAnsi="Times New Roman"/>
          <w:color w:val="000000"/>
          <w:sz w:val="24"/>
        </w:rPr>
        <w:t>require no automated processing, the cost to the Federal Reserve System is negligible.</w:t>
      </w:r>
    </w:p>
    <w:sectPr w:rsidR="00D04B49" w:rsidRPr="007F49E6" w:rsidSect="007F49E6">
      <w:footerReference w:type="even" r:id="rId9"/>
      <w:footerReference w:type="default" r:id="rId10"/>
      <w:endnotePr>
        <w:numFmt w:val="decimal"/>
      </w:endnotePr>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2CC" w:rsidRDefault="00EE42CC">
      <w:r>
        <w:separator/>
      </w:r>
    </w:p>
  </w:endnote>
  <w:endnote w:type="continuationSeparator" w:id="0">
    <w:p w:rsidR="00EE42CC" w:rsidRDefault="00EE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2CC" w:rsidRDefault="00EE42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42CC" w:rsidRDefault="00EE42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rPr>
      <w:id w:val="-1810855362"/>
      <w:docPartObj>
        <w:docPartGallery w:val="Page Numbers (Bottom of Page)"/>
        <w:docPartUnique/>
      </w:docPartObj>
    </w:sdtPr>
    <w:sdtEndPr>
      <w:rPr>
        <w:noProof/>
      </w:rPr>
    </w:sdtEndPr>
    <w:sdtContent>
      <w:p w:rsidR="00EE42CC" w:rsidRPr="007F49E6" w:rsidRDefault="00EE42CC">
        <w:pPr>
          <w:pStyle w:val="Footer"/>
          <w:jc w:val="center"/>
          <w:rPr>
            <w:rFonts w:ascii="Times New Roman" w:hAnsi="Times New Roman"/>
            <w:sz w:val="24"/>
          </w:rPr>
        </w:pPr>
        <w:r w:rsidRPr="007F49E6">
          <w:rPr>
            <w:rFonts w:ascii="Times New Roman" w:hAnsi="Times New Roman"/>
            <w:sz w:val="24"/>
          </w:rPr>
          <w:fldChar w:fldCharType="begin"/>
        </w:r>
        <w:r w:rsidRPr="007F49E6">
          <w:rPr>
            <w:rFonts w:ascii="Times New Roman" w:hAnsi="Times New Roman"/>
            <w:sz w:val="24"/>
          </w:rPr>
          <w:instrText xml:space="preserve"> PAGE   \* MERGEFORMAT </w:instrText>
        </w:r>
        <w:r w:rsidRPr="007F49E6">
          <w:rPr>
            <w:rFonts w:ascii="Times New Roman" w:hAnsi="Times New Roman"/>
            <w:sz w:val="24"/>
          </w:rPr>
          <w:fldChar w:fldCharType="separate"/>
        </w:r>
        <w:r w:rsidR="00411D81">
          <w:rPr>
            <w:rFonts w:ascii="Times New Roman" w:hAnsi="Times New Roman"/>
            <w:noProof/>
            <w:sz w:val="24"/>
          </w:rPr>
          <w:t>5</w:t>
        </w:r>
        <w:r w:rsidRPr="007F49E6">
          <w:rPr>
            <w:rFonts w:ascii="Times New Roman" w:hAnsi="Times New Roman"/>
            <w:noProof/>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2CC" w:rsidRDefault="00EE42CC">
      <w:r>
        <w:separator/>
      </w:r>
    </w:p>
  </w:footnote>
  <w:footnote w:type="continuationSeparator" w:id="0">
    <w:p w:rsidR="00EE42CC" w:rsidRDefault="00EE42CC">
      <w:r>
        <w:continuationSeparator/>
      </w:r>
    </w:p>
  </w:footnote>
  <w:footnote w:id="1">
    <w:p w:rsidR="00EE42CC" w:rsidRPr="007F49E6" w:rsidRDefault="00EE42CC" w:rsidP="007F49E6">
      <w:pPr>
        <w:rPr>
          <w:rFonts w:ascii="Times New Roman" w:hAnsi="Times New Roman"/>
          <w:szCs w:val="20"/>
        </w:rPr>
      </w:pPr>
      <w:r w:rsidRPr="007F49E6">
        <w:rPr>
          <w:rStyle w:val="FootnoteReference"/>
          <w:rFonts w:ascii="Times New Roman" w:hAnsi="Times New Roman"/>
          <w:szCs w:val="20"/>
          <w:vertAlign w:val="superscript"/>
        </w:rPr>
        <w:footnoteRef/>
      </w:r>
      <w:r w:rsidRPr="007F49E6">
        <w:rPr>
          <w:rFonts w:ascii="Times New Roman" w:hAnsi="Times New Roman"/>
          <w:szCs w:val="20"/>
        </w:rPr>
        <w:t xml:space="preserve">  The agencies are the Board of Governors of the Federal Reserve System, the Federal Deposit Insurance Corporation</w:t>
      </w:r>
      <w:r>
        <w:rPr>
          <w:rFonts w:ascii="Times New Roman" w:hAnsi="Times New Roman"/>
          <w:szCs w:val="20"/>
        </w:rPr>
        <w:t>,</w:t>
      </w:r>
      <w:r w:rsidRPr="007F49E6">
        <w:rPr>
          <w:rFonts w:ascii="Times New Roman" w:hAnsi="Times New Roman"/>
          <w:szCs w:val="20"/>
        </w:rPr>
        <w:t xml:space="preserve"> and the Office of the Comptroller of the Currency.</w:t>
      </w:r>
    </w:p>
  </w:footnote>
  <w:footnote w:id="2">
    <w:p w:rsidR="00EE42CC" w:rsidRPr="007F49E6" w:rsidRDefault="00EE42CC" w:rsidP="006E3AE8">
      <w:pPr>
        <w:rPr>
          <w:rFonts w:ascii="Times New Roman" w:hAnsi="Times New Roman"/>
          <w:szCs w:val="20"/>
        </w:rPr>
      </w:pPr>
      <w:r w:rsidRPr="007F49E6">
        <w:rPr>
          <w:rStyle w:val="FootnoteReference"/>
          <w:rFonts w:ascii="Times New Roman" w:hAnsi="Times New Roman"/>
          <w:szCs w:val="20"/>
          <w:vertAlign w:val="superscript"/>
        </w:rPr>
        <w:footnoteRef/>
      </w:r>
      <w:r w:rsidRPr="007F49E6">
        <w:rPr>
          <w:rFonts w:ascii="Times New Roman" w:hAnsi="Times New Roman"/>
          <w:szCs w:val="20"/>
        </w:rPr>
        <w:t xml:space="preserve">  At this time, there are no foreign banks, commercial lending companies owned or controlled by foreign banks, or Edge corporations registered as government securities brokers or dealers.</w:t>
      </w:r>
    </w:p>
  </w:footnote>
  <w:footnote w:id="3">
    <w:p w:rsidR="00EE42CC" w:rsidRPr="00197256" w:rsidRDefault="00EE42CC">
      <w:pPr>
        <w:pStyle w:val="FootnoteText"/>
        <w:rPr>
          <w:rFonts w:ascii="Times New Roman" w:hAnsi="Times New Roman"/>
        </w:rPr>
      </w:pPr>
      <w:r w:rsidRPr="00197256">
        <w:rPr>
          <w:rStyle w:val="FootnoteReference"/>
          <w:rFonts w:ascii="Times New Roman" w:hAnsi="Times New Roman"/>
          <w:vertAlign w:val="superscript"/>
        </w:rPr>
        <w:footnoteRef/>
      </w:r>
      <w:r w:rsidRPr="00197256">
        <w:rPr>
          <w:rFonts w:ascii="Times New Roman" w:hAnsi="Times New Roman"/>
        </w:rPr>
        <w:t xml:space="preserve">  The interagency </w:t>
      </w:r>
      <w:r w:rsidRPr="00197256">
        <w:rPr>
          <w:rFonts w:ascii="Times New Roman" w:hAnsi="Times New Roman"/>
          <w:color w:val="000000"/>
        </w:rPr>
        <w:t>Uniform Application for Municipal Securities Principal or Municipal Securities Representative Associated with a Bank Municipal Securities Dealer (MSD</w:t>
      </w:r>
      <w:r>
        <w:rPr>
          <w:rFonts w:ascii="Times New Roman" w:hAnsi="Times New Roman"/>
          <w:color w:val="000000"/>
        </w:rPr>
        <w:t>-</w:t>
      </w:r>
      <w:r w:rsidRPr="00197256">
        <w:rPr>
          <w:rFonts w:ascii="Times New Roman" w:hAnsi="Times New Roman"/>
          <w:color w:val="000000"/>
        </w:rPr>
        <w:t>4; OMB No. 7100</w:t>
      </w:r>
      <w:r w:rsidRPr="00197256">
        <w:rPr>
          <w:rFonts w:ascii="Times New Roman" w:hAnsi="Times New Roman"/>
          <w:color w:val="000000"/>
        </w:rPr>
        <w:noBreakHyphen/>
        <w:t>0100), Treasury’s Disclosure Form for Person Associated with a Financial Institution Government Securities Broker or Dealer (G</w:t>
      </w:r>
      <w:r>
        <w:rPr>
          <w:rFonts w:ascii="Times New Roman" w:hAnsi="Times New Roman"/>
          <w:color w:val="000000"/>
        </w:rPr>
        <w:t>-</w:t>
      </w:r>
      <w:r w:rsidRPr="00197256">
        <w:rPr>
          <w:rFonts w:ascii="Times New Roman" w:hAnsi="Times New Roman"/>
          <w:color w:val="000000"/>
        </w:rPr>
        <w:t>FIN</w:t>
      </w:r>
      <w:r>
        <w:rPr>
          <w:rFonts w:ascii="Times New Roman" w:hAnsi="Times New Roman"/>
          <w:color w:val="000000"/>
        </w:rPr>
        <w:t>-</w:t>
      </w:r>
      <w:r w:rsidRPr="00197256">
        <w:rPr>
          <w:rFonts w:ascii="Times New Roman" w:hAnsi="Times New Roman"/>
          <w:color w:val="000000"/>
        </w:rPr>
        <w:t>4; OMB No. 1535-0089), and the ‘Financial Industry Regulatory Authority’s (FINRA) Form U</w:t>
      </w:r>
      <w:r>
        <w:rPr>
          <w:rFonts w:ascii="Times New Roman" w:hAnsi="Times New Roman"/>
          <w:color w:val="000000"/>
        </w:rPr>
        <w:t>-</w:t>
      </w:r>
      <w:r w:rsidRPr="00197256">
        <w:rPr>
          <w:rFonts w:ascii="Times New Roman" w:hAnsi="Times New Roman"/>
          <w:color w:val="000000"/>
        </w:rPr>
        <w:t>4 (this form is not subject to the Paperwork Reduction Act).</w:t>
      </w:r>
    </w:p>
  </w:footnote>
  <w:footnote w:id="4">
    <w:p w:rsidR="00EE42CC" w:rsidRPr="008C4315" w:rsidRDefault="00EE42CC" w:rsidP="007D3E5F">
      <w:pPr>
        <w:pStyle w:val="FootnoteText"/>
        <w:rPr>
          <w:rFonts w:ascii="Times New Roman" w:hAnsi="Times New Roman"/>
        </w:rPr>
      </w:pPr>
      <w:r w:rsidRPr="008C4315">
        <w:rPr>
          <w:rStyle w:val="FootnoteReference"/>
          <w:rFonts w:ascii="Times New Roman" w:hAnsi="Times New Roman"/>
          <w:vertAlign w:val="superscript"/>
        </w:rPr>
        <w:footnoteRef/>
      </w:r>
      <w:r w:rsidRPr="008C4315">
        <w:rPr>
          <w:rFonts w:ascii="Times New Roman" w:hAnsi="Times New Roman"/>
        </w:rPr>
        <w:t xml:space="preserve"> </w:t>
      </w:r>
      <w:r w:rsidR="008C4315" w:rsidRPr="008C4315">
        <w:rPr>
          <w:rFonts w:ascii="Times New Roman" w:hAnsi="Times New Roman"/>
        </w:rPr>
        <w:t xml:space="preserve"> </w:t>
      </w:r>
      <w:r w:rsidRPr="008C4315">
        <w:rPr>
          <w:rFonts w:ascii="Times New Roman" w:hAnsi="Times New Roman"/>
        </w:rPr>
        <w:t xml:space="preserve">Each of the respondents is expected to be associated with a small entity as defined by the Small Business Administration (i.e., entities with less than $175 million in total assets) </w:t>
      </w:r>
      <w:hyperlink r:id="rId1" w:history="1">
        <w:r w:rsidRPr="008C4315">
          <w:rPr>
            <w:rStyle w:val="Hyperlink"/>
            <w:rFonts w:ascii="Times New Roman" w:hAnsi="Times New Roman"/>
          </w:rPr>
          <w:t>www.sba.gov/content/table-small-business-size-standards</w:t>
        </w:r>
      </w:hyperlink>
      <w:r w:rsidRPr="008C4315">
        <w:rPr>
          <w:rFonts w:ascii="Times New Roman" w:hAnsi="Times New Roman"/>
        </w:rPr>
        <w:t>.</w:t>
      </w:r>
    </w:p>
  </w:footnote>
  <w:footnote w:id="5">
    <w:p w:rsidR="00EE42CC" w:rsidRPr="008C4315" w:rsidRDefault="00EE42CC">
      <w:pPr>
        <w:pStyle w:val="FootnoteText"/>
        <w:rPr>
          <w:rFonts w:ascii="Times New Roman" w:hAnsi="Times New Roman"/>
        </w:rPr>
      </w:pPr>
      <w:r w:rsidRPr="008C4315">
        <w:rPr>
          <w:rStyle w:val="FootnoteReference"/>
          <w:rFonts w:ascii="Times New Roman" w:hAnsi="Times New Roman"/>
          <w:vertAlign w:val="superscript"/>
        </w:rPr>
        <w:footnoteRef/>
      </w:r>
      <w:r w:rsidR="008C4315" w:rsidRPr="008C4315">
        <w:rPr>
          <w:rFonts w:ascii="Times New Roman" w:hAnsi="Times New Roman"/>
        </w:rPr>
        <w:t xml:space="preserve">  Total cost to the public was estimated using the following formula: Percent of staff time, multiplied by annual burden hours, multiplied by hourly rate (30% Office &amp; Administrative Support @ $17, 45% Financial Managers @ $52, 15% Legal Counsel @ $55, and 10% Chief Executives @ $81).  Hourly rate estimates for each occupational group are the median hourly wages (rounded up) using data from the Bureau of Labor and Statistics (BLS), Occupational Employment and Wages 2011, </w:t>
      </w:r>
      <w:hyperlink r:id="rId2" w:history="1">
        <w:r w:rsidR="008C4315" w:rsidRPr="008C4315">
          <w:rPr>
            <w:rStyle w:val="Hyperlink"/>
            <w:rFonts w:ascii="Times New Roman" w:hAnsi="Times New Roman"/>
          </w:rPr>
          <w:t>www.bls.gov/news.release/ocwage.nr0.htm</w:t>
        </w:r>
      </w:hyperlink>
      <w:r w:rsidR="008C4315" w:rsidRPr="008C4315">
        <w:rPr>
          <w:rFonts w:ascii="Times New Roman" w:hAnsi="Times New Roman"/>
        </w:rPr>
        <w:t xml:space="preserve">.  Occupations are defined using the BLS Occupational Classification System, </w:t>
      </w:r>
      <w:hyperlink r:id="rId3" w:history="1">
        <w:r w:rsidR="008C4315" w:rsidRPr="008C4315">
          <w:rPr>
            <w:rStyle w:val="Hyperlink"/>
            <w:rFonts w:ascii="Times New Roman" w:hAnsi="Times New Roman"/>
          </w:rPr>
          <w:t>www.bls.gov/soc/</w:t>
        </w:r>
      </w:hyperlink>
      <w:r w:rsidR="008C4315" w:rsidRPr="008C4315">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B1CAD"/>
    <w:multiLevelType w:val="hybridMultilevel"/>
    <w:tmpl w:val="8C46F440"/>
    <w:lvl w:ilvl="0" w:tplc="2B025ADC">
      <w:start w:val="1"/>
      <w:numFmt w:val="bullet"/>
      <w:lvlText w:val=""/>
      <w:lvlJc w:val="left"/>
      <w:pPr>
        <w:tabs>
          <w:tab w:val="num" w:pos="720"/>
        </w:tabs>
        <w:ind w:left="720" w:hanging="360"/>
      </w:pPr>
      <w:rPr>
        <w:rFonts w:ascii="Symbol" w:hAnsi="Symbol" w:hint="default"/>
      </w:rPr>
    </w:lvl>
    <w:lvl w:ilvl="1" w:tplc="020016AA" w:tentative="1">
      <w:start w:val="1"/>
      <w:numFmt w:val="bullet"/>
      <w:lvlText w:val="o"/>
      <w:lvlJc w:val="left"/>
      <w:pPr>
        <w:tabs>
          <w:tab w:val="num" w:pos="1440"/>
        </w:tabs>
        <w:ind w:left="1440" w:hanging="360"/>
      </w:pPr>
      <w:rPr>
        <w:rFonts w:ascii="Courier New" w:hAnsi="Courier New" w:hint="default"/>
      </w:rPr>
    </w:lvl>
    <w:lvl w:ilvl="2" w:tplc="BD863B84" w:tentative="1">
      <w:start w:val="1"/>
      <w:numFmt w:val="bullet"/>
      <w:lvlText w:val=""/>
      <w:lvlJc w:val="left"/>
      <w:pPr>
        <w:tabs>
          <w:tab w:val="num" w:pos="2160"/>
        </w:tabs>
        <w:ind w:left="2160" w:hanging="360"/>
      </w:pPr>
      <w:rPr>
        <w:rFonts w:ascii="Wingdings" w:hAnsi="Wingdings" w:hint="default"/>
      </w:rPr>
    </w:lvl>
    <w:lvl w:ilvl="3" w:tplc="925444BA" w:tentative="1">
      <w:start w:val="1"/>
      <w:numFmt w:val="bullet"/>
      <w:lvlText w:val=""/>
      <w:lvlJc w:val="left"/>
      <w:pPr>
        <w:tabs>
          <w:tab w:val="num" w:pos="2880"/>
        </w:tabs>
        <w:ind w:left="2880" w:hanging="360"/>
      </w:pPr>
      <w:rPr>
        <w:rFonts w:ascii="Symbol" w:hAnsi="Symbol" w:hint="default"/>
      </w:rPr>
    </w:lvl>
    <w:lvl w:ilvl="4" w:tplc="0610F61E" w:tentative="1">
      <w:start w:val="1"/>
      <w:numFmt w:val="bullet"/>
      <w:lvlText w:val="o"/>
      <w:lvlJc w:val="left"/>
      <w:pPr>
        <w:tabs>
          <w:tab w:val="num" w:pos="3600"/>
        </w:tabs>
        <w:ind w:left="3600" w:hanging="360"/>
      </w:pPr>
      <w:rPr>
        <w:rFonts w:ascii="Courier New" w:hAnsi="Courier New" w:hint="default"/>
      </w:rPr>
    </w:lvl>
    <w:lvl w:ilvl="5" w:tplc="9D0EAAB4" w:tentative="1">
      <w:start w:val="1"/>
      <w:numFmt w:val="bullet"/>
      <w:lvlText w:val=""/>
      <w:lvlJc w:val="left"/>
      <w:pPr>
        <w:tabs>
          <w:tab w:val="num" w:pos="4320"/>
        </w:tabs>
        <w:ind w:left="4320" w:hanging="360"/>
      </w:pPr>
      <w:rPr>
        <w:rFonts w:ascii="Wingdings" w:hAnsi="Wingdings" w:hint="default"/>
      </w:rPr>
    </w:lvl>
    <w:lvl w:ilvl="6" w:tplc="70B8DBC4" w:tentative="1">
      <w:start w:val="1"/>
      <w:numFmt w:val="bullet"/>
      <w:lvlText w:val=""/>
      <w:lvlJc w:val="left"/>
      <w:pPr>
        <w:tabs>
          <w:tab w:val="num" w:pos="5040"/>
        </w:tabs>
        <w:ind w:left="5040" w:hanging="360"/>
      </w:pPr>
      <w:rPr>
        <w:rFonts w:ascii="Symbol" w:hAnsi="Symbol" w:hint="default"/>
      </w:rPr>
    </w:lvl>
    <w:lvl w:ilvl="7" w:tplc="A54498C8" w:tentative="1">
      <w:start w:val="1"/>
      <w:numFmt w:val="bullet"/>
      <w:lvlText w:val="o"/>
      <w:lvlJc w:val="left"/>
      <w:pPr>
        <w:tabs>
          <w:tab w:val="num" w:pos="5760"/>
        </w:tabs>
        <w:ind w:left="5760" w:hanging="360"/>
      </w:pPr>
      <w:rPr>
        <w:rFonts w:ascii="Courier New" w:hAnsi="Courier New" w:hint="default"/>
      </w:rPr>
    </w:lvl>
    <w:lvl w:ilvl="8" w:tplc="B51EAF4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E0C"/>
    <w:rsid w:val="00014DDC"/>
    <w:rsid w:val="000159A3"/>
    <w:rsid w:val="00016F3B"/>
    <w:rsid w:val="0003309B"/>
    <w:rsid w:val="00042A10"/>
    <w:rsid w:val="0004749A"/>
    <w:rsid w:val="00056642"/>
    <w:rsid w:val="00063EDD"/>
    <w:rsid w:val="000664FF"/>
    <w:rsid w:val="00070A75"/>
    <w:rsid w:val="00072F88"/>
    <w:rsid w:val="00076AD3"/>
    <w:rsid w:val="000837AF"/>
    <w:rsid w:val="0008436A"/>
    <w:rsid w:val="00087E3A"/>
    <w:rsid w:val="00094CB3"/>
    <w:rsid w:val="000A2EED"/>
    <w:rsid w:val="000B7916"/>
    <w:rsid w:val="000C47F8"/>
    <w:rsid w:val="00100E4E"/>
    <w:rsid w:val="001065CB"/>
    <w:rsid w:val="00137F1B"/>
    <w:rsid w:val="00185694"/>
    <w:rsid w:val="00185927"/>
    <w:rsid w:val="00185C34"/>
    <w:rsid w:val="00186BAB"/>
    <w:rsid w:val="001957FB"/>
    <w:rsid w:val="00197256"/>
    <w:rsid w:val="001A7FBF"/>
    <w:rsid w:val="001C34EC"/>
    <w:rsid w:val="001C47BC"/>
    <w:rsid w:val="001D51D8"/>
    <w:rsid w:val="001D7D88"/>
    <w:rsid w:val="001E0434"/>
    <w:rsid w:val="002010B2"/>
    <w:rsid w:val="00222AC3"/>
    <w:rsid w:val="002351F8"/>
    <w:rsid w:val="00270B48"/>
    <w:rsid w:val="00287DE8"/>
    <w:rsid w:val="002A12E6"/>
    <w:rsid w:val="002A194A"/>
    <w:rsid w:val="002B395D"/>
    <w:rsid w:val="002B688F"/>
    <w:rsid w:val="002C183B"/>
    <w:rsid w:val="002C3B72"/>
    <w:rsid w:val="002F4E86"/>
    <w:rsid w:val="00301909"/>
    <w:rsid w:val="00336BAF"/>
    <w:rsid w:val="00350957"/>
    <w:rsid w:val="00364353"/>
    <w:rsid w:val="00370861"/>
    <w:rsid w:val="00375F70"/>
    <w:rsid w:val="00390482"/>
    <w:rsid w:val="00397A97"/>
    <w:rsid w:val="00397B57"/>
    <w:rsid w:val="003B50CD"/>
    <w:rsid w:val="003B743D"/>
    <w:rsid w:val="003C368B"/>
    <w:rsid w:val="003D45E8"/>
    <w:rsid w:val="003F6F12"/>
    <w:rsid w:val="004026BF"/>
    <w:rsid w:val="00411D81"/>
    <w:rsid w:val="004700F2"/>
    <w:rsid w:val="004859D9"/>
    <w:rsid w:val="004868B8"/>
    <w:rsid w:val="00495771"/>
    <w:rsid w:val="004A3A97"/>
    <w:rsid w:val="004B3BAF"/>
    <w:rsid w:val="004C701E"/>
    <w:rsid w:val="0050313A"/>
    <w:rsid w:val="00513133"/>
    <w:rsid w:val="0051681A"/>
    <w:rsid w:val="00544197"/>
    <w:rsid w:val="0054610A"/>
    <w:rsid w:val="005519EF"/>
    <w:rsid w:val="005632EF"/>
    <w:rsid w:val="00597A29"/>
    <w:rsid w:val="005A123F"/>
    <w:rsid w:val="005E4C2A"/>
    <w:rsid w:val="005E6367"/>
    <w:rsid w:val="00601763"/>
    <w:rsid w:val="0061523E"/>
    <w:rsid w:val="00615CD2"/>
    <w:rsid w:val="00651741"/>
    <w:rsid w:val="006728FA"/>
    <w:rsid w:val="006B74B6"/>
    <w:rsid w:val="006C2A3F"/>
    <w:rsid w:val="006D3D96"/>
    <w:rsid w:val="006E3AE8"/>
    <w:rsid w:val="006E5C87"/>
    <w:rsid w:val="00702CC9"/>
    <w:rsid w:val="0071247D"/>
    <w:rsid w:val="0074166D"/>
    <w:rsid w:val="007421B4"/>
    <w:rsid w:val="00744CDC"/>
    <w:rsid w:val="00750CA7"/>
    <w:rsid w:val="007629D4"/>
    <w:rsid w:val="00765D15"/>
    <w:rsid w:val="0076772D"/>
    <w:rsid w:val="0078623D"/>
    <w:rsid w:val="007909C2"/>
    <w:rsid w:val="007A00A1"/>
    <w:rsid w:val="007B0178"/>
    <w:rsid w:val="007B1CA6"/>
    <w:rsid w:val="007C3D4C"/>
    <w:rsid w:val="007D3E5F"/>
    <w:rsid w:val="007F490D"/>
    <w:rsid w:val="007F49E6"/>
    <w:rsid w:val="00817A87"/>
    <w:rsid w:val="008347CC"/>
    <w:rsid w:val="00834EE1"/>
    <w:rsid w:val="00842AF4"/>
    <w:rsid w:val="00846D48"/>
    <w:rsid w:val="008B2336"/>
    <w:rsid w:val="008B5C39"/>
    <w:rsid w:val="008C4315"/>
    <w:rsid w:val="008D1542"/>
    <w:rsid w:val="008D7722"/>
    <w:rsid w:val="008E2646"/>
    <w:rsid w:val="008E4BAD"/>
    <w:rsid w:val="008F01C8"/>
    <w:rsid w:val="008F3EBF"/>
    <w:rsid w:val="009206DB"/>
    <w:rsid w:val="0095429F"/>
    <w:rsid w:val="00956348"/>
    <w:rsid w:val="00957C5C"/>
    <w:rsid w:val="00971E0C"/>
    <w:rsid w:val="00973B74"/>
    <w:rsid w:val="009B26A5"/>
    <w:rsid w:val="009E6013"/>
    <w:rsid w:val="009E7E94"/>
    <w:rsid w:val="009F79FF"/>
    <w:rsid w:val="00A01C1D"/>
    <w:rsid w:val="00A17182"/>
    <w:rsid w:val="00A3669F"/>
    <w:rsid w:val="00A37DDC"/>
    <w:rsid w:val="00A462BF"/>
    <w:rsid w:val="00A50B41"/>
    <w:rsid w:val="00A52250"/>
    <w:rsid w:val="00A538D9"/>
    <w:rsid w:val="00A53A73"/>
    <w:rsid w:val="00A71D2A"/>
    <w:rsid w:val="00A741F8"/>
    <w:rsid w:val="00A85DD1"/>
    <w:rsid w:val="00A9598D"/>
    <w:rsid w:val="00A967F6"/>
    <w:rsid w:val="00AB1D48"/>
    <w:rsid w:val="00AB3467"/>
    <w:rsid w:val="00AC0418"/>
    <w:rsid w:val="00AD3382"/>
    <w:rsid w:val="00AE58C0"/>
    <w:rsid w:val="00AF4E0C"/>
    <w:rsid w:val="00B2452C"/>
    <w:rsid w:val="00B27BDF"/>
    <w:rsid w:val="00B350F2"/>
    <w:rsid w:val="00B752F3"/>
    <w:rsid w:val="00B76E7A"/>
    <w:rsid w:val="00B936B1"/>
    <w:rsid w:val="00BB76FE"/>
    <w:rsid w:val="00BE4C86"/>
    <w:rsid w:val="00C028B0"/>
    <w:rsid w:val="00C04D66"/>
    <w:rsid w:val="00C35865"/>
    <w:rsid w:val="00C44506"/>
    <w:rsid w:val="00C475BF"/>
    <w:rsid w:val="00C47C32"/>
    <w:rsid w:val="00C76B0E"/>
    <w:rsid w:val="00C90BB2"/>
    <w:rsid w:val="00CA0F86"/>
    <w:rsid w:val="00CC2C25"/>
    <w:rsid w:val="00CD2720"/>
    <w:rsid w:val="00CE35B0"/>
    <w:rsid w:val="00D04B49"/>
    <w:rsid w:val="00D6434F"/>
    <w:rsid w:val="00D74E6D"/>
    <w:rsid w:val="00DA1FE2"/>
    <w:rsid w:val="00DA6862"/>
    <w:rsid w:val="00DC196C"/>
    <w:rsid w:val="00DC56B2"/>
    <w:rsid w:val="00E07E93"/>
    <w:rsid w:val="00E12FE6"/>
    <w:rsid w:val="00E15213"/>
    <w:rsid w:val="00E1733D"/>
    <w:rsid w:val="00E33F02"/>
    <w:rsid w:val="00E363A2"/>
    <w:rsid w:val="00E73F3F"/>
    <w:rsid w:val="00E8219F"/>
    <w:rsid w:val="00E83061"/>
    <w:rsid w:val="00E93A95"/>
    <w:rsid w:val="00EA107E"/>
    <w:rsid w:val="00EA1854"/>
    <w:rsid w:val="00EA2883"/>
    <w:rsid w:val="00EA60EE"/>
    <w:rsid w:val="00EB1083"/>
    <w:rsid w:val="00EC0554"/>
    <w:rsid w:val="00EC22C8"/>
    <w:rsid w:val="00EC39D5"/>
    <w:rsid w:val="00EC6EB1"/>
    <w:rsid w:val="00EE42CC"/>
    <w:rsid w:val="00F0355A"/>
    <w:rsid w:val="00F25D15"/>
    <w:rsid w:val="00F319A5"/>
    <w:rsid w:val="00F32010"/>
    <w:rsid w:val="00F43BC1"/>
    <w:rsid w:val="00F44E8A"/>
    <w:rsid w:val="00F45D01"/>
    <w:rsid w:val="00F543D1"/>
    <w:rsid w:val="00F6216D"/>
    <w:rsid w:val="00F62C4A"/>
    <w:rsid w:val="00F839A5"/>
    <w:rsid w:val="00FA7DCB"/>
    <w:rsid w:val="00FC52A7"/>
    <w:rsid w:val="00FD2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29"/>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97A29"/>
  </w:style>
  <w:style w:type="paragraph" w:styleId="Header">
    <w:name w:val="header"/>
    <w:basedOn w:val="Normal"/>
    <w:rsid w:val="00597A29"/>
    <w:pPr>
      <w:tabs>
        <w:tab w:val="center" w:pos="4320"/>
        <w:tab w:val="right" w:pos="8640"/>
      </w:tabs>
    </w:pPr>
  </w:style>
  <w:style w:type="paragraph" w:styleId="Footer">
    <w:name w:val="footer"/>
    <w:basedOn w:val="Normal"/>
    <w:link w:val="FooterChar"/>
    <w:uiPriority w:val="99"/>
    <w:rsid w:val="00597A29"/>
    <w:pPr>
      <w:tabs>
        <w:tab w:val="center" w:pos="4320"/>
        <w:tab w:val="right" w:pos="8640"/>
      </w:tabs>
    </w:pPr>
  </w:style>
  <w:style w:type="paragraph" w:customStyle="1" w:styleId="Style0">
    <w:name w:val="Style0"/>
    <w:rsid w:val="00597A29"/>
    <w:rPr>
      <w:rFonts w:ascii="Arial" w:hAnsi="Arial"/>
      <w:snapToGrid w:val="0"/>
      <w:sz w:val="24"/>
    </w:rPr>
  </w:style>
  <w:style w:type="character" w:styleId="PageNumber">
    <w:name w:val="page number"/>
    <w:basedOn w:val="DefaultParagraphFont"/>
    <w:rsid w:val="00597A29"/>
  </w:style>
  <w:style w:type="character" w:styleId="CommentReference">
    <w:name w:val="annotation reference"/>
    <w:basedOn w:val="DefaultParagraphFont"/>
    <w:semiHidden/>
    <w:rsid w:val="005519EF"/>
    <w:rPr>
      <w:sz w:val="16"/>
      <w:szCs w:val="16"/>
    </w:rPr>
  </w:style>
  <w:style w:type="paragraph" w:styleId="CommentText">
    <w:name w:val="annotation text"/>
    <w:basedOn w:val="Normal"/>
    <w:semiHidden/>
    <w:rsid w:val="005519EF"/>
    <w:rPr>
      <w:szCs w:val="20"/>
    </w:rPr>
  </w:style>
  <w:style w:type="paragraph" w:styleId="CommentSubject">
    <w:name w:val="annotation subject"/>
    <w:basedOn w:val="CommentText"/>
    <w:next w:val="CommentText"/>
    <w:semiHidden/>
    <w:rsid w:val="005519EF"/>
    <w:rPr>
      <w:b/>
      <w:bCs/>
    </w:rPr>
  </w:style>
  <w:style w:type="paragraph" w:styleId="BalloonText">
    <w:name w:val="Balloon Text"/>
    <w:basedOn w:val="Normal"/>
    <w:semiHidden/>
    <w:rsid w:val="005519EF"/>
    <w:rPr>
      <w:rFonts w:ascii="Tahoma" w:hAnsi="Tahoma" w:cs="Tahoma"/>
      <w:sz w:val="16"/>
      <w:szCs w:val="16"/>
    </w:rPr>
  </w:style>
  <w:style w:type="paragraph" w:styleId="FootnoteText">
    <w:name w:val="footnote text"/>
    <w:basedOn w:val="Normal"/>
    <w:semiHidden/>
    <w:rsid w:val="008F01C8"/>
    <w:rPr>
      <w:szCs w:val="20"/>
    </w:rPr>
  </w:style>
  <w:style w:type="character" w:styleId="FollowedHyperlink">
    <w:name w:val="FollowedHyperlink"/>
    <w:basedOn w:val="DefaultParagraphFont"/>
    <w:rsid w:val="00A01C1D"/>
    <w:rPr>
      <w:color w:val="800080"/>
      <w:u w:val="single"/>
    </w:rPr>
  </w:style>
  <w:style w:type="character" w:styleId="Hyperlink">
    <w:name w:val="Hyperlink"/>
    <w:basedOn w:val="DefaultParagraphFont"/>
    <w:uiPriority w:val="99"/>
    <w:unhideWhenUsed/>
    <w:rsid w:val="007D3E5F"/>
    <w:rPr>
      <w:color w:val="0000FF" w:themeColor="hyperlink"/>
      <w:u w:val="single"/>
    </w:rPr>
  </w:style>
  <w:style w:type="character" w:customStyle="1" w:styleId="FooterChar">
    <w:name w:val="Footer Char"/>
    <w:basedOn w:val="DefaultParagraphFont"/>
    <w:link w:val="Footer"/>
    <w:uiPriority w:val="99"/>
    <w:rsid w:val="007F49E6"/>
    <w:rPr>
      <w:rFonts w:ascii="Courier" w:hAnsi="Courie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A29"/>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97A29"/>
  </w:style>
  <w:style w:type="paragraph" w:styleId="Header">
    <w:name w:val="header"/>
    <w:basedOn w:val="Normal"/>
    <w:rsid w:val="00597A29"/>
    <w:pPr>
      <w:tabs>
        <w:tab w:val="center" w:pos="4320"/>
        <w:tab w:val="right" w:pos="8640"/>
      </w:tabs>
    </w:pPr>
  </w:style>
  <w:style w:type="paragraph" w:styleId="Footer">
    <w:name w:val="footer"/>
    <w:basedOn w:val="Normal"/>
    <w:link w:val="FooterChar"/>
    <w:uiPriority w:val="99"/>
    <w:rsid w:val="00597A29"/>
    <w:pPr>
      <w:tabs>
        <w:tab w:val="center" w:pos="4320"/>
        <w:tab w:val="right" w:pos="8640"/>
      </w:tabs>
    </w:pPr>
  </w:style>
  <w:style w:type="paragraph" w:customStyle="1" w:styleId="Style0">
    <w:name w:val="Style0"/>
    <w:rsid w:val="00597A29"/>
    <w:rPr>
      <w:rFonts w:ascii="Arial" w:hAnsi="Arial"/>
      <w:snapToGrid w:val="0"/>
      <w:sz w:val="24"/>
    </w:rPr>
  </w:style>
  <w:style w:type="character" w:styleId="PageNumber">
    <w:name w:val="page number"/>
    <w:basedOn w:val="DefaultParagraphFont"/>
    <w:rsid w:val="00597A29"/>
  </w:style>
  <w:style w:type="character" w:styleId="CommentReference">
    <w:name w:val="annotation reference"/>
    <w:basedOn w:val="DefaultParagraphFont"/>
    <w:semiHidden/>
    <w:rsid w:val="005519EF"/>
    <w:rPr>
      <w:sz w:val="16"/>
      <w:szCs w:val="16"/>
    </w:rPr>
  </w:style>
  <w:style w:type="paragraph" w:styleId="CommentText">
    <w:name w:val="annotation text"/>
    <w:basedOn w:val="Normal"/>
    <w:semiHidden/>
    <w:rsid w:val="005519EF"/>
    <w:rPr>
      <w:szCs w:val="20"/>
    </w:rPr>
  </w:style>
  <w:style w:type="paragraph" w:styleId="CommentSubject">
    <w:name w:val="annotation subject"/>
    <w:basedOn w:val="CommentText"/>
    <w:next w:val="CommentText"/>
    <w:semiHidden/>
    <w:rsid w:val="005519EF"/>
    <w:rPr>
      <w:b/>
      <w:bCs/>
    </w:rPr>
  </w:style>
  <w:style w:type="paragraph" w:styleId="BalloonText">
    <w:name w:val="Balloon Text"/>
    <w:basedOn w:val="Normal"/>
    <w:semiHidden/>
    <w:rsid w:val="005519EF"/>
    <w:rPr>
      <w:rFonts w:ascii="Tahoma" w:hAnsi="Tahoma" w:cs="Tahoma"/>
      <w:sz w:val="16"/>
      <w:szCs w:val="16"/>
    </w:rPr>
  </w:style>
  <w:style w:type="paragraph" w:styleId="FootnoteText">
    <w:name w:val="footnote text"/>
    <w:basedOn w:val="Normal"/>
    <w:semiHidden/>
    <w:rsid w:val="008F01C8"/>
    <w:rPr>
      <w:szCs w:val="20"/>
    </w:rPr>
  </w:style>
  <w:style w:type="character" w:styleId="FollowedHyperlink">
    <w:name w:val="FollowedHyperlink"/>
    <w:basedOn w:val="DefaultParagraphFont"/>
    <w:rsid w:val="00A01C1D"/>
    <w:rPr>
      <w:color w:val="800080"/>
      <w:u w:val="single"/>
    </w:rPr>
  </w:style>
  <w:style w:type="character" w:styleId="Hyperlink">
    <w:name w:val="Hyperlink"/>
    <w:basedOn w:val="DefaultParagraphFont"/>
    <w:uiPriority w:val="99"/>
    <w:unhideWhenUsed/>
    <w:rsid w:val="007D3E5F"/>
    <w:rPr>
      <w:color w:val="0000FF" w:themeColor="hyperlink"/>
      <w:u w:val="single"/>
    </w:rPr>
  </w:style>
  <w:style w:type="character" w:customStyle="1" w:styleId="FooterChar">
    <w:name w:val="Footer Char"/>
    <w:basedOn w:val="DefaultParagraphFont"/>
    <w:link w:val="Footer"/>
    <w:uiPriority w:val="99"/>
    <w:rsid w:val="007F49E6"/>
    <w:rPr>
      <w:rFonts w:ascii="Courier" w:hAnsi="Courie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soc/" TargetMode="External"/><Relationship Id="rId2" Type="http://schemas.openxmlformats.org/officeDocument/2006/relationships/hyperlink" Target="http://www.bls.gov/news.release/ocwage.nr0.htm" TargetMode="External"/><Relationship Id="rId1" Type="http://schemas.openxmlformats.org/officeDocument/2006/relationships/hyperlink" Target="http://www.sba.gov/content/table-small-business-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CB0A4-66EF-413C-99B6-CCFEAEC5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F4300597.dotm</Template>
  <TotalTime>38</TotalTime>
  <Pages>5</Pages>
  <Words>1562</Words>
  <Characters>8825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10367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Scott W. Farmer</cp:lastModifiedBy>
  <cp:revision>13</cp:revision>
  <cp:lastPrinted>2013-02-21T13:07:00Z</cp:lastPrinted>
  <dcterms:created xsi:type="dcterms:W3CDTF">2013-02-21T16:31:00Z</dcterms:created>
  <dcterms:modified xsi:type="dcterms:W3CDTF">2013-04-30T18:13:00Z</dcterms:modified>
</cp:coreProperties>
</file>