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6BB" w:rsidRPr="006478D7" w:rsidRDefault="003076BB" w:rsidP="00BE56F1">
      <w:pPr>
        <w:jc w:val="center"/>
        <w:rPr>
          <w:sz w:val="24"/>
        </w:rPr>
      </w:pPr>
      <w:r w:rsidRPr="006478D7">
        <w:rPr>
          <w:sz w:val="24"/>
        </w:rPr>
        <w:t>Supporting Statement for Paperwork Reduction Act Submissions</w:t>
      </w:r>
    </w:p>
    <w:p w:rsidR="003076BB" w:rsidRPr="006478D7" w:rsidRDefault="003076BB" w:rsidP="00BE56F1">
      <w:pPr>
        <w:jc w:val="center"/>
        <w:rPr>
          <w:sz w:val="24"/>
        </w:rPr>
      </w:pPr>
    </w:p>
    <w:p w:rsidR="003076BB" w:rsidRPr="006478D7" w:rsidRDefault="003076BB" w:rsidP="00BE56F1">
      <w:pPr>
        <w:jc w:val="center"/>
        <w:rPr>
          <w:sz w:val="24"/>
        </w:rPr>
      </w:pPr>
      <w:r w:rsidRPr="006478D7">
        <w:rPr>
          <w:sz w:val="24"/>
        </w:rPr>
        <w:t>Multifamily Housing Service Coordinator Program</w:t>
      </w:r>
    </w:p>
    <w:p w:rsidR="003076BB" w:rsidRPr="006478D7" w:rsidRDefault="003076BB" w:rsidP="00BE56F1">
      <w:pPr>
        <w:jc w:val="center"/>
        <w:rPr>
          <w:sz w:val="24"/>
        </w:rPr>
      </w:pPr>
      <w:r w:rsidRPr="006478D7">
        <w:rPr>
          <w:sz w:val="24"/>
        </w:rPr>
        <w:t>OMB Control Number 2502-0447</w:t>
      </w:r>
    </w:p>
    <w:p w:rsidR="003076BB" w:rsidRPr="006478D7" w:rsidRDefault="003076BB" w:rsidP="00BE56F1">
      <w:pPr>
        <w:jc w:val="center"/>
        <w:rPr>
          <w:sz w:val="24"/>
        </w:rPr>
      </w:pPr>
      <w:r w:rsidRPr="006478D7">
        <w:rPr>
          <w:sz w:val="24"/>
        </w:rPr>
        <w:t>(HUD-92456</w:t>
      </w:r>
      <w:r w:rsidR="00DB1390" w:rsidRPr="006478D7">
        <w:rPr>
          <w:sz w:val="24"/>
        </w:rPr>
        <w:t xml:space="preserve">, </w:t>
      </w:r>
      <w:r w:rsidR="001375BC">
        <w:rPr>
          <w:sz w:val="24"/>
        </w:rPr>
        <w:t xml:space="preserve">HUD-92456-G, </w:t>
      </w:r>
      <w:r w:rsidR="00DB1390" w:rsidRPr="006478D7">
        <w:rPr>
          <w:sz w:val="24"/>
        </w:rPr>
        <w:t xml:space="preserve">HUD-50080-SCMF, HUD-91186, </w:t>
      </w:r>
      <w:r w:rsidRPr="006478D7">
        <w:rPr>
          <w:sz w:val="24"/>
        </w:rPr>
        <w:t>SF-424</w:t>
      </w:r>
      <w:r w:rsidR="00DB1390" w:rsidRPr="006478D7">
        <w:rPr>
          <w:sz w:val="24"/>
        </w:rPr>
        <w:t>, SF-424-Supp, HUD-2880, SF-LLL</w:t>
      </w:r>
      <w:r w:rsidRPr="006478D7">
        <w:rPr>
          <w:sz w:val="24"/>
        </w:rPr>
        <w:t>, HUD 96010, HUD-91186-A)</w:t>
      </w:r>
    </w:p>
    <w:p w:rsidR="003076BB" w:rsidRPr="006478D7" w:rsidRDefault="003076BB" w:rsidP="003076BB">
      <w:pPr>
        <w:rPr>
          <w:sz w:val="24"/>
        </w:rPr>
      </w:pPr>
    </w:p>
    <w:p w:rsidR="003076BB" w:rsidRPr="006478D7" w:rsidRDefault="003076BB" w:rsidP="003076BB">
      <w:pPr>
        <w:rPr>
          <w:sz w:val="24"/>
        </w:rPr>
      </w:pPr>
      <w:r w:rsidRPr="006478D7">
        <w:rPr>
          <w:sz w:val="24"/>
        </w:rPr>
        <w:t xml:space="preserve">A. </w:t>
      </w:r>
      <w:r w:rsidRPr="006478D7">
        <w:rPr>
          <w:sz w:val="24"/>
        </w:rPr>
        <w:tab/>
        <w:t>Justification</w:t>
      </w:r>
    </w:p>
    <w:p w:rsidR="003076BB" w:rsidRPr="006478D7" w:rsidRDefault="003076BB" w:rsidP="003076BB">
      <w:pPr>
        <w:rPr>
          <w:sz w:val="24"/>
        </w:rPr>
      </w:pPr>
    </w:p>
    <w:p w:rsidR="0076250F" w:rsidRPr="006478D7" w:rsidRDefault="003076BB" w:rsidP="0076250F">
      <w:pPr>
        <w:rPr>
          <w:sz w:val="24"/>
        </w:rPr>
      </w:pPr>
      <w:r w:rsidRPr="006478D7">
        <w:rPr>
          <w:sz w:val="24"/>
        </w:rPr>
        <w:t>1.</w:t>
      </w:r>
      <w:r w:rsidRPr="006478D7">
        <w:rPr>
          <w:sz w:val="24"/>
        </w:rPr>
        <w:tab/>
      </w:r>
      <w:r w:rsidR="0076250F" w:rsidRPr="006478D7">
        <w:rPr>
          <w:sz w:val="24"/>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76250F" w:rsidRPr="006478D7" w:rsidRDefault="0076250F" w:rsidP="003076BB">
      <w:pPr>
        <w:rPr>
          <w:sz w:val="24"/>
        </w:rPr>
      </w:pPr>
    </w:p>
    <w:p w:rsidR="003076BB" w:rsidRPr="006478D7" w:rsidRDefault="003076BB" w:rsidP="003076BB">
      <w:pPr>
        <w:rPr>
          <w:sz w:val="24"/>
        </w:rPr>
      </w:pPr>
      <w:r w:rsidRPr="006478D7">
        <w:rPr>
          <w:sz w:val="24"/>
        </w:rPr>
        <w:t>Section 671 of the Housing and Community Development Act of 1992 refers to applications for Service Coordinator grants as follows:  “Application and Selection - The Secretary shall provide for the form and manner of applications for grants under this section and for selection of applicants to receive such grants.”</w:t>
      </w:r>
    </w:p>
    <w:p w:rsidR="003076BB" w:rsidRPr="006478D7" w:rsidRDefault="003076BB" w:rsidP="003076BB">
      <w:pPr>
        <w:rPr>
          <w:sz w:val="24"/>
        </w:rPr>
      </w:pPr>
    </w:p>
    <w:p w:rsidR="003076BB" w:rsidRPr="006478D7" w:rsidRDefault="003076BB" w:rsidP="003076BB">
      <w:pPr>
        <w:rPr>
          <w:sz w:val="24"/>
        </w:rPr>
      </w:pPr>
      <w:r w:rsidRPr="006478D7">
        <w:rPr>
          <w:sz w:val="24"/>
        </w:rPr>
        <w:tab/>
        <w:t xml:space="preserve">Regulation for the Service Coordinator Program is found at sections 24 CFR 84 and 24 CFR 85.  Copies are attached for reference.  The information presented in this paperwork burden package is required, for the most part, by administrative decision and written directive.  </w:t>
      </w:r>
    </w:p>
    <w:p w:rsidR="003076BB" w:rsidRPr="006478D7" w:rsidRDefault="003076BB" w:rsidP="003076BB">
      <w:pPr>
        <w:rPr>
          <w:sz w:val="24"/>
        </w:rPr>
      </w:pPr>
    </w:p>
    <w:p w:rsidR="003076BB" w:rsidRPr="006478D7" w:rsidRDefault="003076BB" w:rsidP="003076BB">
      <w:pPr>
        <w:rPr>
          <w:sz w:val="24"/>
        </w:rPr>
      </w:pPr>
      <w:r w:rsidRPr="006478D7">
        <w:rPr>
          <w:sz w:val="24"/>
        </w:rPr>
        <w:tab/>
        <w:t xml:space="preserve">The collection of information is necessary to ensure efficient and proper use of funds for eligible activities. Without this information, HUD staff would not be able to assess the need for funds, and effectively monitor grantees’ program performance and administration.  In addition, the information collection will assist applicants in better determining their need for funds.  The information will also enable grantees to more effectively evaluate their program performance; account for funds, and maintain appropriate program records. </w:t>
      </w:r>
    </w:p>
    <w:p w:rsidR="003076BB" w:rsidRPr="006478D7" w:rsidRDefault="003076BB" w:rsidP="003076BB">
      <w:pPr>
        <w:rPr>
          <w:sz w:val="24"/>
        </w:rPr>
      </w:pPr>
    </w:p>
    <w:p w:rsidR="0076250F" w:rsidRPr="006478D7" w:rsidRDefault="003076BB" w:rsidP="00D67CE6">
      <w:pPr>
        <w:rPr>
          <w:sz w:val="24"/>
        </w:rPr>
      </w:pPr>
      <w:r w:rsidRPr="006478D7">
        <w:rPr>
          <w:sz w:val="24"/>
        </w:rPr>
        <w:t xml:space="preserve">This request seeks revision of a currently approved collection for the Service Coordinator Program.  </w:t>
      </w:r>
      <w:r w:rsidR="00D67CE6">
        <w:rPr>
          <w:sz w:val="24"/>
        </w:rPr>
        <w:t>The change</w:t>
      </w:r>
      <w:r w:rsidRPr="006478D7">
        <w:rPr>
          <w:sz w:val="24"/>
        </w:rPr>
        <w:t xml:space="preserve"> to the previous submission </w:t>
      </w:r>
      <w:r w:rsidR="00D67CE6">
        <w:rPr>
          <w:sz w:val="24"/>
        </w:rPr>
        <w:t>is the revision</w:t>
      </w:r>
      <w:r w:rsidR="0076250F" w:rsidRPr="006478D7">
        <w:rPr>
          <w:sz w:val="24"/>
        </w:rPr>
        <w:t xml:space="preserve"> </w:t>
      </w:r>
      <w:r w:rsidR="00D67CE6">
        <w:rPr>
          <w:sz w:val="24"/>
        </w:rPr>
        <w:t xml:space="preserve">of </w:t>
      </w:r>
      <w:r w:rsidR="0076250F" w:rsidRPr="006478D7">
        <w:rPr>
          <w:sz w:val="24"/>
        </w:rPr>
        <w:t>form HUD-92456, “Sem</w:t>
      </w:r>
      <w:r w:rsidR="00D67CE6">
        <w:rPr>
          <w:sz w:val="24"/>
        </w:rPr>
        <w:t>i-annual Performance Report”.</w:t>
      </w:r>
    </w:p>
    <w:p w:rsidR="0076250F" w:rsidRPr="006478D7" w:rsidRDefault="0076250F" w:rsidP="003076BB">
      <w:pPr>
        <w:rPr>
          <w:sz w:val="24"/>
        </w:rPr>
      </w:pPr>
    </w:p>
    <w:p w:rsidR="003076BB" w:rsidRPr="006478D7" w:rsidRDefault="0025605F" w:rsidP="003076BB">
      <w:pPr>
        <w:rPr>
          <w:sz w:val="24"/>
        </w:rPr>
      </w:pPr>
      <w:r>
        <w:rPr>
          <w:sz w:val="24"/>
        </w:rPr>
        <w:t>This change</w:t>
      </w:r>
      <w:r w:rsidR="0076250F" w:rsidRPr="006478D7">
        <w:rPr>
          <w:sz w:val="24"/>
        </w:rPr>
        <w:t>, in addition to yearly appropriations allowing for new grant awards, will increase the number of respondents,</w:t>
      </w:r>
      <w:r w:rsidR="003076BB" w:rsidRPr="006478D7">
        <w:rPr>
          <w:sz w:val="24"/>
        </w:rPr>
        <w:t xml:space="preserve"> </w:t>
      </w:r>
      <w:r w:rsidR="0076250F" w:rsidRPr="006478D7">
        <w:rPr>
          <w:sz w:val="24"/>
        </w:rPr>
        <w:t>number of burden hours,</w:t>
      </w:r>
      <w:r w:rsidR="001462F8" w:rsidRPr="006478D7">
        <w:rPr>
          <w:sz w:val="24"/>
        </w:rPr>
        <w:t xml:space="preserve"> a</w:t>
      </w:r>
      <w:r w:rsidR="0076250F" w:rsidRPr="006478D7">
        <w:rPr>
          <w:sz w:val="24"/>
        </w:rPr>
        <w:t>nd D</w:t>
      </w:r>
      <w:r w:rsidR="003076BB" w:rsidRPr="006478D7">
        <w:rPr>
          <w:sz w:val="24"/>
        </w:rPr>
        <w:t>ollar amounts</w:t>
      </w:r>
      <w:r w:rsidR="00F97A25" w:rsidRPr="006478D7">
        <w:rPr>
          <w:sz w:val="24"/>
        </w:rPr>
        <w:t xml:space="preserve">.  </w:t>
      </w:r>
    </w:p>
    <w:p w:rsidR="00545B45" w:rsidRPr="006478D7" w:rsidRDefault="00545B45" w:rsidP="00545B45">
      <w:pPr>
        <w:rPr>
          <w:sz w:val="24"/>
        </w:rPr>
      </w:pPr>
    </w:p>
    <w:p w:rsidR="00545B45" w:rsidRPr="006478D7" w:rsidRDefault="00545B45" w:rsidP="00545B45">
      <w:pPr>
        <w:rPr>
          <w:sz w:val="24"/>
        </w:rPr>
      </w:pPr>
      <w:r w:rsidRPr="006478D7">
        <w:rPr>
          <w:sz w:val="24"/>
        </w:rPr>
        <w:t xml:space="preserve">2. Indicate how, by whom, and for what purpose the information is to be used. Except for a new collection, indicate the actual use the agency has made of the information received from the current collection. </w:t>
      </w:r>
    </w:p>
    <w:p w:rsidR="00D67CE6" w:rsidRDefault="00D67CE6" w:rsidP="00E50155">
      <w:pPr>
        <w:rPr>
          <w:sz w:val="24"/>
        </w:rPr>
      </w:pPr>
    </w:p>
    <w:p w:rsidR="003076BB" w:rsidRPr="006478D7" w:rsidRDefault="003076BB" w:rsidP="00E50155">
      <w:pPr>
        <w:rPr>
          <w:sz w:val="24"/>
        </w:rPr>
      </w:pPr>
      <w:r w:rsidRPr="006478D7">
        <w:rPr>
          <w:sz w:val="24"/>
        </w:rPr>
        <w:t>HUD Field office staff use grant applications to determine an applicant’s need for and capacity to administer gra</w:t>
      </w:r>
      <w:r w:rsidR="00DB1390" w:rsidRPr="006478D7">
        <w:rPr>
          <w:sz w:val="24"/>
        </w:rPr>
        <w:t>nt funds.  Field staff evaluate</w:t>
      </w:r>
      <w:r w:rsidRPr="006478D7">
        <w:rPr>
          <w:sz w:val="24"/>
        </w:rPr>
        <w:t xml:space="preserve"> applications based on an administratively designated selection process.  HUD staff must receive eligible and complete applications in order to award grant funds.</w:t>
      </w:r>
      <w:r w:rsidR="00DB1390" w:rsidRPr="006478D7">
        <w:rPr>
          <w:sz w:val="24"/>
        </w:rPr>
        <w:t xml:space="preserve">  Likewise, Field staff receive</w:t>
      </w:r>
      <w:r w:rsidRPr="006478D7">
        <w:rPr>
          <w:sz w:val="24"/>
        </w:rPr>
        <w:t>, review, and approve requests for extension funding once a grant term has expired.</w:t>
      </w:r>
    </w:p>
    <w:p w:rsidR="003076BB" w:rsidRPr="006478D7" w:rsidRDefault="003076BB" w:rsidP="003076BB">
      <w:pPr>
        <w:rPr>
          <w:sz w:val="24"/>
        </w:rPr>
      </w:pPr>
    </w:p>
    <w:p w:rsidR="003076BB" w:rsidRPr="006478D7" w:rsidRDefault="003076BB" w:rsidP="003076BB">
      <w:pPr>
        <w:rPr>
          <w:sz w:val="24"/>
        </w:rPr>
      </w:pPr>
      <w:r w:rsidRPr="006478D7">
        <w:rPr>
          <w:sz w:val="24"/>
        </w:rPr>
        <w:t>Form HUD-91186, Multifamily Housing Service Coordinator First-Time Funding Request, is used by applicants to estimate the supportive service needs of the residents.  The level and type of services will indicate the need for a Service Coordinator and the number of work hours appropriate for the individual’s employment.</w:t>
      </w:r>
    </w:p>
    <w:p w:rsidR="003076BB" w:rsidRPr="006478D7" w:rsidRDefault="003076BB" w:rsidP="003076BB">
      <w:pPr>
        <w:rPr>
          <w:sz w:val="24"/>
        </w:rPr>
      </w:pPr>
    </w:p>
    <w:p w:rsidR="003076BB" w:rsidRPr="006478D7" w:rsidRDefault="003076BB" w:rsidP="003076BB">
      <w:pPr>
        <w:rPr>
          <w:sz w:val="24"/>
        </w:rPr>
      </w:pPr>
      <w:r w:rsidRPr="006478D7">
        <w:rPr>
          <w:sz w:val="24"/>
        </w:rPr>
        <w:t>Form HUD-91186-A, Multifamily Housing Service Coordinator One Year Budget, outlines the applicant’s funding needs.  Grantees must project program costs for a one-year term when preparing an extension request.  This activity will help the grantee to assess the scale and costs of the program.  They can maintain or reduce the scale of their program and request a suitable dollar amount for the next year.</w:t>
      </w:r>
    </w:p>
    <w:p w:rsidR="003076BB" w:rsidRPr="006478D7" w:rsidRDefault="003076BB" w:rsidP="003076BB">
      <w:pPr>
        <w:rPr>
          <w:sz w:val="24"/>
        </w:rPr>
      </w:pPr>
    </w:p>
    <w:p w:rsidR="003076BB" w:rsidRPr="006478D7" w:rsidRDefault="003076BB" w:rsidP="003076BB">
      <w:pPr>
        <w:rPr>
          <w:sz w:val="24"/>
        </w:rPr>
      </w:pPr>
      <w:r w:rsidRPr="006478D7">
        <w:rPr>
          <w:sz w:val="24"/>
        </w:rPr>
        <w:t>Form HUD-2880, Applicant/Recipient Update/Disclosure Report, details the financial interests of the owner and management agent who are involved in the project.</w:t>
      </w:r>
    </w:p>
    <w:p w:rsidR="003076BB" w:rsidRPr="006478D7" w:rsidRDefault="003076BB" w:rsidP="003076BB">
      <w:pPr>
        <w:rPr>
          <w:sz w:val="24"/>
        </w:rPr>
      </w:pPr>
    </w:p>
    <w:p w:rsidR="003076BB" w:rsidRPr="006478D7" w:rsidRDefault="003076BB" w:rsidP="003076BB">
      <w:pPr>
        <w:rPr>
          <w:sz w:val="24"/>
        </w:rPr>
      </w:pPr>
      <w:r w:rsidRPr="006478D7">
        <w:rPr>
          <w:sz w:val="24"/>
        </w:rPr>
        <w:t>Form SF-424,</w:t>
      </w:r>
      <w:r w:rsidR="00E50155">
        <w:rPr>
          <w:sz w:val="24"/>
        </w:rPr>
        <w:tab/>
      </w:r>
      <w:r w:rsidR="00E50155">
        <w:rPr>
          <w:sz w:val="24"/>
        </w:rPr>
        <w:tab/>
      </w:r>
      <w:r w:rsidRPr="006478D7">
        <w:rPr>
          <w:sz w:val="24"/>
        </w:rPr>
        <w:t xml:space="preserve"> Application for Federal Assistance, is basic, required grant application form and provides the Department with the most important information included in the applicant’s request. </w:t>
      </w:r>
    </w:p>
    <w:p w:rsidR="003076BB" w:rsidRPr="006478D7" w:rsidRDefault="003076BB" w:rsidP="003076BB">
      <w:pPr>
        <w:rPr>
          <w:sz w:val="24"/>
        </w:rPr>
      </w:pPr>
    </w:p>
    <w:p w:rsidR="003076BB" w:rsidRPr="006478D7" w:rsidRDefault="003076BB" w:rsidP="003076BB">
      <w:pPr>
        <w:rPr>
          <w:sz w:val="24"/>
        </w:rPr>
      </w:pPr>
      <w:r w:rsidRPr="006478D7">
        <w:rPr>
          <w:sz w:val="24"/>
        </w:rPr>
        <w:t>Form SF-424-Supplement, Survey on Ensuring Equal Opportunity for Applicants, is completed by nonprofit private organizations to provide HUD an understanding of the population of applicants for federal funds.</w:t>
      </w:r>
    </w:p>
    <w:p w:rsidR="003076BB" w:rsidRPr="006478D7" w:rsidRDefault="003076BB" w:rsidP="003076BB">
      <w:pPr>
        <w:rPr>
          <w:sz w:val="24"/>
        </w:rPr>
      </w:pPr>
    </w:p>
    <w:p w:rsidR="003076BB" w:rsidRPr="006478D7" w:rsidRDefault="003076BB" w:rsidP="003076BB">
      <w:pPr>
        <w:rPr>
          <w:sz w:val="24"/>
        </w:rPr>
      </w:pPr>
      <w:r w:rsidRPr="006478D7">
        <w:rPr>
          <w:sz w:val="24"/>
        </w:rPr>
        <w:t>Form SF-LLL, Disclosure of Lobbying Activities,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The form must be completed at the initial filling and with any material change report.</w:t>
      </w:r>
    </w:p>
    <w:p w:rsidR="003076BB" w:rsidRPr="006478D7" w:rsidRDefault="003076BB" w:rsidP="003076BB">
      <w:pPr>
        <w:rPr>
          <w:sz w:val="24"/>
        </w:rPr>
      </w:pPr>
    </w:p>
    <w:p w:rsidR="003076BB" w:rsidRPr="006478D7" w:rsidRDefault="003076BB" w:rsidP="003076BB">
      <w:pPr>
        <w:rPr>
          <w:sz w:val="24"/>
        </w:rPr>
      </w:pPr>
      <w:r w:rsidRPr="006478D7">
        <w:rPr>
          <w:sz w:val="24"/>
        </w:rPr>
        <w:t>Form</w:t>
      </w:r>
      <w:r w:rsidR="00545B45" w:rsidRPr="006478D7">
        <w:rPr>
          <w:sz w:val="24"/>
        </w:rPr>
        <w:t xml:space="preserve"> SF-425</w:t>
      </w:r>
      <w:r w:rsidRPr="006478D7">
        <w:rPr>
          <w:sz w:val="24"/>
        </w:rPr>
        <w:t xml:space="preserve">, </w:t>
      </w:r>
      <w:r w:rsidR="00545B45" w:rsidRPr="006478D7">
        <w:rPr>
          <w:sz w:val="24"/>
        </w:rPr>
        <w:t xml:space="preserve">Federal </w:t>
      </w:r>
      <w:r w:rsidRPr="006478D7">
        <w:rPr>
          <w:sz w:val="24"/>
        </w:rPr>
        <w:t>Financial Report</w:t>
      </w:r>
      <w:r w:rsidR="00545B45" w:rsidRPr="006478D7">
        <w:rPr>
          <w:sz w:val="24"/>
        </w:rPr>
        <w:t>,</w:t>
      </w:r>
      <w:r w:rsidRPr="006478D7">
        <w:rPr>
          <w:sz w:val="24"/>
        </w:rPr>
        <w:t xml:space="preserve"> is used to report the effect of the reporting period’s transactions on the cumulative financial status.  HUD Field staff will review these reports in order to monitor the proper use of grant funds.  The Field staff will then use the report to evaluate funds expenditure both during program activity and in cumulative form at program</w:t>
      </w:r>
      <w:r w:rsidR="00545B45" w:rsidRPr="006478D7">
        <w:rPr>
          <w:sz w:val="24"/>
        </w:rPr>
        <w:t xml:space="preserve"> conclusion.  If the staff </w:t>
      </w:r>
      <w:r w:rsidR="009E56E1">
        <w:rPr>
          <w:sz w:val="24"/>
        </w:rPr>
        <w:t xml:space="preserve">determine </w:t>
      </w:r>
      <w:r w:rsidRPr="006478D7">
        <w:rPr>
          <w:sz w:val="24"/>
        </w:rPr>
        <w:t xml:space="preserve">that funds have been improperly used, they may impose sanctions including funds recapture or repayment.  If reports indicate poor accounting practices, the staff will work with the grantee to improve accounting procedures according to appropriate OMB Circulars and Government </w:t>
      </w:r>
      <w:r w:rsidR="00545B45" w:rsidRPr="006478D7">
        <w:rPr>
          <w:sz w:val="24"/>
        </w:rPr>
        <w:t xml:space="preserve">Accountability </w:t>
      </w:r>
      <w:r w:rsidRPr="006478D7">
        <w:rPr>
          <w:sz w:val="24"/>
        </w:rPr>
        <w:t>Office (GAO) standards.</w:t>
      </w:r>
    </w:p>
    <w:p w:rsidR="003076BB" w:rsidRPr="006478D7" w:rsidRDefault="003076BB" w:rsidP="003076BB">
      <w:pPr>
        <w:rPr>
          <w:sz w:val="24"/>
        </w:rPr>
      </w:pPr>
    </w:p>
    <w:p w:rsidR="003076BB" w:rsidRPr="006478D7" w:rsidRDefault="003076BB" w:rsidP="003076BB">
      <w:pPr>
        <w:rPr>
          <w:sz w:val="24"/>
        </w:rPr>
      </w:pPr>
      <w:r w:rsidRPr="006478D7">
        <w:rPr>
          <w:sz w:val="24"/>
        </w:rPr>
        <w:t>Form HUD-50080-SCMF, LOCCS/VRS Payment Voucher, Service Coordinators for Multifamily Housing, is used by HUD to protect disbursement data from fraudulent actions, and to safeguard the Line of Credit Control System (LOCCS) from unauthorized access.  Grantees submit these forms on a quarterly basis.  This allows the Field staff to track expenses and drawdown of funds for eligible activities at intervals within the grant term.  These funds are taken as reimbursements and are obtained through use of a telephone voice response system.  Grantees normally submit this form following their call to, and receipt of funds from, the voice response system.  If this form indicates unusual, delinquent, or improper use of funds, the staff can block the grantee from obtaining future grant funds until such problems are corrected.</w:t>
      </w:r>
    </w:p>
    <w:p w:rsidR="003076BB" w:rsidRPr="006478D7" w:rsidRDefault="003076BB" w:rsidP="003076BB">
      <w:pPr>
        <w:rPr>
          <w:sz w:val="24"/>
        </w:rPr>
      </w:pPr>
    </w:p>
    <w:p w:rsidR="003076BB" w:rsidRPr="006478D7" w:rsidRDefault="003076BB" w:rsidP="003076BB">
      <w:pPr>
        <w:rPr>
          <w:sz w:val="24"/>
        </w:rPr>
      </w:pPr>
      <w:r w:rsidRPr="006478D7">
        <w:rPr>
          <w:sz w:val="24"/>
        </w:rPr>
        <w:t xml:space="preserve">The grantee will use the </w:t>
      </w:r>
      <w:r w:rsidR="00545B45" w:rsidRPr="006478D7">
        <w:rPr>
          <w:sz w:val="24"/>
        </w:rPr>
        <w:t xml:space="preserve">Federal </w:t>
      </w:r>
      <w:r w:rsidRPr="006478D7">
        <w:rPr>
          <w:sz w:val="24"/>
        </w:rPr>
        <w:t>Financial Report and LOCCS Payment Voucher to set up or modify separate accounting procedures for Service Coordinator funds.  Developing such procedures is essential for meeting accounting and reporting requirements of 24 CFR Part 84 and 85.  Doing so will also help both the grantee and HUD better monitor use of funds.</w:t>
      </w:r>
    </w:p>
    <w:p w:rsidR="003076BB" w:rsidRPr="006478D7" w:rsidRDefault="003076BB" w:rsidP="003076BB">
      <w:pPr>
        <w:rPr>
          <w:sz w:val="24"/>
        </w:rPr>
      </w:pPr>
    </w:p>
    <w:p w:rsidR="003076BB" w:rsidRPr="006478D7" w:rsidRDefault="003076BB" w:rsidP="003076BB">
      <w:pPr>
        <w:rPr>
          <w:sz w:val="24"/>
        </w:rPr>
      </w:pPr>
      <w:r w:rsidRPr="006478D7">
        <w:rPr>
          <w:sz w:val="24"/>
        </w:rPr>
        <w:t xml:space="preserve">Form HUD-96010, Logic Model for the Service Coordinator Program, is used for periodic </w:t>
      </w:r>
      <w:r w:rsidR="00545B45" w:rsidRPr="006478D7">
        <w:rPr>
          <w:sz w:val="24"/>
        </w:rPr>
        <w:t xml:space="preserve">performance </w:t>
      </w:r>
      <w:r w:rsidRPr="006478D7">
        <w:rPr>
          <w:sz w:val="24"/>
        </w:rPr>
        <w:t xml:space="preserve">reporting.  Applicants submit this form with the initial application and </w:t>
      </w:r>
      <w:r w:rsidR="00545B45" w:rsidRPr="006478D7">
        <w:rPr>
          <w:sz w:val="24"/>
        </w:rPr>
        <w:t>grantees report performance outputs and outcomes semi-</w:t>
      </w:r>
      <w:r w:rsidRPr="006478D7">
        <w:rPr>
          <w:sz w:val="24"/>
        </w:rPr>
        <w:t xml:space="preserve">annually </w:t>
      </w:r>
      <w:r w:rsidR="00545B45" w:rsidRPr="006478D7">
        <w:rPr>
          <w:sz w:val="24"/>
        </w:rPr>
        <w:t xml:space="preserve">or annually </w:t>
      </w:r>
      <w:r w:rsidRPr="006478D7">
        <w:rPr>
          <w:sz w:val="24"/>
        </w:rPr>
        <w:t>thereafter.</w:t>
      </w:r>
    </w:p>
    <w:p w:rsidR="003076BB" w:rsidRPr="006478D7" w:rsidRDefault="003076BB" w:rsidP="003076BB">
      <w:pPr>
        <w:rPr>
          <w:sz w:val="24"/>
        </w:rPr>
      </w:pPr>
    </w:p>
    <w:p w:rsidR="003076BB" w:rsidRPr="006478D7" w:rsidRDefault="003076BB" w:rsidP="003076BB">
      <w:pPr>
        <w:rPr>
          <w:sz w:val="24"/>
        </w:rPr>
      </w:pPr>
      <w:r w:rsidRPr="006478D7">
        <w:rPr>
          <w:sz w:val="24"/>
        </w:rPr>
        <w:t>Form HUD-92456, Semi-Annual Performance Report</w:t>
      </w:r>
      <w:r w:rsidR="0025605F">
        <w:rPr>
          <w:sz w:val="24"/>
        </w:rPr>
        <w:t xml:space="preserve"> (along with HUD-92456-G, “Glossary of Service Types), </w:t>
      </w:r>
      <w:r w:rsidRPr="006478D7">
        <w:rPr>
          <w:sz w:val="24"/>
        </w:rPr>
        <w:t xml:space="preserve">is required for each housing project that has Service Coordinators paid for with HUD funds.  HUD requires one report semi-annually for each Service Coordinator position.  </w:t>
      </w:r>
    </w:p>
    <w:p w:rsidR="003076BB" w:rsidRPr="006478D7" w:rsidRDefault="003076BB" w:rsidP="003076BB">
      <w:pPr>
        <w:rPr>
          <w:sz w:val="24"/>
        </w:rPr>
      </w:pPr>
    </w:p>
    <w:p w:rsidR="003076BB" w:rsidRPr="006478D7" w:rsidRDefault="003076BB" w:rsidP="003076BB">
      <w:pPr>
        <w:rPr>
          <w:sz w:val="24"/>
        </w:rPr>
      </w:pPr>
      <w:r w:rsidRPr="006478D7">
        <w:rPr>
          <w:sz w:val="24"/>
        </w:rPr>
        <w:t xml:space="preserve">HUD Field staff will review semi-annual Performance Reports (HUD 92456) and Logic Models (HUD-96010) to evaluate the effectiveness and efficacy of grant-funded activities.  The staff will compare proposed programs and objectives with realized results.  If Performance Reports and Logic Models indicate poor administration of funds or activities, funds spent on ineligible activities, or failure to comply with </w:t>
      </w:r>
      <w:r w:rsidRPr="006478D7">
        <w:rPr>
          <w:sz w:val="24"/>
        </w:rPr>
        <w:lastRenderedPageBreak/>
        <w:t>terms and co</w:t>
      </w:r>
      <w:r w:rsidR="00545B45" w:rsidRPr="006478D7">
        <w:rPr>
          <w:sz w:val="24"/>
        </w:rPr>
        <w:t>nditions of the Grant Agreement,</w:t>
      </w:r>
      <w:r w:rsidRPr="006478D7">
        <w:rPr>
          <w:sz w:val="24"/>
        </w:rPr>
        <w:t xml:space="preserve"> the Field staff may take enforcement action.  Such action may require sanctions including recapturing of funds or levying other administrative or legal penalties.</w:t>
      </w:r>
    </w:p>
    <w:p w:rsidR="003076BB" w:rsidRPr="006478D7" w:rsidRDefault="003076BB" w:rsidP="003076BB">
      <w:pPr>
        <w:rPr>
          <w:sz w:val="24"/>
        </w:rPr>
      </w:pPr>
    </w:p>
    <w:p w:rsidR="003076BB" w:rsidRPr="006478D7" w:rsidRDefault="003076BB" w:rsidP="003076BB">
      <w:pPr>
        <w:rPr>
          <w:sz w:val="24"/>
        </w:rPr>
      </w:pPr>
      <w:r w:rsidRPr="006478D7">
        <w:rPr>
          <w:sz w:val="24"/>
        </w:rPr>
        <w:tab/>
        <w:t>Using the Semi-Annual Performance Report and Logic Model form will encourage Service Coordinators and grantee organizations to develop and maintain consistent record keeping and p</w:t>
      </w:r>
      <w:r w:rsidR="0090518F" w:rsidRPr="006478D7">
        <w:rPr>
          <w:sz w:val="24"/>
        </w:rPr>
        <w:t>rogram evaluation procedures.  By u</w:t>
      </w:r>
      <w:r w:rsidRPr="006478D7">
        <w:rPr>
          <w:sz w:val="24"/>
        </w:rPr>
        <w:t>sing the Performance report, all Service Coordinators will collect, record, and report the same information in a consistent manner over time.  These procedures will better enable Service Coordinators to track the needs of their residents and assess their own effectiveness.  They will also allow Service Coordinators to compare their work with their peers, for purposes of program evaluation and self-education.  Consistent procedures will also enable HUD staff and other interested parties to collect comparable information over time from a number of Service Coordinators.</w:t>
      </w:r>
    </w:p>
    <w:p w:rsidR="0090518F" w:rsidRPr="006478D7" w:rsidRDefault="0090518F" w:rsidP="003076BB">
      <w:pPr>
        <w:rPr>
          <w:sz w:val="24"/>
        </w:rPr>
      </w:pPr>
    </w:p>
    <w:p w:rsidR="0060070D" w:rsidRPr="006478D7" w:rsidRDefault="0060070D" w:rsidP="003076BB">
      <w:pPr>
        <w:rPr>
          <w:sz w:val="24"/>
        </w:rPr>
      </w:pPr>
      <w:r w:rsidRPr="006478D7">
        <w:rPr>
          <w:sz w:val="24"/>
        </w:rPr>
        <w:t xml:space="preserve">This submission revised </w:t>
      </w:r>
      <w:r w:rsidR="001270A5" w:rsidRPr="006478D7">
        <w:rPr>
          <w:sz w:val="24"/>
        </w:rPr>
        <w:t xml:space="preserve">the </w:t>
      </w:r>
      <w:r w:rsidRPr="006478D7">
        <w:rPr>
          <w:sz w:val="24"/>
        </w:rPr>
        <w:t>form HUD-92456, by adding new data and clarifying existing questions.</w:t>
      </w:r>
      <w:r w:rsidR="001270A5" w:rsidRPr="006478D7">
        <w:rPr>
          <w:sz w:val="24"/>
        </w:rPr>
        <w:t xml:space="preserve">  </w:t>
      </w:r>
      <w:r w:rsidRPr="006478D7">
        <w:rPr>
          <w:sz w:val="24"/>
        </w:rPr>
        <w:t>In particular Service Coordinators are asked to report the number of residents who</w:t>
      </w:r>
      <w:r w:rsidR="00F73D83" w:rsidRPr="006478D7">
        <w:rPr>
          <w:sz w:val="24"/>
        </w:rPr>
        <w:t xml:space="preserve"> </w:t>
      </w:r>
      <w:r w:rsidRPr="006478D7">
        <w:rPr>
          <w:sz w:val="24"/>
        </w:rPr>
        <w:t xml:space="preserve">have received a service through the assistance of the Service Coordinator.  We are adding the number of contacts for each resident, as this better </w:t>
      </w:r>
      <w:r w:rsidR="00F73D83" w:rsidRPr="006478D7">
        <w:rPr>
          <w:sz w:val="24"/>
        </w:rPr>
        <w:t xml:space="preserve">demonstrates </w:t>
      </w:r>
      <w:r w:rsidRPr="006478D7">
        <w:rPr>
          <w:sz w:val="24"/>
        </w:rPr>
        <w:t xml:space="preserve">the </w:t>
      </w:r>
      <w:r w:rsidR="00F73D83" w:rsidRPr="006478D7">
        <w:rPr>
          <w:sz w:val="24"/>
        </w:rPr>
        <w:t xml:space="preserve">nature of the work performed by the Service Coordinator. We </w:t>
      </w:r>
      <w:r w:rsidR="006655D8">
        <w:rPr>
          <w:sz w:val="24"/>
        </w:rPr>
        <w:t>added a question</w:t>
      </w:r>
      <w:r w:rsidR="00F73D83" w:rsidRPr="006478D7">
        <w:rPr>
          <w:sz w:val="24"/>
        </w:rPr>
        <w:t xml:space="preserve"> to collect data on aging-in-place and independent living, which are the ultimate goals of the program. </w:t>
      </w:r>
    </w:p>
    <w:p w:rsidR="0060070D" w:rsidRPr="006478D7" w:rsidRDefault="0060070D" w:rsidP="003076BB">
      <w:pPr>
        <w:rPr>
          <w:sz w:val="24"/>
        </w:rPr>
      </w:pPr>
    </w:p>
    <w:p w:rsidR="0090518F" w:rsidRPr="006478D7" w:rsidRDefault="003076BB" w:rsidP="0090518F">
      <w:pPr>
        <w:rPr>
          <w:sz w:val="24"/>
        </w:rPr>
      </w:pPr>
      <w:r w:rsidRPr="006478D7">
        <w:rPr>
          <w:sz w:val="24"/>
        </w:rPr>
        <w:t>3.</w:t>
      </w:r>
      <w:r w:rsidRPr="006478D7">
        <w:rPr>
          <w:sz w:val="24"/>
        </w:rPr>
        <w:tab/>
      </w:r>
      <w:r w:rsidR="0090518F" w:rsidRPr="006478D7">
        <w:rPr>
          <w:sz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r w:rsidR="0090518F" w:rsidRPr="006478D7">
        <w:rPr>
          <w:sz w:val="24"/>
        </w:rPr>
        <w:cr/>
      </w:r>
    </w:p>
    <w:p w:rsidR="003076BB" w:rsidRPr="006478D7" w:rsidRDefault="003076BB" w:rsidP="003076BB">
      <w:pPr>
        <w:rPr>
          <w:sz w:val="24"/>
        </w:rPr>
      </w:pPr>
      <w:r w:rsidRPr="006478D7">
        <w:rPr>
          <w:sz w:val="24"/>
        </w:rPr>
        <w:t xml:space="preserve">Applicants can only </w:t>
      </w:r>
      <w:r w:rsidR="0090518F" w:rsidRPr="006478D7">
        <w:rPr>
          <w:sz w:val="24"/>
        </w:rPr>
        <w:t xml:space="preserve">complete and </w:t>
      </w:r>
      <w:r w:rsidRPr="006478D7">
        <w:rPr>
          <w:sz w:val="24"/>
        </w:rPr>
        <w:t xml:space="preserve">submit </w:t>
      </w:r>
      <w:r w:rsidR="0090518F" w:rsidRPr="006478D7">
        <w:rPr>
          <w:sz w:val="24"/>
        </w:rPr>
        <w:t xml:space="preserve">grant </w:t>
      </w:r>
      <w:r w:rsidRPr="006478D7">
        <w:rPr>
          <w:sz w:val="24"/>
        </w:rPr>
        <w:t xml:space="preserve">applications electronically through www.grants.gov.  Required reports </w:t>
      </w:r>
      <w:r w:rsidR="00F25AB4" w:rsidRPr="006478D7">
        <w:rPr>
          <w:sz w:val="24"/>
        </w:rPr>
        <w:t xml:space="preserve">and other forms </w:t>
      </w:r>
      <w:r w:rsidRPr="006478D7">
        <w:rPr>
          <w:sz w:val="24"/>
        </w:rPr>
        <w:t xml:space="preserve">can be </w:t>
      </w:r>
      <w:r w:rsidR="0090518F" w:rsidRPr="006478D7">
        <w:rPr>
          <w:sz w:val="24"/>
        </w:rPr>
        <w:t xml:space="preserve">completed using electronic files and be </w:t>
      </w:r>
      <w:r w:rsidRPr="006478D7">
        <w:rPr>
          <w:sz w:val="24"/>
        </w:rPr>
        <w:t xml:space="preserve">submitted in hard copy or </w:t>
      </w:r>
      <w:r w:rsidR="0090518F" w:rsidRPr="006478D7">
        <w:rPr>
          <w:sz w:val="24"/>
        </w:rPr>
        <w:t xml:space="preserve">in </w:t>
      </w:r>
      <w:r w:rsidRPr="006478D7">
        <w:rPr>
          <w:sz w:val="24"/>
        </w:rPr>
        <w:t xml:space="preserve">electronic form.  Grantees can submit extension requests in hard paper copy or by electronic mail.  </w:t>
      </w:r>
    </w:p>
    <w:p w:rsidR="003076BB" w:rsidRDefault="003076BB" w:rsidP="003076BB">
      <w:pPr>
        <w:rPr>
          <w:sz w:val="24"/>
        </w:rPr>
      </w:pPr>
    </w:p>
    <w:p w:rsidR="0025605F" w:rsidRDefault="0025605F" w:rsidP="003076BB">
      <w:pPr>
        <w:rPr>
          <w:sz w:val="24"/>
        </w:rPr>
      </w:pPr>
      <w:r>
        <w:rPr>
          <w:sz w:val="24"/>
        </w:rPr>
        <w:t xml:space="preserve">HUD is making plans for use of a computerized management information system.  Such a system will allow Service Coordinators to complete the Semi-Annual Performance Report electronically and then transfer the data electronically to HUD.  As a result, HUD will then have </w:t>
      </w:r>
      <w:r w:rsidR="0008189E">
        <w:rPr>
          <w:sz w:val="24"/>
        </w:rPr>
        <w:t xml:space="preserve">immediate access to </w:t>
      </w:r>
      <w:r>
        <w:rPr>
          <w:sz w:val="24"/>
        </w:rPr>
        <w:t xml:space="preserve">all </w:t>
      </w:r>
      <w:r w:rsidR="00596098">
        <w:rPr>
          <w:sz w:val="24"/>
        </w:rPr>
        <w:t>data entered</w:t>
      </w:r>
      <w:r w:rsidR="0008189E">
        <w:rPr>
          <w:sz w:val="24"/>
        </w:rPr>
        <w:t xml:space="preserve"> on these reports.  We anticipate creating this system in FY 2014 or 2015.</w:t>
      </w:r>
    </w:p>
    <w:p w:rsidR="0008189E" w:rsidRPr="006478D7" w:rsidRDefault="0008189E" w:rsidP="003076BB">
      <w:pPr>
        <w:rPr>
          <w:sz w:val="24"/>
        </w:rPr>
      </w:pPr>
    </w:p>
    <w:p w:rsidR="0090518F" w:rsidRPr="006478D7" w:rsidRDefault="003076BB" w:rsidP="0090518F">
      <w:pPr>
        <w:rPr>
          <w:sz w:val="24"/>
        </w:rPr>
      </w:pPr>
      <w:r w:rsidRPr="006478D7">
        <w:rPr>
          <w:sz w:val="24"/>
        </w:rPr>
        <w:t>4.</w:t>
      </w:r>
      <w:r w:rsidRPr="006478D7">
        <w:rPr>
          <w:sz w:val="24"/>
        </w:rPr>
        <w:tab/>
      </w:r>
      <w:r w:rsidR="0090518F" w:rsidRPr="006478D7">
        <w:rPr>
          <w:sz w:val="24"/>
        </w:rPr>
        <w:t xml:space="preserve">Describe efforts to identify duplication. Show specifically why any similar information already available cannot be used or modified for use for the purposes described in Item 2 above. </w:t>
      </w:r>
      <w:r w:rsidR="0090518F" w:rsidRPr="006478D7">
        <w:rPr>
          <w:sz w:val="24"/>
        </w:rPr>
        <w:cr/>
      </w:r>
    </w:p>
    <w:p w:rsidR="003076BB" w:rsidRPr="006478D7" w:rsidRDefault="003076BB" w:rsidP="003076BB">
      <w:pPr>
        <w:rPr>
          <w:sz w:val="24"/>
        </w:rPr>
      </w:pPr>
      <w:r w:rsidRPr="006478D7">
        <w:rPr>
          <w:sz w:val="24"/>
        </w:rPr>
        <w:t xml:space="preserve">This information is not available through any other source and so must be collected.  In the grant application, the applicant must indicate and describe the need for a Service Coordinator and the number of hours that would be appropriate for the individual’s employment.  The applicant must gather this information through informal or formal assessments.  It is not available through any other source, primarily because the needs of the residents continually change.  Grantees provide information in their Extension Requests based on their projections of program expenses in the year to come.  This information is not available through any other mechanism.  The information provided in the </w:t>
      </w:r>
      <w:r w:rsidR="00CC74E3" w:rsidRPr="006478D7">
        <w:rPr>
          <w:sz w:val="24"/>
        </w:rPr>
        <w:t>Federal F</w:t>
      </w:r>
      <w:r w:rsidRPr="006478D7">
        <w:rPr>
          <w:sz w:val="24"/>
        </w:rPr>
        <w:t xml:space="preserve">inancial </w:t>
      </w:r>
      <w:r w:rsidR="00CC74E3" w:rsidRPr="006478D7">
        <w:rPr>
          <w:sz w:val="24"/>
        </w:rPr>
        <w:t>and performance reports</w:t>
      </w:r>
      <w:r w:rsidRPr="006478D7">
        <w:rPr>
          <w:sz w:val="24"/>
        </w:rPr>
        <w:t xml:space="preserve"> and </w:t>
      </w:r>
      <w:r w:rsidR="00CC74E3" w:rsidRPr="006478D7">
        <w:rPr>
          <w:sz w:val="24"/>
        </w:rPr>
        <w:t xml:space="preserve">on the </w:t>
      </w:r>
      <w:r w:rsidRPr="006478D7">
        <w:rPr>
          <w:sz w:val="24"/>
        </w:rPr>
        <w:t xml:space="preserve">LOCCS payment voucher is also not discreetly available for the Service Coordinator program at particular sites.  Applicants and grantees use Logic </w:t>
      </w:r>
      <w:r w:rsidR="006655D8">
        <w:rPr>
          <w:sz w:val="24"/>
        </w:rPr>
        <w:t xml:space="preserve">Model forms for self-evaluation and </w:t>
      </w:r>
      <w:r w:rsidRPr="006478D7">
        <w:rPr>
          <w:sz w:val="24"/>
        </w:rPr>
        <w:t>to identify and report on program performance measures.</w:t>
      </w:r>
      <w:r w:rsidR="0090518F" w:rsidRPr="006478D7">
        <w:rPr>
          <w:sz w:val="24"/>
        </w:rPr>
        <w:t xml:space="preserve">  There is currently no one mechanism to collect and record this information.</w:t>
      </w:r>
    </w:p>
    <w:p w:rsidR="003076BB" w:rsidRPr="006478D7" w:rsidRDefault="003076BB" w:rsidP="003076BB">
      <w:pPr>
        <w:rPr>
          <w:sz w:val="24"/>
        </w:rPr>
      </w:pPr>
    </w:p>
    <w:p w:rsidR="00E00D4E" w:rsidRPr="006478D7" w:rsidRDefault="003076BB" w:rsidP="00E00D4E">
      <w:pPr>
        <w:rPr>
          <w:sz w:val="24"/>
        </w:rPr>
      </w:pPr>
      <w:r w:rsidRPr="006478D7">
        <w:rPr>
          <w:sz w:val="24"/>
        </w:rPr>
        <w:t>5.</w:t>
      </w:r>
      <w:r w:rsidRPr="006478D7">
        <w:rPr>
          <w:sz w:val="24"/>
        </w:rPr>
        <w:tab/>
      </w:r>
      <w:r w:rsidR="00E00D4E" w:rsidRPr="006478D7">
        <w:rPr>
          <w:sz w:val="24"/>
        </w:rPr>
        <w:t xml:space="preserve">If the collection of information impacts small businesses or other small entities (Item 5 of OMB Form 83-I), describe any methods used to minimize burden. </w:t>
      </w:r>
    </w:p>
    <w:p w:rsidR="00E00D4E" w:rsidRPr="006478D7" w:rsidRDefault="00E00D4E" w:rsidP="003076BB">
      <w:pPr>
        <w:rPr>
          <w:sz w:val="24"/>
        </w:rPr>
      </w:pPr>
    </w:p>
    <w:p w:rsidR="003076BB" w:rsidRPr="006478D7" w:rsidRDefault="003076BB" w:rsidP="003076BB">
      <w:pPr>
        <w:rPr>
          <w:sz w:val="24"/>
        </w:rPr>
      </w:pPr>
      <w:r w:rsidRPr="006478D7">
        <w:rPr>
          <w:sz w:val="24"/>
        </w:rPr>
        <w:t>This collection will not have a significant economic impact on small businesses or other small entities.</w:t>
      </w:r>
    </w:p>
    <w:p w:rsidR="003076BB" w:rsidRPr="006478D7" w:rsidRDefault="003076BB" w:rsidP="003076BB">
      <w:pPr>
        <w:rPr>
          <w:sz w:val="24"/>
        </w:rPr>
      </w:pPr>
    </w:p>
    <w:p w:rsidR="00B546B7" w:rsidRPr="006478D7" w:rsidRDefault="003076BB" w:rsidP="00B546B7">
      <w:pPr>
        <w:rPr>
          <w:sz w:val="24"/>
        </w:rPr>
      </w:pPr>
      <w:r w:rsidRPr="006478D7">
        <w:rPr>
          <w:sz w:val="24"/>
        </w:rPr>
        <w:t>6.</w:t>
      </w:r>
      <w:r w:rsidRPr="006478D7">
        <w:rPr>
          <w:sz w:val="24"/>
        </w:rPr>
        <w:tab/>
      </w:r>
      <w:r w:rsidR="00B546B7" w:rsidRPr="006478D7">
        <w:rPr>
          <w:sz w:val="24"/>
        </w:rPr>
        <w:t>Describe the consequence to Federal program or policy activities if the collection is not conducted or is conducted less frequently, as well as any technical or legal obstacles</w:t>
      </w:r>
      <w:r w:rsidR="001270A5" w:rsidRPr="006478D7">
        <w:rPr>
          <w:sz w:val="24"/>
        </w:rPr>
        <w:t xml:space="preserve"> </w:t>
      </w:r>
      <w:r w:rsidR="00B546B7" w:rsidRPr="006478D7">
        <w:rPr>
          <w:sz w:val="24"/>
        </w:rPr>
        <w:t xml:space="preserve">to reducing burden. </w:t>
      </w:r>
    </w:p>
    <w:p w:rsidR="00B546B7" w:rsidRPr="006478D7" w:rsidRDefault="00B546B7" w:rsidP="003076BB">
      <w:pPr>
        <w:rPr>
          <w:sz w:val="24"/>
        </w:rPr>
      </w:pPr>
    </w:p>
    <w:p w:rsidR="003076BB" w:rsidRPr="006478D7" w:rsidRDefault="003076BB" w:rsidP="003076BB">
      <w:pPr>
        <w:rPr>
          <w:sz w:val="24"/>
        </w:rPr>
      </w:pPr>
      <w:r w:rsidRPr="006478D7">
        <w:rPr>
          <w:sz w:val="24"/>
        </w:rPr>
        <w:t xml:space="preserve">The required reports </w:t>
      </w:r>
      <w:r w:rsidR="00B546B7" w:rsidRPr="006478D7">
        <w:rPr>
          <w:sz w:val="24"/>
        </w:rPr>
        <w:t xml:space="preserve">and forms </w:t>
      </w:r>
      <w:r w:rsidRPr="006478D7">
        <w:rPr>
          <w:sz w:val="24"/>
        </w:rPr>
        <w:t xml:space="preserve">provide the minimum information needed to enable HUD staff to effectively monitor program operation.  Without these reports, the Department’s program management capability would be seriously impaired.  If application content and extension request information were reduced, HUD staff’s ability to select those applicants most in need of funds and most capable of administering funds could be impaired.   </w:t>
      </w:r>
    </w:p>
    <w:p w:rsidR="003076BB" w:rsidRPr="006478D7" w:rsidRDefault="003076BB" w:rsidP="003076BB">
      <w:pPr>
        <w:rPr>
          <w:sz w:val="24"/>
        </w:rPr>
      </w:pPr>
    </w:p>
    <w:p w:rsidR="00B546B7" w:rsidRPr="006478D7" w:rsidRDefault="003076BB" w:rsidP="00B546B7">
      <w:pPr>
        <w:rPr>
          <w:sz w:val="24"/>
        </w:rPr>
      </w:pPr>
      <w:r w:rsidRPr="006478D7">
        <w:rPr>
          <w:sz w:val="24"/>
        </w:rPr>
        <w:t>7.</w:t>
      </w:r>
      <w:r w:rsidRPr="006478D7">
        <w:rPr>
          <w:sz w:val="24"/>
        </w:rPr>
        <w:tab/>
      </w:r>
      <w:r w:rsidR="00B546B7" w:rsidRPr="006478D7">
        <w:rPr>
          <w:sz w:val="24"/>
        </w:rPr>
        <w:t xml:space="preserve">Explain any special circumstances that would cause an information collection to be conducted in a manner: </w:t>
      </w:r>
    </w:p>
    <w:p w:rsidR="00B546B7" w:rsidRPr="006478D7" w:rsidRDefault="00B546B7" w:rsidP="003076BB">
      <w:pPr>
        <w:rPr>
          <w:sz w:val="24"/>
        </w:rPr>
      </w:pPr>
    </w:p>
    <w:p w:rsidR="003076BB" w:rsidRPr="006478D7" w:rsidRDefault="003076BB" w:rsidP="003076BB">
      <w:pPr>
        <w:rPr>
          <w:sz w:val="24"/>
        </w:rPr>
      </w:pPr>
      <w:r w:rsidRPr="006478D7">
        <w:rPr>
          <w:sz w:val="24"/>
        </w:rPr>
        <w:t>There are no special circumstances involved in this collection.</w:t>
      </w:r>
    </w:p>
    <w:p w:rsidR="003076BB" w:rsidRPr="006478D7" w:rsidRDefault="003076BB" w:rsidP="003076BB">
      <w:pPr>
        <w:rPr>
          <w:sz w:val="24"/>
        </w:rPr>
      </w:pPr>
    </w:p>
    <w:p w:rsidR="00E74A12" w:rsidRPr="006478D7" w:rsidRDefault="003076BB" w:rsidP="00E74A12">
      <w:pPr>
        <w:rPr>
          <w:sz w:val="24"/>
        </w:rPr>
      </w:pPr>
      <w:r w:rsidRPr="006478D7">
        <w:rPr>
          <w:sz w:val="24"/>
        </w:rPr>
        <w:t>8.</w:t>
      </w:r>
      <w:r w:rsidR="00E74A12" w:rsidRPr="006478D7">
        <w:rPr>
          <w:sz w:val="24"/>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w:t>
      </w:r>
    </w:p>
    <w:p w:rsidR="00E74A12" w:rsidRPr="006478D7" w:rsidRDefault="00E74A12" w:rsidP="00E74A12">
      <w:pPr>
        <w:rPr>
          <w:sz w:val="24"/>
        </w:rPr>
      </w:pPr>
    </w:p>
    <w:p w:rsidR="00E74A12" w:rsidRPr="006478D7" w:rsidRDefault="00E74A12" w:rsidP="00E74A12">
      <w:pPr>
        <w:rPr>
          <w:sz w:val="24"/>
        </w:rPr>
      </w:pPr>
      <w:r w:rsidRPr="006478D7">
        <w:rPr>
          <w:sz w:val="24"/>
        </w:rPr>
        <w:t xml:space="preserve">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B87124" w:rsidRDefault="00B87124" w:rsidP="003076BB">
      <w:pPr>
        <w:rPr>
          <w:sz w:val="24"/>
        </w:rPr>
      </w:pPr>
    </w:p>
    <w:p w:rsidR="003076BB" w:rsidRPr="006478D7" w:rsidRDefault="00E61F61" w:rsidP="003076BB">
      <w:pPr>
        <w:rPr>
          <w:sz w:val="24"/>
        </w:rPr>
      </w:pPr>
      <w:r>
        <w:rPr>
          <w:sz w:val="24"/>
        </w:rPr>
        <w:t xml:space="preserve">In accordance with 5 CFR 1320.8(d), this information collection soliciting </w:t>
      </w:r>
      <w:r w:rsidR="003076BB" w:rsidRPr="006478D7">
        <w:rPr>
          <w:sz w:val="24"/>
        </w:rPr>
        <w:t xml:space="preserve">public comments was announced   in the Federal Register on </w:t>
      </w:r>
      <w:r w:rsidR="009A03B4">
        <w:rPr>
          <w:sz w:val="24"/>
        </w:rPr>
        <w:t xml:space="preserve">November 15, </w:t>
      </w:r>
      <w:r w:rsidR="00E74A12" w:rsidRPr="006478D7">
        <w:rPr>
          <w:sz w:val="24"/>
        </w:rPr>
        <w:t>2012</w:t>
      </w:r>
      <w:r w:rsidR="00BE56F1">
        <w:rPr>
          <w:sz w:val="24"/>
        </w:rPr>
        <w:t xml:space="preserve"> (Volume 77, Number 221</w:t>
      </w:r>
      <w:r w:rsidR="005B421F">
        <w:rPr>
          <w:sz w:val="24"/>
        </w:rPr>
        <w:t xml:space="preserve">, Page </w:t>
      </w:r>
      <w:r w:rsidR="005B421F" w:rsidRPr="00BE56F1">
        <w:rPr>
          <w:sz w:val="24"/>
          <w:szCs w:val="24"/>
        </w:rPr>
        <w:t>68139 and 68140</w:t>
      </w:r>
      <w:r w:rsidR="003076BB" w:rsidRPr="006478D7">
        <w:rPr>
          <w:sz w:val="24"/>
        </w:rPr>
        <w:t xml:space="preserve">). </w:t>
      </w:r>
    </w:p>
    <w:p w:rsidR="00BC71AB" w:rsidRDefault="00BC71AB" w:rsidP="00AE01F4">
      <w:pPr>
        <w:rPr>
          <w:sz w:val="24"/>
        </w:rPr>
      </w:pPr>
    </w:p>
    <w:p w:rsidR="00AE01F4" w:rsidRDefault="00AE01F4" w:rsidP="00AE01F4">
      <w:pPr>
        <w:rPr>
          <w:sz w:val="24"/>
        </w:rPr>
      </w:pPr>
      <w:r>
        <w:rPr>
          <w:sz w:val="24"/>
        </w:rPr>
        <w:t xml:space="preserve">No comments were received regarding cost and hour burden, availability of data, frequency of collection, and disclosure. </w:t>
      </w:r>
    </w:p>
    <w:p w:rsidR="00AE01F4" w:rsidRDefault="00AE01F4" w:rsidP="00AE01F4">
      <w:pPr>
        <w:rPr>
          <w:sz w:val="24"/>
        </w:rPr>
      </w:pPr>
    </w:p>
    <w:p w:rsidR="00BC71AB" w:rsidRDefault="00BC71AB" w:rsidP="00BC71AB">
      <w:pPr>
        <w:rPr>
          <w:sz w:val="24"/>
        </w:rPr>
      </w:pPr>
      <w:r>
        <w:rPr>
          <w:sz w:val="24"/>
        </w:rPr>
        <w:t xml:space="preserve">Comments submitted primarily recommended clarification of a number of items and deletion of duplicative or unhelpful data. Some comments recommended additions to the subparts of each item and were added where appropriate.  HUD’s Office of Fair Housing and Equal Opportunity reminded us to emphasize the assurance of fair housing, civil rights, and availability of documents in alternative formats and translations.  Comments also indicated need for clear instruction to the form and consistent definition of terms in the HUD-92456-G. </w:t>
      </w:r>
    </w:p>
    <w:p w:rsidR="00BC71AB" w:rsidRDefault="00BC71AB" w:rsidP="00AE01F4">
      <w:pPr>
        <w:rPr>
          <w:sz w:val="24"/>
        </w:rPr>
      </w:pPr>
    </w:p>
    <w:p w:rsidR="00BC71AB" w:rsidRDefault="00BC71AB" w:rsidP="00AE01F4">
      <w:pPr>
        <w:rPr>
          <w:sz w:val="24"/>
        </w:rPr>
      </w:pPr>
      <w:r>
        <w:rPr>
          <w:sz w:val="24"/>
        </w:rPr>
        <w:t>Positive comments were provided regarding the new Glossary of Service Types.  Commenters felt the definitions would help them more specifically categorize and report the types of services coordinated for the residents.</w:t>
      </w:r>
    </w:p>
    <w:p w:rsidR="00BC71AB" w:rsidRDefault="00BC71AB" w:rsidP="003076BB">
      <w:pPr>
        <w:rPr>
          <w:sz w:val="24"/>
        </w:rPr>
      </w:pPr>
    </w:p>
    <w:p w:rsidR="003076BB" w:rsidRPr="006478D7" w:rsidRDefault="003076BB" w:rsidP="003076BB">
      <w:pPr>
        <w:rPr>
          <w:sz w:val="24"/>
        </w:rPr>
      </w:pPr>
      <w:r w:rsidRPr="006478D7">
        <w:rPr>
          <w:sz w:val="24"/>
        </w:rPr>
        <w:t xml:space="preserve">HUD has used similar application and extension request materials for the program for the last decade.  During this period, applicants submitted over 6,000 applications for new and extension grant funds.  Any comments received from those applicants have been incorporated into the application materials.  In addition, HUD has received many comments </w:t>
      </w:r>
      <w:r w:rsidR="00E40B1C">
        <w:rPr>
          <w:sz w:val="24"/>
        </w:rPr>
        <w:t xml:space="preserve">over time </w:t>
      </w:r>
      <w:r w:rsidRPr="006478D7">
        <w:rPr>
          <w:sz w:val="24"/>
        </w:rPr>
        <w:t xml:space="preserve">regarding the Semi-Annual Performance Report and these have also been incorporated into updates of the report form.  </w:t>
      </w:r>
    </w:p>
    <w:p w:rsidR="003076BB" w:rsidRPr="006478D7" w:rsidRDefault="003076BB" w:rsidP="003076BB">
      <w:pPr>
        <w:rPr>
          <w:sz w:val="24"/>
        </w:rPr>
      </w:pPr>
    </w:p>
    <w:p w:rsidR="003076BB" w:rsidRPr="006478D7" w:rsidRDefault="003076BB" w:rsidP="003076BB">
      <w:pPr>
        <w:rPr>
          <w:sz w:val="24"/>
        </w:rPr>
      </w:pPr>
      <w:r w:rsidRPr="006478D7">
        <w:rPr>
          <w:sz w:val="24"/>
        </w:rPr>
        <w:lastRenderedPageBreak/>
        <w:t>In addition, HUD continues to meet with agent</w:t>
      </w:r>
      <w:r w:rsidR="00E40B1C">
        <w:rPr>
          <w:sz w:val="24"/>
        </w:rPr>
        <w:t>s</w:t>
      </w:r>
      <w:r w:rsidRPr="006478D7">
        <w:rPr>
          <w:sz w:val="24"/>
        </w:rPr>
        <w:t>/owners, housing consultants, industry groups, residents, and other interested HUD program staff.  Following is a list of some of the housing professionals (Housing Consultants and) that HUD consulted with by telephone, meetings, and/or workshop sessions:</w:t>
      </w:r>
    </w:p>
    <w:p w:rsidR="003076BB" w:rsidRDefault="00A5041D" w:rsidP="00A5041D">
      <w:pPr>
        <w:numPr>
          <w:ilvl w:val="0"/>
          <w:numId w:val="30"/>
        </w:numPr>
        <w:rPr>
          <w:sz w:val="24"/>
        </w:rPr>
      </w:pPr>
      <w:r>
        <w:rPr>
          <w:sz w:val="24"/>
        </w:rPr>
        <w:t>American Association of Service Coordinators</w:t>
      </w:r>
    </w:p>
    <w:p w:rsidR="00A5041D" w:rsidRDefault="00A5041D" w:rsidP="00A5041D">
      <w:pPr>
        <w:numPr>
          <w:ilvl w:val="0"/>
          <w:numId w:val="30"/>
        </w:numPr>
        <w:rPr>
          <w:sz w:val="24"/>
        </w:rPr>
      </w:pPr>
      <w:r>
        <w:rPr>
          <w:sz w:val="24"/>
        </w:rPr>
        <w:t>Volunteers of America</w:t>
      </w:r>
    </w:p>
    <w:p w:rsidR="00A5041D" w:rsidRDefault="00A5041D" w:rsidP="00A5041D">
      <w:pPr>
        <w:numPr>
          <w:ilvl w:val="0"/>
          <w:numId w:val="30"/>
        </w:numPr>
        <w:rPr>
          <w:sz w:val="24"/>
        </w:rPr>
      </w:pPr>
      <w:r>
        <w:rPr>
          <w:sz w:val="24"/>
        </w:rPr>
        <w:t>National Church Residences</w:t>
      </w:r>
    </w:p>
    <w:p w:rsidR="00A5041D" w:rsidRPr="006478D7" w:rsidRDefault="00A5041D" w:rsidP="00A5041D">
      <w:pPr>
        <w:numPr>
          <w:ilvl w:val="0"/>
          <w:numId w:val="30"/>
        </w:numPr>
        <w:rPr>
          <w:sz w:val="24"/>
        </w:rPr>
      </w:pPr>
      <w:r>
        <w:rPr>
          <w:sz w:val="24"/>
        </w:rPr>
        <w:t>Leading Age</w:t>
      </w:r>
    </w:p>
    <w:p w:rsidR="00A5041D" w:rsidRDefault="00A5041D" w:rsidP="00A5041D">
      <w:pPr>
        <w:rPr>
          <w:sz w:val="24"/>
        </w:rPr>
      </w:pPr>
    </w:p>
    <w:p w:rsidR="00E74A12" w:rsidRPr="006478D7" w:rsidRDefault="00E74A12" w:rsidP="00E74A12">
      <w:pPr>
        <w:rPr>
          <w:sz w:val="24"/>
        </w:rPr>
      </w:pPr>
      <w:r w:rsidRPr="006478D7">
        <w:rPr>
          <w:sz w:val="24"/>
        </w:rPr>
        <w:t>9</w:t>
      </w:r>
      <w:r w:rsidR="003076BB" w:rsidRPr="006478D7">
        <w:rPr>
          <w:sz w:val="24"/>
        </w:rPr>
        <w:t>.</w:t>
      </w:r>
      <w:r w:rsidR="003076BB" w:rsidRPr="006478D7">
        <w:rPr>
          <w:sz w:val="24"/>
        </w:rPr>
        <w:tab/>
      </w:r>
      <w:r w:rsidRPr="006478D7">
        <w:rPr>
          <w:sz w:val="24"/>
        </w:rPr>
        <w:t xml:space="preserve">Explain any decision to provide any payment or gift to respondents, other than </w:t>
      </w:r>
      <w:r w:rsidR="001270A5" w:rsidRPr="006478D7">
        <w:rPr>
          <w:sz w:val="24"/>
        </w:rPr>
        <w:t>remuneration</w:t>
      </w:r>
      <w:r w:rsidRPr="006478D7">
        <w:rPr>
          <w:sz w:val="24"/>
        </w:rPr>
        <w:t xml:space="preserve"> of contractors or grantees. </w:t>
      </w:r>
    </w:p>
    <w:p w:rsidR="00E74A12" w:rsidRPr="006478D7" w:rsidRDefault="00E74A12" w:rsidP="003076BB">
      <w:pPr>
        <w:rPr>
          <w:sz w:val="24"/>
        </w:rPr>
      </w:pPr>
    </w:p>
    <w:p w:rsidR="003076BB" w:rsidRPr="006478D7" w:rsidRDefault="00A2666D" w:rsidP="003076BB">
      <w:pPr>
        <w:rPr>
          <w:sz w:val="24"/>
        </w:rPr>
      </w:pPr>
      <w:r w:rsidRPr="006478D7">
        <w:rPr>
          <w:sz w:val="24"/>
        </w:rPr>
        <w:t xml:space="preserve">HUD does not </w:t>
      </w:r>
      <w:r w:rsidR="003076BB" w:rsidRPr="006478D7">
        <w:rPr>
          <w:sz w:val="24"/>
        </w:rPr>
        <w:t>provide any payment or gift to respondents.</w:t>
      </w:r>
    </w:p>
    <w:p w:rsidR="003076BB" w:rsidRPr="006478D7" w:rsidRDefault="003076BB" w:rsidP="003076BB">
      <w:pPr>
        <w:rPr>
          <w:sz w:val="24"/>
        </w:rPr>
      </w:pPr>
    </w:p>
    <w:p w:rsidR="00E74A12" w:rsidRPr="006478D7" w:rsidRDefault="00E74A12" w:rsidP="00E74A12">
      <w:pPr>
        <w:rPr>
          <w:sz w:val="24"/>
        </w:rPr>
      </w:pPr>
      <w:r w:rsidRPr="006478D7">
        <w:rPr>
          <w:sz w:val="24"/>
        </w:rPr>
        <w:t>10</w:t>
      </w:r>
      <w:r w:rsidR="003076BB" w:rsidRPr="006478D7">
        <w:rPr>
          <w:sz w:val="24"/>
        </w:rPr>
        <w:t>.</w:t>
      </w:r>
      <w:r w:rsidR="003076BB" w:rsidRPr="006478D7">
        <w:rPr>
          <w:sz w:val="24"/>
        </w:rPr>
        <w:tab/>
      </w:r>
      <w:r w:rsidRPr="006478D7">
        <w:rPr>
          <w:sz w:val="24"/>
        </w:rPr>
        <w:t xml:space="preserve">Describe any assurance of confidentiality provided to respondents and the basis for the assurance in statute, regulation, or agency policy. </w:t>
      </w:r>
      <w:r w:rsidRPr="006478D7">
        <w:rPr>
          <w:sz w:val="24"/>
        </w:rPr>
        <w:cr/>
      </w:r>
    </w:p>
    <w:p w:rsidR="003076BB" w:rsidRPr="006478D7" w:rsidRDefault="003076BB" w:rsidP="003076BB">
      <w:pPr>
        <w:rPr>
          <w:sz w:val="24"/>
        </w:rPr>
      </w:pPr>
      <w:r w:rsidRPr="006478D7">
        <w:rPr>
          <w:sz w:val="24"/>
        </w:rPr>
        <w:t>There have been no assurances of confidentiality provided to respondents.</w:t>
      </w:r>
    </w:p>
    <w:p w:rsidR="003076BB" w:rsidRPr="006478D7" w:rsidRDefault="003076BB" w:rsidP="003076BB">
      <w:pPr>
        <w:rPr>
          <w:sz w:val="24"/>
        </w:rPr>
      </w:pPr>
    </w:p>
    <w:p w:rsidR="00E74A12" w:rsidRPr="006478D7" w:rsidRDefault="00E74A12" w:rsidP="00E74A12">
      <w:pPr>
        <w:rPr>
          <w:sz w:val="24"/>
        </w:rPr>
      </w:pPr>
      <w:r w:rsidRPr="006478D7">
        <w:rPr>
          <w:sz w:val="24"/>
        </w:rPr>
        <w:t>11</w:t>
      </w:r>
      <w:r w:rsidR="003076BB" w:rsidRPr="006478D7">
        <w:rPr>
          <w:sz w:val="24"/>
        </w:rPr>
        <w:t>.</w:t>
      </w:r>
      <w:r w:rsidR="003076BB" w:rsidRPr="006478D7">
        <w:rPr>
          <w:sz w:val="24"/>
        </w:rPr>
        <w:tab/>
      </w:r>
      <w:r w:rsidRPr="006478D7">
        <w:rPr>
          <w:sz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74A12" w:rsidRPr="006478D7" w:rsidRDefault="00E74A12" w:rsidP="003076BB">
      <w:pPr>
        <w:rPr>
          <w:sz w:val="24"/>
        </w:rPr>
      </w:pPr>
    </w:p>
    <w:p w:rsidR="003076BB" w:rsidRPr="006478D7" w:rsidRDefault="003076BB" w:rsidP="003076BB">
      <w:pPr>
        <w:rPr>
          <w:sz w:val="24"/>
        </w:rPr>
      </w:pPr>
      <w:r w:rsidRPr="006478D7">
        <w:rPr>
          <w:sz w:val="24"/>
        </w:rPr>
        <w:t>No questions of a sensitive nature are part of the Service Coordinator Program.</w:t>
      </w:r>
    </w:p>
    <w:p w:rsidR="003076BB" w:rsidRPr="006478D7" w:rsidRDefault="003076BB" w:rsidP="003076BB">
      <w:pPr>
        <w:rPr>
          <w:sz w:val="24"/>
        </w:rPr>
      </w:pPr>
    </w:p>
    <w:p w:rsidR="003076BB" w:rsidRPr="006478D7" w:rsidRDefault="00E74A12" w:rsidP="003076BB">
      <w:pPr>
        <w:rPr>
          <w:sz w:val="24"/>
        </w:rPr>
      </w:pPr>
      <w:r w:rsidRPr="006478D7">
        <w:rPr>
          <w:sz w:val="24"/>
        </w:rPr>
        <w:t>12</w:t>
      </w:r>
      <w:r w:rsidR="003076BB" w:rsidRPr="006478D7">
        <w:rPr>
          <w:sz w:val="24"/>
        </w:rPr>
        <w:t>.</w:t>
      </w:r>
      <w:r w:rsidR="008A2339" w:rsidRPr="006478D7">
        <w:rPr>
          <w:sz w:val="24"/>
        </w:rPr>
        <w:tab/>
        <w:t xml:space="preserve">Provide estimates of the hour burden of the collection of information. </w:t>
      </w:r>
    </w:p>
    <w:p w:rsidR="00C44B3B" w:rsidRPr="006478D7" w:rsidRDefault="00C44B3B" w:rsidP="003076BB">
      <w:pPr>
        <w:rPr>
          <w:sz w:val="24"/>
        </w:rPr>
      </w:pPr>
    </w:p>
    <w:p w:rsidR="00C44B3B" w:rsidRPr="006478D7" w:rsidRDefault="00C44B3B" w:rsidP="00C44B3B">
      <w:pPr>
        <w:pStyle w:val="ListParagraph"/>
        <w:numPr>
          <w:ilvl w:val="0"/>
          <w:numId w:val="28"/>
        </w:numPr>
        <w:rPr>
          <w:rFonts w:ascii="Times New Roman" w:hAnsi="Times New Roman"/>
          <w:sz w:val="24"/>
        </w:rPr>
      </w:pPr>
      <w:r w:rsidRPr="006478D7">
        <w:rPr>
          <w:rFonts w:ascii="Times New Roman" w:hAnsi="Times New Roman"/>
          <w:sz w:val="24"/>
        </w:rPr>
        <w:t>HUD anticipat</w:t>
      </w:r>
      <w:r w:rsidR="00BE56F1">
        <w:rPr>
          <w:rFonts w:ascii="Times New Roman" w:hAnsi="Times New Roman"/>
          <w:sz w:val="24"/>
        </w:rPr>
        <w:t xml:space="preserve">es 250 new applicants annually </w:t>
      </w:r>
      <w:r w:rsidRPr="006478D7">
        <w:rPr>
          <w:rFonts w:ascii="Times New Roman" w:hAnsi="Times New Roman"/>
          <w:sz w:val="24"/>
        </w:rPr>
        <w:t>200</w:t>
      </w:r>
    </w:p>
    <w:p w:rsidR="00C44B3B" w:rsidRPr="006478D7" w:rsidRDefault="00C44B3B" w:rsidP="00C44B3B">
      <w:pPr>
        <w:pStyle w:val="ListParagraph"/>
        <w:numPr>
          <w:ilvl w:val="0"/>
          <w:numId w:val="28"/>
        </w:numPr>
        <w:rPr>
          <w:rFonts w:ascii="Times New Roman" w:hAnsi="Times New Roman"/>
          <w:sz w:val="24"/>
        </w:rPr>
      </w:pPr>
      <w:r w:rsidRPr="006478D7">
        <w:rPr>
          <w:rFonts w:ascii="Times New Roman" w:hAnsi="Times New Roman"/>
          <w:sz w:val="24"/>
        </w:rPr>
        <w:t>Of the 200 applicants, HUD expects 100 new grantees.  Only these new grantees will be required to sign the Grant Agreement.</w:t>
      </w:r>
    </w:p>
    <w:p w:rsidR="00C44B3B" w:rsidRPr="006478D7" w:rsidRDefault="00C44B3B" w:rsidP="00C44B3B">
      <w:pPr>
        <w:pStyle w:val="ListParagraph"/>
        <w:numPr>
          <w:ilvl w:val="0"/>
          <w:numId w:val="28"/>
        </w:numPr>
        <w:rPr>
          <w:rFonts w:ascii="Times New Roman" w:hAnsi="Times New Roman"/>
          <w:sz w:val="24"/>
        </w:rPr>
      </w:pPr>
      <w:r w:rsidRPr="006478D7">
        <w:rPr>
          <w:rFonts w:ascii="Times New Roman" w:hAnsi="Times New Roman"/>
          <w:sz w:val="24"/>
        </w:rPr>
        <w:t>There are currently 1,870 grantees.</w:t>
      </w:r>
    </w:p>
    <w:p w:rsidR="00C44B3B" w:rsidRPr="006478D7" w:rsidRDefault="00C44B3B" w:rsidP="00C44B3B">
      <w:pPr>
        <w:pStyle w:val="ListParagraph"/>
        <w:numPr>
          <w:ilvl w:val="0"/>
          <w:numId w:val="28"/>
        </w:numPr>
        <w:rPr>
          <w:rFonts w:ascii="Times New Roman" w:hAnsi="Times New Roman"/>
          <w:sz w:val="24"/>
        </w:rPr>
      </w:pPr>
      <w:r w:rsidRPr="006478D7">
        <w:rPr>
          <w:rFonts w:ascii="Times New Roman" w:hAnsi="Times New Roman"/>
          <w:sz w:val="24"/>
        </w:rPr>
        <w:t>Of the current grantees, 1,400 are expected to submit annual extension requests.</w:t>
      </w:r>
    </w:p>
    <w:p w:rsidR="00C44B3B" w:rsidRPr="006478D7" w:rsidRDefault="00C44B3B" w:rsidP="00C44B3B">
      <w:pPr>
        <w:pStyle w:val="ListParagraph"/>
        <w:numPr>
          <w:ilvl w:val="0"/>
          <w:numId w:val="28"/>
        </w:numPr>
        <w:rPr>
          <w:rFonts w:ascii="Times New Roman" w:hAnsi="Times New Roman"/>
          <w:sz w:val="24"/>
        </w:rPr>
      </w:pPr>
      <w:r w:rsidRPr="006478D7">
        <w:rPr>
          <w:rFonts w:ascii="Times New Roman" w:hAnsi="Times New Roman"/>
          <w:sz w:val="24"/>
        </w:rPr>
        <w:t>There are 2,430 projects that are not grantees of this program but that have Service Coordinators paid for with HUD funds, and must file the Performance Report.</w:t>
      </w:r>
    </w:p>
    <w:p w:rsidR="00C44B3B" w:rsidRPr="006478D7" w:rsidRDefault="00C44B3B" w:rsidP="00C44B3B">
      <w:pPr>
        <w:pStyle w:val="ListParagraph"/>
        <w:numPr>
          <w:ilvl w:val="0"/>
          <w:numId w:val="28"/>
        </w:numPr>
        <w:rPr>
          <w:rFonts w:ascii="Times New Roman" w:hAnsi="Times New Roman"/>
          <w:sz w:val="24"/>
        </w:rPr>
      </w:pPr>
      <w:r w:rsidRPr="006478D7">
        <w:rPr>
          <w:rFonts w:ascii="Times New Roman" w:hAnsi="Times New Roman"/>
          <w:sz w:val="24"/>
        </w:rPr>
        <w:t>Grantees receiving awards in FY 2009, 2010, and 2012 will be required to submit the Logic Model report, HUD-96010 annually.</w:t>
      </w:r>
    </w:p>
    <w:p w:rsidR="00C44B3B" w:rsidRPr="006478D7" w:rsidRDefault="00C44B3B" w:rsidP="00C44B3B">
      <w:pPr>
        <w:rPr>
          <w:sz w:val="24"/>
        </w:rPr>
      </w:pPr>
    </w:p>
    <w:tbl>
      <w:tblPr>
        <w:tblW w:w="9465" w:type="dxa"/>
        <w:tblInd w:w="828" w:type="dxa"/>
        <w:tblLayout w:type="fixed"/>
        <w:tblLook w:val="04A0" w:firstRow="1" w:lastRow="0" w:firstColumn="1" w:lastColumn="0" w:noHBand="0" w:noVBand="1"/>
      </w:tblPr>
      <w:tblGrid>
        <w:gridCol w:w="2160"/>
        <w:gridCol w:w="1455"/>
        <w:gridCol w:w="1440"/>
        <w:gridCol w:w="1245"/>
        <w:gridCol w:w="1365"/>
        <w:gridCol w:w="1800"/>
      </w:tblGrid>
      <w:tr w:rsidR="00D234A9" w:rsidRPr="006478D7" w:rsidTr="009B0AEA">
        <w:trPr>
          <w:trHeight w:val="705"/>
          <w:tblHeader/>
        </w:trPr>
        <w:tc>
          <w:tcPr>
            <w:tcW w:w="21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D234A9" w:rsidRPr="006478D7" w:rsidRDefault="00D234A9" w:rsidP="00D234A9">
            <w:pPr>
              <w:overflowPunct/>
              <w:autoSpaceDE/>
              <w:autoSpaceDN/>
              <w:adjustRightInd/>
              <w:jc w:val="center"/>
              <w:textAlignment w:val="auto"/>
              <w:rPr>
                <w:rFonts w:cs="Arial"/>
                <w:color w:val="000000"/>
                <w:sz w:val="24"/>
                <w:szCs w:val="16"/>
              </w:rPr>
            </w:pPr>
            <w:r w:rsidRPr="006478D7">
              <w:rPr>
                <w:rFonts w:cs="Arial"/>
                <w:color w:val="000000"/>
                <w:sz w:val="24"/>
                <w:szCs w:val="16"/>
              </w:rPr>
              <w:t>Information Collection</w:t>
            </w:r>
          </w:p>
        </w:tc>
        <w:tc>
          <w:tcPr>
            <w:tcW w:w="1455" w:type="dxa"/>
            <w:tcBorders>
              <w:top w:val="single" w:sz="8" w:space="0" w:color="auto"/>
              <w:left w:val="nil"/>
              <w:bottom w:val="single" w:sz="8" w:space="0" w:color="auto"/>
              <w:right w:val="single" w:sz="8" w:space="0" w:color="auto"/>
            </w:tcBorders>
            <w:shd w:val="clear" w:color="auto" w:fill="auto"/>
            <w:vAlign w:val="bottom"/>
            <w:hideMark/>
          </w:tcPr>
          <w:p w:rsidR="00D234A9" w:rsidRPr="006478D7" w:rsidRDefault="00D234A9" w:rsidP="00D234A9">
            <w:pPr>
              <w:overflowPunct/>
              <w:autoSpaceDE/>
              <w:autoSpaceDN/>
              <w:adjustRightInd/>
              <w:jc w:val="center"/>
              <w:textAlignment w:val="auto"/>
              <w:rPr>
                <w:rFonts w:cs="Arial"/>
                <w:color w:val="000000"/>
                <w:sz w:val="24"/>
                <w:szCs w:val="16"/>
              </w:rPr>
            </w:pPr>
            <w:r w:rsidRPr="006478D7">
              <w:rPr>
                <w:rFonts w:cs="Arial"/>
                <w:color w:val="000000"/>
                <w:sz w:val="24"/>
                <w:szCs w:val="16"/>
              </w:rPr>
              <w:t>Number of Respondents</w:t>
            </w:r>
          </w:p>
        </w:tc>
        <w:tc>
          <w:tcPr>
            <w:tcW w:w="1440" w:type="dxa"/>
            <w:tcBorders>
              <w:top w:val="single" w:sz="8" w:space="0" w:color="auto"/>
              <w:left w:val="nil"/>
              <w:bottom w:val="single" w:sz="8" w:space="0" w:color="auto"/>
              <w:right w:val="single" w:sz="8" w:space="0" w:color="auto"/>
            </w:tcBorders>
            <w:shd w:val="clear" w:color="auto" w:fill="auto"/>
            <w:vAlign w:val="bottom"/>
            <w:hideMark/>
          </w:tcPr>
          <w:p w:rsidR="00D234A9" w:rsidRPr="006478D7" w:rsidRDefault="00D234A9" w:rsidP="00D234A9">
            <w:pPr>
              <w:overflowPunct/>
              <w:autoSpaceDE/>
              <w:autoSpaceDN/>
              <w:adjustRightInd/>
              <w:jc w:val="center"/>
              <w:textAlignment w:val="auto"/>
              <w:rPr>
                <w:rFonts w:cs="Arial"/>
                <w:color w:val="000000"/>
                <w:sz w:val="24"/>
                <w:szCs w:val="16"/>
              </w:rPr>
            </w:pPr>
            <w:r w:rsidRPr="006478D7">
              <w:rPr>
                <w:rFonts w:cs="Arial"/>
                <w:color w:val="000000"/>
                <w:sz w:val="24"/>
                <w:szCs w:val="16"/>
              </w:rPr>
              <w:t>Frequency of Response</w:t>
            </w:r>
          </w:p>
        </w:tc>
        <w:tc>
          <w:tcPr>
            <w:tcW w:w="1245" w:type="dxa"/>
            <w:tcBorders>
              <w:top w:val="single" w:sz="8" w:space="0" w:color="auto"/>
              <w:left w:val="nil"/>
              <w:bottom w:val="single" w:sz="8" w:space="0" w:color="auto"/>
              <w:right w:val="single" w:sz="8" w:space="0" w:color="auto"/>
            </w:tcBorders>
            <w:shd w:val="clear" w:color="auto" w:fill="auto"/>
            <w:vAlign w:val="bottom"/>
            <w:hideMark/>
          </w:tcPr>
          <w:p w:rsidR="00D234A9" w:rsidRPr="006478D7" w:rsidRDefault="00D234A9" w:rsidP="00D234A9">
            <w:pPr>
              <w:overflowPunct/>
              <w:autoSpaceDE/>
              <w:autoSpaceDN/>
              <w:adjustRightInd/>
              <w:jc w:val="center"/>
              <w:textAlignment w:val="auto"/>
              <w:rPr>
                <w:rFonts w:cs="Arial"/>
                <w:color w:val="000000"/>
                <w:sz w:val="24"/>
                <w:szCs w:val="16"/>
              </w:rPr>
            </w:pPr>
            <w:r w:rsidRPr="006478D7">
              <w:rPr>
                <w:rFonts w:cs="Arial"/>
                <w:color w:val="000000"/>
                <w:sz w:val="24"/>
                <w:szCs w:val="16"/>
              </w:rPr>
              <w:t>Responses Per Annum</w:t>
            </w:r>
          </w:p>
        </w:tc>
        <w:tc>
          <w:tcPr>
            <w:tcW w:w="1365" w:type="dxa"/>
            <w:tcBorders>
              <w:top w:val="single" w:sz="8" w:space="0" w:color="auto"/>
              <w:left w:val="nil"/>
              <w:bottom w:val="single" w:sz="8" w:space="0" w:color="auto"/>
              <w:right w:val="single" w:sz="8" w:space="0" w:color="auto"/>
            </w:tcBorders>
            <w:shd w:val="clear" w:color="auto" w:fill="auto"/>
            <w:vAlign w:val="bottom"/>
            <w:hideMark/>
          </w:tcPr>
          <w:p w:rsidR="00D234A9" w:rsidRPr="006478D7" w:rsidRDefault="00D234A9" w:rsidP="00D234A9">
            <w:pPr>
              <w:overflowPunct/>
              <w:autoSpaceDE/>
              <w:autoSpaceDN/>
              <w:adjustRightInd/>
              <w:jc w:val="center"/>
              <w:textAlignment w:val="auto"/>
              <w:rPr>
                <w:rFonts w:cs="Arial"/>
                <w:color w:val="000000"/>
                <w:sz w:val="24"/>
                <w:szCs w:val="16"/>
              </w:rPr>
            </w:pPr>
            <w:r w:rsidRPr="006478D7">
              <w:rPr>
                <w:rFonts w:cs="Arial"/>
                <w:color w:val="000000"/>
                <w:sz w:val="24"/>
                <w:szCs w:val="16"/>
              </w:rPr>
              <w:t>Burden Hours Per Response</w:t>
            </w:r>
          </w:p>
        </w:tc>
        <w:tc>
          <w:tcPr>
            <w:tcW w:w="1800" w:type="dxa"/>
            <w:tcBorders>
              <w:top w:val="single" w:sz="8" w:space="0" w:color="auto"/>
              <w:left w:val="nil"/>
              <w:bottom w:val="single" w:sz="8" w:space="0" w:color="auto"/>
              <w:right w:val="single" w:sz="8" w:space="0" w:color="auto"/>
            </w:tcBorders>
            <w:shd w:val="clear" w:color="auto" w:fill="auto"/>
            <w:vAlign w:val="bottom"/>
            <w:hideMark/>
          </w:tcPr>
          <w:p w:rsidR="00D234A9" w:rsidRPr="006478D7" w:rsidRDefault="00D234A9" w:rsidP="00D234A9">
            <w:pPr>
              <w:overflowPunct/>
              <w:autoSpaceDE/>
              <w:autoSpaceDN/>
              <w:adjustRightInd/>
              <w:jc w:val="center"/>
              <w:textAlignment w:val="auto"/>
              <w:rPr>
                <w:rFonts w:cs="Arial"/>
                <w:color w:val="000000"/>
                <w:sz w:val="24"/>
                <w:szCs w:val="16"/>
              </w:rPr>
            </w:pPr>
            <w:r w:rsidRPr="006478D7">
              <w:rPr>
                <w:rFonts w:cs="Arial"/>
                <w:color w:val="000000"/>
                <w:sz w:val="24"/>
                <w:szCs w:val="16"/>
              </w:rPr>
              <w:t>Annual Burden Hours</w:t>
            </w:r>
          </w:p>
        </w:tc>
      </w:tr>
      <w:tr w:rsidR="00D234A9" w:rsidRPr="006478D7" w:rsidTr="009B0AEA">
        <w:trPr>
          <w:trHeight w:val="1273"/>
        </w:trPr>
        <w:tc>
          <w:tcPr>
            <w:tcW w:w="2160" w:type="dxa"/>
            <w:tcBorders>
              <w:top w:val="nil"/>
              <w:left w:val="single" w:sz="8" w:space="0" w:color="auto"/>
              <w:bottom w:val="single" w:sz="8" w:space="0" w:color="auto"/>
              <w:right w:val="single" w:sz="8" w:space="0" w:color="auto"/>
            </w:tcBorders>
            <w:shd w:val="clear" w:color="auto" w:fill="auto"/>
            <w:vAlign w:val="bottom"/>
            <w:hideMark/>
          </w:tcPr>
          <w:p w:rsidR="00D234A9" w:rsidRPr="006478D7" w:rsidRDefault="00D234A9" w:rsidP="00D234A9">
            <w:pPr>
              <w:overflowPunct/>
              <w:autoSpaceDE/>
              <w:autoSpaceDN/>
              <w:adjustRightInd/>
              <w:textAlignment w:val="auto"/>
              <w:rPr>
                <w:rFonts w:cs="Arial"/>
                <w:color w:val="000000"/>
                <w:sz w:val="24"/>
                <w:szCs w:val="18"/>
              </w:rPr>
            </w:pPr>
            <w:r w:rsidRPr="006478D7">
              <w:rPr>
                <w:rFonts w:cs="Arial"/>
                <w:color w:val="000000"/>
                <w:sz w:val="24"/>
                <w:szCs w:val="18"/>
              </w:rPr>
              <w:t>Grant Application (includes HUD-91186, SF-424, SF-424 Supplement, SF-LLL, HUD-2880, HUD-96010)</w:t>
            </w:r>
          </w:p>
        </w:tc>
        <w:tc>
          <w:tcPr>
            <w:tcW w:w="1455" w:type="dxa"/>
            <w:tcBorders>
              <w:top w:val="nil"/>
              <w:left w:val="nil"/>
              <w:bottom w:val="single" w:sz="8" w:space="0" w:color="auto"/>
              <w:right w:val="single" w:sz="8" w:space="0" w:color="auto"/>
            </w:tcBorders>
            <w:shd w:val="clear" w:color="auto" w:fill="auto"/>
            <w:vAlign w:val="bottom"/>
            <w:hideMark/>
          </w:tcPr>
          <w:p w:rsidR="00D234A9" w:rsidRPr="006478D7" w:rsidRDefault="00D234A9" w:rsidP="00D234A9">
            <w:pPr>
              <w:overflowPunct/>
              <w:autoSpaceDE/>
              <w:autoSpaceDN/>
              <w:adjustRightInd/>
              <w:jc w:val="right"/>
              <w:textAlignment w:val="auto"/>
              <w:rPr>
                <w:rFonts w:cs="Arial"/>
                <w:color w:val="000000"/>
                <w:sz w:val="24"/>
                <w:szCs w:val="18"/>
              </w:rPr>
            </w:pPr>
            <w:r w:rsidRPr="006478D7">
              <w:rPr>
                <w:rFonts w:cs="Arial"/>
                <w:color w:val="000000"/>
                <w:sz w:val="24"/>
                <w:szCs w:val="18"/>
              </w:rPr>
              <w:t>250</w:t>
            </w:r>
          </w:p>
        </w:tc>
        <w:tc>
          <w:tcPr>
            <w:tcW w:w="1440" w:type="dxa"/>
            <w:tcBorders>
              <w:top w:val="nil"/>
              <w:left w:val="nil"/>
              <w:bottom w:val="single" w:sz="8" w:space="0" w:color="auto"/>
              <w:right w:val="single" w:sz="8" w:space="0" w:color="auto"/>
            </w:tcBorders>
            <w:shd w:val="clear" w:color="auto" w:fill="auto"/>
            <w:vAlign w:val="bottom"/>
            <w:hideMark/>
          </w:tcPr>
          <w:p w:rsidR="00D234A9" w:rsidRPr="006478D7" w:rsidRDefault="00D234A9" w:rsidP="00D234A9">
            <w:pPr>
              <w:overflowPunct/>
              <w:autoSpaceDE/>
              <w:autoSpaceDN/>
              <w:adjustRightInd/>
              <w:jc w:val="center"/>
              <w:textAlignment w:val="auto"/>
              <w:rPr>
                <w:rFonts w:cs="Arial"/>
                <w:color w:val="000000"/>
                <w:sz w:val="24"/>
                <w:szCs w:val="18"/>
              </w:rPr>
            </w:pPr>
            <w:r w:rsidRPr="006478D7">
              <w:rPr>
                <w:rFonts w:cs="Arial"/>
                <w:color w:val="000000"/>
                <w:sz w:val="24"/>
                <w:szCs w:val="18"/>
              </w:rPr>
              <w:t>1</w:t>
            </w:r>
          </w:p>
        </w:tc>
        <w:tc>
          <w:tcPr>
            <w:tcW w:w="1245" w:type="dxa"/>
            <w:tcBorders>
              <w:top w:val="nil"/>
              <w:left w:val="nil"/>
              <w:bottom w:val="single" w:sz="8" w:space="0" w:color="auto"/>
              <w:right w:val="single" w:sz="8" w:space="0" w:color="auto"/>
            </w:tcBorders>
            <w:shd w:val="clear" w:color="auto" w:fill="auto"/>
            <w:vAlign w:val="bottom"/>
            <w:hideMark/>
          </w:tcPr>
          <w:p w:rsidR="00D234A9" w:rsidRPr="006478D7" w:rsidRDefault="00D234A9" w:rsidP="00D234A9">
            <w:pPr>
              <w:overflowPunct/>
              <w:autoSpaceDE/>
              <w:autoSpaceDN/>
              <w:adjustRightInd/>
              <w:jc w:val="right"/>
              <w:textAlignment w:val="auto"/>
              <w:rPr>
                <w:rFonts w:cs="Arial"/>
                <w:color w:val="000000"/>
                <w:sz w:val="24"/>
                <w:szCs w:val="18"/>
              </w:rPr>
            </w:pPr>
            <w:r w:rsidRPr="006478D7">
              <w:rPr>
                <w:rFonts w:cs="Arial"/>
                <w:color w:val="000000"/>
                <w:sz w:val="24"/>
                <w:szCs w:val="18"/>
              </w:rPr>
              <w:t>250</w:t>
            </w:r>
          </w:p>
        </w:tc>
        <w:tc>
          <w:tcPr>
            <w:tcW w:w="1365" w:type="dxa"/>
            <w:tcBorders>
              <w:top w:val="nil"/>
              <w:left w:val="nil"/>
              <w:bottom w:val="single" w:sz="8" w:space="0" w:color="auto"/>
              <w:right w:val="single" w:sz="8" w:space="0" w:color="auto"/>
            </w:tcBorders>
            <w:shd w:val="clear" w:color="auto" w:fill="auto"/>
            <w:vAlign w:val="bottom"/>
            <w:hideMark/>
          </w:tcPr>
          <w:p w:rsidR="00D234A9" w:rsidRPr="006478D7" w:rsidRDefault="00D234A9" w:rsidP="00D234A9">
            <w:pPr>
              <w:overflowPunct/>
              <w:autoSpaceDE/>
              <w:autoSpaceDN/>
              <w:adjustRightInd/>
              <w:jc w:val="right"/>
              <w:textAlignment w:val="auto"/>
              <w:rPr>
                <w:rFonts w:cs="Arial"/>
                <w:color w:val="000000"/>
                <w:sz w:val="24"/>
                <w:szCs w:val="18"/>
              </w:rPr>
            </w:pPr>
            <w:r w:rsidRPr="006478D7">
              <w:rPr>
                <w:rFonts w:cs="Arial"/>
                <w:color w:val="000000"/>
                <w:sz w:val="24"/>
                <w:szCs w:val="18"/>
              </w:rPr>
              <w:t>40</w:t>
            </w:r>
          </w:p>
        </w:tc>
        <w:tc>
          <w:tcPr>
            <w:tcW w:w="1800" w:type="dxa"/>
            <w:tcBorders>
              <w:top w:val="nil"/>
              <w:left w:val="nil"/>
              <w:bottom w:val="single" w:sz="8" w:space="0" w:color="auto"/>
              <w:right w:val="single" w:sz="8" w:space="0" w:color="auto"/>
            </w:tcBorders>
            <w:shd w:val="clear" w:color="auto" w:fill="auto"/>
            <w:vAlign w:val="bottom"/>
            <w:hideMark/>
          </w:tcPr>
          <w:p w:rsidR="00D234A9" w:rsidRPr="006478D7" w:rsidRDefault="00D234A9" w:rsidP="00D234A9">
            <w:pPr>
              <w:overflowPunct/>
              <w:autoSpaceDE/>
              <w:autoSpaceDN/>
              <w:adjustRightInd/>
              <w:jc w:val="right"/>
              <w:textAlignment w:val="auto"/>
              <w:rPr>
                <w:rFonts w:cs="Arial"/>
                <w:color w:val="000000"/>
                <w:sz w:val="24"/>
                <w:szCs w:val="18"/>
              </w:rPr>
            </w:pPr>
            <w:r w:rsidRPr="006478D7">
              <w:rPr>
                <w:rFonts w:cs="Arial"/>
                <w:color w:val="000000"/>
                <w:sz w:val="24"/>
                <w:szCs w:val="18"/>
              </w:rPr>
              <w:t>10,000</w:t>
            </w:r>
          </w:p>
        </w:tc>
      </w:tr>
      <w:tr w:rsidR="00D234A9" w:rsidRPr="006478D7" w:rsidTr="009B0AEA">
        <w:trPr>
          <w:trHeight w:val="750"/>
        </w:trPr>
        <w:tc>
          <w:tcPr>
            <w:tcW w:w="2160" w:type="dxa"/>
            <w:tcBorders>
              <w:top w:val="nil"/>
              <w:left w:val="single" w:sz="8" w:space="0" w:color="auto"/>
              <w:bottom w:val="single" w:sz="8" w:space="0" w:color="auto"/>
              <w:right w:val="single" w:sz="8" w:space="0" w:color="auto"/>
            </w:tcBorders>
            <w:shd w:val="clear" w:color="auto" w:fill="auto"/>
            <w:vAlign w:val="bottom"/>
            <w:hideMark/>
          </w:tcPr>
          <w:p w:rsidR="00D234A9" w:rsidRPr="006478D7" w:rsidRDefault="00D234A9" w:rsidP="00D234A9">
            <w:pPr>
              <w:overflowPunct/>
              <w:autoSpaceDE/>
              <w:autoSpaceDN/>
              <w:adjustRightInd/>
              <w:textAlignment w:val="auto"/>
              <w:rPr>
                <w:rFonts w:cs="Arial"/>
                <w:color w:val="000000"/>
                <w:sz w:val="24"/>
                <w:szCs w:val="18"/>
              </w:rPr>
            </w:pPr>
            <w:r w:rsidRPr="006478D7">
              <w:rPr>
                <w:rFonts w:cs="Arial"/>
                <w:color w:val="000000"/>
                <w:sz w:val="24"/>
                <w:szCs w:val="18"/>
              </w:rPr>
              <w:t>Grant Agreement</w:t>
            </w:r>
          </w:p>
        </w:tc>
        <w:tc>
          <w:tcPr>
            <w:tcW w:w="1455" w:type="dxa"/>
            <w:tcBorders>
              <w:top w:val="nil"/>
              <w:left w:val="nil"/>
              <w:bottom w:val="single" w:sz="8" w:space="0" w:color="auto"/>
              <w:right w:val="single" w:sz="8" w:space="0" w:color="auto"/>
            </w:tcBorders>
            <w:shd w:val="clear" w:color="auto" w:fill="auto"/>
            <w:vAlign w:val="bottom"/>
            <w:hideMark/>
          </w:tcPr>
          <w:p w:rsidR="00D234A9" w:rsidRPr="006478D7" w:rsidRDefault="00D234A9" w:rsidP="00D234A9">
            <w:pPr>
              <w:overflowPunct/>
              <w:autoSpaceDE/>
              <w:autoSpaceDN/>
              <w:adjustRightInd/>
              <w:jc w:val="right"/>
              <w:textAlignment w:val="auto"/>
              <w:rPr>
                <w:rFonts w:cs="Arial"/>
                <w:color w:val="000000"/>
                <w:sz w:val="24"/>
                <w:szCs w:val="18"/>
              </w:rPr>
            </w:pPr>
            <w:r w:rsidRPr="006478D7">
              <w:rPr>
                <w:rFonts w:cs="Arial"/>
                <w:color w:val="000000"/>
                <w:sz w:val="24"/>
                <w:szCs w:val="18"/>
              </w:rPr>
              <w:t>100</w:t>
            </w:r>
          </w:p>
        </w:tc>
        <w:tc>
          <w:tcPr>
            <w:tcW w:w="1440" w:type="dxa"/>
            <w:tcBorders>
              <w:top w:val="nil"/>
              <w:left w:val="nil"/>
              <w:bottom w:val="single" w:sz="8" w:space="0" w:color="auto"/>
              <w:right w:val="single" w:sz="8" w:space="0" w:color="auto"/>
            </w:tcBorders>
            <w:shd w:val="clear" w:color="000000" w:fill="FFFF99"/>
            <w:vAlign w:val="bottom"/>
            <w:hideMark/>
          </w:tcPr>
          <w:p w:rsidR="00D234A9" w:rsidRPr="006478D7" w:rsidRDefault="00D234A9" w:rsidP="00D234A9">
            <w:pPr>
              <w:overflowPunct/>
              <w:autoSpaceDE/>
              <w:autoSpaceDN/>
              <w:adjustRightInd/>
              <w:jc w:val="center"/>
              <w:textAlignment w:val="auto"/>
              <w:rPr>
                <w:rFonts w:cs="Arial"/>
                <w:color w:val="000000"/>
                <w:sz w:val="24"/>
                <w:szCs w:val="18"/>
              </w:rPr>
            </w:pPr>
            <w:r w:rsidRPr="006478D7">
              <w:rPr>
                <w:rFonts w:cs="Arial"/>
                <w:color w:val="000000"/>
                <w:sz w:val="24"/>
                <w:szCs w:val="18"/>
              </w:rPr>
              <w:t>1</w:t>
            </w:r>
          </w:p>
        </w:tc>
        <w:tc>
          <w:tcPr>
            <w:tcW w:w="1245" w:type="dxa"/>
            <w:tcBorders>
              <w:top w:val="nil"/>
              <w:left w:val="nil"/>
              <w:bottom w:val="single" w:sz="8" w:space="0" w:color="auto"/>
              <w:right w:val="single" w:sz="8" w:space="0" w:color="auto"/>
            </w:tcBorders>
            <w:shd w:val="clear" w:color="auto" w:fill="auto"/>
            <w:vAlign w:val="bottom"/>
            <w:hideMark/>
          </w:tcPr>
          <w:p w:rsidR="00D234A9" w:rsidRPr="006478D7" w:rsidRDefault="00D234A9" w:rsidP="00D234A9">
            <w:pPr>
              <w:overflowPunct/>
              <w:autoSpaceDE/>
              <w:autoSpaceDN/>
              <w:adjustRightInd/>
              <w:jc w:val="right"/>
              <w:textAlignment w:val="auto"/>
              <w:rPr>
                <w:rFonts w:cs="Arial"/>
                <w:color w:val="000000"/>
                <w:sz w:val="24"/>
                <w:szCs w:val="18"/>
              </w:rPr>
            </w:pPr>
            <w:r w:rsidRPr="006478D7">
              <w:rPr>
                <w:rFonts w:cs="Arial"/>
                <w:color w:val="000000"/>
                <w:sz w:val="24"/>
                <w:szCs w:val="18"/>
              </w:rPr>
              <w:t>100</w:t>
            </w:r>
          </w:p>
        </w:tc>
        <w:tc>
          <w:tcPr>
            <w:tcW w:w="1365" w:type="dxa"/>
            <w:tcBorders>
              <w:top w:val="nil"/>
              <w:left w:val="nil"/>
              <w:bottom w:val="single" w:sz="8" w:space="0" w:color="auto"/>
              <w:right w:val="single" w:sz="8" w:space="0" w:color="auto"/>
            </w:tcBorders>
            <w:shd w:val="clear" w:color="000000" w:fill="FFFF99"/>
            <w:vAlign w:val="bottom"/>
            <w:hideMark/>
          </w:tcPr>
          <w:p w:rsidR="00D234A9" w:rsidRPr="006478D7" w:rsidRDefault="00D234A9" w:rsidP="00D234A9">
            <w:pPr>
              <w:overflowPunct/>
              <w:autoSpaceDE/>
              <w:autoSpaceDN/>
              <w:adjustRightInd/>
              <w:jc w:val="right"/>
              <w:textAlignment w:val="auto"/>
              <w:rPr>
                <w:rFonts w:cs="Arial"/>
                <w:color w:val="000000"/>
                <w:sz w:val="24"/>
                <w:szCs w:val="18"/>
              </w:rPr>
            </w:pPr>
            <w:r w:rsidRPr="006478D7">
              <w:rPr>
                <w:rFonts w:cs="Arial"/>
                <w:color w:val="000000"/>
                <w:sz w:val="24"/>
                <w:szCs w:val="18"/>
              </w:rPr>
              <w:t>0.5</w:t>
            </w:r>
          </w:p>
        </w:tc>
        <w:tc>
          <w:tcPr>
            <w:tcW w:w="1800" w:type="dxa"/>
            <w:tcBorders>
              <w:top w:val="nil"/>
              <w:left w:val="nil"/>
              <w:bottom w:val="single" w:sz="8" w:space="0" w:color="auto"/>
              <w:right w:val="single" w:sz="8" w:space="0" w:color="auto"/>
            </w:tcBorders>
            <w:shd w:val="clear" w:color="auto" w:fill="auto"/>
            <w:vAlign w:val="bottom"/>
            <w:hideMark/>
          </w:tcPr>
          <w:p w:rsidR="00D234A9" w:rsidRPr="006478D7" w:rsidRDefault="00D234A9" w:rsidP="00D234A9">
            <w:pPr>
              <w:overflowPunct/>
              <w:autoSpaceDE/>
              <w:autoSpaceDN/>
              <w:adjustRightInd/>
              <w:jc w:val="right"/>
              <w:textAlignment w:val="auto"/>
              <w:rPr>
                <w:rFonts w:cs="Arial"/>
                <w:color w:val="000000"/>
                <w:sz w:val="24"/>
                <w:szCs w:val="18"/>
              </w:rPr>
            </w:pPr>
            <w:r w:rsidRPr="006478D7">
              <w:rPr>
                <w:rFonts w:cs="Arial"/>
                <w:color w:val="000000"/>
                <w:sz w:val="24"/>
                <w:szCs w:val="18"/>
              </w:rPr>
              <w:t>50</w:t>
            </w:r>
          </w:p>
        </w:tc>
      </w:tr>
      <w:tr w:rsidR="00D234A9" w:rsidRPr="006478D7" w:rsidTr="009B0AEA">
        <w:trPr>
          <w:trHeight w:val="1230"/>
        </w:trPr>
        <w:tc>
          <w:tcPr>
            <w:tcW w:w="2160" w:type="dxa"/>
            <w:tcBorders>
              <w:top w:val="nil"/>
              <w:left w:val="single" w:sz="8" w:space="0" w:color="auto"/>
              <w:bottom w:val="single" w:sz="8" w:space="0" w:color="auto"/>
              <w:right w:val="single" w:sz="8" w:space="0" w:color="auto"/>
            </w:tcBorders>
            <w:shd w:val="clear" w:color="auto" w:fill="auto"/>
            <w:vAlign w:val="bottom"/>
            <w:hideMark/>
          </w:tcPr>
          <w:p w:rsidR="00D234A9" w:rsidRPr="006478D7" w:rsidRDefault="00D234A9" w:rsidP="00D234A9">
            <w:pPr>
              <w:overflowPunct/>
              <w:autoSpaceDE/>
              <w:autoSpaceDN/>
              <w:adjustRightInd/>
              <w:textAlignment w:val="auto"/>
              <w:rPr>
                <w:rFonts w:cs="Arial"/>
                <w:color w:val="000000"/>
                <w:sz w:val="24"/>
                <w:szCs w:val="18"/>
              </w:rPr>
            </w:pPr>
            <w:r w:rsidRPr="006478D7">
              <w:rPr>
                <w:rFonts w:cs="Arial"/>
                <w:color w:val="000000"/>
                <w:sz w:val="24"/>
                <w:szCs w:val="18"/>
              </w:rPr>
              <w:lastRenderedPageBreak/>
              <w:t>HUD-96010 Logic Model annually</w:t>
            </w:r>
          </w:p>
        </w:tc>
        <w:tc>
          <w:tcPr>
            <w:tcW w:w="1455" w:type="dxa"/>
            <w:tcBorders>
              <w:top w:val="nil"/>
              <w:left w:val="nil"/>
              <w:bottom w:val="nil"/>
              <w:right w:val="nil"/>
            </w:tcBorders>
            <w:shd w:val="clear" w:color="auto" w:fill="auto"/>
            <w:noWrap/>
            <w:vAlign w:val="bottom"/>
            <w:hideMark/>
          </w:tcPr>
          <w:p w:rsidR="00D234A9" w:rsidRPr="006478D7" w:rsidRDefault="00D234A9" w:rsidP="00D234A9">
            <w:pPr>
              <w:overflowPunct/>
              <w:autoSpaceDE/>
              <w:autoSpaceDN/>
              <w:adjustRightInd/>
              <w:jc w:val="center"/>
              <w:textAlignment w:val="auto"/>
              <w:rPr>
                <w:color w:val="000000"/>
                <w:sz w:val="24"/>
                <w:szCs w:val="22"/>
              </w:rPr>
            </w:pPr>
            <w:r w:rsidRPr="006478D7">
              <w:rPr>
                <w:color w:val="000000"/>
                <w:sz w:val="24"/>
                <w:szCs w:val="22"/>
              </w:rPr>
              <w:t>500</w:t>
            </w:r>
          </w:p>
        </w:tc>
        <w:tc>
          <w:tcPr>
            <w:tcW w:w="1440" w:type="dxa"/>
            <w:tcBorders>
              <w:top w:val="nil"/>
              <w:left w:val="nil"/>
              <w:bottom w:val="single" w:sz="8" w:space="0" w:color="auto"/>
              <w:right w:val="single" w:sz="8" w:space="0" w:color="auto"/>
            </w:tcBorders>
            <w:shd w:val="clear" w:color="auto" w:fill="auto"/>
            <w:vAlign w:val="bottom"/>
            <w:hideMark/>
          </w:tcPr>
          <w:p w:rsidR="00D234A9" w:rsidRPr="006478D7" w:rsidRDefault="00D234A9" w:rsidP="00D234A9">
            <w:pPr>
              <w:overflowPunct/>
              <w:autoSpaceDE/>
              <w:autoSpaceDN/>
              <w:adjustRightInd/>
              <w:jc w:val="center"/>
              <w:textAlignment w:val="auto"/>
              <w:rPr>
                <w:rFonts w:cs="Arial"/>
                <w:color w:val="000000"/>
                <w:sz w:val="24"/>
                <w:szCs w:val="18"/>
              </w:rPr>
            </w:pPr>
            <w:r w:rsidRPr="006478D7">
              <w:rPr>
                <w:rFonts w:cs="Arial"/>
                <w:color w:val="000000"/>
                <w:sz w:val="24"/>
                <w:szCs w:val="18"/>
              </w:rPr>
              <w:t>1</w:t>
            </w:r>
          </w:p>
        </w:tc>
        <w:tc>
          <w:tcPr>
            <w:tcW w:w="1245" w:type="dxa"/>
            <w:tcBorders>
              <w:top w:val="nil"/>
              <w:left w:val="nil"/>
              <w:bottom w:val="single" w:sz="8" w:space="0" w:color="auto"/>
              <w:right w:val="single" w:sz="8" w:space="0" w:color="auto"/>
            </w:tcBorders>
            <w:shd w:val="clear" w:color="auto" w:fill="auto"/>
            <w:vAlign w:val="bottom"/>
            <w:hideMark/>
          </w:tcPr>
          <w:p w:rsidR="00D234A9" w:rsidRPr="006478D7" w:rsidRDefault="00D234A9" w:rsidP="00D234A9">
            <w:pPr>
              <w:overflowPunct/>
              <w:autoSpaceDE/>
              <w:autoSpaceDN/>
              <w:adjustRightInd/>
              <w:jc w:val="right"/>
              <w:textAlignment w:val="auto"/>
              <w:rPr>
                <w:rFonts w:cs="Arial"/>
                <w:color w:val="000000"/>
                <w:sz w:val="24"/>
                <w:szCs w:val="18"/>
              </w:rPr>
            </w:pPr>
            <w:r w:rsidRPr="006478D7">
              <w:rPr>
                <w:rFonts w:cs="Arial"/>
                <w:color w:val="000000"/>
                <w:sz w:val="24"/>
                <w:szCs w:val="18"/>
              </w:rPr>
              <w:t>500</w:t>
            </w:r>
          </w:p>
        </w:tc>
        <w:tc>
          <w:tcPr>
            <w:tcW w:w="1365" w:type="dxa"/>
            <w:tcBorders>
              <w:top w:val="nil"/>
              <w:left w:val="nil"/>
              <w:bottom w:val="single" w:sz="8" w:space="0" w:color="auto"/>
              <w:right w:val="single" w:sz="8" w:space="0" w:color="auto"/>
            </w:tcBorders>
            <w:shd w:val="clear" w:color="auto" w:fill="auto"/>
            <w:vAlign w:val="bottom"/>
            <w:hideMark/>
          </w:tcPr>
          <w:p w:rsidR="00D234A9" w:rsidRPr="006478D7" w:rsidRDefault="00D234A9" w:rsidP="00D234A9">
            <w:pPr>
              <w:overflowPunct/>
              <w:autoSpaceDE/>
              <w:autoSpaceDN/>
              <w:adjustRightInd/>
              <w:jc w:val="right"/>
              <w:textAlignment w:val="auto"/>
              <w:rPr>
                <w:rFonts w:cs="Arial"/>
                <w:color w:val="000000"/>
                <w:sz w:val="24"/>
                <w:szCs w:val="18"/>
              </w:rPr>
            </w:pPr>
            <w:r w:rsidRPr="006478D7">
              <w:rPr>
                <w:rFonts w:cs="Arial"/>
                <w:color w:val="000000"/>
                <w:sz w:val="24"/>
                <w:szCs w:val="18"/>
              </w:rPr>
              <w:t>2</w:t>
            </w:r>
          </w:p>
        </w:tc>
        <w:tc>
          <w:tcPr>
            <w:tcW w:w="1800" w:type="dxa"/>
            <w:tcBorders>
              <w:top w:val="nil"/>
              <w:left w:val="nil"/>
              <w:bottom w:val="single" w:sz="8" w:space="0" w:color="auto"/>
              <w:right w:val="single" w:sz="8" w:space="0" w:color="auto"/>
            </w:tcBorders>
            <w:shd w:val="clear" w:color="auto" w:fill="auto"/>
            <w:vAlign w:val="bottom"/>
            <w:hideMark/>
          </w:tcPr>
          <w:p w:rsidR="00D234A9" w:rsidRPr="006478D7" w:rsidRDefault="00D234A9" w:rsidP="00D234A9">
            <w:pPr>
              <w:overflowPunct/>
              <w:autoSpaceDE/>
              <w:autoSpaceDN/>
              <w:adjustRightInd/>
              <w:jc w:val="right"/>
              <w:textAlignment w:val="auto"/>
              <w:rPr>
                <w:rFonts w:cs="Arial"/>
                <w:color w:val="000000"/>
                <w:sz w:val="24"/>
                <w:szCs w:val="18"/>
              </w:rPr>
            </w:pPr>
            <w:r w:rsidRPr="006478D7">
              <w:rPr>
                <w:rFonts w:cs="Arial"/>
                <w:color w:val="000000"/>
                <w:sz w:val="24"/>
                <w:szCs w:val="18"/>
              </w:rPr>
              <w:t>1,000</w:t>
            </w:r>
          </w:p>
        </w:tc>
      </w:tr>
      <w:tr w:rsidR="00D234A9" w:rsidRPr="006478D7" w:rsidTr="009B0AEA">
        <w:trPr>
          <w:trHeight w:val="1230"/>
        </w:trPr>
        <w:tc>
          <w:tcPr>
            <w:tcW w:w="2160" w:type="dxa"/>
            <w:tcBorders>
              <w:top w:val="nil"/>
              <w:left w:val="single" w:sz="8" w:space="0" w:color="auto"/>
              <w:bottom w:val="single" w:sz="8" w:space="0" w:color="auto"/>
              <w:right w:val="single" w:sz="8" w:space="0" w:color="auto"/>
            </w:tcBorders>
            <w:shd w:val="clear" w:color="auto" w:fill="auto"/>
            <w:vAlign w:val="bottom"/>
            <w:hideMark/>
          </w:tcPr>
          <w:p w:rsidR="00D234A9" w:rsidRPr="006478D7" w:rsidRDefault="00D234A9" w:rsidP="00D234A9">
            <w:pPr>
              <w:overflowPunct/>
              <w:autoSpaceDE/>
              <w:autoSpaceDN/>
              <w:adjustRightInd/>
              <w:textAlignment w:val="auto"/>
              <w:rPr>
                <w:rFonts w:cs="Arial"/>
                <w:color w:val="000000"/>
                <w:sz w:val="24"/>
                <w:szCs w:val="18"/>
              </w:rPr>
            </w:pPr>
            <w:r w:rsidRPr="006478D7">
              <w:rPr>
                <w:rFonts w:cs="Arial"/>
                <w:color w:val="000000"/>
                <w:sz w:val="24"/>
                <w:szCs w:val="18"/>
              </w:rPr>
              <w:t>Grant Extension Request form HUD-91186-A</w:t>
            </w:r>
          </w:p>
        </w:tc>
        <w:tc>
          <w:tcPr>
            <w:tcW w:w="1455" w:type="dxa"/>
            <w:tcBorders>
              <w:top w:val="nil"/>
              <w:left w:val="nil"/>
              <w:bottom w:val="single" w:sz="8" w:space="0" w:color="auto"/>
              <w:right w:val="single" w:sz="8" w:space="0" w:color="auto"/>
            </w:tcBorders>
            <w:shd w:val="clear" w:color="auto" w:fill="auto"/>
            <w:vAlign w:val="bottom"/>
            <w:hideMark/>
          </w:tcPr>
          <w:p w:rsidR="00D234A9" w:rsidRPr="006478D7" w:rsidRDefault="00D234A9" w:rsidP="00D234A9">
            <w:pPr>
              <w:overflowPunct/>
              <w:autoSpaceDE/>
              <w:autoSpaceDN/>
              <w:adjustRightInd/>
              <w:jc w:val="right"/>
              <w:textAlignment w:val="auto"/>
              <w:rPr>
                <w:rFonts w:cs="Arial"/>
                <w:color w:val="000000"/>
                <w:sz w:val="24"/>
                <w:szCs w:val="18"/>
              </w:rPr>
            </w:pPr>
            <w:r w:rsidRPr="006478D7">
              <w:rPr>
                <w:rFonts w:cs="Arial"/>
                <w:color w:val="000000"/>
                <w:sz w:val="24"/>
                <w:szCs w:val="18"/>
              </w:rPr>
              <w:t>1,400</w:t>
            </w:r>
          </w:p>
        </w:tc>
        <w:tc>
          <w:tcPr>
            <w:tcW w:w="1440" w:type="dxa"/>
            <w:tcBorders>
              <w:top w:val="nil"/>
              <w:left w:val="nil"/>
              <w:bottom w:val="single" w:sz="8" w:space="0" w:color="auto"/>
              <w:right w:val="single" w:sz="8" w:space="0" w:color="auto"/>
            </w:tcBorders>
            <w:shd w:val="clear" w:color="auto" w:fill="auto"/>
            <w:vAlign w:val="bottom"/>
            <w:hideMark/>
          </w:tcPr>
          <w:p w:rsidR="00D234A9" w:rsidRPr="006478D7" w:rsidRDefault="00D234A9" w:rsidP="00D234A9">
            <w:pPr>
              <w:overflowPunct/>
              <w:autoSpaceDE/>
              <w:autoSpaceDN/>
              <w:adjustRightInd/>
              <w:jc w:val="center"/>
              <w:textAlignment w:val="auto"/>
              <w:rPr>
                <w:rFonts w:cs="Arial"/>
                <w:color w:val="000000"/>
                <w:sz w:val="24"/>
                <w:szCs w:val="18"/>
              </w:rPr>
            </w:pPr>
            <w:r w:rsidRPr="006478D7">
              <w:rPr>
                <w:rFonts w:cs="Arial"/>
                <w:color w:val="000000"/>
                <w:sz w:val="24"/>
                <w:szCs w:val="18"/>
              </w:rPr>
              <w:t>1</w:t>
            </w:r>
          </w:p>
        </w:tc>
        <w:tc>
          <w:tcPr>
            <w:tcW w:w="1245" w:type="dxa"/>
            <w:tcBorders>
              <w:top w:val="nil"/>
              <w:left w:val="nil"/>
              <w:bottom w:val="single" w:sz="8" w:space="0" w:color="auto"/>
              <w:right w:val="single" w:sz="8" w:space="0" w:color="auto"/>
            </w:tcBorders>
            <w:shd w:val="clear" w:color="auto" w:fill="auto"/>
            <w:vAlign w:val="bottom"/>
            <w:hideMark/>
          </w:tcPr>
          <w:p w:rsidR="00D234A9" w:rsidRPr="006478D7" w:rsidRDefault="00D234A9" w:rsidP="00D234A9">
            <w:pPr>
              <w:overflowPunct/>
              <w:autoSpaceDE/>
              <w:autoSpaceDN/>
              <w:adjustRightInd/>
              <w:jc w:val="right"/>
              <w:textAlignment w:val="auto"/>
              <w:rPr>
                <w:rFonts w:cs="Arial"/>
                <w:color w:val="000000"/>
                <w:sz w:val="24"/>
                <w:szCs w:val="18"/>
              </w:rPr>
            </w:pPr>
            <w:r w:rsidRPr="006478D7">
              <w:rPr>
                <w:rFonts w:cs="Arial"/>
                <w:color w:val="000000"/>
                <w:sz w:val="24"/>
                <w:szCs w:val="18"/>
              </w:rPr>
              <w:t>1400</w:t>
            </w:r>
          </w:p>
        </w:tc>
        <w:tc>
          <w:tcPr>
            <w:tcW w:w="1365" w:type="dxa"/>
            <w:tcBorders>
              <w:top w:val="nil"/>
              <w:left w:val="nil"/>
              <w:bottom w:val="single" w:sz="8" w:space="0" w:color="auto"/>
              <w:right w:val="single" w:sz="8" w:space="0" w:color="auto"/>
            </w:tcBorders>
            <w:shd w:val="clear" w:color="auto" w:fill="auto"/>
            <w:vAlign w:val="bottom"/>
            <w:hideMark/>
          </w:tcPr>
          <w:p w:rsidR="00D234A9" w:rsidRPr="006478D7" w:rsidRDefault="00D234A9" w:rsidP="00D234A9">
            <w:pPr>
              <w:overflowPunct/>
              <w:autoSpaceDE/>
              <w:autoSpaceDN/>
              <w:adjustRightInd/>
              <w:jc w:val="right"/>
              <w:textAlignment w:val="auto"/>
              <w:rPr>
                <w:rFonts w:cs="Arial"/>
                <w:color w:val="000000"/>
                <w:sz w:val="24"/>
                <w:szCs w:val="18"/>
              </w:rPr>
            </w:pPr>
            <w:r w:rsidRPr="006478D7">
              <w:rPr>
                <w:rFonts w:cs="Arial"/>
                <w:color w:val="000000"/>
                <w:sz w:val="24"/>
                <w:szCs w:val="18"/>
              </w:rPr>
              <w:t>2</w:t>
            </w:r>
          </w:p>
        </w:tc>
        <w:tc>
          <w:tcPr>
            <w:tcW w:w="1800" w:type="dxa"/>
            <w:tcBorders>
              <w:top w:val="nil"/>
              <w:left w:val="nil"/>
              <w:bottom w:val="single" w:sz="8" w:space="0" w:color="auto"/>
              <w:right w:val="single" w:sz="8" w:space="0" w:color="auto"/>
            </w:tcBorders>
            <w:shd w:val="clear" w:color="auto" w:fill="auto"/>
            <w:vAlign w:val="bottom"/>
            <w:hideMark/>
          </w:tcPr>
          <w:p w:rsidR="00D234A9" w:rsidRPr="006478D7" w:rsidRDefault="00D234A9" w:rsidP="00D234A9">
            <w:pPr>
              <w:overflowPunct/>
              <w:autoSpaceDE/>
              <w:autoSpaceDN/>
              <w:adjustRightInd/>
              <w:jc w:val="right"/>
              <w:textAlignment w:val="auto"/>
              <w:rPr>
                <w:rFonts w:cs="Arial"/>
                <w:color w:val="000000"/>
                <w:sz w:val="24"/>
                <w:szCs w:val="18"/>
              </w:rPr>
            </w:pPr>
            <w:r w:rsidRPr="006478D7">
              <w:rPr>
                <w:rFonts w:cs="Arial"/>
                <w:color w:val="000000"/>
                <w:sz w:val="24"/>
                <w:szCs w:val="18"/>
              </w:rPr>
              <w:t>2,800</w:t>
            </w:r>
          </w:p>
        </w:tc>
      </w:tr>
      <w:tr w:rsidR="00D234A9" w:rsidRPr="006478D7" w:rsidTr="009B0AEA">
        <w:trPr>
          <w:trHeight w:val="1230"/>
        </w:trPr>
        <w:tc>
          <w:tcPr>
            <w:tcW w:w="2160" w:type="dxa"/>
            <w:tcBorders>
              <w:top w:val="nil"/>
              <w:left w:val="single" w:sz="8" w:space="0" w:color="auto"/>
              <w:bottom w:val="single" w:sz="8" w:space="0" w:color="auto"/>
              <w:right w:val="single" w:sz="8" w:space="0" w:color="auto"/>
            </w:tcBorders>
            <w:shd w:val="clear" w:color="auto" w:fill="auto"/>
            <w:vAlign w:val="bottom"/>
            <w:hideMark/>
          </w:tcPr>
          <w:p w:rsidR="00D234A9" w:rsidRPr="006478D7" w:rsidRDefault="00D234A9" w:rsidP="00D234A9">
            <w:pPr>
              <w:overflowPunct/>
              <w:autoSpaceDE/>
              <w:autoSpaceDN/>
              <w:adjustRightInd/>
              <w:textAlignment w:val="auto"/>
              <w:rPr>
                <w:rFonts w:cs="Arial"/>
                <w:color w:val="000000"/>
                <w:sz w:val="24"/>
                <w:szCs w:val="18"/>
              </w:rPr>
            </w:pPr>
            <w:r w:rsidRPr="006478D7">
              <w:rPr>
                <w:rFonts w:cs="Arial"/>
                <w:color w:val="000000"/>
                <w:sz w:val="24"/>
                <w:szCs w:val="18"/>
              </w:rPr>
              <w:t>Performance Report HUD-92456</w:t>
            </w:r>
          </w:p>
        </w:tc>
        <w:tc>
          <w:tcPr>
            <w:tcW w:w="1455" w:type="dxa"/>
            <w:tcBorders>
              <w:top w:val="nil"/>
              <w:left w:val="nil"/>
              <w:bottom w:val="single" w:sz="8" w:space="0" w:color="auto"/>
              <w:right w:val="single" w:sz="8" w:space="0" w:color="auto"/>
            </w:tcBorders>
            <w:shd w:val="clear" w:color="auto" w:fill="auto"/>
            <w:vAlign w:val="bottom"/>
            <w:hideMark/>
          </w:tcPr>
          <w:p w:rsidR="00D234A9" w:rsidRPr="006478D7" w:rsidRDefault="00D234A9" w:rsidP="00D234A9">
            <w:pPr>
              <w:overflowPunct/>
              <w:autoSpaceDE/>
              <w:autoSpaceDN/>
              <w:adjustRightInd/>
              <w:jc w:val="right"/>
              <w:textAlignment w:val="auto"/>
              <w:rPr>
                <w:rFonts w:cs="Arial"/>
                <w:color w:val="000000"/>
                <w:sz w:val="24"/>
                <w:szCs w:val="18"/>
              </w:rPr>
            </w:pPr>
            <w:r w:rsidRPr="006478D7">
              <w:rPr>
                <w:rFonts w:cs="Arial"/>
                <w:color w:val="000000"/>
                <w:sz w:val="24"/>
                <w:szCs w:val="18"/>
              </w:rPr>
              <w:t>4,300</w:t>
            </w:r>
          </w:p>
        </w:tc>
        <w:tc>
          <w:tcPr>
            <w:tcW w:w="1440" w:type="dxa"/>
            <w:tcBorders>
              <w:top w:val="nil"/>
              <w:left w:val="nil"/>
              <w:bottom w:val="single" w:sz="8" w:space="0" w:color="auto"/>
              <w:right w:val="single" w:sz="8" w:space="0" w:color="auto"/>
            </w:tcBorders>
            <w:shd w:val="clear" w:color="auto" w:fill="auto"/>
            <w:vAlign w:val="bottom"/>
            <w:hideMark/>
          </w:tcPr>
          <w:p w:rsidR="00D234A9" w:rsidRPr="006478D7" w:rsidRDefault="00D234A9" w:rsidP="00D234A9">
            <w:pPr>
              <w:overflowPunct/>
              <w:autoSpaceDE/>
              <w:autoSpaceDN/>
              <w:adjustRightInd/>
              <w:jc w:val="center"/>
              <w:textAlignment w:val="auto"/>
              <w:rPr>
                <w:rFonts w:cs="Arial"/>
                <w:color w:val="000000"/>
                <w:sz w:val="24"/>
                <w:szCs w:val="18"/>
              </w:rPr>
            </w:pPr>
            <w:r w:rsidRPr="006478D7">
              <w:rPr>
                <w:rFonts w:cs="Arial"/>
                <w:color w:val="000000"/>
                <w:sz w:val="24"/>
                <w:szCs w:val="18"/>
              </w:rPr>
              <w:t>2</w:t>
            </w:r>
          </w:p>
        </w:tc>
        <w:tc>
          <w:tcPr>
            <w:tcW w:w="1245" w:type="dxa"/>
            <w:tcBorders>
              <w:top w:val="nil"/>
              <w:left w:val="nil"/>
              <w:bottom w:val="single" w:sz="8" w:space="0" w:color="auto"/>
              <w:right w:val="single" w:sz="8" w:space="0" w:color="auto"/>
            </w:tcBorders>
            <w:shd w:val="clear" w:color="auto" w:fill="auto"/>
            <w:vAlign w:val="bottom"/>
            <w:hideMark/>
          </w:tcPr>
          <w:p w:rsidR="00D234A9" w:rsidRPr="006478D7" w:rsidRDefault="00D234A9" w:rsidP="00D234A9">
            <w:pPr>
              <w:overflowPunct/>
              <w:autoSpaceDE/>
              <w:autoSpaceDN/>
              <w:adjustRightInd/>
              <w:jc w:val="right"/>
              <w:textAlignment w:val="auto"/>
              <w:rPr>
                <w:rFonts w:cs="Arial"/>
                <w:color w:val="000000"/>
                <w:sz w:val="24"/>
                <w:szCs w:val="18"/>
              </w:rPr>
            </w:pPr>
            <w:r w:rsidRPr="006478D7">
              <w:rPr>
                <w:rFonts w:cs="Arial"/>
                <w:color w:val="000000"/>
                <w:sz w:val="24"/>
                <w:szCs w:val="18"/>
              </w:rPr>
              <w:t>8600</w:t>
            </w:r>
          </w:p>
        </w:tc>
        <w:tc>
          <w:tcPr>
            <w:tcW w:w="1365" w:type="dxa"/>
            <w:tcBorders>
              <w:top w:val="nil"/>
              <w:left w:val="nil"/>
              <w:bottom w:val="single" w:sz="8" w:space="0" w:color="auto"/>
              <w:right w:val="single" w:sz="8" w:space="0" w:color="auto"/>
            </w:tcBorders>
            <w:shd w:val="clear" w:color="auto" w:fill="auto"/>
            <w:vAlign w:val="bottom"/>
            <w:hideMark/>
          </w:tcPr>
          <w:p w:rsidR="00D234A9" w:rsidRPr="006478D7" w:rsidRDefault="00D234A9" w:rsidP="00D234A9">
            <w:pPr>
              <w:overflowPunct/>
              <w:autoSpaceDE/>
              <w:autoSpaceDN/>
              <w:adjustRightInd/>
              <w:jc w:val="right"/>
              <w:textAlignment w:val="auto"/>
              <w:rPr>
                <w:rFonts w:cs="Arial"/>
                <w:color w:val="000000"/>
                <w:sz w:val="24"/>
                <w:szCs w:val="18"/>
              </w:rPr>
            </w:pPr>
            <w:r w:rsidRPr="006478D7">
              <w:rPr>
                <w:rFonts w:cs="Arial"/>
                <w:color w:val="000000"/>
                <w:sz w:val="24"/>
                <w:szCs w:val="18"/>
              </w:rPr>
              <w:t>4</w:t>
            </w:r>
          </w:p>
        </w:tc>
        <w:tc>
          <w:tcPr>
            <w:tcW w:w="1800" w:type="dxa"/>
            <w:tcBorders>
              <w:top w:val="nil"/>
              <w:left w:val="nil"/>
              <w:bottom w:val="single" w:sz="8" w:space="0" w:color="auto"/>
              <w:right w:val="single" w:sz="8" w:space="0" w:color="auto"/>
            </w:tcBorders>
            <w:shd w:val="clear" w:color="auto" w:fill="auto"/>
            <w:vAlign w:val="bottom"/>
            <w:hideMark/>
          </w:tcPr>
          <w:p w:rsidR="00D234A9" w:rsidRPr="006478D7" w:rsidRDefault="00D234A9" w:rsidP="00D234A9">
            <w:pPr>
              <w:overflowPunct/>
              <w:autoSpaceDE/>
              <w:autoSpaceDN/>
              <w:adjustRightInd/>
              <w:jc w:val="right"/>
              <w:textAlignment w:val="auto"/>
              <w:rPr>
                <w:rFonts w:cs="Arial"/>
                <w:color w:val="000000"/>
                <w:sz w:val="24"/>
                <w:szCs w:val="18"/>
              </w:rPr>
            </w:pPr>
            <w:r w:rsidRPr="006478D7">
              <w:rPr>
                <w:rFonts w:cs="Arial"/>
                <w:color w:val="000000"/>
                <w:sz w:val="24"/>
                <w:szCs w:val="18"/>
              </w:rPr>
              <w:t>34,400</w:t>
            </w:r>
          </w:p>
        </w:tc>
      </w:tr>
      <w:tr w:rsidR="00D234A9" w:rsidRPr="006478D7" w:rsidTr="009B0AEA">
        <w:trPr>
          <w:trHeight w:val="1470"/>
        </w:trPr>
        <w:tc>
          <w:tcPr>
            <w:tcW w:w="2160" w:type="dxa"/>
            <w:tcBorders>
              <w:top w:val="nil"/>
              <w:left w:val="single" w:sz="8" w:space="0" w:color="auto"/>
              <w:bottom w:val="nil"/>
              <w:right w:val="single" w:sz="8" w:space="0" w:color="auto"/>
            </w:tcBorders>
            <w:shd w:val="clear" w:color="auto" w:fill="auto"/>
            <w:vAlign w:val="bottom"/>
            <w:hideMark/>
          </w:tcPr>
          <w:p w:rsidR="00D234A9" w:rsidRPr="006478D7" w:rsidRDefault="00D234A9" w:rsidP="00D234A9">
            <w:pPr>
              <w:overflowPunct/>
              <w:autoSpaceDE/>
              <w:autoSpaceDN/>
              <w:adjustRightInd/>
              <w:textAlignment w:val="auto"/>
              <w:rPr>
                <w:rFonts w:cs="Arial"/>
                <w:color w:val="000000"/>
                <w:sz w:val="24"/>
                <w:szCs w:val="18"/>
              </w:rPr>
            </w:pPr>
            <w:r w:rsidRPr="006478D7">
              <w:rPr>
                <w:rFonts w:cs="Arial"/>
                <w:color w:val="000000"/>
                <w:sz w:val="24"/>
                <w:szCs w:val="18"/>
              </w:rPr>
              <w:t>LOCCS Payment Voucher HUD-50080-SCMF</w:t>
            </w:r>
          </w:p>
        </w:tc>
        <w:tc>
          <w:tcPr>
            <w:tcW w:w="1455" w:type="dxa"/>
            <w:tcBorders>
              <w:top w:val="nil"/>
              <w:left w:val="nil"/>
              <w:bottom w:val="single" w:sz="8" w:space="0" w:color="auto"/>
              <w:right w:val="single" w:sz="8" w:space="0" w:color="auto"/>
            </w:tcBorders>
            <w:shd w:val="clear" w:color="auto" w:fill="auto"/>
            <w:vAlign w:val="bottom"/>
            <w:hideMark/>
          </w:tcPr>
          <w:p w:rsidR="00D234A9" w:rsidRPr="006478D7" w:rsidRDefault="00D234A9" w:rsidP="00D234A9">
            <w:pPr>
              <w:overflowPunct/>
              <w:autoSpaceDE/>
              <w:autoSpaceDN/>
              <w:adjustRightInd/>
              <w:jc w:val="right"/>
              <w:textAlignment w:val="auto"/>
              <w:rPr>
                <w:rFonts w:cs="Arial"/>
                <w:color w:val="000000"/>
                <w:sz w:val="24"/>
                <w:szCs w:val="18"/>
              </w:rPr>
            </w:pPr>
            <w:r w:rsidRPr="006478D7">
              <w:rPr>
                <w:rFonts w:cs="Arial"/>
                <w:color w:val="000000"/>
                <w:sz w:val="24"/>
                <w:szCs w:val="18"/>
              </w:rPr>
              <w:t>1,870</w:t>
            </w:r>
          </w:p>
        </w:tc>
        <w:tc>
          <w:tcPr>
            <w:tcW w:w="1440" w:type="dxa"/>
            <w:tcBorders>
              <w:top w:val="nil"/>
              <w:left w:val="nil"/>
              <w:bottom w:val="nil"/>
              <w:right w:val="single" w:sz="8" w:space="0" w:color="auto"/>
            </w:tcBorders>
            <w:shd w:val="clear" w:color="auto" w:fill="auto"/>
            <w:vAlign w:val="bottom"/>
            <w:hideMark/>
          </w:tcPr>
          <w:p w:rsidR="00D234A9" w:rsidRPr="006478D7" w:rsidRDefault="00D234A9" w:rsidP="00D234A9">
            <w:pPr>
              <w:overflowPunct/>
              <w:autoSpaceDE/>
              <w:autoSpaceDN/>
              <w:adjustRightInd/>
              <w:jc w:val="center"/>
              <w:textAlignment w:val="auto"/>
              <w:rPr>
                <w:rFonts w:cs="Arial"/>
                <w:color w:val="000000"/>
                <w:sz w:val="24"/>
                <w:szCs w:val="18"/>
              </w:rPr>
            </w:pPr>
            <w:r w:rsidRPr="006478D7">
              <w:rPr>
                <w:rFonts w:cs="Arial"/>
                <w:color w:val="000000"/>
                <w:sz w:val="24"/>
                <w:szCs w:val="18"/>
              </w:rPr>
              <w:t>4</w:t>
            </w:r>
          </w:p>
        </w:tc>
        <w:tc>
          <w:tcPr>
            <w:tcW w:w="1245" w:type="dxa"/>
            <w:tcBorders>
              <w:top w:val="nil"/>
              <w:left w:val="nil"/>
              <w:bottom w:val="single" w:sz="8" w:space="0" w:color="auto"/>
              <w:right w:val="single" w:sz="8" w:space="0" w:color="auto"/>
            </w:tcBorders>
            <w:shd w:val="clear" w:color="auto" w:fill="auto"/>
            <w:vAlign w:val="bottom"/>
            <w:hideMark/>
          </w:tcPr>
          <w:p w:rsidR="00D234A9" w:rsidRPr="006478D7" w:rsidRDefault="00D234A9" w:rsidP="00D234A9">
            <w:pPr>
              <w:overflowPunct/>
              <w:autoSpaceDE/>
              <w:autoSpaceDN/>
              <w:adjustRightInd/>
              <w:jc w:val="right"/>
              <w:textAlignment w:val="auto"/>
              <w:rPr>
                <w:rFonts w:cs="Arial"/>
                <w:color w:val="000000"/>
                <w:sz w:val="24"/>
                <w:szCs w:val="18"/>
              </w:rPr>
            </w:pPr>
            <w:r w:rsidRPr="006478D7">
              <w:rPr>
                <w:rFonts w:cs="Arial"/>
                <w:color w:val="000000"/>
                <w:sz w:val="24"/>
                <w:szCs w:val="18"/>
              </w:rPr>
              <w:t>7480</w:t>
            </w:r>
          </w:p>
        </w:tc>
        <w:tc>
          <w:tcPr>
            <w:tcW w:w="1365" w:type="dxa"/>
            <w:tcBorders>
              <w:top w:val="nil"/>
              <w:left w:val="nil"/>
              <w:bottom w:val="nil"/>
              <w:right w:val="single" w:sz="8" w:space="0" w:color="auto"/>
            </w:tcBorders>
            <w:shd w:val="clear" w:color="auto" w:fill="auto"/>
            <w:vAlign w:val="bottom"/>
            <w:hideMark/>
          </w:tcPr>
          <w:p w:rsidR="00D234A9" w:rsidRPr="006478D7" w:rsidRDefault="00D234A9" w:rsidP="00D234A9">
            <w:pPr>
              <w:overflowPunct/>
              <w:autoSpaceDE/>
              <w:autoSpaceDN/>
              <w:adjustRightInd/>
              <w:jc w:val="right"/>
              <w:textAlignment w:val="auto"/>
              <w:rPr>
                <w:rFonts w:cs="Arial"/>
                <w:color w:val="000000"/>
                <w:sz w:val="24"/>
                <w:szCs w:val="18"/>
              </w:rPr>
            </w:pPr>
            <w:r w:rsidRPr="006478D7">
              <w:rPr>
                <w:rFonts w:cs="Arial"/>
                <w:color w:val="000000"/>
                <w:sz w:val="24"/>
                <w:szCs w:val="18"/>
              </w:rPr>
              <w:t>0.25</w:t>
            </w:r>
          </w:p>
        </w:tc>
        <w:tc>
          <w:tcPr>
            <w:tcW w:w="1800" w:type="dxa"/>
            <w:tcBorders>
              <w:top w:val="nil"/>
              <w:left w:val="nil"/>
              <w:bottom w:val="single" w:sz="8" w:space="0" w:color="auto"/>
              <w:right w:val="single" w:sz="8" w:space="0" w:color="auto"/>
            </w:tcBorders>
            <w:shd w:val="clear" w:color="auto" w:fill="auto"/>
            <w:vAlign w:val="bottom"/>
            <w:hideMark/>
          </w:tcPr>
          <w:p w:rsidR="00D234A9" w:rsidRPr="006478D7" w:rsidRDefault="00D234A9" w:rsidP="00D234A9">
            <w:pPr>
              <w:overflowPunct/>
              <w:autoSpaceDE/>
              <w:autoSpaceDN/>
              <w:adjustRightInd/>
              <w:jc w:val="right"/>
              <w:textAlignment w:val="auto"/>
              <w:rPr>
                <w:rFonts w:cs="Arial"/>
                <w:color w:val="000000"/>
                <w:sz w:val="24"/>
                <w:szCs w:val="18"/>
              </w:rPr>
            </w:pPr>
            <w:r w:rsidRPr="006478D7">
              <w:rPr>
                <w:rFonts w:cs="Arial"/>
                <w:color w:val="000000"/>
                <w:sz w:val="24"/>
                <w:szCs w:val="18"/>
              </w:rPr>
              <w:t>1,870</w:t>
            </w:r>
          </w:p>
        </w:tc>
      </w:tr>
      <w:tr w:rsidR="00D234A9" w:rsidRPr="006478D7" w:rsidTr="009B0AEA">
        <w:trPr>
          <w:trHeight w:val="990"/>
        </w:trPr>
        <w:tc>
          <w:tcPr>
            <w:tcW w:w="2160" w:type="dxa"/>
            <w:tcBorders>
              <w:top w:val="nil"/>
              <w:left w:val="single" w:sz="8" w:space="0" w:color="auto"/>
              <w:bottom w:val="single" w:sz="8" w:space="0" w:color="auto"/>
              <w:right w:val="single" w:sz="8" w:space="0" w:color="auto"/>
            </w:tcBorders>
            <w:shd w:val="clear" w:color="auto" w:fill="auto"/>
            <w:vAlign w:val="bottom"/>
            <w:hideMark/>
          </w:tcPr>
          <w:p w:rsidR="00D234A9" w:rsidRPr="006478D7" w:rsidRDefault="00D234A9" w:rsidP="00D234A9">
            <w:pPr>
              <w:overflowPunct/>
              <w:autoSpaceDE/>
              <w:autoSpaceDN/>
              <w:adjustRightInd/>
              <w:textAlignment w:val="auto"/>
              <w:rPr>
                <w:rFonts w:cs="Arial"/>
                <w:color w:val="000000"/>
                <w:sz w:val="24"/>
                <w:szCs w:val="18"/>
              </w:rPr>
            </w:pPr>
            <w:r w:rsidRPr="006478D7">
              <w:rPr>
                <w:rFonts w:cs="Arial"/>
                <w:color w:val="000000"/>
                <w:sz w:val="24"/>
                <w:szCs w:val="18"/>
              </w:rPr>
              <w:t>Federal Financial Report SF-425</w:t>
            </w:r>
          </w:p>
        </w:tc>
        <w:tc>
          <w:tcPr>
            <w:tcW w:w="1455" w:type="dxa"/>
            <w:tcBorders>
              <w:top w:val="nil"/>
              <w:left w:val="nil"/>
              <w:bottom w:val="single" w:sz="8" w:space="0" w:color="auto"/>
              <w:right w:val="single" w:sz="8" w:space="0" w:color="auto"/>
            </w:tcBorders>
            <w:shd w:val="clear" w:color="auto" w:fill="auto"/>
            <w:vAlign w:val="bottom"/>
            <w:hideMark/>
          </w:tcPr>
          <w:p w:rsidR="00D234A9" w:rsidRPr="006478D7" w:rsidRDefault="00D234A9" w:rsidP="00D234A9">
            <w:pPr>
              <w:overflowPunct/>
              <w:autoSpaceDE/>
              <w:autoSpaceDN/>
              <w:adjustRightInd/>
              <w:jc w:val="right"/>
              <w:textAlignment w:val="auto"/>
              <w:rPr>
                <w:rFonts w:cs="Arial"/>
                <w:color w:val="000000"/>
                <w:sz w:val="24"/>
                <w:szCs w:val="18"/>
              </w:rPr>
            </w:pPr>
            <w:r w:rsidRPr="006478D7">
              <w:rPr>
                <w:rFonts w:cs="Arial"/>
                <w:color w:val="000000"/>
                <w:sz w:val="24"/>
                <w:szCs w:val="18"/>
              </w:rPr>
              <w:t>1,870</w:t>
            </w:r>
          </w:p>
        </w:tc>
        <w:tc>
          <w:tcPr>
            <w:tcW w:w="1440" w:type="dxa"/>
            <w:tcBorders>
              <w:top w:val="nil"/>
              <w:left w:val="nil"/>
              <w:bottom w:val="single" w:sz="8" w:space="0" w:color="auto"/>
              <w:right w:val="single" w:sz="8" w:space="0" w:color="auto"/>
            </w:tcBorders>
            <w:shd w:val="clear" w:color="auto" w:fill="auto"/>
            <w:vAlign w:val="bottom"/>
            <w:hideMark/>
          </w:tcPr>
          <w:p w:rsidR="00D234A9" w:rsidRPr="006478D7" w:rsidRDefault="00D234A9" w:rsidP="00D234A9">
            <w:pPr>
              <w:overflowPunct/>
              <w:autoSpaceDE/>
              <w:autoSpaceDN/>
              <w:adjustRightInd/>
              <w:jc w:val="center"/>
              <w:textAlignment w:val="auto"/>
              <w:rPr>
                <w:rFonts w:cs="Arial"/>
                <w:color w:val="000000"/>
                <w:sz w:val="24"/>
                <w:szCs w:val="18"/>
              </w:rPr>
            </w:pPr>
            <w:r w:rsidRPr="006478D7">
              <w:rPr>
                <w:rFonts w:cs="Arial"/>
                <w:color w:val="000000"/>
                <w:sz w:val="24"/>
                <w:szCs w:val="18"/>
              </w:rPr>
              <w:t>2</w:t>
            </w:r>
          </w:p>
        </w:tc>
        <w:tc>
          <w:tcPr>
            <w:tcW w:w="1245" w:type="dxa"/>
            <w:tcBorders>
              <w:top w:val="nil"/>
              <w:left w:val="nil"/>
              <w:bottom w:val="single" w:sz="8" w:space="0" w:color="auto"/>
              <w:right w:val="single" w:sz="8" w:space="0" w:color="auto"/>
            </w:tcBorders>
            <w:shd w:val="clear" w:color="auto" w:fill="auto"/>
            <w:vAlign w:val="bottom"/>
            <w:hideMark/>
          </w:tcPr>
          <w:p w:rsidR="00D234A9" w:rsidRPr="006478D7" w:rsidRDefault="00D234A9" w:rsidP="00D234A9">
            <w:pPr>
              <w:overflowPunct/>
              <w:autoSpaceDE/>
              <w:autoSpaceDN/>
              <w:adjustRightInd/>
              <w:jc w:val="right"/>
              <w:textAlignment w:val="auto"/>
              <w:rPr>
                <w:rFonts w:cs="Arial"/>
                <w:color w:val="000000"/>
                <w:sz w:val="24"/>
                <w:szCs w:val="18"/>
              </w:rPr>
            </w:pPr>
            <w:r w:rsidRPr="006478D7">
              <w:rPr>
                <w:rFonts w:cs="Arial"/>
                <w:color w:val="000000"/>
                <w:sz w:val="24"/>
                <w:szCs w:val="18"/>
              </w:rPr>
              <w:t>3740</w:t>
            </w:r>
          </w:p>
        </w:tc>
        <w:tc>
          <w:tcPr>
            <w:tcW w:w="1365" w:type="dxa"/>
            <w:tcBorders>
              <w:top w:val="nil"/>
              <w:left w:val="nil"/>
              <w:bottom w:val="single" w:sz="8" w:space="0" w:color="auto"/>
              <w:right w:val="single" w:sz="8" w:space="0" w:color="auto"/>
            </w:tcBorders>
            <w:shd w:val="clear" w:color="auto" w:fill="auto"/>
            <w:vAlign w:val="bottom"/>
            <w:hideMark/>
          </w:tcPr>
          <w:p w:rsidR="00D234A9" w:rsidRPr="006478D7" w:rsidRDefault="00D234A9" w:rsidP="00D234A9">
            <w:pPr>
              <w:overflowPunct/>
              <w:autoSpaceDE/>
              <w:autoSpaceDN/>
              <w:adjustRightInd/>
              <w:jc w:val="right"/>
              <w:textAlignment w:val="auto"/>
              <w:rPr>
                <w:rFonts w:cs="Arial"/>
                <w:color w:val="000000"/>
                <w:sz w:val="24"/>
                <w:szCs w:val="18"/>
              </w:rPr>
            </w:pPr>
            <w:r w:rsidRPr="006478D7">
              <w:rPr>
                <w:rFonts w:cs="Arial"/>
                <w:color w:val="000000"/>
                <w:sz w:val="24"/>
                <w:szCs w:val="18"/>
              </w:rPr>
              <w:t>2</w:t>
            </w:r>
          </w:p>
        </w:tc>
        <w:tc>
          <w:tcPr>
            <w:tcW w:w="1800" w:type="dxa"/>
            <w:tcBorders>
              <w:top w:val="nil"/>
              <w:left w:val="nil"/>
              <w:bottom w:val="single" w:sz="8" w:space="0" w:color="auto"/>
              <w:right w:val="single" w:sz="8" w:space="0" w:color="auto"/>
            </w:tcBorders>
            <w:shd w:val="clear" w:color="auto" w:fill="auto"/>
            <w:vAlign w:val="bottom"/>
            <w:hideMark/>
          </w:tcPr>
          <w:p w:rsidR="00D234A9" w:rsidRPr="006478D7" w:rsidRDefault="00D234A9" w:rsidP="00D234A9">
            <w:pPr>
              <w:overflowPunct/>
              <w:autoSpaceDE/>
              <w:autoSpaceDN/>
              <w:adjustRightInd/>
              <w:jc w:val="right"/>
              <w:textAlignment w:val="auto"/>
              <w:rPr>
                <w:rFonts w:cs="Arial"/>
                <w:color w:val="000000"/>
                <w:sz w:val="24"/>
                <w:szCs w:val="18"/>
              </w:rPr>
            </w:pPr>
            <w:r w:rsidRPr="006478D7">
              <w:rPr>
                <w:rFonts w:cs="Arial"/>
                <w:color w:val="000000"/>
                <w:sz w:val="24"/>
                <w:szCs w:val="18"/>
              </w:rPr>
              <w:t>7,480</w:t>
            </w:r>
          </w:p>
        </w:tc>
      </w:tr>
      <w:tr w:rsidR="00D234A9" w:rsidRPr="006478D7" w:rsidTr="009B0AEA">
        <w:trPr>
          <w:trHeight w:val="315"/>
        </w:trPr>
        <w:tc>
          <w:tcPr>
            <w:tcW w:w="2160" w:type="dxa"/>
            <w:tcBorders>
              <w:top w:val="nil"/>
              <w:left w:val="single" w:sz="8" w:space="0" w:color="auto"/>
              <w:bottom w:val="nil"/>
              <w:right w:val="single" w:sz="8" w:space="0" w:color="auto"/>
            </w:tcBorders>
            <w:shd w:val="clear" w:color="auto" w:fill="auto"/>
            <w:vAlign w:val="bottom"/>
            <w:hideMark/>
          </w:tcPr>
          <w:p w:rsidR="00D234A9" w:rsidRPr="006478D7" w:rsidRDefault="00D234A9" w:rsidP="00D234A9">
            <w:pPr>
              <w:overflowPunct/>
              <w:autoSpaceDE/>
              <w:autoSpaceDN/>
              <w:adjustRightInd/>
              <w:textAlignment w:val="auto"/>
              <w:rPr>
                <w:rFonts w:cs="Arial"/>
                <w:b/>
                <w:bCs/>
                <w:color w:val="000000"/>
                <w:sz w:val="24"/>
                <w:szCs w:val="18"/>
              </w:rPr>
            </w:pPr>
            <w:r w:rsidRPr="006478D7">
              <w:rPr>
                <w:rFonts w:cs="Arial"/>
                <w:b/>
                <w:bCs/>
                <w:color w:val="000000"/>
                <w:sz w:val="24"/>
                <w:szCs w:val="18"/>
              </w:rPr>
              <w:t>Totals</w:t>
            </w:r>
          </w:p>
        </w:tc>
        <w:tc>
          <w:tcPr>
            <w:tcW w:w="1455" w:type="dxa"/>
            <w:tcBorders>
              <w:top w:val="nil"/>
              <w:left w:val="nil"/>
              <w:bottom w:val="nil"/>
              <w:right w:val="single" w:sz="8" w:space="0" w:color="auto"/>
            </w:tcBorders>
            <w:shd w:val="clear" w:color="auto" w:fill="auto"/>
            <w:vAlign w:val="bottom"/>
            <w:hideMark/>
          </w:tcPr>
          <w:p w:rsidR="00D234A9" w:rsidRPr="006478D7" w:rsidRDefault="00D234A9" w:rsidP="00D234A9">
            <w:pPr>
              <w:overflowPunct/>
              <w:autoSpaceDE/>
              <w:autoSpaceDN/>
              <w:adjustRightInd/>
              <w:jc w:val="right"/>
              <w:textAlignment w:val="auto"/>
              <w:rPr>
                <w:rFonts w:cs="Arial"/>
                <w:b/>
                <w:bCs/>
                <w:color w:val="000000"/>
                <w:sz w:val="24"/>
                <w:szCs w:val="18"/>
              </w:rPr>
            </w:pPr>
            <w:r w:rsidRPr="006478D7">
              <w:rPr>
                <w:rFonts w:cs="Arial"/>
                <w:b/>
                <w:bCs/>
                <w:color w:val="000000"/>
                <w:sz w:val="24"/>
                <w:szCs w:val="18"/>
              </w:rPr>
              <w:t>10,290</w:t>
            </w:r>
          </w:p>
        </w:tc>
        <w:tc>
          <w:tcPr>
            <w:tcW w:w="1440" w:type="dxa"/>
            <w:tcBorders>
              <w:top w:val="nil"/>
              <w:left w:val="nil"/>
              <w:bottom w:val="nil"/>
              <w:right w:val="single" w:sz="8" w:space="0" w:color="auto"/>
            </w:tcBorders>
            <w:shd w:val="clear" w:color="auto" w:fill="auto"/>
            <w:vAlign w:val="bottom"/>
            <w:hideMark/>
          </w:tcPr>
          <w:p w:rsidR="00D234A9" w:rsidRPr="006478D7" w:rsidRDefault="00D234A9" w:rsidP="00D234A9">
            <w:pPr>
              <w:overflowPunct/>
              <w:autoSpaceDE/>
              <w:autoSpaceDN/>
              <w:adjustRightInd/>
              <w:jc w:val="right"/>
              <w:textAlignment w:val="auto"/>
              <w:rPr>
                <w:rFonts w:cs="Arial"/>
                <w:b/>
                <w:bCs/>
                <w:color w:val="000000"/>
                <w:sz w:val="24"/>
                <w:szCs w:val="18"/>
              </w:rPr>
            </w:pPr>
            <w:r w:rsidRPr="006478D7">
              <w:rPr>
                <w:rFonts w:cs="Arial"/>
                <w:b/>
                <w:bCs/>
                <w:color w:val="000000"/>
                <w:sz w:val="24"/>
                <w:szCs w:val="18"/>
              </w:rPr>
              <w:t xml:space="preserve"> </w:t>
            </w:r>
          </w:p>
        </w:tc>
        <w:tc>
          <w:tcPr>
            <w:tcW w:w="1245" w:type="dxa"/>
            <w:tcBorders>
              <w:top w:val="nil"/>
              <w:left w:val="nil"/>
              <w:bottom w:val="nil"/>
              <w:right w:val="single" w:sz="8" w:space="0" w:color="auto"/>
            </w:tcBorders>
            <w:shd w:val="clear" w:color="auto" w:fill="auto"/>
            <w:vAlign w:val="bottom"/>
            <w:hideMark/>
          </w:tcPr>
          <w:p w:rsidR="00D234A9" w:rsidRPr="006478D7" w:rsidRDefault="00D234A9" w:rsidP="00D234A9">
            <w:pPr>
              <w:overflowPunct/>
              <w:autoSpaceDE/>
              <w:autoSpaceDN/>
              <w:adjustRightInd/>
              <w:jc w:val="right"/>
              <w:textAlignment w:val="auto"/>
              <w:rPr>
                <w:rFonts w:cs="Arial"/>
                <w:b/>
                <w:bCs/>
                <w:color w:val="000000"/>
                <w:sz w:val="24"/>
                <w:szCs w:val="18"/>
              </w:rPr>
            </w:pPr>
            <w:r w:rsidRPr="006478D7">
              <w:rPr>
                <w:rFonts w:cs="Arial"/>
                <w:b/>
                <w:bCs/>
                <w:color w:val="000000"/>
                <w:sz w:val="24"/>
                <w:szCs w:val="18"/>
              </w:rPr>
              <w:t>22,070</w:t>
            </w:r>
          </w:p>
        </w:tc>
        <w:tc>
          <w:tcPr>
            <w:tcW w:w="1365" w:type="dxa"/>
            <w:tcBorders>
              <w:top w:val="nil"/>
              <w:left w:val="nil"/>
              <w:bottom w:val="nil"/>
              <w:right w:val="single" w:sz="8" w:space="0" w:color="auto"/>
            </w:tcBorders>
            <w:shd w:val="clear" w:color="auto" w:fill="auto"/>
            <w:vAlign w:val="bottom"/>
            <w:hideMark/>
          </w:tcPr>
          <w:p w:rsidR="00D234A9" w:rsidRPr="006478D7" w:rsidRDefault="00D234A9" w:rsidP="00D234A9">
            <w:pPr>
              <w:overflowPunct/>
              <w:autoSpaceDE/>
              <w:autoSpaceDN/>
              <w:adjustRightInd/>
              <w:jc w:val="right"/>
              <w:textAlignment w:val="auto"/>
              <w:rPr>
                <w:rFonts w:cs="Arial"/>
                <w:b/>
                <w:bCs/>
                <w:color w:val="000000"/>
                <w:sz w:val="24"/>
                <w:szCs w:val="18"/>
              </w:rPr>
            </w:pPr>
            <w:r w:rsidRPr="006478D7">
              <w:rPr>
                <w:rFonts w:cs="Arial"/>
                <w:b/>
                <w:bCs/>
                <w:color w:val="000000"/>
                <w:sz w:val="24"/>
                <w:szCs w:val="18"/>
              </w:rPr>
              <w:t xml:space="preserve"> </w:t>
            </w:r>
          </w:p>
        </w:tc>
        <w:tc>
          <w:tcPr>
            <w:tcW w:w="1800" w:type="dxa"/>
            <w:tcBorders>
              <w:top w:val="nil"/>
              <w:left w:val="nil"/>
              <w:bottom w:val="nil"/>
              <w:right w:val="single" w:sz="8" w:space="0" w:color="auto"/>
            </w:tcBorders>
            <w:shd w:val="clear" w:color="auto" w:fill="auto"/>
            <w:vAlign w:val="bottom"/>
            <w:hideMark/>
          </w:tcPr>
          <w:p w:rsidR="00D234A9" w:rsidRPr="006478D7" w:rsidRDefault="00E50155" w:rsidP="00D234A9">
            <w:pPr>
              <w:overflowPunct/>
              <w:autoSpaceDE/>
              <w:autoSpaceDN/>
              <w:adjustRightInd/>
              <w:jc w:val="right"/>
              <w:textAlignment w:val="auto"/>
              <w:rPr>
                <w:rFonts w:cs="Arial"/>
                <w:b/>
                <w:bCs/>
                <w:color w:val="000000"/>
                <w:sz w:val="24"/>
                <w:szCs w:val="18"/>
              </w:rPr>
            </w:pPr>
            <w:r>
              <w:rPr>
                <w:rFonts w:cs="Arial"/>
                <w:b/>
                <w:bCs/>
                <w:color w:val="000000"/>
                <w:sz w:val="24"/>
                <w:szCs w:val="18"/>
              </w:rPr>
              <w:t>74,800</w:t>
            </w:r>
          </w:p>
        </w:tc>
      </w:tr>
      <w:tr w:rsidR="00E50155" w:rsidRPr="006478D7" w:rsidTr="009B0AEA">
        <w:trPr>
          <w:trHeight w:val="315"/>
        </w:trPr>
        <w:tc>
          <w:tcPr>
            <w:tcW w:w="2160" w:type="dxa"/>
            <w:tcBorders>
              <w:top w:val="nil"/>
              <w:left w:val="single" w:sz="8" w:space="0" w:color="auto"/>
              <w:bottom w:val="single" w:sz="8" w:space="0" w:color="auto"/>
              <w:right w:val="single" w:sz="8" w:space="0" w:color="auto"/>
            </w:tcBorders>
            <w:shd w:val="clear" w:color="auto" w:fill="auto"/>
            <w:vAlign w:val="bottom"/>
          </w:tcPr>
          <w:p w:rsidR="00E50155" w:rsidRPr="006478D7" w:rsidRDefault="00E50155" w:rsidP="00D234A9">
            <w:pPr>
              <w:overflowPunct/>
              <w:autoSpaceDE/>
              <w:autoSpaceDN/>
              <w:adjustRightInd/>
              <w:textAlignment w:val="auto"/>
              <w:rPr>
                <w:rFonts w:cs="Arial"/>
                <w:b/>
                <w:bCs/>
                <w:color w:val="000000"/>
                <w:sz w:val="24"/>
                <w:szCs w:val="18"/>
              </w:rPr>
            </w:pPr>
          </w:p>
        </w:tc>
        <w:tc>
          <w:tcPr>
            <w:tcW w:w="1455" w:type="dxa"/>
            <w:tcBorders>
              <w:top w:val="nil"/>
              <w:left w:val="nil"/>
              <w:bottom w:val="single" w:sz="8" w:space="0" w:color="auto"/>
              <w:right w:val="single" w:sz="8" w:space="0" w:color="auto"/>
            </w:tcBorders>
            <w:shd w:val="clear" w:color="auto" w:fill="auto"/>
            <w:vAlign w:val="bottom"/>
          </w:tcPr>
          <w:p w:rsidR="00E50155" w:rsidRPr="006478D7" w:rsidRDefault="00E50155" w:rsidP="00D234A9">
            <w:pPr>
              <w:overflowPunct/>
              <w:autoSpaceDE/>
              <w:autoSpaceDN/>
              <w:adjustRightInd/>
              <w:jc w:val="right"/>
              <w:textAlignment w:val="auto"/>
              <w:rPr>
                <w:rFonts w:cs="Arial"/>
                <w:b/>
                <w:bCs/>
                <w:color w:val="000000"/>
                <w:sz w:val="24"/>
                <w:szCs w:val="18"/>
              </w:rPr>
            </w:pPr>
          </w:p>
        </w:tc>
        <w:tc>
          <w:tcPr>
            <w:tcW w:w="1440" w:type="dxa"/>
            <w:tcBorders>
              <w:top w:val="nil"/>
              <w:left w:val="nil"/>
              <w:bottom w:val="single" w:sz="8" w:space="0" w:color="auto"/>
              <w:right w:val="single" w:sz="8" w:space="0" w:color="auto"/>
            </w:tcBorders>
            <w:shd w:val="clear" w:color="auto" w:fill="auto"/>
            <w:vAlign w:val="bottom"/>
          </w:tcPr>
          <w:p w:rsidR="00E50155" w:rsidRPr="006478D7" w:rsidRDefault="00E50155" w:rsidP="00D234A9">
            <w:pPr>
              <w:overflowPunct/>
              <w:autoSpaceDE/>
              <w:autoSpaceDN/>
              <w:adjustRightInd/>
              <w:jc w:val="right"/>
              <w:textAlignment w:val="auto"/>
              <w:rPr>
                <w:rFonts w:cs="Arial"/>
                <w:b/>
                <w:bCs/>
                <w:color w:val="000000"/>
                <w:sz w:val="24"/>
                <w:szCs w:val="18"/>
              </w:rPr>
            </w:pPr>
          </w:p>
        </w:tc>
        <w:tc>
          <w:tcPr>
            <w:tcW w:w="1245" w:type="dxa"/>
            <w:tcBorders>
              <w:top w:val="nil"/>
              <w:left w:val="nil"/>
              <w:bottom w:val="single" w:sz="8" w:space="0" w:color="auto"/>
              <w:right w:val="single" w:sz="8" w:space="0" w:color="auto"/>
            </w:tcBorders>
            <w:shd w:val="clear" w:color="auto" w:fill="auto"/>
            <w:vAlign w:val="bottom"/>
          </w:tcPr>
          <w:p w:rsidR="00E50155" w:rsidRPr="006478D7" w:rsidRDefault="00E50155" w:rsidP="00D234A9">
            <w:pPr>
              <w:overflowPunct/>
              <w:autoSpaceDE/>
              <w:autoSpaceDN/>
              <w:adjustRightInd/>
              <w:jc w:val="right"/>
              <w:textAlignment w:val="auto"/>
              <w:rPr>
                <w:rFonts w:cs="Arial"/>
                <w:b/>
                <w:bCs/>
                <w:color w:val="000000"/>
                <w:sz w:val="24"/>
                <w:szCs w:val="18"/>
              </w:rPr>
            </w:pPr>
          </w:p>
        </w:tc>
        <w:tc>
          <w:tcPr>
            <w:tcW w:w="1365" w:type="dxa"/>
            <w:tcBorders>
              <w:top w:val="nil"/>
              <w:left w:val="nil"/>
              <w:bottom w:val="single" w:sz="8" w:space="0" w:color="auto"/>
              <w:right w:val="single" w:sz="8" w:space="0" w:color="auto"/>
            </w:tcBorders>
            <w:shd w:val="clear" w:color="auto" w:fill="auto"/>
            <w:vAlign w:val="bottom"/>
          </w:tcPr>
          <w:p w:rsidR="00E50155" w:rsidRPr="006478D7" w:rsidRDefault="00E50155" w:rsidP="00D234A9">
            <w:pPr>
              <w:overflowPunct/>
              <w:autoSpaceDE/>
              <w:autoSpaceDN/>
              <w:adjustRightInd/>
              <w:jc w:val="right"/>
              <w:textAlignment w:val="auto"/>
              <w:rPr>
                <w:rFonts w:cs="Arial"/>
                <w:b/>
                <w:bCs/>
                <w:color w:val="000000"/>
                <w:sz w:val="24"/>
                <w:szCs w:val="18"/>
              </w:rPr>
            </w:pPr>
          </w:p>
        </w:tc>
        <w:tc>
          <w:tcPr>
            <w:tcW w:w="1800" w:type="dxa"/>
            <w:tcBorders>
              <w:top w:val="nil"/>
              <w:left w:val="nil"/>
              <w:bottom w:val="single" w:sz="8" w:space="0" w:color="auto"/>
              <w:right w:val="single" w:sz="8" w:space="0" w:color="auto"/>
            </w:tcBorders>
            <w:shd w:val="clear" w:color="auto" w:fill="auto"/>
            <w:vAlign w:val="bottom"/>
          </w:tcPr>
          <w:p w:rsidR="00E50155" w:rsidRDefault="00E50155" w:rsidP="00D234A9">
            <w:pPr>
              <w:overflowPunct/>
              <w:autoSpaceDE/>
              <w:autoSpaceDN/>
              <w:adjustRightInd/>
              <w:jc w:val="right"/>
              <w:textAlignment w:val="auto"/>
              <w:rPr>
                <w:rFonts w:cs="Arial"/>
                <w:b/>
                <w:bCs/>
                <w:color w:val="000000"/>
                <w:sz w:val="24"/>
                <w:szCs w:val="18"/>
              </w:rPr>
            </w:pPr>
          </w:p>
        </w:tc>
      </w:tr>
    </w:tbl>
    <w:p w:rsidR="00D234A9" w:rsidRPr="006478D7" w:rsidRDefault="00D234A9" w:rsidP="00C44B3B">
      <w:pPr>
        <w:rPr>
          <w:sz w:val="24"/>
        </w:rPr>
      </w:pPr>
    </w:p>
    <w:p w:rsidR="00C44B3B" w:rsidRPr="006478D7" w:rsidRDefault="00C44B3B" w:rsidP="00C44B3B">
      <w:pPr>
        <w:rPr>
          <w:sz w:val="24"/>
        </w:rPr>
      </w:pPr>
      <w:r w:rsidRPr="006478D7">
        <w:rPr>
          <w:sz w:val="24"/>
        </w:rPr>
        <w:t>The estimated number of burden hours is based on experience and also discussions with Service Coordinators, their supervisors, and industry advocates.</w:t>
      </w:r>
    </w:p>
    <w:p w:rsidR="00C44B3B" w:rsidRPr="006478D7" w:rsidRDefault="00C44B3B" w:rsidP="00C44B3B">
      <w:pPr>
        <w:rPr>
          <w:sz w:val="24"/>
        </w:rPr>
      </w:pPr>
      <w:r w:rsidRPr="006478D7">
        <w:rPr>
          <w:sz w:val="24"/>
        </w:rPr>
        <w:t xml:space="preserve">The hourly cost is based on an average annual salary for Service Coordinators of $40,000 and an owner of almost $80,000.  </w:t>
      </w:r>
    </w:p>
    <w:p w:rsidR="00C44B3B" w:rsidRPr="006478D7" w:rsidRDefault="00C44B3B" w:rsidP="00C44B3B">
      <w:pPr>
        <w:rPr>
          <w:sz w:val="24"/>
        </w:rPr>
      </w:pPr>
      <w:r w:rsidRPr="006478D7">
        <w:rPr>
          <w:sz w:val="24"/>
        </w:rPr>
        <w:t>The estimated respondents are increasing because of increased appropriations and the amount of programs funded with project funds (i.e. rent subsidies).</w:t>
      </w:r>
    </w:p>
    <w:p w:rsidR="00C44B3B" w:rsidRPr="006478D7" w:rsidRDefault="00C44B3B" w:rsidP="00C44B3B">
      <w:pPr>
        <w:rPr>
          <w:sz w:val="24"/>
        </w:rPr>
      </w:pPr>
    </w:p>
    <w:p w:rsidR="00324D67" w:rsidRPr="006478D7" w:rsidRDefault="00C44B3B" w:rsidP="00324D67">
      <w:pPr>
        <w:rPr>
          <w:sz w:val="24"/>
        </w:rPr>
      </w:pPr>
      <w:r w:rsidRPr="006478D7">
        <w:rPr>
          <w:sz w:val="24"/>
        </w:rPr>
        <w:t>1</w:t>
      </w:r>
      <w:r w:rsidR="00324D67" w:rsidRPr="006478D7">
        <w:rPr>
          <w:sz w:val="24"/>
        </w:rPr>
        <w:t>3.</w:t>
      </w:r>
      <w:r w:rsidR="00324D67" w:rsidRPr="006478D7">
        <w:rPr>
          <w:sz w:val="24"/>
        </w:rPr>
        <w:tab/>
        <w:t xml:space="preserve">Provide an estimate for the total annual cost burden to respondents or </w:t>
      </w:r>
      <w:proofErr w:type="spellStart"/>
      <w:r w:rsidR="00324D67" w:rsidRPr="006478D7">
        <w:rPr>
          <w:sz w:val="24"/>
        </w:rPr>
        <w:t>recordkeepers</w:t>
      </w:r>
      <w:proofErr w:type="spellEnd"/>
      <w:r w:rsidR="00324D67" w:rsidRPr="006478D7">
        <w:rPr>
          <w:sz w:val="24"/>
        </w:rPr>
        <w:t xml:space="preserve"> resulting from the collection of information. </w:t>
      </w:r>
    </w:p>
    <w:p w:rsidR="00324D67" w:rsidRPr="006478D7" w:rsidRDefault="00324D67" w:rsidP="00324D67">
      <w:pPr>
        <w:rPr>
          <w:sz w:val="24"/>
        </w:rPr>
      </w:pPr>
    </w:p>
    <w:p w:rsidR="003076BB" w:rsidRPr="006478D7" w:rsidRDefault="003076BB" w:rsidP="00324D67">
      <w:pPr>
        <w:rPr>
          <w:sz w:val="24"/>
        </w:rPr>
      </w:pPr>
      <w:r w:rsidRPr="006478D7">
        <w:rPr>
          <w:sz w:val="24"/>
        </w:rPr>
        <w:t>There are no additional costs to respondents.</w:t>
      </w:r>
    </w:p>
    <w:p w:rsidR="003076BB" w:rsidRPr="006478D7" w:rsidRDefault="003076BB" w:rsidP="003076BB">
      <w:pPr>
        <w:rPr>
          <w:sz w:val="24"/>
        </w:rPr>
      </w:pPr>
    </w:p>
    <w:p w:rsidR="00BC0E93" w:rsidRDefault="00743E2D" w:rsidP="00BC0E93">
      <w:pPr>
        <w:rPr>
          <w:sz w:val="24"/>
        </w:rPr>
      </w:pPr>
      <w:r w:rsidRPr="006478D7">
        <w:rPr>
          <w:sz w:val="24"/>
        </w:rPr>
        <w:t>14</w:t>
      </w:r>
      <w:r w:rsidR="003076BB" w:rsidRPr="006478D7">
        <w:rPr>
          <w:sz w:val="24"/>
        </w:rPr>
        <w:t>.</w:t>
      </w:r>
      <w:r w:rsidR="003076BB" w:rsidRPr="006478D7">
        <w:rPr>
          <w:sz w:val="24"/>
        </w:rPr>
        <w:tab/>
        <w:t>Estimated cost to the Federal government:</w:t>
      </w:r>
    </w:p>
    <w:p w:rsidR="00BE56F1" w:rsidRDefault="00BE56F1" w:rsidP="00BC0E93">
      <w:pPr>
        <w:rPr>
          <w:sz w:val="24"/>
        </w:rPr>
      </w:pPr>
    </w:p>
    <w:tbl>
      <w:tblPr>
        <w:tblW w:w="0" w:type="auto"/>
        <w:tblInd w:w="510" w:type="dxa"/>
        <w:tblLayout w:type="fixed"/>
        <w:tblLook w:val="0000" w:firstRow="0" w:lastRow="0" w:firstColumn="0" w:lastColumn="0" w:noHBand="0" w:noVBand="0"/>
      </w:tblPr>
      <w:tblGrid>
        <w:gridCol w:w="3466"/>
        <w:gridCol w:w="1032"/>
        <w:gridCol w:w="1032"/>
        <w:gridCol w:w="1032"/>
        <w:gridCol w:w="1032"/>
        <w:gridCol w:w="1032"/>
      </w:tblGrid>
      <w:tr w:rsidR="00BC0E93" w:rsidTr="003F4AA8">
        <w:trPr>
          <w:trHeight w:val="463"/>
          <w:tblHeader/>
        </w:trPr>
        <w:tc>
          <w:tcPr>
            <w:tcW w:w="3466" w:type="dxa"/>
            <w:tcBorders>
              <w:top w:val="single" w:sz="12" w:space="0" w:color="auto"/>
              <w:left w:val="single" w:sz="12" w:space="0" w:color="auto"/>
              <w:bottom w:val="single" w:sz="12" w:space="0" w:color="auto"/>
              <w:right w:val="single" w:sz="12" w:space="0" w:color="auto"/>
            </w:tcBorders>
          </w:tcPr>
          <w:p w:rsidR="00BC0E93" w:rsidRDefault="00BC0E93">
            <w:pPr>
              <w:overflowPunct/>
              <w:jc w:val="center"/>
              <w:textAlignment w:val="auto"/>
              <w:rPr>
                <w:rFonts w:ascii="Arial" w:hAnsi="Arial" w:cs="Arial"/>
                <w:color w:val="000000"/>
                <w:sz w:val="16"/>
                <w:szCs w:val="16"/>
              </w:rPr>
            </w:pPr>
            <w:bookmarkStart w:id="0" w:name="_GoBack"/>
            <w:r>
              <w:rPr>
                <w:rFonts w:ascii="Arial" w:hAnsi="Arial" w:cs="Arial"/>
                <w:color w:val="000000"/>
                <w:sz w:val="16"/>
                <w:szCs w:val="16"/>
              </w:rPr>
              <w:t>Information Collection</w:t>
            </w:r>
          </w:p>
        </w:tc>
        <w:tc>
          <w:tcPr>
            <w:tcW w:w="1032" w:type="dxa"/>
            <w:tcBorders>
              <w:top w:val="single" w:sz="12" w:space="0" w:color="auto"/>
              <w:left w:val="nil"/>
              <w:bottom w:val="single" w:sz="12" w:space="0" w:color="auto"/>
              <w:right w:val="single" w:sz="12" w:space="0" w:color="auto"/>
            </w:tcBorders>
          </w:tcPr>
          <w:p w:rsidR="00BC0E93" w:rsidRDefault="00BC0E93">
            <w:pPr>
              <w:overflowPunct/>
              <w:jc w:val="center"/>
              <w:textAlignment w:val="auto"/>
              <w:rPr>
                <w:rFonts w:ascii="Arial" w:hAnsi="Arial" w:cs="Arial"/>
                <w:color w:val="000000"/>
                <w:sz w:val="16"/>
                <w:szCs w:val="16"/>
              </w:rPr>
            </w:pPr>
            <w:r>
              <w:rPr>
                <w:rFonts w:ascii="Arial" w:hAnsi="Arial" w:cs="Arial"/>
                <w:color w:val="000000"/>
                <w:sz w:val="16"/>
                <w:szCs w:val="16"/>
              </w:rPr>
              <w:t>Responses</w:t>
            </w:r>
          </w:p>
        </w:tc>
        <w:tc>
          <w:tcPr>
            <w:tcW w:w="1032" w:type="dxa"/>
            <w:tcBorders>
              <w:top w:val="single" w:sz="12" w:space="0" w:color="auto"/>
              <w:left w:val="nil"/>
              <w:bottom w:val="single" w:sz="12" w:space="0" w:color="auto"/>
              <w:right w:val="single" w:sz="12" w:space="0" w:color="auto"/>
            </w:tcBorders>
          </w:tcPr>
          <w:p w:rsidR="00BC0E93" w:rsidRDefault="00BC0E93">
            <w:pPr>
              <w:overflowPunct/>
              <w:jc w:val="center"/>
              <w:textAlignment w:val="auto"/>
              <w:rPr>
                <w:rFonts w:ascii="Arial" w:hAnsi="Arial" w:cs="Arial"/>
                <w:color w:val="000000"/>
                <w:sz w:val="16"/>
                <w:szCs w:val="16"/>
              </w:rPr>
            </w:pPr>
            <w:proofErr w:type="spellStart"/>
            <w:r>
              <w:rPr>
                <w:rFonts w:ascii="Arial" w:hAnsi="Arial" w:cs="Arial"/>
                <w:color w:val="000000"/>
                <w:sz w:val="16"/>
                <w:szCs w:val="16"/>
              </w:rPr>
              <w:t>Hrs</w:t>
            </w:r>
            <w:proofErr w:type="spellEnd"/>
            <w:r>
              <w:rPr>
                <w:rFonts w:ascii="Arial" w:hAnsi="Arial" w:cs="Arial"/>
                <w:color w:val="000000"/>
                <w:sz w:val="16"/>
                <w:szCs w:val="16"/>
              </w:rPr>
              <w:t xml:space="preserve"> per Response</w:t>
            </w:r>
          </w:p>
        </w:tc>
        <w:tc>
          <w:tcPr>
            <w:tcW w:w="1032" w:type="dxa"/>
            <w:tcBorders>
              <w:top w:val="single" w:sz="12" w:space="0" w:color="auto"/>
              <w:left w:val="nil"/>
              <w:bottom w:val="single" w:sz="12" w:space="0" w:color="auto"/>
              <w:right w:val="single" w:sz="12" w:space="0" w:color="auto"/>
            </w:tcBorders>
          </w:tcPr>
          <w:p w:rsidR="00BC0E93" w:rsidRDefault="00BC0E93">
            <w:pPr>
              <w:overflowPunct/>
              <w:jc w:val="center"/>
              <w:textAlignment w:val="auto"/>
              <w:rPr>
                <w:rFonts w:ascii="Arial" w:hAnsi="Arial" w:cs="Arial"/>
                <w:color w:val="000000"/>
                <w:sz w:val="16"/>
                <w:szCs w:val="16"/>
              </w:rPr>
            </w:pPr>
            <w:r>
              <w:rPr>
                <w:rFonts w:ascii="Arial" w:hAnsi="Arial" w:cs="Arial"/>
                <w:color w:val="000000"/>
                <w:sz w:val="16"/>
                <w:szCs w:val="16"/>
              </w:rPr>
              <w:t>Total Hours</w:t>
            </w:r>
          </w:p>
        </w:tc>
        <w:tc>
          <w:tcPr>
            <w:tcW w:w="1032" w:type="dxa"/>
            <w:tcBorders>
              <w:top w:val="single" w:sz="12" w:space="0" w:color="auto"/>
              <w:left w:val="nil"/>
              <w:bottom w:val="single" w:sz="12" w:space="0" w:color="auto"/>
              <w:right w:val="single" w:sz="12" w:space="0" w:color="auto"/>
            </w:tcBorders>
          </w:tcPr>
          <w:p w:rsidR="00BC0E93" w:rsidRDefault="00BC0E93">
            <w:pPr>
              <w:overflowPunct/>
              <w:jc w:val="center"/>
              <w:textAlignment w:val="auto"/>
              <w:rPr>
                <w:rFonts w:ascii="Arial" w:hAnsi="Arial" w:cs="Arial"/>
                <w:color w:val="000000"/>
                <w:sz w:val="16"/>
                <w:szCs w:val="16"/>
              </w:rPr>
            </w:pPr>
            <w:r>
              <w:rPr>
                <w:rFonts w:ascii="Arial" w:hAnsi="Arial" w:cs="Arial"/>
                <w:color w:val="000000"/>
                <w:sz w:val="16"/>
                <w:szCs w:val="16"/>
              </w:rPr>
              <w:t>Cost per Hour*</w:t>
            </w:r>
          </w:p>
        </w:tc>
        <w:tc>
          <w:tcPr>
            <w:tcW w:w="1032" w:type="dxa"/>
            <w:tcBorders>
              <w:top w:val="single" w:sz="12" w:space="0" w:color="auto"/>
              <w:left w:val="nil"/>
              <w:bottom w:val="single" w:sz="12" w:space="0" w:color="auto"/>
              <w:right w:val="single" w:sz="12" w:space="0" w:color="auto"/>
            </w:tcBorders>
          </w:tcPr>
          <w:p w:rsidR="00BC0E93" w:rsidRDefault="00BC0E93">
            <w:pPr>
              <w:overflowPunct/>
              <w:jc w:val="center"/>
              <w:textAlignment w:val="auto"/>
              <w:rPr>
                <w:rFonts w:ascii="Arial" w:hAnsi="Arial" w:cs="Arial"/>
                <w:color w:val="000000"/>
                <w:sz w:val="16"/>
                <w:szCs w:val="16"/>
              </w:rPr>
            </w:pPr>
            <w:r>
              <w:rPr>
                <w:rFonts w:ascii="Arial" w:hAnsi="Arial" w:cs="Arial"/>
                <w:color w:val="000000"/>
                <w:sz w:val="16"/>
                <w:szCs w:val="16"/>
              </w:rPr>
              <w:t>Total Cost</w:t>
            </w:r>
          </w:p>
        </w:tc>
      </w:tr>
      <w:bookmarkEnd w:id="0"/>
      <w:tr w:rsidR="00BC0E93" w:rsidTr="00BE56F1">
        <w:trPr>
          <w:trHeight w:val="678"/>
        </w:trPr>
        <w:tc>
          <w:tcPr>
            <w:tcW w:w="3466" w:type="dxa"/>
            <w:tcBorders>
              <w:top w:val="nil"/>
              <w:left w:val="single" w:sz="12" w:space="0" w:color="auto"/>
              <w:bottom w:val="single" w:sz="12" w:space="0" w:color="auto"/>
              <w:right w:val="single" w:sz="12" w:space="0" w:color="auto"/>
            </w:tcBorders>
          </w:tcPr>
          <w:p w:rsidR="00BC0E93" w:rsidRDefault="00BC0E93">
            <w:pPr>
              <w:overflowPunct/>
              <w:textAlignment w:val="auto"/>
              <w:rPr>
                <w:rFonts w:ascii="Arial" w:hAnsi="Arial" w:cs="Arial"/>
                <w:color w:val="000000"/>
                <w:sz w:val="18"/>
                <w:szCs w:val="18"/>
              </w:rPr>
            </w:pPr>
            <w:r>
              <w:rPr>
                <w:rFonts w:ascii="Arial" w:hAnsi="Arial" w:cs="Arial"/>
                <w:color w:val="000000"/>
                <w:sz w:val="18"/>
                <w:szCs w:val="18"/>
              </w:rPr>
              <w:t>Grant Application (includes HUD-91186, SF-424, SF-424 Supplement, SF-LLL, HUD-2880, HUD-96010)</w:t>
            </w:r>
          </w:p>
        </w:tc>
        <w:tc>
          <w:tcPr>
            <w:tcW w:w="1032" w:type="dxa"/>
            <w:tcBorders>
              <w:top w:val="nil"/>
              <w:left w:val="nil"/>
              <w:bottom w:val="single" w:sz="12" w:space="0" w:color="auto"/>
              <w:right w:val="single" w:sz="12" w:space="0" w:color="auto"/>
            </w:tcBorders>
          </w:tcPr>
          <w:p w:rsidR="00BC0E93" w:rsidRDefault="00BC0E93">
            <w:pPr>
              <w:overflowPunct/>
              <w:jc w:val="right"/>
              <w:textAlignment w:val="auto"/>
              <w:rPr>
                <w:rFonts w:ascii="Arial" w:hAnsi="Arial" w:cs="Arial"/>
                <w:color w:val="000000"/>
                <w:sz w:val="18"/>
                <w:szCs w:val="18"/>
              </w:rPr>
            </w:pPr>
            <w:r>
              <w:rPr>
                <w:rFonts w:ascii="Arial" w:hAnsi="Arial" w:cs="Arial"/>
                <w:color w:val="000000"/>
                <w:sz w:val="18"/>
                <w:szCs w:val="18"/>
              </w:rPr>
              <w:t>250</w:t>
            </w:r>
          </w:p>
        </w:tc>
        <w:tc>
          <w:tcPr>
            <w:tcW w:w="1032" w:type="dxa"/>
            <w:tcBorders>
              <w:top w:val="nil"/>
              <w:left w:val="nil"/>
              <w:bottom w:val="single" w:sz="12" w:space="0" w:color="auto"/>
              <w:right w:val="single" w:sz="12" w:space="0" w:color="auto"/>
            </w:tcBorders>
          </w:tcPr>
          <w:p w:rsidR="00BC0E93" w:rsidRDefault="00BC0E93">
            <w:pPr>
              <w:overflowPunct/>
              <w:jc w:val="center"/>
              <w:textAlignment w:val="auto"/>
              <w:rPr>
                <w:rFonts w:ascii="Arial" w:hAnsi="Arial" w:cs="Arial"/>
                <w:color w:val="000000"/>
                <w:sz w:val="18"/>
                <w:szCs w:val="18"/>
              </w:rPr>
            </w:pPr>
            <w:r>
              <w:rPr>
                <w:rFonts w:ascii="Arial" w:hAnsi="Arial" w:cs="Arial"/>
                <w:color w:val="000000"/>
                <w:sz w:val="18"/>
                <w:szCs w:val="18"/>
              </w:rPr>
              <w:t>4</w:t>
            </w:r>
          </w:p>
        </w:tc>
        <w:tc>
          <w:tcPr>
            <w:tcW w:w="1032" w:type="dxa"/>
            <w:tcBorders>
              <w:top w:val="nil"/>
              <w:left w:val="nil"/>
              <w:bottom w:val="single" w:sz="12" w:space="0" w:color="auto"/>
              <w:right w:val="single" w:sz="12" w:space="0" w:color="auto"/>
            </w:tcBorders>
          </w:tcPr>
          <w:p w:rsidR="00BC0E93" w:rsidRDefault="00BC0E93">
            <w:pPr>
              <w:overflowPunct/>
              <w:jc w:val="right"/>
              <w:textAlignment w:val="auto"/>
              <w:rPr>
                <w:rFonts w:ascii="Arial" w:hAnsi="Arial" w:cs="Arial"/>
                <w:color w:val="000000"/>
                <w:sz w:val="18"/>
                <w:szCs w:val="18"/>
              </w:rPr>
            </w:pPr>
            <w:r>
              <w:rPr>
                <w:rFonts w:ascii="Arial" w:hAnsi="Arial" w:cs="Arial"/>
                <w:color w:val="000000"/>
                <w:sz w:val="18"/>
                <w:szCs w:val="18"/>
              </w:rPr>
              <w:t>1000</w:t>
            </w:r>
          </w:p>
        </w:tc>
        <w:tc>
          <w:tcPr>
            <w:tcW w:w="1032" w:type="dxa"/>
            <w:tcBorders>
              <w:top w:val="nil"/>
              <w:left w:val="nil"/>
              <w:bottom w:val="single" w:sz="12" w:space="0" w:color="auto"/>
              <w:right w:val="single" w:sz="12" w:space="0" w:color="auto"/>
            </w:tcBorders>
          </w:tcPr>
          <w:p w:rsidR="00BC0E93" w:rsidRDefault="00BC0E93">
            <w:pPr>
              <w:overflowPunct/>
              <w:jc w:val="center"/>
              <w:textAlignment w:val="auto"/>
              <w:rPr>
                <w:rFonts w:ascii="Arial" w:hAnsi="Arial" w:cs="Arial"/>
                <w:color w:val="000000"/>
                <w:sz w:val="18"/>
                <w:szCs w:val="18"/>
              </w:rPr>
            </w:pPr>
            <w:r>
              <w:rPr>
                <w:rFonts w:ascii="Arial" w:hAnsi="Arial" w:cs="Arial"/>
                <w:color w:val="000000"/>
                <w:sz w:val="18"/>
                <w:szCs w:val="18"/>
              </w:rPr>
              <w:t xml:space="preserve">$32.97 </w:t>
            </w:r>
          </w:p>
        </w:tc>
        <w:tc>
          <w:tcPr>
            <w:tcW w:w="1032" w:type="dxa"/>
            <w:tcBorders>
              <w:top w:val="nil"/>
              <w:left w:val="nil"/>
              <w:bottom w:val="single" w:sz="12" w:space="0" w:color="auto"/>
              <w:right w:val="single" w:sz="12" w:space="0" w:color="auto"/>
            </w:tcBorders>
          </w:tcPr>
          <w:p w:rsidR="00BC0E93" w:rsidRDefault="00BC0E93">
            <w:pPr>
              <w:overflowPunct/>
              <w:jc w:val="right"/>
              <w:textAlignment w:val="auto"/>
              <w:rPr>
                <w:rFonts w:ascii="Arial" w:hAnsi="Arial" w:cs="Arial"/>
                <w:color w:val="000000"/>
                <w:sz w:val="18"/>
                <w:szCs w:val="18"/>
              </w:rPr>
            </w:pPr>
            <w:r>
              <w:rPr>
                <w:rFonts w:ascii="Arial" w:hAnsi="Arial" w:cs="Arial"/>
                <w:color w:val="000000"/>
                <w:sz w:val="18"/>
                <w:szCs w:val="18"/>
              </w:rPr>
              <w:t>$32,970</w:t>
            </w:r>
          </w:p>
        </w:tc>
      </w:tr>
      <w:tr w:rsidR="00BC0E93" w:rsidTr="00BE56F1">
        <w:trPr>
          <w:trHeight w:val="336"/>
        </w:trPr>
        <w:tc>
          <w:tcPr>
            <w:tcW w:w="3466" w:type="dxa"/>
            <w:tcBorders>
              <w:top w:val="nil"/>
              <w:left w:val="single" w:sz="12" w:space="0" w:color="auto"/>
              <w:bottom w:val="single" w:sz="12" w:space="0" w:color="auto"/>
              <w:right w:val="single" w:sz="12" w:space="0" w:color="auto"/>
            </w:tcBorders>
          </w:tcPr>
          <w:p w:rsidR="00BC0E93" w:rsidRDefault="00BC0E93">
            <w:pPr>
              <w:overflowPunct/>
              <w:textAlignment w:val="auto"/>
              <w:rPr>
                <w:rFonts w:ascii="Arial" w:hAnsi="Arial" w:cs="Arial"/>
                <w:color w:val="000000"/>
                <w:sz w:val="18"/>
                <w:szCs w:val="18"/>
              </w:rPr>
            </w:pPr>
            <w:r>
              <w:rPr>
                <w:rFonts w:ascii="Arial" w:hAnsi="Arial" w:cs="Arial"/>
                <w:color w:val="000000"/>
                <w:sz w:val="18"/>
                <w:szCs w:val="18"/>
              </w:rPr>
              <w:t>Grant Agreement</w:t>
            </w:r>
          </w:p>
        </w:tc>
        <w:tc>
          <w:tcPr>
            <w:tcW w:w="1032" w:type="dxa"/>
            <w:tcBorders>
              <w:top w:val="nil"/>
              <w:left w:val="nil"/>
              <w:bottom w:val="single" w:sz="12" w:space="0" w:color="auto"/>
              <w:right w:val="single" w:sz="12" w:space="0" w:color="auto"/>
            </w:tcBorders>
          </w:tcPr>
          <w:p w:rsidR="00BC0E93" w:rsidRDefault="00BC0E93">
            <w:pPr>
              <w:overflowPunct/>
              <w:jc w:val="right"/>
              <w:textAlignment w:val="auto"/>
              <w:rPr>
                <w:rFonts w:ascii="Arial" w:hAnsi="Arial" w:cs="Arial"/>
                <w:color w:val="000000"/>
                <w:sz w:val="18"/>
                <w:szCs w:val="18"/>
              </w:rPr>
            </w:pPr>
            <w:r>
              <w:rPr>
                <w:rFonts w:ascii="Arial" w:hAnsi="Arial" w:cs="Arial"/>
                <w:color w:val="000000"/>
                <w:sz w:val="18"/>
                <w:szCs w:val="18"/>
              </w:rPr>
              <w:t>100</w:t>
            </w:r>
          </w:p>
        </w:tc>
        <w:tc>
          <w:tcPr>
            <w:tcW w:w="1032" w:type="dxa"/>
            <w:tcBorders>
              <w:top w:val="nil"/>
              <w:left w:val="nil"/>
              <w:bottom w:val="single" w:sz="12" w:space="0" w:color="auto"/>
              <w:right w:val="single" w:sz="12" w:space="0" w:color="auto"/>
            </w:tcBorders>
            <w:shd w:val="solid" w:color="FFFF99" w:fill="auto"/>
          </w:tcPr>
          <w:p w:rsidR="00BC0E93" w:rsidRDefault="00BC0E93">
            <w:pPr>
              <w:overflowPunct/>
              <w:jc w:val="center"/>
              <w:textAlignment w:val="auto"/>
              <w:rPr>
                <w:rFonts w:ascii="Arial" w:hAnsi="Arial" w:cs="Arial"/>
                <w:color w:val="000000"/>
                <w:sz w:val="18"/>
                <w:szCs w:val="18"/>
              </w:rPr>
            </w:pPr>
            <w:r>
              <w:rPr>
                <w:rFonts w:ascii="Arial" w:hAnsi="Arial" w:cs="Arial"/>
                <w:color w:val="000000"/>
                <w:sz w:val="18"/>
                <w:szCs w:val="18"/>
              </w:rPr>
              <w:t>1</w:t>
            </w:r>
          </w:p>
        </w:tc>
        <w:tc>
          <w:tcPr>
            <w:tcW w:w="1032" w:type="dxa"/>
            <w:tcBorders>
              <w:top w:val="nil"/>
              <w:left w:val="nil"/>
              <w:bottom w:val="single" w:sz="12" w:space="0" w:color="auto"/>
              <w:right w:val="single" w:sz="12" w:space="0" w:color="auto"/>
            </w:tcBorders>
          </w:tcPr>
          <w:p w:rsidR="00BC0E93" w:rsidRDefault="00BC0E93">
            <w:pPr>
              <w:overflowPunct/>
              <w:jc w:val="right"/>
              <w:textAlignment w:val="auto"/>
              <w:rPr>
                <w:rFonts w:ascii="Arial" w:hAnsi="Arial" w:cs="Arial"/>
                <w:color w:val="000000"/>
                <w:sz w:val="18"/>
                <w:szCs w:val="18"/>
              </w:rPr>
            </w:pPr>
            <w:r>
              <w:rPr>
                <w:rFonts w:ascii="Arial" w:hAnsi="Arial" w:cs="Arial"/>
                <w:color w:val="000000"/>
                <w:sz w:val="18"/>
                <w:szCs w:val="18"/>
              </w:rPr>
              <w:t>100</w:t>
            </w:r>
          </w:p>
        </w:tc>
        <w:tc>
          <w:tcPr>
            <w:tcW w:w="1032" w:type="dxa"/>
            <w:tcBorders>
              <w:top w:val="nil"/>
              <w:left w:val="nil"/>
              <w:bottom w:val="single" w:sz="12" w:space="0" w:color="auto"/>
              <w:right w:val="single" w:sz="12" w:space="0" w:color="auto"/>
            </w:tcBorders>
            <w:shd w:val="solid" w:color="FFFF99" w:fill="auto"/>
          </w:tcPr>
          <w:p w:rsidR="00BC0E93" w:rsidRDefault="00BC0E93">
            <w:pPr>
              <w:overflowPunct/>
              <w:jc w:val="center"/>
              <w:textAlignment w:val="auto"/>
              <w:rPr>
                <w:rFonts w:ascii="Arial" w:hAnsi="Arial" w:cs="Arial"/>
                <w:color w:val="000000"/>
                <w:sz w:val="18"/>
                <w:szCs w:val="18"/>
              </w:rPr>
            </w:pPr>
            <w:r>
              <w:rPr>
                <w:rFonts w:ascii="Arial" w:hAnsi="Arial" w:cs="Arial"/>
                <w:color w:val="000000"/>
                <w:sz w:val="18"/>
                <w:szCs w:val="18"/>
              </w:rPr>
              <w:t xml:space="preserve">$32.97 </w:t>
            </w:r>
          </w:p>
        </w:tc>
        <w:tc>
          <w:tcPr>
            <w:tcW w:w="1032" w:type="dxa"/>
            <w:tcBorders>
              <w:top w:val="nil"/>
              <w:left w:val="nil"/>
              <w:bottom w:val="single" w:sz="12" w:space="0" w:color="auto"/>
              <w:right w:val="single" w:sz="12" w:space="0" w:color="auto"/>
            </w:tcBorders>
          </w:tcPr>
          <w:p w:rsidR="00BC0E93" w:rsidRDefault="00BC0E93">
            <w:pPr>
              <w:overflowPunct/>
              <w:jc w:val="right"/>
              <w:textAlignment w:val="auto"/>
              <w:rPr>
                <w:rFonts w:ascii="Arial" w:hAnsi="Arial" w:cs="Arial"/>
                <w:color w:val="000000"/>
                <w:sz w:val="18"/>
                <w:szCs w:val="18"/>
              </w:rPr>
            </w:pPr>
            <w:r>
              <w:rPr>
                <w:rFonts w:ascii="Arial" w:hAnsi="Arial" w:cs="Arial"/>
                <w:color w:val="000000"/>
                <w:sz w:val="18"/>
                <w:szCs w:val="18"/>
              </w:rPr>
              <w:t>$3,297</w:t>
            </w:r>
          </w:p>
        </w:tc>
      </w:tr>
      <w:tr w:rsidR="00BC0E93" w:rsidTr="00BE56F1">
        <w:trPr>
          <w:trHeight w:val="390"/>
        </w:trPr>
        <w:tc>
          <w:tcPr>
            <w:tcW w:w="3466" w:type="dxa"/>
            <w:tcBorders>
              <w:top w:val="nil"/>
              <w:left w:val="single" w:sz="12" w:space="0" w:color="auto"/>
              <w:bottom w:val="single" w:sz="12" w:space="0" w:color="auto"/>
              <w:right w:val="single" w:sz="12" w:space="0" w:color="auto"/>
            </w:tcBorders>
          </w:tcPr>
          <w:p w:rsidR="00BC0E93" w:rsidRDefault="00BC0E93">
            <w:pPr>
              <w:overflowPunct/>
              <w:textAlignment w:val="auto"/>
              <w:rPr>
                <w:rFonts w:ascii="Arial" w:hAnsi="Arial" w:cs="Arial"/>
                <w:color w:val="000000"/>
                <w:sz w:val="18"/>
                <w:szCs w:val="18"/>
              </w:rPr>
            </w:pPr>
            <w:r>
              <w:rPr>
                <w:rFonts w:ascii="Arial" w:hAnsi="Arial" w:cs="Arial"/>
                <w:color w:val="000000"/>
                <w:sz w:val="18"/>
                <w:szCs w:val="18"/>
              </w:rPr>
              <w:t>HUD-96010 Logic Model annually</w:t>
            </w:r>
          </w:p>
        </w:tc>
        <w:tc>
          <w:tcPr>
            <w:tcW w:w="1032" w:type="dxa"/>
            <w:tcBorders>
              <w:top w:val="nil"/>
              <w:left w:val="nil"/>
              <w:bottom w:val="nil"/>
              <w:right w:val="nil"/>
            </w:tcBorders>
          </w:tcPr>
          <w:p w:rsidR="00BC0E93" w:rsidRDefault="00BC0E93">
            <w:pPr>
              <w:overflowPunct/>
              <w:jc w:val="center"/>
              <w:textAlignment w:val="auto"/>
              <w:rPr>
                <w:rFonts w:ascii="Calibri" w:hAnsi="Calibri" w:cs="Calibri"/>
                <w:color w:val="000000"/>
                <w:sz w:val="22"/>
                <w:szCs w:val="22"/>
              </w:rPr>
            </w:pPr>
            <w:r>
              <w:rPr>
                <w:rFonts w:ascii="Calibri" w:hAnsi="Calibri" w:cs="Calibri"/>
                <w:color w:val="000000"/>
                <w:sz w:val="22"/>
                <w:szCs w:val="22"/>
              </w:rPr>
              <w:t>500</w:t>
            </w:r>
          </w:p>
        </w:tc>
        <w:tc>
          <w:tcPr>
            <w:tcW w:w="1032" w:type="dxa"/>
            <w:tcBorders>
              <w:top w:val="nil"/>
              <w:left w:val="nil"/>
              <w:bottom w:val="single" w:sz="12" w:space="0" w:color="auto"/>
              <w:right w:val="single" w:sz="12" w:space="0" w:color="auto"/>
            </w:tcBorders>
          </w:tcPr>
          <w:p w:rsidR="00BC0E93" w:rsidRDefault="00BC0E93">
            <w:pPr>
              <w:overflowPunct/>
              <w:jc w:val="center"/>
              <w:textAlignment w:val="auto"/>
              <w:rPr>
                <w:rFonts w:ascii="Arial" w:hAnsi="Arial" w:cs="Arial"/>
                <w:color w:val="000000"/>
                <w:sz w:val="18"/>
                <w:szCs w:val="18"/>
              </w:rPr>
            </w:pPr>
            <w:r>
              <w:rPr>
                <w:rFonts w:ascii="Arial" w:hAnsi="Arial" w:cs="Arial"/>
                <w:color w:val="000000"/>
                <w:sz w:val="18"/>
                <w:szCs w:val="18"/>
              </w:rPr>
              <w:t>1</w:t>
            </w:r>
          </w:p>
        </w:tc>
        <w:tc>
          <w:tcPr>
            <w:tcW w:w="1032" w:type="dxa"/>
            <w:tcBorders>
              <w:top w:val="nil"/>
              <w:left w:val="nil"/>
              <w:bottom w:val="single" w:sz="12" w:space="0" w:color="auto"/>
              <w:right w:val="single" w:sz="12" w:space="0" w:color="auto"/>
            </w:tcBorders>
          </w:tcPr>
          <w:p w:rsidR="00BC0E93" w:rsidRDefault="00BC0E93">
            <w:pPr>
              <w:overflowPunct/>
              <w:jc w:val="right"/>
              <w:textAlignment w:val="auto"/>
              <w:rPr>
                <w:rFonts w:ascii="Arial" w:hAnsi="Arial" w:cs="Arial"/>
                <w:color w:val="000000"/>
                <w:sz w:val="18"/>
                <w:szCs w:val="18"/>
              </w:rPr>
            </w:pPr>
            <w:r>
              <w:rPr>
                <w:rFonts w:ascii="Arial" w:hAnsi="Arial" w:cs="Arial"/>
                <w:color w:val="000000"/>
                <w:sz w:val="18"/>
                <w:szCs w:val="18"/>
              </w:rPr>
              <w:t>500</w:t>
            </w:r>
          </w:p>
        </w:tc>
        <w:tc>
          <w:tcPr>
            <w:tcW w:w="1032" w:type="dxa"/>
            <w:tcBorders>
              <w:top w:val="nil"/>
              <w:left w:val="nil"/>
              <w:bottom w:val="single" w:sz="12" w:space="0" w:color="auto"/>
              <w:right w:val="single" w:sz="12" w:space="0" w:color="auto"/>
            </w:tcBorders>
          </w:tcPr>
          <w:p w:rsidR="00BC0E93" w:rsidRDefault="00BC0E93">
            <w:pPr>
              <w:overflowPunct/>
              <w:jc w:val="center"/>
              <w:textAlignment w:val="auto"/>
              <w:rPr>
                <w:rFonts w:ascii="Arial" w:hAnsi="Arial" w:cs="Arial"/>
                <w:color w:val="000000"/>
                <w:sz w:val="18"/>
                <w:szCs w:val="18"/>
              </w:rPr>
            </w:pPr>
            <w:r>
              <w:rPr>
                <w:rFonts w:ascii="Arial" w:hAnsi="Arial" w:cs="Arial"/>
                <w:color w:val="000000"/>
                <w:sz w:val="18"/>
                <w:szCs w:val="18"/>
              </w:rPr>
              <w:t xml:space="preserve">$32.97 </w:t>
            </w:r>
          </w:p>
        </w:tc>
        <w:tc>
          <w:tcPr>
            <w:tcW w:w="1032" w:type="dxa"/>
            <w:tcBorders>
              <w:top w:val="nil"/>
              <w:left w:val="nil"/>
              <w:bottom w:val="single" w:sz="12" w:space="0" w:color="auto"/>
              <w:right w:val="single" w:sz="12" w:space="0" w:color="auto"/>
            </w:tcBorders>
          </w:tcPr>
          <w:p w:rsidR="00BC0E93" w:rsidRDefault="00BC0E93">
            <w:pPr>
              <w:overflowPunct/>
              <w:jc w:val="right"/>
              <w:textAlignment w:val="auto"/>
              <w:rPr>
                <w:rFonts w:ascii="Arial" w:hAnsi="Arial" w:cs="Arial"/>
                <w:color w:val="000000"/>
                <w:sz w:val="18"/>
                <w:szCs w:val="18"/>
              </w:rPr>
            </w:pPr>
            <w:r>
              <w:rPr>
                <w:rFonts w:ascii="Arial" w:hAnsi="Arial" w:cs="Arial"/>
                <w:color w:val="000000"/>
                <w:sz w:val="18"/>
                <w:szCs w:val="18"/>
              </w:rPr>
              <w:t>$16,485</w:t>
            </w:r>
          </w:p>
        </w:tc>
      </w:tr>
      <w:tr w:rsidR="00BC0E93" w:rsidTr="00BE56F1">
        <w:trPr>
          <w:trHeight w:val="516"/>
        </w:trPr>
        <w:tc>
          <w:tcPr>
            <w:tcW w:w="3466" w:type="dxa"/>
            <w:tcBorders>
              <w:top w:val="nil"/>
              <w:left w:val="single" w:sz="12" w:space="0" w:color="auto"/>
              <w:bottom w:val="single" w:sz="12" w:space="0" w:color="auto"/>
              <w:right w:val="single" w:sz="12" w:space="0" w:color="auto"/>
            </w:tcBorders>
          </w:tcPr>
          <w:p w:rsidR="00BC0E93" w:rsidRDefault="00BC0E93">
            <w:pPr>
              <w:overflowPunct/>
              <w:textAlignment w:val="auto"/>
              <w:rPr>
                <w:rFonts w:ascii="Arial" w:hAnsi="Arial" w:cs="Arial"/>
                <w:color w:val="000000"/>
                <w:sz w:val="18"/>
                <w:szCs w:val="18"/>
              </w:rPr>
            </w:pPr>
            <w:r>
              <w:rPr>
                <w:rFonts w:ascii="Arial" w:hAnsi="Arial" w:cs="Arial"/>
                <w:color w:val="000000"/>
                <w:sz w:val="18"/>
                <w:szCs w:val="18"/>
              </w:rPr>
              <w:t>Grant Extension Request form HUD-91186-A</w:t>
            </w:r>
          </w:p>
        </w:tc>
        <w:tc>
          <w:tcPr>
            <w:tcW w:w="1032" w:type="dxa"/>
            <w:tcBorders>
              <w:top w:val="nil"/>
              <w:left w:val="nil"/>
              <w:bottom w:val="single" w:sz="12" w:space="0" w:color="auto"/>
              <w:right w:val="single" w:sz="12" w:space="0" w:color="auto"/>
            </w:tcBorders>
          </w:tcPr>
          <w:p w:rsidR="00BC0E93" w:rsidRDefault="00BC0E93">
            <w:pPr>
              <w:overflowPunct/>
              <w:jc w:val="right"/>
              <w:textAlignment w:val="auto"/>
              <w:rPr>
                <w:rFonts w:ascii="Arial" w:hAnsi="Arial" w:cs="Arial"/>
                <w:color w:val="000000"/>
                <w:sz w:val="18"/>
                <w:szCs w:val="18"/>
              </w:rPr>
            </w:pPr>
            <w:r>
              <w:rPr>
                <w:rFonts w:ascii="Arial" w:hAnsi="Arial" w:cs="Arial"/>
                <w:color w:val="000000"/>
                <w:sz w:val="18"/>
                <w:szCs w:val="18"/>
              </w:rPr>
              <w:t>1,400</w:t>
            </w:r>
          </w:p>
        </w:tc>
        <w:tc>
          <w:tcPr>
            <w:tcW w:w="1032" w:type="dxa"/>
            <w:tcBorders>
              <w:top w:val="nil"/>
              <w:left w:val="nil"/>
              <w:bottom w:val="single" w:sz="12" w:space="0" w:color="auto"/>
              <w:right w:val="single" w:sz="12" w:space="0" w:color="auto"/>
            </w:tcBorders>
          </w:tcPr>
          <w:p w:rsidR="00BC0E93" w:rsidRDefault="00BC0E93">
            <w:pPr>
              <w:overflowPunct/>
              <w:jc w:val="center"/>
              <w:textAlignment w:val="auto"/>
              <w:rPr>
                <w:rFonts w:ascii="Arial" w:hAnsi="Arial" w:cs="Arial"/>
                <w:color w:val="000000"/>
                <w:sz w:val="18"/>
                <w:szCs w:val="18"/>
              </w:rPr>
            </w:pPr>
            <w:r>
              <w:rPr>
                <w:rFonts w:ascii="Arial" w:hAnsi="Arial" w:cs="Arial"/>
                <w:color w:val="000000"/>
                <w:sz w:val="18"/>
                <w:szCs w:val="18"/>
              </w:rPr>
              <w:t>1</w:t>
            </w:r>
          </w:p>
        </w:tc>
        <w:tc>
          <w:tcPr>
            <w:tcW w:w="1032" w:type="dxa"/>
            <w:tcBorders>
              <w:top w:val="nil"/>
              <w:left w:val="nil"/>
              <w:bottom w:val="single" w:sz="12" w:space="0" w:color="auto"/>
              <w:right w:val="single" w:sz="12" w:space="0" w:color="auto"/>
            </w:tcBorders>
          </w:tcPr>
          <w:p w:rsidR="00BC0E93" w:rsidRDefault="00BC0E93">
            <w:pPr>
              <w:overflowPunct/>
              <w:jc w:val="right"/>
              <w:textAlignment w:val="auto"/>
              <w:rPr>
                <w:rFonts w:ascii="Arial" w:hAnsi="Arial" w:cs="Arial"/>
                <w:color w:val="000000"/>
                <w:sz w:val="18"/>
                <w:szCs w:val="18"/>
              </w:rPr>
            </w:pPr>
            <w:r>
              <w:rPr>
                <w:rFonts w:ascii="Arial" w:hAnsi="Arial" w:cs="Arial"/>
                <w:color w:val="000000"/>
                <w:sz w:val="18"/>
                <w:szCs w:val="18"/>
              </w:rPr>
              <w:t>1400</w:t>
            </w:r>
          </w:p>
        </w:tc>
        <w:tc>
          <w:tcPr>
            <w:tcW w:w="1032" w:type="dxa"/>
            <w:tcBorders>
              <w:top w:val="nil"/>
              <w:left w:val="nil"/>
              <w:bottom w:val="single" w:sz="12" w:space="0" w:color="auto"/>
              <w:right w:val="single" w:sz="12" w:space="0" w:color="auto"/>
            </w:tcBorders>
          </w:tcPr>
          <w:p w:rsidR="00BC0E93" w:rsidRDefault="00BC0E93">
            <w:pPr>
              <w:overflowPunct/>
              <w:jc w:val="center"/>
              <w:textAlignment w:val="auto"/>
              <w:rPr>
                <w:rFonts w:ascii="Arial" w:hAnsi="Arial" w:cs="Arial"/>
                <w:color w:val="000000"/>
                <w:sz w:val="18"/>
                <w:szCs w:val="18"/>
              </w:rPr>
            </w:pPr>
            <w:r>
              <w:rPr>
                <w:rFonts w:ascii="Arial" w:hAnsi="Arial" w:cs="Arial"/>
                <w:color w:val="000000"/>
                <w:sz w:val="18"/>
                <w:szCs w:val="18"/>
              </w:rPr>
              <w:t xml:space="preserve">$32.97 </w:t>
            </w:r>
          </w:p>
        </w:tc>
        <w:tc>
          <w:tcPr>
            <w:tcW w:w="1032" w:type="dxa"/>
            <w:tcBorders>
              <w:top w:val="nil"/>
              <w:left w:val="nil"/>
              <w:bottom w:val="single" w:sz="12" w:space="0" w:color="auto"/>
              <w:right w:val="single" w:sz="12" w:space="0" w:color="auto"/>
            </w:tcBorders>
          </w:tcPr>
          <w:p w:rsidR="00BC0E93" w:rsidRDefault="00BC0E93">
            <w:pPr>
              <w:overflowPunct/>
              <w:jc w:val="right"/>
              <w:textAlignment w:val="auto"/>
              <w:rPr>
                <w:rFonts w:ascii="Arial" w:hAnsi="Arial" w:cs="Arial"/>
                <w:color w:val="000000"/>
                <w:sz w:val="18"/>
                <w:szCs w:val="18"/>
              </w:rPr>
            </w:pPr>
            <w:r>
              <w:rPr>
                <w:rFonts w:ascii="Arial" w:hAnsi="Arial" w:cs="Arial"/>
                <w:color w:val="000000"/>
                <w:sz w:val="18"/>
                <w:szCs w:val="18"/>
              </w:rPr>
              <w:t>$46,158</w:t>
            </w:r>
          </w:p>
        </w:tc>
      </w:tr>
      <w:tr w:rsidR="00BC0E93" w:rsidTr="00BE56F1">
        <w:trPr>
          <w:trHeight w:val="354"/>
        </w:trPr>
        <w:tc>
          <w:tcPr>
            <w:tcW w:w="3466" w:type="dxa"/>
            <w:tcBorders>
              <w:top w:val="nil"/>
              <w:left w:val="single" w:sz="12" w:space="0" w:color="auto"/>
              <w:bottom w:val="single" w:sz="12" w:space="0" w:color="auto"/>
              <w:right w:val="single" w:sz="12" w:space="0" w:color="auto"/>
            </w:tcBorders>
          </w:tcPr>
          <w:p w:rsidR="00BC0E93" w:rsidRDefault="00BC0E93">
            <w:pPr>
              <w:overflowPunct/>
              <w:textAlignment w:val="auto"/>
              <w:rPr>
                <w:rFonts w:ascii="Arial" w:hAnsi="Arial" w:cs="Arial"/>
                <w:color w:val="000000"/>
                <w:sz w:val="18"/>
                <w:szCs w:val="18"/>
              </w:rPr>
            </w:pPr>
            <w:r>
              <w:rPr>
                <w:rFonts w:ascii="Arial" w:hAnsi="Arial" w:cs="Arial"/>
                <w:color w:val="000000"/>
                <w:sz w:val="18"/>
                <w:szCs w:val="18"/>
              </w:rPr>
              <w:lastRenderedPageBreak/>
              <w:t>Performance Report HUD-92456</w:t>
            </w:r>
          </w:p>
        </w:tc>
        <w:tc>
          <w:tcPr>
            <w:tcW w:w="1032" w:type="dxa"/>
            <w:tcBorders>
              <w:top w:val="nil"/>
              <w:left w:val="nil"/>
              <w:bottom w:val="single" w:sz="12" w:space="0" w:color="auto"/>
              <w:right w:val="single" w:sz="12" w:space="0" w:color="auto"/>
            </w:tcBorders>
          </w:tcPr>
          <w:p w:rsidR="00BC0E93" w:rsidRDefault="00BC0E93">
            <w:pPr>
              <w:overflowPunct/>
              <w:jc w:val="right"/>
              <w:textAlignment w:val="auto"/>
              <w:rPr>
                <w:rFonts w:ascii="Arial" w:hAnsi="Arial" w:cs="Arial"/>
                <w:color w:val="000000"/>
                <w:sz w:val="18"/>
                <w:szCs w:val="18"/>
              </w:rPr>
            </w:pPr>
            <w:r>
              <w:rPr>
                <w:rFonts w:ascii="Arial" w:hAnsi="Arial" w:cs="Arial"/>
                <w:color w:val="000000"/>
                <w:sz w:val="18"/>
                <w:szCs w:val="18"/>
              </w:rPr>
              <w:t>8600</w:t>
            </w:r>
          </w:p>
        </w:tc>
        <w:tc>
          <w:tcPr>
            <w:tcW w:w="1032" w:type="dxa"/>
            <w:tcBorders>
              <w:top w:val="nil"/>
              <w:left w:val="nil"/>
              <w:bottom w:val="single" w:sz="12" w:space="0" w:color="auto"/>
              <w:right w:val="single" w:sz="12" w:space="0" w:color="auto"/>
            </w:tcBorders>
          </w:tcPr>
          <w:p w:rsidR="00BC0E93" w:rsidRDefault="00BC0E93">
            <w:pPr>
              <w:overflowPunct/>
              <w:jc w:val="center"/>
              <w:textAlignment w:val="auto"/>
              <w:rPr>
                <w:rFonts w:ascii="Arial" w:hAnsi="Arial" w:cs="Arial"/>
                <w:color w:val="000000"/>
                <w:sz w:val="18"/>
                <w:szCs w:val="18"/>
              </w:rPr>
            </w:pPr>
            <w:r>
              <w:rPr>
                <w:rFonts w:ascii="Arial" w:hAnsi="Arial" w:cs="Arial"/>
                <w:color w:val="000000"/>
                <w:sz w:val="18"/>
                <w:szCs w:val="18"/>
              </w:rPr>
              <w:t>0.5</w:t>
            </w:r>
          </w:p>
        </w:tc>
        <w:tc>
          <w:tcPr>
            <w:tcW w:w="1032" w:type="dxa"/>
            <w:tcBorders>
              <w:top w:val="nil"/>
              <w:left w:val="nil"/>
              <w:bottom w:val="single" w:sz="12" w:space="0" w:color="auto"/>
              <w:right w:val="single" w:sz="12" w:space="0" w:color="auto"/>
            </w:tcBorders>
          </w:tcPr>
          <w:p w:rsidR="00BC0E93" w:rsidRDefault="00BC0E93">
            <w:pPr>
              <w:overflowPunct/>
              <w:jc w:val="right"/>
              <w:textAlignment w:val="auto"/>
              <w:rPr>
                <w:rFonts w:ascii="Arial" w:hAnsi="Arial" w:cs="Arial"/>
                <w:color w:val="000000"/>
                <w:sz w:val="18"/>
                <w:szCs w:val="18"/>
              </w:rPr>
            </w:pPr>
            <w:r>
              <w:rPr>
                <w:rFonts w:ascii="Arial" w:hAnsi="Arial" w:cs="Arial"/>
                <w:color w:val="000000"/>
                <w:sz w:val="18"/>
                <w:szCs w:val="18"/>
              </w:rPr>
              <w:t>4300</w:t>
            </w:r>
          </w:p>
        </w:tc>
        <w:tc>
          <w:tcPr>
            <w:tcW w:w="1032" w:type="dxa"/>
            <w:tcBorders>
              <w:top w:val="nil"/>
              <w:left w:val="nil"/>
              <w:bottom w:val="single" w:sz="12" w:space="0" w:color="auto"/>
              <w:right w:val="single" w:sz="12" w:space="0" w:color="auto"/>
            </w:tcBorders>
          </w:tcPr>
          <w:p w:rsidR="00BC0E93" w:rsidRDefault="00BC0E93">
            <w:pPr>
              <w:overflowPunct/>
              <w:jc w:val="center"/>
              <w:textAlignment w:val="auto"/>
              <w:rPr>
                <w:rFonts w:ascii="Arial" w:hAnsi="Arial" w:cs="Arial"/>
                <w:color w:val="000000"/>
                <w:sz w:val="18"/>
                <w:szCs w:val="18"/>
              </w:rPr>
            </w:pPr>
            <w:r>
              <w:rPr>
                <w:rFonts w:ascii="Arial" w:hAnsi="Arial" w:cs="Arial"/>
                <w:color w:val="000000"/>
                <w:sz w:val="18"/>
                <w:szCs w:val="18"/>
              </w:rPr>
              <w:t xml:space="preserve">$32.97 </w:t>
            </w:r>
          </w:p>
        </w:tc>
        <w:tc>
          <w:tcPr>
            <w:tcW w:w="1032" w:type="dxa"/>
            <w:tcBorders>
              <w:top w:val="nil"/>
              <w:left w:val="nil"/>
              <w:bottom w:val="single" w:sz="12" w:space="0" w:color="auto"/>
              <w:right w:val="single" w:sz="12" w:space="0" w:color="auto"/>
            </w:tcBorders>
          </w:tcPr>
          <w:p w:rsidR="00BC0E93" w:rsidRDefault="00BC0E93">
            <w:pPr>
              <w:overflowPunct/>
              <w:jc w:val="right"/>
              <w:textAlignment w:val="auto"/>
              <w:rPr>
                <w:rFonts w:ascii="Arial" w:hAnsi="Arial" w:cs="Arial"/>
                <w:color w:val="000000"/>
                <w:sz w:val="18"/>
                <w:szCs w:val="18"/>
              </w:rPr>
            </w:pPr>
            <w:r>
              <w:rPr>
                <w:rFonts w:ascii="Arial" w:hAnsi="Arial" w:cs="Arial"/>
                <w:color w:val="000000"/>
                <w:sz w:val="18"/>
                <w:szCs w:val="18"/>
              </w:rPr>
              <w:t>$141,771</w:t>
            </w:r>
          </w:p>
        </w:tc>
      </w:tr>
      <w:tr w:rsidR="00BC0E93" w:rsidTr="00BE56F1">
        <w:trPr>
          <w:trHeight w:val="417"/>
        </w:trPr>
        <w:tc>
          <w:tcPr>
            <w:tcW w:w="3466" w:type="dxa"/>
            <w:tcBorders>
              <w:top w:val="nil"/>
              <w:left w:val="single" w:sz="12" w:space="0" w:color="auto"/>
              <w:bottom w:val="nil"/>
              <w:right w:val="single" w:sz="12" w:space="0" w:color="auto"/>
            </w:tcBorders>
          </w:tcPr>
          <w:p w:rsidR="00BC0E93" w:rsidRDefault="00BC0E93">
            <w:pPr>
              <w:overflowPunct/>
              <w:textAlignment w:val="auto"/>
              <w:rPr>
                <w:rFonts w:ascii="Arial" w:hAnsi="Arial" w:cs="Arial"/>
                <w:color w:val="000000"/>
                <w:sz w:val="18"/>
                <w:szCs w:val="18"/>
              </w:rPr>
            </w:pPr>
            <w:r>
              <w:rPr>
                <w:rFonts w:ascii="Arial" w:hAnsi="Arial" w:cs="Arial"/>
                <w:color w:val="000000"/>
                <w:sz w:val="18"/>
                <w:szCs w:val="18"/>
              </w:rPr>
              <w:t>LOCCS Payment Voucher HUD-50080-SCMF</w:t>
            </w:r>
          </w:p>
        </w:tc>
        <w:tc>
          <w:tcPr>
            <w:tcW w:w="1032" w:type="dxa"/>
            <w:tcBorders>
              <w:top w:val="nil"/>
              <w:left w:val="nil"/>
              <w:bottom w:val="single" w:sz="12" w:space="0" w:color="auto"/>
              <w:right w:val="single" w:sz="12" w:space="0" w:color="auto"/>
            </w:tcBorders>
          </w:tcPr>
          <w:p w:rsidR="00BC0E93" w:rsidRDefault="00BC0E93">
            <w:pPr>
              <w:overflowPunct/>
              <w:jc w:val="right"/>
              <w:textAlignment w:val="auto"/>
              <w:rPr>
                <w:rFonts w:ascii="Arial" w:hAnsi="Arial" w:cs="Arial"/>
                <w:color w:val="000000"/>
                <w:sz w:val="18"/>
                <w:szCs w:val="18"/>
              </w:rPr>
            </w:pPr>
            <w:r>
              <w:rPr>
                <w:rFonts w:ascii="Arial" w:hAnsi="Arial" w:cs="Arial"/>
                <w:color w:val="000000"/>
                <w:sz w:val="18"/>
                <w:szCs w:val="18"/>
              </w:rPr>
              <w:t>7480</w:t>
            </w:r>
          </w:p>
        </w:tc>
        <w:tc>
          <w:tcPr>
            <w:tcW w:w="1032" w:type="dxa"/>
            <w:tcBorders>
              <w:top w:val="single" w:sz="12" w:space="0" w:color="auto"/>
              <w:left w:val="single" w:sz="12" w:space="0" w:color="auto"/>
              <w:bottom w:val="nil"/>
              <w:right w:val="single" w:sz="12" w:space="0" w:color="auto"/>
            </w:tcBorders>
          </w:tcPr>
          <w:p w:rsidR="00BC0E93" w:rsidRDefault="00BC0E93">
            <w:pPr>
              <w:overflowPunct/>
              <w:jc w:val="center"/>
              <w:textAlignment w:val="auto"/>
              <w:rPr>
                <w:rFonts w:ascii="Arial" w:hAnsi="Arial" w:cs="Arial"/>
                <w:color w:val="000000"/>
                <w:sz w:val="18"/>
                <w:szCs w:val="18"/>
              </w:rPr>
            </w:pPr>
            <w:r>
              <w:rPr>
                <w:rFonts w:ascii="Arial" w:hAnsi="Arial" w:cs="Arial"/>
                <w:color w:val="000000"/>
                <w:sz w:val="18"/>
                <w:szCs w:val="18"/>
              </w:rPr>
              <w:t>0.5</w:t>
            </w:r>
          </w:p>
        </w:tc>
        <w:tc>
          <w:tcPr>
            <w:tcW w:w="1032" w:type="dxa"/>
            <w:tcBorders>
              <w:top w:val="nil"/>
              <w:left w:val="nil"/>
              <w:bottom w:val="single" w:sz="12" w:space="0" w:color="auto"/>
              <w:right w:val="single" w:sz="12" w:space="0" w:color="auto"/>
            </w:tcBorders>
          </w:tcPr>
          <w:p w:rsidR="00BC0E93" w:rsidRDefault="00BC0E93">
            <w:pPr>
              <w:overflowPunct/>
              <w:jc w:val="right"/>
              <w:textAlignment w:val="auto"/>
              <w:rPr>
                <w:rFonts w:ascii="Arial" w:hAnsi="Arial" w:cs="Arial"/>
                <w:color w:val="000000"/>
                <w:sz w:val="18"/>
                <w:szCs w:val="18"/>
              </w:rPr>
            </w:pPr>
            <w:r>
              <w:rPr>
                <w:rFonts w:ascii="Arial" w:hAnsi="Arial" w:cs="Arial"/>
                <w:color w:val="000000"/>
                <w:sz w:val="18"/>
                <w:szCs w:val="18"/>
              </w:rPr>
              <w:t>3740</w:t>
            </w:r>
          </w:p>
        </w:tc>
        <w:tc>
          <w:tcPr>
            <w:tcW w:w="1032" w:type="dxa"/>
            <w:tcBorders>
              <w:top w:val="single" w:sz="12" w:space="0" w:color="auto"/>
              <w:left w:val="single" w:sz="12" w:space="0" w:color="auto"/>
              <w:bottom w:val="nil"/>
              <w:right w:val="single" w:sz="12" w:space="0" w:color="auto"/>
            </w:tcBorders>
          </w:tcPr>
          <w:p w:rsidR="00BC0E93" w:rsidRDefault="00BC0E93">
            <w:pPr>
              <w:overflowPunct/>
              <w:jc w:val="center"/>
              <w:textAlignment w:val="auto"/>
              <w:rPr>
                <w:rFonts w:ascii="Arial" w:hAnsi="Arial" w:cs="Arial"/>
                <w:color w:val="000000"/>
                <w:sz w:val="18"/>
                <w:szCs w:val="18"/>
              </w:rPr>
            </w:pPr>
            <w:r>
              <w:rPr>
                <w:rFonts w:ascii="Arial" w:hAnsi="Arial" w:cs="Arial"/>
                <w:color w:val="000000"/>
                <w:sz w:val="18"/>
                <w:szCs w:val="18"/>
              </w:rPr>
              <w:t xml:space="preserve">$32.97 </w:t>
            </w:r>
          </w:p>
        </w:tc>
        <w:tc>
          <w:tcPr>
            <w:tcW w:w="1032" w:type="dxa"/>
            <w:tcBorders>
              <w:top w:val="nil"/>
              <w:left w:val="nil"/>
              <w:bottom w:val="single" w:sz="12" w:space="0" w:color="auto"/>
              <w:right w:val="single" w:sz="12" w:space="0" w:color="auto"/>
            </w:tcBorders>
          </w:tcPr>
          <w:p w:rsidR="00BC0E93" w:rsidRDefault="00BC0E93">
            <w:pPr>
              <w:overflowPunct/>
              <w:jc w:val="right"/>
              <w:textAlignment w:val="auto"/>
              <w:rPr>
                <w:rFonts w:ascii="Arial" w:hAnsi="Arial" w:cs="Arial"/>
                <w:color w:val="000000"/>
                <w:sz w:val="18"/>
                <w:szCs w:val="18"/>
              </w:rPr>
            </w:pPr>
            <w:r>
              <w:rPr>
                <w:rFonts w:ascii="Arial" w:hAnsi="Arial" w:cs="Arial"/>
                <w:color w:val="000000"/>
                <w:sz w:val="18"/>
                <w:szCs w:val="18"/>
              </w:rPr>
              <w:t>$123,308</w:t>
            </w:r>
          </w:p>
        </w:tc>
      </w:tr>
      <w:tr w:rsidR="00BC0E93" w:rsidTr="00BE56F1">
        <w:trPr>
          <w:trHeight w:val="417"/>
        </w:trPr>
        <w:tc>
          <w:tcPr>
            <w:tcW w:w="3466" w:type="dxa"/>
            <w:tcBorders>
              <w:top w:val="nil"/>
              <w:left w:val="single" w:sz="12" w:space="0" w:color="auto"/>
              <w:bottom w:val="single" w:sz="12" w:space="0" w:color="auto"/>
              <w:right w:val="single" w:sz="12" w:space="0" w:color="auto"/>
            </w:tcBorders>
          </w:tcPr>
          <w:p w:rsidR="00BC0E93" w:rsidRDefault="00BC0E93">
            <w:pPr>
              <w:overflowPunct/>
              <w:textAlignment w:val="auto"/>
              <w:rPr>
                <w:rFonts w:ascii="Arial" w:hAnsi="Arial" w:cs="Arial"/>
                <w:color w:val="000000"/>
                <w:sz w:val="18"/>
                <w:szCs w:val="18"/>
              </w:rPr>
            </w:pPr>
            <w:r>
              <w:rPr>
                <w:rFonts w:ascii="Arial" w:hAnsi="Arial" w:cs="Arial"/>
                <w:color w:val="000000"/>
                <w:sz w:val="18"/>
                <w:szCs w:val="18"/>
              </w:rPr>
              <w:t>Federal Financial Report SF-425</w:t>
            </w:r>
          </w:p>
        </w:tc>
        <w:tc>
          <w:tcPr>
            <w:tcW w:w="1032" w:type="dxa"/>
            <w:tcBorders>
              <w:top w:val="nil"/>
              <w:left w:val="nil"/>
              <w:bottom w:val="single" w:sz="12" w:space="0" w:color="auto"/>
              <w:right w:val="single" w:sz="12" w:space="0" w:color="auto"/>
            </w:tcBorders>
          </w:tcPr>
          <w:p w:rsidR="00BC0E93" w:rsidRDefault="00BC0E93">
            <w:pPr>
              <w:overflowPunct/>
              <w:jc w:val="right"/>
              <w:textAlignment w:val="auto"/>
              <w:rPr>
                <w:rFonts w:ascii="Arial" w:hAnsi="Arial" w:cs="Arial"/>
                <w:color w:val="000000"/>
                <w:sz w:val="18"/>
                <w:szCs w:val="18"/>
              </w:rPr>
            </w:pPr>
            <w:r>
              <w:rPr>
                <w:rFonts w:ascii="Arial" w:hAnsi="Arial" w:cs="Arial"/>
                <w:color w:val="000000"/>
                <w:sz w:val="18"/>
                <w:szCs w:val="18"/>
              </w:rPr>
              <w:t>3740</w:t>
            </w:r>
          </w:p>
        </w:tc>
        <w:tc>
          <w:tcPr>
            <w:tcW w:w="1032" w:type="dxa"/>
            <w:tcBorders>
              <w:top w:val="single" w:sz="12" w:space="0" w:color="auto"/>
              <w:left w:val="single" w:sz="12" w:space="0" w:color="auto"/>
              <w:bottom w:val="nil"/>
              <w:right w:val="single" w:sz="12" w:space="0" w:color="auto"/>
            </w:tcBorders>
          </w:tcPr>
          <w:p w:rsidR="00BC0E93" w:rsidRDefault="00BC0E93">
            <w:pPr>
              <w:overflowPunct/>
              <w:jc w:val="center"/>
              <w:textAlignment w:val="auto"/>
              <w:rPr>
                <w:rFonts w:ascii="Arial" w:hAnsi="Arial" w:cs="Arial"/>
                <w:color w:val="000000"/>
                <w:sz w:val="18"/>
                <w:szCs w:val="18"/>
              </w:rPr>
            </w:pPr>
            <w:r>
              <w:rPr>
                <w:rFonts w:ascii="Arial" w:hAnsi="Arial" w:cs="Arial"/>
                <w:color w:val="000000"/>
                <w:sz w:val="18"/>
                <w:szCs w:val="18"/>
              </w:rPr>
              <w:t>0.5</w:t>
            </w:r>
          </w:p>
        </w:tc>
        <w:tc>
          <w:tcPr>
            <w:tcW w:w="1032" w:type="dxa"/>
            <w:tcBorders>
              <w:top w:val="nil"/>
              <w:left w:val="nil"/>
              <w:bottom w:val="single" w:sz="12" w:space="0" w:color="auto"/>
              <w:right w:val="single" w:sz="12" w:space="0" w:color="auto"/>
            </w:tcBorders>
          </w:tcPr>
          <w:p w:rsidR="00BC0E93" w:rsidRDefault="00BC0E93">
            <w:pPr>
              <w:overflowPunct/>
              <w:jc w:val="right"/>
              <w:textAlignment w:val="auto"/>
              <w:rPr>
                <w:rFonts w:ascii="Arial" w:hAnsi="Arial" w:cs="Arial"/>
                <w:color w:val="000000"/>
                <w:sz w:val="18"/>
                <w:szCs w:val="18"/>
              </w:rPr>
            </w:pPr>
            <w:r>
              <w:rPr>
                <w:rFonts w:ascii="Arial" w:hAnsi="Arial" w:cs="Arial"/>
                <w:color w:val="000000"/>
                <w:sz w:val="18"/>
                <w:szCs w:val="18"/>
              </w:rPr>
              <w:t>1870</w:t>
            </w:r>
          </w:p>
        </w:tc>
        <w:tc>
          <w:tcPr>
            <w:tcW w:w="1032" w:type="dxa"/>
            <w:tcBorders>
              <w:top w:val="single" w:sz="12" w:space="0" w:color="auto"/>
              <w:left w:val="single" w:sz="12" w:space="0" w:color="auto"/>
              <w:bottom w:val="nil"/>
              <w:right w:val="single" w:sz="12" w:space="0" w:color="auto"/>
            </w:tcBorders>
          </w:tcPr>
          <w:p w:rsidR="00BC0E93" w:rsidRDefault="00BC0E93">
            <w:pPr>
              <w:overflowPunct/>
              <w:jc w:val="center"/>
              <w:textAlignment w:val="auto"/>
              <w:rPr>
                <w:rFonts w:ascii="Arial" w:hAnsi="Arial" w:cs="Arial"/>
                <w:color w:val="000000"/>
                <w:sz w:val="18"/>
                <w:szCs w:val="18"/>
              </w:rPr>
            </w:pPr>
            <w:r>
              <w:rPr>
                <w:rFonts w:ascii="Arial" w:hAnsi="Arial" w:cs="Arial"/>
                <w:color w:val="000000"/>
                <w:sz w:val="18"/>
                <w:szCs w:val="18"/>
              </w:rPr>
              <w:t xml:space="preserve">$32.97 </w:t>
            </w:r>
          </w:p>
        </w:tc>
        <w:tc>
          <w:tcPr>
            <w:tcW w:w="1032" w:type="dxa"/>
            <w:tcBorders>
              <w:top w:val="nil"/>
              <w:left w:val="nil"/>
              <w:bottom w:val="single" w:sz="12" w:space="0" w:color="auto"/>
              <w:right w:val="single" w:sz="12" w:space="0" w:color="auto"/>
            </w:tcBorders>
          </w:tcPr>
          <w:p w:rsidR="00BC0E93" w:rsidRDefault="00BC0E93">
            <w:pPr>
              <w:overflowPunct/>
              <w:jc w:val="right"/>
              <w:textAlignment w:val="auto"/>
              <w:rPr>
                <w:rFonts w:ascii="Arial" w:hAnsi="Arial" w:cs="Arial"/>
                <w:color w:val="000000"/>
                <w:sz w:val="18"/>
                <w:szCs w:val="18"/>
              </w:rPr>
            </w:pPr>
            <w:r>
              <w:rPr>
                <w:rFonts w:ascii="Arial" w:hAnsi="Arial" w:cs="Arial"/>
                <w:color w:val="000000"/>
                <w:sz w:val="18"/>
                <w:szCs w:val="18"/>
              </w:rPr>
              <w:t>$61,654</w:t>
            </w:r>
          </w:p>
        </w:tc>
      </w:tr>
      <w:tr w:rsidR="00BC0E93" w:rsidTr="00BE56F1">
        <w:trPr>
          <w:trHeight w:val="305"/>
        </w:trPr>
        <w:tc>
          <w:tcPr>
            <w:tcW w:w="3466" w:type="dxa"/>
            <w:tcBorders>
              <w:top w:val="nil"/>
              <w:left w:val="single" w:sz="12" w:space="0" w:color="auto"/>
              <w:bottom w:val="single" w:sz="12" w:space="0" w:color="auto"/>
              <w:right w:val="single" w:sz="12" w:space="0" w:color="auto"/>
            </w:tcBorders>
          </w:tcPr>
          <w:p w:rsidR="00BC0E93" w:rsidRDefault="00BC0E93">
            <w:pPr>
              <w:overflowPunct/>
              <w:textAlignment w:val="auto"/>
              <w:rPr>
                <w:rFonts w:ascii="Arial" w:hAnsi="Arial" w:cs="Arial"/>
                <w:b/>
                <w:bCs/>
                <w:color w:val="000000"/>
                <w:sz w:val="18"/>
                <w:szCs w:val="18"/>
              </w:rPr>
            </w:pPr>
            <w:r>
              <w:rPr>
                <w:rFonts w:ascii="Arial" w:hAnsi="Arial" w:cs="Arial"/>
                <w:b/>
                <w:bCs/>
                <w:color w:val="000000"/>
                <w:sz w:val="18"/>
                <w:szCs w:val="18"/>
              </w:rPr>
              <w:t>Totals</w:t>
            </w:r>
          </w:p>
        </w:tc>
        <w:tc>
          <w:tcPr>
            <w:tcW w:w="1032" w:type="dxa"/>
            <w:tcBorders>
              <w:top w:val="nil"/>
              <w:left w:val="nil"/>
              <w:bottom w:val="single" w:sz="12" w:space="0" w:color="auto"/>
              <w:right w:val="single" w:sz="12" w:space="0" w:color="auto"/>
            </w:tcBorders>
          </w:tcPr>
          <w:p w:rsidR="00BC0E93" w:rsidRDefault="00BC0E93">
            <w:pPr>
              <w:overflowPunct/>
              <w:jc w:val="right"/>
              <w:textAlignment w:val="auto"/>
              <w:rPr>
                <w:rFonts w:ascii="Arial" w:hAnsi="Arial" w:cs="Arial"/>
                <w:b/>
                <w:bCs/>
                <w:color w:val="000000"/>
                <w:sz w:val="18"/>
                <w:szCs w:val="18"/>
              </w:rPr>
            </w:pPr>
            <w:r>
              <w:rPr>
                <w:rFonts w:ascii="Arial" w:hAnsi="Arial" w:cs="Arial"/>
                <w:b/>
                <w:bCs/>
                <w:color w:val="000000"/>
                <w:sz w:val="18"/>
                <w:szCs w:val="18"/>
              </w:rPr>
              <w:t>22,070</w:t>
            </w:r>
          </w:p>
        </w:tc>
        <w:tc>
          <w:tcPr>
            <w:tcW w:w="1032" w:type="dxa"/>
            <w:tcBorders>
              <w:top w:val="nil"/>
              <w:left w:val="nil"/>
              <w:bottom w:val="single" w:sz="12" w:space="0" w:color="auto"/>
              <w:right w:val="single" w:sz="12" w:space="0" w:color="auto"/>
            </w:tcBorders>
          </w:tcPr>
          <w:p w:rsidR="00BC0E93" w:rsidRDefault="00BC0E93">
            <w:pPr>
              <w:overflowPunct/>
              <w:jc w:val="right"/>
              <w:textAlignment w:val="auto"/>
              <w:rPr>
                <w:rFonts w:ascii="Arial" w:hAnsi="Arial" w:cs="Arial"/>
                <w:b/>
                <w:bCs/>
                <w:color w:val="000000"/>
                <w:sz w:val="18"/>
                <w:szCs w:val="18"/>
              </w:rPr>
            </w:pPr>
            <w:r>
              <w:rPr>
                <w:rFonts w:ascii="Arial" w:hAnsi="Arial" w:cs="Arial"/>
                <w:b/>
                <w:bCs/>
                <w:color w:val="000000"/>
                <w:sz w:val="18"/>
                <w:szCs w:val="18"/>
              </w:rPr>
              <w:t>-</w:t>
            </w:r>
          </w:p>
        </w:tc>
        <w:tc>
          <w:tcPr>
            <w:tcW w:w="1032" w:type="dxa"/>
            <w:tcBorders>
              <w:top w:val="nil"/>
              <w:left w:val="nil"/>
              <w:bottom w:val="single" w:sz="12" w:space="0" w:color="auto"/>
              <w:right w:val="single" w:sz="12" w:space="0" w:color="auto"/>
            </w:tcBorders>
          </w:tcPr>
          <w:p w:rsidR="00BC0E93" w:rsidRDefault="00BC0E93">
            <w:pPr>
              <w:overflowPunct/>
              <w:jc w:val="right"/>
              <w:textAlignment w:val="auto"/>
              <w:rPr>
                <w:rFonts w:ascii="Arial" w:hAnsi="Arial" w:cs="Arial"/>
                <w:b/>
                <w:bCs/>
                <w:color w:val="000000"/>
                <w:sz w:val="18"/>
                <w:szCs w:val="18"/>
              </w:rPr>
            </w:pPr>
            <w:r>
              <w:rPr>
                <w:rFonts w:ascii="Arial" w:hAnsi="Arial" w:cs="Arial"/>
                <w:b/>
                <w:bCs/>
                <w:color w:val="000000"/>
                <w:sz w:val="18"/>
                <w:szCs w:val="18"/>
              </w:rPr>
              <w:t>12,910</w:t>
            </w:r>
          </w:p>
        </w:tc>
        <w:tc>
          <w:tcPr>
            <w:tcW w:w="1032" w:type="dxa"/>
            <w:tcBorders>
              <w:top w:val="nil"/>
              <w:left w:val="nil"/>
              <w:bottom w:val="single" w:sz="12" w:space="0" w:color="auto"/>
              <w:right w:val="single" w:sz="12" w:space="0" w:color="auto"/>
            </w:tcBorders>
          </w:tcPr>
          <w:p w:rsidR="00BC0E93" w:rsidRDefault="00BC0E93">
            <w:pPr>
              <w:overflowPunct/>
              <w:jc w:val="right"/>
              <w:textAlignment w:val="auto"/>
              <w:rPr>
                <w:rFonts w:ascii="Arial" w:hAnsi="Arial" w:cs="Arial"/>
                <w:b/>
                <w:bCs/>
                <w:color w:val="000000"/>
                <w:sz w:val="18"/>
                <w:szCs w:val="18"/>
              </w:rPr>
            </w:pPr>
            <w:r>
              <w:rPr>
                <w:rFonts w:ascii="Arial" w:hAnsi="Arial" w:cs="Arial"/>
                <w:b/>
                <w:bCs/>
                <w:color w:val="000000"/>
                <w:sz w:val="18"/>
                <w:szCs w:val="18"/>
              </w:rPr>
              <w:t>-</w:t>
            </w:r>
          </w:p>
        </w:tc>
        <w:tc>
          <w:tcPr>
            <w:tcW w:w="1032" w:type="dxa"/>
            <w:tcBorders>
              <w:top w:val="nil"/>
              <w:left w:val="nil"/>
              <w:bottom w:val="single" w:sz="12" w:space="0" w:color="auto"/>
              <w:right w:val="single" w:sz="12" w:space="0" w:color="auto"/>
            </w:tcBorders>
          </w:tcPr>
          <w:p w:rsidR="00BC0E93" w:rsidRDefault="00BC0E93">
            <w:pPr>
              <w:overflowPunct/>
              <w:jc w:val="right"/>
              <w:textAlignment w:val="auto"/>
              <w:rPr>
                <w:rFonts w:ascii="Arial" w:hAnsi="Arial" w:cs="Arial"/>
                <w:b/>
                <w:bCs/>
                <w:color w:val="000000"/>
                <w:sz w:val="18"/>
                <w:szCs w:val="18"/>
              </w:rPr>
            </w:pPr>
            <w:r>
              <w:rPr>
                <w:rFonts w:ascii="Arial" w:hAnsi="Arial" w:cs="Arial"/>
                <w:b/>
                <w:bCs/>
                <w:color w:val="000000"/>
                <w:sz w:val="18"/>
                <w:szCs w:val="18"/>
              </w:rPr>
              <w:t>425,643</w:t>
            </w:r>
          </w:p>
        </w:tc>
      </w:tr>
    </w:tbl>
    <w:p w:rsidR="00165ABB" w:rsidRPr="006478D7" w:rsidRDefault="00BC0E93" w:rsidP="00BC0E93">
      <w:pPr>
        <w:rPr>
          <w:sz w:val="24"/>
        </w:rPr>
      </w:pPr>
      <w:r w:rsidRPr="006478D7">
        <w:rPr>
          <w:sz w:val="24"/>
        </w:rPr>
        <w:t xml:space="preserve"> </w:t>
      </w:r>
    </w:p>
    <w:p w:rsidR="001F295B" w:rsidRPr="006478D7" w:rsidRDefault="00165ABB" w:rsidP="00165ABB">
      <w:pPr>
        <w:rPr>
          <w:sz w:val="24"/>
        </w:rPr>
      </w:pPr>
      <w:r w:rsidRPr="006478D7">
        <w:rPr>
          <w:sz w:val="24"/>
        </w:rPr>
        <w:t>C</w:t>
      </w:r>
      <w:r w:rsidR="001F295B" w:rsidRPr="006478D7">
        <w:rPr>
          <w:sz w:val="24"/>
        </w:rPr>
        <w:t xml:space="preserve">ost per hour based on an average annual salary of a GS-12.  </w:t>
      </w:r>
    </w:p>
    <w:p w:rsidR="001F295B" w:rsidRPr="006478D7" w:rsidRDefault="001F295B" w:rsidP="001F295B">
      <w:pPr>
        <w:tabs>
          <w:tab w:val="left" w:pos="360"/>
        </w:tabs>
        <w:rPr>
          <w:sz w:val="24"/>
        </w:rPr>
      </w:pPr>
    </w:p>
    <w:p w:rsidR="00324D67" w:rsidRDefault="00324D67" w:rsidP="00324D67">
      <w:pPr>
        <w:rPr>
          <w:sz w:val="24"/>
        </w:rPr>
      </w:pPr>
      <w:r w:rsidRPr="006478D7">
        <w:rPr>
          <w:sz w:val="24"/>
        </w:rPr>
        <w:t>15</w:t>
      </w:r>
      <w:r w:rsidR="003076BB" w:rsidRPr="006478D7">
        <w:rPr>
          <w:sz w:val="24"/>
        </w:rPr>
        <w:t>.</w:t>
      </w:r>
      <w:r w:rsidR="003076BB" w:rsidRPr="006478D7">
        <w:rPr>
          <w:sz w:val="24"/>
        </w:rPr>
        <w:tab/>
      </w:r>
      <w:r w:rsidRPr="006478D7">
        <w:rPr>
          <w:sz w:val="24"/>
        </w:rPr>
        <w:t xml:space="preserve">Explain the reasons for any program changes or adjustments reported in Items 13 or 14 of the OMB Form 83-I. </w:t>
      </w:r>
    </w:p>
    <w:p w:rsidR="00BE56F1" w:rsidRPr="006478D7" w:rsidRDefault="00BE56F1" w:rsidP="00324D67">
      <w:pPr>
        <w:rPr>
          <w:sz w:val="24"/>
        </w:rPr>
      </w:pPr>
    </w:p>
    <w:p w:rsidR="00BE56F1" w:rsidRPr="006478D7" w:rsidRDefault="00BE56F1" w:rsidP="00BE56F1">
      <w:pPr>
        <w:rPr>
          <w:sz w:val="24"/>
        </w:rPr>
      </w:pPr>
      <w:r>
        <w:rPr>
          <w:sz w:val="24"/>
        </w:rPr>
        <w:t>This is a revision of a currently approved collection.  The change</w:t>
      </w:r>
      <w:r w:rsidRPr="006478D7">
        <w:rPr>
          <w:sz w:val="24"/>
        </w:rPr>
        <w:t xml:space="preserve"> to the previous submission </w:t>
      </w:r>
      <w:r>
        <w:rPr>
          <w:sz w:val="24"/>
        </w:rPr>
        <w:t>is the revision</w:t>
      </w:r>
      <w:r w:rsidRPr="006478D7">
        <w:rPr>
          <w:sz w:val="24"/>
        </w:rPr>
        <w:t xml:space="preserve"> </w:t>
      </w:r>
      <w:r>
        <w:rPr>
          <w:sz w:val="24"/>
        </w:rPr>
        <w:t xml:space="preserve">of </w:t>
      </w:r>
      <w:r w:rsidRPr="006478D7">
        <w:rPr>
          <w:sz w:val="24"/>
        </w:rPr>
        <w:t>form HUD-92456, “Sem</w:t>
      </w:r>
      <w:r>
        <w:rPr>
          <w:sz w:val="24"/>
        </w:rPr>
        <w:t>i-annual Performance Report”.  This change</w:t>
      </w:r>
      <w:r w:rsidRPr="006478D7">
        <w:rPr>
          <w:sz w:val="24"/>
        </w:rPr>
        <w:t xml:space="preserve">, in addition to yearly appropriations allowing for new grant awards, will increase the number of respondents, number of burden hours, and Dollar amounts.  </w:t>
      </w:r>
    </w:p>
    <w:p w:rsidR="005B2BCB" w:rsidRPr="006478D7" w:rsidRDefault="005B2BCB" w:rsidP="00324D67">
      <w:pPr>
        <w:rPr>
          <w:sz w:val="24"/>
        </w:rPr>
      </w:pPr>
    </w:p>
    <w:p w:rsidR="00324D67" w:rsidRPr="006478D7" w:rsidRDefault="00324D67" w:rsidP="00324D67">
      <w:pPr>
        <w:rPr>
          <w:sz w:val="24"/>
        </w:rPr>
      </w:pPr>
      <w:r w:rsidRPr="006478D7">
        <w:rPr>
          <w:sz w:val="24"/>
        </w:rPr>
        <w:t>16.</w:t>
      </w:r>
      <w:r w:rsidRPr="006478D7">
        <w:rPr>
          <w:sz w:val="24"/>
        </w:rPr>
        <w:tab/>
        <w:t xml:space="preserve">For collections of information whose results will be published, outline plans for tabulation and publication. </w:t>
      </w:r>
    </w:p>
    <w:p w:rsidR="00324D67" w:rsidRPr="006478D7" w:rsidRDefault="00324D67" w:rsidP="00324D67">
      <w:pPr>
        <w:rPr>
          <w:sz w:val="24"/>
        </w:rPr>
      </w:pPr>
    </w:p>
    <w:p w:rsidR="003076BB" w:rsidRPr="006478D7" w:rsidRDefault="003076BB" w:rsidP="00324D67">
      <w:pPr>
        <w:rPr>
          <w:sz w:val="24"/>
        </w:rPr>
      </w:pPr>
      <w:r w:rsidRPr="006478D7">
        <w:rPr>
          <w:sz w:val="24"/>
        </w:rPr>
        <w:t>HUD does not plan to publish the results at this time.</w:t>
      </w:r>
    </w:p>
    <w:p w:rsidR="003076BB" w:rsidRPr="006478D7" w:rsidRDefault="003076BB" w:rsidP="003076BB">
      <w:pPr>
        <w:rPr>
          <w:sz w:val="24"/>
        </w:rPr>
      </w:pPr>
    </w:p>
    <w:p w:rsidR="00324D67" w:rsidRPr="006478D7" w:rsidRDefault="00324D67" w:rsidP="00324D67">
      <w:pPr>
        <w:rPr>
          <w:sz w:val="24"/>
        </w:rPr>
      </w:pPr>
      <w:r w:rsidRPr="006478D7">
        <w:rPr>
          <w:sz w:val="24"/>
        </w:rPr>
        <w:t>17</w:t>
      </w:r>
      <w:r w:rsidR="003076BB" w:rsidRPr="006478D7">
        <w:rPr>
          <w:sz w:val="24"/>
        </w:rPr>
        <w:t>.</w:t>
      </w:r>
      <w:r w:rsidR="003076BB" w:rsidRPr="006478D7">
        <w:rPr>
          <w:sz w:val="24"/>
        </w:rPr>
        <w:tab/>
      </w:r>
      <w:r w:rsidRPr="006478D7">
        <w:rPr>
          <w:sz w:val="24"/>
        </w:rPr>
        <w:t xml:space="preserve">If seeking approval to not display the expiration date for OMB approval of the information collection, explain the reasons that display would be inappropriate. </w:t>
      </w:r>
    </w:p>
    <w:p w:rsidR="00324D67" w:rsidRPr="006478D7" w:rsidRDefault="00324D67" w:rsidP="003076BB">
      <w:pPr>
        <w:rPr>
          <w:sz w:val="24"/>
        </w:rPr>
      </w:pPr>
    </w:p>
    <w:p w:rsidR="003076BB" w:rsidRPr="006478D7" w:rsidRDefault="003076BB" w:rsidP="003076BB">
      <w:pPr>
        <w:rPr>
          <w:sz w:val="24"/>
        </w:rPr>
      </w:pPr>
      <w:r w:rsidRPr="006478D7">
        <w:rPr>
          <w:sz w:val="24"/>
        </w:rPr>
        <w:t>HUD is not seeking approval to avoid displaying the OMB expiration date.</w:t>
      </w:r>
    </w:p>
    <w:p w:rsidR="00537E9E" w:rsidRPr="006478D7" w:rsidRDefault="00537E9E" w:rsidP="00537E9E">
      <w:pPr>
        <w:rPr>
          <w:sz w:val="24"/>
        </w:rPr>
      </w:pPr>
    </w:p>
    <w:p w:rsidR="00537E9E" w:rsidRPr="006478D7" w:rsidRDefault="00537E9E" w:rsidP="00537E9E">
      <w:pPr>
        <w:rPr>
          <w:sz w:val="24"/>
        </w:rPr>
      </w:pPr>
      <w:r w:rsidRPr="006478D7">
        <w:rPr>
          <w:sz w:val="24"/>
        </w:rPr>
        <w:t xml:space="preserve">18. Explain each exception to the certification statement identified in Item 19, "Certification for Paperwork Reduction Act Submissions," of OMB Form 83-I. </w:t>
      </w:r>
    </w:p>
    <w:p w:rsidR="003076BB" w:rsidRPr="006478D7" w:rsidRDefault="003076BB" w:rsidP="003076BB">
      <w:pPr>
        <w:rPr>
          <w:sz w:val="24"/>
        </w:rPr>
      </w:pPr>
    </w:p>
    <w:p w:rsidR="003076BB" w:rsidRPr="006478D7" w:rsidRDefault="003076BB" w:rsidP="003076BB">
      <w:pPr>
        <w:rPr>
          <w:sz w:val="24"/>
        </w:rPr>
      </w:pPr>
      <w:r w:rsidRPr="006478D7">
        <w:rPr>
          <w:sz w:val="24"/>
        </w:rPr>
        <w:t>There are no exceptions to the certification statement identified in item 19 of the OMB 83-I.</w:t>
      </w:r>
    </w:p>
    <w:p w:rsidR="003076BB" w:rsidRPr="006478D7" w:rsidRDefault="003076BB" w:rsidP="003076BB">
      <w:pPr>
        <w:rPr>
          <w:sz w:val="24"/>
        </w:rPr>
      </w:pPr>
    </w:p>
    <w:p w:rsidR="003076BB" w:rsidRPr="006478D7" w:rsidRDefault="003076BB" w:rsidP="003076BB">
      <w:pPr>
        <w:rPr>
          <w:sz w:val="24"/>
        </w:rPr>
      </w:pPr>
      <w:r w:rsidRPr="006478D7">
        <w:rPr>
          <w:sz w:val="24"/>
        </w:rPr>
        <w:t xml:space="preserve">B. </w:t>
      </w:r>
      <w:r w:rsidRPr="006478D7">
        <w:rPr>
          <w:sz w:val="24"/>
        </w:rPr>
        <w:tab/>
        <w:t>Collections of Information Employing Statistical Methods</w:t>
      </w:r>
    </w:p>
    <w:p w:rsidR="003076BB" w:rsidRPr="006478D7" w:rsidRDefault="003076BB" w:rsidP="003076BB">
      <w:pPr>
        <w:rPr>
          <w:sz w:val="24"/>
        </w:rPr>
      </w:pPr>
    </w:p>
    <w:p w:rsidR="00AD350E" w:rsidRPr="006478D7" w:rsidRDefault="003076BB" w:rsidP="003076BB">
      <w:pPr>
        <w:rPr>
          <w:sz w:val="24"/>
        </w:rPr>
      </w:pPr>
      <w:r w:rsidRPr="006478D7">
        <w:rPr>
          <w:sz w:val="24"/>
        </w:rPr>
        <w:tab/>
        <w:t>This information collection does not employ statistical methods.</w:t>
      </w:r>
    </w:p>
    <w:p w:rsidR="003076BB" w:rsidRPr="006478D7" w:rsidRDefault="003076BB" w:rsidP="003076BB">
      <w:pPr>
        <w:rPr>
          <w:sz w:val="24"/>
        </w:rPr>
      </w:pPr>
    </w:p>
    <w:sectPr w:rsidR="003076BB" w:rsidRPr="006478D7" w:rsidSect="007D5D0C">
      <w:headerReference w:type="even" r:id="rId8"/>
      <w:headerReference w:type="default" r:id="rId9"/>
      <w:footerReference w:type="even" r:id="rId10"/>
      <w:footerReference w:type="default" r:id="rId11"/>
      <w:headerReference w:type="first" r:id="rId12"/>
      <w:footerReference w:type="first" r:id="rId13"/>
      <w:pgSz w:w="12240" w:h="15840"/>
      <w:pgMar w:top="480" w:right="720" w:bottom="480" w:left="990" w:header="480" w:footer="480" w:gutter="0"/>
      <w:cols w:space="480" w:equalWidth="0">
        <w:col w:w="1041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3BB" w:rsidRDefault="008413BB" w:rsidP="00AD350E">
      <w:r>
        <w:separator/>
      </w:r>
    </w:p>
  </w:endnote>
  <w:endnote w:type="continuationSeparator" w:id="0">
    <w:p w:rsidR="008413BB" w:rsidRDefault="008413BB" w:rsidP="00AD3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6F1" w:rsidRDefault="00BE56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ABB" w:rsidRDefault="00165A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4AA8">
      <w:rPr>
        <w:rStyle w:val="PageNumber"/>
        <w:noProof/>
      </w:rPr>
      <w:t>7</w:t>
    </w:r>
    <w:r>
      <w:rPr>
        <w:rStyle w:val="PageNumber"/>
      </w:rPr>
      <w:fldChar w:fldCharType="end"/>
    </w:r>
  </w:p>
  <w:p w:rsidR="00165ABB" w:rsidRDefault="00165ABB">
    <w:pPr>
      <w:pStyle w:val="Footer"/>
      <w:tabs>
        <w:tab w:val="clear" w:pos="4320"/>
        <w:tab w:val="clear" w:pos="8640"/>
        <w:tab w:val="right" w:pos="10920"/>
      </w:tabs>
      <w:spacing w:line="120" w:lineRule="exact"/>
      <w:ind w:left="-120" w:right="-120"/>
      <w:rPr>
        <w:rFonts w:ascii="Helvetica" w:hAnsi="Helvetica"/>
        <w:b/>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6F1" w:rsidRDefault="00BE56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3BB" w:rsidRDefault="008413BB" w:rsidP="00AD350E">
      <w:r>
        <w:separator/>
      </w:r>
    </w:p>
  </w:footnote>
  <w:footnote w:type="continuationSeparator" w:id="0">
    <w:p w:rsidR="008413BB" w:rsidRDefault="008413BB" w:rsidP="00AD35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6F1" w:rsidRDefault="00BE56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6F1" w:rsidRDefault="00BE56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6F1" w:rsidRDefault="00BE56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0AACEE0"/>
    <w:lvl w:ilvl="0">
      <w:numFmt w:val="decimal"/>
      <w:lvlText w:val="*"/>
      <w:lvlJc w:val="left"/>
    </w:lvl>
  </w:abstractNum>
  <w:abstractNum w:abstractNumId="1">
    <w:nsid w:val="07904253"/>
    <w:multiLevelType w:val="hybridMultilevel"/>
    <w:tmpl w:val="336AB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394FE1"/>
    <w:multiLevelType w:val="singleLevel"/>
    <w:tmpl w:val="048CC376"/>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0ACC59B0"/>
    <w:multiLevelType w:val="hybridMultilevel"/>
    <w:tmpl w:val="30463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2D0DF3"/>
    <w:multiLevelType w:val="singleLevel"/>
    <w:tmpl w:val="9BA47DB2"/>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5">
    <w:nsid w:val="1BBB132F"/>
    <w:multiLevelType w:val="singleLevel"/>
    <w:tmpl w:val="5EDE0420"/>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6">
    <w:nsid w:val="23FD65E8"/>
    <w:multiLevelType w:val="hybridMultilevel"/>
    <w:tmpl w:val="9DB6C314"/>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4797FF1"/>
    <w:multiLevelType w:val="hybridMultilevel"/>
    <w:tmpl w:val="0BCE43F4"/>
    <w:lvl w:ilvl="0" w:tplc="FA1E1452">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64C6BFA"/>
    <w:multiLevelType w:val="hybridMultilevel"/>
    <w:tmpl w:val="4E4E9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BA29F4"/>
    <w:multiLevelType w:val="singleLevel"/>
    <w:tmpl w:val="54FC9768"/>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0">
    <w:nsid w:val="393B570A"/>
    <w:multiLevelType w:val="hybridMultilevel"/>
    <w:tmpl w:val="B0CC0788"/>
    <w:lvl w:ilvl="0" w:tplc="5E94E84E">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9535B50"/>
    <w:multiLevelType w:val="hybridMultilevel"/>
    <w:tmpl w:val="96641614"/>
    <w:lvl w:ilvl="0" w:tplc="92D45A2A">
      <w:start w:val="8"/>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2">
    <w:nsid w:val="3AA75D1F"/>
    <w:multiLevelType w:val="hybridMultilevel"/>
    <w:tmpl w:val="7ACE9596"/>
    <w:lvl w:ilvl="0" w:tplc="FE3E52B6">
      <w:start w:val="1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196C50"/>
    <w:multiLevelType w:val="hybridMultilevel"/>
    <w:tmpl w:val="FF867A90"/>
    <w:lvl w:ilvl="0" w:tplc="5E94E84E">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01064B4"/>
    <w:multiLevelType w:val="hybridMultilevel"/>
    <w:tmpl w:val="4D52C058"/>
    <w:lvl w:ilvl="0" w:tplc="5E94E84E">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CD1EF3"/>
    <w:multiLevelType w:val="hybridMultilevel"/>
    <w:tmpl w:val="F3E8AC9E"/>
    <w:lvl w:ilvl="0" w:tplc="F74EFE28">
      <w:start w:val="14"/>
      <w:numFmt w:val="bullet"/>
      <w:lvlText w:val=""/>
      <w:lvlJc w:val="left"/>
      <w:pPr>
        <w:tabs>
          <w:tab w:val="num" w:pos="720"/>
        </w:tabs>
        <w:ind w:left="720" w:hanging="360"/>
      </w:pPr>
      <w:rPr>
        <w:rFonts w:ascii="Symbol" w:eastAsia="Times New Roman" w:hAnsi="Symbol" w:cs="Times New Roman"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34D3387"/>
    <w:multiLevelType w:val="singleLevel"/>
    <w:tmpl w:val="048CC376"/>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7">
    <w:nsid w:val="49481631"/>
    <w:multiLevelType w:val="hybridMultilevel"/>
    <w:tmpl w:val="0CA8CDA6"/>
    <w:lvl w:ilvl="0" w:tplc="BC76A50A">
      <w:start w:val="60"/>
      <w:numFmt w:val="bullet"/>
      <w:lvlText w:val=""/>
      <w:lvlJc w:val="left"/>
      <w:pPr>
        <w:tabs>
          <w:tab w:val="num" w:pos="720"/>
        </w:tabs>
        <w:ind w:left="360" w:firstLine="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07C5DA1"/>
    <w:multiLevelType w:val="hybridMultilevel"/>
    <w:tmpl w:val="87CC1564"/>
    <w:lvl w:ilvl="0" w:tplc="5E94E84E">
      <w:start w:val="1"/>
      <w:numFmt w:val="decimal"/>
      <w:lvlText w:val="%1."/>
      <w:lvlJc w:val="lef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87D0884"/>
    <w:multiLevelType w:val="hybridMultilevel"/>
    <w:tmpl w:val="A68E3508"/>
    <w:lvl w:ilvl="0" w:tplc="40F2E682">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9013301"/>
    <w:multiLevelType w:val="hybridMultilevel"/>
    <w:tmpl w:val="4C245476"/>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B0A515C"/>
    <w:multiLevelType w:val="hybridMultilevel"/>
    <w:tmpl w:val="7CE85378"/>
    <w:lvl w:ilvl="0" w:tplc="7764C36C">
      <w:start w:val="1"/>
      <w:numFmt w:val="decimal"/>
      <w:lvlText w:val="%1."/>
      <w:lvlJc w:val="left"/>
      <w:pPr>
        <w:tabs>
          <w:tab w:val="num" w:pos="1320"/>
        </w:tabs>
        <w:ind w:left="1320" w:hanging="960"/>
      </w:pPr>
      <w:rPr>
        <w:rFonts w:ascii="Courier New" w:hAnsi="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C45196F"/>
    <w:multiLevelType w:val="singleLevel"/>
    <w:tmpl w:val="F43EB172"/>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3">
    <w:nsid w:val="65356031"/>
    <w:multiLevelType w:val="singleLevel"/>
    <w:tmpl w:val="F40CF21E"/>
    <w:lvl w:ilvl="0">
      <w:start w:val="1"/>
      <w:numFmt w:val="decimal"/>
      <w:lvlText w:val="%1."/>
      <w:legacy w:legacy="1" w:legacySpace="120" w:legacyIndent="360"/>
      <w:lvlJc w:val="left"/>
      <w:pPr>
        <w:ind w:left="720" w:hanging="360"/>
      </w:pPr>
    </w:lvl>
  </w:abstractNum>
  <w:abstractNum w:abstractNumId="24">
    <w:nsid w:val="6D007347"/>
    <w:multiLevelType w:val="hybridMultilevel"/>
    <w:tmpl w:val="7126546E"/>
    <w:lvl w:ilvl="0" w:tplc="BC76A50A">
      <w:start w:val="60"/>
      <w:numFmt w:val="bullet"/>
      <w:lvlText w:val=""/>
      <w:lvlJc w:val="left"/>
      <w:pPr>
        <w:tabs>
          <w:tab w:val="num" w:pos="720"/>
        </w:tabs>
        <w:ind w:left="360" w:firstLine="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2894D70"/>
    <w:multiLevelType w:val="hybridMultilevel"/>
    <w:tmpl w:val="FF24C4F2"/>
    <w:lvl w:ilvl="0" w:tplc="5E94E84E">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ECC2404"/>
    <w:multiLevelType w:val="singleLevel"/>
    <w:tmpl w:val="DCC0356C"/>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num w:numId="1">
    <w:abstractNumId w:val="16"/>
  </w:num>
  <w:num w:numId="2">
    <w:abstractNumId w:val="2"/>
  </w:num>
  <w:num w:numId="3">
    <w:abstractNumId w:val="4"/>
  </w:num>
  <w:num w:numId="4">
    <w:abstractNumId w:val="22"/>
  </w:num>
  <w:num w:numId="5">
    <w:abstractNumId w:val="26"/>
  </w:num>
  <w:num w:numId="6">
    <w:abstractNumId w:val="2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5"/>
  </w:num>
  <w:num w:numId="9">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0">
    <w:abstractNumId w:val="23"/>
  </w:num>
  <w:num w:numId="11">
    <w:abstractNumId w:val="9"/>
  </w:num>
  <w:num w:numId="12">
    <w:abstractNumId w:val="21"/>
  </w:num>
  <w:num w:numId="13">
    <w:abstractNumId w:val="11"/>
  </w:num>
  <w:num w:numId="14">
    <w:abstractNumId w:val="12"/>
  </w:num>
  <w:num w:numId="15">
    <w:abstractNumId w:val="6"/>
  </w:num>
  <w:num w:numId="16">
    <w:abstractNumId w:val="24"/>
  </w:num>
  <w:num w:numId="17">
    <w:abstractNumId w:val="15"/>
  </w:num>
  <w:num w:numId="18">
    <w:abstractNumId w:val="20"/>
  </w:num>
  <w:num w:numId="19">
    <w:abstractNumId w:val="17"/>
  </w:num>
  <w:num w:numId="20">
    <w:abstractNumId w:val="7"/>
  </w:num>
  <w:num w:numId="21">
    <w:abstractNumId w:val="10"/>
  </w:num>
  <w:num w:numId="22">
    <w:abstractNumId w:val="13"/>
  </w:num>
  <w:num w:numId="23">
    <w:abstractNumId w:val="14"/>
  </w:num>
  <w:num w:numId="24">
    <w:abstractNumId w:val="18"/>
  </w:num>
  <w:num w:numId="25">
    <w:abstractNumId w:val="25"/>
  </w:num>
  <w:num w:numId="26">
    <w:abstractNumId w:val="19"/>
  </w:num>
  <w:num w:numId="27">
    <w:abstractNumId w:val="3"/>
  </w:num>
  <w:num w:numId="28">
    <w:abstractNumId w:val="1"/>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2D1"/>
    <w:rsid w:val="0000650A"/>
    <w:rsid w:val="0008189E"/>
    <w:rsid w:val="001270A5"/>
    <w:rsid w:val="00127196"/>
    <w:rsid w:val="001375BC"/>
    <w:rsid w:val="001462F8"/>
    <w:rsid w:val="00146866"/>
    <w:rsid w:val="00165ABB"/>
    <w:rsid w:val="001838D4"/>
    <w:rsid w:val="0019502C"/>
    <w:rsid w:val="001F295B"/>
    <w:rsid w:val="00225B02"/>
    <w:rsid w:val="0025605F"/>
    <w:rsid w:val="002B02A9"/>
    <w:rsid w:val="002C03A7"/>
    <w:rsid w:val="002D2F02"/>
    <w:rsid w:val="003076BB"/>
    <w:rsid w:val="00324D67"/>
    <w:rsid w:val="00361C27"/>
    <w:rsid w:val="00384590"/>
    <w:rsid w:val="00397B24"/>
    <w:rsid w:val="003D3BEC"/>
    <w:rsid w:val="003F4AA8"/>
    <w:rsid w:val="00405348"/>
    <w:rsid w:val="004162D9"/>
    <w:rsid w:val="00424205"/>
    <w:rsid w:val="00454EEC"/>
    <w:rsid w:val="00455D78"/>
    <w:rsid w:val="0045730E"/>
    <w:rsid w:val="00485461"/>
    <w:rsid w:val="00495B28"/>
    <w:rsid w:val="004D1915"/>
    <w:rsid w:val="004E5A68"/>
    <w:rsid w:val="00537E9E"/>
    <w:rsid w:val="00545B45"/>
    <w:rsid w:val="00596098"/>
    <w:rsid w:val="005A0BB4"/>
    <w:rsid w:val="005A41C8"/>
    <w:rsid w:val="005B2BCB"/>
    <w:rsid w:val="005B421F"/>
    <w:rsid w:val="005D07D7"/>
    <w:rsid w:val="005E02D1"/>
    <w:rsid w:val="0060070D"/>
    <w:rsid w:val="006478D7"/>
    <w:rsid w:val="006655D8"/>
    <w:rsid w:val="00665771"/>
    <w:rsid w:val="0066692D"/>
    <w:rsid w:val="006B4221"/>
    <w:rsid w:val="006D64BB"/>
    <w:rsid w:val="006E6BBA"/>
    <w:rsid w:val="00743E2D"/>
    <w:rsid w:val="0076250F"/>
    <w:rsid w:val="00787CF1"/>
    <w:rsid w:val="007A2E31"/>
    <w:rsid w:val="007B51E5"/>
    <w:rsid w:val="007D5D0C"/>
    <w:rsid w:val="008413BB"/>
    <w:rsid w:val="00841B1C"/>
    <w:rsid w:val="00850EE4"/>
    <w:rsid w:val="00866EC9"/>
    <w:rsid w:val="008A2339"/>
    <w:rsid w:val="0090518F"/>
    <w:rsid w:val="00912745"/>
    <w:rsid w:val="009404FD"/>
    <w:rsid w:val="00963DD0"/>
    <w:rsid w:val="009A03B4"/>
    <w:rsid w:val="009B0AEA"/>
    <w:rsid w:val="009B7370"/>
    <w:rsid w:val="009D5123"/>
    <w:rsid w:val="009E4BE9"/>
    <w:rsid w:val="009E56E1"/>
    <w:rsid w:val="00A01713"/>
    <w:rsid w:val="00A2666D"/>
    <w:rsid w:val="00A5041D"/>
    <w:rsid w:val="00AD350E"/>
    <w:rsid w:val="00AE01F4"/>
    <w:rsid w:val="00AF2DF5"/>
    <w:rsid w:val="00B256F3"/>
    <w:rsid w:val="00B546B7"/>
    <w:rsid w:val="00B87124"/>
    <w:rsid w:val="00B90BE9"/>
    <w:rsid w:val="00BB3105"/>
    <w:rsid w:val="00BC0E93"/>
    <w:rsid w:val="00BC71AB"/>
    <w:rsid w:val="00BE56F1"/>
    <w:rsid w:val="00BF6F9A"/>
    <w:rsid w:val="00C44B3B"/>
    <w:rsid w:val="00CC74E3"/>
    <w:rsid w:val="00D234A9"/>
    <w:rsid w:val="00D67CE6"/>
    <w:rsid w:val="00DA6D36"/>
    <w:rsid w:val="00DB1390"/>
    <w:rsid w:val="00DE791E"/>
    <w:rsid w:val="00DF5149"/>
    <w:rsid w:val="00E00D4E"/>
    <w:rsid w:val="00E2069A"/>
    <w:rsid w:val="00E40B1C"/>
    <w:rsid w:val="00E50155"/>
    <w:rsid w:val="00E61F61"/>
    <w:rsid w:val="00E74A12"/>
    <w:rsid w:val="00EF6AF0"/>
    <w:rsid w:val="00F074C4"/>
    <w:rsid w:val="00F10813"/>
    <w:rsid w:val="00F25AB4"/>
    <w:rsid w:val="00F6661E"/>
    <w:rsid w:val="00F73D83"/>
    <w:rsid w:val="00F745DB"/>
    <w:rsid w:val="00F97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2">
    <w:name w:val="heading 2"/>
    <w:basedOn w:val="Normal"/>
    <w:next w:val="Normal"/>
    <w:qFormat/>
    <w:pPr>
      <w:keepNext/>
      <w:tabs>
        <w:tab w:val="left" w:pos="360"/>
      </w:tabs>
      <w:jc w:val="center"/>
      <w:outlineLvl w:val="1"/>
    </w:pPr>
    <w:rPr>
      <w:rFonts w:ascii="Helvetica" w:hAnsi="Helvetic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styleId="BodyText2">
    <w:name w:val="Body Text 2"/>
    <w:basedOn w:val="Normal"/>
    <w:semiHidden/>
    <w:pPr>
      <w:tabs>
        <w:tab w:val="left" w:pos="720"/>
      </w:tabs>
      <w:ind w:left="720"/>
    </w:pPr>
    <w:rPr>
      <w:sz w:val="24"/>
    </w:rPr>
  </w:style>
  <w:style w:type="paragraph" w:styleId="BodyTextIndent">
    <w:name w:val="Body Text Indent"/>
    <w:basedOn w:val="Normal"/>
    <w:semiHidden/>
    <w:pPr>
      <w:ind w:left="360"/>
    </w:pPr>
    <w:rPr>
      <w:sz w:val="24"/>
    </w:rPr>
  </w:style>
  <w:style w:type="paragraph" w:styleId="EndnoteText">
    <w:name w:val="endnote text"/>
    <w:basedOn w:val="Normal"/>
    <w:semiHidden/>
  </w:style>
  <w:style w:type="character" w:styleId="PageNumber">
    <w:name w:val="page number"/>
    <w:basedOn w:val="DefaultParagraphFont"/>
    <w:semiHidden/>
  </w:style>
  <w:style w:type="paragraph" w:styleId="BodyTextIndent2">
    <w:name w:val="Body Text Indent 2"/>
    <w:basedOn w:val="Normal"/>
    <w:semiHidden/>
    <w:pPr>
      <w:tabs>
        <w:tab w:val="left" w:pos="360"/>
        <w:tab w:val="left" w:pos="720"/>
      </w:tabs>
      <w:ind w:left="360" w:hanging="360"/>
    </w:pPr>
    <w:rPr>
      <w:sz w:val="24"/>
    </w:rPr>
  </w:style>
  <w:style w:type="paragraph" w:styleId="BodyTextIndent3">
    <w:name w:val="Body Text Indent 3"/>
    <w:basedOn w:val="Normal"/>
    <w:semiHidden/>
    <w:pPr>
      <w:tabs>
        <w:tab w:val="left" w:pos="360"/>
        <w:tab w:val="left" w:pos="720"/>
      </w:tabs>
      <w:ind w:left="360" w:hanging="450"/>
    </w:pPr>
    <w:rPr>
      <w:sz w:val="24"/>
    </w:rPr>
  </w:style>
  <w:style w:type="paragraph" w:styleId="BlockText">
    <w:name w:val="Block Text"/>
    <w:basedOn w:val="Normal"/>
    <w:semiHidden/>
    <w:pPr>
      <w:tabs>
        <w:tab w:val="left" w:pos="240"/>
      </w:tabs>
      <w:spacing w:after="60"/>
      <w:ind w:left="120" w:right="-120"/>
    </w:pPr>
    <w:rPr>
      <w:rFonts w:ascii="Helvetica" w:hAnsi="Helvetica"/>
      <w:sz w:val="18"/>
    </w:rPr>
  </w:style>
  <w:style w:type="paragraph" w:styleId="BodyText">
    <w:name w:val="Body Text"/>
    <w:basedOn w:val="Normal"/>
    <w:semiHidden/>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Pr>
      <w:rFonts w:ascii="Helvetica" w:hAnsi="Helvetica"/>
      <w:b/>
      <w:sz w:val="22"/>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PlainText">
    <w:name w:val="Plain Text"/>
    <w:basedOn w:val="Normal"/>
    <w:link w:val="PlainTextChar"/>
    <w:rsid w:val="00AF2DF5"/>
    <w:pPr>
      <w:overflowPunct/>
      <w:autoSpaceDE/>
      <w:autoSpaceDN/>
      <w:adjustRightInd/>
      <w:textAlignment w:val="auto"/>
    </w:pPr>
    <w:rPr>
      <w:rFonts w:ascii="Courier New" w:hAnsi="Courier New" w:cs="Courier New"/>
    </w:rPr>
  </w:style>
  <w:style w:type="character" w:customStyle="1" w:styleId="PlainTextChar">
    <w:name w:val="Plain Text Char"/>
    <w:link w:val="PlainText"/>
    <w:rsid w:val="00AF2DF5"/>
    <w:rPr>
      <w:rFonts w:ascii="Courier New" w:hAnsi="Courier New" w:cs="Courier New"/>
    </w:rPr>
  </w:style>
  <w:style w:type="paragraph" w:styleId="BalloonText">
    <w:name w:val="Balloon Text"/>
    <w:basedOn w:val="Normal"/>
    <w:link w:val="BalloonTextChar"/>
    <w:uiPriority w:val="99"/>
    <w:semiHidden/>
    <w:unhideWhenUsed/>
    <w:rsid w:val="00BF6F9A"/>
    <w:rPr>
      <w:rFonts w:ascii="Tahoma" w:hAnsi="Tahoma" w:cs="Tahoma"/>
      <w:sz w:val="16"/>
      <w:szCs w:val="16"/>
    </w:rPr>
  </w:style>
  <w:style w:type="character" w:customStyle="1" w:styleId="BalloonTextChar">
    <w:name w:val="Balloon Text Char"/>
    <w:link w:val="BalloonText"/>
    <w:uiPriority w:val="99"/>
    <w:semiHidden/>
    <w:rsid w:val="00BF6F9A"/>
    <w:rPr>
      <w:rFonts w:ascii="Tahoma" w:hAnsi="Tahoma" w:cs="Tahoma"/>
      <w:sz w:val="16"/>
      <w:szCs w:val="16"/>
    </w:rPr>
  </w:style>
  <w:style w:type="paragraph" w:styleId="ListParagraph">
    <w:name w:val="List Paragraph"/>
    <w:basedOn w:val="Normal"/>
    <w:uiPriority w:val="34"/>
    <w:qFormat/>
    <w:rsid w:val="00C44B3B"/>
    <w:pPr>
      <w:overflowPunct/>
      <w:autoSpaceDE/>
      <w:autoSpaceDN/>
      <w:adjustRightInd/>
      <w:spacing w:after="200"/>
      <w:ind w:left="720"/>
      <w:contextualSpacing/>
      <w:textAlignment w:val="auto"/>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2">
    <w:name w:val="heading 2"/>
    <w:basedOn w:val="Normal"/>
    <w:next w:val="Normal"/>
    <w:qFormat/>
    <w:pPr>
      <w:keepNext/>
      <w:tabs>
        <w:tab w:val="left" w:pos="360"/>
      </w:tabs>
      <w:jc w:val="center"/>
      <w:outlineLvl w:val="1"/>
    </w:pPr>
    <w:rPr>
      <w:rFonts w:ascii="Helvetica" w:hAnsi="Helvetic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styleId="BodyText2">
    <w:name w:val="Body Text 2"/>
    <w:basedOn w:val="Normal"/>
    <w:semiHidden/>
    <w:pPr>
      <w:tabs>
        <w:tab w:val="left" w:pos="720"/>
      </w:tabs>
      <w:ind w:left="720"/>
    </w:pPr>
    <w:rPr>
      <w:sz w:val="24"/>
    </w:rPr>
  </w:style>
  <w:style w:type="paragraph" w:styleId="BodyTextIndent">
    <w:name w:val="Body Text Indent"/>
    <w:basedOn w:val="Normal"/>
    <w:semiHidden/>
    <w:pPr>
      <w:ind w:left="360"/>
    </w:pPr>
    <w:rPr>
      <w:sz w:val="24"/>
    </w:rPr>
  </w:style>
  <w:style w:type="paragraph" w:styleId="EndnoteText">
    <w:name w:val="endnote text"/>
    <w:basedOn w:val="Normal"/>
    <w:semiHidden/>
  </w:style>
  <w:style w:type="character" w:styleId="PageNumber">
    <w:name w:val="page number"/>
    <w:basedOn w:val="DefaultParagraphFont"/>
    <w:semiHidden/>
  </w:style>
  <w:style w:type="paragraph" w:styleId="BodyTextIndent2">
    <w:name w:val="Body Text Indent 2"/>
    <w:basedOn w:val="Normal"/>
    <w:semiHidden/>
    <w:pPr>
      <w:tabs>
        <w:tab w:val="left" w:pos="360"/>
        <w:tab w:val="left" w:pos="720"/>
      </w:tabs>
      <w:ind w:left="360" w:hanging="360"/>
    </w:pPr>
    <w:rPr>
      <w:sz w:val="24"/>
    </w:rPr>
  </w:style>
  <w:style w:type="paragraph" w:styleId="BodyTextIndent3">
    <w:name w:val="Body Text Indent 3"/>
    <w:basedOn w:val="Normal"/>
    <w:semiHidden/>
    <w:pPr>
      <w:tabs>
        <w:tab w:val="left" w:pos="360"/>
        <w:tab w:val="left" w:pos="720"/>
      </w:tabs>
      <w:ind w:left="360" w:hanging="450"/>
    </w:pPr>
    <w:rPr>
      <w:sz w:val="24"/>
    </w:rPr>
  </w:style>
  <w:style w:type="paragraph" w:styleId="BlockText">
    <w:name w:val="Block Text"/>
    <w:basedOn w:val="Normal"/>
    <w:semiHidden/>
    <w:pPr>
      <w:tabs>
        <w:tab w:val="left" w:pos="240"/>
      </w:tabs>
      <w:spacing w:after="60"/>
      <w:ind w:left="120" w:right="-120"/>
    </w:pPr>
    <w:rPr>
      <w:rFonts w:ascii="Helvetica" w:hAnsi="Helvetica"/>
      <w:sz w:val="18"/>
    </w:rPr>
  </w:style>
  <w:style w:type="paragraph" w:styleId="BodyText">
    <w:name w:val="Body Text"/>
    <w:basedOn w:val="Normal"/>
    <w:semiHidden/>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Pr>
      <w:rFonts w:ascii="Helvetica" w:hAnsi="Helvetica"/>
      <w:b/>
      <w:sz w:val="22"/>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PlainText">
    <w:name w:val="Plain Text"/>
    <w:basedOn w:val="Normal"/>
    <w:link w:val="PlainTextChar"/>
    <w:rsid w:val="00AF2DF5"/>
    <w:pPr>
      <w:overflowPunct/>
      <w:autoSpaceDE/>
      <w:autoSpaceDN/>
      <w:adjustRightInd/>
      <w:textAlignment w:val="auto"/>
    </w:pPr>
    <w:rPr>
      <w:rFonts w:ascii="Courier New" w:hAnsi="Courier New" w:cs="Courier New"/>
    </w:rPr>
  </w:style>
  <w:style w:type="character" w:customStyle="1" w:styleId="PlainTextChar">
    <w:name w:val="Plain Text Char"/>
    <w:link w:val="PlainText"/>
    <w:rsid w:val="00AF2DF5"/>
    <w:rPr>
      <w:rFonts w:ascii="Courier New" w:hAnsi="Courier New" w:cs="Courier New"/>
    </w:rPr>
  </w:style>
  <w:style w:type="paragraph" w:styleId="BalloonText">
    <w:name w:val="Balloon Text"/>
    <w:basedOn w:val="Normal"/>
    <w:link w:val="BalloonTextChar"/>
    <w:uiPriority w:val="99"/>
    <w:semiHidden/>
    <w:unhideWhenUsed/>
    <w:rsid w:val="00BF6F9A"/>
    <w:rPr>
      <w:rFonts w:ascii="Tahoma" w:hAnsi="Tahoma" w:cs="Tahoma"/>
      <w:sz w:val="16"/>
      <w:szCs w:val="16"/>
    </w:rPr>
  </w:style>
  <w:style w:type="character" w:customStyle="1" w:styleId="BalloonTextChar">
    <w:name w:val="Balloon Text Char"/>
    <w:link w:val="BalloonText"/>
    <w:uiPriority w:val="99"/>
    <w:semiHidden/>
    <w:rsid w:val="00BF6F9A"/>
    <w:rPr>
      <w:rFonts w:ascii="Tahoma" w:hAnsi="Tahoma" w:cs="Tahoma"/>
      <w:sz w:val="16"/>
      <w:szCs w:val="16"/>
    </w:rPr>
  </w:style>
  <w:style w:type="paragraph" w:styleId="ListParagraph">
    <w:name w:val="List Paragraph"/>
    <w:basedOn w:val="Normal"/>
    <w:uiPriority w:val="34"/>
    <w:qFormat/>
    <w:rsid w:val="00C44B3B"/>
    <w:pPr>
      <w:overflowPunct/>
      <w:autoSpaceDE/>
      <w:autoSpaceDN/>
      <w:adjustRightInd/>
      <w:spacing w:after="200"/>
      <w:ind w:left="720"/>
      <w:contextualSpacing/>
      <w:textAlignment w:val="auto"/>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0704">
      <w:bodyDiv w:val="1"/>
      <w:marLeft w:val="0"/>
      <w:marRight w:val="0"/>
      <w:marTop w:val="0"/>
      <w:marBottom w:val="0"/>
      <w:divBdr>
        <w:top w:val="none" w:sz="0" w:space="0" w:color="auto"/>
        <w:left w:val="none" w:sz="0" w:space="0" w:color="auto"/>
        <w:bottom w:val="none" w:sz="0" w:space="0" w:color="auto"/>
        <w:right w:val="none" w:sz="0" w:space="0" w:color="auto"/>
      </w:divBdr>
    </w:div>
    <w:div w:id="38743902">
      <w:bodyDiv w:val="1"/>
      <w:marLeft w:val="0"/>
      <w:marRight w:val="0"/>
      <w:marTop w:val="0"/>
      <w:marBottom w:val="0"/>
      <w:divBdr>
        <w:top w:val="none" w:sz="0" w:space="0" w:color="auto"/>
        <w:left w:val="none" w:sz="0" w:space="0" w:color="auto"/>
        <w:bottom w:val="none" w:sz="0" w:space="0" w:color="auto"/>
        <w:right w:val="none" w:sz="0" w:space="0" w:color="auto"/>
      </w:divBdr>
    </w:div>
    <w:div w:id="76247869">
      <w:bodyDiv w:val="1"/>
      <w:marLeft w:val="0"/>
      <w:marRight w:val="0"/>
      <w:marTop w:val="0"/>
      <w:marBottom w:val="0"/>
      <w:divBdr>
        <w:top w:val="none" w:sz="0" w:space="0" w:color="auto"/>
        <w:left w:val="none" w:sz="0" w:space="0" w:color="auto"/>
        <w:bottom w:val="none" w:sz="0" w:space="0" w:color="auto"/>
        <w:right w:val="none" w:sz="0" w:space="0" w:color="auto"/>
      </w:divBdr>
    </w:div>
    <w:div w:id="81413188">
      <w:bodyDiv w:val="1"/>
      <w:marLeft w:val="0"/>
      <w:marRight w:val="0"/>
      <w:marTop w:val="0"/>
      <w:marBottom w:val="0"/>
      <w:divBdr>
        <w:top w:val="none" w:sz="0" w:space="0" w:color="auto"/>
        <w:left w:val="none" w:sz="0" w:space="0" w:color="auto"/>
        <w:bottom w:val="none" w:sz="0" w:space="0" w:color="auto"/>
        <w:right w:val="none" w:sz="0" w:space="0" w:color="auto"/>
      </w:divBdr>
    </w:div>
    <w:div w:id="119614642">
      <w:bodyDiv w:val="1"/>
      <w:marLeft w:val="0"/>
      <w:marRight w:val="0"/>
      <w:marTop w:val="0"/>
      <w:marBottom w:val="0"/>
      <w:divBdr>
        <w:top w:val="none" w:sz="0" w:space="0" w:color="auto"/>
        <w:left w:val="none" w:sz="0" w:space="0" w:color="auto"/>
        <w:bottom w:val="none" w:sz="0" w:space="0" w:color="auto"/>
        <w:right w:val="none" w:sz="0" w:space="0" w:color="auto"/>
      </w:divBdr>
    </w:div>
    <w:div w:id="429205393">
      <w:bodyDiv w:val="1"/>
      <w:marLeft w:val="0"/>
      <w:marRight w:val="0"/>
      <w:marTop w:val="0"/>
      <w:marBottom w:val="0"/>
      <w:divBdr>
        <w:top w:val="none" w:sz="0" w:space="0" w:color="auto"/>
        <w:left w:val="none" w:sz="0" w:space="0" w:color="auto"/>
        <w:bottom w:val="none" w:sz="0" w:space="0" w:color="auto"/>
        <w:right w:val="none" w:sz="0" w:space="0" w:color="auto"/>
      </w:divBdr>
    </w:div>
    <w:div w:id="440762360">
      <w:bodyDiv w:val="1"/>
      <w:marLeft w:val="0"/>
      <w:marRight w:val="0"/>
      <w:marTop w:val="0"/>
      <w:marBottom w:val="0"/>
      <w:divBdr>
        <w:top w:val="none" w:sz="0" w:space="0" w:color="auto"/>
        <w:left w:val="none" w:sz="0" w:space="0" w:color="auto"/>
        <w:bottom w:val="none" w:sz="0" w:space="0" w:color="auto"/>
        <w:right w:val="none" w:sz="0" w:space="0" w:color="auto"/>
      </w:divBdr>
    </w:div>
    <w:div w:id="484783625">
      <w:bodyDiv w:val="1"/>
      <w:marLeft w:val="0"/>
      <w:marRight w:val="0"/>
      <w:marTop w:val="0"/>
      <w:marBottom w:val="0"/>
      <w:divBdr>
        <w:top w:val="none" w:sz="0" w:space="0" w:color="auto"/>
        <w:left w:val="none" w:sz="0" w:space="0" w:color="auto"/>
        <w:bottom w:val="none" w:sz="0" w:space="0" w:color="auto"/>
        <w:right w:val="none" w:sz="0" w:space="0" w:color="auto"/>
      </w:divBdr>
    </w:div>
    <w:div w:id="550775385">
      <w:bodyDiv w:val="1"/>
      <w:marLeft w:val="0"/>
      <w:marRight w:val="0"/>
      <w:marTop w:val="0"/>
      <w:marBottom w:val="0"/>
      <w:divBdr>
        <w:top w:val="none" w:sz="0" w:space="0" w:color="auto"/>
        <w:left w:val="none" w:sz="0" w:space="0" w:color="auto"/>
        <w:bottom w:val="none" w:sz="0" w:space="0" w:color="auto"/>
        <w:right w:val="none" w:sz="0" w:space="0" w:color="auto"/>
      </w:divBdr>
    </w:div>
    <w:div w:id="571740503">
      <w:bodyDiv w:val="1"/>
      <w:marLeft w:val="0"/>
      <w:marRight w:val="0"/>
      <w:marTop w:val="0"/>
      <w:marBottom w:val="0"/>
      <w:divBdr>
        <w:top w:val="none" w:sz="0" w:space="0" w:color="auto"/>
        <w:left w:val="none" w:sz="0" w:space="0" w:color="auto"/>
        <w:bottom w:val="none" w:sz="0" w:space="0" w:color="auto"/>
        <w:right w:val="none" w:sz="0" w:space="0" w:color="auto"/>
      </w:divBdr>
    </w:div>
    <w:div w:id="732966223">
      <w:bodyDiv w:val="1"/>
      <w:marLeft w:val="0"/>
      <w:marRight w:val="0"/>
      <w:marTop w:val="0"/>
      <w:marBottom w:val="0"/>
      <w:divBdr>
        <w:top w:val="none" w:sz="0" w:space="0" w:color="auto"/>
        <w:left w:val="none" w:sz="0" w:space="0" w:color="auto"/>
        <w:bottom w:val="none" w:sz="0" w:space="0" w:color="auto"/>
        <w:right w:val="none" w:sz="0" w:space="0" w:color="auto"/>
      </w:divBdr>
    </w:div>
    <w:div w:id="919868416">
      <w:bodyDiv w:val="1"/>
      <w:marLeft w:val="0"/>
      <w:marRight w:val="0"/>
      <w:marTop w:val="0"/>
      <w:marBottom w:val="0"/>
      <w:divBdr>
        <w:top w:val="none" w:sz="0" w:space="0" w:color="auto"/>
        <w:left w:val="none" w:sz="0" w:space="0" w:color="auto"/>
        <w:bottom w:val="none" w:sz="0" w:space="0" w:color="auto"/>
        <w:right w:val="none" w:sz="0" w:space="0" w:color="auto"/>
      </w:divBdr>
    </w:div>
    <w:div w:id="1106777754">
      <w:bodyDiv w:val="1"/>
      <w:marLeft w:val="0"/>
      <w:marRight w:val="0"/>
      <w:marTop w:val="0"/>
      <w:marBottom w:val="0"/>
      <w:divBdr>
        <w:top w:val="none" w:sz="0" w:space="0" w:color="auto"/>
        <w:left w:val="none" w:sz="0" w:space="0" w:color="auto"/>
        <w:bottom w:val="none" w:sz="0" w:space="0" w:color="auto"/>
        <w:right w:val="none" w:sz="0" w:space="0" w:color="auto"/>
      </w:divBdr>
    </w:div>
    <w:div w:id="1183591018">
      <w:bodyDiv w:val="1"/>
      <w:marLeft w:val="0"/>
      <w:marRight w:val="0"/>
      <w:marTop w:val="0"/>
      <w:marBottom w:val="0"/>
      <w:divBdr>
        <w:top w:val="none" w:sz="0" w:space="0" w:color="auto"/>
        <w:left w:val="none" w:sz="0" w:space="0" w:color="auto"/>
        <w:bottom w:val="none" w:sz="0" w:space="0" w:color="auto"/>
        <w:right w:val="none" w:sz="0" w:space="0" w:color="auto"/>
      </w:divBdr>
    </w:div>
    <w:div w:id="1448622330">
      <w:bodyDiv w:val="1"/>
      <w:marLeft w:val="0"/>
      <w:marRight w:val="0"/>
      <w:marTop w:val="0"/>
      <w:marBottom w:val="0"/>
      <w:divBdr>
        <w:top w:val="none" w:sz="0" w:space="0" w:color="auto"/>
        <w:left w:val="none" w:sz="0" w:space="0" w:color="auto"/>
        <w:bottom w:val="none" w:sz="0" w:space="0" w:color="auto"/>
        <w:right w:val="none" w:sz="0" w:space="0" w:color="auto"/>
      </w:divBdr>
    </w:div>
    <w:div w:id="1492915118">
      <w:bodyDiv w:val="1"/>
      <w:marLeft w:val="0"/>
      <w:marRight w:val="0"/>
      <w:marTop w:val="0"/>
      <w:marBottom w:val="0"/>
      <w:divBdr>
        <w:top w:val="none" w:sz="0" w:space="0" w:color="auto"/>
        <w:left w:val="none" w:sz="0" w:space="0" w:color="auto"/>
        <w:bottom w:val="none" w:sz="0" w:space="0" w:color="auto"/>
        <w:right w:val="none" w:sz="0" w:space="0" w:color="auto"/>
      </w:divBdr>
    </w:div>
    <w:div w:id="1517115224">
      <w:bodyDiv w:val="1"/>
      <w:marLeft w:val="0"/>
      <w:marRight w:val="0"/>
      <w:marTop w:val="0"/>
      <w:marBottom w:val="0"/>
      <w:divBdr>
        <w:top w:val="none" w:sz="0" w:space="0" w:color="auto"/>
        <w:left w:val="none" w:sz="0" w:space="0" w:color="auto"/>
        <w:bottom w:val="none" w:sz="0" w:space="0" w:color="auto"/>
        <w:right w:val="none" w:sz="0" w:space="0" w:color="auto"/>
      </w:divBdr>
    </w:div>
    <w:div w:id="1543056408">
      <w:bodyDiv w:val="1"/>
      <w:marLeft w:val="0"/>
      <w:marRight w:val="0"/>
      <w:marTop w:val="0"/>
      <w:marBottom w:val="0"/>
      <w:divBdr>
        <w:top w:val="none" w:sz="0" w:space="0" w:color="auto"/>
        <w:left w:val="none" w:sz="0" w:space="0" w:color="auto"/>
        <w:bottom w:val="none" w:sz="0" w:space="0" w:color="auto"/>
        <w:right w:val="none" w:sz="0" w:space="0" w:color="auto"/>
      </w:divBdr>
    </w:div>
    <w:div w:id="1605264103">
      <w:bodyDiv w:val="1"/>
      <w:marLeft w:val="0"/>
      <w:marRight w:val="0"/>
      <w:marTop w:val="0"/>
      <w:marBottom w:val="0"/>
      <w:divBdr>
        <w:top w:val="none" w:sz="0" w:space="0" w:color="auto"/>
        <w:left w:val="none" w:sz="0" w:space="0" w:color="auto"/>
        <w:bottom w:val="none" w:sz="0" w:space="0" w:color="auto"/>
        <w:right w:val="none" w:sz="0" w:space="0" w:color="auto"/>
      </w:divBdr>
    </w:div>
    <w:div w:id="204918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2968</Words>
  <Characters>17143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20071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dc:creator>
  <cp:lastModifiedBy>h18889</cp:lastModifiedBy>
  <cp:revision>3</cp:revision>
  <cp:lastPrinted>2010-03-01T19:51:00Z</cp:lastPrinted>
  <dcterms:created xsi:type="dcterms:W3CDTF">2013-08-15T21:50:00Z</dcterms:created>
  <dcterms:modified xsi:type="dcterms:W3CDTF">2013-08-15T21:58:00Z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1754961803</vt:i4>
  </property>
  <property fmtid="{D5CDD505-2E9C-101B-9397-08002B2CF9AE}" pid="3" name="_NewReviewCycle">
    <vt:lpwstr/>
  </property>
  <property fmtid="{D5CDD505-2E9C-101B-9397-08002B2CF9AE}" pid="4" name="_EmailSubject">
    <vt:lpwstr>OMB 2502-0447  Final documents Ready for OMB Review </vt:lpwstr>
  </property>
  <property fmtid="{D5CDD505-2E9C-101B-9397-08002B2CF9AE}" pid="5" name="_AuthorEmail">
    <vt:lpwstr>carissa.l.janis@hud.gov</vt:lpwstr>
  </property>
  <property fmtid="{D5CDD505-2E9C-101B-9397-08002B2CF9AE}" pid="6" name="_AuthorEmailDisplayName">
    <vt:lpwstr>Janis, Carissa L</vt:lpwstr>
  </property>
  <property fmtid="{D5CDD505-2E9C-101B-9397-08002B2CF9AE}" pid="7" name="_PreviousAdHocReviewCycleID">
    <vt:i4>355562736</vt:i4>
  </property>
  <property fmtid="{D5CDD505-2E9C-101B-9397-08002B2CF9AE}" pid="8" name="_ReviewingToolsShownOnce">
    <vt:lpwstr/>
  </property>
</Properties>
</file>