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5C" w:rsidRDefault="0004335C"/>
    <w:p w:rsidR="0004335C" w:rsidRDefault="0004335C">
      <w:pPr>
        <w:ind w:firstLine="6480"/>
      </w:pPr>
      <w:r>
        <w:t>2140-</w:t>
      </w:r>
      <w:r w:rsidR="00612260">
        <w:t>0020</w:t>
      </w:r>
    </w:p>
    <w:p w:rsidR="0004335C" w:rsidRDefault="00CD5591">
      <w:pPr>
        <w:ind w:firstLine="6480"/>
      </w:pPr>
      <w:r>
        <w:t xml:space="preserve">May </w:t>
      </w:r>
      <w:r w:rsidR="00B40C41">
        <w:t>201</w:t>
      </w:r>
      <w:r>
        <w:t>3</w:t>
      </w:r>
    </w:p>
    <w:p w:rsidR="0004335C" w:rsidRDefault="0004335C"/>
    <w:p w:rsidR="0004335C" w:rsidRDefault="0004335C"/>
    <w:p w:rsidR="0004335C" w:rsidRDefault="0004335C" w:rsidP="00025E6B">
      <w:pPr>
        <w:jc w:val="center"/>
      </w:pPr>
      <w:r>
        <w:rPr>
          <w:u w:val="single"/>
        </w:rPr>
        <w:t>SUPPORTING STATEMENT</w:t>
      </w:r>
    </w:p>
    <w:p w:rsidR="0004335C" w:rsidRDefault="0004335C"/>
    <w:p w:rsidR="0004335C" w:rsidRDefault="0004335C"/>
    <w:p w:rsidR="0004335C" w:rsidRDefault="0004335C" w:rsidP="00FB3F7F">
      <w:pPr>
        <w:rPr>
          <w:b/>
          <w:bCs/>
          <w:u w:val="single"/>
        </w:rPr>
      </w:pPr>
      <w:r>
        <w:rPr>
          <w:b/>
          <w:bCs/>
        </w:rPr>
        <w:t xml:space="preserve">A.  </w:t>
      </w:r>
      <w:r>
        <w:rPr>
          <w:b/>
          <w:bCs/>
          <w:u w:val="single"/>
        </w:rPr>
        <w:t>Justification:</w:t>
      </w:r>
    </w:p>
    <w:p w:rsidR="0004335C" w:rsidRDefault="0004335C" w:rsidP="00FB3F7F">
      <w:pPr>
        <w:rPr>
          <w:b/>
          <w:bCs/>
          <w:u w:val="single"/>
        </w:rPr>
      </w:pPr>
    </w:p>
    <w:p w:rsidR="00D56C27" w:rsidRDefault="0004335C" w:rsidP="00D56C27">
      <w:pPr>
        <w:ind w:firstLine="720"/>
      </w:pPr>
      <w:r>
        <w:t xml:space="preserve">1.  </w:t>
      </w:r>
      <w:r w:rsidR="00FC4786" w:rsidRPr="00293B4B">
        <w:rPr>
          <w:u w:val="single"/>
        </w:rPr>
        <w:t>Why the collection is necessary</w:t>
      </w:r>
      <w:r w:rsidR="00FC4786">
        <w:t xml:space="preserve">.  </w:t>
      </w:r>
      <w:r w:rsidR="00D56C27" w:rsidRPr="00D56C27">
        <w:t xml:space="preserve">In a notice of proposed rulemaking, the Surface Transportation Board (Board) proposed an arbitration program which </w:t>
      </w:r>
      <w:r w:rsidR="00174CFC">
        <w:t xml:space="preserve">would have </w:t>
      </w:r>
      <w:r w:rsidR="00D56C27" w:rsidRPr="00D56C27">
        <w:t>permit</w:t>
      </w:r>
      <w:r w:rsidR="00174CFC">
        <w:t>ted</w:t>
      </w:r>
      <w:r w:rsidR="00D56C27" w:rsidRPr="00D56C27">
        <w:t xml:space="preserve"> shippers and rail carriers to arbitrate certain types of disputes.  </w:t>
      </w:r>
      <w:r w:rsidR="00D56C27" w:rsidRPr="00D56C27">
        <w:rPr>
          <w:u w:val="single"/>
        </w:rPr>
        <w:t>Assessment of Mediation and Arbitration Procedures</w:t>
      </w:r>
      <w:r w:rsidR="00D56C27" w:rsidRPr="00D56C27">
        <w:t>, Docket No. EP 699 (STB served Mar. 28, 2012)</w:t>
      </w:r>
      <w:r w:rsidR="005762D2">
        <w:t xml:space="preserve"> (</w:t>
      </w:r>
      <w:r w:rsidR="005762D2" w:rsidRPr="005762D2">
        <w:rPr>
          <w:u w:val="single"/>
        </w:rPr>
        <w:t>NPRM</w:t>
      </w:r>
      <w:r w:rsidR="005762D2">
        <w:t>)</w:t>
      </w:r>
      <w:r w:rsidR="00D56C27" w:rsidRPr="00D56C27">
        <w:t>.  </w:t>
      </w:r>
      <w:r w:rsidR="00D56C27" w:rsidRPr="00CD5591">
        <w:t xml:space="preserve">Under the proposed rules, Class I and Class II rail carriers would </w:t>
      </w:r>
      <w:r w:rsidR="005762D2" w:rsidRPr="00CD5591">
        <w:t xml:space="preserve">have </w:t>
      </w:r>
      <w:r w:rsidR="00D56C27" w:rsidRPr="00CD5591">
        <w:t>be</w:t>
      </w:r>
      <w:r w:rsidR="005762D2" w:rsidRPr="00CD5591">
        <w:t>en</w:t>
      </w:r>
      <w:r w:rsidR="00D56C27" w:rsidRPr="00CD5591">
        <w:t xml:space="preserve"> deemed to agree to participate in the Board's proposed arbitration program unless they file</w:t>
      </w:r>
      <w:r w:rsidR="005762D2" w:rsidRPr="00CD5591">
        <w:t>d</w:t>
      </w:r>
      <w:r w:rsidR="00D56C27" w:rsidRPr="00CD5591">
        <w:t xml:space="preserve"> a notice with the Board notifying the Board of their decision not to participate in the Board’s arbitration program</w:t>
      </w:r>
      <w:r w:rsidR="00174CFC" w:rsidRPr="00CD5591">
        <w:t>, i.e. to “opt out</w:t>
      </w:r>
      <w:r w:rsidR="00D56C27" w:rsidRPr="00CD5591">
        <w:t>.</w:t>
      </w:r>
      <w:r w:rsidR="00174CFC">
        <w:t>”</w:t>
      </w:r>
      <w:r w:rsidR="00D56C27" w:rsidRPr="00D56C27">
        <w:t xml:space="preserve">  Class III carriers would not </w:t>
      </w:r>
      <w:r w:rsidR="00174CFC">
        <w:t xml:space="preserve">have </w:t>
      </w:r>
      <w:r w:rsidR="00D56C27" w:rsidRPr="00D56C27">
        <w:t>be</w:t>
      </w:r>
      <w:r w:rsidR="00174CFC">
        <w:t>en</w:t>
      </w:r>
      <w:r w:rsidR="00D56C27" w:rsidRPr="00D56C27">
        <w:t xml:space="preserve"> deemed to agree to participate in the arbitration program, but could agree to participate in the program by filing a notice with the Board to "opt in."  Finally, once a carrier </w:t>
      </w:r>
      <w:r w:rsidR="00174CFC">
        <w:t>wa</w:t>
      </w:r>
      <w:r w:rsidR="00174CFC" w:rsidRPr="00D56C27">
        <w:t xml:space="preserve">s </w:t>
      </w:r>
      <w:r w:rsidR="00D56C27" w:rsidRPr="00D56C27">
        <w:t xml:space="preserve">participating in the Board’s arbitration program, it </w:t>
      </w:r>
      <w:r w:rsidR="003872C8">
        <w:t>could</w:t>
      </w:r>
      <w:r w:rsidR="00D56C27" w:rsidRPr="00D56C27">
        <w:t xml:space="preserve"> </w:t>
      </w:r>
      <w:r w:rsidR="00174CFC">
        <w:t xml:space="preserve">have </w:t>
      </w:r>
      <w:r w:rsidR="00D56C27" w:rsidRPr="00D56C27">
        <w:t>discontinue</w:t>
      </w:r>
      <w:r w:rsidR="00174CFC">
        <w:t>d</w:t>
      </w:r>
      <w:r w:rsidR="00D56C27" w:rsidRPr="00D56C27">
        <w:t xml:space="preserve"> its participation only by filing a notice to opt out with the Board, which would </w:t>
      </w:r>
      <w:r w:rsidR="00174CFC">
        <w:t xml:space="preserve">have </w:t>
      </w:r>
      <w:r w:rsidR="00D56C27" w:rsidRPr="00D56C27">
        <w:t>be</w:t>
      </w:r>
      <w:r w:rsidR="00D56C27">
        <w:t>come</w:t>
      </w:r>
      <w:r w:rsidR="00D56C27" w:rsidRPr="00D56C27">
        <w:t xml:space="preserve"> effective 90 days after filing.</w:t>
      </w:r>
      <w:r w:rsidR="00D56C27">
        <w:t xml:space="preserve">  </w:t>
      </w:r>
    </w:p>
    <w:p w:rsidR="005762D2" w:rsidRDefault="005762D2" w:rsidP="00D56C27">
      <w:pPr>
        <w:ind w:firstLine="720"/>
      </w:pPr>
    </w:p>
    <w:p w:rsidR="005762D2" w:rsidRDefault="005762D2" w:rsidP="00800960">
      <w:pPr>
        <w:ind w:firstLine="720"/>
      </w:pPr>
      <w:r w:rsidRPr="00CD5591">
        <w:t>In the Final Rule, the Board modified the collection associated with the arbitration program</w:t>
      </w:r>
      <w:r w:rsidR="003872C8" w:rsidRPr="00CD5591">
        <w:t xml:space="preserve"> in one respect</w:t>
      </w:r>
      <w:r w:rsidRPr="00CD5591">
        <w:t>.  Class I and II rail carriers will no longer be deemed to agree to participate unless they file</w:t>
      </w:r>
      <w:bookmarkStart w:id="0" w:name="_GoBack"/>
      <w:bookmarkEnd w:id="0"/>
      <w:r w:rsidRPr="00CD5591">
        <w:t xml:space="preserve"> a notice opting out of the program.  Rather, like Class III carriers, Class I and II carriers may agree to participate in the arbitration program by filing a notice with the Board to "opt in."  </w:t>
      </w:r>
      <w:proofErr w:type="gramStart"/>
      <w:r w:rsidRPr="00CD5591">
        <w:t>As explained in the Final Rule decision (</w:t>
      </w:r>
      <w:r w:rsidRPr="00CD5591">
        <w:rPr>
          <w:u w:val="single"/>
        </w:rPr>
        <w:t>Assessment of Mediation and Arbitration Procedures</w:t>
      </w:r>
      <w:r w:rsidRPr="00CD5591">
        <w:t>, Docket No.</w:t>
      </w:r>
      <w:proofErr w:type="gramEnd"/>
      <w:r w:rsidRPr="00CD5591">
        <w:t xml:space="preserve"> EP 699 (STB </w:t>
      </w:r>
      <w:r w:rsidRPr="00CA433D">
        <w:t xml:space="preserve">served </w:t>
      </w:r>
      <w:r w:rsidR="007B5D7C" w:rsidRPr="00CA433D">
        <w:t>May</w:t>
      </w:r>
      <w:r w:rsidRPr="00CA433D">
        <w:t xml:space="preserve"> </w:t>
      </w:r>
      <w:r w:rsidR="00800960" w:rsidRPr="00CA433D">
        <w:t>13, 2</w:t>
      </w:r>
      <w:r w:rsidRPr="00CA433D">
        <w:t>013</w:t>
      </w:r>
      <w:r w:rsidR="00800960">
        <w:rPr>
          <w:b/>
        </w:rPr>
        <w:t>);</w:t>
      </w:r>
      <w:r w:rsidR="00800960" w:rsidRPr="00800960">
        <w:t xml:space="preserve"> </w:t>
      </w:r>
      <w:r w:rsidR="00800960">
        <w:t>7</w:t>
      </w:r>
      <w:r w:rsidR="006D5599">
        <w:t>8 Fed. Reg. 29071</w:t>
      </w:r>
      <w:r w:rsidR="00800960">
        <w:t xml:space="preserve"> (May 17, 2013), </w:t>
      </w:r>
      <w:r w:rsidRPr="00CD5591">
        <w:t xml:space="preserve">this change was adopted in response to numerous comments received in response to the </w:t>
      </w:r>
      <w:r w:rsidRPr="00CD5591">
        <w:rPr>
          <w:u w:val="single"/>
        </w:rPr>
        <w:t>NPRM</w:t>
      </w:r>
      <w:r w:rsidRPr="00CD5591">
        <w:t>.</w:t>
      </w:r>
      <w:r>
        <w:t xml:space="preserve">  </w:t>
      </w:r>
    </w:p>
    <w:p w:rsidR="00D56C27" w:rsidRDefault="00D56C27" w:rsidP="00D56C27">
      <w:pPr>
        <w:ind w:firstLine="720"/>
      </w:pPr>
    </w:p>
    <w:p w:rsidR="00FF36F8" w:rsidRPr="00773560" w:rsidRDefault="00D56C27" w:rsidP="00D56C27">
      <w:pPr>
        <w:ind w:firstLine="720"/>
      </w:pPr>
      <w:r w:rsidRPr="00D56C27">
        <w:t>The Board has authority to collect information from rail carriers under 49 U.S.C. §</w:t>
      </w:r>
      <w:r>
        <w:t> </w:t>
      </w:r>
      <w:r w:rsidRPr="00D56C27">
        <w:t xml:space="preserve">11145(a). </w:t>
      </w:r>
      <w:r>
        <w:t xml:space="preserve"> </w:t>
      </w:r>
      <w:r w:rsidRPr="00D56C27">
        <w:t>Failure to collect this information would impede the Board’s ability to establish the proposed arbitration program.</w:t>
      </w:r>
      <w:r w:rsidR="0004335C">
        <w:tab/>
      </w:r>
    </w:p>
    <w:p w:rsidR="0004335C" w:rsidRDefault="0004335C" w:rsidP="00FB3F7F"/>
    <w:p w:rsidR="00B11089" w:rsidRDefault="0004335C" w:rsidP="00432BF7">
      <w:pPr>
        <w:ind w:firstLine="720"/>
      </w:pPr>
      <w:r>
        <w:t xml:space="preserve">2.  </w:t>
      </w:r>
      <w:r w:rsidR="00FC4786" w:rsidRPr="00432BF7">
        <w:rPr>
          <w:u w:val="single"/>
        </w:rPr>
        <w:t>How the collection will be used</w:t>
      </w:r>
      <w:r w:rsidR="00FC4786">
        <w:t xml:space="preserve">.  </w:t>
      </w:r>
      <w:r w:rsidR="00432BF7">
        <w:t xml:space="preserve">The </w:t>
      </w:r>
      <w:r w:rsidR="00432BF7" w:rsidRPr="00CD5591">
        <w:t>opt-in notices</w:t>
      </w:r>
      <w:r w:rsidR="00E960DC">
        <w:t>;</w:t>
      </w:r>
      <w:r w:rsidR="00432BF7">
        <w:t xml:space="preserve"> will be used to inform the Board</w:t>
      </w:r>
      <w:r w:rsidR="009B3573">
        <w:t>,</w:t>
      </w:r>
      <w:r w:rsidR="00432BF7">
        <w:t xml:space="preserve"> and other interested persons</w:t>
      </w:r>
      <w:r w:rsidR="009B3573">
        <w:t>,</w:t>
      </w:r>
      <w:r w:rsidR="00432BF7">
        <w:t xml:space="preserve"> which rail carriers have agreed to participate in the proposed arbitration program.  </w:t>
      </w:r>
    </w:p>
    <w:p w:rsidR="00B11089" w:rsidRDefault="00B11089">
      <w:pPr>
        <w:ind w:firstLine="720"/>
      </w:pPr>
    </w:p>
    <w:p w:rsidR="0004335C" w:rsidRDefault="0004335C" w:rsidP="00FB3F7F">
      <w:pPr>
        <w:ind w:firstLine="720"/>
      </w:pPr>
      <w:r>
        <w:t xml:space="preserve">3.  </w:t>
      </w:r>
      <w:r w:rsidR="00FC4786" w:rsidRPr="00432BF7">
        <w:rPr>
          <w:u w:val="single"/>
        </w:rPr>
        <w:t>Extent of automated information collection</w:t>
      </w:r>
      <w:r w:rsidR="00FC4786">
        <w:t xml:space="preserve">.  </w:t>
      </w:r>
      <w:r w:rsidR="00432BF7">
        <w:t xml:space="preserve">The Board </w:t>
      </w:r>
      <w:r w:rsidR="00F27838">
        <w:t>expect</w:t>
      </w:r>
      <w:r w:rsidR="00FA48B6">
        <w:t>s</w:t>
      </w:r>
      <w:r w:rsidR="00F27838">
        <w:t xml:space="preserve"> all res</w:t>
      </w:r>
      <w:r w:rsidR="00FA48B6">
        <w:t>pondents to file the notices electronically through the Board’s e-filing system.</w:t>
      </w:r>
    </w:p>
    <w:p w:rsidR="0004335C" w:rsidRDefault="0004335C" w:rsidP="00FB3F7F"/>
    <w:p w:rsidR="0004335C" w:rsidRDefault="0004335C" w:rsidP="00D56C27">
      <w:pPr>
        <w:ind w:firstLine="720"/>
      </w:pPr>
      <w:r>
        <w:t xml:space="preserve">4.  </w:t>
      </w:r>
      <w:r w:rsidR="00FC4786" w:rsidRPr="00FC4786">
        <w:rPr>
          <w:u w:val="single"/>
        </w:rPr>
        <w:t>Identification of duplication</w:t>
      </w:r>
      <w:r w:rsidR="00FC4786">
        <w:t xml:space="preserve">.  </w:t>
      </w:r>
      <w:r>
        <w:t xml:space="preserve">No other </w:t>
      </w:r>
      <w:r w:rsidR="00FA48B6">
        <w:t>f</w:t>
      </w:r>
      <w:r>
        <w:t>ederal agency collects the information in th</w:t>
      </w:r>
      <w:r w:rsidR="00447FB5">
        <w:t xml:space="preserve">is collection, </w:t>
      </w:r>
      <w:r w:rsidR="00327CAA">
        <w:t xml:space="preserve">which is information from rail carriers regarding their willingness to participate in the Board’s arbitration program, </w:t>
      </w:r>
      <w:r>
        <w:t xml:space="preserve">nor is this information available from any other source.  Therefore, </w:t>
      </w:r>
      <w:r>
        <w:lastRenderedPageBreak/>
        <w:t xml:space="preserve">there will be no duplication of information.  </w:t>
      </w:r>
    </w:p>
    <w:p w:rsidR="0004335C" w:rsidRDefault="0004335C" w:rsidP="00C33233">
      <w:pPr>
        <w:spacing w:before="100" w:beforeAutospacing="1" w:after="100" w:afterAutospacing="1"/>
        <w:ind w:firstLine="720"/>
      </w:pPr>
      <w:r>
        <w:t xml:space="preserve">5.  </w:t>
      </w:r>
      <w:r w:rsidR="00FC4786" w:rsidRPr="00FA48B6">
        <w:rPr>
          <w:u w:val="single"/>
        </w:rPr>
        <w:t>Effects on small business</w:t>
      </w:r>
      <w:r w:rsidR="00FC4786">
        <w:t xml:space="preserve">.  </w:t>
      </w:r>
      <w:r w:rsidR="00C33233" w:rsidRPr="00C33233">
        <w:rPr>
          <w:color w:val="000000"/>
        </w:rPr>
        <w:t xml:space="preserve">The </w:t>
      </w:r>
      <w:r w:rsidR="00327CAA">
        <w:rPr>
          <w:color w:val="000000"/>
        </w:rPr>
        <w:t>Final R</w:t>
      </w:r>
      <w:r w:rsidR="00C33233" w:rsidRPr="00C33233">
        <w:rPr>
          <w:color w:val="000000"/>
        </w:rPr>
        <w:t>ule</w:t>
      </w:r>
      <w:r w:rsidR="00327CAA">
        <w:rPr>
          <w:color w:val="000000"/>
        </w:rPr>
        <w:t xml:space="preserve"> will not</w:t>
      </w:r>
      <w:r w:rsidR="00C33233" w:rsidRPr="00C33233">
        <w:rPr>
          <w:color w:val="000000"/>
        </w:rPr>
        <w:t xml:space="preserve"> have </w:t>
      </w:r>
      <w:r w:rsidR="009B3573">
        <w:rPr>
          <w:color w:val="000000"/>
        </w:rPr>
        <w:t xml:space="preserve">had </w:t>
      </w:r>
      <w:r w:rsidR="00C33233" w:rsidRPr="00C33233">
        <w:rPr>
          <w:color w:val="000000"/>
        </w:rPr>
        <w:t xml:space="preserve">a significant economic impact on a substantial number of small entities within the meaning of </w:t>
      </w:r>
      <w:r w:rsidR="00C33233">
        <w:rPr>
          <w:color w:val="000000"/>
        </w:rPr>
        <w:t xml:space="preserve">the Regulatory Flexibility Act.  To the extent that the </w:t>
      </w:r>
      <w:r w:rsidR="009B3573">
        <w:rPr>
          <w:color w:val="000000"/>
        </w:rPr>
        <w:t>Final R</w:t>
      </w:r>
      <w:r w:rsidR="00C33233">
        <w:rPr>
          <w:color w:val="000000"/>
        </w:rPr>
        <w:t>ule</w:t>
      </w:r>
      <w:r w:rsidR="00C33233" w:rsidRPr="00C33233">
        <w:rPr>
          <w:color w:val="000000"/>
        </w:rPr>
        <w:t xml:space="preserve"> </w:t>
      </w:r>
      <w:r w:rsidR="00327CAA">
        <w:rPr>
          <w:color w:val="000000"/>
        </w:rPr>
        <w:t xml:space="preserve">will </w:t>
      </w:r>
      <w:r w:rsidR="00C33233" w:rsidRPr="00C33233">
        <w:rPr>
          <w:color w:val="000000"/>
        </w:rPr>
        <w:t xml:space="preserve">have any impact, it </w:t>
      </w:r>
      <w:r w:rsidR="00327CAA">
        <w:rPr>
          <w:color w:val="000000"/>
        </w:rPr>
        <w:t>will</w:t>
      </w:r>
      <w:r w:rsidR="00327CAA" w:rsidRPr="00C33233">
        <w:rPr>
          <w:color w:val="000000"/>
        </w:rPr>
        <w:t xml:space="preserve"> </w:t>
      </w:r>
      <w:r w:rsidR="00C33233" w:rsidRPr="00C33233">
        <w:rPr>
          <w:color w:val="000000"/>
        </w:rPr>
        <w:t xml:space="preserve">be to provide faster resolution of </w:t>
      </w:r>
      <w:r w:rsidR="00C33233">
        <w:rPr>
          <w:color w:val="000000"/>
        </w:rPr>
        <w:t xml:space="preserve">disputes before the Board at a lower cost than </w:t>
      </w:r>
      <w:r w:rsidR="00C33233" w:rsidRPr="00C33233">
        <w:rPr>
          <w:color w:val="000000"/>
        </w:rPr>
        <w:t xml:space="preserve">could </w:t>
      </w:r>
      <w:r w:rsidR="00C33233">
        <w:rPr>
          <w:color w:val="000000"/>
        </w:rPr>
        <w:t xml:space="preserve">be </w:t>
      </w:r>
      <w:r w:rsidR="00C33233" w:rsidRPr="00C33233">
        <w:rPr>
          <w:color w:val="000000"/>
        </w:rPr>
        <w:t>obtain</w:t>
      </w:r>
      <w:r w:rsidR="00C33233">
        <w:rPr>
          <w:color w:val="000000"/>
        </w:rPr>
        <w:t>ed</w:t>
      </w:r>
      <w:r w:rsidR="00C33233" w:rsidRPr="00C33233">
        <w:rPr>
          <w:color w:val="000000"/>
        </w:rPr>
        <w:t xml:space="preserve"> through use of the Board’s existing formal adjudicatory procedures</w:t>
      </w:r>
      <w:r w:rsidR="00C33233">
        <w:rPr>
          <w:color w:val="000000"/>
        </w:rPr>
        <w:t>.</w:t>
      </w:r>
      <w:r w:rsidR="00C33233" w:rsidRPr="00C33233">
        <w:rPr>
          <w:color w:val="000000"/>
        </w:rPr>
        <w:t xml:space="preserve"> </w:t>
      </w:r>
    </w:p>
    <w:p w:rsidR="0004335C" w:rsidRDefault="0004335C" w:rsidP="00FC4786">
      <w:pPr>
        <w:ind w:firstLine="720"/>
      </w:pPr>
      <w:r w:rsidRPr="00C33233">
        <w:t xml:space="preserve">6.  </w:t>
      </w:r>
      <w:r w:rsidR="00FC4786" w:rsidRPr="00C33233">
        <w:rPr>
          <w:u w:val="single"/>
        </w:rPr>
        <w:t>Impact of less frequent collections</w:t>
      </w:r>
      <w:r w:rsidR="00FC4786">
        <w:t xml:space="preserve">.  </w:t>
      </w:r>
      <w:r>
        <w:t xml:space="preserve">Without this collection, the Board could not </w:t>
      </w:r>
      <w:r w:rsidR="00C33233">
        <w:t>establish the proposed arbitration program</w:t>
      </w:r>
      <w:r w:rsidR="00327CAA">
        <w:t xml:space="preserve"> and the Board’s stakeholders, rail carriers and shippers, would not have access to this less costly dispute resolution program</w:t>
      </w:r>
      <w:r w:rsidR="00C33233" w:rsidRPr="005E5D9A">
        <w:t xml:space="preserve">.  </w:t>
      </w:r>
      <w:r w:rsidR="00C33233" w:rsidRPr="00293B4B">
        <w:t> </w:t>
      </w:r>
    </w:p>
    <w:p w:rsidR="0004335C" w:rsidRDefault="0004335C" w:rsidP="00FB3F7F"/>
    <w:p w:rsidR="0004335C" w:rsidRDefault="0004335C" w:rsidP="00FB3F7F">
      <w:pPr>
        <w:ind w:firstLine="720"/>
      </w:pPr>
      <w:r>
        <w:t xml:space="preserve">7.  </w:t>
      </w:r>
      <w:r w:rsidR="00FC4786" w:rsidRPr="00FC4786">
        <w:rPr>
          <w:u w:val="single"/>
        </w:rPr>
        <w:t>Special circumstances</w:t>
      </w:r>
      <w:r w:rsidR="00FC4786">
        <w:t xml:space="preserve">.  </w:t>
      </w:r>
      <w:r>
        <w:t>No special circumstances apply to this collection.</w:t>
      </w:r>
    </w:p>
    <w:p w:rsidR="0004335C" w:rsidRDefault="0004335C" w:rsidP="00FB3F7F"/>
    <w:p w:rsidR="0004335C" w:rsidRDefault="0004335C" w:rsidP="00FB3F7F">
      <w:pPr>
        <w:ind w:firstLine="720"/>
      </w:pPr>
      <w:r>
        <w:t xml:space="preserve">8.  </w:t>
      </w:r>
      <w:r w:rsidR="00FC4786" w:rsidRPr="00FC4786">
        <w:rPr>
          <w:u w:val="single"/>
        </w:rPr>
        <w:t>Compliance with 5 C.F.R. § 1320.8</w:t>
      </w:r>
      <w:r w:rsidR="00FC4786">
        <w:t xml:space="preserve">.  </w:t>
      </w:r>
      <w:r>
        <w:t xml:space="preserve">The Board </w:t>
      </w:r>
      <w:r w:rsidR="000B7D22">
        <w:t xml:space="preserve">published a notice </w:t>
      </w:r>
      <w:r>
        <w:t xml:space="preserve">in the Federal Register, </w:t>
      </w:r>
      <w:r w:rsidR="000B7D22">
        <w:t xml:space="preserve">providing a </w:t>
      </w:r>
      <w:r w:rsidR="00C33233">
        <w:t>45-day</w:t>
      </w:r>
      <w:r w:rsidR="000B7D22">
        <w:t xml:space="preserve"> comment period </w:t>
      </w:r>
      <w:r w:rsidR="00C33233">
        <w:t xml:space="preserve">for initial comments and a 30-day comment period for replies </w:t>
      </w:r>
      <w:r w:rsidR="000B7D22">
        <w:t xml:space="preserve">regarding this </w:t>
      </w:r>
      <w:r>
        <w:t xml:space="preserve">collection.  </w:t>
      </w:r>
      <w:r w:rsidRPr="00051F53">
        <w:rPr>
          <w:u w:val="single"/>
        </w:rPr>
        <w:t>See</w:t>
      </w:r>
      <w:r w:rsidRPr="00051F53">
        <w:t xml:space="preserve"> </w:t>
      </w:r>
      <w:r w:rsidR="00051F53" w:rsidRPr="00C33233">
        <w:t>77</w:t>
      </w:r>
      <w:r w:rsidR="00051F53" w:rsidRPr="00051F53">
        <w:t xml:space="preserve"> Fed. Reg. </w:t>
      </w:r>
      <w:r w:rsidR="00C33233">
        <w:t xml:space="preserve">19591 (Apr. 2, </w:t>
      </w:r>
      <w:r w:rsidR="00051F53" w:rsidRPr="00051F53">
        <w:t>2012)</w:t>
      </w:r>
      <w:r w:rsidRPr="00051F53">
        <w:t>.</w:t>
      </w:r>
      <w:r w:rsidR="000B7D22">
        <w:t xml:space="preserve">  </w:t>
      </w:r>
      <w:r w:rsidR="00800960" w:rsidRPr="00051F53">
        <w:t>).</w:t>
      </w:r>
      <w:r w:rsidR="00800960">
        <w:t xml:space="preserve">  The Board also published a supplemental notice, seeking comments under the PRA.  </w:t>
      </w:r>
      <w:r w:rsidR="00800960" w:rsidRPr="00051F53">
        <w:rPr>
          <w:u w:val="single"/>
        </w:rPr>
        <w:t>See</w:t>
      </w:r>
      <w:r w:rsidR="00800960" w:rsidRPr="00051F53">
        <w:t xml:space="preserve"> </w:t>
      </w:r>
      <w:r w:rsidR="00800960" w:rsidRPr="00C33233">
        <w:t>77</w:t>
      </w:r>
      <w:r w:rsidR="00800960" w:rsidRPr="00051F53">
        <w:t xml:space="preserve"> Fed. Reg. </w:t>
      </w:r>
      <w:r w:rsidR="00800960">
        <w:t xml:space="preserve">23208 (April 18, </w:t>
      </w:r>
      <w:r w:rsidR="00800960" w:rsidRPr="00051F53">
        <w:t>2012).</w:t>
      </w:r>
      <w:r w:rsidR="00800960">
        <w:t xml:space="preserve">  </w:t>
      </w:r>
      <w:r w:rsidR="00E960DC">
        <w:t xml:space="preserve">Finally, notice of the Final Rule was published </w:t>
      </w:r>
      <w:r w:rsidR="00D56C27">
        <w:t xml:space="preserve">in the </w:t>
      </w:r>
      <w:r w:rsidR="00D56C27" w:rsidRPr="00573698">
        <w:rPr>
          <w:u w:val="single"/>
        </w:rPr>
        <w:t>Federal Register</w:t>
      </w:r>
      <w:r w:rsidR="00D56C27">
        <w:t xml:space="preserve"> </w:t>
      </w:r>
      <w:r w:rsidR="00D56C27" w:rsidRPr="00D56C27">
        <w:t xml:space="preserve">at </w:t>
      </w:r>
      <w:r w:rsidR="00E960DC">
        <w:t>7</w:t>
      </w:r>
      <w:r w:rsidR="006D5599">
        <w:t>8 Fed. Reg. 29071</w:t>
      </w:r>
      <w:r w:rsidR="00E960DC">
        <w:t xml:space="preserve"> (</w:t>
      </w:r>
      <w:r w:rsidR="00800960">
        <w:t>May 17, 20</w:t>
      </w:r>
      <w:r w:rsidR="00E960DC">
        <w:t>13).</w:t>
      </w:r>
    </w:p>
    <w:p w:rsidR="0004335C" w:rsidRDefault="0004335C" w:rsidP="00FB3F7F"/>
    <w:p w:rsidR="0004335C" w:rsidRDefault="0004335C" w:rsidP="00FB3F7F">
      <w:pPr>
        <w:ind w:firstLine="720"/>
      </w:pPr>
      <w:r>
        <w:t xml:space="preserve">9.  </w:t>
      </w:r>
      <w:r w:rsidR="00FC4786" w:rsidRPr="00FC4786">
        <w:rPr>
          <w:u w:val="single"/>
        </w:rPr>
        <w:t>Payments of gifts to respondents</w:t>
      </w:r>
      <w:r w:rsidR="00FC4786">
        <w:t xml:space="preserve">.  </w:t>
      </w:r>
      <w:r>
        <w:t>The Board does not provide any payment or gift to respondents.</w:t>
      </w:r>
    </w:p>
    <w:p w:rsidR="0004335C" w:rsidRDefault="0004335C" w:rsidP="00FB3F7F"/>
    <w:p w:rsidR="0004335C" w:rsidRDefault="0004335C" w:rsidP="00FB3F7F">
      <w:pPr>
        <w:ind w:firstLine="720"/>
      </w:pPr>
      <w:r>
        <w:t xml:space="preserve">10.  </w:t>
      </w:r>
      <w:r w:rsidR="00FC4786" w:rsidRPr="00FC4786">
        <w:rPr>
          <w:u w:val="single"/>
        </w:rPr>
        <w:t>Assurance of confidentiality</w:t>
      </w:r>
      <w:r w:rsidR="00FC4786">
        <w:t xml:space="preserve">.  </w:t>
      </w:r>
      <w:r w:rsidRPr="009806DB">
        <w:rPr>
          <w:rFonts w:cs="Shruti"/>
        </w:rPr>
        <w:t>All information collected through this report is available to the public.</w:t>
      </w:r>
      <w:r>
        <w:t xml:space="preserve">  </w:t>
      </w:r>
    </w:p>
    <w:p w:rsidR="0004335C" w:rsidRDefault="0004335C" w:rsidP="00FB3F7F"/>
    <w:p w:rsidR="0004335C" w:rsidRDefault="0004335C" w:rsidP="00FB3F7F">
      <w:pPr>
        <w:ind w:firstLine="720"/>
      </w:pPr>
      <w:r>
        <w:t xml:space="preserve">11.  </w:t>
      </w:r>
      <w:r w:rsidR="00FC4786" w:rsidRPr="00FC4786">
        <w:rPr>
          <w:u w:val="single"/>
        </w:rPr>
        <w:t>Justification for collection of sensitive information</w:t>
      </w:r>
      <w:r w:rsidR="00FC4786">
        <w:t xml:space="preserve">.  </w:t>
      </w:r>
      <w:r>
        <w:t>This collection contains no information of a sensitive nature.</w:t>
      </w:r>
    </w:p>
    <w:p w:rsidR="0004335C" w:rsidRDefault="0004335C" w:rsidP="00FB3F7F"/>
    <w:p w:rsidR="0004335C" w:rsidRDefault="0004335C" w:rsidP="00A00310">
      <w:pPr>
        <w:ind w:firstLine="720"/>
      </w:pPr>
      <w:r>
        <w:t xml:space="preserve">12.  </w:t>
      </w:r>
      <w:r w:rsidR="00FC4786" w:rsidRPr="00C33233">
        <w:rPr>
          <w:u w:val="single"/>
        </w:rPr>
        <w:t>Estimation of burden hours for respondents</w:t>
      </w:r>
      <w:r w:rsidR="00FC4786">
        <w:t xml:space="preserve">.  </w:t>
      </w:r>
      <w:r w:rsidR="00C33233">
        <w:t xml:space="preserve">There are approximately </w:t>
      </w:r>
      <w:r w:rsidR="00D56C27">
        <w:t xml:space="preserve">7 </w:t>
      </w:r>
      <w:r w:rsidR="00C33233">
        <w:t>Class I</w:t>
      </w:r>
      <w:r w:rsidR="00D56C27">
        <w:t xml:space="preserve"> rail carriers</w:t>
      </w:r>
      <w:r w:rsidR="00C33233">
        <w:t xml:space="preserve">, </w:t>
      </w:r>
      <w:r w:rsidR="00D56C27">
        <w:t xml:space="preserve">8 </w:t>
      </w:r>
      <w:r w:rsidR="00C33233">
        <w:t>Class II</w:t>
      </w:r>
      <w:r w:rsidR="00D56C27">
        <w:t xml:space="preserve"> rail carriers</w:t>
      </w:r>
      <w:r w:rsidR="00C33233">
        <w:t xml:space="preserve">, and </w:t>
      </w:r>
      <w:r w:rsidR="00C35217">
        <w:t xml:space="preserve">635 </w:t>
      </w:r>
      <w:r w:rsidR="00C33233">
        <w:t xml:space="preserve">Class III rail carriers that </w:t>
      </w:r>
      <w:r w:rsidR="00D56C27">
        <w:t xml:space="preserve">could </w:t>
      </w:r>
      <w:r w:rsidR="00C33233">
        <w:t>respond to this information collection</w:t>
      </w:r>
      <w:r w:rsidR="00C35217">
        <w:t>, for a total of 650 potential respondents</w:t>
      </w:r>
      <w:r w:rsidR="00C33233">
        <w:t xml:space="preserve">.  We </w:t>
      </w:r>
      <w:r w:rsidR="009C364D" w:rsidRPr="009C364D">
        <w:t xml:space="preserve">estimate a per-respondent-railroad burden of no more than </w:t>
      </w:r>
      <w:r w:rsidR="00C33233">
        <w:t xml:space="preserve">1 hour to file the </w:t>
      </w:r>
      <w:r w:rsidR="00C33233" w:rsidRPr="00CD5591">
        <w:t>opt-in notices</w:t>
      </w:r>
      <w:r w:rsidR="00C33233">
        <w:t>.</w:t>
      </w:r>
      <w:r w:rsidR="009C364D" w:rsidRPr="009C364D">
        <w:t xml:space="preserve">  </w:t>
      </w:r>
      <w:r w:rsidR="00123F4D">
        <w:t xml:space="preserve">The total estimated annual burden hours for all </w:t>
      </w:r>
      <w:r w:rsidR="00B01B99" w:rsidRPr="00CD6051">
        <w:t>650</w:t>
      </w:r>
      <w:r w:rsidR="00B01B99">
        <w:t xml:space="preserve"> </w:t>
      </w:r>
      <w:r w:rsidR="00D56C27">
        <w:t xml:space="preserve">potential </w:t>
      </w:r>
      <w:r w:rsidR="00B01B99">
        <w:t xml:space="preserve">rail </w:t>
      </w:r>
      <w:r w:rsidR="00123F4D">
        <w:t xml:space="preserve">carrier </w:t>
      </w:r>
      <w:r w:rsidR="00D56C27">
        <w:t xml:space="preserve">respondents </w:t>
      </w:r>
      <w:r w:rsidR="00123F4D">
        <w:t>is, therefore, no more than</w:t>
      </w:r>
      <w:r w:rsidR="00CD6051">
        <w:t xml:space="preserve"> </w:t>
      </w:r>
      <w:r w:rsidR="00B01B99" w:rsidRPr="00CD6051">
        <w:t>650</w:t>
      </w:r>
      <w:r w:rsidR="00123F4D">
        <w:t xml:space="preserve"> hours </w:t>
      </w:r>
      <w:r w:rsidR="00D56C27">
        <w:t xml:space="preserve">annually </w:t>
      </w:r>
      <w:r w:rsidR="00123F4D">
        <w:t>(</w:t>
      </w:r>
      <w:r w:rsidR="00B01B99" w:rsidRPr="00CD6051">
        <w:t>650</w:t>
      </w:r>
      <w:r w:rsidR="00B01B99">
        <w:t xml:space="preserve"> </w:t>
      </w:r>
      <w:r w:rsidR="00D56C27">
        <w:t xml:space="preserve">potential </w:t>
      </w:r>
      <w:r w:rsidR="00B01B99">
        <w:t>respondents X</w:t>
      </w:r>
      <w:r w:rsidR="00123F4D">
        <w:t xml:space="preserve"> </w:t>
      </w:r>
      <w:r w:rsidR="00B01B99">
        <w:t>1</w:t>
      </w:r>
      <w:r w:rsidR="00123F4D">
        <w:t xml:space="preserve"> hour</w:t>
      </w:r>
      <w:r w:rsidR="00B01B99">
        <w:t xml:space="preserve"> each).</w:t>
      </w:r>
      <w:r w:rsidR="00841B0A">
        <w:t xml:space="preserve">  </w:t>
      </w:r>
      <w:r w:rsidR="00841B0A" w:rsidRPr="00CD5591">
        <w:t xml:space="preserve">In the supporting statement to the </w:t>
      </w:r>
      <w:r w:rsidR="00841B0A" w:rsidRPr="00CD5591">
        <w:rPr>
          <w:u w:val="single"/>
        </w:rPr>
        <w:t>NPRM</w:t>
      </w:r>
      <w:r w:rsidR="00841B0A" w:rsidRPr="00CD5591">
        <w:t>, we assumed one notice from each carrier</w:t>
      </w:r>
      <w:r w:rsidR="00CD5591">
        <w:t xml:space="preserve"> per year</w:t>
      </w:r>
      <w:r w:rsidR="00841B0A" w:rsidRPr="00CD5591">
        <w:t>.  Because we make the same assumption here, the burden remains 650 hours.</w:t>
      </w:r>
    </w:p>
    <w:p w:rsidR="0004335C" w:rsidRDefault="0004335C" w:rsidP="00FB3F7F"/>
    <w:p w:rsidR="0004335C" w:rsidRDefault="0004335C" w:rsidP="00DE0DFD">
      <w:pPr>
        <w:ind w:firstLine="720"/>
      </w:pPr>
      <w:r>
        <w:t xml:space="preserve">13.  </w:t>
      </w:r>
      <w:r>
        <w:rPr>
          <w:u w:val="single"/>
        </w:rPr>
        <w:t>Other costs to respondents</w:t>
      </w:r>
      <w:r>
        <w:t xml:space="preserve">:  </w:t>
      </w:r>
      <w:r w:rsidR="00447FB5">
        <w:t>No non-hour burdens have been identified.</w:t>
      </w:r>
      <w:r w:rsidR="00DE0DFD">
        <w:t xml:space="preserve">  </w:t>
      </w:r>
    </w:p>
    <w:p w:rsidR="0004335C" w:rsidRDefault="0004335C" w:rsidP="00FB3F7F"/>
    <w:p w:rsidR="0004335C" w:rsidRDefault="0004335C" w:rsidP="001B4A05">
      <w:pPr>
        <w:ind w:firstLine="720"/>
      </w:pPr>
      <w:r>
        <w:t xml:space="preserve">14.  </w:t>
      </w:r>
      <w:r w:rsidRPr="00D56C27">
        <w:rPr>
          <w:u w:val="single"/>
        </w:rPr>
        <w:t>Costs to Board</w:t>
      </w:r>
      <w:r w:rsidRPr="00D56C27">
        <w:t xml:space="preserve">:  </w:t>
      </w:r>
      <w:r w:rsidR="002F2693" w:rsidRPr="00D56C27">
        <w:t xml:space="preserve">We estimate that the </w:t>
      </w:r>
      <w:r w:rsidR="00C35217">
        <w:t xml:space="preserve">maximum </w:t>
      </w:r>
      <w:r w:rsidR="002F2693" w:rsidRPr="00D56C27">
        <w:t xml:space="preserve">cost to the </w:t>
      </w:r>
      <w:r w:rsidR="00B01B99" w:rsidRPr="00D56C27">
        <w:t>Board</w:t>
      </w:r>
      <w:r w:rsidR="002F2693" w:rsidRPr="00D56C27">
        <w:t xml:space="preserve"> of entering the </w:t>
      </w:r>
      <w:r w:rsidR="00B01B99" w:rsidRPr="00D56C27">
        <w:t xml:space="preserve">notices </w:t>
      </w:r>
      <w:r w:rsidR="002F2693" w:rsidRPr="00D56C27">
        <w:t xml:space="preserve">into </w:t>
      </w:r>
      <w:r w:rsidR="00B01B99" w:rsidRPr="00D56C27">
        <w:t xml:space="preserve">the Board’s e-Library under the appropriate docket </w:t>
      </w:r>
      <w:r w:rsidR="002F2693" w:rsidRPr="00D56C27">
        <w:t xml:space="preserve">and posting the searchable </w:t>
      </w:r>
      <w:proofErr w:type="spellStart"/>
      <w:r w:rsidR="002F2693" w:rsidRPr="00D56C27">
        <w:t>pdf's</w:t>
      </w:r>
      <w:proofErr w:type="spellEnd"/>
      <w:r w:rsidR="002F2693" w:rsidRPr="00D56C27">
        <w:t xml:space="preserve"> to the website </w:t>
      </w:r>
      <w:r w:rsidR="00C35217">
        <w:t xml:space="preserve">would </w:t>
      </w:r>
      <w:r w:rsidR="002F2693" w:rsidRPr="00D56C27">
        <w:t xml:space="preserve">total </w:t>
      </w:r>
      <w:r w:rsidR="009B3573">
        <w:t xml:space="preserve">no more than </w:t>
      </w:r>
      <w:r w:rsidR="002F2693" w:rsidRPr="00D56C27">
        <w:t>$</w:t>
      </w:r>
      <w:r w:rsidR="001B4A05" w:rsidRPr="00D56C27">
        <w:t>14,875.00</w:t>
      </w:r>
      <w:r w:rsidR="00D56C27" w:rsidRPr="00D56C27">
        <w:t xml:space="preserve"> per year</w:t>
      </w:r>
      <w:r w:rsidR="002F2693" w:rsidRPr="00D56C27">
        <w:t xml:space="preserve">, which includes </w:t>
      </w:r>
      <w:r w:rsidR="000C3CA3" w:rsidRPr="00D56C27">
        <w:t>325</w:t>
      </w:r>
      <w:r w:rsidR="002F2693" w:rsidRPr="00D56C27">
        <w:t xml:space="preserve"> hours </w:t>
      </w:r>
      <w:r w:rsidR="000C3CA3" w:rsidRPr="00D56C27">
        <w:t xml:space="preserve">(0.50 </w:t>
      </w:r>
      <w:r w:rsidR="000C3CA3" w:rsidRPr="00D56C27">
        <w:lastRenderedPageBreak/>
        <w:t xml:space="preserve">hours </w:t>
      </w:r>
      <w:r w:rsidR="00CD6051" w:rsidRPr="00D56C27">
        <w:t xml:space="preserve">per notice </w:t>
      </w:r>
      <w:r w:rsidR="000C3CA3" w:rsidRPr="00D56C27">
        <w:t xml:space="preserve">X </w:t>
      </w:r>
      <w:r w:rsidR="00D56C27">
        <w:t xml:space="preserve">a maximum of </w:t>
      </w:r>
      <w:r w:rsidR="000C3CA3" w:rsidRPr="00D56C27">
        <w:t>650 notices</w:t>
      </w:r>
      <w:r w:rsidR="00D56C27" w:rsidRPr="00D56C27">
        <w:t xml:space="preserve"> filed annually</w:t>
      </w:r>
      <w:r w:rsidR="000C3CA3" w:rsidRPr="00D56C27">
        <w:t xml:space="preserve">) </w:t>
      </w:r>
      <w:r w:rsidR="002F2693" w:rsidRPr="00D56C27">
        <w:t>at a GS-</w:t>
      </w:r>
      <w:r w:rsidR="000C3CA3" w:rsidRPr="00D56C27">
        <w:t>11/12</w:t>
      </w:r>
      <w:r w:rsidR="002F2693" w:rsidRPr="00D56C27">
        <w:t xml:space="preserve"> pay grade.</w:t>
      </w:r>
      <w:r w:rsidR="00F27838" w:rsidRPr="00D56C27">
        <w:t xml:space="preserve"> </w:t>
      </w:r>
    </w:p>
    <w:p w:rsidR="0004335C" w:rsidRDefault="0004335C" w:rsidP="00FB3F7F"/>
    <w:p w:rsidR="0004335C" w:rsidRDefault="0004335C" w:rsidP="00FB3F7F">
      <w:pPr>
        <w:ind w:firstLine="720"/>
      </w:pPr>
      <w:r>
        <w:t xml:space="preserve">15.  </w:t>
      </w:r>
      <w:r w:rsidR="00415982" w:rsidRPr="00A322DC">
        <w:rPr>
          <w:u w:val="single"/>
        </w:rPr>
        <w:t>Changes in burden hours</w:t>
      </w:r>
      <w:r w:rsidR="00415982">
        <w:t xml:space="preserve">.  </w:t>
      </w:r>
      <w:r w:rsidR="00447FB5">
        <w:t>This ICR requests a change because this is a new collection</w:t>
      </w:r>
      <w:r w:rsidR="00157420">
        <w:t>.</w:t>
      </w:r>
      <w:r>
        <w:t xml:space="preserve">  </w:t>
      </w:r>
    </w:p>
    <w:p w:rsidR="0004335C" w:rsidRDefault="0004335C" w:rsidP="00FB3F7F"/>
    <w:p w:rsidR="006B2D0E" w:rsidRPr="0075597D" w:rsidRDefault="0004335C" w:rsidP="000956B9">
      <w:pPr>
        <w:ind w:firstLine="720"/>
      </w:pPr>
      <w:r>
        <w:t xml:space="preserve">16.  </w:t>
      </w:r>
      <w:r>
        <w:rPr>
          <w:u w:val="single"/>
        </w:rPr>
        <w:t>Plans for tabulation and publication</w:t>
      </w:r>
      <w:r>
        <w:t xml:space="preserve">: </w:t>
      </w:r>
      <w:r w:rsidR="00892416">
        <w:t xml:space="preserve"> </w:t>
      </w:r>
      <w:r w:rsidR="00327CAA">
        <w:rPr>
          <w:color w:val="000000"/>
        </w:rPr>
        <w:t>T</w:t>
      </w:r>
      <w:r w:rsidR="006B2D0E" w:rsidRPr="008E5B48">
        <w:rPr>
          <w:color w:val="000000"/>
        </w:rPr>
        <w:t xml:space="preserve">he </w:t>
      </w:r>
      <w:r w:rsidR="00BB3A09" w:rsidRPr="008E5B48">
        <w:rPr>
          <w:color w:val="000000"/>
        </w:rPr>
        <w:t>notices</w:t>
      </w:r>
      <w:r w:rsidR="00327CAA">
        <w:rPr>
          <w:color w:val="000000"/>
        </w:rPr>
        <w:t xml:space="preserve"> required by this collection</w:t>
      </w:r>
      <w:r w:rsidR="00BB3A09" w:rsidRPr="008E5B48">
        <w:rPr>
          <w:color w:val="000000"/>
        </w:rPr>
        <w:t xml:space="preserve"> </w:t>
      </w:r>
      <w:r w:rsidR="00327CAA">
        <w:rPr>
          <w:color w:val="000000"/>
        </w:rPr>
        <w:t>will be</w:t>
      </w:r>
      <w:r w:rsidR="00327CAA" w:rsidRPr="008E5B48">
        <w:rPr>
          <w:color w:val="000000"/>
        </w:rPr>
        <w:t xml:space="preserve"> </w:t>
      </w:r>
      <w:r w:rsidR="00BB3A09" w:rsidRPr="008E5B48">
        <w:rPr>
          <w:color w:val="000000"/>
        </w:rPr>
        <w:t>po</w:t>
      </w:r>
      <w:r w:rsidR="008E5B48" w:rsidRPr="008E5B48">
        <w:rPr>
          <w:color w:val="000000"/>
        </w:rPr>
        <w:t xml:space="preserve">sted </w:t>
      </w:r>
      <w:r w:rsidR="008E5B48">
        <w:rPr>
          <w:color w:val="000000"/>
        </w:rPr>
        <w:t>to</w:t>
      </w:r>
      <w:r w:rsidR="008E5B48" w:rsidRPr="008E5B48">
        <w:rPr>
          <w:color w:val="000000"/>
        </w:rPr>
        <w:t xml:space="preserve"> the appropriate docket withi</w:t>
      </w:r>
      <w:r w:rsidR="006B2D0E" w:rsidRPr="008E5B48">
        <w:rPr>
          <w:color w:val="000000"/>
        </w:rPr>
        <w:t xml:space="preserve">n the Board's </w:t>
      </w:r>
      <w:r w:rsidR="008E5B48">
        <w:rPr>
          <w:color w:val="000000"/>
        </w:rPr>
        <w:t xml:space="preserve">e-Library </w:t>
      </w:r>
      <w:r w:rsidR="006B2D0E" w:rsidRPr="008E5B48">
        <w:rPr>
          <w:color w:val="000000"/>
        </w:rPr>
        <w:t xml:space="preserve">at </w:t>
      </w:r>
      <w:r w:rsidR="006B2D0E" w:rsidRPr="008E5B48">
        <w:rPr>
          <w:color w:val="0000FF"/>
          <w:u w:val="single"/>
        </w:rPr>
        <w:t>www.stb.dot.gov</w:t>
      </w:r>
      <w:r w:rsidR="006B2D0E" w:rsidRPr="008E5B48">
        <w:rPr>
          <w:color w:val="000000"/>
        </w:rPr>
        <w:t>.</w:t>
      </w:r>
      <w:r w:rsidR="00447FB5">
        <w:rPr>
          <w:color w:val="000000"/>
        </w:rPr>
        <w:t xml:space="preserve">  </w:t>
      </w:r>
    </w:p>
    <w:p w:rsidR="0004335C" w:rsidRDefault="0004335C" w:rsidP="00FB3F7F">
      <w:pPr>
        <w:ind w:firstLine="720"/>
        <w:rPr>
          <w:b/>
          <w:bCs/>
        </w:rPr>
      </w:pPr>
      <w:r>
        <w:rPr>
          <w:b/>
          <w:bCs/>
        </w:rPr>
        <w:tab/>
      </w:r>
    </w:p>
    <w:p w:rsidR="0004335C" w:rsidRDefault="0004335C" w:rsidP="00FB3F7F">
      <w:pPr>
        <w:ind w:firstLine="720"/>
      </w:pPr>
      <w:r>
        <w:t xml:space="preserve">17.  </w:t>
      </w:r>
      <w:r w:rsidR="00415982" w:rsidRPr="00347493">
        <w:rPr>
          <w:u w:val="single"/>
        </w:rPr>
        <w:t>Display of expiration date for OMB approval</w:t>
      </w:r>
      <w:r w:rsidR="00415982" w:rsidRPr="00347493">
        <w:t xml:space="preserve">.  </w:t>
      </w:r>
      <w:r w:rsidR="00327CAA">
        <w:t>There is no form associated with this collection.  The instructions will be found in the Board’s regulations at 49 C.F.R. 1108.3.</w:t>
      </w:r>
      <w:r w:rsidRPr="00347493">
        <w:t xml:space="preserve"> </w:t>
      </w:r>
      <w:r w:rsidR="00415982" w:rsidRPr="00347493">
        <w:t xml:space="preserve">  The control number and expiration date for this collection </w:t>
      </w:r>
      <w:r w:rsidR="00447FB5">
        <w:t>will be published in the Federal Register</w:t>
      </w:r>
      <w:r w:rsidR="00415982" w:rsidRPr="00773560">
        <w:t>.</w:t>
      </w:r>
    </w:p>
    <w:p w:rsidR="0004335C" w:rsidRDefault="0004335C" w:rsidP="00FB3F7F"/>
    <w:p w:rsidR="0004335C" w:rsidRDefault="0004335C" w:rsidP="00FB3F7F">
      <w:pPr>
        <w:rPr>
          <w:b/>
          <w:bCs/>
          <w:u w:val="single"/>
        </w:rPr>
      </w:pPr>
      <w:r>
        <w:tab/>
        <w:t xml:space="preserve">18.  </w:t>
      </w:r>
      <w:r w:rsidR="00A322DC" w:rsidRPr="002C248B">
        <w:rPr>
          <w:u w:val="single"/>
        </w:rPr>
        <w:t>Exceptions to Certification Statement</w:t>
      </w:r>
      <w:r w:rsidR="00A322DC">
        <w:t>.  No exceptions are sought.</w:t>
      </w:r>
    </w:p>
    <w:p w:rsidR="0004335C" w:rsidRDefault="0004335C" w:rsidP="00FB3F7F">
      <w:pPr>
        <w:rPr>
          <w:b/>
          <w:bCs/>
          <w:u w:val="single"/>
        </w:rPr>
      </w:pPr>
    </w:p>
    <w:p w:rsidR="0004335C" w:rsidRPr="00FB3F7F" w:rsidRDefault="0004335C" w:rsidP="00C35217">
      <w:pPr>
        <w:keepNext/>
        <w:widowControl/>
        <w:rPr>
          <w:b/>
          <w:bCs/>
          <w:u w:val="single"/>
        </w:rPr>
      </w:pPr>
      <w:r w:rsidRPr="00FB3F7F">
        <w:rPr>
          <w:b/>
        </w:rPr>
        <w:t>B.</w:t>
      </w:r>
      <w:r>
        <w:t xml:space="preserve"> </w:t>
      </w:r>
      <w:r>
        <w:rPr>
          <w:b/>
          <w:bCs/>
        </w:rPr>
        <w:t>Collections of Information Employing Statistical Methods:</w:t>
      </w:r>
    </w:p>
    <w:p w:rsidR="0004335C" w:rsidRDefault="0004335C" w:rsidP="00FB3F7F"/>
    <w:p w:rsidR="0004335C" w:rsidRDefault="0004335C" w:rsidP="00D56C27">
      <w:pPr>
        <w:ind w:firstLine="720"/>
      </w:pPr>
      <w:r>
        <w:t>Not applicable</w:t>
      </w:r>
      <w:r w:rsidR="00CD6051">
        <w:t>.</w:t>
      </w:r>
      <w:r>
        <w:tab/>
      </w:r>
    </w:p>
    <w:p w:rsidR="0004335C" w:rsidRDefault="0004335C">
      <w:pPr>
        <w:rPr>
          <w:b/>
          <w:bCs/>
        </w:rPr>
      </w:pPr>
    </w:p>
    <w:sectPr w:rsidR="0004335C" w:rsidSect="00C35217">
      <w:footerReference w:type="default" r:id="rId7"/>
      <w:type w:val="continuous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38" w:rsidRDefault="00605138" w:rsidP="00C35217">
      <w:r>
        <w:separator/>
      </w:r>
    </w:p>
  </w:endnote>
  <w:endnote w:type="continuationSeparator" w:id="0">
    <w:p w:rsidR="00605138" w:rsidRDefault="00605138" w:rsidP="00C3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086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62D2" w:rsidRDefault="005762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3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762D2" w:rsidRDefault="005762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38" w:rsidRDefault="00605138" w:rsidP="00C35217">
      <w:r>
        <w:separator/>
      </w:r>
    </w:p>
  </w:footnote>
  <w:footnote w:type="continuationSeparator" w:id="0">
    <w:p w:rsidR="00605138" w:rsidRDefault="00605138" w:rsidP="00C35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B5"/>
    <w:rsid w:val="000239DE"/>
    <w:rsid w:val="00025E6B"/>
    <w:rsid w:val="0003015F"/>
    <w:rsid w:val="000406A7"/>
    <w:rsid w:val="0004335C"/>
    <w:rsid w:val="000451D8"/>
    <w:rsid w:val="00051F53"/>
    <w:rsid w:val="00077ADF"/>
    <w:rsid w:val="000876F8"/>
    <w:rsid w:val="0009337C"/>
    <w:rsid w:val="000956B9"/>
    <w:rsid w:val="000A5FB5"/>
    <w:rsid w:val="000B7D22"/>
    <w:rsid w:val="000C3A85"/>
    <w:rsid w:val="000C3CA3"/>
    <w:rsid w:val="000F1C3F"/>
    <w:rsid w:val="00123F4D"/>
    <w:rsid w:val="00157420"/>
    <w:rsid w:val="001575E2"/>
    <w:rsid w:val="00174CFC"/>
    <w:rsid w:val="001903E8"/>
    <w:rsid w:val="00196F88"/>
    <w:rsid w:val="001A00B0"/>
    <w:rsid w:val="001A4E92"/>
    <w:rsid w:val="001B3AF2"/>
    <w:rsid w:val="001B4A05"/>
    <w:rsid w:val="001C102A"/>
    <w:rsid w:val="001E2CE1"/>
    <w:rsid w:val="001F51C0"/>
    <w:rsid w:val="00224F8B"/>
    <w:rsid w:val="00242D98"/>
    <w:rsid w:val="00260588"/>
    <w:rsid w:val="00293B4B"/>
    <w:rsid w:val="002A307F"/>
    <w:rsid w:val="002A5C7F"/>
    <w:rsid w:val="002F2693"/>
    <w:rsid w:val="0031751F"/>
    <w:rsid w:val="00323245"/>
    <w:rsid w:val="00327CAA"/>
    <w:rsid w:val="00347493"/>
    <w:rsid w:val="003626B6"/>
    <w:rsid w:val="0037436E"/>
    <w:rsid w:val="003872C8"/>
    <w:rsid w:val="003A13A6"/>
    <w:rsid w:val="003A16D1"/>
    <w:rsid w:val="003C6386"/>
    <w:rsid w:val="003F0073"/>
    <w:rsid w:val="00415982"/>
    <w:rsid w:val="00432BF7"/>
    <w:rsid w:val="004471B5"/>
    <w:rsid w:val="00447FB5"/>
    <w:rsid w:val="0045507D"/>
    <w:rsid w:val="0046706E"/>
    <w:rsid w:val="004A776C"/>
    <w:rsid w:val="004E39CF"/>
    <w:rsid w:val="00525C23"/>
    <w:rsid w:val="005465BA"/>
    <w:rsid w:val="005565A5"/>
    <w:rsid w:val="00573698"/>
    <w:rsid w:val="005762D2"/>
    <w:rsid w:val="005770D1"/>
    <w:rsid w:val="005A3C88"/>
    <w:rsid w:val="005C0AB7"/>
    <w:rsid w:val="005C26E2"/>
    <w:rsid w:val="005C27E5"/>
    <w:rsid w:val="005C76FF"/>
    <w:rsid w:val="00605138"/>
    <w:rsid w:val="00612260"/>
    <w:rsid w:val="00627D41"/>
    <w:rsid w:val="00635A9F"/>
    <w:rsid w:val="00670621"/>
    <w:rsid w:val="0068615E"/>
    <w:rsid w:val="00687B85"/>
    <w:rsid w:val="006B2D0E"/>
    <w:rsid w:val="006D5599"/>
    <w:rsid w:val="007518F7"/>
    <w:rsid w:val="00773560"/>
    <w:rsid w:val="007743D0"/>
    <w:rsid w:val="0078681E"/>
    <w:rsid w:val="007B2EAB"/>
    <w:rsid w:val="007B5D7C"/>
    <w:rsid w:val="007C769A"/>
    <w:rsid w:val="007E4E66"/>
    <w:rsid w:val="00800960"/>
    <w:rsid w:val="00807E51"/>
    <w:rsid w:val="008244FD"/>
    <w:rsid w:val="00830858"/>
    <w:rsid w:val="0084125E"/>
    <w:rsid w:val="00841B0A"/>
    <w:rsid w:val="008630CF"/>
    <w:rsid w:val="0087126C"/>
    <w:rsid w:val="00892416"/>
    <w:rsid w:val="008C7E6C"/>
    <w:rsid w:val="008D5D39"/>
    <w:rsid w:val="008E5B48"/>
    <w:rsid w:val="009301F0"/>
    <w:rsid w:val="0095041A"/>
    <w:rsid w:val="00970AEE"/>
    <w:rsid w:val="009806DB"/>
    <w:rsid w:val="00980CC8"/>
    <w:rsid w:val="009A2D7F"/>
    <w:rsid w:val="009B3573"/>
    <w:rsid w:val="009B61CA"/>
    <w:rsid w:val="009C364D"/>
    <w:rsid w:val="009E680A"/>
    <w:rsid w:val="009F349B"/>
    <w:rsid w:val="00A00310"/>
    <w:rsid w:val="00A02689"/>
    <w:rsid w:val="00A322DC"/>
    <w:rsid w:val="00A50B3B"/>
    <w:rsid w:val="00A777A5"/>
    <w:rsid w:val="00AB2BFB"/>
    <w:rsid w:val="00AB2CEB"/>
    <w:rsid w:val="00AB7397"/>
    <w:rsid w:val="00B01B99"/>
    <w:rsid w:val="00B11089"/>
    <w:rsid w:val="00B40C41"/>
    <w:rsid w:val="00B67C35"/>
    <w:rsid w:val="00B95036"/>
    <w:rsid w:val="00BB3A09"/>
    <w:rsid w:val="00C25530"/>
    <w:rsid w:val="00C2751C"/>
    <w:rsid w:val="00C33233"/>
    <w:rsid w:val="00C35217"/>
    <w:rsid w:val="00CA433D"/>
    <w:rsid w:val="00CB0E97"/>
    <w:rsid w:val="00CB4E93"/>
    <w:rsid w:val="00CC0E2A"/>
    <w:rsid w:val="00CD5591"/>
    <w:rsid w:val="00CD6051"/>
    <w:rsid w:val="00D02BDC"/>
    <w:rsid w:val="00D075F6"/>
    <w:rsid w:val="00D46FF7"/>
    <w:rsid w:val="00D47C12"/>
    <w:rsid w:val="00D56C27"/>
    <w:rsid w:val="00D63230"/>
    <w:rsid w:val="00D652DE"/>
    <w:rsid w:val="00DB6D4D"/>
    <w:rsid w:val="00DC5A98"/>
    <w:rsid w:val="00DE0DFD"/>
    <w:rsid w:val="00E16B30"/>
    <w:rsid w:val="00E26716"/>
    <w:rsid w:val="00E37859"/>
    <w:rsid w:val="00E406A3"/>
    <w:rsid w:val="00E53BD4"/>
    <w:rsid w:val="00E54713"/>
    <w:rsid w:val="00E724DC"/>
    <w:rsid w:val="00E733A9"/>
    <w:rsid w:val="00E80B7B"/>
    <w:rsid w:val="00E95E91"/>
    <w:rsid w:val="00E960DC"/>
    <w:rsid w:val="00EF3282"/>
    <w:rsid w:val="00F001C8"/>
    <w:rsid w:val="00F27838"/>
    <w:rsid w:val="00F72AB3"/>
    <w:rsid w:val="00F91B7F"/>
    <w:rsid w:val="00FA48B6"/>
    <w:rsid w:val="00FB3F7F"/>
    <w:rsid w:val="00FC4786"/>
    <w:rsid w:val="00FD17E6"/>
    <w:rsid w:val="00FF1836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B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324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7C35"/>
    <w:rPr>
      <w:rFonts w:cs="Times New Roman"/>
      <w:sz w:val="2"/>
    </w:rPr>
  </w:style>
  <w:style w:type="character" w:styleId="FootnoteReference">
    <w:name w:val="footnote reference"/>
    <w:basedOn w:val="DefaultParagraphFont"/>
    <w:uiPriority w:val="99"/>
    <w:rsid w:val="00F72AB3"/>
    <w:rPr>
      <w:rFonts w:cs="Times New Roman"/>
    </w:rPr>
  </w:style>
  <w:style w:type="character" w:styleId="Hyperlink">
    <w:name w:val="Hyperlink"/>
    <w:basedOn w:val="DefaultParagraphFont"/>
    <w:uiPriority w:val="99"/>
    <w:rsid w:val="00FB3F7F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A2D7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2D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7C3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7C35"/>
    <w:rPr>
      <w:rFonts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2D0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93B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2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2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B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324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7C35"/>
    <w:rPr>
      <w:rFonts w:cs="Times New Roman"/>
      <w:sz w:val="2"/>
    </w:rPr>
  </w:style>
  <w:style w:type="character" w:styleId="FootnoteReference">
    <w:name w:val="footnote reference"/>
    <w:basedOn w:val="DefaultParagraphFont"/>
    <w:uiPriority w:val="99"/>
    <w:rsid w:val="00F72AB3"/>
    <w:rPr>
      <w:rFonts w:cs="Times New Roman"/>
    </w:rPr>
  </w:style>
  <w:style w:type="character" w:styleId="Hyperlink">
    <w:name w:val="Hyperlink"/>
    <w:basedOn w:val="DefaultParagraphFont"/>
    <w:uiPriority w:val="99"/>
    <w:rsid w:val="00FB3F7F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A2D7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2D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7C3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7C35"/>
    <w:rPr>
      <w:rFonts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2D0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93B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2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2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5211</Characters>
  <Application>Microsoft Office Word</Application>
  <DocSecurity>0</DocSecurity>
  <Lines>108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2140-0009</vt:lpstr>
    </vt:vector>
  </TitlesOfParts>
  <Company>Surface Transportation Board</Company>
  <LinksUpToDate>false</LinksUpToDate>
  <CharactersWithSpaces>6144</CharactersWithSpaces>
  <SharedDoc>false</SharedDoc>
  <HLinks>
    <vt:vector size="6" baseType="variant">
      <vt:variant>
        <vt:i4>131127</vt:i4>
      </vt:variant>
      <vt:variant>
        <vt:i4>0</vt:i4>
      </vt:variant>
      <vt:variant>
        <vt:i4>0</vt:i4>
      </vt:variant>
      <vt:variant>
        <vt:i4>5</vt:i4>
      </vt:variant>
      <vt:variant>
        <vt:lpwstr>http://www.stb.dot.gov/stb/industry/econ_reports.html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2140-0009</dc:title>
  <dc:creator>levittm</dc:creator>
  <cp:lastModifiedBy>levittM</cp:lastModifiedBy>
  <cp:revision>2</cp:revision>
  <cp:lastPrinted>2013-05-16T21:05:00Z</cp:lastPrinted>
  <dcterms:created xsi:type="dcterms:W3CDTF">2013-05-17T19:04:00Z</dcterms:created>
  <dcterms:modified xsi:type="dcterms:W3CDTF">2013-05-17T19:04:00Z</dcterms:modified>
</cp:coreProperties>
</file>