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F2531E"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Pr="00531181" w:rsidRDefault="00CA4CD6">
      <w:pPr>
        <w:tabs>
          <w:tab w:val="center" w:pos="4680"/>
        </w:tabs>
      </w:pPr>
      <w:r>
        <w:rPr>
          <w:b/>
          <w:bCs/>
        </w:rPr>
        <w:tab/>
      </w:r>
      <w:r w:rsidRPr="00531181">
        <w:rPr>
          <w:b/>
          <w:bCs/>
        </w:rPr>
        <w:t>ENVIRONMENTAL PROTECTION AGENCY</w:t>
      </w:r>
    </w:p>
    <w:p w:rsidR="00CA4CD6" w:rsidRPr="00531181" w:rsidRDefault="00CA4CD6">
      <w:pPr>
        <w:tabs>
          <w:tab w:val="center" w:pos="4680"/>
        </w:tabs>
      </w:pPr>
      <w:r w:rsidRPr="00531181">
        <w:tab/>
      </w:r>
    </w:p>
    <w:p w:rsidR="00CA4CD6" w:rsidRPr="00531181" w:rsidRDefault="003E62DB">
      <w:r w:rsidRPr="00531181">
        <w:rPr>
          <w:b/>
        </w:rPr>
        <w:t>Emission Guidelines and Compliance Times for Existing Municipal Solid Waste Landfills (40 CFR Part 60, Subpart Cc and 40 CFR Part 62, Subpart GGG</w:t>
      </w:r>
      <w:r w:rsidR="00B6098C" w:rsidRPr="00531181">
        <w:rPr>
          <w:b/>
        </w:rPr>
        <w:t>) (Renewal</w:t>
      </w:r>
      <w:r w:rsidRPr="00531181">
        <w:rPr>
          <w:b/>
        </w:rPr>
        <w:t>)</w:t>
      </w:r>
    </w:p>
    <w:p w:rsidR="00CA4CD6" w:rsidRPr="00531181" w:rsidRDefault="00CA4CD6"/>
    <w:p w:rsidR="00CA4CD6" w:rsidRPr="00531181" w:rsidRDefault="00CA4CD6">
      <w:pPr>
        <w:rPr>
          <w:b/>
          <w:bCs/>
        </w:rPr>
      </w:pPr>
      <w:r w:rsidRPr="00531181">
        <w:rPr>
          <w:b/>
          <w:bCs/>
        </w:rPr>
        <w:t>1.  Identification of the Information Collection</w:t>
      </w:r>
    </w:p>
    <w:p w:rsidR="00CA4CD6" w:rsidRPr="00531181" w:rsidRDefault="00CA4CD6">
      <w:pPr>
        <w:rPr>
          <w:b/>
          <w:bCs/>
        </w:rPr>
      </w:pPr>
    </w:p>
    <w:p w:rsidR="00CA4CD6" w:rsidRDefault="00CA4CD6">
      <w:pPr>
        <w:ind w:firstLine="720"/>
        <w:rPr>
          <w:b/>
          <w:bCs/>
          <w:color w:val="000000"/>
        </w:rPr>
      </w:pPr>
      <w:r w:rsidRPr="00531181">
        <w:rPr>
          <w:b/>
          <w:bCs/>
        </w:rPr>
        <w:t>1(a)  Title of the Information</w:t>
      </w:r>
      <w:r>
        <w:rPr>
          <w:b/>
          <w:bCs/>
          <w:color w:val="000000"/>
        </w:rPr>
        <w:t xml:space="preserve"> Collection</w:t>
      </w:r>
    </w:p>
    <w:p w:rsidR="00CA4CD6" w:rsidRPr="00B51CF1" w:rsidRDefault="00CA4CD6">
      <w:pPr>
        <w:rPr>
          <w:b/>
          <w:bCs/>
        </w:rPr>
      </w:pPr>
    </w:p>
    <w:p w:rsidR="00CA4CD6" w:rsidRPr="002B29A5" w:rsidRDefault="00B51CF1" w:rsidP="002B29A5">
      <w:pPr>
        <w:rPr>
          <w:bCs/>
          <w:color w:val="000000"/>
        </w:rPr>
      </w:pPr>
      <w:r w:rsidRPr="00B51CF1">
        <w:rPr>
          <w:bCs/>
        </w:rPr>
        <w:t xml:space="preserve">Emission Guidelines and Compliance Times for Existing Municipal Solid Waste Landfills </w:t>
      </w:r>
      <w:r w:rsidR="00FE5319">
        <w:rPr>
          <w:bCs/>
        </w:rPr>
        <w:t xml:space="preserve">      </w:t>
      </w:r>
      <w:r w:rsidRPr="00B51CF1">
        <w:rPr>
          <w:bCs/>
        </w:rPr>
        <w:t xml:space="preserve">(40 CFR Part 60, Subpart Cc and 40 CFR Part 62, Subpart GGG) </w:t>
      </w:r>
      <w:r w:rsidR="002B29A5" w:rsidRPr="00B51CF1">
        <w:rPr>
          <w:bCs/>
        </w:rPr>
        <w:t>(R</w:t>
      </w:r>
      <w:r w:rsidR="002B29A5" w:rsidRPr="004C5E95">
        <w:rPr>
          <w:bCs/>
        </w:rPr>
        <w:t xml:space="preserve">enewal), EPA ICR </w:t>
      </w:r>
      <w:r w:rsidR="00FE5319">
        <w:rPr>
          <w:bCs/>
        </w:rPr>
        <w:t xml:space="preserve">   </w:t>
      </w:r>
      <w:r w:rsidR="002B29A5" w:rsidRPr="004C5E95">
        <w:rPr>
          <w:bCs/>
        </w:rPr>
        <w:t>Number</w:t>
      </w:r>
      <w:r>
        <w:rPr>
          <w:bCs/>
        </w:rPr>
        <w:t xml:space="preserve"> 1893.06,</w:t>
      </w:r>
      <w:r w:rsidR="002B29A5">
        <w:rPr>
          <w:bCs/>
          <w:color w:val="FF0000"/>
        </w:rPr>
        <w:t xml:space="preserve"> </w:t>
      </w:r>
      <w:r w:rsidR="002B29A5" w:rsidRPr="004C5E95">
        <w:rPr>
          <w:bCs/>
        </w:rPr>
        <w:t>OMB Control Number 2060-</w:t>
      </w:r>
      <w:r w:rsidRPr="00B51CF1">
        <w:rPr>
          <w:bCs/>
        </w:rPr>
        <w:t>043</w:t>
      </w:r>
      <w:r>
        <w:rPr>
          <w:bCs/>
        </w:rPr>
        <w:t>0.</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Pr="003110FE" w:rsidRDefault="00CA4CD6">
      <w:pPr>
        <w:ind w:firstLine="720"/>
      </w:pPr>
      <w:r>
        <w:rPr>
          <w:color w:val="000000"/>
        </w:rPr>
        <w:t>The</w:t>
      </w:r>
      <w:r w:rsidR="00707D6F">
        <w:rPr>
          <w:color w:val="000000"/>
        </w:rPr>
        <w:t xml:space="preserve"> </w:t>
      </w:r>
      <w:r w:rsidR="00C47CCA" w:rsidRPr="00B51CF1">
        <w:rPr>
          <w:bCs/>
        </w:rPr>
        <w:t>Emission Guidelines and Compliance Times for Existing Municipal Solid Waste Landfills</w:t>
      </w:r>
      <w:r w:rsidR="00C47CCA" w:rsidDel="00C47CCA">
        <w:rPr>
          <w:color w:val="000000"/>
        </w:rPr>
        <w:t xml:space="preserve"> </w:t>
      </w:r>
      <w:r w:rsidR="0046540C">
        <w:rPr>
          <w:color w:val="000000"/>
        </w:rPr>
        <w:t>(</w:t>
      </w:r>
      <w:r w:rsidR="00707D6F">
        <w:rPr>
          <w:color w:val="000000"/>
        </w:rPr>
        <w:t>40 CFR part 60, subpart Cc</w:t>
      </w:r>
      <w:r w:rsidR="0046540C">
        <w:rPr>
          <w:color w:val="000000"/>
        </w:rPr>
        <w:t>)</w:t>
      </w:r>
      <w:r>
        <w:rPr>
          <w:color w:val="000000"/>
        </w:rPr>
        <w:t xml:space="preserve"> were proposed on</w:t>
      </w:r>
      <w:r w:rsidR="00294104">
        <w:rPr>
          <w:color w:val="000000"/>
        </w:rPr>
        <w:t xml:space="preserve"> May 30, 1991</w:t>
      </w:r>
      <w:r>
        <w:rPr>
          <w:color w:val="000000"/>
        </w:rPr>
        <w:t xml:space="preserve">, and promulgated on </w:t>
      </w:r>
      <w:r w:rsidR="00707D6F">
        <w:rPr>
          <w:color w:val="000000"/>
        </w:rPr>
        <w:t>March 12, 1996</w:t>
      </w:r>
      <w:r>
        <w:rPr>
          <w:color w:val="000000"/>
        </w:rPr>
        <w:t xml:space="preserve">.  </w:t>
      </w:r>
      <w:r w:rsidR="00294104" w:rsidRPr="00294104">
        <w:rPr>
          <w:color w:val="000000"/>
        </w:rPr>
        <w:t>The landfills emission guidelines are implemented through either State  or Federal pla</w:t>
      </w:r>
      <w:r w:rsidR="00D71066">
        <w:rPr>
          <w:color w:val="000000"/>
        </w:rPr>
        <w:t>n</w:t>
      </w:r>
      <w:r w:rsidR="0046540C">
        <w:rPr>
          <w:color w:val="000000"/>
        </w:rPr>
        <w:t>s</w:t>
      </w:r>
      <w:r w:rsidR="00D71066">
        <w:rPr>
          <w:color w:val="000000"/>
        </w:rPr>
        <w:t xml:space="preserve"> (40 CFR part 62, subpart GGG), which </w:t>
      </w:r>
      <w:r w:rsidR="00294104" w:rsidRPr="00294104">
        <w:rPr>
          <w:color w:val="000000"/>
        </w:rPr>
        <w:t>EPA developed for landfills located in States and Indian countr</w:t>
      </w:r>
      <w:r w:rsidR="00D71066">
        <w:rPr>
          <w:color w:val="000000"/>
        </w:rPr>
        <w:t xml:space="preserve">ies </w:t>
      </w:r>
      <w:r w:rsidR="00294104" w:rsidRPr="00294104">
        <w:rPr>
          <w:color w:val="000000"/>
        </w:rPr>
        <w:t>that did not develop State or Tribal plan</w:t>
      </w:r>
      <w:r w:rsidR="00D71066">
        <w:rPr>
          <w:color w:val="000000"/>
        </w:rPr>
        <w:t>s</w:t>
      </w:r>
      <w:r w:rsidR="00294104" w:rsidRPr="00294104">
        <w:rPr>
          <w:color w:val="000000"/>
        </w:rPr>
        <w:t>.</w:t>
      </w:r>
      <w:r w:rsidR="00294104">
        <w:rPr>
          <w:color w:val="000000"/>
        </w:rPr>
        <w:t xml:space="preserve"> </w:t>
      </w:r>
      <w:r w:rsidR="00294104" w:rsidRPr="00294104">
        <w:rPr>
          <w:color w:val="000000"/>
        </w:rPr>
        <w:t xml:space="preserve"> States directly implement and enforce their </w:t>
      </w:r>
      <w:r w:rsidR="0046540C">
        <w:rPr>
          <w:color w:val="000000"/>
        </w:rPr>
        <w:t xml:space="preserve">own </w:t>
      </w:r>
      <w:r w:rsidR="00294104" w:rsidRPr="00294104">
        <w:rPr>
          <w:color w:val="000000"/>
        </w:rPr>
        <w:t>State plan</w:t>
      </w:r>
      <w:r w:rsidR="0046540C">
        <w:rPr>
          <w:color w:val="000000"/>
        </w:rPr>
        <w:t>s,</w:t>
      </w:r>
      <w:r w:rsidR="00D71066">
        <w:rPr>
          <w:color w:val="000000"/>
        </w:rPr>
        <w:t xml:space="preserve"> whereas </w:t>
      </w:r>
      <w:r w:rsidR="00294104" w:rsidRPr="00294104">
        <w:rPr>
          <w:color w:val="000000"/>
        </w:rPr>
        <w:t xml:space="preserve">EPA </w:t>
      </w:r>
      <w:r w:rsidR="0046540C">
        <w:rPr>
          <w:color w:val="000000"/>
        </w:rPr>
        <w:t xml:space="preserve">both </w:t>
      </w:r>
      <w:r w:rsidR="00294104" w:rsidRPr="00294104">
        <w:rPr>
          <w:color w:val="000000"/>
        </w:rPr>
        <w:t>implements and enforces the Federal plan.</w:t>
      </w:r>
      <w:r w:rsidR="00C47CCA">
        <w:rPr>
          <w:color w:val="000000"/>
        </w:rPr>
        <w:t xml:space="preserve"> </w:t>
      </w:r>
      <w:r w:rsidR="00294104" w:rsidRPr="00294104">
        <w:rPr>
          <w:color w:val="000000"/>
        </w:rPr>
        <w:t xml:space="preserve"> State plans were due to EPA by December 12, 1996</w:t>
      </w:r>
      <w:r w:rsidR="00D71066">
        <w:rPr>
          <w:color w:val="000000"/>
        </w:rPr>
        <w:t xml:space="preserve">, </w:t>
      </w:r>
      <w:r w:rsidR="00294104" w:rsidRPr="00294104">
        <w:rPr>
          <w:color w:val="000000"/>
        </w:rPr>
        <w:t>and the Federal plan was promulgated on November 8, 1999.</w:t>
      </w:r>
      <w:r w:rsidR="00294104">
        <w:rPr>
          <w:color w:val="000000"/>
        </w:rPr>
        <w:t xml:space="preserve"> </w:t>
      </w:r>
      <w:r w:rsidR="00294104" w:rsidRPr="00294104">
        <w:rPr>
          <w:color w:val="000000"/>
        </w:rPr>
        <w:t xml:space="preserve"> </w:t>
      </w:r>
      <w:r w:rsidR="00707D6F">
        <w:rPr>
          <w:color w:val="000000"/>
        </w:rPr>
        <w:t>The emission guidelines apply to existing municipal solid waste (MSW) landfills that</w:t>
      </w:r>
      <w:r w:rsidR="0046540C">
        <w:rPr>
          <w:color w:val="000000"/>
        </w:rPr>
        <w:t>:</w:t>
      </w:r>
      <w:r w:rsidR="00707D6F">
        <w:rPr>
          <w:color w:val="000000"/>
        </w:rPr>
        <w:t xml:space="preserve"> commenced modification or construction</w:t>
      </w:r>
      <w:r w:rsidR="00D71066">
        <w:rPr>
          <w:color w:val="000000"/>
        </w:rPr>
        <w:t xml:space="preserve"> </w:t>
      </w:r>
      <w:r w:rsidR="00707D6F">
        <w:rPr>
          <w:color w:val="000000"/>
        </w:rPr>
        <w:t>before May 30, 1991</w:t>
      </w:r>
      <w:r w:rsidR="00D71066">
        <w:rPr>
          <w:color w:val="000000"/>
        </w:rPr>
        <w:t>;</w:t>
      </w:r>
      <w:r w:rsidR="00707D6F">
        <w:rPr>
          <w:color w:val="000000"/>
        </w:rPr>
        <w:t xml:space="preserve"> accepted waste at any time since November 8, 1987</w:t>
      </w:r>
      <w:r w:rsidR="00D71066">
        <w:rPr>
          <w:color w:val="000000"/>
        </w:rPr>
        <w:t>;</w:t>
      </w:r>
      <w:r w:rsidR="00707D6F">
        <w:rPr>
          <w:color w:val="000000"/>
        </w:rPr>
        <w:t xml:space="preserve"> </w:t>
      </w:r>
      <w:r w:rsidR="0046540C">
        <w:rPr>
          <w:color w:val="000000"/>
        </w:rPr>
        <w:t>or</w:t>
      </w:r>
      <w:r w:rsidR="00707D6F">
        <w:rPr>
          <w:color w:val="000000"/>
        </w:rPr>
        <w:t xml:space="preserve"> have a capacity available for future waste deposition.  MSW landfills that were constructed on or after May 30, 1991</w:t>
      </w:r>
      <w:r w:rsidR="00FD09E1">
        <w:rPr>
          <w:color w:val="000000"/>
        </w:rPr>
        <w:t>,</w:t>
      </w:r>
      <w:r w:rsidR="00707D6F">
        <w:rPr>
          <w:color w:val="000000"/>
        </w:rPr>
        <w:t xml:space="preserve"> or that had changes in design capacities on or after May 30, 1991</w:t>
      </w:r>
      <w:r w:rsidR="00FD09E1">
        <w:rPr>
          <w:color w:val="000000"/>
        </w:rPr>
        <w:t>,</w:t>
      </w:r>
      <w:r w:rsidR="00707D6F">
        <w:rPr>
          <w:color w:val="000000"/>
        </w:rPr>
        <w:t xml:space="preserve"> are subject to EPA’s new source performance standards (NSPS) and not the emission guidelines. </w:t>
      </w:r>
      <w:r w:rsidR="00D71066" w:rsidRPr="00D71066">
        <w:rPr>
          <w:color w:val="000000"/>
        </w:rPr>
        <w:t xml:space="preserve"> </w:t>
      </w:r>
      <w:r w:rsidR="00D71066">
        <w:rPr>
          <w:color w:val="000000"/>
        </w:rPr>
        <w:t xml:space="preserve">This information is </w:t>
      </w:r>
      <w:r w:rsidR="00D71066" w:rsidRPr="001A7B0D">
        <w:t xml:space="preserve">being collected </w:t>
      </w:r>
      <w:r w:rsidR="00D71066">
        <w:t xml:space="preserve">from subject MSW landfills </w:t>
      </w:r>
      <w:r w:rsidR="00D71066" w:rsidRPr="001A7B0D">
        <w:t xml:space="preserve">to assure </w:t>
      </w:r>
      <w:r w:rsidR="00D71066" w:rsidRPr="003110FE">
        <w:t>compliance with 40 CFR part 60, subpart Cc</w:t>
      </w:r>
      <w:r w:rsidR="00095BA4">
        <w:t xml:space="preserve"> and 40 CFR part 62, subpart GGG</w:t>
      </w:r>
      <w:r w:rsidR="00D71066" w:rsidRPr="003110FE">
        <w:t>.</w:t>
      </w:r>
    </w:p>
    <w:p w:rsidR="00CA4CD6" w:rsidRPr="008551D1" w:rsidRDefault="00CA4CD6"/>
    <w:p w:rsidR="008551D1" w:rsidRPr="008551D1" w:rsidRDefault="008551D1" w:rsidP="008551D1">
      <w:pPr>
        <w:ind w:firstLine="720"/>
      </w:pPr>
      <w:r w:rsidRPr="008551D1">
        <w:t xml:space="preserve">Existing MSW landfills are required to submit reports and maintain records specified </w:t>
      </w:r>
      <w:r w:rsidR="0046540C">
        <w:t xml:space="preserve">    </w:t>
      </w:r>
      <w:r w:rsidRPr="008551D1">
        <w:t xml:space="preserve">in section 4(b) of this supporting statement.  Because landfills have been subject to the emission guidelines for several years, </w:t>
      </w:r>
      <w:r w:rsidR="0013622C">
        <w:t xml:space="preserve">they </w:t>
      </w:r>
      <w:r w:rsidRPr="008551D1">
        <w:t xml:space="preserve">have already completed initial notifications and submitted design plans.  Since subpart Cc applies to existing sources </w:t>
      </w:r>
      <w:r w:rsidR="00D71066">
        <w:t xml:space="preserve">only, </w:t>
      </w:r>
      <w:r w:rsidRPr="008551D1">
        <w:t>and no more sources are expected to trigger the requirements, only the routine reporting and recordkeeping requirements currently apply.</w:t>
      </w:r>
      <w:r>
        <w:t xml:space="preserve">  </w:t>
      </w:r>
      <w:r w:rsidRPr="008551D1">
        <w:t>The notifications, reports, and records are essential in determining compliance, and are required of all MSW landfills subject to the emission guidelines</w:t>
      </w:r>
      <w:r>
        <w:t>.</w:t>
      </w:r>
    </w:p>
    <w:p w:rsidR="00446509" w:rsidRPr="008551D1" w:rsidRDefault="00446509">
      <w:pP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902154">
        <w:rPr>
          <w:color w:val="000000"/>
        </w:rPr>
        <w:t xml:space="preserve"> five </w:t>
      </w:r>
      <w:r>
        <w:rPr>
          <w:color w:val="000000"/>
        </w:rPr>
        <w:t xml:space="preserve">years following the date of such measurements, maintenance reports, and records.  </w:t>
      </w:r>
      <w:r w:rsidR="0013622C" w:rsidRPr="0013622C">
        <w:rPr>
          <w:color w:val="000000"/>
        </w:rPr>
        <w:t xml:space="preserve">For landfills subject to a State plan, reports are sent to the State or local authority that developed the State plan. </w:t>
      </w:r>
      <w:r w:rsidR="0013622C">
        <w:rPr>
          <w:color w:val="000000"/>
        </w:rPr>
        <w:t xml:space="preserve"> </w:t>
      </w:r>
      <w:r w:rsidR="0013622C" w:rsidRPr="0013622C">
        <w:rPr>
          <w:color w:val="000000"/>
        </w:rPr>
        <w:t>For landfills subject to the Federal plan, reports are sent to the respective EPA regional office.</w:t>
      </w:r>
    </w:p>
    <w:p w:rsidR="00C37B86" w:rsidRDefault="00C37B86" w:rsidP="003630D1">
      <w:pPr>
        <w:pBdr>
          <w:top w:val="single" w:sz="6" w:space="0" w:color="FFFFFF"/>
          <w:left w:val="single" w:sz="6" w:space="0" w:color="FFFFFF"/>
          <w:bottom w:val="single" w:sz="6" w:space="0" w:color="FFFFFF"/>
          <w:right w:val="single" w:sz="6" w:space="0" w:color="FFFFFF"/>
        </w:pBdr>
        <w:ind w:firstLine="720"/>
        <w:rPr>
          <w:color w:val="000000"/>
        </w:rPr>
      </w:pPr>
    </w:p>
    <w:p w:rsidR="00CA4CD6" w:rsidRPr="00995292" w:rsidRDefault="00C37B86" w:rsidP="003630D1">
      <w:pPr>
        <w:pBdr>
          <w:top w:val="single" w:sz="6" w:space="0" w:color="FFFFFF"/>
          <w:left w:val="single" w:sz="6" w:space="0" w:color="FFFFFF"/>
          <w:bottom w:val="single" w:sz="6" w:space="0" w:color="FFFFFF"/>
          <w:right w:val="single" w:sz="6" w:space="0" w:color="FFFFFF"/>
        </w:pBdr>
        <w:ind w:firstLine="720"/>
      </w:pPr>
      <w:r w:rsidRPr="00B7716F">
        <w:rPr>
          <w:color w:val="000000"/>
        </w:rPr>
        <w:lastRenderedPageBreak/>
        <w:t xml:space="preserve">Over the next three years, an average of </w:t>
      </w:r>
      <w:r w:rsidR="00D71066" w:rsidRPr="00B7716F">
        <w:t>474</w:t>
      </w:r>
      <w:r w:rsidR="006C519F" w:rsidRPr="00B7716F">
        <w:t xml:space="preserve"> MSW landfills </w:t>
      </w:r>
      <w:r w:rsidR="00286588">
        <w:t>owners/operators and 37 State/local agencies</w:t>
      </w:r>
      <w:r w:rsidR="0046540C">
        <w:t>,</w:t>
      </w:r>
      <w:r w:rsidR="00D066CD">
        <w:t xml:space="preserve"> </w:t>
      </w:r>
      <w:r w:rsidR="00286588">
        <w:t xml:space="preserve">for a total of 511 </w:t>
      </w:r>
      <w:r w:rsidR="0050676D">
        <w:t xml:space="preserve">MSW </w:t>
      </w:r>
      <w:r w:rsidRPr="00B7716F">
        <w:rPr>
          <w:color w:val="000000"/>
        </w:rPr>
        <w:t>per year will be</w:t>
      </w:r>
      <w:r w:rsidR="006C519F" w:rsidRPr="00B7716F">
        <w:rPr>
          <w:color w:val="000000"/>
        </w:rPr>
        <w:t xml:space="preserve"> </w:t>
      </w:r>
      <w:r w:rsidRPr="00B7716F">
        <w:rPr>
          <w:color w:val="000000"/>
        </w:rPr>
        <w:t>subject to the standard</w:t>
      </w:r>
      <w:r w:rsidR="0046540C">
        <w:rPr>
          <w:color w:val="000000"/>
        </w:rPr>
        <w:t>s</w:t>
      </w:r>
      <w:r w:rsidRPr="00B7716F">
        <w:rPr>
          <w:color w:val="000000"/>
        </w:rPr>
        <w:t xml:space="preserve">. This figure is based on the previous ICR, which </w:t>
      </w:r>
      <w:r w:rsidR="0046540C">
        <w:rPr>
          <w:color w:val="000000"/>
        </w:rPr>
        <w:t xml:space="preserve">initially </w:t>
      </w:r>
      <w:r w:rsidRPr="00B7716F">
        <w:rPr>
          <w:color w:val="000000"/>
        </w:rPr>
        <w:t>estimated an average of 519 respondents</w:t>
      </w:r>
      <w:r w:rsidR="006C519F" w:rsidRPr="00B7716F">
        <w:rPr>
          <w:color w:val="000000"/>
        </w:rPr>
        <w:t xml:space="preserve">.  The previous ICR also estimated a </w:t>
      </w:r>
      <w:r w:rsidR="00FF1D12">
        <w:rPr>
          <w:color w:val="000000"/>
        </w:rPr>
        <w:t xml:space="preserve">landfill </w:t>
      </w:r>
      <w:r w:rsidR="006C519F" w:rsidRPr="00B7716F">
        <w:rPr>
          <w:color w:val="000000"/>
        </w:rPr>
        <w:t xml:space="preserve">closure rate of three percent per year.  To account for closures occurring </w:t>
      </w:r>
      <w:r w:rsidR="00FF1D12">
        <w:rPr>
          <w:color w:val="000000"/>
        </w:rPr>
        <w:t>in the three</w:t>
      </w:r>
      <w:r w:rsidR="0046540C">
        <w:rPr>
          <w:color w:val="000000"/>
        </w:rPr>
        <w:t>-</w:t>
      </w:r>
      <w:r w:rsidR="00FF1D12">
        <w:rPr>
          <w:color w:val="000000"/>
        </w:rPr>
        <w:t>year</w:t>
      </w:r>
      <w:r w:rsidR="0046540C">
        <w:rPr>
          <w:color w:val="000000"/>
        </w:rPr>
        <w:t xml:space="preserve"> period</w:t>
      </w:r>
      <w:r w:rsidR="00FF1D12">
        <w:rPr>
          <w:color w:val="000000"/>
        </w:rPr>
        <w:t xml:space="preserve"> </w:t>
      </w:r>
      <w:r w:rsidR="0046540C">
        <w:rPr>
          <w:color w:val="000000"/>
        </w:rPr>
        <w:t xml:space="preserve">that passed </w:t>
      </w:r>
      <w:r w:rsidR="00FF1D12">
        <w:rPr>
          <w:color w:val="000000"/>
        </w:rPr>
        <w:t xml:space="preserve">since </w:t>
      </w:r>
      <w:r w:rsidR="00684382" w:rsidRPr="00B7716F">
        <w:rPr>
          <w:color w:val="000000"/>
        </w:rPr>
        <w:t xml:space="preserve">the </w:t>
      </w:r>
      <w:r w:rsidR="006C519F" w:rsidRPr="00B7716F">
        <w:rPr>
          <w:color w:val="000000"/>
        </w:rPr>
        <w:t>previous ICR, we have subtract</w:t>
      </w:r>
      <w:r w:rsidR="006C519F">
        <w:rPr>
          <w:color w:val="000000"/>
        </w:rPr>
        <w:t xml:space="preserve">ed </w:t>
      </w:r>
      <w:r w:rsidR="00FF1D12">
        <w:rPr>
          <w:color w:val="000000"/>
        </w:rPr>
        <w:t xml:space="preserve">45 landfills from the previous estimate, or </w:t>
      </w:r>
      <w:r w:rsidR="00684382">
        <w:rPr>
          <w:color w:val="000000"/>
        </w:rPr>
        <w:t>15</w:t>
      </w:r>
      <w:r w:rsidR="006C519F">
        <w:rPr>
          <w:color w:val="000000"/>
        </w:rPr>
        <w:t xml:space="preserve"> landfills </w:t>
      </w:r>
      <w:r w:rsidR="00684382">
        <w:rPr>
          <w:color w:val="000000"/>
        </w:rPr>
        <w:t xml:space="preserve">per year </w:t>
      </w:r>
      <w:r w:rsidR="006C519F">
        <w:rPr>
          <w:color w:val="000000"/>
        </w:rPr>
        <w:t>(</w:t>
      </w:r>
      <w:r w:rsidR="00EF1C3E">
        <w:rPr>
          <w:color w:val="000000"/>
        </w:rPr>
        <w:t>519 x 3</w:t>
      </w:r>
      <w:r w:rsidR="00684382">
        <w:rPr>
          <w:color w:val="000000"/>
        </w:rPr>
        <w:t xml:space="preserve"> percent</w:t>
      </w:r>
      <w:r w:rsidR="00EF1C3E">
        <w:rPr>
          <w:color w:val="000000"/>
        </w:rPr>
        <w:t xml:space="preserve"> per year = 15 landfills per year</w:t>
      </w:r>
      <w:r w:rsidR="00684382">
        <w:rPr>
          <w:color w:val="000000"/>
        </w:rPr>
        <w:t>, after rounding</w:t>
      </w:r>
      <w:r w:rsidR="00EF1C3E">
        <w:rPr>
          <w:color w:val="000000"/>
        </w:rPr>
        <w:t>)</w:t>
      </w:r>
      <w:r w:rsidR="00684382">
        <w:rPr>
          <w:color w:val="000000"/>
        </w:rPr>
        <w:t xml:space="preserve"> </w:t>
      </w:r>
      <w:r w:rsidR="00FF1D12">
        <w:rPr>
          <w:color w:val="000000"/>
        </w:rPr>
        <w:t>over three years</w:t>
      </w:r>
      <w:r w:rsidR="00684382">
        <w:rPr>
          <w:color w:val="000000"/>
        </w:rPr>
        <w:t xml:space="preserve">. </w:t>
      </w:r>
      <w:r w:rsidR="00FF1D12">
        <w:rPr>
          <w:color w:val="000000"/>
        </w:rPr>
        <w:t xml:space="preserve"> </w:t>
      </w:r>
      <w:r w:rsidR="00A6411D">
        <w:rPr>
          <w:color w:val="000000"/>
        </w:rPr>
        <w:t xml:space="preserve">No additional sources will become subject to this regulation </w:t>
      </w:r>
      <w:r w:rsidR="0046540C">
        <w:rPr>
          <w:color w:val="000000"/>
        </w:rPr>
        <w:t>during</w:t>
      </w:r>
      <w:r w:rsidR="00A6411D">
        <w:rPr>
          <w:color w:val="000000"/>
        </w:rPr>
        <w:t xml:space="preserve"> the next three years</w:t>
      </w:r>
      <w:r w:rsidR="006C519F">
        <w:rPr>
          <w:color w:val="000000"/>
        </w:rPr>
        <w:t>.  I</w:t>
      </w:r>
      <w:r w:rsidR="00F84000">
        <w:rPr>
          <w:color w:val="000000"/>
        </w:rPr>
        <w:t xml:space="preserve">t </w:t>
      </w:r>
      <w:r w:rsidR="00A6411D">
        <w:rPr>
          <w:color w:val="000000"/>
        </w:rPr>
        <w:t>is not possible for additional facilit</w:t>
      </w:r>
      <w:r w:rsidR="006C519F">
        <w:rPr>
          <w:color w:val="000000"/>
        </w:rPr>
        <w:t>ies</w:t>
      </w:r>
      <w:r w:rsidR="00A6411D">
        <w:rPr>
          <w:color w:val="000000"/>
        </w:rPr>
        <w:t xml:space="preserve"> to qualify as an existing source, since </w:t>
      </w:r>
      <w:r w:rsidR="006C519F">
        <w:rPr>
          <w:color w:val="000000"/>
        </w:rPr>
        <w:t xml:space="preserve">they </w:t>
      </w:r>
      <w:r w:rsidR="00A6411D">
        <w:rPr>
          <w:color w:val="000000"/>
        </w:rPr>
        <w:t>would have to be operational and exceed the design capacity requirements before May 30, 1991.</w:t>
      </w:r>
    </w:p>
    <w:p w:rsidR="00CA4CD6" w:rsidRPr="00995292" w:rsidRDefault="00CA4CD6">
      <w:pPr>
        <w:pBdr>
          <w:top w:val="single" w:sz="6" w:space="0" w:color="FFFFFF"/>
          <w:left w:val="single" w:sz="6" w:space="0" w:color="FFFFFF"/>
          <w:bottom w:val="single" w:sz="6" w:space="0" w:color="FFFFFF"/>
          <w:right w:val="single" w:sz="6" w:space="0" w:color="FFFFFF"/>
        </w:pBdr>
      </w:pPr>
    </w:p>
    <w:p w:rsidR="00095BA4" w:rsidRPr="000C3A7A" w:rsidRDefault="00095BA4" w:rsidP="00095BA4">
      <w:pPr>
        <w:pBdr>
          <w:top w:val="single" w:sz="6" w:space="0" w:color="FFFFFF"/>
          <w:left w:val="single" w:sz="6" w:space="0" w:color="FFFFFF"/>
          <w:bottom w:val="single" w:sz="6" w:space="0" w:color="FFFFFF"/>
          <w:right w:val="single" w:sz="6" w:space="0" w:color="FFFFFF"/>
        </w:pBdr>
        <w:ind w:firstLine="720"/>
      </w:pPr>
      <w:r w:rsidRPr="000C3A7A">
        <w:t>The active (previous) ICR had the following Terms of Clearance (TOC):</w:t>
      </w:r>
    </w:p>
    <w:p w:rsidR="00095BA4" w:rsidRPr="000C3A7A" w:rsidRDefault="00095BA4" w:rsidP="00095BA4">
      <w:pPr>
        <w:pBdr>
          <w:top w:val="single" w:sz="6" w:space="0" w:color="FFFFFF"/>
          <w:left w:val="single" w:sz="6" w:space="0" w:color="FFFFFF"/>
          <w:bottom w:val="single" w:sz="6" w:space="0" w:color="FFFFFF"/>
          <w:right w:val="single" w:sz="6" w:space="0" w:color="FFFFFF"/>
        </w:pBdr>
        <w:ind w:firstLine="720"/>
      </w:pPr>
    </w:p>
    <w:p w:rsidR="00ED1D02" w:rsidRDefault="00095BA4" w:rsidP="00A665B6">
      <w:pPr>
        <w:pBdr>
          <w:top w:val="single" w:sz="6" w:space="0" w:color="FFFFFF"/>
          <w:left w:val="single" w:sz="6" w:space="0" w:color="FFFFFF"/>
          <w:bottom w:val="single" w:sz="6" w:space="0" w:color="FFFFFF"/>
          <w:right w:val="single" w:sz="6" w:space="0" w:color="FFFFFF"/>
        </w:pBdr>
        <w:ind w:left="1440"/>
      </w:pPr>
      <w:r w:rsidRPr="000C3A7A">
        <w:t>When this ICR is renewed, EPA should review the respondent burden,</w:t>
      </w:r>
    </w:p>
    <w:p w:rsidR="00ED1D02" w:rsidRDefault="00095BA4" w:rsidP="00A665B6">
      <w:pPr>
        <w:pBdr>
          <w:top w:val="single" w:sz="6" w:space="0" w:color="FFFFFF"/>
          <w:left w:val="single" w:sz="6" w:space="0" w:color="FFFFFF"/>
          <w:bottom w:val="single" w:sz="6" w:space="0" w:color="FFFFFF"/>
          <w:right w:val="single" w:sz="6" w:space="0" w:color="FFFFFF"/>
        </w:pBdr>
        <w:ind w:left="1440"/>
      </w:pPr>
      <w:r w:rsidRPr="000C3A7A">
        <w:t xml:space="preserve">universe, labor rates, and capital costs and ensure these estimates </w:t>
      </w:r>
    </w:p>
    <w:p w:rsidR="00095BA4" w:rsidRPr="000C3A7A" w:rsidRDefault="00095BA4" w:rsidP="00A665B6">
      <w:pPr>
        <w:pBdr>
          <w:top w:val="single" w:sz="6" w:space="0" w:color="FFFFFF"/>
          <w:left w:val="single" w:sz="6" w:space="0" w:color="FFFFFF"/>
          <w:bottom w:val="single" w:sz="6" w:space="0" w:color="FFFFFF"/>
          <w:right w:val="single" w:sz="6" w:space="0" w:color="FFFFFF"/>
        </w:pBdr>
        <w:ind w:left="1440"/>
      </w:pPr>
      <w:r w:rsidRPr="000C3A7A">
        <w:t>have been updated.</w:t>
      </w:r>
    </w:p>
    <w:p w:rsidR="00095BA4" w:rsidRPr="000C3A7A" w:rsidRDefault="00095BA4" w:rsidP="00095BA4">
      <w:pPr>
        <w:pBdr>
          <w:top w:val="single" w:sz="6" w:space="0" w:color="FFFFFF"/>
          <w:left w:val="single" w:sz="6" w:space="0" w:color="FFFFFF"/>
          <w:bottom w:val="single" w:sz="6" w:space="0" w:color="FFFFFF"/>
          <w:right w:val="single" w:sz="6" w:space="0" w:color="FFFFFF"/>
        </w:pBdr>
        <w:ind w:firstLine="720"/>
      </w:pPr>
    </w:p>
    <w:p w:rsidR="00CE15B1" w:rsidRDefault="00095BA4" w:rsidP="00CE15B1">
      <w:pPr>
        <w:pBdr>
          <w:top w:val="single" w:sz="6" w:space="0" w:color="FFFFFF"/>
          <w:left w:val="single" w:sz="6" w:space="0" w:color="FFFFFF"/>
          <w:bottom w:val="single" w:sz="6" w:space="0" w:color="FFFFFF"/>
          <w:right w:val="single" w:sz="6" w:space="0" w:color="FFFFFF"/>
        </w:pBdr>
        <w:ind w:firstLine="720"/>
      </w:pPr>
      <w:r w:rsidRPr="000C3A7A">
        <w:t>EPA has addressed each item of concern in the TOC by reviewing the aforementioned items and updating the estimates accordingly.</w:t>
      </w:r>
      <w:r w:rsidR="008B2641">
        <w:t xml:space="preserve">  These updates are discussed in detail in Section 6(f).</w:t>
      </w:r>
    </w:p>
    <w:p w:rsidR="00CE15B1" w:rsidRPr="00995292" w:rsidRDefault="00CE15B1" w:rsidP="00CE15B1">
      <w:pPr>
        <w:pBdr>
          <w:top w:val="single" w:sz="6" w:space="0" w:color="FFFFFF"/>
          <w:left w:val="single" w:sz="6" w:space="0" w:color="FFFFFF"/>
          <w:bottom w:val="single" w:sz="6" w:space="0" w:color="FFFFFF"/>
          <w:right w:val="single" w:sz="6" w:space="0" w:color="FFFFFF"/>
        </w:pBdr>
        <w:ind w:firstLine="720"/>
      </w:pPr>
    </w:p>
    <w:p w:rsidR="001F46A2" w:rsidRDefault="002B29A5" w:rsidP="003630D1">
      <w:pPr>
        <w:ind w:firstLine="720"/>
      </w:pPr>
      <w:r w:rsidRPr="00C37B86">
        <w:t>The burden</w:t>
      </w:r>
      <w:r w:rsidR="004A4B25" w:rsidRPr="00C37B86">
        <w:t xml:space="preserve"> to the “Affected Public” may be found in Table 1</w:t>
      </w:r>
      <w:r w:rsidR="002B426A">
        <w:t>a</w:t>
      </w:r>
      <w:r w:rsidR="00D44EE0">
        <w:t xml:space="preserve"> below</w:t>
      </w:r>
      <w:r w:rsidRPr="00C37B86">
        <w:t>: Annual Respondent Burden and Cost –</w:t>
      </w:r>
      <w:r w:rsidR="00DA1861" w:rsidRPr="00C37B86">
        <w:t xml:space="preserve"> Emission Guidelines and </w:t>
      </w:r>
      <w:r w:rsidR="00DA1861" w:rsidRPr="001F46A2">
        <w:t>Compliance Times for Existing Municipal Solid Waste Landfills (40 CFR Part 60, Subpart Cc and 40 CFR Part 62, Subpart GGG) (Renewal)</w:t>
      </w:r>
      <w:r w:rsidR="004A4B25" w:rsidRPr="001F46A2">
        <w:t>.</w:t>
      </w:r>
      <w:r w:rsidR="0013622C" w:rsidRPr="001F46A2">
        <w:t xml:space="preserve">  </w:t>
      </w:r>
      <w:r w:rsidR="001F46A2">
        <w:t>For landfills covered by a State plan, State</w:t>
      </w:r>
      <w:r w:rsidR="00FF1D12">
        <w:t xml:space="preserve"> and </w:t>
      </w:r>
      <w:r w:rsidR="001F46A2">
        <w:t xml:space="preserve">local agencies </w:t>
      </w:r>
      <w:r w:rsidR="004E2BAC">
        <w:t xml:space="preserve">are the “implementing agency,” and </w:t>
      </w:r>
      <w:r w:rsidR="00FF1D12">
        <w:t>will incur a burden</w:t>
      </w:r>
      <w:r w:rsidR="004E2BAC">
        <w:t xml:space="preserve"> through the </w:t>
      </w:r>
      <w:r w:rsidR="00FF1D12">
        <w:t xml:space="preserve">review </w:t>
      </w:r>
      <w:r w:rsidR="004E2BAC">
        <w:t xml:space="preserve">of </w:t>
      </w:r>
      <w:r w:rsidR="00FF1D12">
        <w:t xml:space="preserve">reports </w:t>
      </w:r>
      <w:r w:rsidR="004E2BAC">
        <w:t>submitted to them in accordance with the State plan</w:t>
      </w:r>
      <w:r w:rsidR="00FF1D12">
        <w:t xml:space="preserve">.  </w:t>
      </w:r>
      <w:r w:rsidR="0013622C" w:rsidRPr="001F46A2">
        <w:t>The Burden to “State</w:t>
      </w:r>
      <w:r w:rsidR="004E2BAC">
        <w:t xml:space="preserve"> and local a</w:t>
      </w:r>
      <w:r w:rsidR="0013622C" w:rsidRPr="001F46A2">
        <w:t>gencies</w:t>
      </w:r>
      <w:r w:rsidR="001F46A2" w:rsidRPr="001F46A2">
        <w:t>”</w:t>
      </w:r>
      <w:r w:rsidR="001F46A2">
        <w:t xml:space="preserve"> is attributed entirely </w:t>
      </w:r>
      <w:r w:rsidR="004E2BAC">
        <w:t xml:space="preserve">to work performed by State and </w:t>
      </w:r>
      <w:r w:rsidR="001F46A2">
        <w:t>local employees</w:t>
      </w:r>
      <w:r w:rsidR="004E2BAC">
        <w:t xml:space="preserve">, </w:t>
      </w:r>
      <w:r w:rsidR="001F46A2">
        <w:t xml:space="preserve">and is provided </w:t>
      </w:r>
      <w:r w:rsidR="00ED1D02">
        <w:t xml:space="preserve">below </w:t>
      </w:r>
      <w:r w:rsidR="001F46A2">
        <w:t>in</w:t>
      </w:r>
      <w:r w:rsidR="004E2BAC">
        <w:t xml:space="preserve"> </w:t>
      </w:r>
      <w:r w:rsidR="004E2BAC" w:rsidRPr="004E2BAC">
        <w:t xml:space="preserve">Table </w:t>
      </w:r>
      <w:r w:rsidR="002B426A">
        <w:t>1b</w:t>
      </w:r>
      <w:r w:rsidR="004E2BAC" w:rsidRPr="004E2BAC">
        <w:t>: Average Annual State/Local Agency Burden and Cost – Emission Guidelines and Compliance Times for Existing Municipal Solid Waste Landfills (40 CFR Part 60, Subpart Cc and 40 CFR Part 62, Subpart GGG) (Renewal)</w:t>
      </w:r>
      <w:r w:rsidR="004E2BAC">
        <w:t xml:space="preserve">.  </w:t>
      </w:r>
      <w:r w:rsidR="001F46A2">
        <w:t>For landfills covered by the Federal plan, EPA is the implementing agency.</w:t>
      </w:r>
      <w:r w:rsidR="004A4B25" w:rsidRPr="001F46A2">
        <w:t xml:space="preserve"> </w:t>
      </w:r>
      <w:r w:rsidR="001F46A2">
        <w:t xml:space="preserve"> </w:t>
      </w:r>
      <w:r w:rsidR="00461576" w:rsidRPr="001F46A2">
        <w:t>T</w:t>
      </w:r>
      <w:r w:rsidR="009D6567" w:rsidRPr="001F46A2">
        <w:t xml:space="preserve">he </w:t>
      </w:r>
      <w:r w:rsidR="0046540C">
        <w:t>“</w:t>
      </w:r>
      <w:r w:rsidR="004A4B25" w:rsidRPr="001F46A2">
        <w:t>burden</w:t>
      </w:r>
      <w:r w:rsidR="0046540C">
        <w:t>”</w:t>
      </w:r>
      <w:r w:rsidR="004A4B25" w:rsidRPr="001F46A2">
        <w:t xml:space="preserve"> to the </w:t>
      </w:r>
      <w:r w:rsidR="009D6567" w:rsidRPr="001F46A2">
        <w:t xml:space="preserve">Federal </w:t>
      </w:r>
      <w:r w:rsidR="0046540C">
        <w:t>g</w:t>
      </w:r>
      <w:r w:rsidR="009D6567" w:rsidRPr="001F46A2">
        <w:t xml:space="preserve">overnment is attributed entirely to work performed by </w:t>
      </w:r>
      <w:r w:rsidR="0046540C">
        <w:t>either F</w:t>
      </w:r>
      <w:r w:rsidR="009D6567" w:rsidRPr="001F46A2">
        <w:t>ederal employees</w:t>
      </w:r>
      <w:r w:rsidR="004A4B25" w:rsidRPr="001F46A2">
        <w:t xml:space="preserve"> or government contractor</w:t>
      </w:r>
      <w:r w:rsidR="00EF113F" w:rsidRPr="001F46A2">
        <w:t>s</w:t>
      </w:r>
      <w:r w:rsidR="004A4B25" w:rsidRPr="001F46A2">
        <w:t xml:space="preserve"> and</w:t>
      </w:r>
      <w:r w:rsidR="001F46A2">
        <w:t xml:space="preserve"> is provided </w:t>
      </w:r>
      <w:r w:rsidR="00ED1D02">
        <w:t xml:space="preserve">below </w:t>
      </w:r>
      <w:r w:rsidR="001F46A2">
        <w:t xml:space="preserve">in </w:t>
      </w:r>
      <w:r w:rsidR="004A4B25" w:rsidRPr="001F46A2">
        <w:t xml:space="preserve">Table </w:t>
      </w:r>
      <w:r w:rsidR="00D44EE0">
        <w:t>2</w:t>
      </w:r>
      <w:r w:rsidR="004A4B25" w:rsidRPr="001F46A2">
        <w:t xml:space="preserve">: </w:t>
      </w:r>
      <w:r w:rsidRPr="001F46A2">
        <w:t>Average Annual EPA Burden and Cost –</w:t>
      </w:r>
      <w:r w:rsidR="00DA1861" w:rsidRPr="001F46A2">
        <w:t xml:space="preserve"> Emission Guidelines and Compliance Times for Existing Municipal</w:t>
      </w:r>
      <w:r w:rsidR="00CE15B1">
        <w:t xml:space="preserve"> </w:t>
      </w:r>
      <w:r w:rsidR="00DA1861" w:rsidRPr="001F46A2">
        <w:t xml:space="preserve"> Solid Waste Landfills (40 CFR Part 60, Subpart Cc and 40 CFR Part 62, Subpart GGG)</w:t>
      </w:r>
      <w:r w:rsidR="0046540C">
        <w:t>.</w:t>
      </w:r>
      <w:r w:rsidR="00DA1861" w:rsidRPr="001F46A2">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72EB9"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 xml:space="preserve">2(a)  </w:t>
      </w:r>
      <w:r w:rsidRPr="00A72EB9">
        <w:rPr>
          <w:b/>
          <w:bCs/>
        </w:rPr>
        <w:t>Need/Authority for the Collection</w:t>
      </w:r>
    </w:p>
    <w:p w:rsidR="00CA4CD6" w:rsidRPr="00A72EB9" w:rsidRDefault="00CA4CD6">
      <w:pPr>
        <w:pBdr>
          <w:top w:val="single" w:sz="6" w:space="0" w:color="FFFFFF"/>
          <w:left w:val="single" w:sz="6" w:space="0" w:color="FFFFFF"/>
          <w:bottom w:val="single" w:sz="6" w:space="0" w:color="FFFFFF"/>
          <w:right w:val="single" w:sz="6" w:space="0" w:color="FFFFFF"/>
        </w:pBdr>
      </w:pPr>
    </w:p>
    <w:p w:rsidR="00A72EB9" w:rsidRPr="00A72EB9" w:rsidRDefault="00A72EB9" w:rsidP="00A72EB9">
      <w:pPr>
        <w:pBdr>
          <w:top w:val="single" w:sz="6" w:space="0" w:color="FFFFFF"/>
          <w:left w:val="single" w:sz="6" w:space="0" w:color="FFFFFF"/>
          <w:bottom w:val="single" w:sz="6" w:space="0" w:color="FFFFFF"/>
          <w:right w:val="single" w:sz="6" w:space="0" w:color="FFFFFF"/>
        </w:pBdr>
        <w:ind w:firstLine="720"/>
      </w:pPr>
      <w:r w:rsidRPr="00A72EB9">
        <w:t>The EPA is charged under section 111(d)(1) of the Clean Air Act (CAA), as amended, to:</w:t>
      </w:r>
    </w:p>
    <w:p w:rsidR="00A72EB9" w:rsidRPr="00A72EB9" w:rsidRDefault="00A72EB9" w:rsidP="00A72EB9"/>
    <w:p w:rsidR="00A72EB9" w:rsidRPr="00A72EB9" w:rsidRDefault="00A72EB9" w:rsidP="00A72EB9">
      <w:pPr>
        <w:ind w:left="1440" w:right="1440"/>
      </w:pPr>
      <w:r w:rsidRPr="00A72EB9">
        <w:rPr>
          <w:b/>
          <w:bCs/>
        </w:rPr>
        <w:t>. . .</w:t>
      </w:r>
      <w:r w:rsidRPr="00A72EB9">
        <w:t xml:space="preserve"> prescribe regulations which shall establish a procedure similar to that provided by section 110 under which each State shall submit to the Administrator a plan which (A) establishes standards </w:t>
      </w:r>
      <w:r w:rsidRPr="00A72EB9">
        <w:lastRenderedPageBreak/>
        <w:t xml:space="preserve">of performance for any existing source for any air pollutant (i) for which air quality criteria have not been issued or which is not included on a list published under section 108(a) </w:t>
      </w:r>
      <w:r w:rsidRPr="00A72EB9">
        <w:rPr>
          <w:b/>
          <w:bCs/>
        </w:rPr>
        <w:t>. . .</w:t>
      </w:r>
      <w:r w:rsidRPr="00A72EB9">
        <w:t xml:space="preserve"> but (ii) to which a standard of performance under this section would apply if such existing source were a new source, and (B) provides for the implementation and enforcement of such standards of performance.</w:t>
      </w:r>
    </w:p>
    <w:p w:rsidR="00CA4CD6" w:rsidRPr="00A72EB9" w:rsidRDefault="00CA4CD6">
      <w:pPr>
        <w:pBdr>
          <w:top w:val="single" w:sz="6" w:space="0" w:color="FFFFFF"/>
          <w:left w:val="single" w:sz="6" w:space="0" w:color="FFFFFF"/>
          <w:bottom w:val="single" w:sz="6" w:space="0" w:color="FFFFFF"/>
          <w:right w:val="single" w:sz="6" w:space="0" w:color="FFFFFF"/>
        </w:pBdr>
      </w:pPr>
    </w:p>
    <w:p w:rsidR="00A72EB9" w:rsidRPr="00A72EB9" w:rsidRDefault="00A72EB9" w:rsidP="00A72EB9">
      <w:pPr>
        <w:pBdr>
          <w:top w:val="single" w:sz="6" w:space="0" w:color="FFFFFF"/>
          <w:left w:val="single" w:sz="6" w:space="0" w:color="FFFFFF"/>
          <w:bottom w:val="single" w:sz="6" w:space="0" w:color="FFFFFF"/>
          <w:right w:val="single" w:sz="6" w:space="0" w:color="FFFFFF"/>
        </w:pBdr>
        <w:ind w:firstLine="720"/>
      </w:pPr>
      <w:r w:rsidRPr="00A72EB9">
        <w:t>The EPA is required under section 129 of the Act, to establish guidelines for existing stationary sources that reflect the maximum achievable control technology (MACT) for achieving continuous emission reductions:</w:t>
      </w:r>
    </w:p>
    <w:p w:rsidR="00A72EB9" w:rsidRPr="00A72EB9" w:rsidRDefault="00A72EB9" w:rsidP="00A72EB9"/>
    <w:p w:rsidR="00A72EB9" w:rsidRPr="00A72EB9" w:rsidRDefault="00A72EB9" w:rsidP="00A72EB9">
      <w:pPr>
        <w:pBdr>
          <w:top w:val="single" w:sz="6" w:space="0" w:color="FFFFFF"/>
          <w:left w:val="single" w:sz="6" w:space="0" w:color="FFFFFF"/>
          <w:bottom w:val="single" w:sz="6" w:space="0" w:color="FFFFFF"/>
          <w:right w:val="single" w:sz="6" w:space="0" w:color="FFFFFF"/>
        </w:pBdr>
        <w:ind w:firstLine="720"/>
      </w:pPr>
      <w:r w:rsidRPr="00A72EB9">
        <w:t>Section 129(a)(1)(A) states:</w:t>
      </w:r>
    </w:p>
    <w:p w:rsidR="00A72EB9" w:rsidRPr="00A72EB9" w:rsidRDefault="00A72EB9" w:rsidP="00A72EB9"/>
    <w:p w:rsidR="00A72EB9" w:rsidRPr="00A72EB9" w:rsidRDefault="00A72EB9" w:rsidP="00A72EB9">
      <w:pPr>
        <w:ind w:left="1440" w:right="1440"/>
      </w:pPr>
      <w:r w:rsidRPr="00A72EB9">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A72EB9" w:rsidRPr="00A72EB9" w:rsidRDefault="00A72EB9" w:rsidP="00A72EB9"/>
    <w:p w:rsidR="00A72EB9" w:rsidRPr="00A72EB9" w:rsidRDefault="00A72EB9" w:rsidP="00A72EB9">
      <w:pPr>
        <w:pBdr>
          <w:top w:val="single" w:sz="6" w:space="0" w:color="FFFFFF"/>
          <w:left w:val="single" w:sz="6" w:space="0" w:color="FFFFFF"/>
          <w:bottom w:val="single" w:sz="6" w:space="0" w:color="FFFFFF"/>
          <w:right w:val="single" w:sz="6" w:space="0" w:color="FFFFFF"/>
        </w:pBdr>
        <w:ind w:firstLine="720"/>
      </w:pPr>
      <w:r w:rsidRPr="00A72EB9">
        <w:t>Section 129(a)(2) states:</w:t>
      </w:r>
    </w:p>
    <w:p w:rsidR="00A72EB9" w:rsidRPr="00A72EB9" w:rsidRDefault="00A72EB9" w:rsidP="00A72EB9"/>
    <w:p w:rsidR="00A72EB9" w:rsidRPr="00A72EB9" w:rsidRDefault="00A72EB9" w:rsidP="00A72EB9">
      <w:pPr>
        <w:ind w:left="1440" w:right="1440"/>
      </w:pPr>
      <w:r w:rsidRPr="00A72EB9">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A72EB9" w:rsidRPr="00A72EB9" w:rsidRDefault="00A72EB9" w:rsidP="00A72EB9"/>
    <w:p w:rsidR="00A72EB9" w:rsidRPr="00A72EB9" w:rsidRDefault="00A72EB9" w:rsidP="00A72EB9">
      <w:pPr>
        <w:pBdr>
          <w:top w:val="single" w:sz="6" w:space="0" w:color="FFFFFF"/>
          <w:left w:val="single" w:sz="6" w:space="0" w:color="FFFFFF"/>
          <w:bottom w:val="single" w:sz="6" w:space="0" w:color="FFFFFF"/>
          <w:right w:val="single" w:sz="6" w:space="0" w:color="FFFFFF"/>
        </w:pBdr>
        <w:ind w:firstLine="720"/>
      </w:pPr>
      <w:r w:rsidRPr="00A72EB9">
        <w:t>Section 129(b)(1) states:</w:t>
      </w:r>
    </w:p>
    <w:p w:rsidR="00A72EB9" w:rsidRPr="00A72EB9" w:rsidRDefault="00A72EB9" w:rsidP="00A72EB9"/>
    <w:p w:rsidR="00A72EB9" w:rsidRPr="00A72EB9" w:rsidRDefault="00A72EB9" w:rsidP="00A72EB9">
      <w:pPr>
        <w:sectPr w:rsidR="00A72EB9" w:rsidRPr="00A72EB9" w:rsidSect="00A72EB9">
          <w:type w:val="continuous"/>
          <w:pgSz w:w="12240" w:h="15840"/>
          <w:pgMar w:top="1440" w:right="1440" w:bottom="1440" w:left="1440" w:header="1440" w:footer="1440" w:gutter="0"/>
          <w:cols w:space="720"/>
          <w:noEndnote/>
        </w:sectPr>
      </w:pPr>
    </w:p>
    <w:p w:rsidR="00A72EB9" w:rsidRPr="00A72EB9" w:rsidRDefault="00A72EB9" w:rsidP="00A72EB9">
      <w:pPr>
        <w:ind w:left="1440" w:right="1440"/>
      </w:pPr>
      <w:r w:rsidRPr="00A72EB9">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A72EB9" w:rsidRPr="00A72EB9" w:rsidRDefault="00A72EB9" w:rsidP="00A72EB9"/>
    <w:p w:rsidR="00A72EB9" w:rsidRPr="00A72EB9" w:rsidRDefault="00A72EB9" w:rsidP="00A72EB9">
      <w:pPr>
        <w:pBdr>
          <w:top w:val="single" w:sz="6" w:space="0" w:color="FFFFFF"/>
          <w:left w:val="single" w:sz="6" w:space="0" w:color="FFFFFF"/>
          <w:bottom w:val="single" w:sz="6" w:space="0" w:color="FFFFFF"/>
          <w:right w:val="single" w:sz="6" w:space="0" w:color="FFFFFF"/>
        </w:pBdr>
        <w:ind w:firstLine="720"/>
      </w:pPr>
      <w:r w:rsidRPr="00A72EB9">
        <w:t>Subpart B of 40 CFR part 60 requires State plans to include monitoring, recordkeeping, and reporting provisions consistent with the emission guidelines.  In addition, section 114(a)(1) states that:</w:t>
      </w:r>
    </w:p>
    <w:p w:rsidR="00A72EB9" w:rsidRPr="00A72EB9" w:rsidRDefault="00A72EB9" w:rsidP="00A72EB9">
      <w:pPr>
        <w:ind w:left="1440" w:right="1440"/>
      </w:pPr>
      <w:r w:rsidRPr="00A72EB9">
        <w:lastRenderedPageBreak/>
        <w:t xml:space="preserve">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w:t>
      </w:r>
      <w:r w:rsidR="00101C5B">
        <w:t>or continuous basis to:</w:t>
      </w:r>
    </w:p>
    <w:p w:rsidR="00A72EB9" w:rsidRPr="00A72EB9" w:rsidRDefault="00A72EB9" w:rsidP="00A72EB9"/>
    <w:p w:rsidR="00A72EB9" w:rsidRPr="00A72EB9" w:rsidRDefault="00A72EB9" w:rsidP="00A72EB9">
      <w:pPr>
        <w:ind w:left="2160" w:right="2160"/>
      </w:pPr>
      <w:r w:rsidRPr="00A72EB9">
        <w:t>(A) establish and maintain such records;</w:t>
      </w:r>
    </w:p>
    <w:p w:rsidR="00A72EB9" w:rsidRPr="00A72EB9" w:rsidRDefault="00A72EB9" w:rsidP="00A72EB9">
      <w:pPr>
        <w:ind w:left="2160" w:right="2160"/>
      </w:pPr>
      <w:r w:rsidRPr="00A72EB9">
        <w:t>(B) make such reports;</w:t>
      </w:r>
    </w:p>
    <w:p w:rsidR="00A72EB9" w:rsidRPr="00A72EB9" w:rsidRDefault="00A72EB9" w:rsidP="00A72EB9">
      <w:pPr>
        <w:ind w:left="2160" w:right="2160"/>
      </w:pPr>
      <w:r w:rsidRPr="00A72EB9">
        <w:t xml:space="preserve">(C) install, use, and maintain such monitoring equipment, and use such audit procedures, </w:t>
      </w:r>
    </w:p>
    <w:p w:rsidR="00A72EB9" w:rsidRPr="00A72EB9" w:rsidRDefault="00A72EB9" w:rsidP="00A72EB9">
      <w:pPr>
        <w:ind w:left="2160" w:right="2160"/>
      </w:pPr>
      <w:r w:rsidRPr="00A72EB9">
        <w:t>or methods;</w:t>
      </w:r>
    </w:p>
    <w:p w:rsidR="00A72EB9" w:rsidRPr="00A72EB9" w:rsidRDefault="00A72EB9" w:rsidP="00A72EB9">
      <w:pPr>
        <w:ind w:left="2160" w:right="2160"/>
      </w:pPr>
      <w:r w:rsidRPr="00A72EB9">
        <w:t xml:space="preserve">(D) sample such emissions (in accordance with such procedures or methods, at such locations, at such intervals, during such periods and in such manner as the Administer shall prescribe); </w:t>
      </w:r>
    </w:p>
    <w:p w:rsidR="00A72EB9" w:rsidRPr="00A72EB9" w:rsidRDefault="00A72EB9" w:rsidP="00A72EB9">
      <w:pPr>
        <w:ind w:left="2160" w:right="2160"/>
      </w:pPr>
      <w:r w:rsidRPr="00A72EB9">
        <w:t>(E) keep records on control equipment parameters, production variables or other indirect data when direct monitoring of emissions is impractical;</w:t>
      </w:r>
    </w:p>
    <w:p w:rsidR="00A72EB9" w:rsidRPr="00A72EB9" w:rsidRDefault="00A72EB9" w:rsidP="00A72EB9">
      <w:pPr>
        <w:ind w:left="2160" w:right="2160"/>
      </w:pPr>
      <w:r w:rsidRPr="00A72EB9">
        <w:t>(F) submit compliance certifications in accordance with section 114(a)(3); and</w:t>
      </w:r>
    </w:p>
    <w:p w:rsidR="008C5B3D" w:rsidRPr="00A72EB9" w:rsidRDefault="00A72EB9" w:rsidP="00A72EB9">
      <w:pPr>
        <w:ind w:left="2160" w:right="2160"/>
      </w:pPr>
      <w:r w:rsidRPr="00A72EB9">
        <w:t>(G) provide such other information, as the Administrator may reasonably require;</w:t>
      </w:r>
      <w:r w:rsidRPr="00A72EB9">
        <w:rPr>
          <w:b/>
          <w:bCs/>
        </w:rPr>
        <w:t xml:space="preserve"> . . . .</w:t>
      </w:r>
    </w:p>
    <w:p w:rsidR="00CA4CD6" w:rsidRPr="00A72EB9" w:rsidRDefault="00CA4CD6">
      <w:pPr>
        <w:pBdr>
          <w:top w:val="single" w:sz="6" w:space="0" w:color="FFFFFF"/>
          <w:left w:val="single" w:sz="6" w:space="0" w:color="FFFFFF"/>
          <w:bottom w:val="single" w:sz="6" w:space="0" w:color="FFFFFF"/>
          <w:right w:val="single" w:sz="6" w:space="0" w:color="FFFFFF"/>
        </w:pBdr>
      </w:pPr>
    </w:p>
    <w:p w:rsidR="00CA4CD6" w:rsidRPr="00A72EB9" w:rsidRDefault="00CA4CD6">
      <w:pPr>
        <w:pBdr>
          <w:top w:val="single" w:sz="6" w:space="0" w:color="FFFFFF"/>
          <w:left w:val="single" w:sz="6" w:space="0" w:color="FFFFFF"/>
          <w:bottom w:val="single" w:sz="6" w:space="0" w:color="FFFFFF"/>
          <w:right w:val="single" w:sz="6" w:space="0" w:color="FFFFFF"/>
        </w:pBdr>
        <w:ind w:firstLine="720"/>
      </w:pPr>
      <w:r w:rsidRPr="00A72EB9">
        <w:t>In the Administrator's judgment,</w:t>
      </w:r>
      <w:r w:rsidR="00A72EB9">
        <w:t xml:space="preserve"> </w:t>
      </w:r>
      <w:r w:rsidR="001E325E">
        <w:t>n</w:t>
      </w:r>
      <w:r w:rsidR="00A72EB9" w:rsidRPr="00A72EB9">
        <w:t>on-</w:t>
      </w:r>
      <w:r w:rsidR="001E325E">
        <w:t>m</w:t>
      </w:r>
      <w:r w:rsidR="00A72EB9" w:rsidRPr="00A72EB9">
        <w:t xml:space="preserve">ethane </w:t>
      </w:r>
      <w:r w:rsidR="001E325E">
        <w:t>o</w:t>
      </w:r>
      <w:r w:rsidR="00A72EB9" w:rsidRPr="00A72EB9">
        <w:t xml:space="preserve">rganic </w:t>
      </w:r>
      <w:r w:rsidR="001E325E">
        <w:t>c</w:t>
      </w:r>
      <w:r w:rsidR="00A72EB9" w:rsidRPr="00A72EB9">
        <w:t>ompound (NMOC)</w:t>
      </w:r>
      <w:r w:rsidR="00A72EB9">
        <w:t xml:space="preserve"> e</w:t>
      </w:r>
      <w:r w:rsidRPr="00A72EB9">
        <w:t>missions from</w:t>
      </w:r>
      <w:r w:rsidR="008C5B3D" w:rsidRPr="00A72EB9">
        <w:t xml:space="preserve"> MSW landfills</w:t>
      </w:r>
      <w:r w:rsidRPr="00A72EB9">
        <w:t xml:space="preserve"> cause or contribute to air pollution that may reasonably be anticipated to endanger </w:t>
      </w:r>
      <w:r w:rsidR="00E60C23">
        <w:t xml:space="preserve">either </w:t>
      </w:r>
      <w:r w:rsidRPr="00A72EB9">
        <w:t>public health or welfare.  Therefore, the</w:t>
      </w:r>
      <w:r w:rsidR="001C5873" w:rsidRPr="00A72EB9">
        <w:t xml:space="preserve"> emission guidelines </w:t>
      </w:r>
      <w:r w:rsidRPr="00A72EB9">
        <w:t>were promulgated for this source category at 40 CFR part 60,</w:t>
      </w:r>
      <w:r w:rsidRPr="00A72EB9">
        <w:rPr>
          <w:b/>
          <w:bCs/>
          <w:i/>
          <w:iCs/>
        </w:rPr>
        <w:t xml:space="preserve"> </w:t>
      </w:r>
      <w:r w:rsidRPr="00A72EB9">
        <w:t>subpart</w:t>
      </w:r>
      <w:r w:rsidR="001C5873" w:rsidRPr="00A72EB9">
        <w:t xml:space="preserve"> Cc</w:t>
      </w:r>
      <w:r w:rsidR="0061544E">
        <w:t>,</w:t>
      </w:r>
      <w:r w:rsidR="001E325E">
        <w:t xml:space="preserve"> and part 62, subpart GGG</w:t>
      </w:r>
      <w:r w:rsidR="001C5873" w:rsidRPr="00A72EB9">
        <w:t>.</w:t>
      </w:r>
    </w:p>
    <w:p w:rsidR="00A72EB9" w:rsidRDefault="00A72EB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standards ensure compliance </w:t>
      </w:r>
      <w:r w:rsidR="00E60C23">
        <w:rPr>
          <w:color w:val="000000"/>
        </w:rPr>
        <w:t xml:space="preserve">     </w:t>
      </w:r>
      <w:r>
        <w:rPr>
          <w:color w:val="000000"/>
        </w:rPr>
        <w:t xml:space="preserve">with the applicable regulations which where promulgated in accordance with the Clean Air </w:t>
      </w:r>
      <w:r w:rsidR="00E60C23">
        <w:rPr>
          <w:color w:val="000000"/>
        </w:rPr>
        <w:t xml:space="preserve">   </w:t>
      </w:r>
      <w:r>
        <w:rPr>
          <w:color w:val="000000"/>
        </w:rPr>
        <w:t>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C5873">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1C5873">
        <w:rPr>
          <w:color w:val="000000"/>
        </w:rPr>
        <w:t>’</w:t>
      </w:r>
      <w:r>
        <w:rPr>
          <w:color w:val="000000"/>
        </w:rPr>
        <w:t>s initial capability to comply with the emission standards. Continuous emission monitors are used to ensure compliance with the standards at all times.</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w:t>
      </w:r>
      <w:r w:rsidRPr="00E064CB">
        <w:t xml:space="preserve">of the regulations.  The reviewing authority may then inspect the source to check if the pollution control devices are properly </w:t>
      </w:r>
      <w:r w:rsidRPr="00E064CB">
        <w:lastRenderedPageBreak/>
        <w:t>installed and operated and the standards are being met.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6575CC">
        <w:t xml:space="preserve">required </w:t>
      </w:r>
      <w:r w:rsidR="006575CC" w:rsidRPr="006575CC">
        <w:t xml:space="preserve">annual </w:t>
      </w:r>
      <w:r w:rsidRPr="006575CC">
        <w:t>reports are used</w:t>
      </w:r>
      <w:r>
        <w:rPr>
          <w:color w:val="000000"/>
        </w:rPr>
        <w:t xml:space="preserve"> to determine periods of excess emissions, </w:t>
      </w:r>
      <w:r w:rsidR="00E60C23">
        <w:rPr>
          <w:color w:val="000000"/>
        </w:rPr>
        <w:t xml:space="preserve">     </w:t>
      </w:r>
      <w:r>
        <w:rPr>
          <w:color w:val="000000"/>
        </w:rPr>
        <w:t>identify problems at the facility, verify operation/maintenance procedures</w:t>
      </w:r>
      <w:r w:rsidR="002A10AD">
        <w:rPr>
          <w:color w:val="000000"/>
        </w:rPr>
        <w:t>,</w:t>
      </w:r>
      <w:r>
        <w:rPr>
          <w:color w:val="000000"/>
        </w:rPr>
        <w:t xml:space="preserv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67D01">
      <w:pPr>
        <w:keepNext/>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E613A1">
        <w:rPr>
          <w:b/>
          <w:bCs/>
          <w:color w:val="000000"/>
        </w:rPr>
        <w:t>-</w:t>
      </w:r>
      <w:r>
        <w:rPr>
          <w:b/>
          <w:bCs/>
          <w:color w:val="000000"/>
        </w:rPr>
        <w:t>duplication, Consultations, and Other Collection Criteria</w:t>
      </w:r>
    </w:p>
    <w:p w:rsidR="00CA4CD6" w:rsidRDefault="00CA4CD6" w:rsidP="00367D01">
      <w:pPr>
        <w:keepNext/>
        <w:pBdr>
          <w:top w:val="single" w:sz="6" w:space="0" w:color="FFFFFF"/>
          <w:left w:val="single" w:sz="6" w:space="0" w:color="FFFFFF"/>
          <w:bottom w:val="single" w:sz="6" w:space="0" w:color="FFFFFF"/>
          <w:right w:val="single" w:sz="6" w:space="0" w:color="FFFFFF"/>
        </w:pBdr>
        <w:rPr>
          <w:b/>
          <w:bCs/>
          <w:color w:val="000000"/>
        </w:rPr>
      </w:pPr>
    </w:p>
    <w:p w:rsidR="00CA4CD6" w:rsidRDefault="00CA4CD6" w:rsidP="00367D01">
      <w:pPr>
        <w:keepNext/>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3630D1">
        <w:rPr>
          <w:color w:val="000000"/>
        </w:rPr>
        <w:t xml:space="preserve">40 CFR part 60, subpart </w:t>
      </w:r>
      <w:r w:rsidR="001C5873">
        <w:rPr>
          <w:color w:val="000000"/>
        </w:rPr>
        <w:t>Cc</w:t>
      </w:r>
      <w:r w:rsidR="008F1E5F">
        <w:rPr>
          <w:color w:val="000000"/>
        </w:rPr>
        <w:t xml:space="preserve"> and 40 CFR part 62, subpart GGG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E613A1">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E60C23">
        <w:rPr>
          <w:color w:val="000000"/>
        </w:rPr>
        <w:t xml:space="preserve">    </w:t>
      </w:r>
      <w:r>
        <w:rPr>
          <w:color w:val="000000"/>
        </w:rPr>
        <w:t xml:space="preserve">can be sent to the Administrator in lieu of the report required by the Federal standards.  Therefore, duplication </w:t>
      </w:r>
      <w:r w:rsidR="00E60C23">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A32C4" w:rsidRDefault="00CA4CD6">
      <w:pPr>
        <w:pBdr>
          <w:top w:val="single" w:sz="6" w:space="0" w:color="FFFFFF"/>
          <w:left w:val="single" w:sz="6" w:space="0" w:color="FFFFFF"/>
          <w:bottom w:val="single" w:sz="6" w:space="0" w:color="FFFFFF"/>
          <w:right w:val="single" w:sz="6" w:space="0" w:color="FFFFFF"/>
        </w:pBdr>
        <w:ind w:firstLine="720"/>
      </w:pPr>
      <w:r w:rsidRPr="006A32C4">
        <w:t xml:space="preserve">An announcement of a public comment period for the renewal of this ICR was published in the </w:t>
      </w:r>
      <w:r w:rsidRPr="006A32C4">
        <w:rPr>
          <w:u w:val="single"/>
        </w:rPr>
        <w:t>Federal Register</w:t>
      </w:r>
      <w:r w:rsidRPr="006A32C4">
        <w:t xml:space="preserve"> (</w:t>
      </w:r>
      <w:r w:rsidR="006A32C4" w:rsidRPr="006A32C4">
        <w:t xml:space="preserve">77 </w:t>
      </w:r>
      <w:r w:rsidRPr="006A32C4">
        <w:rPr>
          <w:u w:val="single"/>
        </w:rPr>
        <w:t>FR</w:t>
      </w:r>
      <w:r w:rsidRPr="006A32C4">
        <w:t xml:space="preserve"> </w:t>
      </w:r>
      <w:r w:rsidR="006A32C4" w:rsidRPr="006A32C4">
        <w:t>63813</w:t>
      </w:r>
      <w:r w:rsidRPr="006A32C4">
        <w:t xml:space="preserve">) on </w:t>
      </w:r>
      <w:r w:rsidR="006A32C4" w:rsidRPr="006A32C4">
        <w:t>October 17, 2012</w:t>
      </w:r>
      <w:r w:rsidRPr="006A32C4">
        <w:t xml:space="preserve">.  No comments were received on the burden published in the </w:t>
      </w:r>
      <w:r w:rsidRPr="006A32C4">
        <w:rPr>
          <w:u w:val="single"/>
        </w:rPr>
        <w:t>Federal Register</w:t>
      </w:r>
      <w:r w:rsidRPr="006A32C4">
        <w:t xml:space="preserve">. </w:t>
      </w:r>
    </w:p>
    <w:p w:rsidR="00CA4CD6" w:rsidRPr="00FE170F" w:rsidRDefault="00CA4CD6">
      <w:pPr>
        <w:pBdr>
          <w:top w:val="single" w:sz="6" w:space="0" w:color="FFFFFF"/>
          <w:left w:val="single" w:sz="6" w:space="0" w:color="FFFFFF"/>
          <w:bottom w:val="single" w:sz="6" w:space="0" w:color="FFFFFF"/>
          <w:right w:val="single" w:sz="6" w:space="0" w:color="FFFFFF"/>
        </w:pBdr>
      </w:pPr>
    </w:p>
    <w:p w:rsidR="00123889" w:rsidRPr="00FE170F" w:rsidRDefault="00123889" w:rsidP="00123889">
      <w:pPr>
        <w:pBdr>
          <w:top w:val="single" w:sz="6" w:space="0" w:color="FFFFFF"/>
          <w:left w:val="single" w:sz="6" w:space="0" w:color="FFFFFF"/>
          <w:bottom w:val="single" w:sz="6" w:space="0" w:color="FFFFFF"/>
          <w:right w:val="single" w:sz="6" w:space="0" w:color="FFFFFF"/>
        </w:pBdr>
        <w:ind w:firstLine="720"/>
      </w:pPr>
      <w:r w:rsidRPr="00FE170F">
        <w:rPr>
          <w:b/>
          <w:bCs/>
        </w:rPr>
        <w:t>3(c)  Consultations</w:t>
      </w:r>
    </w:p>
    <w:p w:rsidR="003630D1" w:rsidRPr="00FE170F" w:rsidRDefault="003630D1" w:rsidP="00560AD2">
      <w:pPr>
        <w:widowControl/>
        <w:ind w:firstLine="720"/>
        <w:rPr>
          <w:highlight w:val="yellow"/>
        </w:rPr>
      </w:pPr>
    </w:p>
    <w:p w:rsidR="00FE170F" w:rsidRPr="00FE170F" w:rsidRDefault="00FE170F" w:rsidP="00FE170F">
      <w:pPr>
        <w:widowControl/>
        <w:ind w:firstLine="720"/>
      </w:pPr>
      <w:r w:rsidRPr="00FE170F">
        <w:t xml:space="preserve">The Agency’s industry experts have been consulted, and the Agency’s internal data sources and projections of industry growth over the next three years have been considered.  </w:t>
      </w:r>
      <w:r w:rsidR="00E60C23">
        <w:t xml:space="preserve">   </w:t>
      </w:r>
      <w:r w:rsidRPr="00FE170F">
        <w:t xml:space="preserve">The primary source of information as reported by industry, in compliance with the recordkeeping and reporting provisions in the standard, is the </w:t>
      </w:r>
      <w:r w:rsidR="00C24697" w:rsidRPr="00C24697">
        <w:t>Online Tracking Information System</w:t>
      </w:r>
      <w:r w:rsidR="00C24697">
        <w:t xml:space="preserve"> (</w:t>
      </w:r>
      <w:r w:rsidRPr="00FE170F">
        <w:t>OTIS</w:t>
      </w:r>
      <w:r w:rsidR="00C24697">
        <w:t>)</w:t>
      </w:r>
      <w:r w:rsidRPr="00FE170F">
        <w:t xml:space="preserve"> which is operated and maintained by the EPA Office of Compliance. OTIS is the EPA database for the collection, maintenance, and retrieval of all compliance data.  </w:t>
      </w:r>
    </w:p>
    <w:p w:rsidR="00FE170F" w:rsidRPr="00FE170F" w:rsidRDefault="00FE170F" w:rsidP="00FE170F">
      <w:pPr>
        <w:widowControl/>
        <w:ind w:firstLine="720"/>
      </w:pPr>
    </w:p>
    <w:p w:rsidR="00FE170F" w:rsidRDefault="00FE170F" w:rsidP="0061544E">
      <w:pPr>
        <w:widowControl/>
        <w:ind w:firstLine="720"/>
      </w:pPr>
      <w:r w:rsidRPr="00FE170F">
        <w:t>Consultations with industry representatives (i.e., respondents) were conducted to determine if there is any</w:t>
      </w:r>
      <w:r w:rsidR="00101C5B">
        <w:t xml:space="preserve"> </w:t>
      </w:r>
      <w:r w:rsidRPr="00FE170F">
        <w:t xml:space="preserve">way for EPA to reduce the recordkeeping and reporting burden or improve the language in the standard to make it </w:t>
      </w:r>
      <w:r w:rsidRPr="00BA064C">
        <w:t>easier to comply</w:t>
      </w:r>
      <w:r w:rsidRPr="00690BC1">
        <w:t xml:space="preserve">.  In developing this ICR, </w:t>
      </w:r>
      <w:r w:rsidR="00E60C23">
        <w:t xml:space="preserve">    </w:t>
      </w:r>
      <w:r w:rsidRPr="00690BC1">
        <w:t>EPA contacted</w:t>
      </w:r>
      <w:r w:rsidR="00CE15B1">
        <w:t xml:space="preserve">: </w:t>
      </w:r>
      <w:r w:rsidR="00E106EA">
        <w:t>1)</w:t>
      </w:r>
      <w:r w:rsidRPr="00690BC1">
        <w:t xml:space="preserve"> the Solid Waste Association of North America</w:t>
      </w:r>
      <w:r w:rsidR="00E106EA">
        <w:t>,</w:t>
      </w:r>
      <w:r w:rsidRPr="00690BC1">
        <w:t xml:space="preserve"> at </w:t>
      </w:r>
      <w:r w:rsidR="00BA064C" w:rsidRPr="00690BC1">
        <w:t>(240) 494-2253</w:t>
      </w:r>
      <w:r w:rsidR="00E106EA">
        <w:t>;</w:t>
      </w:r>
      <w:r w:rsidRPr="00690BC1">
        <w:t xml:space="preserve"> and </w:t>
      </w:r>
      <w:r w:rsidR="00E60C23">
        <w:t xml:space="preserve">        </w:t>
      </w:r>
      <w:r w:rsidR="00E106EA">
        <w:t xml:space="preserve">2) </w:t>
      </w:r>
      <w:r w:rsidRPr="00690BC1">
        <w:t xml:space="preserve">the </w:t>
      </w:r>
      <w:r w:rsidR="00690BC1" w:rsidRPr="00690BC1">
        <w:t xml:space="preserve">United States Conference of Mayors, </w:t>
      </w:r>
      <w:r w:rsidRPr="00690BC1">
        <w:t>Municipal Waste Management Association</w:t>
      </w:r>
      <w:r w:rsidR="00E106EA">
        <w:t>,</w:t>
      </w:r>
      <w:r w:rsidRPr="00690BC1">
        <w:t xml:space="preserve"> at </w:t>
      </w:r>
      <w:r w:rsidR="00E60C23">
        <w:t xml:space="preserve">  </w:t>
      </w:r>
      <w:r w:rsidRPr="00690BC1">
        <w:t>(</w:t>
      </w:r>
      <w:r w:rsidR="00690BC1" w:rsidRPr="00690BC1">
        <w:t>202</w:t>
      </w:r>
      <w:r w:rsidRPr="00690BC1">
        <w:t>)</w:t>
      </w:r>
      <w:r w:rsidR="00690BC1" w:rsidRPr="00690BC1">
        <w:t xml:space="preserve"> 861-6798</w:t>
      </w:r>
      <w:r w:rsidRPr="00690BC1">
        <w:t>.</w:t>
      </w:r>
    </w:p>
    <w:p w:rsidR="0061544E" w:rsidRPr="00FE170F" w:rsidRDefault="0061544E" w:rsidP="0061544E">
      <w:pPr>
        <w:widowControl/>
        <w:ind w:firstLine="720"/>
      </w:pPr>
    </w:p>
    <w:p w:rsidR="00123889" w:rsidRPr="00FE170F" w:rsidRDefault="00FE170F" w:rsidP="00FE170F">
      <w:pPr>
        <w:widowControl/>
        <w:ind w:firstLine="720"/>
      </w:pPr>
      <w:r w:rsidRPr="00FE170F">
        <w:t xml:space="preserve">It is our policy to respond after a thorough review of comments received since the last ICR renewal as well as those submitted in response to the first </w:t>
      </w:r>
      <w:r w:rsidRPr="00E60C23">
        <w:rPr>
          <w:u w:val="single"/>
        </w:rPr>
        <w:t>Federal Register</w:t>
      </w:r>
      <w:r w:rsidRPr="00FE170F">
        <w:t xml:space="preserve"> notice.</w:t>
      </w:r>
      <w:r w:rsidR="00D92F66" w:rsidRPr="00FE170F">
        <w:t xml:space="preserve"> </w:t>
      </w:r>
    </w:p>
    <w:p w:rsidR="00D066CD" w:rsidRDefault="00D066CD">
      <w:pPr>
        <w:pBdr>
          <w:top w:val="single" w:sz="6" w:space="0" w:color="FFFFFF"/>
          <w:left w:val="single" w:sz="6" w:space="0" w:color="FFFFFF"/>
          <w:bottom w:val="single" w:sz="6" w:space="0" w:color="FFFFFF"/>
          <w:right w:val="single" w:sz="6" w:space="0" w:color="FFFFFF"/>
        </w:pBdr>
        <w:ind w:firstLine="720"/>
        <w:rPr>
          <w:b/>
          <w:bCs/>
        </w:rPr>
      </w:pPr>
    </w:p>
    <w:p w:rsidR="00CA4CD6" w:rsidRPr="00FE170F" w:rsidRDefault="00CA4CD6">
      <w:pPr>
        <w:pBdr>
          <w:top w:val="single" w:sz="6" w:space="0" w:color="FFFFFF"/>
          <w:left w:val="single" w:sz="6" w:space="0" w:color="FFFFFF"/>
          <w:bottom w:val="single" w:sz="6" w:space="0" w:color="FFFFFF"/>
          <w:right w:val="single" w:sz="6" w:space="0" w:color="FFFFFF"/>
        </w:pBdr>
        <w:ind w:firstLine="720"/>
      </w:pPr>
      <w:r w:rsidRPr="00FE170F">
        <w:rPr>
          <w:b/>
          <w:bCs/>
        </w:rPr>
        <w:lastRenderedPageBreak/>
        <w:t>3(d)  Effects of Less Frequent Collection</w:t>
      </w:r>
    </w:p>
    <w:p w:rsidR="00CE15B1" w:rsidRDefault="00CE15B1" w:rsidP="00CE15B1">
      <w:pPr>
        <w:widowControl/>
        <w:pBdr>
          <w:top w:val="single" w:sz="6" w:space="0" w:color="FFFFFF"/>
          <w:left w:val="single" w:sz="6" w:space="0" w:color="FFFFFF"/>
          <w:bottom w:val="single" w:sz="6" w:space="0" w:color="FFFFFF"/>
          <w:right w:val="single" w:sz="6" w:space="0" w:color="FFFFFF"/>
        </w:pBdr>
        <w:rPr>
          <w:color w:val="000000"/>
        </w:rPr>
      </w:pPr>
    </w:p>
    <w:p w:rsidR="00CE15B1" w:rsidRDefault="00CE15B1" w:rsidP="00CE15B1">
      <w:pPr>
        <w:widowControl/>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r w:rsidR="00CA4CD6">
        <w:rPr>
          <w:color w:val="000000"/>
        </w:rPr>
        <w:t xml:space="preserve">Less frequent information collection would decrease the margin of assurance that </w:t>
      </w:r>
    </w:p>
    <w:p w:rsidR="00CA4CD6" w:rsidRDefault="00CA4CD6" w:rsidP="00CE15B1">
      <w:pPr>
        <w:widowControl/>
        <w:pBdr>
          <w:top w:val="single" w:sz="6" w:space="0" w:color="FFFFFF"/>
          <w:left w:val="single" w:sz="6" w:space="0" w:color="FFFFFF"/>
          <w:bottom w:val="single" w:sz="6" w:space="0" w:color="FFFFFF"/>
          <w:right w:val="single" w:sz="6" w:space="0" w:color="FFFFFF"/>
        </w:pBdr>
        <w:rPr>
          <w:color w:val="000000"/>
        </w:rPr>
      </w:pPr>
      <w:r>
        <w:rPr>
          <w:color w:val="000000"/>
        </w:rPr>
        <w:t xml:space="preserve">facilities are continuing to meet the standards.  Requirements for information gathering and recordkeeping are useful techniques to ensure that good operation and maintenance practices </w:t>
      </w:r>
      <w:r w:rsidR="00E60C23">
        <w:rPr>
          <w:color w:val="000000"/>
        </w:rPr>
        <w:t xml:space="preserve">  </w:t>
      </w:r>
      <w:r>
        <w:rPr>
          <w:color w:val="000000"/>
        </w:rPr>
        <w:t xml:space="preserve">are applied and emission limitations are met.  If the information required by these standards </w:t>
      </w:r>
      <w:r w:rsidR="00E60C23">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E60C23">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C5873"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w:t>
      </w:r>
      <w:r w:rsidR="00CA4CD6" w:rsidRPr="001C5873">
        <w:t xml:space="preserve">requirements </w:t>
      </w:r>
      <w:r w:rsidRPr="001C5873">
        <w:t xml:space="preserve">do not </w:t>
      </w:r>
      <w:r w:rsidR="00CA4CD6" w:rsidRPr="001C5873">
        <w:t xml:space="preserve">violate any of the regulations </w:t>
      </w:r>
      <w:r w:rsidR="00206932" w:rsidRPr="001C5873">
        <w:t>promulgated by</w:t>
      </w:r>
      <w:r w:rsidRPr="001C5873">
        <w:t xml:space="preserve"> </w:t>
      </w:r>
      <w:r w:rsidR="00CA4CD6" w:rsidRPr="001C5873">
        <w:t xml:space="preserve">OMB </w:t>
      </w:r>
      <w:r w:rsidRPr="001C5873">
        <w:t>under</w:t>
      </w:r>
      <w:r w:rsidR="00CA4CD6" w:rsidRPr="001C5873">
        <w:t xml:space="preserve"> 5 CFR part 1320, section 1320.5.</w:t>
      </w:r>
    </w:p>
    <w:p w:rsidR="00CA4CD6" w:rsidRPr="001C5873" w:rsidRDefault="00CA4CD6">
      <w:pPr>
        <w:pBdr>
          <w:top w:val="single" w:sz="6" w:space="0" w:color="FFFFFF"/>
          <w:left w:val="single" w:sz="6" w:space="0" w:color="FFFFFF"/>
          <w:bottom w:val="single" w:sz="6" w:space="0" w:color="FFFFFF"/>
          <w:right w:val="single" w:sz="6" w:space="0" w:color="FFFFFF"/>
        </w:pBdr>
      </w:pPr>
    </w:p>
    <w:p w:rsidR="00CA4CD6" w:rsidRPr="001C5873" w:rsidRDefault="00CA4CD6" w:rsidP="001C5873">
      <w:pPr>
        <w:pBdr>
          <w:top w:val="single" w:sz="6" w:space="0" w:color="FFFFFF"/>
          <w:left w:val="single" w:sz="6" w:space="0" w:color="FFFFFF"/>
          <w:bottom w:val="single" w:sz="6" w:space="0" w:color="FFFFFF"/>
          <w:right w:val="single" w:sz="6" w:space="0" w:color="FFFFFF"/>
        </w:pBdr>
        <w:ind w:firstLine="720"/>
      </w:pPr>
      <w:r w:rsidRPr="001C5873">
        <w:t xml:space="preserve">These </w:t>
      </w:r>
      <w:r w:rsidR="001E325E">
        <w:t>standards</w:t>
      </w:r>
      <w:r w:rsidR="001C5873" w:rsidRPr="001C5873">
        <w:t xml:space="preserve"> </w:t>
      </w:r>
      <w:r w:rsidRPr="001C5873">
        <w:t>require the respondents to maintain all records, including reports and notifications for at least five years.  This is consistent with the General Provisions as applied to the standards.  EPA believes that the five</w:t>
      </w:r>
      <w:r w:rsidR="00E60C23">
        <w:t>-</w:t>
      </w:r>
      <w:r w:rsidRPr="001C5873">
        <w:t xml:space="preserve">year records retention requirement is consistent </w:t>
      </w:r>
      <w:r w:rsidR="00BD0DED">
        <w:t xml:space="preserve">with </w:t>
      </w:r>
      <w:r w:rsidRPr="001C5873">
        <w:t>the Part 70 permit program and the five</w:t>
      </w:r>
      <w:r w:rsidR="00F94409">
        <w:t>-</w:t>
      </w:r>
      <w:r w:rsidRPr="001C5873">
        <w:t xml:space="preserve">year statute of limitations on which the permit program is based.  </w:t>
      </w:r>
      <w:r w:rsidR="005F42F8" w:rsidRPr="001C5873">
        <w:t>T</w:t>
      </w:r>
      <w:r w:rsidRPr="001C5873">
        <w:t>he retention of records for five</w:t>
      </w:r>
      <w:r w:rsidR="00E60C23">
        <w:t xml:space="preserve"> </w:t>
      </w:r>
      <w:r w:rsidRPr="001C5873">
        <w:t>years allow</w:t>
      </w:r>
      <w:r w:rsidR="005F42F8" w:rsidRPr="001C5873">
        <w:t>s</w:t>
      </w:r>
      <w:r w:rsidRPr="001C5873">
        <w:t xml:space="preserve"> EPA to establish the compliance history of a source</w:t>
      </w:r>
      <w:r w:rsidR="005F42F8" w:rsidRPr="001C5873">
        <w:t xml:space="preserve">, </w:t>
      </w:r>
      <w:r w:rsidRPr="001C5873">
        <w:t xml:space="preserve">any pattern of </w:t>
      </w:r>
      <w:r w:rsidR="005F42F8" w:rsidRPr="001C5873">
        <w:t>non-</w:t>
      </w:r>
      <w:r w:rsidRPr="001C5873">
        <w:t>compliance</w:t>
      </w:r>
      <w:r w:rsidR="005F42F8" w:rsidRPr="001C5873">
        <w:t xml:space="preserve"> and to determine the appropriate level of enforcement action.  </w:t>
      </w:r>
      <w:r w:rsidRPr="001C5873">
        <w:t xml:space="preserve">EPA has found that the most flagrant violators have violations extending beyond five years.  </w:t>
      </w:r>
      <w:r w:rsidR="005F42F8" w:rsidRPr="001C5873">
        <w:t xml:space="preserve">In addition, </w:t>
      </w:r>
      <w:r w:rsidRPr="001C5873">
        <w:t xml:space="preserve">EPA would be prevented from pursuing the violators due to the destruction </w:t>
      </w:r>
      <w:r w:rsidR="00E60C23">
        <w:t xml:space="preserve"> </w:t>
      </w:r>
      <w:r w:rsidRPr="001C5873">
        <w:t xml:space="preserve">or nonexistence of </w:t>
      </w:r>
      <w:r w:rsidR="005F42F8" w:rsidRPr="001C5873">
        <w:t xml:space="preserve">essential </w:t>
      </w:r>
      <w:r w:rsidRPr="001C5873">
        <w:t>records</w:t>
      </w:r>
      <w:r w:rsidR="001C5873" w:rsidRPr="001C5873">
        <w:t>.</w:t>
      </w:r>
    </w:p>
    <w:p w:rsidR="00CA4CD6" w:rsidRPr="001C5873" w:rsidRDefault="00CA4CD6">
      <w:pPr>
        <w:pBdr>
          <w:top w:val="single" w:sz="6" w:space="0" w:color="FFFFFF"/>
          <w:left w:val="single" w:sz="6" w:space="0" w:color="FFFFFF"/>
          <w:bottom w:val="single" w:sz="6" w:space="0" w:color="FFFFFF"/>
          <w:right w:val="single" w:sz="6" w:space="0" w:color="FFFFFF"/>
        </w:pBdr>
      </w:pPr>
    </w:p>
    <w:p w:rsidR="00CA4CD6" w:rsidRPr="001C5873" w:rsidRDefault="00CA4CD6">
      <w:pPr>
        <w:pBdr>
          <w:top w:val="single" w:sz="6" w:space="0" w:color="FFFFFF"/>
          <w:left w:val="single" w:sz="6" w:space="0" w:color="FFFFFF"/>
          <w:bottom w:val="single" w:sz="6" w:space="0" w:color="FFFFFF"/>
          <w:right w:val="single" w:sz="6" w:space="0" w:color="FFFFFF"/>
        </w:pBdr>
        <w:ind w:firstLine="720"/>
      </w:pPr>
      <w:r w:rsidRPr="001C5873">
        <w:rPr>
          <w:b/>
          <w:bCs/>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E756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w:t>
      </w:r>
      <w:r w:rsidR="00E60C23">
        <w:rPr>
          <w:color w:val="000000"/>
        </w:rPr>
        <w:t xml:space="preserve">   </w:t>
      </w:r>
      <w:r>
        <w:rPr>
          <w:color w:val="000000"/>
        </w:rPr>
        <w:t xml:space="preserve">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E15B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w:t>
      </w:r>
      <w:r w:rsidRPr="00E064CB">
        <w:rPr>
          <w:color w:val="000000"/>
        </w:rPr>
        <w:t>and reporting requirements are</w:t>
      </w:r>
      <w:r w:rsidR="001C5873" w:rsidRPr="00E064CB">
        <w:rPr>
          <w:color w:val="000000"/>
        </w:rPr>
        <w:t xml:space="preserve"> </w:t>
      </w:r>
      <w:r w:rsidR="001E325E">
        <w:rPr>
          <w:color w:val="000000"/>
        </w:rPr>
        <w:t xml:space="preserve">owners and operators of </w:t>
      </w:r>
      <w:r w:rsidR="00367D01">
        <w:rPr>
          <w:color w:val="000000"/>
        </w:rPr>
        <w:t>MSW landfill</w:t>
      </w:r>
      <w:r w:rsidR="00C24697">
        <w:rPr>
          <w:color w:val="000000"/>
        </w:rPr>
        <w:t>s</w:t>
      </w:r>
      <w:r w:rsidR="001C5873" w:rsidRPr="00E064CB">
        <w:rPr>
          <w:color w:val="000000"/>
        </w:rPr>
        <w:t>.</w:t>
      </w:r>
      <w:r w:rsidRPr="00E064CB">
        <w:rPr>
          <w:color w:val="000000"/>
        </w:rPr>
        <w:t xml:space="preserve">  The </w:t>
      </w:r>
      <w:r w:rsidR="00192216" w:rsidRPr="00E064CB">
        <w:rPr>
          <w:color w:val="000000"/>
        </w:rPr>
        <w:t>United States Standar</w:t>
      </w:r>
      <w:r w:rsidR="00192216">
        <w:rPr>
          <w:color w:val="000000"/>
        </w:rPr>
        <w:t>d Industrial Classification (</w:t>
      </w:r>
      <w:r>
        <w:rPr>
          <w:color w:val="000000"/>
        </w:rPr>
        <w:t>SIC</w:t>
      </w:r>
      <w:r w:rsidR="00192216">
        <w:rPr>
          <w:color w:val="000000"/>
        </w:rPr>
        <w:t>)</w:t>
      </w:r>
      <w:r>
        <w:rPr>
          <w:color w:val="000000"/>
        </w:rPr>
        <w:t xml:space="preserve"> code</w:t>
      </w:r>
      <w:r w:rsidR="001E325E">
        <w:rPr>
          <w:color w:val="000000"/>
        </w:rPr>
        <w:t>s</w:t>
      </w:r>
      <w:r w:rsidR="00192216">
        <w:rPr>
          <w:color w:val="000000"/>
        </w:rPr>
        <w:t xml:space="preserve"> and corresponding North American Industry Classification System (NAICS) codes </w:t>
      </w:r>
      <w:r>
        <w:rPr>
          <w:color w:val="000000"/>
        </w:rPr>
        <w:t xml:space="preserve">for the respondents affected by the standards </w:t>
      </w:r>
      <w:r w:rsidR="00192216">
        <w:rPr>
          <w:color w:val="000000"/>
        </w:rPr>
        <w:t>are provided in the following table</w:t>
      </w:r>
      <w:r w:rsidR="00E60C23">
        <w:rPr>
          <w:color w:val="000000"/>
        </w:rPr>
        <w:t xml:space="preserve">: </w:t>
      </w:r>
    </w:p>
    <w:tbl>
      <w:tblPr>
        <w:tblW w:w="0" w:type="auto"/>
        <w:tblInd w:w="112" w:type="dxa"/>
        <w:tblLayout w:type="fixed"/>
        <w:tblCellMar>
          <w:left w:w="112" w:type="dxa"/>
          <w:right w:w="112" w:type="dxa"/>
        </w:tblCellMar>
        <w:tblLook w:val="0000"/>
      </w:tblPr>
      <w:tblGrid>
        <w:gridCol w:w="5670"/>
        <w:gridCol w:w="1800"/>
        <w:gridCol w:w="1890"/>
      </w:tblGrid>
      <w:tr w:rsidR="00CA4CD6" w:rsidTr="00CE15B1">
        <w:trPr>
          <w:trHeight w:val="730"/>
        </w:trPr>
        <w:tc>
          <w:tcPr>
            <w:tcW w:w="5670" w:type="dxa"/>
            <w:tcBorders>
              <w:top w:val="single" w:sz="7" w:space="0" w:color="000000"/>
              <w:left w:val="single" w:sz="7" w:space="0" w:color="000000"/>
              <w:bottom w:val="single" w:sz="6" w:space="0" w:color="FFFFFF"/>
              <w:right w:val="single" w:sz="6" w:space="0" w:color="FFFFFF"/>
            </w:tcBorders>
          </w:tcPr>
          <w:p w:rsidR="00CA4CD6" w:rsidRDefault="00CA4CD6" w:rsidP="00367D01">
            <w:pPr>
              <w:keepNext/>
              <w:spacing w:line="120" w:lineRule="exact"/>
              <w:rPr>
                <w:color w:val="000000"/>
              </w:rPr>
            </w:pPr>
          </w:p>
          <w:p w:rsidR="00CA4CD6" w:rsidRDefault="00192216" w:rsidP="00894DAC">
            <w:pPr>
              <w:keepNext/>
              <w:pBdr>
                <w:top w:val="single" w:sz="6" w:space="0" w:color="FFFFFF"/>
                <w:left w:val="single" w:sz="6" w:space="0" w:color="FFFFFF"/>
                <w:bottom w:val="single" w:sz="6" w:space="0" w:color="FFFFFF"/>
                <w:right w:val="single" w:sz="6" w:space="0" w:color="FFFFFF"/>
              </w:pBdr>
              <w:spacing w:after="54"/>
              <w:jc w:val="center"/>
              <w:rPr>
                <w:b/>
                <w:bCs/>
                <w:color w:val="000000"/>
              </w:rPr>
            </w:pPr>
            <w:r w:rsidRPr="00192216">
              <w:rPr>
                <w:b/>
                <w:bCs/>
                <w:color w:val="000000"/>
              </w:rPr>
              <w:t xml:space="preserve">Standard </w:t>
            </w:r>
            <w:r w:rsidR="00072E8B" w:rsidRPr="00192216">
              <w:rPr>
                <w:b/>
                <w:bCs/>
                <w:color w:val="000000"/>
              </w:rPr>
              <w:t xml:space="preserve">(40 CFR </w:t>
            </w:r>
            <w:r w:rsidR="001E325E">
              <w:rPr>
                <w:b/>
                <w:bCs/>
                <w:color w:val="000000"/>
              </w:rPr>
              <w:t>P</w:t>
            </w:r>
            <w:r w:rsidR="00072E8B" w:rsidRPr="00192216">
              <w:rPr>
                <w:b/>
                <w:bCs/>
                <w:color w:val="000000"/>
              </w:rPr>
              <w:t xml:space="preserve">art 60, </w:t>
            </w:r>
            <w:r w:rsidR="001E325E">
              <w:rPr>
                <w:b/>
                <w:bCs/>
                <w:color w:val="000000"/>
              </w:rPr>
              <w:t>S</w:t>
            </w:r>
            <w:r w:rsidR="00072E8B" w:rsidRPr="00192216">
              <w:rPr>
                <w:b/>
                <w:bCs/>
                <w:color w:val="000000"/>
              </w:rPr>
              <w:t>ubpart Cc</w:t>
            </w:r>
            <w:r w:rsidRPr="00192216">
              <w:rPr>
                <w:b/>
                <w:bCs/>
                <w:color w:val="000000"/>
              </w:rPr>
              <w:t xml:space="preserve"> and 40 CFR Part 62, Subpart GGG</w:t>
            </w:r>
            <w:r w:rsidR="00072E8B" w:rsidRPr="00192216">
              <w:rPr>
                <w:b/>
                <w:bCs/>
                <w:color w:val="000000"/>
              </w:rPr>
              <w:t>)</w:t>
            </w:r>
          </w:p>
        </w:tc>
        <w:tc>
          <w:tcPr>
            <w:tcW w:w="1800" w:type="dxa"/>
            <w:tcBorders>
              <w:top w:val="single" w:sz="7" w:space="0" w:color="000000"/>
              <w:left w:val="single" w:sz="7" w:space="0" w:color="000000"/>
              <w:bottom w:val="single" w:sz="6" w:space="0" w:color="FFFFFF"/>
              <w:right w:val="single" w:sz="6" w:space="0" w:color="FFFFFF"/>
            </w:tcBorders>
            <w:vAlign w:val="center"/>
          </w:tcPr>
          <w:p w:rsidR="00C24697" w:rsidRDefault="00C24697">
            <w:pPr>
              <w:keepNext/>
              <w:spacing w:line="120" w:lineRule="exact"/>
              <w:jc w:val="center"/>
              <w:rPr>
                <w:b/>
                <w:bCs/>
                <w:color w:val="000000"/>
              </w:rPr>
            </w:pPr>
          </w:p>
          <w:p w:rsidR="00C24697" w:rsidRDefault="00CA4CD6">
            <w:pPr>
              <w:keepNext/>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Borders>
              <w:top w:val="single" w:sz="7" w:space="0" w:color="000000"/>
              <w:left w:val="single" w:sz="7" w:space="0" w:color="000000"/>
              <w:bottom w:val="single" w:sz="6" w:space="0" w:color="FFFFFF"/>
              <w:right w:val="single" w:sz="7" w:space="0" w:color="000000"/>
            </w:tcBorders>
            <w:vAlign w:val="center"/>
          </w:tcPr>
          <w:p w:rsidR="00C24697" w:rsidRDefault="00C24697">
            <w:pPr>
              <w:keepNext/>
              <w:spacing w:line="120" w:lineRule="exact"/>
              <w:jc w:val="center"/>
              <w:rPr>
                <w:b/>
                <w:bCs/>
                <w:color w:val="000000"/>
              </w:rPr>
            </w:pPr>
          </w:p>
          <w:p w:rsidR="00C24697" w:rsidRDefault="00CA4CD6">
            <w:pPr>
              <w:keepNext/>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rsidTr="000F6EEB">
        <w:trPr>
          <w:trHeight w:val="397"/>
        </w:trPr>
        <w:tc>
          <w:tcPr>
            <w:tcW w:w="5670" w:type="dxa"/>
            <w:tcBorders>
              <w:top w:val="single" w:sz="7" w:space="0" w:color="000000"/>
              <w:left w:val="single" w:sz="7" w:space="0" w:color="000000"/>
              <w:bottom w:val="single" w:sz="6" w:space="0" w:color="FFFFFF"/>
              <w:right w:val="single" w:sz="6" w:space="0" w:color="FFFFFF"/>
            </w:tcBorders>
          </w:tcPr>
          <w:p w:rsidR="00CA4CD6" w:rsidRDefault="00CA4CD6" w:rsidP="00367D01">
            <w:pPr>
              <w:keepNext/>
              <w:spacing w:line="120" w:lineRule="exact"/>
              <w:rPr>
                <w:color w:val="000000"/>
              </w:rPr>
            </w:pPr>
          </w:p>
          <w:p w:rsidR="00CA4CD6" w:rsidRDefault="00072E8B" w:rsidP="00367D01">
            <w:pPr>
              <w:keepNext/>
              <w:pBdr>
                <w:top w:val="single" w:sz="6" w:space="0" w:color="FFFFFF"/>
                <w:left w:val="single" w:sz="6" w:space="0" w:color="FFFFFF"/>
                <w:bottom w:val="single" w:sz="6" w:space="0" w:color="FFFFFF"/>
                <w:right w:val="single" w:sz="6" w:space="0" w:color="FFFFFF"/>
              </w:pBdr>
              <w:spacing w:after="54"/>
              <w:rPr>
                <w:color w:val="000000"/>
              </w:rPr>
            </w:pPr>
            <w:r>
              <w:rPr>
                <w:color w:val="000000"/>
              </w:rPr>
              <w:t>Air and Water Resource and Solid Waste Management</w:t>
            </w:r>
          </w:p>
        </w:tc>
        <w:tc>
          <w:tcPr>
            <w:tcW w:w="180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9C50B4">
            <w:pPr>
              <w:keepNext/>
              <w:spacing w:line="120" w:lineRule="exact"/>
              <w:jc w:val="center"/>
              <w:rPr>
                <w:color w:val="000000"/>
              </w:rPr>
            </w:pPr>
          </w:p>
          <w:p w:rsidR="00CA4CD6" w:rsidRDefault="006A32C4" w:rsidP="009C50B4">
            <w:pPr>
              <w:keepNext/>
              <w:pBdr>
                <w:top w:val="single" w:sz="6" w:space="0" w:color="FFFFFF"/>
                <w:left w:val="single" w:sz="6" w:space="0" w:color="FFFFFF"/>
                <w:bottom w:val="single" w:sz="6" w:space="0" w:color="FFFFFF"/>
                <w:right w:val="single" w:sz="6" w:space="0" w:color="FFFFFF"/>
              </w:pBdr>
              <w:spacing w:after="54"/>
              <w:jc w:val="center"/>
              <w:rPr>
                <w:color w:val="000000"/>
              </w:rPr>
            </w:pPr>
            <w:r w:rsidRPr="006A32C4">
              <w:rPr>
                <w:color w:val="000000"/>
              </w:rPr>
              <w:t>9511</w:t>
            </w:r>
          </w:p>
        </w:tc>
        <w:tc>
          <w:tcPr>
            <w:tcW w:w="1890" w:type="dxa"/>
            <w:tcBorders>
              <w:top w:val="single" w:sz="7" w:space="0" w:color="000000"/>
              <w:left w:val="single" w:sz="7" w:space="0" w:color="000000"/>
              <w:bottom w:val="single" w:sz="6" w:space="0" w:color="FFFFFF"/>
              <w:right w:val="single" w:sz="7" w:space="0" w:color="000000"/>
            </w:tcBorders>
            <w:vAlign w:val="center"/>
          </w:tcPr>
          <w:p w:rsidR="00CA4CD6" w:rsidRDefault="00CA4CD6" w:rsidP="009C50B4">
            <w:pPr>
              <w:keepNext/>
              <w:spacing w:line="120" w:lineRule="exact"/>
              <w:jc w:val="center"/>
              <w:rPr>
                <w:color w:val="000000"/>
              </w:rPr>
            </w:pPr>
          </w:p>
          <w:p w:rsidR="00CA4CD6" w:rsidRDefault="006A32C4" w:rsidP="009C50B4">
            <w:pPr>
              <w:keepNext/>
              <w:pBdr>
                <w:top w:val="single" w:sz="6" w:space="0" w:color="FFFFFF"/>
                <w:left w:val="single" w:sz="6" w:space="0" w:color="FFFFFF"/>
                <w:bottom w:val="single" w:sz="6" w:space="0" w:color="FFFFFF"/>
                <w:right w:val="single" w:sz="6" w:space="0" w:color="FFFFFF"/>
              </w:pBdr>
              <w:spacing w:after="54"/>
              <w:jc w:val="center"/>
              <w:rPr>
                <w:color w:val="000000"/>
              </w:rPr>
            </w:pPr>
            <w:r w:rsidRPr="006A32C4">
              <w:rPr>
                <w:color w:val="000000"/>
              </w:rPr>
              <w:t>924110</w:t>
            </w:r>
          </w:p>
        </w:tc>
      </w:tr>
      <w:tr w:rsidR="00CA4CD6" w:rsidTr="002457BC">
        <w:tc>
          <w:tcPr>
            <w:tcW w:w="5670" w:type="dxa"/>
            <w:tcBorders>
              <w:top w:val="single" w:sz="7" w:space="0" w:color="000000"/>
              <w:left w:val="single" w:sz="7" w:space="0" w:color="000000"/>
              <w:bottom w:val="single" w:sz="7" w:space="0" w:color="000000"/>
              <w:right w:val="single" w:sz="6" w:space="0" w:color="FFFFFF"/>
            </w:tcBorders>
          </w:tcPr>
          <w:p w:rsidR="00CA4CD6" w:rsidRDefault="00CA4CD6" w:rsidP="00367D01">
            <w:pPr>
              <w:keepNext/>
              <w:spacing w:line="120" w:lineRule="exact"/>
              <w:rPr>
                <w:color w:val="000000"/>
              </w:rPr>
            </w:pPr>
          </w:p>
          <w:p w:rsidR="00CA4CD6" w:rsidRDefault="00072E8B" w:rsidP="00367D01">
            <w:pPr>
              <w:keepNext/>
              <w:pBdr>
                <w:top w:val="single" w:sz="6" w:space="0" w:color="FFFFFF"/>
                <w:left w:val="single" w:sz="6" w:space="0" w:color="FFFFFF"/>
                <w:bottom w:val="single" w:sz="6" w:space="0" w:color="FFFFFF"/>
                <w:right w:val="single" w:sz="6" w:space="0" w:color="FFFFFF"/>
              </w:pBdr>
              <w:spacing w:after="73"/>
              <w:rPr>
                <w:color w:val="000000"/>
              </w:rPr>
            </w:pPr>
            <w:r>
              <w:rPr>
                <w:color w:val="000000"/>
              </w:rPr>
              <w:t>Refuse Systems, Solid Waste Landfills</w:t>
            </w:r>
          </w:p>
        </w:tc>
        <w:tc>
          <w:tcPr>
            <w:tcW w:w="1800" w:type="dxa"/>
            <w:tcBorders>
              <w:top w:val="single" w:sz="7" w:space="0" w:color="000000"/>
              <w:left w:val="single" w:sz="7" w:space="0" w:color="000000"/>
              <w:bottom w:val="single" w:sz="7" w:space="0" w:color="000000"/>
              <w:right w:val="single" w:sz="6" w:space="0" w:color="FFFFFF"/>
            </w:tcBorders>
            <w:vAlign w:val="center"/>
          </w:tcPr>
          <w:p w:rsidR="00CA4CD6" w:rsidRDefault="00CA4CD6" w:rsidP="009C50B4">
            <w:pPr>
              <w:keepNext/>
              <w:spacing w:line="120" w:lineRule="exact"/>
              <w:jc w:val="center"/>
              <w:rPr>
                <w:color w:val="000000"/>
              </w:rPr>
            </w:pPr>
          </w:p>
          <w:p w:rsidR="00CA4CD6" w:rsidRDefault="006A32C4" w:rsidP="009C50B4">
            <w:pPr>
              <w:keepNext/>
              <w:pBdr>
                <w:top w:val="single" w:sz="6" w:space="0" w:color="FFFFFF"/>
                <w:left w:val="single" w:sz="6" w:space="0" w:color="FFFFFF"/>
                <w:bottom w:val="single" w:sz="6" w:space="0" w:color="FFFFFF"/>
                <w:right w:val="single" w:sz="6" w:space="0" w:color="FFFFFF"/>
              </w:pBdr>
              <w:spacing w:after="73"/>
              <w:jc w:val="center"/>
              <w:rPr>
                <w:color w:val="000000"/>
              </w:rPr>
            </w:pPr>
            <w:r w:rsidRPr="006A32C4">
              <w:rPr>
                <w:color w:val="000000"/>
              </w:rPr>
              <w:t>4953</w:t>
            </w:r>
          </w:p>
        </w:tc>
        <w:tc>
          <w:tcPr>
            <w:tcW w:w="1890" w:type="dxa"/>
            <w:tcBorders>
              <w:top w:val="single" w:sz="7" w:space="0" w:color="000000"/>
              <w:left w:val="single" w:sz="7" w:space="0" w:color="000000"/>
              <w:bottom w:val="single" w:sz="7" w:space="0" w:color="000000"/>
              <w:right w:val="single" w:sz="7" w:space="0" w:color="000000"/>
            </w:tcBorders>
            <w:vAlign w:val="center"/>
          </w:tcPr>
          <w:p w:rsidR="00CA4CD6" w:rsidRDefault="00CA4CD6" w:rsidP="009C50B4">
            <w:pPr>
              <w:keepNext/>
              <w:spacing w:line="120" w:lineRule="exact"/>
              <w:jc w:val="center"/>
              <w:rPr>
                <w:color w:val="000000"/>
              </w:rPr>
            </w:pPr>
          </w:p>
          <w:p w:rsidR="00CA4CD6" w:rsidRDefault="00072E8B" w:rsidP="009C50B4">
            <w:pPr>
              <w:keepNext/>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562212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76B42" w:rsidRDefault="00876B42" w:rsidP="00876B42">
      <w:pPr>
        <w:pBdr>
          <w:top w:val="single" w:sz="6" w:space="0" w:color="FFFFFF"/>
          <w:left w:val="single" w:sz="6" w:space="0" w:color="FFFFFF"/>
          <w:bottom w:val="single" w:sz="6" w:space="0" w:color="FFFFFF"/>
          <w:right w:val="single" w:sz="6" w:space="0" w:color="FFFFFF"/>
        </w:pBdr>
        <w:ind w:firstLine="720"/>
        <w:rPr>
          <w:color w:val="000000"/>
        </w:rPr>
      </w:pPr>
      <w:r w:rsidRPr="00876B42">
        <w:rPr>
          <w:color w:val="000000"/>
        </w:rPr>
        <w:t>Respondents are also State and local agencies that review reports submitted by landfill owners/operators located in States that have an effective State plan.</w:t>
      </w:r>
      <w:r>
        <w:rPr>
          <w:color w:val="000000"/>
        </w:rPr>
        <w:t xml:space="preserve"> </w:t>
      </w:r>
      <w:r w:rsidRPr="00876B42">
        <w:rPr>
          <w:color w:val="000000"/>
        </w:rPr>
        <w:t xml:space="preserve"> </w:t>
      </w:r>
      <w:r w:rsidRPr="00E064CB">
        <w:rPr>
          <w:color w:val="000000"/>
        </w:rPr>
        <w:t>State and local agencies</w:t>
      </w:r>
      <w:r>
        <w:rPr>
          <w:color w:val="000000"/>
        </w:rPr>
        <w:t xml:space="preserve"> </w:t>
      </w:r>
      <w:r w:rsidR="00E60C23">
        <w:rPr>
          <w:color w:val="000000"/>
        </w:rPr>
        <w:t xml:space="preserve"> </w:t>
      </w:r>
      <w:r>
        <w:rPr>
          <w:color w:val="000000"/>
        </w:rPr>
        <w:t>will conduct the same activities as EPA</w:t>
      </w:r>
      <w:r w:rsidR="00C24EDD">
        <w:rPr>
          <w:color w:val="000000"/>
        </w:rPr>
        <w:t>.  Activities for implementing agencies (i.e., State, local or EPA) are identified in Section 5(a).</w:t>
      </w:r>
    </w:p>
    <w:p w:rsidR="00876B42" w:rsidRDefault="00876B42" w:rsidP="00876B42">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72E8B"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sidRPr="00072E8B">
        <w:t xml:space="preserve">recorded or reported </w:t>
      </w:r>
      <w:r w:rsidRPr="00072E8B">
        <w:t>is</w:t>
      </w:r>
      <w:r w:rsidR="00CA4CD6" w:rsidRPr="00072E8B">
        <w:t xml:space="preserve"> required by</w:t>
      </w:r>
      <w:r w:rsidR="00072E8B" w:rsidRPr="00072E8B">
        <w:t xml:space="preserve"> </w:t>
      </w:r>
      <w:r w:rsidR="000B3160">
        <w:t xml:space="preserve">the </w:t>
      </w:r>
      <w:r w:rsidR="00072E8B" w:rsidRPr="00072E8B">
        <w:t>Emission Guidelines and Compliance Times for Existing Municipal Solid Waste Landfills (40 CFR Part 60, Subpart Cc and 40 CFR Part 62, Subpart GGG).</w:t>
      </w:r>
    </w:p>
    <w:p w:rsidR="00CA4CD6" w:rsidRPr="00072E8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570"/>
        <w:gridCol w:w="2790"/>
      </w:tblGrid>
      <w:tr w:rsidR="00A73600" w:rsidTr="00072E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0B3160">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072E8B">
              <w:rPr>
                <w:b/>
                <w:color w:val="000000"/>
              </w:rPr>
              <w:t>/Reports</w:t>
            </w:r>
            <w:r w:rsidR="00367D01">
              <w:rPr>
                <w:b/>
                <w:color w:val="000000"/>
              </w:rPr>
              <w:t xml:space="preserve"> </w:t>
            </w:r>
          </w:p>
        </w:tc>
      </w:tr>
      <w:tr w:rsidR="00072E8B" w:rsidTr="00D56CAA">
        <w:trPr>
          <w:jc w:val="center"/>
        </w:trPr>
        <w:tc>
          <w:tcPr>
            <w:tcW w:w="6570" w:type="dxa"/>
            <w:tcBorders>
              <w:top w:val="single" w:sz="7" w:space="0" w:color="000000"/>
              <w:left w:val="single" w:sz="7" w:space="0" w:color="000000"/>
              <w:bottom w:val="single" w:sz="7" w:space="0" w:color="000000"/>
              <w:right w:val="single" w:sz="7" w:space="0" w:color="000000"/>
            </w:tcBorders>
          </w:tcPr>
          <w:p w:rsidR="00072E8B" w:rsidRDefault="00072E8B" w:rsidP="00E064CB">
            <w:pPr>
              <w:pBdr>
                <w:top w:val="single" w:sz="6" w:space="0" w:color="FFFFFF"/>
                <w:left w:val="single" w:sz="6" w:space="0" w:color="FFFFFF"/>
                <w:bottom w:val="single" w:sz="6" w:space="0" w:color="FFFFFF"/>
                <w:right w:val="single" w:sz="6" w:space="0" w:color="FFFFFF"/>
              </w:pBdr>
              <w:spacing w:after="58"/>
              <w:rPr>
                <w:color w:val="000000"/>
              </w:rPr>
            </w:pPr>
            <w:r>
              <w:t>Initial design capacity report.</w:t>
            </w:r>
            <w:r w:rsidR="00E064CB" w:rsidRPr="00E064CB">
              <w:rPr>
                <w:vertAlign w:val="superscript"/>
              </w:rPr>
              <w:t>1</w:t>
            </w:r>
          </w:p>
        </w:tc>
        <w:tc>
          <w:tcPr>
            <w:tcW w:w="2790" w:type="dxa"/>
            <w:tcBorders>
              <w:top w:val="single" w:sz="7" w:space="0" w:color="000000"/>
              <w:left w:val="single" w:sz="7" w:space="0" w:color="000000"/>
              <w:bottom w:val="single" w:sz="7" w:space="0" w:color="000000"/>
              <w:right w:val="single" w:sz="7" w:space="0" w:color="000000"/>
            </w:tcBorders>
          </w:tcPr>
          <w:p w:rsidR="00072E8B" w:rsidRDefault="00072E8B" w:rsidP="00A85BFC">
            <w:r>
              <w:t>60.33c(d)</w:t>
            </w:r>
            <w:r w:rsidR="00D56CAA">
              <w:t xml:space="preserve">, </w:t>
            </w:r>
            <w:r w:rsidRPr="00D8469E">
              <w:t>60.757(a)</w:t>
            </w:r>
          </w:p>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t>62.14355(a)(1)</w:t>
            </w:r>
          </w:p>
        </w:tc>
      </w:tr>
      <w:tr w:rsidR="00072E8B" w:rsidTr="00D56CAA">
        <w:trPr>
          <w:jc w:val="center"/>
        </w:trPr>
        <w:tc>
          <w:tcPr>
            <w:tcW w:w="6570" w:type="dxa"/>
            <w:tcBorders>
              <w:top w:val="single" w:sz="7" w:space="0" w:color="000000"/>
              <w:left w:val="single" w:sz="7" w:space="0" w:color="000000"/>
              <w:bottom w:val="single" w:sz="7" w:space="0" w:color="000000"/>
              <w:right w:val="single" w:sz="7" w:space="0" w:color="000000"/>
            </w:tcBorders>
          </w:tcPr>
          <w:p w:rsidR="00072E8B" w:rsidRDefault="00072E8B" w:rsidP="00BD0DED">
            <w:pPr>
              <w:pBdr>
                <w:top w:val="single" w:sz="6" w:space="0" w:color="FFFFFF"/>
                <w:left w:val="single" w:sz="6" w:space="0" w:color="FFFFFF"/>
                <w:bottom w:val="single" w:sz="6" w:space="0" w:color="FFFFFF"/>
                <w:right w:val="single" w:sz="6" w:space="0" w:color="FFFFFF"/>
              </w:pBdr>
              <w:spacing w:after="58"/>
              <w:rPr>
                <w:color w:val="000000"/>
              </w:rPr>
            </w:pPr>
            <w:r>
              <w:t>Initial and annual NMOC</w:t>
            </w:r>
            <w:r w:rsidR="00BD0DED">
              <w:t xml:space="preserve"> e</w:t>
            </w:r>
            <w:r>
              <w:t>mission rate reports.</w:t>
            </w:r>
            <w:r w:rsidR="00E064CB" w:rsidRPr="00E064CB">
              <w:rPr>
                <w:vertAlign w:val="superscript"/>
              </w:rPr>
              <w:t>1</w:t>
            </w:r>
          </w:p>
        </w:tc>
        <w:tc>
          <w:tcPr>
            <w:tcW w:w="2790" w:type="dxa"/>
            <w:tcBorders>
              <w:top w:val="single" w:sz="7" w:space="0" w:color="000000"/>
              <w:left w:val="single" w:sz="7" w:space="0" w:color="000000"/>
              <w:bottom w:val="single" w:sz="7" w:space="0" w:color="000000"/>
              <w:right w:val="single" w:sz="7" w:space="0" w:color="000000"/>
            </w:tcBorders>
          </w:tcPr>
          <w:p w:rsidR="00072E8B" w:rsidRDefault="00072E8B" w:rsidP="00A85BFC">
            <w:r>
              <w:t>60.33c(e)(1)(i)</w:t>
            </w:r>
            <w:r w:rsidR="00D56CAA">
              <w:t xml:space="preserve">, </w:t>
            </w:r>
            <w:r>
              <w:t>60.757(b)</w:t>
            </w:r>
          </w:p>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t>62.14355(a)(2)</w:t>
            </w:r>
          </w:p>
        </w:tc>
      </w:tr>
      <w:tr w:rsidR="00072E8B" w:rsidTr="00D56CAA">
        <w:trPr>
          <w:jc w:val="center"/>
        </w:trPr>
        <w:tc>
          <w:tcPr>
            <w:tcW w:w="6570" w:type="dxa"/>
            <w:tcBorders>
              <w:top w:val="single" w:sz="7" w:space="0" w:color="000000"/>
              <w:left w:val="single" w:sz="7" w:space="0" w:color="000000"/>
              <w:bottom w:val="single" w:sz="7" w:space="0" w:color="000000"/>
              <w:right w:val="single" w:sz="7" w:space="0" w:color="000000"/>
            </w:tcBorders>
          </w:tcPr>
          <w:p w:rsidR="00072E8B" w:rsidRDefault="00072E8B" w:rsidP="00E064CB">
            <w:pPr>
              <w:pBdr>
                <w:top w:val="single" w:sz="6" w:space="0" w:color="FFFFFF"/>
                <w:left w:val="single" w:sz="6" w:space="0" w:color="FFFFFF"/>
                <w:bottom w:val="single" w:sz="6" w:space="0" w:color="FFFFFF"/>
                <w:right w:val="single" w:sz="6" w:space="0" w:color="FFFFFF"/>
              </w:pBdr>
              <w:spacing w:after="58"/>
              <w:rPr>
                <w:color w:val="000000"/>
              </w:rPr>
            </w:pPr>
            <w:r>
              <w:t>Collection and control system design plan.</w:t>
            </w:r>
            <w:r w:rsidR="00E064CB" w:rsidRPr="00E064CB">
              <w:rPr>
                <w:vertAlign w:val="superscript"/>
              </w:rPr>
              <w:t>1</w:t>
            </w:r>
          </w:p>
        </w:tc>
        <w:tc>
          <w:tcPr>
            <w:tcW w:w="2790" w:type="dxa"/>
            <w:tcBorders>
              <w:top w:val="single" w:sz="7" w:space="0" w:color="000000"/>
              <w:left w:val="single" w:sz="7" w:space="0" w:color="000000"/>
              <w:bottom w:val="single" w:sz="7" w:space="0" w:color="000000"/>
              <w:right w:val="single" w:sz="7" w:space="0" w:color="000000"/>
            </w:tcBorders>
          </w:tcPr>
          <w:p w:rsidR="00072E8B" w:rsidRPr="00D56CAA" w:rsidRDefault="00072E8B" w:rsidP="00D56CAA">
            <w:r>
              <w:t>60.757(c</w:t>
            </w:r>
            <w:r w:rsidRPr="00D8469E">
              <w:t>)</w:t>
            </w:r>
            <w:r w:rsidR="00D56CAA">
              <w:t xml:space="preserve">, </w:t>
            </w:r>
            <w:r>
              <w:t>62.14355</w:t>
            </w:r>
            <w:r w:rsidRPr="00D8469E">
              <w:t xml:space="preserve"> </w:t>
            </w:r>
          </w:p>
        </w:tc>
      </w:tr>
      <w:tr w:rsidR="00072E8B" w:rsidTr="00D56CAA">
        <w:trPr>
          <w:jc w:val="center"/>
        </w:trPr>
        <w:tc>
          <w:tcPr>
            <w:tcW w:w="6570" w:type="dxa"/>
            <w:tcBorders>
              <w:top w:val="single" w:sz="7" w:space="0" w:color="000000"/>
              <w:left w:val="single" w:sz="7" w:space="0" w:color="000000"/>
              <w:bottom w:val="single" w:sz="7" w:space="0" w:color="000000"/>
              <w:right w:val="single" w:sz="7" w:space="0" w:color="000000"/>
            </w:tcBorders>
          </w:tcPr>
          <w:p w:rsidR="00072E8B" w:rsidRDefault="00CC7DA0" w:rsidP="00CC7DA0">
            <w:pPr>
              <w:pBdr>
                <w:top w:val="single" w:sz="6" w:space="0" w:color="FFFFFF"/>
                <w:left w:val="single" w:sz="6" w:space="0" w:color="FFFFFF"/>
                <w:bottom w:val="single" w:sz="6" w:space="0" w:color="FFFFFF"/>
                <w:right w:val="single" w:sz="6" w:space="0" w:color="FFFFFF"/>
              </w:pBdr>
              <w:spacing w:after="58"/>
              <w:rPr>
                <w:color w:val="000000"/>
              </w:rPr>
            </w:pPr>
            <w:r>
              <w:t>I</w:t>
            </w:r>
            <w:r w:rsidR="00072E8B">
              <w:t>ncrements of progress</w:t>
            </w:r>
            <w:r>
              <w:t xml:space="preserve"> report</w:t>
            </w:r>
            <w:r w:rsidR="00072E8B">
              <w:t>.</w:t>
            </w:r>
            <w:r w:rsidR="00E064CB">
              <w:rPr>
                <w:vertAlign w:val="superscript"/>
              </w:rPr>
              <w:t>1</w:t>
            </w:r>
          </w:p>
        </w:tc>
        <w:tc>
          <w:tcPr>
            <w:tcW w:w="2790" w:type="dxa"/>
            <w:tcBorders>
              <w:top w:val="single" w:sz="7" w:space="0" w:color="000000"/>
              <w:left w:val="single" w:sz="7" w:space="0" w:color="000000"/>
              <w:bottom w:val="single" w:sz="7" w:space="0" w:color="000000"/>
              <w:right w:val="single" w:sz="7" w:space="0" w:color="000000"/>
            </w:tcBorders>
          </w:tcPr>
          <w:p w:rsidR="00072E8B" w:rsidRDefault="00072E8B" w:rsidP="00D56CAA">
            <w:pPr>
              <w:pBdr>
                <w:top w:val="single" w:sz="6" w:space="0" w:color="FFFFFF"/>
                <w:left w:val="single" w:sz="6" w:space="0" w:color="FFFFFF"/>
                <w:bottom w:val="single" w:sz="6" w:space="0" w:color="FFFFFF"/>
                <w:right w:val="single" w:sz="6" w:space="0" w:color="FFFFFF"/>
              </w:pBdr>
              <w:spacing w:after="58"/>
              <w:rPr>
                <w:color w:val="000000"/>
              </w:rPr>
            </w:pPr>
            <w:r>
              <w:t>62.14355(b</w:t>
            </w:r>
            <w:r w:rsidR="00D56CAA">
              <w:t>-c</w:t>
            </w:r>
            <w:r>
              <w:t>)</w:t>
            </w:r>
          </w:p>
        </w:tc>
      </w:tr>
      <w:tr w:rsidR="00072E8B" w:rsidTr="00D56CAA">
        <w:trPr>
          <w:jc w:val="center"/>
        </w:trPr>
        <w:tc>
          <w:tcPr>
            <w:tcW w:w="6570" w:type="dxa"/>
            <w:tcBorders>
              <w:top w:val="single" w:sz="7" w:space="0" w:color="000000"/>
              <w:left w:val="single" w:sz="7" w:space="0" w:color="000000"/>
              <w:bottom w:val="single" w:sz="7" w:space="0" w:color="000000"/>
              <w:right w:val="single" w:sz="7" w:space="0" w:color="000000"/>
            </w:tcBorders>
          </w:tcPr>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t>Annual compliance report</w:t>
            </w:r>
          </w:p>
        </w:tc>
        <w:tc>
          <w:tcPr>
            <w:tcW w:w="2790" w:type="dxa"/>
            <w:tcBorders>
              <w:top w:val="single" w:sz="7" w:space="0" w:color="000000"/>
              <w:left w:val="single" w:sz="7" w:space="0" w:color="000000"/>
              <w:bottom w:val="single" w:sz="7" w:space="0" w:color="000000"/>
              <w:right w:val="single" w:sz="7" w:space="0" w:color="000000"/>
            </w:tcBorders>
          </w:tcPr>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rsidRPr="00D8469E">
              <w:t>60.757(f)</w:t>
            </w:r>
          </w:p>
        </w:tc>
      </w:tr>
      <w:tr w:rsidR="00072E8B" w:rsidTr="00D56CAA">
        <w:trPr>
          <w:jc w:val="center"/>
        </w:trPr>
        <w:tc>
          <w:tcPr>
            <w:tcW w:w="6570" w:type="dxa"/>
            <w:tcBorders>
              <w:top w:val="single" w:sz="7" w:space="0" w:color="000000"/>
              <w:left w:val="single" w:sz="7" w:space="0" w:color="000000"/>
              <w:bottom w:val="single" w:sz="7" w:space="0" w:color="000000"/>
              <w:right w:val="single" w:sz="7" w:space="0" w:color="000000"/>
            </w:tcBorders>
          </w:tcPr>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t>Landfill closure report</w:t>
            </w:r>
          </w:p>
        </w:tc>
        <w:tc>
          <w:tcPr>
            <w:tcW w:w="2790" w:type="dxa"/>
            <w:tcBorders>
              <w:top w:val="single" w:sz="7" w:space="0" w:color="000000"/>
              <w:left w:val="single" w:sz="7" w:space="0" w:color="000000"/>
              <w:bottom w:val="single" w:sz="7" w:space="0" w:color="000000"/>
              <w:right w:val="single" w:sz="7" w:space="0" w:color="000000"/>
            </w:tcBorders>
          </w:tcPr>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rsidRPr="00D8469E">
              <w:t>60.757(d)</w:t>
            </w:r>
          </w:p>
        </w:tc>
      </w:tr>
      <w:tr w:rsidR="00072E8B" w:rsidTr="00D56CAA">
        <w:trPr>
          <w:jc w:val="center"/>
        </w:trPr>
        <w:tc>
          <w:tcPr>
            <w:tcW w:w="6570" w:type="dxa"/>
            <w:tcBorders>
              <w:top w:val="single" w:sz="7" w:space="0" w:color="000000"/>
              <w:left w:val="single" w:sz="7" w:space="0" w:color="000000"/>
              <w:bottom w:val="single" w:sz="7" w:space="0" w:color="000000"/>
              <w:right w:val="single" w:sz="7" w:space="0" w:color="000000"/>
            </w:tcBorders>
          </w:tcPr>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t>Equipment removal report</w:t>
            </w:r>
          </w:p>
        </w:tc>
        <w:tc>
          <w:tcPr>
            <w:tcW w:w="2790" w:type="dxa"/>
            <w:tcBorders>
              <w:top w:val="single" w:sz="7" w:space="0" w:color="000000"/>
              <w:left w:val="single" w:sz="7" w:space="0" w:color="000000"/>
              <w:bottom w:val="single" w:sz="7" w:space="0" w:color="000000"/>
              <w:right w:val="single" w:sz="7" w:space="0" w:color="000000"/>
            </w:tcBorders>
          </w:tcPr>
          <w:p w:rsidR="00072E8B" w:rsidRDefault="00072E8B">
            <w:pPr>
              <w:pBdr>
                <w:top w:val="single" w:sz="6" w:space="0" w:color="FFFFFF"/>
                <w:left w:val="single" w:sz="6" w:space="0" w:color="FFFFFF"/>
                <w:bottom w:val="single" w:sz="6" w:space="0" w:color="FFFFFF"/>
                <w:right w:val="single" w:sz="6" w:space="0" w:color="FFFFFF"/>
              </w:pBdr>
              <w:spacing w:after="58"/>
              <w:rPr>
                <w:color w:val="000000"/>
              </w:rPr>
            </w:pPr>
            <w:r w:rsidRPr="00D8469E">
              <w:t>60.757(e)</w:t>
            </w:r>
          </w:p>
        </w:tc>
      </w:tr>
    </w:tbl>
    <w:p w:rsidR="003B7A5E" w:rsidRPr="000F6EEB" w:rsidRDefault="00E064CB" w:rsidP="000F6EEB">
      <w:pPr>
        <w:pBdr>
          <w:top w:val="single" w:sz="6" w:space="0" w:color="FFFFFF"/>
          <w:left w:val="single" w:sz="6" w:space="0" w:color="FFFFFF"/>
          <w:bottom w:val="single" w:sz="6" w:space="0" w:color="FFFFFF"/>
          <w:right w:val="single" w:sz="6" w:space="0" w:color="FFFFFF"/>
        </w:pBdr>
        <w:ind w:left="90" w:hanging="90"/>
        <w:rPr>
          <w:color w:val="000000"/>
          <w:sz w:val="16"/>
          <w:szCs w:val="16"/>
        </w:rPr>
      </w:pPr>
      <w:r w:rsidRPr="00E064CB">
        <w:rPr>
          <w:color w:val="000000"/>
          <w:sz w:val="20"/>
          <w:szCs w:val="20"/>
          <w:vertAlign w:val="superscript"/>
        </w:rPr>
        <w:t>1</w:t>
      </w:r>
      <w:r w:rsidRPr="00E064CB">
        <w:rPr>
          <w:color w:val="000000"/>
          <w:sz w:val="20"/>
          <w:szCs w:val="20"/>
        </w:rPr>
        <w:t xml:space="preserve"> </w:t>
      </w:r>
      <w:r w:rsidRPr="000F6EEB">
        <w:rPr>
          <w:color w:val="000000"/>
          <w:sz w:val="16"/>
          <w:szCs w:val="16"/>
        </w:rPr>
        <w:t xml:space="preserve">Because landfills have been subject to the emission guidelines for several years, </w:t>
      </w:r>
      <w:r w:rsidR="00BE148B" w:rsidRPr="000F6EEB">
        <w:rPr>
          <w:color w:val="000000"/>
          <w:sz w:val="16"/>
          <w:szCs w:val="16"/>
        </w:rPr>
        <w:t xml:space="preserve">they </w:t>
      </w:r>
      <w:r w:rsidRPr="000F6EEB">
        <w:rPr>
          <w:color w:val="000000"/>
          <w:sz w:val="16"/>
          <w:szCs w:val="16"/>
        </w:rPr>
        <w:t>have already completed initial notifications and submitted design plans. Since subpart Cc only applies to existing sources</w:t>
      </w:r>
      <w:r w:rsidR="00AC5895" w:rsidRPr="000F6EEB">
        <w:rPr>
          <w:color w:val="000000"/>
          <w:sz w:val="16"/>
          <w:szCs w:val="16"/>
        </w:rPr>
        <w:t>,</w:t>
      </w:r>
      <w:r w:rsidRPr="000F6EEB">
        <w:rPr>
          <w:color w:val="000000"/>
          <w:sz w:val="16"/>
          <w:szCs w:val="16"/>
        </w:rPr>
        <w:t xml:space="preserve"> and no </w:t>
      </w:r>
      <w:r w:rsidR="00AC5895" w:rsidRPr="000F6EEB">
        <w:rPr>
          <w:color w:val="000000"/>
          <w:sz w:val="16"/>
          <w:szCs w:val="16"/>
        </w:rPr>
        <w:t xml:space="preserve">additional </w:t>
      </w:r>
      <w:r w:rsidRPr="000F6EEB">
        <w:rPr>
          <w:color w:val="000000"/>
          <w:sz w:val="16"/>
          <w:szCs w:val="16"/>
        </w:rPr>
        <w:t>sources are expected, only routine reporting</w:t>
      </w:r>
      <w:r w:rsidR="002A10AD" w:rsidRPr="000F6EEB">
        <w:rPr>
          <w:color w:val="000000"/>
          <w:sz w:val="16"/>
          <w:szCs w:val="16"/>
        </w:rPr>
        <w:t>,</w:t>
      </w:r>
      <w:r w:rsidRPr="000F6EEB">
        <w:rPr>
          <w:color w:val="000000"/>
          <w:sz w:val="16"/>
          <w:szCs w:val="16"/>
        </w:rPr>
        <w:t xml:space="preserve"> and recordkeeping requirements currently apply.</w:t>
      </w:r>
    </w:p>
    <w:p w:rsidR="000F6EEB" w:rsidRDefault="000F6EEB" w:rsidP="000F6EEB">
      <w:pPr>
        <w:pBdr>
          <w:top w:val="single" w:sz="6" w:space="0" w:color="FFFFFF"/>
          <w:left w:val="single" w:sz="6" w:space="0" w:color="FFFFFF"/>
          <w:bottom w:val="single" w:sz="6" w:space="0" w:color="FFFFFF"/>
          <w:right w:val="single" w:sz="6" w:space="0" w:color="FFFFFF"/>
        </w:pBdr>
        <w:ind w:left="90" w:hanging="90"/>
        <w:rPr>
          <w:color w:val="000000"/>
          <w:sz w:val="20"/>
          <w:szCs w:val="20"/>
        </w:rPr>
      </w:pPr>
    </w:p>
    <w:p w:rsidR="00D60407" w:rsidRDefault="00D60407" w:rsidP="000F6EEB">
      <w:pPr>
        <w:pBdr>
          <w:top w:val="single" w:sz="6" w:space="0" w:color="FFFFFF"/>
          <w:left w:val="single" w:sz="6" w:space="0" w:color="FFFFFF"/>
          <w:bottom w:val="single" w:sz="6" w:space="0" w:color="FFFFFF"/>
          <w:right w:val="single" w:sz="6" w:space="0" w:color="FFFFFF"/>
        </w:pBdr>
        <w:ind w:left="90" w:hanging="90"/>
        <w:rPr>
          <w:color w:val="000000"/>
        </w:rPr>
      </w:pPr>
    </w:p>
    <w:p w:rsidR="00D066CD" w:rsidRDefault="00D066CD" w:rsidP="000F6EEB">
      <w:pPr>
        <w:pBdr>
          <w:top w:val="single" w:sz="6" w:space="0" w:color="FFFFFF"/>
          <w:left w:val="single" w:sz="6" w:space="0" w:color="FFFFFF"/>
          <w:bottom w:val="single" w:sz="6" w:space="0" w:color="FFFFFF"/>
          <w:right w:val="single" w:sz="6" w:space="0" w:color="FFFFFF"/>
        </w:pBdr>
        <w:ind w:left="90" w:hanging="90"/>
        <w:rPr>
          <w:color w:val="000000"/>
        </w:rPr>
      </w:pPr>
    </w:p>
    <w:p w:rsidR="00D066CD" w:rsidRDefault="00D066CD" w:rsidP="000F6EEB">
      <w:pPr>
        <w:pBdr>
          <w:top w:val="single" w:sz="6" w:space="0" w:color="FFFFFF"/>
          <w:left w:val="single" w:sz="6" w:space="0" w:color="FFFFFF"/>
          <w:bottom w:val="single" w:sz="6" w:space="0" w:color="FFFFFF"/>
          <w:right w:val="single" w:sz="6" w:space="0" w:color="FFFFFF"/>
        </w:pBdr>
        <w:ind w:left="90" w:hanging="90"/>
        <w:rPr>
          <w:color w:val="000000"/>
        </w:rPr>
      </w:pPr>
    </w:p>
    <w:p w:rsidR="00D066CD" w:rsidRDefault="00D066CD" w:rsidP="000F6EEB">
      <w:pPr>
        <w:pBdr>
          <w:top w:val="single" w:sz="6" w:space="0" w:color="FFFFFF"/>
          <w:left w:val="single" w:sz="6" w:space="0" w:color="FFFFFF"/>
          <w:bottom w:val="single" w:sz="6" w:space="0" w:color="FFFFFF"/>
          <w:right w:val="single" w:sz="6" w:space="0" w:color="FFFFFF"/>
        </w:pBdr>
        <w:ind w:left="90" w:hanging="90"/>
        <w:rPr>
          <w:color w:val="000000"/>
        </w:rPr>
      </w:pPr>
    </w:p>
    <w:p w:rsidR="00D066CD" w:rsidRDefault="00D066CD" w:rsidP="000F6EEB">
      <w:pPr>
        <w:pBdr>
          <w:top w:val="single" w:sz="6" w:space="0" w:color="FFFFFF"/>
          <w:left w:val="single" w:sz="6" w:space="0" w:color="FFFFFF"/>
          <w:bottom w:val="single" w:sz="6" w:space="0" w:color="FFFFFF"/>
          <w:right w:val="single" w:sz="6" w:space="0" w:color="FFFFFF"/>
        </w:pBdr>
        <w:ind w:left="90" w:hanging="90"/>
        <w:rPr>
          <w:color w:val="000000"/>
        </w:rPr>
      </w:pPr>
    </w:p>
    <w:p w:rsidR="00D066CD" w:rsidRDefault="00D066CD" w:rsidP="000F6EEB">
      <w:pPr>
        <w:pBdr>
          <w:top w:val="single" w:sz="6" w:space="0" w:color="FFFFFF"/>
          <w:left w:val="single" w:sz="6" w:space="0" w:color="FFFFFF"/>
          <w:bottom w:val="single" w:sz="6" w:space="0" w:color="FFFFFF"/>
          <w:right w:val="single" w:sz="6" w:space="0" w:color="FFFFFF"/>
        </w:pBdr>
        <w:ind w:left="90" w:hanging="90"/>
        <w:rPr>
          <w:color w:val="000000"/>
        </w:rPr>
      </w:pPr>
    </w:p>
    <w:p w:rsidR="000F6EEB" w:rsidRDefault="000F6EEB" w:rsidP="000F6EEB">
      <w:pPr>
        <w:pBdr>
          <w:top w:val="single" w:sz="6" w:space="0" w:color="FFFFFF"/>
          <w:left w:val="single" w:sz="6" w:space="0" w:color="FFFFFF"/>
          <w:bottom w:val="single" w:sz="6" w:space="0" w:color="FFFFFF"/>
          <w:right w:val="single" w:sz="6" w:space="0" w:color="FFFFFF"/>
        </w:pBdr>
        <w:ind w:left="90" w:hanging="90"/>
        <w:rPr>
          <w:color w:val="000000"/>
        </w:rPr>
      </w:pPr>
      <w:r w:rsidRPr="000F6EEB">
        <w:rPr>
          <w:color w:val="000000"/>
        </w:rPr>
        <w:lastRenderedPageBreak/>
        <w:t>A source must keep the following records:</w:t>
      </w:r>
    </w:p>
    <w:p w:rsidR="00D60407" w:rsidRDefault="00D60407" w:rsidP="00367D01">
      <w:pPr>
        <w:keepNext/>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570"/>
        <w:gridCol w:w="2790"/>
      </w:tblGrid>
      <w:tr w:rsidR="00A73600" w:rsidTr="005D1B5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rsidP="00367D01">
            <w:pPr>
              <w:keepNext/>
              <w:spacing w:line="120" w:lineRule="exact"/>
              <w:rPr>
                <w:color w:val="000000"/>
              </w:rPr>
            </w:pPr>
          </w:p>
          <w:p w:rsidR="00CA4CD6" w:rsidRPr="006E4A6E" w:rsidRDefault="00CA4CD6" w:rsidP="000B3160">
            <w:pPr>
              <w:keepNext/>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r w:rsidR="00367D01">
              <w:rPr>
                <w:b/>
                <w:color w:val="000000"/>
              </w:rPr>
              <w:t xml:space="preserve"> </w:t>
            </w:r>
          </w:p>
        </w:tc>
      </w:tr>
      <w:tr w:rsidR="005D1B56" w:rsidTr="007D2873">
        <w:trPr>
          <w:jc w:val="center"/>
        </w:trPr>
        <w:tc>
          <w:tcPr>
            <w:tcW w:w="6570" w:type="dxa"/>
            <w:tcBorders>
              <w:top w:val="single" w:sz="7" w:space="0" w:color="000000"/>
              <w:left w:val="single" w:sz="7" w:space="0" w:color="000000"/>
              <w:bottom w:val="single" w:sz="7" w:space="0" w:color="000000"/>
              <w:right w:val="single" w:sz="7" w:space="0" w:color="000000"/>
            </w:tcBorders>
          </w:tcPr>
          <w:p w:rsidR="005D1B56" w:rsidRDefault="005D1B56" w:rsidP="00CC7DA0">
            <w:pPr>
              <w:pBdr>
                <w:top w:val="single" w:sz="6" w:space="0" w:color="FFFFFF"/>
                <w:left w:val="single" w:sz="6" w:space="0" w:color="FFFFFF"/>
                <w:bottom w:val="single" w:sz="6" w:space="0" w:color="FFFFFF"/>
                <w:right w:val="single" w:sz="6" w:space="0" w:color="FFFFFF"/>
              </w:pBdr>
              <w:spacing w:after="58"/>
              <w:rPr>
                <w:color w:val="000000"/>
              </w:rPr>
            </w:pPr>
            <w:r>
              <w:t xml:space="preserve">Records of control system monitoring (maintain </w:t>
            </w:r>
            <w:r w:rsidR="00CC7DA0">
              <w:t>for five</w:t>
            </w:r>
            <w:r>
              <w:t xml:space="preserve"> years)</w:t>
            </w:r>
          </w:p>
        </w:tc>
        <w:tc>
          <w:tcPr>
            <w:tcW w:w="2790" w:type="dxa"/>
            <w:tcBorders>
              <w:top w:val="single" w:sz="7" w:space="0" w:color="000000"/>
              <w:left w:val="single" w:sz="7" w:space="0" w:color="000000"/>
              <w:bottom w:val="single" w:sz="7" w:space="0" w:color="000000"/>
              <w:right w:val="single" w:sz="7" w:space="0" w:color="000000"/>
            </w:tcBorders>
          </w:tcPr>
          <w:p w:rsidR="005D1B56" w:rsidRDefault="005D1B56">
            <w:pPr>
              <w:pBdr>
                <w:top w:val="single" w:sz="6" w:space="0" w:color="FFFFFF"/>
                <w:left w:val="single" w:sz="6" w:space="0" w:color="FFFFFF"/>
                <w:bottom w:val="single" w:sz="6" w:space="0" w:color="FFFFFF"/>
                <w:right w:val="single" w:sz="6" w:space="0" w:color="FFFFFF"/>
              </w:pBdr>
              <w:spacing w:after="58"/>
              <w:rPr>
                <w:color w:val="000000"/>
              </w:rPr>
            </w:pPr>
            <w:r w:rsidRPr="00D8469E">
              <w:t>60.758</w:t>
            </w:r>
            <w:r>
              <w:t>(b)</w:t>
            </w:r>
          </w:p>
        </w:tc>
      </w:tr>
      <w:tr w:rsidR="005D1B56" w:rsidTr="007D2873">
        <w:trPr>
          <w:jc w:val="center"/>
        </w:trPr>
        <w:tc>
          <w:tcPr>
            <w:tcW w:w="6570" w:type="dxa"/>
            <w:tcBorders>
              <w:top w:val="single" w:sz="7" w:space="0" w:color="000000"/>
              <w:left w:val="single" w:sz="7" w:space="0" w:color="000000"/>
              <w:bottom w:val="single" w:sz="7" w:space="0" w:color="000000"/>
              <w:right w:val="single" w:sz="7" w:space="0" w:color="000000"/>
            </w:tcBorders>
          </w:tcPr>
          <w:p w:rsidR="005D1B56" w:rsidRDefault="005D1B56" w:rsidP="00CC7DA0">
            <w:pPr>
              <w:pBdr>
                <w:top w:val="single" w:sz="6" w:space="0" w:color="FFFFFF"/>
                <w:left w:val="single" w:sz="6" w:space="0" w:color="FFFFFF"/>
                <w:bottom w:val="single" w:sz="6" w:space="0" w:color="FFFFFF"/>
                <w:right w:val="single" w:sz="6" w:space="0" w:color="FFFFFF"/>
              </w:pBdr>
              <w:spacing w:after="58"/>
              <w:rPr>
                <w:color w:val="000000"/>
              </w:rPr>
            </w:pPr>
            <w:r>
              <w:t>Records of maximum design capacity, refuse-in-place, year-by-year waste acceptance (maintain</w:t>
            </w:r>
            <w:r w:rsidR="00CC7DA0">
              <w:t xml:space="preserve"> for</w:t>
            </w:r>
            <w:r>
              <w:t xml:space="preserve"> </w:t>
            </w:r>
            <w:r w:rsidR="00CC7DA0">
              <w:t>five</w:t>
            </w:r>
            <w:r>
              <w:t xml:space="preserve"> years)</w:t>
            </w:r>
          </w:p>
        </w:tc>
        <w:tc>
          <w:tcPr>
            <w:tcW w:w="2790" w:type="dxa"/>
            <w:tcBorders>
              <w:top w:val="single" w:sz="7" w:space="0" w:color="000000"/>
              <w:left w:val="single" w:sz="7" w:space="0" w:color="000000"/>
              <w:bottom w:val="single" w:sz="7" w:space="0" w:color="000000"/>
              <w:right w:val="single" w:sz="7" w:space="0" w:color="000000"/>
            </w:tcBorders>
          </w:tcPr>
          <w:p w:rsidR="005D1B56" w:rsidRDefault="005D1B56">
            <w:pPr>
              <w:pBdr>
                <w:top w:val="single" w:sz="6" w:space="0" w:color="FFFFFF"/>
                <w:left w:val="single" w:sz="6" w:space="0" w:color="FFFFFF"/>
                <w:bottom w:val="single" w:sz="6" w:space="0" w:color="FFFFFF"/>
                <w:right w:val="single" w:sz="6" w:space="0" w:color="FFFFFF"/>
              </w:pBdr>
              <w:spacing w:after="58"/>
              <w:rPr>
                <w:color w:val="000000"/>
              </w:rPr>
            </w:pPr>
            <w:r w:rsidRPr="00D8469E">
              <w:t>60.758</w:t>
            </w:r>
            <w:r>
              <w:t>(a)</w:t>
            </w:r>
          </w:p>
        </w:tc>
      </w:tr>
      <w:tr w:rsidR="005D1B56" w:rsidTr="007D2873">
        <w:trPr>
          <w:jc w:val="center"/>
        </w:trPr>
        <w:tc>
          <w:tcPr>
            <w:tcW w:w="6570" w:type="dxa"/>
            <w:tcBorders>
              <w:top w:val="single" w:sz="7" w:space="0" w:color="000000"/>
              <w:left w:val="single" w:sz="7" w:space="0" w:color="000000"/>
              <w:bottom w:val="single" w:sz="7" w:space="0" w:color="000000"/>
              <w:right w:val="single" w:sz="7" w:space="0" w:color="000000"/>
            </w:tcBorders>
          </w:tcPr>
          <w:p w:rsidR="005D1B56" w:rsidRDefault="005D1B56" w:rsidP="00CC7DA0">
            <w:pPr>
              <w:pBdr>
                <w:top w:val="single" w:sz="6" w:space="0" w:color="FFFFFF"/>
                <w:left w:val="single" w:sz="6" w:space="0" w:color="FFFFFF"/>
                <w:bottom w:val="single" w:sz="6" w:space="0" w:color="FFFFFF"/>
                <w:right w:val="single" w:sz="6" w:space="0" w:color="FFFFFF"/>
              </w:pBdr>
              <w:spacing w:after="58"/>
              <w:rPr>
                <w:color w:val="000000"/>
              </w:rPr>
            </w:pPr>
            <w:r>
              <w:t xml:space="preserve">Records of system design and initial performance test/compliance determination (maintain </w:t>
            </w:r>
            <w:r w:rsidR="00CC7DA0">
              <w:t>for five</w:t>
            </w:r>
            <w:r>
              <w:t xml:space="preserve"> years)</w:t>
            </w:r>
          </w:p>
        </w:tc>
        <w:tc>
          <w:tcPr>
            <w:tcW w:w="2790" w:type="dxa"/>
            <w:tcBorders>
              <w:top w:val="single" w:sz="7" w:space="0" w:color="000000"/>
              <w:left w:val="single" w:sz="7" w:space="0" w:color="000000"/>
              <w:bottom w:val="single" w:sz="7" w:space="0" w:color="000000"/>
              <w:right w:val="single" w:sz="7" w:space="0" w:color="000000"/>
            </w:tcBorders>
          </w:tcPr>
          <w:p w:rsidR="005D1B56" w:rsidRDefault="005D1B56">
            <w:pPr>
              <w:pBdr>
                <w:top w:val="single" w:sz="6" w:space="0" w:color="FFFFFF"/>
                <w:left w:val="single" w:sz="6" w:space="0" w:color="FFFFFF"/>
                <w:bottom w:val="single" w:sz="6" w:space="0" w:color="FFFFFF"/>
                <w:right w:val="single" w:sz="6" w:space="0" w:color="FFFFFF"/>
              </w:pBdr>
              <w:spacing w:after="58"/>
              <w:rPr>
                <w:color w:val="000000"/>
              </w:rPr>
            </w:pPr>
            <w:r w:rsidRPr="00D8469E">
              <w:t>60.758</w:t>
            </w:r>
            <w:r>
              <w:t>(b)</w:t>
            </w:r>
          </w:p>
        </w:tc>
      </w:tr>
      <w:tr w:rsidR="005D1B56" w:rsidTr="007D2873">
        <w:trPr>
          <w:jc w:val="center"/>
        </w:trPr>
        <w:tc>
          <w:tcPr>
            <w:tcW w:w="6570" w:type="dxa"/>
            <w:tcBorders>
              <w:top w:val="single" w:sz="7" w:space="0" w:color="000000"/>
              <w:left w:val="single" w:sz="7" w:space="0" w:color="000000"/>
              <w:bottom w:val="single" w:sz="7" w:space="0" w:color="000000"/>
              <w:right w:val="single" w:sz="7" w:space="0" w:color="000000"/>
            </w:tcBorders>
          </w:tcPr>
          <w:p w:rsidR="005D1B56" w:rsidRDefault="005D1B56">
            <w:pPr>
              <w:pBdr>
                <w:top w:val="single" w:sz="6" w:space="0" w:color="FFFFFF"/>
                <w:left w:val="single" w:sz="6" w:space="0" w:color="FFFFFF"/>
                <w:bottom w:val="single" w:sz="6" w:space="0" w:color="FFFFFF"/>
                <w:right w:val="single" w:sz="6" w:space="0" w:color="FFFFFF"/>
              </w:pBdr>
              <w:spacing w:after="58"/>
              <w:rPr>
                <w:color w:val="000000"/>
              </w:rPr>
            </w:pPr>
            <w:r>
              <w:t>Record of a plot map and well locations for the life of the landfill (maintain for life of collection system)</w:t>
            </w:r>
          </w:p>
        </w:tc>
        <w:tc>
          <w:tcPr>
            <w:tcW w:w="2790" w:type="dxa"/>
            <w:tcBorders>
              <w:top w:val="single" w:sz="7" w:space="0" w:color="000000"/>
              <w:left w:val="single" w:sz="7" w:space="0" w:color="000000"/>
              <w:bottom w:val="single" w:sz="7" w:space="0" w:color="000000"/>
              <w:right w:val="single" w:sz="7" w:space="0" w:color="000000"/>
            </w:tcBorders>
          </w:tcPr>
          <w:p w:rsidR="005D1B56" w:rsidRDefault="005D1B56">
            <w:pPr>
              <w:pBdr>
                <w:top w:val="single" w:sz="6" w:space="0" w:color="FFFFFF"/>
                <w:left w:val="single" w:sz="6" w:space="0" w:color="FFFFFF"/>
                <w:bottom w:val="single" w:sz="6" w:space="0" w:color="FFFFFF"/>
                <w:right w:val="single" w:sz="6" w:space="0" w:color="FFFFFF"/>
              </w:pBdr>
              <w:spacing w:after="58"/>
              <w:rPr>
                <w:color w:val="000000"/>
              </w:rPr>
            </w:pPr>
            <w:r w:rsidRPr="00D8469E">
              <w:t>60.758</w:t>
            </w:r>
            <w:r>
              <w:t>(d)</w:t>
            </w:r>
          </w:p>
        </w:tc>
      </w:tr>
      <w:tr w:rsidR="005D1B56" w:rsidTr="007D2873">
        <w:trPr>
          <w:jc w:val="center"/>
        </w:trPr>
        <w:tc>
          <w:tcPr>
            <w:tcW w:w="6570" w:type="dxa"/>
            <w:tcBorders>
              <w:top w:val="single" w:sz="7" w:space="0" w:color="000000"/>
              <w:left w:val="single" w:sz="7" w:space="0" w:color="000000"/>
              <w:bottom w:val="single" w:sz="7" w:space="0" w:color="000000"/>
              <w:right w:val="single" w:sz="7" w:space="0" w:color="000000"/>
            </w:tcBorders>
          </w:tcPr>
          <w:p w:rsidR="005D1B56" w:rsidRDefault="005D1B56" w:rsidP="00CC7DA0">
            <w:pPr>
              <w:pBdr>
                <w:top w:val="single" w:sz="6" w:space="0" w:color="FFFFFF"/>
                <w:left w:val="single" w:sz="6" w:space="0" w:color="FFFFFF"/>
                <w:bottom w:val="single" w:sz="6" w:space="0" w:color="FFFFFF"/>
                <w:right w:val="single" w:sz="6" w:space="0" w:color="FFFFFF"/>
              </w:pBdr>
              <w:spacing w:after="58"/>
              <w:rPr>
                <w:color w:val="000000"/>
              </w:rPr>
            </w:pPr>
            <w:r>
              <w:t xml:space="preserve">Records of collection &amp; control system exceedances, including surface monitoring exceedances (maintain </w:t>
            </w:r>
            <w:r w:rsidR="00CC7DA0">
              <w:t>for five</w:t>
            </w:r>
            <w:r>
              <w:t xml:space="preserve"> years)</w:t>
            </w:r>
          </w:p>
        </w:tc>
        <w:tc>
          <w:tcPr>
            <w:tcW w:w="2790" w:type="dxa"/>
            <w:tcBorders>
              <w:top w:val="single" w:sz="7" w:space="0" w:color="000000"/>
              <w:left w:val="single" w:sz="7" w:space="0" w:color="000000"/>
              <w:bottom w:val="single" w:sz="7" w:space="0" w:color="000000"/>
              <w:right w:val="single" w:sz="7" w:space="0" w:color="000000"/>
            </w:tcBorders>
          </w:tcPr>
          <w:p w:rsidR="005D1B56" w:rsidRDefault="005D1B56">
            <w:pPr>
              <w:pBdr>
                <w:top w:val="single" w:sz="6" w:space="0" w:color="FFFFFF"/>
                <w:left w:val="single" w:sz="6" w:space="0" w:color="FFFFFF"/>
                <w:bottom w:val="single" w:sz="6" w:space="0" w:color="FFFFFF"/>
                <w:right w:val="single" w:sz="6" w:space="0" w:color="FFFFFF"/>
              </w:pBdr>
              <w:spacing w:after="58"/>
              <w:rPr>
                <w:color w:val="000000"/>
              </w:rPr>
            </w:pPr>
            <w:r>
              <w:t>6</w:t>
            </w:r>
            <w:r w:rsidRPr="00D8469E">
              <w:t>0.758(c)</w:t>
            </w:r>
            <w:r>
              <w:t xml:space="preserve"> and (e)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w:t>
      </w:r>
      <w:r w:rsidR="00444B12">
        <w:rPr>
          <w:color w:val="000000"/>
        </w:rPr>
        <w:t>source</w:t>
      </w:r>
      <w:r w:rsidR="00CA4CD6">
        <w:rPr>
          <w:color w:val="000000"/>
        </w:rPr>
        <w:t xml:space="preserve">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444B12">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w:t>
      </w:r>
      <w:r w:rsidR="00444B12">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C81548">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r w:rsidR="00367D01">
              <w:rPr>
                <w:b/>
                <w:bCs/>
                <w:color w:val="000000"/>
              </w:rPr>
              <w:t xml:space="preserve"> </w:t>
            </w:r>
          </w:p>
        </w:tc>
      </w:tr>
      <w:tr w:rsidR="00CA4CD6" w:rsidTr="000F6EEB">
        <w:trPr>
          <w:trHeight w:val="388"/>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0F6EEB">
        <w:trPr>
          <w:trHeight w:val="334"/>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412EF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Write the </w:t>
            </w:r>
            <w:r w:rsidR="00412EF6">
              <w:rPr>
                <w:color w:val="000000"/>
              </w:rPr>
              <w:t>r</w:t>
            </w:r>
            <w:r>
              <w:rPr>
                <w:color w:val="000000"/>
              </w:rPr>
              <w:t>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367D01">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367D01">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367D01">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disclosing and </w:t>
            </w:r>
            <w:r>
              <w:rPr>
                <w:color w:val="000000"/>
              </w:rPr>
              <w:lastRenderedPageBreak/>
              <w:t>providing information.</w:t>
            </w:r>
          </w:p>
        </w:tc>
      </w:tr>
      <w:tr w:rsidR="00CA4CD6" w:rsidTr="00367D01">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192216" w:rsidRDefault="00192216" w:rsidP="00BE148B">
      <w:pPr>
        <w:pBdr>
          <w:top w:val="single" w:sz="6" w:space="0" w:color="FFFFFF"/>
          <w:left w:val="single" w:sz="6" w:space="0" w:color="FFFFFF"/>
          <w:bottom w:val="single" w:sz="6" w:space="0" w:color="FFFFFF"/>
          <w:right w:val="single" w:sz="6" w:space="0" w:color="FFFFFF"/>
        </w:pBdr>
        <w:rPr>
          <w:color w:val="000000"/>
        </w:rPr>
      </w:pPr>
      <w:r w:rsidRPr="00192216">
        <w:rPr>
          <w:color w:val="000000"/>
        </w:rPr>
        <w:t xml:space="preserve"> </w:t>
      </w:r>
    </w:p>
    <w:p w:rsidR="00CA4CD6" w:rsidRDefault="00844CB0" w:rsidP="00192216">
      <w:pPr>
        <w:pBdr>
          <w:top w:val="single" w:sz="6" w:space="0" w:color="FFFFFF"/>
          <w:left w:val="single" w:sz="6" w:space="0" w:color="FFFFFF"/>
          <w:bottom w:val="single" w:sz="6" w:space="0" w:color="FFFFFF"/>
          <w:right w:val="single" w:sz="6" w:space="0" w:color="FFFFFF"/>
        </w:pBdr>
        <w:ind w:firstLine="720"/>
        <w:rPr>
          <w:color w:val="000000"/>
        </w:rPr>
      </w:pPr>
      <w:r w:rsidRPr="00844CB0">
        <w:rPr>
          <w:color w:val="000000"/>
        </w:rPr>
        <w:t xml:space="preserve">Currently sources are using monitoring and reporting equipment that provide parameter data in an automated way </w:t>
      </w:r>
      <w:r>
        <w:rPr>
          <w:color w:val="000000"/>
        </w:rPr>
        <w:t>(</w:t>
      </w:r>
      <w:r w:rsidRPr="00844CB0">
        <w:rPr>
          <w:color w:val="000000"/>
        </w:rPr>
        <w:t>e.g., continuous parameter monitoring system</w:t>
      </w:r>
      <w:r>
        <w:rPr>
          <w:color w:val="000000"/>
        </w:rPr>
        <w:t>)</w:t>
      </w:r>
      <w:r w:rsidRPr="00844CB0">
        <w:rPr>
          <w:color w:val="000000"/>
        </w:rPr>
        <w:t>.  Although personnel at the source still need to evaluate the data, this type of monitoring equipment has significantly reduced the burden associated with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BE148B" w:rsidP="00BE148B">
      <w:pPr>
        <w:pBdr>
          <w:top w:val="single" w:sz="6" w:space="0" w:color="FFFFFF"/>
          <w:left w:val="single" w:sz="6" w:space="0" w:color="FFFFFF"/>
          <w:bottom w:val="single" w:sz="6" w:space="0" w:color="FFFFFF"/>
          <w:right w:val="single" w:sz="6" w:space="0" w:color="FFFFFF"/>
        </w:pBdr>
        <w:ind w:firstLine="720"/>
        <w:rPr>
          <w:color w:val="000000"/>
        </w:rPr>
      </w:pPr>
      <w:r w:rsidRPr="00192216">
        <w:rPr>
          <w:color w:val="000000"/>
        </w:rPr>
        <w:t xml:space="preserve">State and local agencies are the implementing </w:t>
      </w:r>
      <w:r w:rsidR="00367D01">
        <w:rPr>
          <w:color w:val="000000"/>
        </w:rPr>
        <w:t>agencies fo</w:t>
      </w:r>
      <w:r w:rsidR="00367D01" w:rsidRPr="00192216">
        <w:rPr>
          <w:color w:val="000000"/>
        </w:rPr>
        <w:t>r landfills covered by a State plan</w:t>
      </w:r>
      <w:r w:rsidR="00367D01">
        <w:rPr>
          <w:color w:val="000000"/>
        </w:rPr>
        <w:t xml:space="preserve"> and </w:t>
      </w:r>
      <w:r w:rsidRPr="00192216">
        <w:rPr>
          <w:color w:val="000000"/>
        </w:rPr>
        <w:t>conduct the same activities as EPA</w:t>
      </w:r>
      <w:r>
        <w:rPr>
          <w:color w:val="000000"/>
        </w:rPr>
        <w:t xml:space="preserve">.  </w:t>
      </w:r>
      <w:r w:rsidR="00CA4CD6">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A1030">
        <w:tc>
          <w:tcPr>
            <w:tcW w:w="9360" w:type="dxa"/>
            <w:tcBorders>
              <w:top w:val="single" w:sz="7" w:space="0" w:color="000000"/>
              <w:left w:val="single" w:sz="7" w:space="0" w:color="000000"/>
              <w:bottom w:val="single" w:sz="6" w:space="0" w:color="FFFFFF"/>
              <w:right w:val="single" w:sz="7" w:space="0" w:color="000000"/>
            </w:tcBorders>
          </w:tcPr>
          <w:p w:rsidR="00DA1030" w:rsidRDefault="00DA1030" w:rsidP="00367D01">
            <w:pPr>
              <w:pBdr>
                <w:top w:val="single" w:sz="6" w:space="0" w:color="FFFFFF"/>
                <w:left w:val="single" w:sz="6" w:space="0" w:color="FFFFFF"/>
                <w:bottom w:val="single" w:sz="6" w:space="0" w:color="FFFFFF"/>
                <w:right w:val="single" w:sz="6" w:space="0" w:color="FFFFFF"/>
              </w:pBdr>
              <w:spacing w:after="52"/>
              <w:rPr>
                <w:color w:val="000000"/>
              </w:rPr>
            </w:pPr>
            <w:r>
              <w:t>Observe performance tests if necessary</w:t>
            </w:r>
            <w:r w:rsidR="00367D01">
              <w:t xml:space="preserve"> (</w:t>
            </w:r>
            <w:r>
              <w:t>requirement no longer applies</w:t>
            </w:r>
            <w:r w:rsidR="00367D01">
              <w:t>)</w:t>
            </w:r>
            <w:r>
              <w:t>.</w:t>
            </w:r>
          </w:p>
        </w:tc>
      </w:tr>
      <w:tr w:rsidR="00DA1030" w:rsidTr="00A85BFC">
        <w:tc>
          <w:tcPr>
            <w:tcW w:w="9360" w:type="dxa"/>
            <w:tcBorders>
              <w:top w:val="single" w:sz="7" w:space="0" w:color="000000"/>
              <w:left w:val="single" w:sz="7" w:space="0" w:color="000000"/>
              <w:bottom w:val="single" w:sz="6" w:space="0" w:color="FFFFFF"/>
              <w:right w:val="single" w:sz="7" w:space="0" w:color="000000"/>
            </w:tcBorders>
          </w:tcPr>
          <w:p w:rsidR="00DA1030" w:rsidRDefault="00DA1030" w:rsidP="00367D01">
            <w:pPr>
              <w:pBdr>
                <w:top w:val="single" w:sz="6" w:space="0" w:color="FFFFFF"/>
                <w:left w:val="single" w:sz="6" w:space="0" w:color="FFFFFF"/>
                <w:bottom w:val="single" w:sz="6" w:space="0" w:color="FFFFFF"/>
                <w:right w:val="single" w:sz="6" w:space="0" w:color="FFFFFF"/>
              </w:pBdr>
              <w:spacing w:after="52"/>
              <w:rPr>
                <w:color w:val="000000"/>
              </w:rPr>
            </w:pPr>
            <w:r>
              <w:t xml:space="preserve">Review reports required to be submitted by industry. </w:t>
            </w:r>
            <w:r w:rsidR="00367D01">
              <w:t>A</w:t>
            </w:r>
            <w:r>
              <w:t>nnual compliance</w:t>
            </w:r>
            <w:r w:rsidR="00367D01">
              <w:t>, amended design</w:t>
            </w:r>
            <w:r w:rsidR="002A10AD">
              <w:t>,</w:t>
            </w:r>
            <w:r w:rsidR="00367D01">
              <w:t xml:space="preserve"> and closure </w:t>
            </w:r>
            <w:r>
              <w:t xml:space="preserve">reports are the only types of reports expected to be submitted by respondents and reviewed by EPA </w:t>
            </w:r>
            <w:r w:rsidR="00687816">
              <w:t xml:space="preserve">or State and local agencies </w:t>
            </w:r>
            <w:r>
              <w:t xml:space="preserve">during the time period covered by this ICR. </w:t>
            </w:r>
          </w:p>
        </w:tc>
      </w:tr>
      <w:tr w:rsidR="00DA1030" w:rsidTr="00A85BFC">
        <w:tc>
          <w:tcPr>
            <w:tcW w:w="9360" w:type="dxa"/>
            <w:tcBorders>
              <w:top w:val="single" w:sz="7" w:space="0" w:color="000000"/>
              <w:left w:val="single" w:sz="7" w:space="0" w:color="000000"/>
              <w:bottom w:val="single" w:sz="6" w:space="0" w:color="FFFFFF"/>
              <w:right w:val="single" w:sz="7" w:space="0" w:color="000000"/>
            </w:tcBorders>
          </w:tcPr>
          <w:p w:rsidR="00DA1030" w:rsidRDefault="00DA1030" w:rsidP="00A85BFC">
            <w:pPr>
              <w:pBdr>
                <w:top w:val="single" w:sz="6" w:space="0" w:color="FFFFFF"/>
                <w:left w:val="single" w:sz="6" w:space="0" w:color="FFFFFF"/>
                <w:bottom w:val="single" w:sz="6" w:space="0" w:color="FFFFFF"/>
                <w:right w:val="single" w:sz="6" w:space="0" w:color="FFFFFF"/>
              </w:pBdr>
              <w:spacing w:after="52"/>
              <w:rPr>
                <w:color w:val="000000"/>
              </w:rPr>
            </w:pPr>
            <w:r>
              <w:t xml:space="preserve">Review surface monitoring methane concentrations. </w:t>
            </w:r>
          </w:p>
        </w:tc>
      </w:tr>
      <w:tr w:rsidR="00DA1030">
        <w:tc>
          <w:tcPr>
            <w:tcW w:w="9360" w:type="dxa"/>
            <w:tcBorders>
              <w:top w:val="single" w:sz="7" w:space="0" w:color="000000"/>
              <w:left w:val="single" w:sz="7" w:space="0" w:color="000000"/>
              <w:bottom w:val="single" w:sz="6" w:space="0" w:color="FFFFFF"/>
              <w:right w:val="single" w:sz="7" w:space="0" w:color="000000"/>
            </w:tcBorders>
          </w:tcPr>
          <w:p w:rsidR="00DA1030" w:rsidRDefault="00DA1030">
            <w:pPr>
              <w:pBdr>
                <w:top w:val="single" w:sz="6" w:space="0" w:color="FFFFFF"/>
                <w:left w:val="single" w:sz="6" w:space="0" w:color="FFFFFF"/>
                <w:bottom w:val="single" w:sz="6" w:space="0" w:color="FFFFFF"/>
                <w:right w:val="single" w:sz="6" w:space="0" w:color="FFFFFF"/>
              </w:pBdr>
              <w:spacing w:after="52"/>
              <w:rPr>
                <w:color w:val="000000"/>
              </w:rPr>
            </w:pPr>
            <w: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DA1030" w:rsidRDefault="00DA1030" w:rsidP="00DA1030">
            <w:pPr>
              <w:spacing w:line="120" w:lineRule="exact"/>
              <w:rPr>
                <w:color w:val="000000"/>
              </w:rPr>
            </w:pPr>
          </w:p>
          <w:p w:rsidR="00CA4CD6" w:rsidRDefault="00DA1030" w:rsidP="00C24697">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w:t>
            </w:r>
            <w:r w:rsidR="00C24697">
              <w:rPr>
                <w:color w:val="000000"/>
              </w:rPr>
              <w:t xml:space="preserve">analyze, and maintain data in </w:t>
            </w:r>
            <w:r w:rsidR="00C81548">
              <w:rPr>
                <w:color w:val="000000"/>
              </w:rPr>
              <w:t>the Online Tracking Information System (</w:t>
            </w:r>
            <w:r w:rsidR="00C24697">
              <w:rPr>
                <w:color w:val="000000"/>
              </w:rPr>
              <w:t>OTIS</w:t>
            </w:r>
            <w:r w:rsidR="00C81548">
              <w:rPr>
                <w:color w:val="000000"/>
              </w:rPr>
              <w:t>)</w:t>
            </w:r>
            <w:r w:rsidR="00687816">
              <w:rPr>
                <w:color w:val="000000"/>
              </w:rPr>
              <w:t>.</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8696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Data and records maintained by </w:t>
      </w:r>
      <w:r w:rsidRPr="0008696E">
        <w:t>the respondents are tabulated and published for use in compliance and enforcement programs.  The annual reports are used for problem identification, as a check on source operation and maintenance, and for compliance determinations.</w:t>
      </w:r>
    </w:p>
    <w:p w:rsidR="00CA4CD6" w:rsidRPr="0008696E"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8696E">
        <w:t xml:space="preserve">Information contained in </w:t>
      </w:r>
      <w:r w:rsidR="004C701D" w:rsidRPr="0008696E">
        <w:t>the reports is entered</w:t>
      </w:r>
      <w:r w:rsidR="004C701D">
        <w:rPr>
          <w:color w:val="000000"/>
        </w:rPr>
        <w:t xml:space="preserve">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Pr>
          <w:color w:val="000000"/>
        </w:rPr>
        <w:lastRenderedPageBreak/>
        <w:t>EPA and its delegated Authorities can edit, store, retrieve</w:t>
      </w:r>
      <w:r w:rsidR="002A10AD">
        <w:rPr>
          <w:color w:val="000000"/>
        </w:rPr>
        <w:t>,</w:t>
      </w:r>
      <w:r>
        <w:rPr>
          <w:color w:val="000000"/>
        </w:rPr>
        <w:t xml:space="preserve"> and analyze the data.</w:t>
      </w:r>
    </w:p>
    <w:p w:rsidR="000F6EEB" w:rsidRDefault="000F6EEB">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08696E">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372563" w:rsidP="000B316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w:t>
      </w:r>
      <w:r w:rsidR="00CA4CD6">
        <w:rPr>
          <w:color w:val="000000"/>
        </w:rPr>
        <w:t>he majority of respondents are large entities (i.e., large businesses)</w:t>
      </w:r>
      <w:r>
        <w:rPr>
          <w:color w:val="000000"/>
        </w:rPr>
        <w:t xml:space="preserve">.  </w:t>
      </w:r>
      <w:r w:rsidR="00CA4CD6">
        <w:rPr>
          <w:color w:val="000000"/>
        </w:rPr>
        <w:t>There are no small entities (i.e., small businesses) affected by this regulation.</w:t>
      </w:r>
      <w:r w:rsidR="000B3160">
        <w:rPr>
          <w:color w:val="000000"/>
        </w:rPr>
        <w:t xml:space="preserve"> Therefore,</w:t>
      </w:r>
      <w:r w:rsidR="00C24697">
        <w:rPr>
          <w:color w:val="000000"/>
        </w:rPr>
        <w:t xml:space="preserve"> </w:t>
      </w:r>
      <w:r w:rsidRPr="00372563">
        <w:rPr>
          <w:color w:val="000000"/>
        </w:rPr>
        <w:t>EPA does not expect that small MSW landfills will be adversely impacted by the emission guidelines.  Small landfills were required to submit a one-time design capacity report only.</w:t>
      </w:r>
      <w:r w:rsidR="00C24EDD">
        <w:rPr>
          <w:color w:val="000000"/>
        </w:rPr>
        <w:t xml:space="preserve"> </w:t>
      </w:r>
      <w:r w:rsidRPr="00372563">
        <w:rPr>
          <w:color w:val="000000"/>
        </w:rPr>
        <w:t xml:space="preserve"> In choosing </w:t>
      </w:r>
      <w:r w:rsidR="00C24EDD">
        <w:rPr>
          <w:color w:val="000000"/>
        </w:rPr>
        <w:t xml:space="preserve">a design capacity </w:t>
      </w:r>
      <w:r w:rsidR="00E60C23">
        <w:rPr>
          <w:color w:val="000000"/>
        </w:rPr>
        <w:t xml:space="preserve"> </w:t>
      </w:r>
      <w:r w:rsidR="00C24EDD">
        <w:rPr>
          <w:color w:val="000000"/>
        </w:rPr>
        <w:t xml:space="preserve">of </w:t>
      </w:r>
      <w:r w:rsidRPr="00372563">
        <w:rPr>
          <w:color w:val="000000"/>
        </w:rPr>
        <w:t xml:space="preserve">2.5 million </w:t>
      </w:r>
      <w:r w:rsidR="00C24EDD">
        <w:rPr>
          <w:color w:val="000000"/>
        </w:rPr>
        <w:t>megagrams (</w:t>
      </w:r>
      <w:r w:rsidRPr="00372563">
        <w:rPr>
          <w:color w:val="000000"/>
        </w:rPr>
        <w:t>Mg</w:t>
      </w:r>
      <w:r w:rsidR="00C24EDD">
        <w:rPr>
          <w:color w:val="000000"/>
        </w:rPr>
        <w:t>)</w:t>
      </w:r>
      <w:r w:rsidRPr="00372563">
        <w:rPr>
          <w:color w:val="000000"/>
        </w:rPr>
        <w:t xml:space="preserve"> </w:t>
      </w:r>
      <w:r w:rsidR="00C24EDD">
        <w:rPr>
          <w:color w:val="000000"/>
        </w:rPr>
        <w:t xml:space="preserve">and 2.5 million cubic meters </w:t>
      </w:r>
      <w:r w:rsidRPr="00372563">
        <w:rPr>
          <w:color w:val="000000"/>
        </w:rPr>
        <w:t xml:space="preserve">as the regulatory cutoff for annual reporting, EPA exempted landfills that are very unlikely to emit 50 Mg or more of NMOC per year (see 61 FR 9918, March 12, 1996). </w:t>
      </w:r>
      <w:r>
        <w:rPr>
          <w:color w:val="000000"/>
        </w:rPr>
        <w:t xml:space="preserve"> </w:t>
      </w:r>
      <w:r w:rsidRPr="00372563">
        <w:rPr>
          <w:color w:val="000000"/>
        </w:rPr>
        <w:t>EPA also developed a computer model version of the tiered approach to estimate emissions on the landfills Web site</w:t>
      </w:r>
      <w:r w:rsidR="0037277B">
        <w:rPr>
          <w:color w:val="000000"/>
        </w:rPr>
        <w:t xml:space="preserve"> </w:t>
      </w:r>
      <w:r w:rsidRPr="00372563">
        <w:rPr>
          <w:color w:val="000000"/>
        </w:rPr>
        <w:t>(</w:t>
      </w:r>
      <w:hyperlink r:id="rId8" w:history="1">
        <w:r w:rsidR="00AC1F91" w:rsidRPr="00AC1F91">
          <w:rPr>
            <w:rStyle w:val="Hyperlink"/>
            <w:color w:val="auto"/>
          </w:rPr>
          <w:t>www.epa.gov/ttn/atw/landfill/</w:t>
        </w:r>
        <w:r w:rsidR="00AC1F91" w:rsidRPr="00B77F11">
          <w:rPr>
            <w:rStyle w:val="Hyperlink"/>
          </w:rPr>
          <w:t xml:space="preserve"> </w:t>
        </w:r>
        <w:r w:rsidR="00AC1F91" w:rsidRPr="00AC1F91">
          <w:rPr>
            <w:rStyle w:val="Hyperlink"/>
            <w:color w:val="auto"/>
          </w:rPr>
          <w:t>landflpg.htm</w:t>
        </w:r>
        <w:r w:rsidR="00AC1F91" w:rsidRPr="00B77F11">
          <w:rPr>
            <w:rStyle w:val="Hyperlink"/>
          </w:rPr>
          <w:t>l</w:t>
        </w:r>
      </w:hyperlink>
      <w:r w:rsidR="00C43032" w:rsidRPr="00E60C23">
        <w:t xml:space="preserve">) </w:t>
      </w:r>
      <w:r w:rsidRPr="00372563">
        <w:rPr>
          <w:color w:val="000000"/>
        </w:rPr>
        <w:t xml:space="preserve">that is available to any owner or operator subject to the emission guidelines. </w:t>
      </w:r>
      <w:r>
        <w:rPr>
          <w:color w:val="000000"/>
        </w:rPr>
        <w:t xml:space="preserve"> </w:t>
      </w:r>
      <w:r w:rsidR="00AC1F91">
        <w:rPr>
          <w:color w:val="000000"/>
        </w:rPr>
        <w:t xml:space="preserve"> </w:t>
      </w:r>
      <w:r w:rsidRPr="00372563">
        <w:rPr>
          <w:color w:val="000000"/>
        </w:rPr>
        <w:t>Such tools significantly reduced the burden of the NMOC emission rate calculation.</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AC1F91">
        <w:rPr>
          <w:color w:val="000000"/>
        </w:rPr>
        <w:t xml:space="preserve">in </w:t>
      </w:r>
      <w:r>
        <w:rPr>
          <w:color w:val="000000"/>
        </w:rPr>
        <w:t>Table</w:t>
      </w:r>
      <w:r w:rsidR="00AC1F91">
        <w:rPr>
          <w:color w:val="000000"/>
        </w:rPr>
        <w:t>s</w:t>
      </w:r>
      <w:r>
        <w:rPr>
          <w:color w:val="000000"/>
        </w:rPr>
        <w:t xml:space="preserve"> 1</w:t>
      </w:r>
      <w:r w:rsidR="00AC1F91">
        <w:rPr>
          <w:color w:val="000000"/>
        </w:rPr>
        <w:t>a and 1b</w:t>
      </w:r>
      <w:r>
        <w:rPr>
          <w:color w:val="000000"/>
        </w:rPr>
        <w:t xml:space="preserve">:  </w:t>
      </w:r>
      <w:r w:rsidR="00AE0C16" w:rsidRPr="00AE0C16">
        <w:rPr>
          <w:color w:val="000000"/>
        </w:rPr>
        <w:t>Annual Respondent Burden and Cost – Emission Guidelines and Compliance Times for Existing Municipal Solid Waste Landfills (40 CFR Part 60, Subpart Cc and 40 CFR Part 62, Subpart GGG) (Renewal)</w:t>
      </w:r>
      <w:r w:rsidR="00AE0C16">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Pr="00E45E14"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AC1F91">
        <w:rPr>
          <w:color w:val="000000"/>
        </w:rPr>
        <w:t>a</w:t>
      </w:r>
      <w:r>
        <w:rPr>
          <w:color w:val="000000"/>
        </w:rPr>
        <w:t xml:space="preserve"> documents the computation of individual burdens for the recordkeeping and reporting requirements applicable to the industry for each of the subpart</w:t>
      </w:r>
      <w:r w:rsidR="00372563">
        <w:rPr>
          <w:color w:val="000000"/>
        </w:rPr>
        <w:t xml:space="preserve">s </w:t>
      </w:r>
      <w:r>
        <w:rPr>
          <w:color w:val="000000"/>
        </w:rPr>
        <w:t>included in this ICR.  The individual burdens are expressed under standardized headings</w:t>
      </w:r>
      <w:r w:rsidR="00AC1F91">
        <w:rPr>
          <w:color w:val="000000"/>
        </w:rPr>
        <w:t xml:space="preserve"> for landfills, both privately- and publicly-owned</w:t>
      </w:r>
      <w:r w:rsidR="004C22BB">
        <w:rPr>
          <w:color w:val="000000"/>
        </w:rPr>
        <w:t xml:space="preserve">, </w:t>
      </w:r>
      <w:r w:rsidR="00AC1F91">
        <w:rPr>
          <w:color w:val="000000"/>
        </w:rPr>
        <w:t>that are b</w:t>
      </w:r>
      <w:r>
        <w:rPr>
          <w:color w:val="000000"/>
        </w:rPr>
        <w:t>elieved to be consistent</w:t>
      </w:r>
      <w:r w:rsidR="004C22BB">
        <w:rPr>
          <w:color w:val="000000"/>
        </w:rPr>
        <w:t xml:space="preserve"> </w:t>
      </w:r>
      <w:r>
        <w:rPr>
          <w:color w:val="000000"/>
        </w:rPr>
        <w:t xml:space="preserve">with the concept of burden under the Paperwork Reduction Act.  Where appropriate, specific tasks and major </w:t>
      </w:r>
      <w:r w:rsidRPr="00E45E14">
        <w:rPr>
          <w:color w:val="000000"/>
        </w:rPr>
        <w:t xml:space="preserve">assumptions have </w:t>
      </w:r>
      <w:r w:rsidR="004C22BB">
        <w:rPr>
          <w:color w:val="000000"/>
        </w:rPr>
        <w:t xml:space="preserve">    </w:t>
      </w:r>
      <w:r w:rsidRPr="00E45E14">
        <w:rPr>
          <w:color w:val="000000"/>
        </w:rPr>
        <w:t>been identified.  Responses</w:t>
      </w:r>
      <w:r w:rsidR="004C22BB">
        <w:rPr>
          <w:color w:val="000000"/>
        </w:rPr>
        <w:t xml:space="preserve"> </w:t>
      </w:r>
      <w:r w:rsidRPr="00E45E14">
        <w:rPr>
          <w:color w:val="000000"/>
        </w:rPr>
        <w:t>to this information collection are mandatory.</w:t>
      </w:r>
    </w:p>
    <w:p w:rsidR="005618BA" w:rsidRPr="00E45E14" w:rsidRDefault="005618BA" w:rsidP="004C701D">
      <w:pPr>
        <w:pBdr>
          <w:top w:val="single" w:sz="6" w:space="1" w:color="FFFFFF"/>
          <w:left w:val="single" w:sz="6" w:space="0" w:color="FFFFFF"/>
          <w:bottom w:val="single" w:sz="6" w:space="0" w:color="FFFFFF"/>
          <w:right w:val="single" w:sz="6" w:space="0" w:color="FFFFFF"/>
        </w:pBdr>
        <w:ind w:firstLine="720"/>
        <w:rPr>
          <w:color w:val="000000"/>
        </w:rPr>
      </w:pPr>
    </w:p>
    <w:p w:rsidR="005618BA" w:rsidRDefault="00191F07" w:rsidP="004C701D">
      <w:pPr>
        <w:pBdr>
          <w:top w:val="single" w:sz="6" w:space="1" w:color="FFFFFF"/>
          <w:left w:val="single" w:sz="6" w:space="0" w:color="FFFFFF"/>
          <w:bottom w:val="single" w:sz="6" w:space="0" w:color="FFFFFF"/>
          <w:right w:val="single" w:sz="6" w:space="0" w:color="FFFFFF"/>
        </w:pBdr>
        <w:ind w:firstLine="720"/>
        <w:rPr>
          <w:color w:val="000000"/>
        </w:rPr>
      </w:pPr>
      <w:r w:rsidRPr="00E45E14">
        <w:rPr>
          <w:color w:val="000000"/>
        </w:rPr>
        <w:t xml:space="preserve">Table </w:t>
      </w:r>
      <w:r w:rsidR="00AC1F91">
        <w:rPr>
          <w:color w:val="000000"/>
        </w:rPr>
        <w:t>1b</w:t>
      </w:r>
      <w:r w:rsidR="005618BA" w:rsidRPr="00E45E14">
        <w:rPr>
          <w:color w:val="000000"/>
        </w:rPr>
        <w:t xml:space="preserve"> documents</w:t>
      </w:r>
      <w:r w:rsidR="005618BA" w:rsidRPr="005618BA">
        <w:rPr>
          <w:color w:val="000000"/>
        </w:rPr>
        <w:t xml:space="preserve"> the computat</w:t>
      </w:r>
      <w:r w:rsidR="00EE2BD3">
        <w:rPr>
          <w:color w:val="000000"/>
        </w:rPr>
        <w:t>ion of annual burden for State and l</w:t>
      </w:r>
      <w:r w:rsidR="005618BA" w:rsidRPr="005618BA">
        <w:rPr>
          <w:color w:val="000000"/>
        </w:rPr>
        <w:t xml:space="preserve">ocal agencies </w:t>
      </w:r>
      <w:r w:rsidR="00AC1F91">
        <w:rPr>
          <w:color w:val="000000"/>
        </w:rPr>
        <w:t xml:space="preserve">   </w:t>
      </w:r>
      <w:r w:rsidR="004C22BB">
        <w:rPr>
          <w:color w:val="000000"/>
        </w:rPr>
        <w:t xml:space="preserve">  </w:t>
      </w:r>
      <w:r w:rsidR="005618BA" w:rsidRPr="005618BA">
        <w:rPr>
          <w:color w:val="000000"/>
        </w:rPr>
        <w:t>that implement and enforce the State plan.</w:t>
      </w:r>
      <w:r w:rsidR="004063F5">
        <w:rPr>
          <w:color w:val="000000"/>
        </w:rPr>
        <w:t xml:space="preserve"> </w:t>
      </w:r>
      <w:r w:rsidR="005618BA" w:rsidRPr="005618BA">
        <w:rPr>
          <w:color w:val="000000"/>
        </w:rPr>
        <w:t xml:space="preserve"> State</w:t>
      </w:r>
      <w:r w:rsidR="00EE2BD3">
        <w:rPr>
          <w:color w:val="000000"/>
        </w:rPr>
        <w:t xml:space="preserve"> and </w:t>
      </w:r>
      <w:r w:rsidR="005618BA" w:rsidRPr="005618BA">
        <w:rPr>
          <w:color w:val="000000"/>
        </w:rPr>
        <w:t xml:space="preserve">local agency burden is expressed under standardized headings, which are believed to be consistent with the concept of burden under the Paperwork Reduction Act. </w:t>
      </w:r>
      <w:r w:rsidR="00EE2BD3">
        <w:rPr>
          <w:color w:val="000000"/>
        </w:rPr>
        <w:t xml:space="preserve"> </w:t>
      </w:r>
      <w:r w:rsidR="005618BA" w:rsidRPr="005618BA">
        <w:rPr>
          <w:color w:val="000000"/>
        </w:rPr>
        <w:t xml:space="preserve">Where appropriate, specific tasks and major assumptions have been identified in the table. </w:t>
      </w:r>
      <w:r w:rsidR="00EE2BD3">
        <w:rPr>
          <w:color w:val="000000"/>
        </w:rPr>
        <w:t xml:space="preserve"> On average, 37 </w:t>
      </w:r>
      <w:r w:rsidR="005618BA" w:rsidRPr="005618BA">
        <w:rPr>
          <w:color w:val="000000"/>
        </w:rPr>
        <w:t xml:space="preserve">State/local agencies will be enforcing State plans that cover </w:t>
      </w:r>
      <w:r w:rsidR="00EE2BD3">
        <w:rPr>
          <w:color w:val="000000"/>
        </w:rPr>
        <w:t xml:space="preserve">317 </w:t>
      </w:r>
      <w:r w:rsidR="005618BA" w:rsidRPr="005618BA">
        <w:rPr>
          <w:color w:val="000000"/>
        </w:rPr>
        <w:t>landfills affected by State plans.</w:t>
      </w:r>
      <w:r w:rsidR="00EE2BD3">
        <w:rPr>
          <w:color w:val="000000"/>
        </w:rPr>
        <w:t xml:space="preserve"> </w:t>
      </w:r>
      <w:r w:rsidR="005618BA" w:rsidRPr="005618BA">
        <w:rPr>
          <w:color w:val="000000"/>
        </w:rPr>
        <w:t xml:space="preserve"> State and local agencies conduct the same activities as EPA</w:t>
      </w:r>
      <w:r w:rsidR="00EE2BD3">
        <w:rPr>
          <w:color w:val="000000"/>
        </w:rPr>
        <w:t>.</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5618BA" w:rsidRDefault="00EE2BD3" w:rsidP="005618BA">
      <w:pPr>
        <w:pBdr>
          <w:top w:val="single" w:sz="6" w:space="1" w:color="FFFFFF"/>
          <w:left w:val="single" w:sz="6" w:space="0" w:color="FFFFFF"/>
          <w:bottom w:val="single" w:sz="6" w:space="0" w:color="FFFFFF"/>
          <w:right w:val="single" w:sz="6" w:space="0" w:color="FFFFFF"/>
        </w:pBdr>
        <w:ind w:firstLine="720"/>
        <w:rPr>
          <w:color w:val="000000"/>
        </w:rPr>
      </w:pPr>
      <w:r>
        <w:rPr>
          <w:color w:val="000000"/>
        </w:rPr>
        <w:t>In total, t</w:t>
      </w:r>
      <w:r w:rsidR="005618BA" w:rsidRPr="005618BA">
        <w:rPr>
          <w:color w:val="000000"/>
        </w:rPr>
        <w:t xml:space="preserve">he emission guidelines for MSW landfills are estimated to affect </w:t>
      </w:r>
      <w:r>
        <w:rPr>
          <w:color w:val="000000"/>
        </w:rPr>
        <w:t>an average of 474</w:t>
      </w:r>
      <w:r w:rsidR="005618BA" w:rsidRPr="005618BA">
        <w:rPr>
          <w:color w:val="000000"/>
        </w:rPr>
        <w:t xml:space="preserve"> landfills. </w:t>
      </w:r>
      <w:r>
        <w:rPr>
          <w:color w:val="000000"/>
        </w:rPr>
        <w:t xml:space="preserve"> </w:t>
      </w:r>
      <w:r w:rsidR="005618BA" w:rsidRPr="005618BA">
        <w:rPr>
          <w:color w:val="000000"/>
        </w:rPr>
        <w:t>Of th</w:t>
      </w:r>
      <w:r w:rsidR="005618BA">
        <w:rPr>
          <w:color w:val="000000"/>
        </w:rPr>
        <w:t>e</w:t>
      </w:r>
      <w:r w:rsidR="005618BA" w:rsidRPr="005618BA">
        <w:rPr>
          <w:color w:val="000000"/>
        </w:rPr>
        <w:t>se, 1</w:t>
      </w:r>
      <w:r>
        <w:rPr>
          <w:color w:val="000000"/>
        </w:rPr>
        <w:t>5</w:t>
      </w:r>
      <w:r w:rsidR="005618BA">
        <w:rPr>
          <w:color w:val="000000"/>
        </w:rPr>
        <w:t>7</w:t>
      </w:r>
      <w:r w:rsidR="005618BA" w:rsidRPr="005618BA">
        <w:rPr>
          <w:color w:val="000000"/>
        </w:rPr>
        <w:t xml:space="preserve"> are affected by the Federal plan and </w:t>
      </w:r>
      <w:r>
        <w:rPr>
          <w:color w:val="000000"/>
        </w:rPr>
        <w:t>317</w:t>
      </w:r>
      <w:r w:rsidR="005618BA" w:rsidRPr="005618BA">
        <w:rPr>
          <w:color w:val="000000"/>
        </w:rPr>
        <w:t xml:space="preserve"> are affected by State pla</w:t>
      </w:r>
      <w:r>
        <w:rPr>
          <w:color w:val="000000"/>
        </w:rPr>
        <w:t xml:space="preserve">ns.  </w:t>
      </w:r>
      <w:r w:rsidR="005618BA">
        <w:rPr>
          <w:color w:val="000000"/>
        </w:rPr>
        <w:t xml:space="preserve">This ICR assumes all </w:t>
      </w:r>
      <w:r>
        <w:rPr>
          <w:color w:val="000000"/>
        </w:rPr>
        <w:t>474</w:t>
      </w:r>
      <w:r w:rsidR="005618BA" w:rsidRPr="005618BA">
        <w:rPr>
          <w:color w:val="000000"/>
        </w:rPr>
        <w:t xml:space="preserve"> landfills have already exceeded the 50 Mg/yr NMOC emission </w:t>
      </w:r>
      <w:r w:rsidR="005618BA" w:rsidRPr="005618BA">
        <w:rPr>
          <w:color w:val="000000"/>
        </w:rPr>
        <w:lastRenderedPageBreak/>
        <w:t>threshold and are no longer submitting annual NMOC emission rate reports.</w:t>
      </w:r>
      <w:r>
        <w:rPr>
          <w:color w:val="000000"/>
        </w:rPr>
        <w:t xml:space="preserve"> </w:t>
      </w:r>
      <w:r w:rsidR="005618BA" w:rsidRPr="005618BA">
        <w:rPr>
          <w:color w:val="000000"/>
        </w:rPr>
        <w:t xml:space="preserve"> The landfills must submit annual compliance reports and conduct quarterly monitoring for methane emissions from the surface of the landfill.</w:t>
      </w:r>
    </w:p>
    <w:p w:rsidR="005618BA" w:rsidRDefault="005618BA"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AC1F91">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35FE1">
        <w:rPr>
          <w:color w:val="000000"/>
        </w:rPr>
        <w:t xml:space="preserve"> </w:t>
      </w:r>
      <w:r w:rsidR="00435FE1" w:rsidRPr="00435FE1">
        <w:rPr>
          <w:color w:val="000000"/>
        </w:rPr>
        <w:t>41,51</w:t>
      </w:r>
      <w:r w:rsidR="00493743">
        <w:rPr>
          <w:color w:val="000000"/>
        </w:rPr>
        <w:t>8</w:t>
      </w:r>
      <w:r w:rsidR="005618BA">
        <w:rPr>
          <w:color w:val="000000"/>
        </w:rPr>
        <w:t xml:space="preserve"> hours</w:t>
      </w:r>
      <w:r w:rsidR="004063F5">
        <w:rPr>
          <w:color w:val="000000"/>
        </w:rPr>
        <w:t xml:space="preserve"> (Total Labor Hours from Table 1</w:t>
      </w:r>
      <w:r w:rsidR="00AC1F91">
        <w:rPr>
          <w:color w:val="000000"/>
        </w:rPr>
        <w:t>a</w:t>
      </w:r>
      <w:r w:rsidR="00263DA0">
        <w:rPr>
          <w:color w:val="000000"/>
        </w:rPr>
        <w:t xml:space="preserve"> below</w:t>
      </w:r>
      <w:r w:rsidR="004063F5">
        <w:rPr>
          <w:color w:val="000000"/>
        </w:rPr>
        <w:t>)</w:t>
      </w:r>
      <w:r w:rsidR="005618BA">
        <w:rPr>
          <w:color w:val="000000"/>
        </w:rPr>
        <w:t>.</w:t>
      </w:r>
      <w:r w:rsidR="001C5991">
        <w:rPr>
          <w:color w:val="000000"/>
        </w:rPr>
        <w:t xml:space="preserve">  </w:t>
      </w:r>
      <w:r w:rsidR="005618BA" w:rsidRPr="005618BA">
        <w:rPr>
          <w:color w:val="000000"/>
        </w:rPr>
        <w:t>The average annual burden to State and local agencies</w:t>
      </w:r>
      <w:r w:rsidR="00435FE1">
        <w:rPr>
          <w:color w:val="000000"/>
        </w:rPr>
        <w:t xml:space="preserve"> that </w:t>
      </w:r>
      <w:r w:rsidR="005618BA" w:rsidRPr="005618BA">
        <w:rPr>
          <w:color w:val="000000"/>
        </w:rPr>
        <w:t xml:space="preserve">implement and enforce State plans is </w:t>
      </w:r>
      <w:r w:rsidR="00A91CF7">
        <w:rPr>
          <w:color w:val="000000"/>
        </w:rPr>
        <w:t xml:space="preserve">759 </w:t>
      </w:r>
      <w:r w:rsidR="005618BA" w:rsidRPr="005618BA">
        <w:rPr>
          <w:color w:val="000000"/>
        </w:rPr>
        <w:t>hours</w:t>
      </w:r>
      <w:r w:rsidR="00AC1F91">
        <w:rPr>
          <w:color w:val="000000"/>
        </w:rPr>
        <w:t xml:space="preserve"> (Total Labor Hours from Table 1b below)</w:t>
      </w:r>
      <w:r w:rsidR="005618BA" w:rsidRPr="005618BA">
        <w:rPr>
          <w:color w:val="000000"/>
        </w:rPr>
        <w:t>.</w:t>
      </w:r>
      <w:r w:rsidR="005618BA">
        <w:rPr>
          <w:color w:val="000000"/>
        </w:rPr>
        <w:t xml:space="preserve">  </w:t>
      </w:r>
      <w:r w:rsidR="005618BA" w:rsidRPr="005618BA">
        <w:rPr>
          <w:color w:val="000000"/>
        </w:rPr>
        <w:t>Therefore, total average annual respondent hours are</w:t>
      </w:r>
      <w:r w:rsidR="00435FE1">
        <w:rPr>
          <w:color w:val="000000"/>
        </w:rPr>
        <w:t xml:space="preserve"> </w:t>
      </w:r>
      <w:r w:rsidR="00A91CF7">
        <w:rPr>
          <w:color w:val="000000"/>
        </w:rPr>
        <w:t>42,27</w:t>
      </w:r>
      <w:r w:rsidR="00B90F17">
        <w:rPr>
          <w:color w:val="000000"/>
        </w:rPr>
        <w:t>7</w:t>
      </w:r>
      <w:r w:rsidR="005618BA">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AC1F91">
        <w:rPr>
          <w:color w:val="000000"/>
        </w:rPr>
        <w:t xml:space="preserve">   </w:t>
      </w:r>
      <w:r>
        <w:rPr>
          <w:color w:val="000000"/>
        </w:rPr>
        <w:t>the</w:t>
      </w:r>
      <w:r w:rsidR="00DE58F6">
        <w:rPr>
          <w:color w:val="000000"/>
        </w:rPr>
        <w:t xml:space="preserve"> emission guideline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365AF1" w:rsidRDefault="00365AF1" w:rsidP="00365AF1">
      <w:pPr>
        <w:pBdr>
          <w:top w:val="single" w:sz="6" w:space="0" w:color="FFFFFF"/>
          <w:left w:val="single" w:sz="6" w:space="0" w:color="FFFFFF"/>
          <w:bottom w:val="single" w:sz="6" w:space="0" w:color="FFFFFF"/>
          <w:right w:val="single" w:sz="6" w:space="0" w:color="FFFFFF"/>
        </w:pBdr>
        <w:ind w:firstLine="720"/>
        <w:rPr>
          <w:color w:val="000000"/>
        </w:rPr>
      </w:pPr>
      <w:r w:rsidRPr="00365AF1">
        <w:rPr>
          <w:color w:val="000000"/>
        </w:rPr>
        <w:t>For public-sector respondents (</w:t>
      </w:r>
      <w:r w:rsidR="00435FE1">
        <w:rPr>
          <w:color w:val="000000"/>
        </w:rPr>
        <w:t xml:space="preserve">i.e., </w:t>
      </w:r>
      <w:r w:rsidRPr="00365AF1">
        <w:rPr>
          <w:color w:val="000000"/>
        </w:rPr>
        <w:t>publi</w:t>
      </w:r>
      <w:r w:rsidR="00442961">
        <w:rPr>
          <w:color w:val="000000"/>
        </w:rPr>
        <w:t>cly</w:t>
      </w:r>
      <w:r w:rsidR="004C22BB">
        <w:rPr>
          <w:color w:val="000000"/>
        </w:rPr>
        <w:t>-</w:t>
      </w:r>
      <w:r w:rsidRPr="00365AF1">
        <w:rPr>
          <w:color w:val="000000"/>
        </w:rPr>
        <w:t xml:space="preserve">owned or </w:t>
      </w:r>
      <w:r w:rsidR="00AC1F91">
        <w:rPr>
          <w:color w:val="000000"/>
        </w:rPr>
        <w:t>-</w:t>
      </w:r>
      <w:r w:rsidRPr="00365AF1">
        <w:rPr>
          <w:color w:val="000000"/>
        </w:rPr>
        <w:t>operated landfills), EPA applied the same government employee labor rates as EPA agency staff, which are presented in Section 6(c).</w:t>
      </w:r>
    </w:p>
    <w:p w:rsidR="00365AF1" w:rsidRDefault="00365AF1" w:rsidP="00365AF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DE58F6" w:rsidRDefault="00DE58F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DE5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w:t>
      </w:r>
      <w:r w:rsidR="00DE58F6">
        <w:rPr>
          <w:color w:val="000000"/>
        </w:rPr>
        <w:t>s</w:t>
      </w:r>
      <w:r>
        <w:rPr>
          <w:color w:val="000000"/>
        </w:rPr>
        <w:t xml:space="preserve"> are both labor costs</w:t>
      </w:r>
      <w:r w:rsidR="00DE58F6">
        <w:rPr>
          <w:color w:val="000000"/>
        </w:rPr>
        <w:t>,</w:t>
      </w:r>
      <w:r>
        <w:rPr>
          <w:color w:val="000000"/>
        </w:rPr>
        <w:t xml:space="preserve"> which are addressed elsewhere in this ICR</w:t>
      </w:r>
      <w:r w:rsidR="00DE58F6">
        <w:rPr>
          <w:color w:val="000000"/>
        </w:rPr>
        <w:t>,</w:t>
      </w:r>
      <w:r>
        <w:rPr>
          <w:color w:val="000000"/>
        </w:rPr>
        <w:t xml:space="preserve"> and the costs associated with continuous monitoring.  </w:t>
      </w:r>
      <w:r w:rsidR="00435FE1">
        <w:rPr>
          <w:color w:val="000000"/>
        </w:rPr>
        <w:t>C</w:t>
      </w:r>
      <w:r>
        <w:rPr>
          <w:color w:val="000000"/>
        </w:rPr>
        <w:t>apital/startup costs are one</w:t>
      </w:r>
      <w:r w:rsidR="00435FE1">
        <w:rPr>
          <w:color w:val="000000"/>
        </w:rPr>
        <w:t>-</w:t>
      </w:r>
      <w:r>
        <w:rPr>
          <w:color w:val="000000"/>
        </w:rPr>
        <w:t xml:space="preserve">time costs when a facility becomes subject to the regulation.  </w:t>
      </w:r>
      <w:r w:rsidR="00435FE1">
        <w:rPr>
          <w:color w:val="000000"/>
        </w:rPr>
        <w:t>N</w:t>
      </w:r>
      <w:r w:rsidR="00435FE1" w:rsidRPr="00DE58F6">
        <w:rPr>
          <w:color w:val="000000"/>
        </w:rPr>
        <w:t>o capital</w:t>
      </w:r>
      <w:r w:rsidR="00435FE1">
        <w:rPr>
          <w:color w:val="000000"/>
        </w:rPr>
        <w:t>/startup</w:t>
      </w:r>
      <w:r w:rsidR="00435FE1" w:rsidRPr="00DE58F6">
        <w:rPr>
          <w:color w:val="000000"/>
        </w:rPr>
        <w:t xml:space="preserve"> costs </w:t>
      </w:r>
      <w:r w:rsidR="00435FE1">
        <w:rPr>
          <w:color w:val="000000"/>
        </w:rPr>
        <w:t xml:space="preserve">are </w:t>
      </w:r>
      <w:r w:rsidR="00435FE1" w:rsidRPr="00DE58F6">
        <w:rPr>
          <w:color w:val="000000"/>
        </w:rPr>
        <w:t>included in this ICR</w:t>
      </w:r>
      <w:r w:rsidR="00435FE1">
        <w:rPr>
          <w:color w:val="000000"/>
        </w:rPr>
        <w:t xml:space="preserve"> s</w:t>
      </w:r>
      <w:r w:rsidR="00DE58F6" w:rsidRPr="00DE58F6">
        <w:rPr>
          <w:color w:val="000000"/>
        </w:rPr>
        <w:t>ince these costs would have been incurred in the first year</w:t>
      </w:r>
      <w:r w:rsidR="00435FE1">
        <w:rPr>
          <w:color w:val="000000"/>
        </w:rPr>
        <w:t xml:space="preserve"> by existing sources</w:t>
      </w:r>
      <w:r w:rsidR="00E95FF5">
        <w:rPr>
          <w:color w:val="000000"/>
        </w:rPr>
        <w:t>,</w:t>
      </w:r>
      <w:r w:rsidR="00435FE1">
        <w:rPr>
          <w:color w:val="000000"/>
        </w:rPr>
        <w:t xml:space="preserve"> and since no new sources are expected</w:t>
      </w:r>
      <w:r w:rsidR="00DE58F6" w:rsidRPr="00DE58F6">
        <w:rPr>
          <w:color w:val="000000"/>
        </w:rPr>
        <w:t>.</w:t>
      </w:r>
      <w:r w:rsidR="00DE58F6">
        <w:rPr>
          <w:color w:val="000000"/>
        </w:rPr>
        <w:t xml:space="preserve">  </w:t>
      </w:r>
      <w:r w:rsidR="008C5F60">
        <w:rPr>
          <w:color w:val="000000"/>
        </w:rPr>
        <w:t>A</w:t>
      </w:r>
      <w:r>
        <w:rPr>
          <w:color w:val="000000"/>
        </w:rPr>
        <w:t xml:space="preserve">nnual operation and maintenance </w:t>
      </w:r>
      <w:r w:rsidR="008C5F60">
        <w:rPr>
          <w:color w:val="000000"/>
        </w:rPr>
        <w:t xml:space="preserve">(O&amp;M) </w:t>
      </w:r>
      <w:r>
        <w:rPr>
          <w:color w:val="000000"/>
        </w:rPr>
        <w:t>costs are the ongoing costs to maintain the monitor(s) and other costs su</w:t>
      </w:r>
      <w:r w:rsidR="00DE58F6">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AF0E0D">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8D41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8D41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8D41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8D41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8D41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8D4106">
            <w:pPr>
              <w:spacing w:line="120" w:lineRule="exact"/>
              <w:jc w:val="center"/>
              <w:rPr>
                <w:color w:val="000000"/>
                <w:sz w:val="20"/>
                <w:szCs w:val="20"/>
              </w:rPr>
            </w:pPr>
          </w:p>
          <w:p w:rsidR="00CA4CD6" w:rsidRDefault="00CA4CD6" w:rsidP="008D41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8D41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r w:rsidR="008D4106">
              <w:rPr>
                <w:color w:val="000000"/>
                <w:sz w:val="20"/>
                <w:szCs w:val="20"/>
              </w:rPr>
              <w:t xml:space="preserve"> </w:t>
            </w:r>
            <w:r w:rsidR="008D4106" w:rsidRPr="008D4106">
              <w:rPr>
                <w:color w:val="000000"/>
                <w:sz w:val="20"/>
                <w:szCs w:val="20"/>
                <w:vertAlign w:val="superscript"/>
              </w:rPr>
              <w:t>1</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8D41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8D410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D411B4">
        <w:tc>
          <w:tcPr>
            <w:tcW w:w="1170" w:type="dxa"/>
            <w:tcBorders>
              <w:top w:val="single" w:sz="7" w:space="0" w:color="000000"/>
              <w:left w:val="single" w:sz="7" w:space="0" w:color="000000"/>
              <w:bottom w:val="single" w:sz="7" w:space="0" w:color="000000"/>
              <w:right w:val="single" w:sz="6" w:space="0" w:color="FFFFFF"/>
            </w:tcBorders>
            <w:vAlign w:val="center"/>
          </w:tcPr>
          <w:p w:rsidR="00CA4CD6" w:rsidRDefault="00D411B4" w:rsidP="00D411B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Default="00D411B4" w:rsidP="00D411B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Default="00D411B4" w:rsidP="00D411B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Default="00D411B4" w:rsidP="00D411B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AF0E0D">
            <w:pPr>
              <w:spacing w:line="120" w:lineRule="exact"/>
              <w:jc w:val="center"/>
              <w:rPr>
                <w:color w:val="000000"/>
                <w:sz w:val="20"/>
                <w:szCs w:val="20"/>
              </w:rPr>
            </w:pPr>
          </w:p>
          <w:p w:rsidR="00CA4CD6" w:rsidRDefault="00AF0E0D" w:rsidP="00AF0E0D">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$1,400</w:t>
            </w:r>
          </w:p>
        </w:tc>
        <w:tc>
          <w:tcPr>
            <w:tcW w:w="1260" w:type="dxa"/>
            <w:tcBorders>
              <w:top w:val="single" w:sz="7" w:space="0" w:color="000000"/>
              <w:left w:val="single" w:sz="7" w:space="0" w:color="000000"/>
              <w:bottom w:val="single" w:sz="7" w:space="0" w:color="000000"/>
              <w:right w:val="single" w:sz="6" w:space="0" w:color="FFFFFF"/>
            </w:tcBorders>
          </w:tcPr>
          <w:p w:rsidR="00CA4CD6" w:rsidRPr="00AF0E0D" w:rsidRDefault="00CA4CD6" w:rsidP="00AF0E0D">
            <w:pPr>
              <w:spacing w:line="120" w:lineRule="exact"/>
              <w:jc w:val="center"/>
              <w:rPr>
                <w:color w:val="000000"/>
                <w:sz w:val="20"/>
                <w:szCs w:val="20"/>
              </w:rPr>
            </w:pPr>
          </w:p>
          <w:p w:rsidR="00CA4CD6" w:rsidRPr="00AF0E0D" w:rsidRDefault="00BA6B18" w:rsidP="00AF0E0D">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474</w:t>
            </w:r>
          </w:p>
        </w:tc>
        <w:tc>
          <w:tcPr>
            <w:tcW w:w="1350" w:type="dxa"/>
            <w:tcBorders>
              <w:top w:val="single" w:sz="7" w:space="0" w:color="000000"/>
              <w:left w:val="single" w:sz="7" w:space="0" w:color="000000"/>
              <w:bottom w:val="single" w:sz="7" w:space="0" w:color="000000"/>
              <w:right w:val="single" w:sz="7" w:space="0" w:color="000000"/>
            </w:tcBorders>
          </w:tcPr>
          <w:p w:rsidR="00CA4CD6" w:rsidRPr="00AF0E0D" w:rsidRDefault="00CA4CD6" w:rsidP="00AF0E0D">
            <w:pPr>
              <w:spacing w:line="120" w:lineRule="exact"/>
              <w:jc w:val="center"/>
              <w:rPr>
                <w:color w:val="000000"/>
                <w:sz w:val="20"/>
                <w:szCs w:val="20"/>
              </w:rPr>
            </w:pPr>
          </w:p>
          <w:p w:rsidR="00CA4CD6" w:rsidRPr="00AF0E0D" w:rsidRDefault="00AF0E0D" w:rsidP="00BA6B1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AF0E0D">
              <w:rPr>
                <w:color w:val="000000"/>
                <w:sz w:val="20"/>
                <w:szCs w:val="20"/>
              </w:rPr>
              <w:t>$</w:t>
            </w:r>
            <w:r w:rsidR="00BA6B18">
              <w:rPr>
                <w:color w:val="000000"/>
                <w:sz w:val="20"/>
                <w:szCs w:val="20"/>
              </w:rPr>
              <w:t>663,600</w:t>
            </w:r>
          </w:p>
        </w:tc>
      </w:tr>
    </w:tbl>
    <w:p w:rsidR="00CA4CD6" w:rsidRPr="007C00E8" w:rsidRDefault="008D4106" w:rsidP="008D4106">
      <w:pPr>
        <w:pStyle w:val="ListParagraph"/>
        <w:numPr>
          <w:ilvl w:val="0"/>
          <w:numId w:val="4"/>
        </w:numPr>
        <w:pBdr>
          <w:top w:val="single" w:sz="6" w:space="0" w:color="FFFFFF"/>
          <w:left w:val="single" w:sz="6" w:space="0" w:color="FFFFFF"/>
          <w:bottom w:val="single" w:sz="6" w:space="0" w:color="FFFFFF"/>
          <w:right w:val="single" w:sz="6" w:space="0" w:color="FFFFFF"/>
        </w:pBdr>
        <w:rPr>
          <w:color w:val="000000"/>
          <w:sz w:val="18"/>
          <w:szCs w:val="18"/>
        </w:rPr>
      </w:pPr>
      <w:r w:rsidRPr="007C00E8">
        <w:rPr>
          <w:color w:val="000000"/>
          <w:sz w:val="18"/>
          <w:szCs w:val="18"/>
        </w:rPr>
        <w:t>Total number of respondents are derived from 157 Privately owned and 317 Publicly owned</w:t>
      </w:r>
    </w:p>
    <w:p w:rsidR="008D4106" w:rsidRPr="008D4106" w:rsidRDefault="008D4106" w:rsidP="008D4106">
      <w:pPr>
        <w:pStyle w:val="ListParagraph"/>
        <w:pBdr>
          <w:top w:val="single" w:sz="6" w:space="0" w:color="FFFFFF"/>
          <w:left w:val="single" w:sz="6" w:space="0" w:color="FFFFFF"/>
          <w:bottom w:val="single" w:sz="6" w:space="0" w:color="FFFFFF"/>
          <w:right w:val="single" w:sz="6" w:space="0" w:color="FFFFFF"/>
        </w:pBdr>
        <w:ind w:left="1080"/>
        <w:rPr>
          <w:color w:val="000000"/>
          <w:sz w:val="20"/>
          <w:szCs w:val="20"/>
        </w:rPr>
      </w:pPr>
    </w:p>
    <w:p w:rsidR="00CA4CD6" w:rsidRDefault="00DE5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capital/startup costs for this ICR.  </w:t>
      </w:r>
      <w:r w:rsidR="00CA4CD6">
        <w:rPr>
          <w:color w:val="000000"/>
        </w:rPr>
        <w:t>This is the total o</w:t>
      </w:r>
      <w:r w:rsidR="00507EC5">
        <w:rPr>
          <w:color w:val="000000"/>
        </w:rPr>
        <w:t xml:space="preserve">f column D in the </w:t>
      </w:r>
      <w:r w:rsidR="008C5F60">
        <w:rPr>
          <w:color w:val="000000"/>
        </w:rPr>
        <w:t xml:space="preserve">table </w:t>
      </w:r>
      <w:r w:rsidR="00507EC5">
        <w:rPr>
          <w:color w:val="000000"/>
        </w:rPr>
        <w:t xml:space="preserve">above.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E58F6" w:rsidRPr="00DE58F6" w:rsidRDefault="00CA4CD6" w:rsidP="00AF0E0D">
      <w:pPr>
        <w:pBdr>
          <w:top w:val="single" w:sz="6" w:space="0" w:color="FFFFFF"/>
          <w:left w:val="single" w:sz="6" w:space="0" w:color="FFFFFF"/>
          <w:bottom w:val="single" w:sz="6" w:space="0" w:color="FFFFFF"/>
          <w:right w:val="single" w:sz="6" w:space="0" w:color="FFFFFF"/>
        </w:pBdr>
        <w:ind w:firstLine="720"/>
        <w:rPr>
          <w:color w:val="000000"/>
          <w:highlight w:val="yellow"/>
        </w:rPr>
      </w:pPr>
      <w:r>
        <w:rPr>
          <w:color w:val="000000"/>
        </w:rPr>
        <w:t>The total O&amp;M costs for this ICR are $</w:t>
      </w:r>
      <w:r w:rsidR="00BA6B18">
        <w:rPr>
          <w:color w:val="000000"/>
        </w:rPr>
        <w:t>663</w:t>
      </w:r>
      <w:r w:rsidR="00AF0E0D" w:rsidRPr="00AF0E0D">
        <w:rPr>
          <w:color w:val="000000"/>
        </w:rPr>
        <w:t>,</w:t>
      </w:r>
      <w:r w:rsidR="00BA6B18">
        <w:rPr>
          <w:color w:val="000000"/>
        </w:rPr>
        <w:t>6</w:t>
      </w:r>
      <w:r w:rsidR="00AF0E0D" w:rsidRPr="00AF0E0D">
        <w:rPr>
          <w:color w:val="000000"/>
        </w:rPr>
        <w:t>00</w:t>
      </w:r>
      <w:r>
        <w:rPr>
          <w:color w:val="000000"/>
        </w:rPr>
        <w:t xml:space="preserve">.  </w:t>
      </w:r>
      <w:r w:rsidR="00507EC5">
        <w:rPr>
          <w:color w:val="000000"/>
        </w:rPr>
        <w:t>This is the total of column G.</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AC1F91">
        <w:rPr>
          <w:color w:val="000000"/>
        </w:rPr>
        <w:t xml:space="preserve">            </w:t>
      </w:r>
      <w:r>
        <w:rPr>
          <w:color w:val="000000"/>
        </w:rPr>
        <w:t>to industry over the next three years of the ICR is estimated to be $</w:t>
      </w:r>
      <w:r w:rsidR="00BA6B18">
        <w:rPr>
          <w:color w:val="000000"/>
        </w:rPr>
        <w:t>663,6</w:t>
      </w:r>
      <w:r w:rsidR="00AF0E0D" w:rsidRPr="00AF0E0D">
        <w:rPr>
          <w:color w:val="000000"/>
        </w:rPr>
        <w:t>00</w:t>
      </w:r>
      <w:r>
        <w:rPr>
          <w:color w:val="000000"/>
        </w:rPr>
        <w:t xml:space="preserve">. </w:t>
      </w:r>
      <w:r w:rsidR="001C5991">
        <w:rPr>
          <w:color w:val="000000"/>
        </w:rPr>
        <w:t xml:space="preserve"> These are recordkeeping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273B5" w:rsidRPr="00C273B5">
        <w:rPr>
          <w:color w:val="000000"/>
        </w:rPr>
        <w:t>16,947</w:t>
      </w:r>
      <w:r w:rsidR="008C5F60">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9D5026">
        <w:rPr>
          <w:color w:val="000000"/>
        </w:rPr>
        <w:t>2</w:t>
      </w:r>
      <w:r>
        <w:rPr>
          <w:color w:val="000000"/>
        </w:rPr>
        <w:t xml:space="preserve"> General Schedule</w:t>
      </w:r>
      <w:r w:rsidR="007A458D">
        <w:rPr>
          <w:color w:val="000000"/>
        </w:rPr>
        <w:t>,</w:t>
      </w:r>
      <w:r>
        <w:rPr>
          <w:color w:val="000000"/>
        </w:rPr>
        <w:t xml:space="preserve"> which excludes </w:t>
      </w:r>
      <w:r w:rsidR="008C0D6F">
        <w:rPr>
          <w:color w:val="000000"/>
        </w:rPr>
        <w:t>locality,</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w:t>
      </w:r>
      <w:r w:rsidR="006767D9">
        <w:rPr>
          <w:color w:val="000000"/>
        </w:rPr>
        <w:t>2</w:t>
      </w:r>
      <w:r>
        <w:rPr>
          <w:color w:val="000000"/>
        </w:rPr>
        <w:t xml:space="preserve">: </w:t>
      </w:r>
      <w:r w:rsidR="00144F35">
        <w:rPr>
          <w:color w:val="000000"/>
        </w:rPr>
        <w:t>Average Annual EPA Burden and Cost</w:t>
      </w:r>
      <w:r w:rsidR="00A6380B">
        <w:rPr>
          <w:color w:val="000000"/>
        </w:rPr>
        <w:t xml:space="preserve"> – </w:t>
      </w:r>
      <w:r w:rsidR="00A6380B" w:rsidRPr="00A6380B">
        <w:rPr>
          <w:color w:val="000000"/>
        </w:rPr>
        <w:t>Emission Guidelines and Compliance Times for Existing Municipal Solid Waste Landfills (40 CFR Part 60, Subpart Cc and 40 CFR Part 62, Subpart GGG) (Renewal)</w:t>
      </w:r>
      <w:r w:rsidR="00A6380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C22BB" w:rsidRDefault="004C22BB">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66231D">
        <w:rPr>
          <w:color w:val="000000"/>
        </w:rPr>
        <w:t xml:space="preserve">the average number of respondents over the next three years is </w:t>
      </w:r>
      <w:r>
        <w:rPr>
          <w:color w:val="000000"/>
        </w:rPr>
        <w:t xml:space="preserve">approximately </w:t>
      </w:r>
      <w:r w:rsidR="001C24CE">
        <w:rPr>
          <w:color w:val="000000"/>
        </w:rPr>
        <w:t>474</w:t>
      </w:r>
      <w:r w:rsidR="0066231D">
        <w:rPr>
          <w:color w:val="000000"/>
        </w:rPr>
        <w:t xml:space="preserve"> landfill owners/operators and 3</w:t>
      </w:r>
      <w:r w:rsidR="001C24CE">
        <w:rPr>
          <w:color w:val="000000"/>
        </w:rPr>
        <w:t>7</w:t>
      </w:r>
      <w:r w:rsidR="0066231D">
        <w:rPr>
          <w:color w:val="000000"/>
        </w:rPr>
        <w:t xml:space="preserve"> State/local agencies, for a </w:t>
      </w:r>
      <w:r w:rsidR="00AC1F91">
        <w:rPr>
          <w:color w:val="000000"/>
        </w:rPr>
        <w:t xml:space="preserve"> </w:t>
      </w:r>
      <w:r w:rsidR="0066231D">
        <w:rPr>
          <w:color w:val="000000"/>
        </w:rPr>
        <w:t xml:space="preserve">total respondent count of </w:t>
      </w:r>
      <w:r w:rsidR="001C24CE">
        <w:rPr>
          <w:color w:val="000000"/>
        </w:rPr>
        <w:t>511</w:t>
      </w:r>
      <w:r>
        <w:rPr>
          <w:color w:val="000000"/>
        </w:rPr>
        <w:t xml:space="preserve">.  It is estimated that </w:t>
      </w:r>
      <w:r w:rsidR="005618BA">
        <w:rPr>
          <w:color w:val="000000"/>
        </w:rPr>
        <w:t>1</w:t>
      </w:r>
      <w:r w:rsidR="001C24CE">
        <w:rPr>
          <w:color w:val="000000"/>
        </w:rPr>
        <w:t>5</w:t>
      </w:r>
      <w:r w:rsidR="00CB5F76">
        <w:rPr>
          <w:color w:val="000000"/>
        </w:rPr>
        <w:t xml:space="preserve"> </w:t>
      </w:r>
      <w:r>
        <w:rPr>
          <w:color w:val="000000"/>
        </w:rPr>
        <w:t xml:space="preserve">respondents per year will </w:t>
      </w:r>
      <w:r w:rsidR="0029263E">
        <w:rPr>
          <w:color w:val="000000"/>
        </w:rPr>
        <w:t xml:space="preserve">undergo landfill closures and will </w:t>
      </w:r>
      <w:r w:rsidR="00CB5F76">
        <w:rPr>
          <w:color w:val="000000"/>
        </w:rPr>
        <w:t xml:space="preserve">no longer be </w:t>
      </w:r>
      <w:r>
        <w:rPr>
          <w:color w:val="000000"/>
        </w:rPr>
        <w:t>subject</w:t>
      </w:r>
      <w:r w:rsidR="0029263E">
        <w:rPr>
          <w:color w:val="000000"/>
        </w:rPr>
        <w:t xml:space="preserve"> to the emission guidelines</w:t>
      </w:r>
      <w:r>
        <w:rPr>
          <w:color w:val="000000"/>
        </w:rPr>
        <w:t xml:space="preserve">.  The overall average number </w:t>
      </w:r>
      <w:r w:rsidR="00AC1F91">
        <w:rPr>
          <w:color w:val="000000"/>
        </w:rPr>
        <w:t xml:space="preserve"> </w:t>
      </w:r>
      <w:r>
        <w:rPr>
          <w:color w:val="000000"/>
        </w:rPr>
        <w:t>of respondents, as shown in the table below</w:t>
      </w:r>
      <w:r w:rsidR="009D5026">
        <w:rPr>
          <w:color w:val="000000"/>
        </w:rPr>
        <w:t xml:space="preserve">, </w:t>
      </w:r>
      <w:r>
        <w:rPr>
          <w:color w:val="000000"/>
        </w:rPr>
        <w:t>is</w:t>
      </w:r>
      <w:r w:rsidR="009D5026">
        <w:rPr>
          <w:color w:val="000000"/>
        </w:rPr>
        <w:t xml:space="preserve"> </w:t>
      </w:r>
      <w:r w:rsidR="0029263E">
        <w:rPr>
          <w:color w:val="000000"/>
        </w:rPr>
        <w:t>474</w:t>
      </w:r>
      <w:r w:rsidR="009D5026">
        <w:rPr>
          <w:color w:val="000000"/>
        </w:rPr>
        <w:t xml:space="preserve"> </w:t>
      </w:r>
      <w:r w:rsidR="005618BA">
        <w:rPr>
          <w:color w:val="000000"/>
        </w:rPr>
        <w:t xml:space="preserve">respondents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9263E" w:rsidRDefault="0029263E" w:rsidP="0029263E">
      <w:pPr>
        <w:pBdr>
          <w:top w:val="single" w:sz="6" w:space="0" w:color="FFFFFF"/>
          <w:left w:val="single" w:sz="6" w:space="0" w:color="FFFFFF"/>
          <w:bottom w:val="single" w:sz="6" w:space="0" w:color="FFFFFF"/>
          <w:right w:val="single" w:sz="6" w:space="0" w:color="FFFFFF"/>
        </w:pBdr>
        <w:ind w:firstLine="720"/>
        <w:rPr>
          <w:color w:val="000000"/>
        </w:rPr>
      </w:pPr>
      <w:r w:rsidRPr="0029263E">
        <w:rPr>
          <w:color w:val="000000"/>
        </w:rPr>
        <w:t>EPA estimates that 67 percent of landfills are public</w:t>
      </w:r>
      <w:r>
        <w:rPr>
          <w:color w:val="000000"/>
        </w:rPr>
        <w:t>ly</w:t>
      </w:r>
      <w:r w:rsidR="00AC1F91">
        <w:rPr>
          <w:color w:val="000000"/>
        </w:rPr>
        <w:t>-</w:t>
      </w:r>
      <w:r>
        <w:rPr>
          <w:color w:val="000000"/>
        </w:rPr>
        <w:t>owned</w:t>
      </w:r>
      <w:r w:rsidRPr="0029263E">
        <w:rPr>
          <w:color w:val="000000"/>
        </w:rPr>
        <w:t xml:space="preserve"> and </w:t>
      </w:r>
      <w:r>
        <w:rPr>
          <w:color w:val="000000"/>
        </w:rPr>
        <w:t xml:space="preserve">that </w:t>
      </w:r>
      <w:r w:rsidRPr="0029263E">
        <w:rPr>
          <w:color w:val="000000"/>
        </w:rPr>
        <w:t>33 percent are private</w:t>
      </w:r>
      <w:r>
        <w:rPr>
          <w:color w:val="000000"/>
        </w:rPr>
        <w:t>ly</w:t>
      </w:r>
      <w:r w:rsidR="00AC1F91">
        <w:rPr>
          <w:color w:val="000000"/>
        </w:rPr>
        <w:t>-</w:t>
      </w:r>
      <w:r>
        <w:rPr>
          <w:color w:val="000000"/>
        </w:rPr>
        <w:t>owned</w:t>
      </w:r>
      <w:r w:rsidRPr="0029263E">
        <w:rPr>
          <w:color w:val="000000"/>
        </w:rPr>
        <w:t>.</w:t>
      </w:r>
      <w:r>
        <w:rPr>
          <w:color w:val="000000"/>
        </w:rPr>
        <w:t xml:space="preserve"> </w:t>
      </w:r>
      <w:r w:rsidRPr="0029263E">
        <w:rPr>
          <w:color w:val="000000"/>
        </w:rPr>
        <w:t xml:space="preserve"> Thus, the count of </w:t>
      </w:r>
      <w:r>
        <w:rPr>
          <w:color w:val="000000"/>
        </w:rPr>
        <w:t>474</w:t>
      </w:r>
      <w:r w:rsidRPr="0029263E">
        <w:rPr>
          <w:color w:val="000000"/>
        </w:rPr>
        <w:t xml:space="preserve"> landfills includes </w:t>
      </w:r>
      <w:r>
        <w:rPr>
          <w:color w:val="000000"/>
        </w:rPr>
        <w:t>157</w:t>
      </w:r>
      <w:r w:rsidRPr="0029263E">
        <w:rPr>
          <w:color w:val="000000"/>
        </w:rPr>
        <w:t xml:space="preserve"> private landfills and </w:t>
      </w:r>
      <w:r>
        <w:rPr>
          <w:color w:val="000000"/>
        </w:rPr>
        <w:t>317</w:t>
      </w:r>
      <w:r w:rsidRPr="0029263E">
        <w:rPr>
          <w:color w:val="000000"/>
        </w:rPr>
        <w:t xml:space="preserve"> </w:t>
      </w:r>
      <w:r>
        <w:rPr>
          <w:color w:val="000000"/>
        </w:rPr>
        <w:t xml:space="preserve">public </w:t>
      </w:r>
      <w:r w:rsidRPr="0029263E">
        <w:rPr>
          <w:color w:val="000000"/>
        </w:rPr>
        <w:t xml:space="preserve">landfills. </w:t>
      </w:r>
      <w:r>
        <w:rPr>
          <w:color w:val="000000"/>
        </w:rPr>
        <w:t xml:space="preserve"> We also estimate</w:t>
      </w:r>
      <w:r w:rsidRPr="0029263E">
        <w:rPr>
          <w:color w:val="000000"/>
        </w:rPr>
        <w:t xml:space="preserve"> that 67 percent of landfills are </w:t>
      </w:r>
      <w:r>
        <w:rPr>
          <w:color w:val="000000"/>
        </w:rPr>
        <w:t>subject to a</w:t>
      </w:r>
      <w:r w:rsidR="005C3871">
        <w:rPr>
          <w:color w:val="000000"/>
        </w:rPr>
        <w:t xml:space="preserve"> State plan</w:t>
      </w:r>
      <w:r w:rsidR="00086CC6">
        <w:rPr>
          <w:color w:val="000000"/>
        </w:rPr>
        <w:t xml:space="preserve">; therefore, there are </w:t>
      </w:r>
      <w:r w:rsidR="005C3871">
        <w:rPr>
          <w:color w:val="000000"/>
        </w:rPr>
        <w:t>317 landfills (publicly</w:t>
      </w:r>
      <w:r w:rsidR="00AC1F91">
        <w:rPr>
          <w:color w:val="000000"/>
        </w:rPr>
        <w:t>-</w:t>
      </w:r>
      <w:r w:rsidR="005C3871">
        <w:rPr>
          <w:color w:val="000000"/>
        </w:rPr>
        <w:t xml:space="preserve"> or privately</w:t>
      </w:r>
      <w:r w:rsidR="00AC1F91">
        <w:rPr>
          <w:color w:val="000000"/>
        </w:rPr>
        <w:t>-</w:t>
      </w:r>
      <w:r w:rsidR="005C3871">
        <w:rPr>
          <w:color w:val="000000"/>
        </w:rPr>
        <w:t>owned) for which State and local agencies will implement the emission guidelines.</w:t>
      </w:r>
    </w:p>
    <w:p w:rsidR="0029263E" w:rsidRDefault="0029263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tblPr>
      <w:tblGrid>
        <w:gridCol w:w="900"/>
        <w:gridCol w:w="1525"/>
        <w:gridCol w:w="2070"/>
        <w:gridCol w:w="1243"/>
        <w:gridCol w:w="1690"/>
        <w:gridCol w:w="1405"/>
      </w:tblGrid>
      <w:tr w:rsidR="0092579C" w:rsidTr="0092579C">
        <w:trPr>
          <w:tblHeader/>
          <w:jc w:val="center"/>
        </w:trPr>
        <w:tc>
          <w:tcPr>
            <w:tcW w:w="8833" w:type="dxa"/>
            <w:gridSpan w:val="6"/>
          </w:tcPr>
          <w:p w:rsidR="0092579C" w:rsidRDefault="0092579C">
            <w:pPr>
              <w:spacing w:line="120" w:lineRule="exact"/>
              <w:rPr>
                <w:color w:val="000000"/>
              </w:rPr>
            </w:pPr>
          </w:p>
          <w:p w:rsidR="0092579C" w:rsidRDefault="0092579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92579C" w:rsidTr="0092579C">
        <w:trPr>
          <w:tblHeader/>
          <w:jc w:val="center"/>
        </w:trPr>
        <w:tc>
          <w:tcPr>
            <w:tcW w:w="900" w:type="dxa"/>
          </w:tcPr>
          <w:p w:rsidR="0092579C" w:rsidRDefault="008C0D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25" w:type="dxa"/>
          </w:tcPr>
          <w:p w:rsidR="0092579C" w:rsidRDefault="0092579C" w:rsidP="00C9571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92579C" w:rsidRDefault="0092579C" w:rsidP="00C9571F">
            <w:pPr>
              <w:jc w:val="center"/>
              <w:rPr>
                <w:color w:val="000000"/>
                <w:sz w:val="20"/>
                <w:szCs w:val="20"/>
              </w:rPr>
            </w:pPr>
            <w:r>
              <w:rPr>
                <w:color w:val="000000"/>
                <w:sz w:val="20"/>
                <w:szCs w:val="20"/>
              </w:rPr>
              <w:t>Number of Existing Respondents</w:t>
            </w:r>
          </w:p>
        </w:tc>
        <w:tc>
          <w:tcPr>
            <w:tcW w:w="2070" w:type="dxa"/>
          </w:tcPr>
          <w:p w:rsidR="0092579C" w:rsidRDefault="0092579C" w:rsidP="00C9571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92579C" w:rsidRDefault="0092579C" w:rsidP="00C9571F">
            <w:pPr>
              <w:jc w:val="center"/>
              <w:rPr>
                <w:color w:val="000000"/>
                <w:sz w:val="20"/>
                <w:szCs w:val="20"/>
              </w:rPr>
            </w:pPr>
            <w:r>
              <w:rPr>
                <w:color w:val="000000"/>
                <w:sz w:val="20"/>
                <w:szCs w:val="20"/>
              </w:rPr>
              <w:t>Number of Existing  Respondents that keep records but do not submit reports</w:t>
            </w:r>
          </w:p>
        </w:tc>
        <w:tc>
          <w:tcPr>
            <w:tcW w:w="1243" w:type="dxa"/>
          </w:tcPr>
          <w:p w:rsidR="0092579C" w:rsidRDefault="0092579C" w:rsidP="00C9571F">
            <w:pPr>
              <w:spacing w:line="120" w:lineRule="exact"/>
              <w:jc w:val="center"/>
              <w:rPr>
                <w:color w:val="000000"/>
                <w:sz w:val="20"/>
                <w:szCs w:val="20"/>
              </w:rPr>
            </w:pPr>
          </w:p>
          <w:p w:rsidR="0092579C" w:rsidRDefault="0092579C" w:rsidP="00C9571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92579C" w:rsidRDefault="0092579C" w:rsidP="0025284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w:t>
            </w:r>
            <w:r w:rsidR="00334700">
              <w:rPr>
                <w:color w:val="000000"/>
                <w:sz w:val="20"/>
                <w:szCs w:val="20"/>
              </w:rPr>
              <w:t xml:space="preserve">Existing </w:t>
            </w:r>
            <w:r>
              <w:rPr>
                <w:color w:val="000000"/>
                <w:sz w:val="20"/>
                <w:szCs w:val="20"/>
              </w:rPr>
              <w:t xml:space="preserve">Respondents That </w:t>
            </w:r>
            <w:r w:rsidR="0025284D">
              <w:rPr>
                <w:color w:val="000000"/>
                <w:sz w:val="20"/>
                <w:szCs w:val="20"/>
              </w:rPr>
              <w:t>Are No</w:t>
            </w:r>
            <w:r>
              <w:rPr>
                <w:color w:val="000000"/>
                <w:sz w:val="20"/>
                <w:szCs w:val="20"/>
              </w:rPr>
              <w:t xml:space="preserve"> Longer Subject </w:t>
            </w:r>
            <w:r>
              <w:rPr>
                <w:color w:val="000000"/>
                <w:sz w:val="20"/>
                <w:szCs w:val="20"/>
                <w:vertAlign w:val="superscript"/>
              </w:rPr>
              <w:t>1</w:t>
            </w:r>
          </w:p>
        </w:tc>
        <w:tc>
          <w:tcPr>
            <w:tcW w:w="1690" w:type="dxa"/>
          </w:tcPr>
          <w:p w:rsidR="0092579C" w:rsidRDefault="0092579C" w:rsidP="00C9571F">
            <w:pPr>
              <w:spacing w:line="120" w:lineRule="exact"/>
              <w:jc w:val="center"/>
              <w:rPr>
                <w:color w:val="000000"/>
                <w:sz w:val="20"/>
                <w:szCs w:val="20"/>
              </w:rPr>
            </w:pPr>
          </w:p>
          <w:p w:rsidR="0092579C" w:rsidRDefault="0092579C" w:rsidP="00C9571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92579C" w:rsidRDefault="0092579C" w:rsidP="00C9571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405" w:type="dxa"/>
          </w:tcPr>
          <w:p w:rsidR="0092579C" w:rsidRDefault="0092579C" w:rsidP="00C9571F">
            <w:pPr>
              <w:spacing w:line="120" w:lineRule="exact"/>
              <w:jc w:val="center"/>
              <w:rPr>
                <w:color w:val="000000"/>
                <w:sz w:val="20"/>
                <w:szCs w:val="20"/>
              </w:rPr>
            </w:pPr>
          </w:p>
          <w:p w:rsidR="0092579C" w:rsidRDefault="0092579C" w:rsidP="00C9571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92579C" w:rsidRDefault="0092579C" w:rsidP="00C9571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92579C" w:rsidRDefault="0092579C" w:rsidP="0006742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4C04FB" w:rsidTr="00E941A3">
        <w:trPr>
          <w:trHeight w:val="288"/>
          <w:jc w:val="center"/>
        </w:trPr>
        <w:tc>
          <w:tcPr>
            <w:tcW w:w="8833" w:type="dxa"/>
            <w:gridSpan w:val="6"/>
            <w:vAlign w:val="center"/>
          </w:tcPr>
          <w:p w:rsidR="004C04FB" w:rsidRPr="0072431E" w:rsidRDefault="004C04FB" w:rsidP="00412980">
            <w:pPr>
              <w:pBdr>
                <w:top w:val="single" w:sz="6" w:space="0" w:color="FFFFFF"/>
                <w:left w:val="single" w:sz="6" w:space="0" w:color="FFFFFF"/>
                <w:bottom w:val="single" w:sz="6" w:space="0" w:color="FFFFFF"/>
                <w:right w:val="single" w:sz="6" w:space="0" w:color="FFFFFF"/>
              </w:pBdr>
              <w:spacing w:after="52"/>
              <w:rPr>
                <w:b/>
                <w:color w:val="000000"/>
                <w:sz w:val="18"/>
                <w:szCs w:val="18"/>
              </w:rPr>
            </w:pPr>
            <w:r w:rsidRPr="0072431E">
              <w:rPr>
                <w:b/>
                <w:color w:val="000000"/>
                <w:sz w:val="18"/>
                <w:szCs w:val="18"/>
              </w:rPr>
              <w:t>Private Landfills</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525" w:type="dxa"/>
            <w:vAlign w:val="center"/>
          </w:tcPr>
          <w:p w:rsidR="00AF7880" w:rsidRP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F7880">
              <w:rPr>
                <w:color w:val="000000"/>
                <w:sz w:val="20"/>
                <w:szCs w:val="20"/>
              </w:rPr>
              <w:t>167</w:t>
            </w:r>
          </w:p>
        </w:tc>
        <w:tc>
          <w:tcPr>
            <w:tcW w:w="2070" w:type="dxa"/>
            <w:vAlign w:val="center"/>
          </w:tcPr>
          <w:p w:rsidR="00AF7880" w:rsidRP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F7880">
              <w:rPr>
                <w:color w:val="000000"/>
                <w:sz w:val="20"/>
                <w:szCs w:val="20"/>
              </w:rPr>
              <w:t>0</w:t>
            </w:r>
          </w:p>
        </w:tc>
        <w:tc>
          <w:tcPr>
            <w:tcW w:w="1243" w:type="dxa"/>
            <w:vAlign w:val="center"/>
          </w:tcPr>
          <w:p w:rsidR="00AF7880" w:rsidRP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F7880">
              <w:rPr>
                <w:color w:val="000000"/>
                <w:sz w:val="20"/>
                <w:szCs w:val="20"/>
              </w:rPr>
              <w:t>5</w:t>
            </w:r>
          </w:p>
        </w:tc>
        <w:tc>
          <w:tcPr>
            <w:tcW w:w="1690" w:type="dxa"/>
            <w:vAlign w:val="center"/>
          </w:tcPr>
          <w:p w:rsidR="00AF7880" w:rsidRP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F7880">
              <w:rPr>
                <w:color w:val="000000"/>
                <w:sz w:val="20"/>
                <w:szCs w:val="20"/>
              </w:rPr>
              <w:t>0</w:t>
            </w:r>
          </w:p>
        </w:tc>
        <w:tc>
          <w:tcPr>
            <w:tcW w:w="1405" w:type="dxa"/>
            <w:vAlign w:val="center"/>
          </w:tcPr>
          <w:p w:rsidR="00AF7880" w:rsidRP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F7880">
              <w:rPr>
                <w:color w:val="000000"/>
                <w:sz w:val="20"/>
                <w:szCs w:val="20"/>
              </w:rPr>
              <w:t>162</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52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162</w:t>
            </w:r>
          </w:p>
        </w:tc>
        <w:tc>
          <w:tcPr>
            <w:tcW w:w="207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69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157</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52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157</w:t>
            </w:r>
          </w:p>
        </w:tc>
        <w:tc>
          <w:tcPr>
            <w:tcW w:w="207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69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152</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52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43"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69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Average</w:t>
            </w:r>
          </w:p>
        </w:tc>
        <w:tc>
          <w:tcPr>
            <w:tcW w:w="140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157</w:t>
            </w:r>
          </w:p>
        </w:tc>
      </w:tr>
      <w:tr w:rsidR="00AF7880" w:rsidTr="00E941A3">
        <w:trPr>
          <w:trHeight w:val="288"/>
          <w:jc w:val="center"/>
        </w:trPr>
        <w:tc>
          <w:tcPr>
            <w:tcW w:w="8833" w:type="dxa"/>
            <w:gridSpan w:val="6"/>
            <w:vAlign w:val="center"/>
          </w:tcPr>
          <w:p w:rsidR="00AF7880" w:rsidRPr="0072431E" w:rsidRDefault="00AF7880" w:rsidP="00412980">
            <w:pPr>
              <w:pBdr>
                <w:top w:val="single" w:sz="6" w:space="0" w:color="FFFFFF"/>
                <w:left w:val="single" w:sz="6" w:space="0" w:color="FFFFFF"/>
                <w:bottom w:val="single" w:sz="6" w:space="0" w:color="FFFFFF"/>
                <w:right w:val="single" w:sz="6" w:space="0" w:color="FFFFFF"/>
              </w:pBdr>
              <w:spacing w:after="52"/>
              <w:rPr>
                <w:b/>
                <w:color w:val="000000"/>
                <w:sz w:val="18"/>
                <w:szCs w:val="18"/>
              </w:rPr>
            </w:pPr>
            <w:r w:rsidRPr="0072431E">
              <w:rPr>
                <w:b/>
                <w:color w:val="000000"/>
                <w:sz w:val="18"/>
                <w:szCs w:val="18"/>
              </w:rPr>
              <w:t>Public Landfills</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52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337</w:t>
            </w:r>
          </w:p>
        </w:tc>
        <w:tc>
          <w:tcPr>
            <w:tcW w:w="207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169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327</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52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327</w:t>
            </w:r>
          </w:p>
        </w:tc>
        <w:tc>
          <w:tcPr>
            <w:tcW w:w="207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169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317</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52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316</w:t>
            </w:r>
          </w:p>
        </w:tc>
        <w:tc>
          <w:tcPr>
            <w:tcW w:w="207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169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306</w:t>
            </w:r>
          </w:p>
        </w:tc>
      </w:tr>
      <w:tr w:rsidR="00AF7880" w:rsidTr="00E941A3">
        <w:trPr>
          <w:trHeight w:val="288"/>
          <w:jc w:val="center"/>
        </w:trPr>
        <w:tc>
          <w:tcPr>
            <w:tcW w:w="900" w:type="dxa"/>
            <w:vAlign w:val="center"/>
          </w:tcPr>
          <w:p w:rsidR="00AF7880"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525"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43"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690" w:type="dxa"/>
            <w:vAlign w:val="center"/>
          </w:tcPr>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Average</w:t>
            </w:r>
          </w:p>
        </w:tc>
        <w:tc>
          <w:tcPr>
            <w:tcW w:w="1405" w:type="dxa"/>
            <w:vAlign w:val="center"/>
          </w:tcPr>
          <w:p w:rsidR="00AF7880" w:rsidRPr="00067429" w:rsidRDefault="00AF7880" w:rsidP="00412980">
            <w:pPr>
              <w:spacing w:line="120" w:lineRule="exact"/>
              <w:jc w:val="center"/>
              <w:rPr>
                <w:color w:val="000000"/>
                <w:sz w:val="18"/>
                <w:szCs w:val="18"/>
              </w:rPr>
            </w:pPr>
          </w:p>
          <w:p w:rsidR="00AF7880" w:rsidRPr="00067429" w:rsidRDefault="00AF7880" w:rsidP="004129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317</w:t>
            </w:r>
          </w:p>
        </w:tc>
      </w:tr>
      <w:tr w:rsidR="00D411B4" w:rsidTr="00D411B4">
        <w:trPr>
          <w:trHeight w:val="288"/>
          <w:jc w:val="center"/>
        </w:trPr>
        <w:tc>
          <w:tcPr>
            <w:tcW w:w="5738" w:type="dxa"/>
            <w:gridSpan w:val="4"/>
            <w:vAlign w:val="center"/>
          </w:tcPr>
          <w:p w:rsidR="00C24697" w:rsidRPr="00D83D38" w:rsidRDefault="00D411B4">
            <w:pPr>
              <w:pBdr>
                <w:top w:val="single" w:sz="6" w:space="0" w:color="FFFFFF"/>
                <w:left w:val="single" w:sz="6" w:space="0" w:color="FFFFFF"/>
                <w:bottom w:val="single" w:sz="6" w:space="0" w:color="FFFFFF"/>
                <w:right w:val="single" w:sz="6" w:space="0" w:color="FFFFFF"/>
              </w:pBdr>
              <w:spacing w:after="52"/>
              <w:rPr>
                <w:b/>
                <w:color w:val="000000"/>
                <w:sz w:val="18"/>
                <w:szCs w:val="18"/>
              </w:rPr>
            </w:pPr>
            <w:r w:rsidRPr="00D83D38">
              <w:rPr>
                <w:b/>
                <w:color w:val="000000"/>
                <w:sz w:val="20"/>
                <w:szCs w:val="20"/>
              </w:rPr>
              <w:t>Total for Private and Public Landfills</w:t>
            </w:r>
          </w:p>
        </w:tc>
        <w:tc>
          <w:tcPr>
            <w:tcW w:w="1690" w:type="dxa"/>
            <w:vAlign w:val="center"/>
          </w:tcPr>
          <w:p w:rsidR="00D411B4" w:rsidRPr="00D83D38" w:rsidRDefault="00D411B4" w:rsidP="00D411B4">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405" w:type="dxa"/>
            <w:vAlign w:val="center"/>
          </w:tcPr>
          <w:p w:rsidR="00D411B4" w:rsidRPr="00D83D38" w:rsidRDefault="00D411B4" w:rsidP="00D411B4">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D83D38">
              <w:rPr>
                <w:b/>
                <w:color w:val="000000"/>
                <w:sz w:val="18"/>
                <w:szCs w:val="18"/>
              </w:rPr>
              <w:t>474</w:t>
            </w:r>
          </w:p>
        </w:tc>
      </w:tr>
      <w:tr w:rsidR="00AF7880" w:rsidTr="00E941A3">
        <w:trPr>
          <w:trHeight w:val="288"/>
          <w:jc w:val="center"/>
        </w:trPr>
        <w:tc>
          <w:tcPr>
            <w:tcW w:w="8833" w:type="dxa"/>
            <w:gridSpan w:val="6"/>
            <w:vAlign w:val="center"/>
          </w:tcPr>
          <w:p w:rsidR="00AF7880" w:rsidRPr="0072431E" w:rsidRDefault="00AF7880" w:rsidP="006B4A1C">
            <w:pPr>
              <w:keepNext/>
              <w:pBdr>
                <w:top w:val="single" w:sz="6" w:space="0" w:color="FFFFFF"/>
                <w:left w:val="single" w:sz="6" w:space="0" w:color="FFFFFF"/>
                <w:bottom w:val="single" w:sz="6" w:space="0" w:color="FFFFFF"/>
                <w:right w:val="single" w:sz="6" w:space="0" w:color="FFFFFF"/>
              </w:pBdr>
              <w:spacing w:after="52"/>
              <w:rPr>
                <w:b/>
                <w:color w:val="000000"/>
                <w:sz w:val="18"/>
                <w:szCs w:val="18"/>
              </w:rPr>
            </w:pPr>
            <w:r w:rsidRPr="0072431E">
              <w:rPr>
                <w:b/>
                <w:color w:val="000000"/>
                <w:sz w:val="18"/>
                <w:szCs w:val="18"/>
              </w:rPr>
              <w:t>State/Local Agencies</w:t>
            </w:r>
          </w:p>
        </w:tc>
      </w:tr>
      <w:tr w:rsidR="00AF7880" w:rsidTr="00E941A3">
        <w:trPr>
          <w:trHeight w:val="288"/>
          <w:jc w:val="center"/>
        </w:trPr>
        <w:tc>
          <w:tcPr>
            <w:tcW w:w="900" w:type="dxa"/>
            <w:vAlign w:val="center"/>
          </w:tcPr>
          <w:p w:rsidR="00AF7880"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52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w:t>
            </w:r>
          </w:p>
        </w:tc>
        <w:tc>
          <w:tcPr>
            <w:tcW w:w="207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69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38</w:t>
            </w:r>
          </w:p>
        </w:tc>
      </w:tr>
      <w:tr w:rsidR="00AF7880" w:rsidTr="00E941A3">
        <w:trPr>
          <w:trHeight w:val="288"/>
          <w:jc w:val="center"/>
        </w:trPr>
        <w:tc>
          <w:tcPr>
            <w:tcW w:w="900" w:type="dxa"/>
            <w:vAlign w:val="center"/>
          </w:tcPr>
          <w:p w:rsidR="00AF7880"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52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38</w:t>
            </w:r>
          </w:p>
        </w:tc>
        <w:tc>
          <w:tcPr>
            <w:tcW w:w="207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69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37</w:t>
            </w:r>
          </w:p>
        </w:tc>
      </w:tr>
      <w:tr w:rsidR="00AF7880" w:rsidTr="00E941A3">
        <w:trPr>
          <w:trHeight w:val="288"/>
          <w:jc w:val="center"/>
        </w:trPr>
        <w:tc>
          <w:tcPr>
            <w:tcW w:w="900" w:type="dxa"/>
            <w:vAlign w:val="center"/>
          </w:tcPr>
          <w:p w:rsidR="00AF7880"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52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37</w:t>
            </w:r>
          </w:p>
        </w:tc>
        <w:tc>
          <w:tcPr>
            <w:tcW w:w="207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69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36</w:t>
            </w:r>
          </w:p>
        </w:tc>
      </w:tr>
      <w:tr w:rsidR="00AF7880" w:rsidTr="00E941A3">
        <w:trPr>
          <w:trHeight w:val="288"/>
          <w:jc w:val="center"/>
        </w:trPr>
        <w:tc>
          <w:tcPr>
            <w:tcW w:w="900" w:type="dxa"/>
            <w:vAlign w:val="center"/>
          </w:tcPr>
          <w:p w:rsidR="00AF7880"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52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43"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690"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Average</w:t>
            </w:r>
          </w:p>
        </w:tc>
        <w:tc>
          <w:tcPr>
            <w:tcW w:w="1405" w:type="dxa"/>
            <w:vAlign w:val="center"/>
          </w:tcPr>
          <w:p w:rsidR="00AF7880" w:rsidRPr="00067429" w:rsidRDefault="00AF7880" w:rsidP="006B4A1C">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37</w:t>
            </w:r>
          </w:p>
        </w:tc>
      </w:tr>
    </w:tbl>
    <w:p w:rsidR="00CA4CD6" w:rsidRDefault="00CA4CD6" w:rsidP="00B07887">
      <w:pPr>
        <w:pBdr>
          <w:top w:val="single" w:sz="6" w:space="0" w:color="FFFFFF"/>
          <w:left w:val="single" w:sz="6" w:space="0" w:color="FFFFFF"/>
          <w:bottom w:val="single" w:sz="6" w:space="0" w:color="FFFFFF"/>
          <w:right w:val="single" w:sz="6" w:space="0" w:color="FFFFFF"/>
        </w:pBdr>
        <w:ind w:left="270"/>
        <w:rPr>
          <w:color w:val="000000"/>
          <w:sz w:val="20"/>
          <w:szCs w:val="20"/>
        </w:rPr>
      </w:pPr>
      <w:r>
        <w:rPr>
          <w:color w:val="000000"/>
          <w:vertAlign w:val="superscript"/>
        </w:rPr>
        <w:t>1</w:t>
      </w:r>
      <w:r>
        <w:rPr>
          <w:color w:val="000000"/>
        </w:rPr>
        <w:t xml:space="preserve"> </w:t>
      </w:r>
      <w:r w:rsidR="00CB5F76" w:rsidRPr="00CB5F76">
        <w:rPr>
          <w:color w:val="000000"/>
          <w:sz w:val="20"/>
          <w:szCs w:val="20"/>
        </w:rPr>
        <w:t>Th</w:t>
      </w:r>
      <w:r w:rsidR="00086CC6">
        <w:rPr>
          <w:color w:val="000000"/>
          <w:sz w:val="20"/>
          <w:szCs w:val="20"/>
        </w:rPr>
        <w:t>is ICR assumes a landfill closure rate of three</w:t>
      </w:r>
      <w:r w:rsidR="00AF7880">
        <w:rPr>
          <w:color w:val="000000"/>
          <w:sz w:val="20"/>
          <w:szCs w:val="20"/>
        </w:rPr>
        <w:t xml:space="preserve"> percent. Upon closure, these landfills will </w:t>
      </w:r>
      <w:r w:rsidR="00A85BFC">
        <w:rPr>
          <w:color w:val="000000"/>
          <w:sz w:val="20"/>
          <w:szCs w:val="20"/>
        </w:rPr>
        <w:t>no longer be subject</w:t>
      </w:r>
      <w:r w:rsidR="00AF7880">
        <w:rPr>
          <w:color w:val="000000"/>
          <w:sz w:val="20"/>
          <w:szCs w:val="20"/>
        </w:rPr>
        <w:t xml:space="preserve"> </w:t>
      </w:r>
      <w:r w:rsidR="00AF7880">
        <w:rPr>
          <w:color w:val="000000"/>
          <w:sz w:val="20"/>
          <w:szCs w:val="20"/>
        </w:rPr>
        <w:lastRenderedPageBreak/>
        <w:t>to the emission guidelines.</w:t>
      </w:r>
      <w:r w:rsidR="00086CC6">
        <w:rPr>
          <w:color w:val="000000"/>
          <w:sz w:val="20"/>
          <w:szCs w:val="20"/>
        </w:rPr>
        <w:t xml:space="preserve">  This ICR also assumes there will be a proportional decrease in the number of State/local agency respondents.</w:t>
      </w:r>
    </w:p>
    <w:p w:rsidR="0034728B" w:rsidRPr="00B07887" w:rsidRDefault="0034728B" w:rsidP="00B07887">
      <w:pPr>
        <w:pBdr>
          <w:top w:val="single" w:sz="6" w:space="0" w:color="FFFFFF"/>
          <w:left w:val="single" w:sz="6" w:space="0" w:color="FFFFFF"/>
          <w:bottom w:val="single" w:sz="6" w:space="0" w:color="FFFFFF"/>
          <w:right w:val="single" w:sz="6" w:space="0" w:color="FFFFFF"/>
        </w:pBdr>
        <w:ind w:left="270"/>
        <w:rPr>
          <w:color w:val="FF0000"/>
          <w:sz w:val="20"/>
          <w:szCs w:val="20"/>
        </w:rPr>
      </w:pPr>
    </w:p>
    <w:p w:rsidR="009254CD" w:rsidRDefault="002B29A7" w:rsidP="009254CD">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w:t>
      </w:r>
      <w:r w:rsidR="00AF7880">
        <w:rPr>
          <w:color w:val="000000"/>
        </w:rPr>
        <w:t>s C and</w:t>
      </w:r>
      <w:r w:rsidR="00CA4CD6">
        <w:rPr>
          <w:color w:val="000000"/>
        </w:rPr>
        <w:t xml:space="preserve"> D </w:t>
      </w:r>
      <w:r w:rsidR="00AF7880">
        <w:rPr>
          <w:color w:val="000000"/>
        </w:rPr>
        <w:t>are</w:t>
      </w:r>
      <w:r w:rsidR="00CA4CD6">
        <w:rPr>
          <w:color w:val="000000"/>
        </w:rPr>
        <w:t xml:space="preserve">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AC1F91">
        <w:rPr>
          <w:color w:val="000000"/>
        </w:rPr>
        <w:t>-</w:t>
      </w:r>
      <w:r w:rsidR="00CA4CD6">
        <w:rPr>
          <w:color w:val="000000"/>
        </w:rPr>
        <w:t>year period of this ICR is</w:t>
      </w:r>
      <w:r w:rsidR="009D5026">
        <w:rPr>
          <w:color w:val="000000"/>
        </w:rPr>
        <w:t xml:space="preserve"> </w:t>
      </w:r>
      <w:r w:rsidR="00086CC6">
        <w:rPr>
          <w:color w:val="000000"/>
        </w:rPr>
        <w:t>474</w:t>
      </w:r>
      <w:r w:rsidR="009254CD">
        <w:rPr>
          <w:color w:val="000000"/>
        </w:rPr>
        <w:t xml:space="preserve"> landfill owners/operators and 3</w:t>
      </w:r>
      <w:r w:rsidR="00086CC6">
        <w:rPr>
          <w:color w:val="000000"/>
        </w:rPr>
        <w:t>7</w:t>
      </w:r>
      <w:r w:rsidR="009254CD">
        <w:rPr>
          <w:color w:val="000000"/>
        </w:rPr>
        <w:t xml:space="preserve"> State/local agencies, for a total respondent count of </w:t>
      </w:r>
      <w:r w:rsidR="00086CC6">
        <w:rPr>
          <w:color w:val="000000"/>
        </w:rPr>
        <w:t>511</w:t>
      </w:r>
      <w:r w:rsidR="009254CD">
        <w:rPr>
          <w:color w:val="000000"/>
        </w:rPr>
        <w:t>.</w:t>
      </w:r>
    </w:p>
    <w:p w:rsidR="009254CD" w:rsidRDefault="009254CD">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170"/>
        <w:gridCol w:w="1080"/>
        <w:gridCol w:w="1980"/>
        <w:gridCol w:w="1530"/>
      </w:tblGrid>
      <w:tr w:rsidR="00A73600" w:rsidRPr="00E941A3" w:rsidTr="006B4A1C">
        <w:trPr>
          <w:tblHeader/>
        </w:trPr>
        <w:tc>
          <w:tcPr>
            <w:tcW w:w="9180" w:type="dxa"/>
            <w:gridSpan w:val="5"/>
          </w:tcPr>
          <w:p w:rsidR="00CA4CD6" w:rsidRPr="00E941A3" w:rsidRDefault="00CA4CD6">
            <w:pPr>
              <w:spacing w:line="120" w:lineRule="exact"/>
              <w:rPr>
                <w:color w:val="000000"/>
              </w:rPr>
            </w:pPr>
          </w:p>
          <w:p w:rsidR="00CA4CD6" w:rsidRPr="00E941A3"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E941A3">
              <w:rPr>
                <w:b/>
                <w:bCs/>
                <w:color w:val="000000"/>
              </w:rPr>
              <w:t>Total Annual Responses</w:t>
            </w:r>
          </w:p>
        </w:tc>
      </w:tr>
      <w:tr w:rsidR="00CA4CD6" w:rsidRPr="00E941A3" w:rsidTr="00F75AF4">
        <w:trPr>
          <w:tblHeader/>
        </w:trPr>
        <w:tc>
          <w:tcPr>
            <w:tcW w:w="3420" w:type="dxa"/>
          </w:tcPr>
          <w:p w:rsidR="00CA4CD6" w:rsidRPr="00E941A3" w:rsidRDefault="00CA4CD6">
            <w:pPr>
              <w:spacing w:line="120" w:lineRule="exact"/>
              <w:rPr>
                <w:b/>
                <w:bCs/>
                <w:sz w:val="18"/>
                <w:szCs w:val="18"/>
              </w:rPr>
            </w:pP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(A)</w:t>
            </w: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E941A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Information Collection Activity</w:t>
            </w:r>
          </w:p>
        </w:tc>
        <w:tc>
          <w:tcPr>
            <w:tcW w:w="1170" w:type="dxa"/>
          </w:tcPr>
          <w:p w:rsidR="00CA4CD6" w:rsidRPr="00E941A3" w:rsidRDefault="00CA4CD6">
            <w:pPr>
              <w:spacing w:line="120" w:lineRule="exact"/>
              <w:rPr>
                <w:sz w:val="18"/>
                <w:szCs w:val="18"/>
              </w:rPr>
            </w:pP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(B)</w:t>
            </w: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E941A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 xml:space="preserve">Number of Respondents  </w:t>
            </w:r>
          </w:p>
        </w:tc>
        <w:tc>
          <w:tcPr>
            <w:tcW w:w="1080" w:type="dxa"/>
          </w:tcPr>
          <w:p w:rsidR="00CA4CD6" w:rsidRPr="00E941A3" w:rsidRDefault="00CA4CD6">
            <w:pPr>
              <w:spacing w:line="120" w:lineRule="exact"/>
              <w:rPr>
                <w:sz w:val="18"/>
                <w:szCs w:val="18"/>
              </w:rPr>
            </w:pP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(C)</w:t>
            </w: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E941A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Number of Responses</w:t>
            </w:r>
          </w:p>
        </w:tc>
        <w:tc>
          <w:tcPr>
            <w:tcW w:w="1980" w:type="dxa"/>
          </w:tcPr>
          <w:p w:rsidR="00CA4CD6" w:rsidRPr="00E941A3" w:rsidRDefault="00CA4CD6">
            <w:pPr>
              <w:spacing w:line="120" w:lineRule="exact"/>
              <w:rPr>
                <w:sz w:val="18"/>
                <w:szCs w:val="18"/>
              </w:rPr>
            </w:pPr>
          </w:p>
          <w:p w:rsidR="00CA4CD6" w:rsidRPr="00E941A3" w:rsidRDefault="00CA4CD6" w:rsidP="00943C67">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(D)</w:t>
            </w:r>
          </w:p>
          <w:p w:rsidR="00CA4CD6" w:rsidRPr="00E941A3" w:rsidRDefault="00CA4CD6" w:rsidP="00943C67">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Number of Existing Respondents That Keep Records But Do Not Submit Reports</w:t>
            </w:r>
          </w:p>
        </w:tc>
        <w:tc>
          <w:tcPr>
            <w:tcW w:w="1530" w:type="dxa"/>
          </w:tcPr>
          <w:p w:rsidR="00CA4CD6" w:rsidRPr="00E941A3" w:rsidRDefault="00CA4CD6">
            <w:pPr>
              <w:spacing w:line="120" w:lineRule="exact"/>
              <w:rPr>
                <w:sz w:val="18"/>
                <w:szCs w:val="18"/>
              </w:rPr>
            </w:pP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(E)</w:t>
            </w:r>
          </w:p>
          <w:p w:rsidR="00CA4CD6" w:rsidRPr="00E941A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 xml:space="preserve">Total Annual  Responses </w:t>
            </w:r>
          </w:p>
          <w:p w:rsidR="00CA4CD6" w:rsidRPr="00E941A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E=(BxC)+</w:t>
            </w:r>
            <w:r w:rsidR="007776EE">
              <w:rPr>
                <w:sz w:val="18"/>
                <w:szCs w:val="18"/>
              </w:rPr>
              <w:t>(Cx</w:t>
            </w:r>
            <w:r w:rsidRPr="00E941A3">
              <w:rPr>
                <w:sz w:val="18"/>
                <w:szCs w:val="18"/>
              </w:rPr>
              <w:t>D</w:t>
            </w:r>
            <w:r w:rsidR="007776EE">
              <w:rPr>
                <w:sz w:val="18"/>
                <w:szCs w:val="18"/>
              </w:rPr>
              <w:t>)</w:t>
            </w:r>
          </w:p>
        </w:tc>
      </w:tr>
      <w:tr w:rsidR="00E941A3" w:rsidRPr="006C66D0" w:rsidTr="00E941A3">
        <w:trPr>
          <w:trHeight w:val="288"/>
        </w:trPr>
        <w:tc>
          <w:tcPr>
            <w:tcW w:w="9180" w:type="dxa"/>
            <w:gridSpan w:val="5"/>
          </w:tcPr>
          <w:p w:rsidR="00E941A3" w:rsidRPr="006C66D0" w:rsidRDefault="00E941A3" w:rsidP="00D1575D">
            <w:pPr>
              <w:pBdr>
                <w:top w:val="single" w:sz="6" w:space="0" w:color="FFFFFF"/>
                <w:left w:val="single" w:sz="6" w:space="0" w:color="FFFFFF"/>
                <w:bottom w:val="single" w:sz="6" w:space="0" w:color="FFFFFF"/>
                <w:right w:val="single" w:sz="6" w:space="0" w:color="FFFFFF"/>
              </w:pBdr>
              <w:spacing w:after="52"/>
              <w:rPr>
                <w:b/>
                <w:sz w:val="18"/>
                <w:szCs w:val="18"/>
              </w:rPr>
            </w:pPr>
            <w:r w:rsidRPr="006C66D0">
              <w:rPr>
                <w:b/>
                <w:sz w:val="18"/>
                <w:szCs w:val="18"/>
              </w:rPr>
              <w:t>Private Landfills</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Amended </w:t>
            </w:r>
            <w:r w:rsidR="00943C67">
              <w:rPr>
                <w:sz w:val="18"/>
                <w:szCs w:val="18"/>
              </w:rPr>
              <w:t>d</w:t>
            </w:r>
            <w:r w:rsidRPr="00E941A3">
              <w:rPr>
                <w:sz w:val="18"/>
                <w:szCs w:val="18"/>
              </w:rPr>
              <w:t xml:space="preserve">esign </w:t>
            </w:r>
            <w:r w:rsidR="00943C67">
              <w:rPr>
                <w:sz w:val="18"/>
                <w:szCs w:val="18"/>
              </w:rPr>
              <w:t>c</w:t>
            </w:r>
            <w:r w:rsidRPr="00E941A3">
              <w:rPr>
                <w:sz w:val="18"/>
                <w:szCs w:val="18"/>
              </w:rPr>
              <w:t xml:space="preserve">apacity </w:t>
            </w:r>
            <w:r w:rsidR="00943C67">
              <w:rPr>
                <w:sz w:val="18"/>
                <w:szCs w:val="18"/>
              </w:rPr>
              <w:t>r</w:t>
            </w:r>
            <w:r w:rsidRPr="00E941A3">
              <w:rPr>
                <w:sz w:val="18"/>
                <w:szCs w:val="18"/>
              </w:rPr>
              <w:t>eport</w:t>
            </w:r>
          </w:p>
        </w:tc>
        <w:tc>
          <w:tcPr>
            <w:tcW w:w="117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8</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8</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Annual </w:t>
            </w:r>
            <w:r w:rsidR="00943C67">
              <w:rPr>
                <w:sz w:val="18"/>
                <w:szCs w:val="18"/>
              </w:rPr>
              <w:t>c</w:t>
            </w:r>
            <w:r w:rsidRPr="00E941A3">
              <w:rPr>
                <w:sz w:val="18"/>
                <w:szCs w:val="18"/>
              </w:rPr>
              <w:t xml:space="preserve">ompliance </w:t>
            </w:r>
            <w:r w:rsidR="00943C67">
              <w:rPr>
                <w:sz w:val="18"/>
                <w:szCs w:val="18"/>
              </w:rPr>
              <w:t>r</w:t>
            </w:r>
            <w:r w:rsidRPr="00E941A3">
              <w:rPr>
                <w:sz w:val="18"/>
                <w:szCs w:val="18"/>
              </w:rPr>
              <w:t>eport</w:t>
            </w:r>
          </w:p>
        </w:tc>
        <w:tc>
          <w:tcPr>
            <w:tcW w:w="117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157</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157</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Landfill </w:t>
            </w:r>
            <w:r w:rsidR="00943C67">
              <w:rPr>
                <w:sz w:val="18"/>
                <w:szCs w:val="18"/>
              </w:rPr>
              <w:t>cl</w:t>
            </w:r>
            <w:r w:rsidRPr="00E941A3">
              <w:rPr>
                <w:sz w:val="18"/>
                <w:szCs w:val="18"/>
              </w:rPr>
              <w:t xml:space="preserve">osure </w:t>
            </w:r>
            <w:r w:rsidR="00943C67">
              <w:rPr>
                <w:sz w:val="18"/>
                <w:szCs w:val="18"/>
              </w:rPr>
              <w:t>r</w:t>
            </w:r>
            <w:r w:rsidRPr="00E941A3">
              <w:rPr>
                <w:sz w:val="18"/>
                <w:szCs w:val="18"/>
              </w:rPr>
              <w:t>eport</w:t>
            </w:r>
          </w:p>
        </w:tc>
        <w:tc>
          <w:tcPr>
            <w:tcW w:w="117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5</w:t>
            </w:r>
          </w:p>
        </w:tc>
      </w:tr>
      <w:tr w:rsidR="00E941A3" w:rsidRPr="00E941A3" w:rsidTr="00F75AF4">
        <w:trPr>
          <w:trHeight w:val="288"/>
        </w:trPr>
        <w:tc>
          <w:tcPr>
            <w:tcW w:w="342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Surface methane monitoring</w:t>
            </w:r>
          </w:p>
        </w:tc>
        <w:tc>
          <w:tcPr>
            <w:tcW w:w="1170" w:type="dxa"/>
          </w:tcPr>
          <w:p w:rsidR="00E941A3" w:rsidRPr="00E941A3" w:rsidRDefault="007776EE"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4</w:t>
            </w:r>
          </w:p>
        </w:tc>
        <w:tc>
          <w:tcPr>
            <w:tcW w:w="1980" w:type="dxa"/>
          </w:tcPr>
          <w:p w:rsidR="00E941A3" w:rsidRPr="00E941A3" w:rsidRDefault="007776EE"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157</w:t>
            </w:r>
          </w:p>
        </w:tc>
        <w:tc>
          <w:tcPr>
            <w:tcW w:w="153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628</w:t>
            </w:r>
          </w:p>
        </w:tc>
      </w:tr>
      <w:tr w:rsidR="00E941A3" w:rsidRPr="00E941A3" w:rsidTr="00F75AF4">
        <w:trPr>
          <w:trHeight w:val="288"/>
        </w:trPr>
        <w:tc>
          <w:tcPr>
            <w:tcW w:w="3420" w:type="dxa"/>
          </w:tcPr>
          <w:p w:rsidR="00E941A3" w:rsidRPr="00F75AF4" w:rsidRDefault="00E47FA3" w:rsidP="00E47FA3">
            <w:pPr>
              <w:pBdr>
                <w:top w:val="single" w:sz="6" w:space="0" w:color="FFFFFF"/>
                <w:left w:val="single" w:sz="6" w:space="0" w:color="FFFFFF"/>
                <w:bottom w:val="single" w:sz="6" w:space="0" w:color="FFFFFF"/>
                <w:right w:val="single" w:sz="6" w:space="0" w:color="FFFFFF"/>
              </w:pBdr>
              <w:spacing w:after="52"/>
              <w:rPr>
                <w:b/>
                <w:sz w:val="18"/>
                <w:szCs w:val="18"/>
              </w:rPr>
            </w:pPr>
            <w:r w:rsidRPr="00F75AF4">
              <w:rPr>
                <w:b/>
                <w:sz w:val="18"/>
                <w:szCs w:val="18"/>
              </w:rPr>
              <w:t xml:space="preserve">Total </w:t>
            </w:r>
            <w:r w:rsidR="00F75AF4" w:rsidRPr="00F75AF4">
              <w:rPr>
                <w:b/>
                <w:sz w:val="18"/>
                <w:szCs w:val="18"/>
              </w:rPr>
              <w:t xml:space="preserve">Responses for </w:t>
            </w:r>
            <w:r w:rsidRPr="00F75AF4">
              <w:rPr>
                <w:b/>
                <w:sz w:val="18"/>
                <w:szCs w:val="18"/>
              </w:rPr>
              <w:t>Private Landfills</w:t>
            </w:r>
          </w:p>
        </w:tc>
        <w:tc>
          <w:tcPr>
            <w:tcW w:w="1170" w:type="dxa"/>
          </w:tcPr>
          <w:p w:rsidR="00E941A3" w:rsidRPr="00F75AF4" w:rsidRDefault="00E941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rsidR="00E941A3" w:rsidRPr="00F75AF4" w:rsidRDefault="00E941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rsidR="00E941A3" w:rsidRPr="00F75AF4" w:rsidRDefault="00E941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rsidR="00E941A3" w:rsidRPr="00F75AF4" w:rsidRDefault="00E941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F75AF4">
              <w:rPr>
                <w:b/>
                <w:sz w:val="18"/>
                <w:szCs w:val="18"/>
              </w:rPr>
              <w:t>798</w:t>
            </w:r>
          </w:p>
        </w:tc>
      </w:tr>
      <w:tr w:rsidR="00E941A3" w:rsidRPr="006C66D0" w:rsidTr="00E941A3">
        <w:trPr>
          <w:trHeight w:val="288"/>
        </w:trPr>
        <w:tc>
          <w:tcPr>
            <w:tcW w:w="9180" w:type="dxa"/>
            <w:gridSpan w:val="5"/>
          </w:tcPr>
          <w:p w:rsidR="00E941A3" w:rsidRPr="006C66D0" w:rsidRDefault="00E941A3" w:rsidP="00D1575D">
            <w:pPr>
              <w:pBdr>
                <w:top w:val="single" w:sz="6" w:space="0" w:color="FFFFFF"/>
                <w:left w:val="single" w:sz="6" w:space="0" w:color="FFFFFF"/>
                <w:bottom w:val="single" w:sz="6" w:space="0" w:color="FFFFFF"/>
                <w:right w:val="single" w:sz="6" w:space="0" w:color="FFFFFF"/>
              </w:pBdr>
              <w:spacing w:after="52"/>
              <w:rPr>
                <w:b/>
                <w:sz w:val="18"/>
                <w:szCs w:val="18"/>
              </w:rPr>
            </w:pPr>
            <w:r w:rsidRPr="006C66D0">
              <w:rPr>
                <w:b/>
                <w:sz w:val="18"/>
                <w:szCs w:val="18"/>
              </w:rPr>
              <w:t>Public Landfills</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Amended </w:t>
            </w:r>
            <w:r w:rsidR="00943C67">
              <w:rPr>
                <w:sz w:val="18"/>
                <w:szCs w:val="18"/>
              </w:rPr>
              <w:t>d</w:t>
            </w:r>
            <w:r w:rsidRPr="00E941A3">
              <w:rPr>
                <w:sz w:val="18"/>
                <w:szCs w:val="18"/>
              </w:rPr>
              <w:t xml:space="preserve">esign </w:t>
            </w:r>
            <w:r w:rsidR="00943C67">
              <w:rPr>
                <w:sz w:val="18"/>
                <w:szCs w:val="18"/>
              </w:rPr>
              <w:t>c</w:t>
            </w:r>
            <w:r w:rsidRPr="00E941A3">
              <w:rPr>
                <w:sz w:val="18"/>
                <w:szCs w:val="18"/>
              </w:rPr>
              <w:t xml:space="preserve">apacity </w:t>
            </w:r>
            <w:r w:rsidR="00943C67">
              <w:rPr>
                <w:sz w:val="18"/>
                <w:szCs w:val="18"/>
              </w:rPr>
              <w:t>r</w:t>
            </w:r>
            <w:r w:rsidRPr="00E941A3">
              <w:rPr>
                <w:sz w:val="18"/>
                <w:szCs w:val="18"/>
              </w:rPr>
              <w:t>eport</w:t>
            </w:r>
          </w:p>
        </w:tc>
        <w:tc>
          <w:tcPr>
            <w:tcW w:w="117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Annual </w:t>
            </w:r>
            <w:r w:rsidR="00943C67">
              <w:rPr>
                <w:sz w:val="18"/>
                <w:szCs w:val="18"/>
              </w:rPr>
              <w:t>c</w:t>
            </w:r>
            <w:r w:rsidRPr="00E941A3">
              <w:rPr>
                <w:sz w:val="18"/>
                <w:szCs w:val="18"/>
              </w:rPr>
              <w:t xml:space="preserve">ompliance </w:t>
            </w:r>
            <w:r w:rsidR="00943C67">
              <w:rPr>
                <w:sz w:val="18"/>
                <w:szCs w:val="18"/>
              </w:rPr>
              <w:t>r</w:t>
            </w:r>
            <w:r w:rsidRPr="00E941A3">
              <w:rPr>
                <w:sz w:val="18"/>
                <w:szCs w:val="18"/>
              </w:rPr>
              <w:t>eport</w:t>
            </w:r>
          </w:p>
        </w:tc>
        <w:tc>
          <w:tcPr>
            <w:tcW w:w="117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317</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317</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Landfill </w:t>
            </w:r>
            <w:r w:rsidR="00943C67">
              <w:rPr>
                <w:sz w:val="18"/>
                <w:szCs w:val="18"/>
              </w:rPr>
              <w:t>c</w:t>
            </w:r>
            <w:r w:rsidRPr="00E941A3">
              <w:rPr>
                <w:sz w:val="18"/>
                <w:szCs w:val="18"/>
              </w:rPr>
              <w:t xml:space="preserve">losure </w:t>
            </w:r>
            <w:r w:rsidR="00943C67">
              <w:rPr>
                <w:sz w:val="18"/>
                <w:szCs w:val="18"/>
              </w:rPr>
              <w:t>r</w:t>
            </w:r>
            <w:r w:rsidRPr="00E941A3">
              <w:rPr>
                <w:sz w:val="18"/>
                <w:szCs w:val="18"/>
              </w:rPr>
              <w:t>eport</w:t>
            </w:r>
          </w:p>
        </w:tc>
        <w:tc>
          <w:tcPr>
            <w:tcW w:w="117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w:t>
            </w:r>
          </w:p>
        </w:tc>
      </w:tr>
      <w:tr w:rsidR="00E941A3" w:rsidRPr="00E941A3" w:rsidTr="00F75AF4">
        <w:trPr>
          <w:trHeight w:val="288"/>
        </w:trPr>
        <w:tc>
          <w:tcPr>
            <w:tcW w:w="342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Surface methane monitoring</w:t>
            </w:r>
          </w:p>
        </w:tc>
        <w:tc>
          <w:tcPr>
            <w:tcW w:w="1170" w:type="dxa"/>
          </w:tcPr>
          <w:p w:rsidR="00E941A3" w:rsidRPr="00E941A3" w:rsidRDefault="007776EE"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4</w:t>
            </w:r>
          </w:p>
        </w:tc>
        <w:tc>
          <w:tcPr>
            <w:tcW w:w="1980" w:type="dxa"/>
          </w:tcPr>
          <w:p w:rsidR="00E941A3" w:rsidRPr="00E941A3" w:rsidRDefault="007776EE"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317</w:t>
            </w:r>
          </w:p>
        </w:tc>
        <w:tc>
          <w:tcPr>
            <w:tcW w:w="153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1,268</w:t>
            </w:r>
          </w:p>
        </w:tc>
      </w:tr>
      <w:tr w:rsidR="00E47FA3" w:rsidRPr="00E941A3" w:rsidTr="00F75AF4">
        <w:trPr>
          <w:trHeight w:val="288"/>
        </w:trPr>
        <w:tc>
          <w:tcPr>
            <w:tcW w:w="3420" w:type="dxa"/>
          </w:tcPr>
          <w:p w:rsidR="00E47FA3" w:rsidRPr="00F75AF4" w:rsidRDefault="00E47FA3" w:rsidP="00D1575D">
            <w:pPr>
              <w:pBdr>
                <w:top w:val="single" w:sz="6" w:space="0" w:color="FFFFFF"/>
                <w:left w:val="single" w:sz="6" w:space="0" w:color="FFFFFF"/>
                <w:bottom w:val="single" w:sz="6" w:space="0" w:color="FFFFFF"/>
                <w:right w:val="single" w:sz="6" w:space="0" w:color="FFFFFF"/>
              </w:pBdr>
              <w:spacing w:after="52"/>
              <w:rPr>
                <w:b/>
                <w:sz w:val="18"/>
                <w:szCs w:val="18"/>
              </w:rPr>
            </w:pPr>
            <w:r w:rsidRPr="00F75AF4">
              <w:rPr>
                <w:b/>
                <w:sz w:val="18"/>
                <w:szCs w:val="18"/>
              </w:rPr>
              <w:t xml:space="preserve">Total </w:t>
            </w:r>
            <w:r w:rsidR="00F75AF4" w:rsidRPr="00F75AF4">
              <w:rPr>
                <w:b/>
                <w:sz w:val="18"/>
                <w:szCs w:val="18"/>
              </w:rPr>
              <w:t xml:space="preserve">Responses for </w:t>
            </w:r>
            <w:r w:rsidRPr="00F75AF4">
              <w:rPr>
                <w:b/>
                <w:sz w:val="18"/>
                <w:szCs w:val="18"/>
              </w:rPr>
              <w:t>Public Landfills</w:t>
            </w:r>
          </w:p>
        </w:tc>
        <w:tc>
          <w:tcPr>
            <w:tcW w:w="1170" w:type="dxa"/>
          </w:tcPr>
          <w:p w:rsidR="00E47FA3" w:rsidRPr="00F75AF4" w:rsidRDefault="00E47F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rsidR="00E47FA3" w:rsidRPr="00F75AF4" w:rsidRDefault="00E47F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rsidR="00E47FA3" w:rsidRPr="00F75AF4" w:rsidRDefault="00E47F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rsidR="00E47FA3" w:rsidRPr="00F75AF4" w:rsidRDefault="00E47F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F75AF4">
              <w:rPr>
                <w:b/>
                <w:sz w:val="18"/>
                <w:szCs w:val="18"/>
              </w:rPr>
              <w:t>1,611</w:t>
            </w:r>
          </w:p>
        </w:tc>
      </w:tr>
      <w:tr w:rsidR="00E941A3" w:rsidRPr="006C66D0" w:rsidTr="00E941A3">
        <w:trPr>
          <w:trHeight w:val="288"/>
        </w:trPr>
        <w:tc>
          <w:tcPr>
            <w:tcW w:w="9180" w:type="dxa"/>
            <w:gridSpan w:val="5"/>
          </w:tcPr>
          <w:p w:rsidR="00E941A3" w:rsidRPr="006C66D0" w:rsidRDefault="00E941A3" w:rsidP="00D1575D">
            <w:pPr>
              <w:pBdr>
                <w:top w:val="single" w:sz="6" w:space="0" w:color="FFFFFF"/>
                <w:left w:val="single" w:sz="6" w:space="0" w:color="FFFFFF"/>
                <w:bottom w:val="single" w:sz="6" w:space="0" w:color="FFFFFF"/>
                <w:right w:val="single" w:sz="6" w:space="0" w:color="FFFFFF"/>
              </w:pBdr>
              <w:spacing w:after="52"/>
              <w:rPr>
                <w:b/>
                <w:sz w:val="18"/>
                <w:szCs w:val="18"/>
              </w:rPr>
            </w:pPr>
            <w:r w:rsidRPr="006C66D0">
              <w:rPr>
                <w:b/>
                <w:sz w:val="18"/>
                <w:szCs w:val="18"/>
              </w:rPr>
              <w:t>State/Local Agencies</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Amended </w:t>
            </w:r>
            <w:r w:rsidR="00943C67">
              <w:rPr>
                <w:sz w:val="18"/>
                <w:szCs w:val="18"/>
              </w:rPr>
              <w:t>d</w:t>
            </w:r>
            <w:r w:rsidRPr="00E941A3">
              <w:rPr>
                <w:sz w:val="18"/>
                <w:szCs w:val="18"/>
              </w:rPr>
              <w:t xml:space="preserve">esign </w:t>
            </w:r>
            <w:r w:rsidR="00943C67">
              <w:rPr>
                <w:sz w:val="18"/>
                <w:szCs w:val="18"/>
              </w:rPr>
              <w:t>c</w:t>
            </w:r>
            <w:r w:rsidRPr="00E941A3">
              <w:rPr>
                <w:sz w:val="18"/>
                <w:szCs w:val="18"/>
              </w:rPr>
              <w:t xml:space="preserve">apacity </w:t>
            </w:r>
            <w:r w:rsidR="00943C67">
              <w:rPr>
                <w:sz w:val="18"/>
                <w:szCs w:val="18"/>
              </w:rPr>
              <w:t>r</w:t>
            </w:r>
            <w:r w:rsidRPr="00E941A3">
              <w:rPr>
                <w:sz w:val="18"/>
                <w:szCs w:val="18"/>
              </w:rPr>
              <w:t>eport</w:t>
            </w:r>
          </w:p>
        </w:tc>
        <w:tc>
          <w:tcPr>
            <w:tcW w:w="117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Annual </w:t>
            </w:r>
            <w:r w:rsidR="00943C67">
              <w:rPr>
                <w:sz w:val="18"/>
                <w:szCs w:val="18"/>
              </w:rPr>
              <w:t>c</w:t>
            </w:r>
            <w:r w:rsidRPr="00E941A3">
              <w:rPr>
                <w:sz w:val="18"/>
                <w:szCs w:val="18"/>
              </w:rPr>
              <w:t xml:space="preserve">ompliance </w:t>
            </w:r>
            <w:r w:rsidR="00943C67">
              <w:rPr>
                <w:sz w:val="18"/>
                <w:szCs w:val="18"/>
              </w:rPr>
              <w:t>r</w:t>
            </w:r>
            <w:r w:rsidRPr="00E941A3">
              <w:rPr>
                <w:sz w:val="18"/>
                <w:szCs w:val="18"/>
              </w:rPr>
              <w:t>eport</w:t>
            </w:r>
          </w:p>
        </w:tc>
        <w:tc>
          <w:tcPr>
            <w:tcW w:w="117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317</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317</w:t>
            </w:r>
          </w:p>
        </w:tc>
      </w:tr>
      <w:tr w:rsidR="00E941A3" w:rsidRPr="00E941A3" w:rsidTr="00F75AF4">
        <w:trPr>
          <w:trHeight w:val="288"/>
        </w:trPr>
        <w:tc>
          <w:tcPr>
            <w:tcW w:w="3420" w:type="dxa"/>
          </w:tcPr>
          <w:p w:rsidR="00E941A3" w:rsidRPr="00E941A3" w:rsidRDefault="00E941A3" w:rsidP="00943C67">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Landfill </w:t>
            </w:r>
            <w:r w:rsidR="00943C67">
              <w:rPr>
                <w:sz w:val="18"/>
                <w:szCs w:val="18"/>
              </w:rPr>
              <w:t>c</w:t>
            </w:r>
            <w:r w:rsidRPr="00E941A3">
              <w:rPr>
                <w:sz w:val="18"/>
                <w:szCs w:val="18"/>
              </w:rPr>
              <w:t xml:space="preserve">losure </w:t>
            </w:r>
            <w:r w:rsidR="00943C67">
              <w:rPr>
                <w:sz w:val="18"/>
                <w:szCs w:val="18"/>
              </w:rPr>
              <w:t>r</w:t>
            </w:r>
            <w:r w:rsidRPr="00E941A3">
              <w:rPr>
                <w:sz w:val="18"/>
                <w:szCs w:val="18"/>
              </w:rPr>
              <w:t>eport</w:t>
            </w:r>
          </w:p>
        </w:tc>
        <w:tc>
          <w:tcPr>
            <w:tcW w:w="117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E941A3" w:rsidP="00E941A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w:t>
            </w:r>
          </w:p>
        </w:tc>
      </w:tr>
      <w:tr w:rsidR="00E941A3" w:rsidRPr="00E941A3" w:rsidTr="00F75AF4">
        <w:trPr>
          <w:trHeight w:val="288"/>
        </w:trPr>
        <w:tc>
          <w:tcPr>
            <w:tcW w:w="342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Surface methane monitoring</w:t>
            </w:r>
          </w:p>
        </w:tc>
        <w:tc>
          <w:tcPr>
            <w:tcW w:w="1170" w:type="dxa"/>
          </w:tcPr>
          <w:p w:rsidR="00E941A3" w:rsidRPr="00E941A3" w:rsidRDefault="007776EE"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4</w:t>
            </w:r>
          </w:p>
        </w:tc>
        <w:tc>
          <w:tcPr>
            <w:tcW w:w="1980" w:type="dxa"/>
          </w:tcPr>
          <w:p w:rsidR="00E941A3" w:rsidRPr="00E941A3" w:rsidRDefault="00E941A3"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rsidR="00E941A3" w:rsidRPr="00E941A3" w:rsidRDefault="006B4A1C" w:rsidP="00D1575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E941A3" w:rsidRPr="009D5026" w:rsidTr="00F75AF4">
        <w:trPr>
          <w:trHeight w:val="288"/>
        </w:trPr>
        <w:tc>
          <w:tcPr>
            <w:tcW w:w="3420" w:type="dxa"/>
          </w:tcPr>
          <w:p w:rsidR="00E941A3" w:rsidRPr="00F75AF4" w:rsidRDefault="00E47FA3" w:rsidP="00E47FA3">
            <w:pPr>
              <w:pBdr>
                <w:top w:val="single" w:sz="6" w:space="0" w:color="FFFFFF"/>
                <w:left w:val="single" w:sz="6" w:space="0" w:color="FFFFFF"/>
                <w:bottom w:val="single" w:sz="6" w:space="0" w:color="FFFFFF"/>
                <w:right w:val="single" w:sz="6" w:space="0" w:color="FFFFFF"/>
              </w:pBdr>
              <w:spacing w:after="52"/>
              <w:rPr>
                <w:b/>
                <w:sz w:val="18"/>
                <w:szCs w:val="18"/>
              </w:rPr>
            </w:pPr>
            <w:r w:rsidRPr="00F75AF4">
              <w:rPr>
                <w:b/>
                <w:sz w:val="18"/>
                <w:szCs w:val="18"/>
              </w:rPr>
              <w:t xml:space="preserve">Total </w:t>
            </w:r>
            <w:r w:rsidR="00F75AF4" w:rsidRPr="00F75AF4">
              <w:rPr>
                <w:b/>
                <w:sz w:val="18"/>
                <w:szCs w:val="18"/>
              </w:rPr>
              <w:t xml:space="preserve">Responses for </w:t>
            </w:r>
            <w:r w:rsidRPr="00F75AF4">
              <w:rPr>
                <w:b/>
                <w:sz w:val="18"/>
                <w:szCs w:val="18"/>
              </w:rPr>
              <w:t>State/Local Agencies</w:t>
            </w:r>
          </w:p>
        </w:tc>
        <w:tc>
          <w:tcPr>
            <w:tcW w:w="1170" w:type="dxa"/>
          </w:tcPr>
          <w:p w:rsidR="00E941A3" w:rsidRPr="00F75AF4" w:rsidRDefault="00E941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rsidR="00E941A3" w:rsidRPr="00F75AF4" w:rsidRDefault="00E941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rsidR="00E941A3" w:rsidRPr="00F75AF4" w:rsidRDefault="00E941A3"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rsidR="00E941A3" w:rsidRPr="00F75AF4" w:rsidRDefault="006B4A1C"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F75AF4">
              <w:rPr>
                <w:b/>
                <w:sz w:val="18"/>
                <w:szCs w:val="18"/>
              </w:rPr>
              <w:t>343</w:t>
            </w:r>
          </w:p>
        </w:tc>
      </w:tr>
      <w:tr w:rsidR="00E37960" w:rsidRPr="009D5026" w:rsidTr="00F75AF4">
        <w:trPr>
          <w:trHeight w:val="288"/>
        </w:trPr>
        <w:tc>
          <w:tcPr>
            <w:tcW w:w="3420" w:type="dxa"/>
          </w:tcPr>
          <w:p w:rsidR="00E37960" w:rsidRPr="00E47FA3" w:rsidRDefault="00943C67" w:rsidP="00943C67">
            <w:pPr>
              <w:pBdr>
                <w:top w:val="single" w:sz="6" w:space="0" w:color="FFFFFF"/>
                <w:left w:val="single" w:sz="6" w:space="0" w:color="FFFFFF"/>
                <w:bottom w:val="single" w:sz="6" w:space="0" w:color="FFFFFF"/>
                <w:right w:val="single" w:sz="6" w:space="0" w:color="FFFFFF"/>
              </w:pBdr>
              <w:spacing w:after="52"/>
              <w:rPr>
                <w:b/>
                <w:sz w:val="18"/>
                <w:szCs w:val="18"/>
              </w:rPr>
            </w:pPr>
            <w:r w:rsidRPr="00E47FA3">
              <w:rPr>
                <w:b/>
                <w:sz w:val="18"/>
                <w:szCs w:val="18"/>
              </w:rPr>
              <w:t>Total Respondents</w:t>
            </w:r>
          </w:p>
        </w:tc>
        <w:tc>
          <w:tcPr>
            <w:tcW w:w="1170" w:type="dxa"/>
          </w:tcPr>
          <w:p w:rsidR="00E37960" w:rsidRPr="00E47FA3" w:rsidRDefault="00E37960"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rsidR="00E37960" w:rsidRPr="00E47FA3" w:rsidRDefault="00E37960"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rsidR="00E37960" w:rsidRPr="00E47FA3" w:rsidRDefault="00E37960" w:rsidP="00D1575D">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rsidR="00E37960" w:rsidRPr="00E47FA3" w:rsidRDefault="006B4A1C" w:rsidP="006B4A1C">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E47FA3">
              <w:rPr>
                <w:b/>
                <w:sz w:val="18"/>
                <w:szCs w:val="18"/>
              </w:rPr>
              <w:t>2,752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9D5026">
        <w:rPr>
          <w:color w:val="000000"/>
        </w:rPr>
        <w:t xml:space="preserve"> </w:t>
      </w:r>
      <w:r w:rsidR="006B4A1C">
        <w:rPr>
          <w:color w:val="000000"/>
        </w:rPr>
        <w:t>2,752</w:t>
      </w:r>
      <w:r w:rsidR="009D5026">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D502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0A2B5C">
        <w:rPr>
          <w:color w:val="000000"/>
        </w:rPr>
        <w:t>$</w:t>
      </w:r>
      <w:r w:rsidR="00DE3FD2">
        <w:rPr>
          <w:color w:val="000000"/>
        </w:rPr>
        <w:t>4,054,254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AC1F91">
        <w:rPr>
          <w:color w:val="000000"/>
        </w:rPr>
        <w:t xml:space="preserve">both </w:t>
      </w:r>
      <w:r>
        <w:rPr>
          <w:color w:val="000000"/>
        </w:rPr>
        <w:t>Table</w:t>
      </w:r>
      <w:r w:rsidR="00FA7C05">
        <w:rPr>
          <w:color w:val="000000"/>
        </w:rPr>
        <w:t>s 1</w:t>
      </w:r>
      <w:r w:rsidR="00AC1F91">
        <w:rPr>
          <w:color w:val="000000"/>
        </w:rPr>
        <w:t>a</w:t>
      </w:r>
      <w:r w:rsidR="00FA7C05">
        <w:rPr>
          <w:color w:val="000000"/>
        </w:rPr>
        <w:t xml:space="preserve"> and </w:t>
      </w:r>
      <w:r w:rsidR="00AC1F91">
        <w:rPr>
          <w:color w:val="000000"/>
        </w:rPr>
        <w:t>1b</w:t>
      </w:r>
      <w:r w:rsidR="00AE0C16">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00B38">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w:t>
      </w:r>
      <w:r w:rsidRPr="00CA306A">
        <w:t xml:space="preserve">burden hours and cost calculations for the respondents and the </w:t>
      </w:r>
      <w:r w:rsidRPr="00CA306A">
        <w:lastRenderedPageBreak/>
        <w:t>Agency are shown in Tables 1</w:t>
      </w:r>
      <w:r w:rsidR="00AC1F91">
        <w:t>a</w:t>
      </w:r>
      <w:r w:rsidR="00E941A3">
        <w:t xml:space="preserve"> and</w:t>
      </w:r>
      <w:r w:rsidR="00365AF1">
        <w:t xml:space="preserve"> </w:t>
      </w:r>
      <w:r w:rsidR="00AC1F91">
        <w:t>1b</w:t>
      </w:r>
      <w:r w:rsidRPr="00CA306A">
        <w:t xml:space="preserve">, respectively, and </w:t>
      </w:r>
      <w:r w:rsidR="00CA306A">
        <w:t xml:space="preserve">are </w:t>
      </w:r>
      <w:r w:rsidRPr="00CA306A">
        <w:t xml:space="preserve">summarized below.  </w:t>
      </w:r>
    </w:p>
    <w:p w:rsidR="007C00E8" w:rsidRPr="00CA306A" w:rsidRDefault="007C00E8" w:rsidP="00D00B38">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C273B5">
        <w:rPr>
          <w:color w:val="000000"/>
        </w:rPr>
        <w:t xml:space="preserve"> </w:t>
      </w:r>
      <w:r w:rsidR="00C273B5" w:rsidRPr="00C273B5">
        <w:rPr>
          <w:color w:val="000000"/>
        </w:rPr>
        <w:t>42,27</w:t>
      </w:r>
      <w:r w:rsidR="00DA4A3D">
        <w:rPr>
          <w:color w:val="000000"/>
        </w:rPr>
        <w:t>7</w:t>
      </w:r>
      <w:r w:rsidR="00D00B38">
        <w:rPr>
          <w:color w:val="000000"/>
        </w:rPr>
        <w:t xml:space="preserve"> at a cost of $</w:t>
      </w:r>
      <w:r w:rsidR="00DA4A3D">
        <w:rPr>
          <w:color w:val="000000"/>
        </w:rPr>
        <w:t>4,054,254</w:t>
      </w:r>
      <w:r>
        <w:rPr>
          <w:color w:val="000000"/>
        </w:rPr>
        <w:t>.</w:t>
      </w:r>
      <w:r w:rsidR="00507EC5">
        <w:rPr>
          <w:color w:val="000000"/>
        </w:rPr>
        <w:t xml:space="preserve">  </w:t>
      </w:r>
      <w:r>
        <w:rPr>
          <w:color w:val="000000"/>
        </w:rPr>
        <w:t>Details regarding these estimates may be found in Table</w:t>
      </w:r>
      <w:r w:rsidR="00D07BB5">
        <w:rPr>
          <w:color w:val="000000"/>
        </w:rPr>
        <w:t>s 1 and 2</w:t>
      </w:r>
      <w:r w:rsidR="00CA306A">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D07BB5">
        <w:rPr>
          <w:color w:val="000000"/>
        </w:rPr>
        <w:t xml:space="preserve"> </w:t>
      </w:r>
      <w:r w:rsidR="006B4A1C">
        <w:rPr>
          <w:color w:val="000000"/>
        </w:rPr>
        <w:t>15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A306A">
        <w:rPr>
          <w:color w:val="000000"/>
        </w:rPr>
        <w:t>$</w:t>
      </w:r>
      <w:r w:rsidR="00BA6B18">
        <w:rPr>
          <w:color w:val="000000"/>
        </w:rPr>
        <w:t>663,600</w:t>
      </w:r>
      <w:r w:rsidR="00507EC5">
        <w:rPr>
          <w:color w:val="000000"/>
        </w:rPr>
        <w:t xml:space="preserve">.  </w:t>
      </w:r>
      <w:r>
        <w:rPr>
          <w:color w:val="000000"/>
        </w:rPr>
        <w:t>The cost calculations are detailed in Section 6(b)(iii), Capital/Startup vs. Operation and Maintenance (O&amp;M) Costs.</w:t>
      </w:r>
    </w:p>
    <w:p w:rsidR="000A2B5C" w:rsidRDefault="000A2B5C">
      <w:pPr>
        <w:pBdr>
          <w:top w:val="single" w:sz="6" w:space="0" w:color="FFFFFF"/>
          <w:left w:val="single" w:sz="6" w:space="0" w:color="FFFFFF"/>
          <w:bottom w:val="single" w:sz="6" w:space="0" w:color="FFFFFF"/>
          <w:right w:val="single" w:sz="6" w:space="0" w:color="FFFFFF"/>
        </w:pBdr>
        <w:ind w:firstLine="720"/>
        <w:rPr>
          <w:color w:val="000000"/>
        </w:rPr>
      </w:pPr>
    </w:p>
    <w:p w:rsidR="000A2B5C" w:rsidRDefault="000A2B5C" w:rsidP="006B4A1C">
      <w:pPr>
        <w:keepNext/>
      </w:pPr>
      <w:r w:rsidRPr="00836985">
        <w:tab/>
        <w:t xml:space="preserve">The following </w:t>
      </w:r>
      <w:r>
        <w:t xml:space="preserve">table summarizes the respondent </w:t>
      </w:r>
      <w:r w:rsidR="00870273">
        <w:t xml:space="preserve">tally from Tables </w:t>
      </w:r>
      <w:r>
        <w:t>1</w:t>
      </w:r>
      <w:r w:rsidR="00E941A3">
        <w:t xml:space="preserve"> and </w:t>
      </w:r>
      <w:r>
        <w:t xml:space="preserve">2. </w:t>
      </w:r>
    </w:p>
    <w:p w:rsidR="000A2B5C" w:rsidRDefault="000A2B5C" w:rsidP="006B4A1C">
      <w:pPr>
        <w:keepNext/>
      </w:pPr>
    </w:p>
    <w:tbl>
      <w:tblPr>
        <w:tblW w:w="4940" w:type="pct"/>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right w:w="115" w:type="dxa"/>
        </w:tblCellMar>
        <w:tblLook w:val="01E0"/>
      </w:tblPr>
      <w:tblGrid>
        <w:gridCol w:w="1816"/>
        <w:gridCol w:w="1789"/>
        <w:gridCol w:w="1436"/>
        <w:gridCol w:w="1328"/>
        <w:gridCol w:w="1550"/>
        <w:gridCol w:w="1556"/>
      </w:tblGrid>
      <w:tr w:rsidR="00BA6B18" w:rsidRPr="00BA6B18" w:rsidTr="00F166CD">
        <w:trPr>
          <w:trHeight w:val="530"/>
          <w:jc w:val="center"/>
        </w:trPr>
        <w:tc>
          <w:tcPr>
            <w:tcW w:w="5000" w:type="pct"/>
            <w:gridSpan w:val="6"/>
            <w:vAlign w:val="center"/>
          </w:tcPr>
          <w:p w:rsidR="00BA6B18" w:rsidRPr="00BA6B18" w:rsidRDefault="00BA6B18" w:rsidP="006B4A1C">
            <w:pPr>
              <w:keepNext/>
              <w:jc w:val="center"/>
              <w:rPr>
                <w:b/>
              </w:rPr>
            </w:pPr>
            <w:r w:rsidRPr="00BA6B18">
              <w:rPr>
                <w:b/>
              </w:rPr>
              <w:t>Respondent Tally</w:t>
            </w:r>
          </w:p>
        </w:tc>
      </w:tr>
      <w:tr w:rsidR="00BA6B18" w:rsidRPr="00A44D76" w:rsidTr="00F166CD">
        <w:trPr>
          <w:trHeight w:val="710"/>
          <w:jc w:val="center"/>
        </w:trPr>
        <w:tc>
          <w:tcPr>
            <w:tcW w:w="958" w:type="pct"/>
          </w:tcPr>
          <w:p w:rsidR="00BA6B18" w:rsidRPr="00A44D76" w:rsidRDefault="00A70493" w:rsidP="006B4A1C">
            <w:pPr>
              <w:keepNext/>
              <w:jc w:val="center"/>
              <w:rPr>
                <w:b/>
                <w:sz w:val="20"/>
                <w:szCs w:val="20"/>
              </w:rPr>
            </w:pPr>
            <w:r w:rsidRPr="00A70493">
              <w:rPr>
                <w:b/>
                <w:sz w:val="20"/>
                <w:szCs w:val="20"/>
              </w:rPr>
              <w:t>Entity</w:t>
            </w:r>
          </w:p>
        </w:tc>
        <w:tc>
          <w:tcPr>
            <w:tcW w:w="944" w:type="pct"/>
          </w:tcPr>
          <w:p w:rsidR="00BA6B18" w:rsidRPr="00A44D76" w:rsidRDefault="00A70493" w:rsidP="006B4A1C">
            <w:pPr>
              <w:keepNext/>
              <w:jc w:val="center"/>
              <w:rPr>
                <w:b/>
                <w:sz w:val="20"/>
                <w:szCs w:val="20"/>
              </w:rPr>
            </w:pPr>
            <w:r w:rsidRPr="00A70493">
              <w:rPr>
                <w:b/>
                <w:sz w:val="20"/>
                <w:szCs w:val="20"/>
              </w:rPr>
              <w:t>Number of respondents</w:t>
            </w:r>
          </w:p>
        </w:tc>
        <w:tc>
          <w:tcPr>
            <w:tcW w:w="758" w:type="pct"/>
          </w:tcPr>
          <w:p w:rsidR="00BA6B18" w:rsidRPr="00A44D76" w:rsidRDefault="00A70493" w:rsidP="006B4A1C">
            <w:pPr>
              <w:keepNext/>
              <w:jc w:val="center"/>
              <w:rPr>
                <w:b/>
                <w:sz w:val="20"/>
                <w:szCs w:val="20"/>
              </w:rPr>
            </w:pPr>
            <w:r w:rsidRPr="00A70493">
              <w:rPr>
                <w:b/>
                <w:sz w:val="20"/>
                <w:szCs w:val="20"/>
              </w:rPr>
              <w:t>Number of responses per year</w:t>
            </w:r>
          </w:p>
        </w:tc>
        <w:tc>
          <w:tcPr>
            <w:tcW w:w="701" w:type="pct"/>
          </w:tcPr>
          <w:p w:rsidR="00BA6B18" w:rsidRPr="00A44D76" w:rsidRDefault="00A70493" w:rsidP="006B4A1C">
            <w:pPr>
              <w:keepNext/>
              <w:jc w:val="center"/>
              <w:rPr>
                <w:b/>
                <w:sz w:val="20"/>
                <w:szCs w:val="20"/>
              </w:rPr>
            </w:pPr>
            <w:r w:rsidRPr="00A70493">
              <w:rPr>
                <w:b/>
                <w:sz w:val="20"/>
                <w:szCs w:val="20"/>
              </w:rPr>
              <w:t>Total hours</w:t>
            </w:r>
          </w:p>
          <w:p w:rsidR="00BA6B18" w:rsidRPr="00A44D76" w:rsidRDefault="00A70493" w:rsidP="006B4A1C">
            <w:pPr>
              <w:keepNext/>
              <w:jc w:val="center"/>
              <w:rPr>
                <w:b/>
                <w:sz w:val="20"/>
                <w:szCs w:val="20"/>
              </w:rPr>
            </w:pPr>
            <w:r w:rsidRPr="00A70493">
              <w:rPr>
                <w:b/>
                <w:sz w:val="20"/>
                <w:szCs w:val="20"/>
              </w:rPr>
              <w:t>per year</w:t>
            </w:r>
          </w:p>
        </w:tc>
        <w:tc>
          <w:tcPr>
            <w:tcW w:w="818" w:type="pct"/>
          </w:tcPr>
          <w:p w:rsidR="00BA6B18" w:rsidRPr="00A44D76" w:rsidRDefault="00A70493" w:rsidP="006B4A1C">
            <w:pPr>
              <w:keepNext/>
              <w:jc w:val="center"/>
              <w:rPr>
                <w:b/>
                <w:sz w:val="20"/>
                <w:szCs w:val="20"/>
              </w:rPr>
            </w:pPr>
            <w:r w:rsidRPr="00A70493">
              <w:rPr>
                <w:b/>
                <w:sz w:val="20"/>
                <w:szCs w:val="20"/>
              </w:rPr>
              <w:t>Total annual</w:t>
            </w:r>
          </w:p>
          <w:p w:rsidR="00BA6B18" w:rsidRPr="00A44D76" w:rsidRDefault="00A70493" w:rsidP="006B4A1C">
            <w:pPr>
              <w:keepNext/>
              <w:jc w:val="center"/>
              <w:rPr>
                <w:b/>
                <w:sz w:val="20"/>
                <w:szCs w:val="20"/>
              </w:rPr>
            </w:pPr>
            <w:r w:rsidRPr="00A70493">
              <w:rPr>
                <w:b/>
                <w:sz w:val="20"/>
                <w:szCs w:val="20"/>
              </w:rPr>
              <w:t>labor cost</w:t>
            </w:r>
          </w:p>
        </w:tc>
        <w:tc>
          <w:tcPr>
            <w:tcW w:w="820" w:type="pct"/>
          </w:tcPr>
          <w:p w:rsidR="00BA6B18" w:rsidRPr="00A44D76" w:rsidRDefault="00A70493" w:rsidP="006B4A1C">
            <w:pPr>
              <w:keepNext/>
              <w:jc w:val="center"/>
              <w:rPr>
                <w:b/>
                <w:sz w:val="20"/>
                <w:szCs w:val="20"/>
              </w:rPr>
            </w:pPr>
            <w:r w:rsidRPr="00A70493">
              <w:rPr>
                <w:b/>
                <w:sz w:val="20"/>
                <w:szCs w:val="20"/>
              </w:rPr>
              <w:t>Total annual</w:t>
            </w:r>
          </w:p>
          <w:p w:rsidR="00BA6B18" w:rsidRPr="00A44D76" w:rsidRDefault="00A70493" w:rsidP="006B4A1C">
            <w:pPr>
              <w:keepNext/>
              <w:jc w:val="center"/>
              <w:rPr>
                <w:b/>
                <w:sz w:val="20"/>
                <w:szCs w:val="20"/>
              </w:rPr>
            </w:pPr>
            <w:r w:rsidRPr="00A70493">
              <w:rPr>
                <w:b/>
                <w:sz w:val="20"/>
                <w:szCs w:val="20"/>
              </w:rPr>
              <w:t>O&amp;M costs</w:t>
            </w:r>
          </w:p>
        </w:tc>
      </w:tr>
      <w:tr w:rsidR="00BA6B18" w:rsidRPr="00A44D76" w:rsidTr="00F166CD">
        <w:trPr>
          <w:trHeight w:val="288"/>
          <w:jc w:val="center"/>
        </w:trPr>
        <w:tc>
          <w:tcPr>
            <w:tcW w:w="958" w:type="pct"/>
          </w:tcPr>
          <w:p w:rsidR="00BA6B18" w:rsidRPr="00A44D76" w:rsidRDefault="00A70493" w:rsidP="006B4A1C">
            <w:pPr>
              <w:keepNext/>
              <w:rPr>
                <w:sz w:val="20"/>
                <w:szCs w:val="20"/>
              </w:rPr>
            </w:pPr>
            <w:r w:rsidRPr="00A70493">
              <w:rPr>
                <w:sz w:val="20"/>
                <w:szCs w:val="20"/>
              </w:rPr>
              <w:t>Private landfills</w:t>
            </w:r>
          </w:p>
        </w:tc>
        <w:tc>
          <w:tcPr>
            <w:tcW w:w="944" w:type="pct"/>
            <w:vAlign w:val="center"/>
          </w:tcPr>
          <w:p w:rsidR="00BA6B18" w:rsidRPr="00A44D76" w:rsidRDefault="00A70493" w:rsidP="006B4A1C">
            <w:pPr>
              <w:keepNext/>
              <w:jc w:val="center"/>
              <w:rPr>
                <w:sz w:val="20"/>
                <w:szCs w:val="20"/>
              </w:rPr>
            </w:pPr>
            <w:r w:rsidRPr="00A70493">
              <w:rPr>
                <w:sz w:val="20"/>
                <w:szCs w:val="20"/>
              </w:rPr>
              <w:t>157</w:t>
            </w:r>
          </w:p>
        </w:tc>
        <w:tc>
          <w:tcPr>
            <w:tcW w:w="758" w:type="pct"/>
            <w:vAlign w:val="center"/>
          </w:tcPr>
          <w:p w:rsidR="00BA6B18" w:rsidRPr="00A44D76" w:rsidRDefault="00A70493" w:rsidP="006B4A1C">
            <w:pPr>
              <w:keepNext/>
              <w:jc w:val="center"/>
              <w:rPr>
                <w:sz w:val="20"/>
                <w:szCs w:val="20"/>
              </w:rPr>
            </w:pPr>
            <w:r w:rsidRPr="00A70493">
              <w:rPr>
                <w:sz w:val="20"/>
                <w:szCs w:val="20"/>
              </w:rPr>
              <w:t>798</w:t>
            </w:r>
          </w:p>
        </w:tc>
        <w:tc>
          <w:tcPr>
            <w:tcW w:w="701" w:type="pct"/>
            <w:vAlign w:val="center"/>
          </w:tcPr>
          <w:p w:rsidR="00BA6B18" w:rsidRPr="00A44D76" w:rsidRDefault="00A70493" w:rsidP="006B4A1C">
            <w:pPr>
              <w:keepNext/>
              <w:jc w:val="center"/>
              <w:rPr>
                <w:sz w:val="20"/>
                <w:szCs w:val="20"/>
              </w:rPr>
            </w:pPr>
            <w:r w:rsidRPr="00A70493">
              <w:rPr>
                <w:sz w:val="20"/>
                <w:szCs w:val="20"/>
              </w:rPr>
              <w:t>13,752</w:t>
            </w:r>
          </w:p>
        </w:tc>
        <w:tc>
          <w:tcPr>
            <w:tcW w:w="818" w:type="pct"/>
            <w:vAlign w:val="center"/>
          </w:tcPr>
          <w:p w:rsidR="00BA6B18" w:rsidRPr="00A44D76" w:rsidRDefault="00A70493" w:rsidP="00340D80">
            <w:pPr>
              <w:keepNext/>
              <w:jc w:val="right"/>
              <w:rPr>
                <w:sz w:val="20"/>
                <w:szCs w:val="20"/>
              </w:rPr>
            </w:pPr>
            <w:r w:rsidRPr="00A70493">
              <w:rPr>
                <w:sz w:val="20"/>
                <w:szCs w:val="20"/>
              </w:rPr>
              <w:t>$1,331,55</w:t>
            </w:r>
            <w:r w:rsidR="00340D80">
              <w:rPr>
                <w:sz w:val="20"/>
                <w:szCs w:val="20"/>
              </w:rPr>
              <w:t>8</w:t>
            </w:r>
          </w:p>
        </w:tc>
        <w:tc>
          <w:tcPr>
            <w:tcW w:w="820" w:type="pct"/>
            <w:vAlign w:val="center"/>
          </w:tcPr>
          <w:p w:rsidR="00BA6B18" w:rsidRPr="00A44D76" w:rsidRDefault="00A70493" w:rsidP="006B4A1C">
            <w:pPr>
              <w:keepNext/>
              <w:jc w:val="right"/>
              <w:rPr>
                <w:sz w:val="20"/>
                <w:szCs w:val="20"/>
              </w:rPr>
            </w:pPr>
            <w:r w:rsidRPr="00A70493">
              <w:rPr>
                <w:sz w:val="20"/>
                <w:szCs w:val="20"/>
              </w:rPr>
              <w:t>$219,800</w:t>
            </w:r>
          </w:p>
        </w:tc>
      </w:tr>
      <w:tr w:rsidR="00BA6B18" w:rsidRPr="00A44D76" w:rsidTr="00F166CD">
        <w:trPr>
          <w:trHeight w:val="288"/>
          <w:jc w:val="center"/>
        </w:trPr>
        <w:tc>
          <w:tcPr>
            <w:tcW w:w="958" w:type="pct"/>
          </w:tcPr>
          <w:p w:rsidR="00BA6B18" w:rsidRPr="00A44D76" w:rsidRDefault="00A70493" w:rsidP="006B4A1C">
            <w:pPr>
              <w:keepNext/>
              <w:rPr>
                <w:sz w:val="20"/>
                <w:szCs w:val="20"/>
              </w:rPr>
            </w:pPr>
            <w:r w:rsidRPr="00A70493">
              <w:rPr>
                <w:sz w:val="20"/>
                <w:szCs w:val="20"/>
              </w:rPr>
              <w:t>Public landfills</w:t>
            </w:r>
          </w:p>
        </w:tc>
        <w:tc>
          <w:tcPr>
            <w:tcW w:w="944" w:type="pct"/>
            <w:vAlign w:val="center"/>
          </w:tcPr>
          <w:p w:rsidR="00BA6B18" w:rsidRPr="00A44D76" w:rsidRDefault="00A70493" w:rsidP="006B4A1C">
            <w:pPr>
              <w:keepNext/>
              <w:jc w:val="center"/>
              <w:rPr>
                <w:sz w:val="20"/>
                <w:szCs w:val="20"/>
              </w:rPr>
            </w:pPr>
            <w:r w:rsidRPr="00A70493">
              <w:rPr>
                <w:sz w:val="20"/>
                <w:szCs w:val="20"/>
              </w:rPr>
              <w:t>317</w:t>
            </w:r>
          </w:p>
        </w:tc>
        <w:tc>
          <w:tcPr>
            <w:tcW w:w="758" w:type="pct"/>
            <w:vAlign w:val="center"/>
          </w:tcPr>
          <w:p w:rsidR="00BA6B18" w:rsidRPr="00A44D76" w:rsidRDefault="00A70493" w:rsidP="006B4A1C">
            <w:pPr>
              <w:keepNext/>
              <w:jc w:val="center"/>
              <w:rPr>
                <w:sz w:val="20"/>
                <w:szCs w:val="20"/>
              </w:rPr>
            </w:pPr>
            <w:r w:rsidRPr="00A70493">
              <w:rPr>
                <w:sz w:val="20"/>
                <w:szCs w:val="20"/>
              </w:rPr>
              <w:t>1,611</w:t>
            </w:r>
          </w:p>
        </w:tc>
        <w:tc>
          <w:tcPr>
            <w:tcW w:w="701" w:type="pct"/>
            <w:vAlign w:val="center"/>
          </w:tcPr>
          <w:p w:rsidR="00BA6B18" w:rsidRPr="00A44D76" w:rsidRDefault="00A70493" w:rsidP="006B4A1C">
            <w:pPr>
              <w:keepNext/>
              <w:jc w:val="center"/>
              <w:rPr>
                <w:sz w:val="20"/>
                <w:szCs w:val="20"/>
              </w:rPr>
            </w:pPr>
            <w:r w:rsidRPr="00A70493">
              <w:rPr>
                <w:sz w:val="20"/>
                <w:szCs w:val="20"/>
              </w:rPr>
              <w:t>27,766</w:t>
            </w:r>
          </w:p>
        </w:tc>
        <w:tc>
          <w:tcPr>
            <w:tcW w:w="818" w:type="pct"/>
            <w:vAlign w:val="center"/>
          </w:tcPr>
          <w:p w:rsidR="00BA6B18" w:rsidRPr="00A44D76" w:rsidRDefault="00A70493" w:rsidP="00340D80">
            <w:pPr>
              <w:keepNext/>
              <w:jc w:val="right"/>
              <w:rPr>
                <w:sz w:val="20"/>
                <w:szCs w:val="20"/>
              </w:rPr>
            </w:pPr>
            <w:r w:rsidRPr="00A70493">
              <w:rPr>
                <w:sz w:val="20"/>
                <w:szCs w:val="20"/>
              </w:rPr>
              <w:t>$</w:t>
            </w:r>
            <w:r w:rsidR="00340D80">
              <w:rPr>
                <w:sz w:val="20"/>
                <w:szCs w:val="20"/>
              </w:rPr>
              <w:t>2,688,507</w:t>
            </w:r>
          </w:p>
        </w:tc>
        <w:tc>
          <w:tcPr>
            <w:tcW w:w="820" w:type="pct"/>
            <w:vAlign w:val="center"/>
          </w:tcPr>
          <w:p w:rsidR="00BA6B18" w:rsidRPr="00A44D76" w:rsidRDefault="00A70493" w:rsidP="006B4A1C">
            <w:pPr>
              <w:keepNext/>
              <w:jc w:val="right"/>
              <w:rPr>
                <w:sz w:val="20"/>
                <w:szCs w:val="20"/>
              </w:rPr>
            </w:pPr>
            <w:r w:rsidRPr="00A70493">
              <w:rPr>
                <w:sz w:val="20"/>
                <w:szCs w:val="20"/>
              </w:rPr>
              <w:t>$443,800</w:t>
            </w:r>
          </w:p>
        </w:tc>
      </w:tr>
      <w:tr w:rsidR="00BA6B18" w:rsidRPr="00A44D76" w:rsidTr="00F166CD">
        <w:trPr>
          <w:trHeight w:val="288"/>
          <w:jc w:val="center"/>
        </w:trPr>
        <w:tc>
          <w:tcPr>
            <w:tcW w:w="958" w:type="pct"/>
          </w:tcPr>
          <w:p w:rsidR="00BA6B18" w:rsidRPr="00A44D76" w:rsidRDefault="00A70493" w:rsidP="006B4A1C">
            <w:pPr>
              <w:keepNext/>
              <w:rPr>
                <w:sz w:val="20"/>
                <w:szCs w:val="20"/>
              </w:rPr>
            </w:pPr>
            <w:r w:rsidRPr="00A70493">
              <w:rPr>
                <w:sz w:val="20"/>
                <w:szCs w:val="20"/>
              </w:rPr>
              <w:t>State/local agencies</w:t>
            </w:r>
          </w:p>
        </w:tc>
        <w:tc>
          <w:tcPr>
            <w:tcW w:w="944" w:type="pct"/>
            <w:vAlign w:val="center"/>
          </w:tcPr>
          <w:p w:rsidR="00BA6B18" w:rsidRPr="00A44D76" w:rsidRDefault="00A70493" w:rsidP="006B4A1C">
            <w:pPr>
              <w:keepNext/>
              <w:jc w:val="center"/>
              <w:rPr>
                <w:sz w:val="20"/>
                <w:szCs w:val="20"/>
              </w:rPr>
            </w:pPr>
            <w:r w:rsidRPr="00A70493">
              <w:rPr>
                <w:sz w:val="20"/>
                <w:szCs w:val="20"/>
              </w:rPr>
              <w:t>37</w:t>
            </w:r>
          </w:p>
        </w:tc>
        <w:tc>
          <w:tcPr>
            <w:tcW w:w="758" w:type="pct"/>
            <w:vAlign w:val="center"/>
          </w:tcPr>
          <w:p w:rsidR="00BA6B18" w:rsidRPr="00A44D76" w:rsidRDefault="006C66D0" w:rsidP="006B4A1C">
            <w:pPr>
              <w:keepNext/>
              <w:jc w:val="center"/>
              <w:rPr>
                <w:sz w:val="20"/>
                <w:szCs w:val="20"/>
              </w:rPr>
            </w:pPr>
            <w:r>
              <w:rPr>
                <w:sz w:val="20"/>
                <w:szCs w:val="20"/>
              </w:rPr>
              <w:t>343</w:t>
            </w:r>
          </w:p>
        </w:tc>
        <w:tc>
          <w:tcPr>
            <w:tcW w:w="701" w:type="pct"/>
            <w:vAlign w:val="center"/>
          </w:tcPr>
          <w:p w:rsidR="00BA6B18" w:rsidRPr="00A44D76" w:rsidRDefault="006C66D0" w:rsidP="006B4A1C">
            <w:pPr>
              <w:keepNext/>
              <w:jc w:val="center"/>
              <w:rPr>
                <w:sz w:val="20"/>
                <w:szCs w:val="20"/>
              </w:rPr>
            </w:pPr>
            <w:r>
              <w:rPr>
                <w:sz w:val="20"/>
                <w:szCs w:val="20"/>
              </w:rPr>
              <w:t>759</w:t>
            </w:r>
          </w:p>
        </w:tc>
        <w:tc>
          <w:tcPr>
            <w:tcW w:w="818" w:type="pct"/>
            <w:vAlign w:val="center"/>
          </w:tcPr>
          <w:p w:rsidR="00BA6B18" w:rsidRPr="00A44D76" w:rsidRDefault="00A70493" w:rsidP="00340D80">
            <w:pPr>
              <w:keepNext/>
              <w:jc w:val="right"/>
              <w:rPr>
                <w:sz w:val="20"/>
                <w:szCs w:val="20"/>
              </w:rPr>
            </w:pPr>
            <w:r w:rsidRPr="00A70493">
              <w:rPr>
                <w:sz w:val="20"/>
                <w:szCs w:val="20"/>
              </w:rPr>
              <w:t>$</w:t>
            </w:r>
            <w:r w:rsidR="00340D80">
              <w:rPr>
                <w:sz w:val="20"/>
                <w:szCs w:val="20"/>
              </w:rPr>
              <w:t>34.189</w:t>
            </w:r>
          </w:p>
        </w:tc>
        <w:tc>
          <w:tcPr>
            <w:tcW w:w="820" w:type="pct"/>
            <w:vAlign w:val="center"/>
          </w:tcPr>
          <w:p w:rsidR="00BA6B18" w:rsidRPr="00A44D76" w:rsidRDefault="00A70493" w:rsidP="006B4A1C">
            <w:pPr>
              <w:keepNext/>
              <w:jc w:val="right"/>
              <w:rPr>
                <w:sz w:val="20"/>
                <w:szCs w:val="20"/>
              </w:rPr>
            </w:pPr>
            <w:r w:rsidRPr="00A70493">
              <w:rPr>
                <w:sz w:val="20"/>
                <w:szCs w:val="20"/>
              </w:rPr>
              <w:t>$0</w:t>
            </w:r>
          </w:p>
        </w:tc>
      </w:tr>
      <w:tr w:rsidR="00BA6B18" w:rsidRPr="00A44D76" w:rsidTr="00F166CD">
        <w:trPr>
          <w:trHeight w:val="288"/>
          <w:jc w:val="center"/>
        </w:trPr>
        <w:tc>
          <w:tcPr>
            <w:tcW w:w="958" w:type="pct"/>
          </w:tcPr>
          <w:p w:rsidR="00BA6B18" w:rsidRPr="008D4106" w:rsidRDefault="00A70493" w:rsidP="006B4A1C">
            <w:pPr>
              <w:keepNext/>
              <w:rPr>
                <w:b/>
                <w:sz w:val="20"/>
                <w:szCs w:val="20"/>
              </w:rPr>
            </w:pPr>
            <w:r w:rsidRPr="008D4106">
              <w:rPr>
                <w:b/>
                <w:sz w:val="20"/>
                <w:szCs w:val="20"/>
              </w:rPr>
              <w:t>Total</w:t>
            </w:r>
            <w:r w:rsidR="008D4106" w:rsidRPr="008D4106">
              <w:rPr>
                <w:b/>
                <w:sz w:val="20"/>
                <w:szCs w:val="20"/>
              </w:rPr>
              <w:t xml:space="preserve"> (rounded)</w:t>
            </w:r>
          </w:p>
        </w:tc>
        <w:tc>
          <w:tcPr>
            <w:tcW w:w="944" w:type="pct"/>
            <w:vAlign w:val="center"/>
          </w:tcPr>
          <w:p w:rsidR="00BA6B18" w:rsidRPr="008D4106" w:rsidRDefault="00A70493" w:rsidP="008415E9">
            <w:pPr>
              <w:keepNext/>
              <w:jc w:val="center"/>
              <w:rPr>
                <w:b/>
                <w:sz w:val="20"/>
                <w:szCs w:val="20"/>
              </w:rPr>
            </w:pPr>
            <w:r w:rsidRPr="008D4106">
              <w:rPr>
                <w:b/>
                <w:sz w:val="20"/>
                <w:szCs w:val="20"/>
              </w:rPr>
              <w:t>5</w:t>
            </w:r>
            <w:r w:rsidR="008415E9">
              <w:rPr>
                <w:b/>
                <w:sz w:val="20"/>
                <w:szCs w:val="20"/>
              </w:rPr>
              <w:t>11</w:t>
            </w:r>
          </w:p>
        </w:tc>
        <w:tc>
          <w:tcPr>
            <w:tcW w:w="758" w:type="pct"/>
            <w:vAlign w:val="center"/>
          </w:tcPr>
          <w:p w:rsidR="00BA6B18" w:rsidRPr="008D4106" w:rsidRDefault="006C66D0" w:rsidP="006B4A1C">
            <w:pPr>
              <w:keepNext/>
              <w:jc w:val="center"/>
              <w:rPr>
                <w:b/>
                <w:sz w:val="20"/>
                <w:szCs w:val="20"/>
              </w:rPr>
            </w:pPr>
            <w:r w:rsidRPr="008D4106">
              <w:rPr>
                <w:b/>
                <w:sz w:val="20"/>
                <w:szCs w:val="20"/>
              </w:rPr>
              <w:t>2,752</w:t>
            </w:r>
          </w:p>
        </w:tc>
        <w:tc>
          <w:tcPr>
            <w:tcW w:w="701" w:type="pct"/>
            <w:vAlign w:val="center"/>
          </w:tcPr>
          <w:p w:rsidR="00BA6B18" w:rsidRPr="008D4106" w:rsidRDefault="006C66D0" w:rsidP="00D60407">
            <w:pPr>
              <w:keepNext/>
              <w:jc w:val="center"/>
              <w:rPr>
                <w:b/>
                <w:sz w:val="20"/>
                <w:szCs w:val="20"/>
              </w:rPr>
            </w:pPr>
            <w:r w:rsidRPr="008D4106">
              <w:rPr>
                <w:b/>
                <w:sz w:val="20"/>
                <w:szCs w:val="20"/>
              </w:rPr>
              <w:t>42,27</w:t>
            </w:r>
            <w:r w:rsidR="00D60407" w:rsidRPr="008D4106">
              <w:rPr>
                <w:b/>
                <w:sz w:val="20"/>
                <w:szCs w:val="20"/>
              </w:rPr>
              <w:t>7</w:t>
            </w:r>
          </w:p>
        </w:tc>
        <w:tc>
          <w:tcPr>
            <w:tcW w:w="818" w:type="pct"/>
            <w:vAlign w:val="center"/>
          </w:tcPr>
          <w:p w:rsidR="00BA6B18" w:rsidRPr="008D4106" w:rsidRDefault="00A70493" w:rsidP="002370B4">
            <w:pPr>
              <w:keepNext/>
              <w:jc w:val="right"/>
              <w:rPr>
                <w:b/>
                <w:sz w:val="20"/>
                <w:szCs w:val="20"/>
              </w:rPr>
            </w:pPr>
            <w:r w:rsidRPr="008D4106">
              <w:rPr>
                <w:b/>
                <w:sz w:val="20"/>
                <w:szCs w:val="20"/>
              </w:rPr>
              <w:t>$</w:t>
            </w:r>
            <w:r w:rsidR="00340D80" w:rsidRPr="008D4106">
              <w:rPr>
                <w:b/>
                <w:sz w:val="20"/>
                <w:szCs w:val="20"/>
              </w:rPr>
              <w:t>4,</w:t>
            </w:r>
            <w:r w:rsidR="002370B4">
              <w:rPr>
                <w:b/>
                <w:sz w:val="20"/>
                <w:szCs w:val="20"/>
              </w:rPr>
              <w:t>0</w:t>
            </w:r>
            <w:r w:rsidR="00340D80" w:rsidRPr="008D4106">
              <w:rPr>
                <w:b/>
                <w:sz w:val="20"/>
                <w:szCs w:val="20"/>
              </w:rPr>
              <w:t>54,2</w:t>
            </w:r>
            <w:r w:rsidR="002370B4">
              <w:rPr>
                <w:b/>
                <w:sz w:val="20"/>
                <w:szCs w:val="20"/>
              </w:rPr>
              <w:t>54</w:t>
            </w:r>
          </w:p>
        </w:tc>
        <w:tc>
          <w:tcPr>
            <w:tcW w:w="820" w:type="pct"/>
            <w:vAlign w:val="center"/>
          </w:tcPr>
          <w:p w:rsidR="00BA6B18" w:rsidRPr="008D4106" w:rsidRDefault="00A70493" w:rsidP="006B4A1C">
            <w:pPr>
              <w:keepNext/>
              <w:jc w:val="right"/>
              <w:rPr>
                <w:b/>
                <w:sz w:val="20"/>
                <w:szCs w:val="20"/>
              </w:rPr>
            </w:pPr>
            <w:r w:rsidRPr="008D4106">
              <w:rPr>
                <w:b/>
                <w:sz w:val="20"/>
                <w:szCs w:val="20"/>
              </w:rPr>
              <w:t>$663,600</w:t>
            </w:r>
          </w:p>
        </w:tc>
      </w:tr>
    </w:tbl>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222D83">
        <w:rPr>
          <w:color w:val="000000"/>
        </w:rPr>
        <w:t xml:space="preserve"> </w:t>
      </w:r>
      <w:r w:rsidR="00C273B5">
        <w:rPr>
          <w:color w:val="000000"/>
        </w:rPr>
        <w:t>376</w:t>
      </w:r>
      <w:r w:rsidR="00222D83">
        <w:rPr>
          <w:color w:val="000000"/>
        </w:rPr>
        <w:t xml:space="preserve"> </w:t>
      </w:r>
      <w:r>
        <w:rPr>
          <w:color w:val="000000"/>
        </w:rPr>
        <w:t>labor hours at a cost of</w:t>
      </w:r>
      <w:r w:rsidR="00222D83">
        <w:rPr>
          <w:color w:val="000000"/>
        </w:rPr>
        <w:t xml:space="preserve"> $</w:t>
      </w:r>
      <w:r w:rsidR="00C273B5">
        <w:rPr>
          <w:color w:val="000000"/>
        </w:rPr>
        <w:t>16,947</w:t>
      </w:r>
      <w:r w:rsidR="00AC1F91">
        <w:rPr>
          <w:color w:val="000000"/>
        </w:rPr>
        <w:t>, s</w:t>
      </w:r>
      <w:r w:rsidR="00144F35">
        <w:rPr>
          <w:color w:val="000000"/>
        </w:rPr>
        <w:t xml:space="preserve">ee Table </w:t>
      </w:r>
      <w:r w:rsidR="009B02A3">
        <w:rPr>
          <w:color w:val="000000"/>
        </w:rPr>
        <w:t>2</w:t>
      </w:r>
      <w:r w:rsidR="00F44636">
        <w:rPr>
          <w:color w:val="000000"/>
        </w:rPr>
        <w:t xml:space="preserve"> below</w:t>
      </w:r>
      <w:r w:rsidR="00144F35">
        <w:rPr>
          <w:color w:val="000000"/>
        </w:rPr>
        <w:t xml:space="preserve">: Average </w:t>
      </w:r>
      <w:r w:rsidRPr="00A007F5">
        <w:rPr>
          <w:color w:val="000000"/>
        </w:rPr>
        <w:t xml:space="preserve">Annual </w:t>
      </w:r>
      <w:r w:rsidR="00144F35">
        <w:rPr>
          <w:color w:val="000000"/>
        </w:rPr>
        <w:t xml:space="preserve">EPA </w:t>
      </w:r>
      <w:r w:rsidRPr="00A007F5">
        <w:rPr>
          <w:color w:val="000000"/>
        </w:rPr>
        <w:t>Burden and Cost</w:t>
      </w:r>
      <w:r w:rsidR="00A6380B">
        <w:rPr>
          <w:color w:val="000000"/>
        </w:rPr>
        <w:t xml:space="preserve"> – </w:t>
      </w:r>
      <w:r w:rsidR="00A6380B" w:rsidRPr="00A6380B">
        <w:rPr>
          <w:color w:val="000000"/>
        </w:rPr>
        <w:t>Emission Guidelines and Compliance Times for Existing Municipal Solid Waste Landfills (40 CFR Part 60, Subpart Cc and 40 CFR Part 62, Subpart GGG) (Renewal)</w:t>
      </w:r>
      <w:r w:rsidR="00A6380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8D413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6(f)  Reasons </w:t>
      </w:r>
      <w:r w:rsidRPr="008D4133">
        <w:rPr>
          <w:b/>
          <w:bCs/>
        </w:rPr>
        <w:t>for Change in Burden</w:t>
      </w:r>
    </w:p>
    <w:p w:rsidR="00CA4CD6" w:rsidRPr="008D4133" w:rsidRDefault="00CA4CD6">
      <w:pPr>
        <w:pBdr>
          <w:top w:val="single" w:sz="6" w:space="0" w:color="FFFFFF"/>
          <w:left w:val="single" w:sz="6" w:space="0" w:color="FFFFFF"/>
          <w:bottom w:val="single" w:sz="6" w:space="0" w:color="FFFFFF"/>
          <w:right w:val="single" w:sz="6" w:space="0" w:color="FFFFFF"/>
        </w:pBdr>
      </w:pPr>
    </w:p>
    <w:p w:rsidR="00CB36B6" w:rsidRDefault="00442961" w:rsidP="003337BB">
      <w:pPr>
        <w:pBdr>
          <w:top w:val="single" w:sz="6" w:space="0" w:color="FFFFFF"/>
          <w:left w:val="single" w:sz="6" w:space="0" w:color="FFFFFF"/>
          <w:bottom w:val="single" w:sz="6" w:space="0" w:color="FFFFFF"/>
          <w:right w:val="single" w:sz="6" w:space="0" w:color="FFFFFF"/>
        </w:pBdr>
        <w:ind w:firstLine="720"/>
      </w:pPr>
      <w:r>
        <w:t xml:space="preserve">There is a net </w:t>
      </w:r>
      <w:r w:rsidR="00E51FFC">
        <w:t xml:space="preserve">decrease in </w:t>
      </w:r>
      <w:r>
        <w:t xml:space="preserve">the </w:t>
      </w:r>
      <w:r w:rsidR="006C5AF7">
        <w:t xml:space="preserve">total </w:t>
      </w:r>
      <w:r w:rsidR="00E51FFC">
        <w:t>burden</w:t>
      </w:r>
      <w:r w:rsidR="003337BB">
        <w:t xml:space="preserve"> associated with </w:t>
      </w:r>
      <w:r w:rsidR="006C5AF7">
        <w:t xml:space="preserve">both </w:t>
      </w:r>
      <w:r w:rsidR="003337BB">
        <w:t>privately</w:t>
      </w:r>
      <w:r w:rsidR="00AC1F91">
        <w:t>-</w:t>
      </w:r>
      <w:r w:rsidR="003337BB">
        <w:t xml:space="preserve"> and publicly</w:t>
      </w:r>
      <w:r w:rsidR="00AC1F91">
        <w:t>-</w:t>
      </w:r>
      <w:r w:rsidR="003337BB">
        <w:t xml:space="preserve"> owned landfills</w:t>
      </w:r>
      <w:r>
        <w:t xml:space="preserve">.  </w:t>
      </w:r>
      <w:r w:rsidR="008825D0" w:rsidRPr="008825D0">
        <w:t>Th</w:t>
      </w:r>
      <w:r w:rsidR="00394ACD">
        <w:t xml:space="preserve">is decrease is due to an adjustment to the </w:t>
      </w:r>
      <w:r w:rsidR="008825D0" w:rsidRPr="008825D0">
        <w:t xml:space="preserve">estimated </w:t>
      </w:r>
      <w:r w:rsidR="00394ACD">
        <w:t xml:space="preserve">average </w:t>
      </w:r>
      <w:r w:rsidR="008825D0" w:rsidRPr="008825D0">
        <w:t>number of respondents</w:t>
      </w:r>
      <w:r w:rsidR="00394ACD">
        <w:t>.  T</w:t>
      </w:r>
      <w:r w:rsidR="008825D0" w:rsidRPr="008825D0">
        <w:t xml:space="preserve">o account for </w:t>
      </w:r>
      <w:r w:rsidR="008825D0">
        <w:t xml:space="preserve">landfill closures </w:t>
      </w:r>
      <w:r w:rsidR="008825D0" w:rsidRPr="008825D0">
        <w:t xml:space="preserve">that </w:t>
      </w:r>
      <w:r w:rsidR="008825D0">
        <w:t xml:space="preserve">have </w:t>
      </w:r>
      <w:r w:rsidR="008825D0" w:rsidRPr="008825D0">
        <w:t xml:space="preserve">occurred since the </w:t>
      </w:r>
      <w:r w:rsidR="00C72D74">
        <w:t xml:space="preserve">previous </w:t>
      </w:r>
      <w:r w:rsidR="008825D0" w:rsidRPr="008825D0">
        <w:t>ICR was approved</w:t>
      </w:r>
      <w:r w:rsidR="00394ACD">
        <w:t xml:space="preserve">, </w:t>
      </w:r>
      <w:r w:rsidR="00CB36B6">
        <w:t xml:space="preserve">this ICR </w:t>
      </w:r>
      <w:r w:rsidR="00687442">
        <w:t xml:space="preserve">applies </w:t>
      </w:r>
      <w:r w:rsidR="00CB36B6">
        <w:t xml:space="preserve">a three-percent </w:t>
      </w:r>
      <w:r w:rsidR="00687442">
        <w:t xml:space="preserve">per year </w:t>
      </w:r>
      <w:r w:rsidR="00CB36B6">
        <w:t xml:space="preserve">landfill closure rate to the previous ICR’s estimated number of respondents.  </w:t>
      </w:r>
      <w:r w:rsidR="003337BB" w:rsidRPr="003337BB">
        <w:t xml:space="preserve">This </w:t>
      </w:r>
      <w:r w:rsidR="008825D0">
        <w:t>adjustment</w:t>
      </w:r>
      <w:r w:rsidR="003337BB" w:rsidRPr="003337BB">
        <w:t xml:space="preserve"> </w:t>
      </w:r>
      <w:r w:rsidR="003337BB">
        <w:t xml:space="preserve">decreased the </w:t>
      </w:r>
      <w:r w:rsidR="006C5AF7">
        <w:t xml:space="preserve">total </w:t>
      </w:r>
      <w:r w:rsidR="003337BB">
        <w:t>burden</w:t>
      </w:r>
      <w:r w:rsidR="005F4DD5">
        <w:t xml:space="preserve"> </w:t>
      </w:r>
      <w:r w:rsidR="006C66D0">
        <w:t xml:space="preserve">hours </w:t>
      </w:r>
      <w:r w:rsidR="005F4DD5">
        <w:t>associated with privately and publicly owned landfills</w:t>
      </w:r>
      <w:r w:rsidR="008825D0">
        <w:t>.</w:t>
      </w:r>
      <w:r w:rsidR="00952F56">
        <w:t xml:space="preserve"> There is an increase in burden cost from the most recently approved ICR.  This is due to the fact that this ICR uses updated labor rates from the Bureau of Labor Statistics to calculate respondent burden costs. </w:t>
      </w:r>
    </w:p>
    <w:p w:rsidR="008825D0" w:rsidRDefault="008825D0" w:rsidP="003337BB">
      <w:pPr>
        <w:pBdr>
          <w:top w:val="single" w:sz="6" w:space="0" w:color="FFFFFF"/>
          <w:left w:val="single" w:sz="6" w:space="0" w:color="FFFFFF"/>
          <w:bottom w:val="single" w:sz="6" w:space="0" w:color="FFFFFF"/>
          <w:right w:val="single" w:sz="6" w:space="0" w:color="FFFFFF"/>
        </w:pBdr>
        <w:ind w:firstLine="720"/>
      </w:pPr>
    </w:p>
    <w:p w:rsidR="00CB36B6" w:rsidRDefault="005F4DD5" w:rsidP="00CB36B6">
      <w:pPr>
        <w:pBdr>
          <w:top w:val="single" w:sz="6" w:space="0" w:color="FFFFFF"/>
          <w:left w:val="single" w:sz="6" w:space="0" w:color="FFFFFF"/>
          <w:bottom w:val="single" w:sz="6" w:space="0" w:color="FFFFFF"/>
          <w:right w:val="single" w:sz="6" w:space="0" w:color="FFFFFF"/>
        </w:pBdr>
        <w:ind w:firstLine="720"/>
      </w:pPr>
      <w:r>
        <w:lastRenderedPageBreak/>
        <w:t xml:space="preserve">There is an increase in the respondent burden and cost associated with State and local agencies.  </w:t>
      </w:r>
      <w:r w:rsidR="006C5AF7">
        <w:t>T</w:t>
      </w:r>
      <w:r>
        <w:t>his increase is due to an adjustment in the labor burden calculations.  T</w:t>
      </w:r>
      <w:r w:rsidR="006C5AF7">
        <w:t>h</w:t>
      </w:r>
      <w:r w:rsidR="00FB1637">
        <w:t xml:space="preserve">e previous ICR assumed </w:t>
      </w:r>
      <w:r>
        <w:t xml:space="preserve">that, for each burden item, </w:t>
      </w:r>
      <w:r w:rsidR="006C5AF7" w:rsidRPr="002322B8">
        <w:t xml:space="preserve">person-hours per </w:t>
      </w:r>
      <w:r w:rsidR="00FB1637">
        <w:t xml:space="preserve">occurrence </w:t>
      </w:r>
      <w:r w:rsidR="006C5AF7" w:rsidRPr="002322B8">
        <w:t>included technical, managerial, and clerical labor</w:t>
      </w:r>
      <w:r>
        <w:t xml:space="preserve"> hours</w:t>
      </w:r>
      <w:r w:rsidR="006C5AF7" w:rsidRPr="002322B8">
        <w:t xml:space="preserve">.  To be consistent with the estimation methodology used in other ICRs, this ICR assumes that </w:t>
      </w:r>
      <w:r w:rsidR="00FB1637">
        <w:t>person-</w:t>
      </w:r>
      <w:r w:rsidR="006C5AF7" w:rsidRPr="002322B8">
        <w:t>hours per occurrence include</w:t>
      </w:r>
      <w:r>
        <w:t>s</w:t>
      </w:r>
      <w:r w:rsidR="006C5AF7" w:rsidRPr="002322B8">
        <w:t xml:space="preserve"> technical labor only, and that managerial and clerical hours account for an additional 5 and 10 percent</w:t>
      </w:r>
      <w:r w:rsidR="00AC1F91">
        <w:t>, respectively,</w:t>
      </w:r>
      <w:r w:rsidR="006C5AF7" w:rsidRPr="002322B8">
        <w:t xml:space="preserve"> of technical labor hours.  </w:t>
      </w:r>
      <w:r>
        <w:t xml:space="preserve">This adjustment </w:t>
      </w:r>
      <w:r w:rsidR="006C5AF7">
        <w:t xml:space="preserve">increased the State and local agency burden </w:t>
      </w:r>
      <w:r w:rsidR="006C66D0">
        <w:t>hours and costs</w:t>
      </w:r>
      <w:r w:rsidR="006C5AF7">
        <w:t>.</w:t>
      </w:r>
    </w:p>
    <w:p w:rsidR="00442961" w:rsidRDefault="00442961" w:rsidP="0087316D">
      <w:pPr>
        <w:pBdr>
          <w:top w:val="single" w:sz="6" w:space="0" w:color="FFFFFF"/>
          <w:left w:val="single" w:sz="6" w:space="0" w:color="FFFFFF"/>
          <w:bottom w:val="single" w:sz="6" w:space="0" w:color="FFFFFF"/>
          <w:right w:val="single" w:sz="6" w:space="0" w:color="FFFFFF"/>
        </w:pBdr>
        <w:ind w:firstLine="720"/>
      </w:pPr>
    </w:p>
    <w:p w:rsidR="004F0682" w:rsidRDefault="00EF6877" w:rsidP="002322B8">
      <w:pPr>
        <w:pBdr>
          <w:top w:val="single" w:sz="6" w:space="0" w:color="FFFFFF"/>
          <w:left w:val="single" w:sz="6" w:space="0" w:color="FFFFFF"/>
          <w:bottom w:val="single" w:sz="6" w:space="0" w:color="FFFFFF"/>
          <w:right w:val="single" w:sz="6" w:space="0" w:color="FFFFFF"/>
        </w:pBdr>
        <w:ind w:firstLine="720"/>
      </w:pPr>
      <w:r>
        <w:t>T</w:t>
      </w:r>
      <w:r w:rsidR="003337BB">
        <w:t xml:space="preserve">here is </w:t>
      </w:r>
      <w:r w:rsidR="00AC1F91">
        <w:t xml:space="preserve">also </w:t>
      </w:r>
      <w:r w:rsidR="003337BB">
        <w:t>a</w:t>
      </w:r>
      <w:r w:rsidR="007143F2">
        <w:t xml:space="preserve"> decrease in the </w:t>
      </w:r>
      <w:r w:rsidR="002322B8">
        <w:t>Federal Agency burden</w:t>
      </w:r>
      <w:r w:rsidR="005F4DD5">
        <w:t xml:space="preserve"> due to adjustments in the labor burden calculations</w:t>
      </w:r>
      <w:r w:rsidR="002322B8">
        <w:t xml:space="preserve">.  </w:t>
      </w:r>
      <w:r w:rsidR="005F4DD5">
        <w:t>T</w:t>
      </w:r>
      <w:r w:rsidR="00C529EE">
        <w:t xml:space="preserve">he previous </w:t>
      </w:r>
      <w:r w:rsidR="007143F2">
        <w:t xml:space="preserve">ICR </w:t>
      </w:r>
      <w:r w:rsidR="00C529EE">
        <w:t xml:space="preserve">included a burden item for Agency review </w:t>
      </w:r>
      <w:r w:rsidR="007143F2">
        <w:t xml:space="preserve">of surface methane monitoring </w:t>
      </w:r>
      <w:r w:rsidR="00C529EE">
        <w:t xml:space="preserve">reports.  Respondents, however, are not required to submit reports; therefore, no Agency burden will be incurred.  For this reason we have </w:t>
      </w:r>
      <w:r w:rsidR="005F4DD5">
        <w:t>adjusted the</w:t>
      </w:r>
      <w:r w:rsidR="00C529EE">
        <w:t xml:space="preserve"> </w:t>
      </w:r>
      <w:r w:rsidR="005F4DD5">
        <w:t xml:space="preserve">calculations to exclude </w:t>
      </w:r>
      <w:r w:rsidR="001A434D">
        <w:t xml:space="preserve">any </w:t>
      </w:r>
      <w:r w:rsidR="005F4DD5">
        <w:t xml:space="preserve">Agency burden associated with surface methane monitoring.  </w:t>
      </w:r>
      <w:r w:rsidR="00C529EE">
        <w:t xml:space="preserve">We have also </w:t>
      </w:r>
      <w:r w:rsidR="005F4DD5">
        <w:t xml:space="preserve">adjusted </w:t>
      </w:r>
      <w:r w:rsidR="00C529EE">
        <w:t xml:space="preserve">the total labor burden attributed to EPA technical, managerial, and clerical labor.  </w:t>
      </w:r>
      <w:r w:rsidR="00AC1F91">
        <w:t xml:space="preserve">      </w:t>
      </w:r>
      <w:r w:rsidR="00C529EE">
        <w:t>A</w:t>
      </w:r>
      <w:r w:rsidR="00C529EE" w:rsidRPr="00C529EE">
        <w:t>s described in the previous paragraph</w:t>
      </w:r>
      <w:r w:rsidR="00C529EE">
        <w:t xml:space="preserve">, </w:t>
      </w:r>
      <w:r w:rsidR="00166FEC">
        <w:t xml:space="preserve">we </w:t>
      </w:r>
      <w:r w:rsidR="005F4DD5">
        <w:t>adjusted</w:t>
      </w:r>
      <w:r w:rsidR="00166FEC">
        <w:t xml:space="preserve"> the calculations </w:t>
      </w:r>
      <w:r w:rsidR="00C529EE">
        <w:t>for consistency</w:t>
      </w:r>
      <w:r w:rsidR="005C4286">
        <w:t xml:space="preserve"> with </w:t>
      </w:r>
      <w:r w:rsidR="00AC1F91">
        <w:t xml:space="preserve">    </w:t>
      </w:r>
      <w:r w:rsidR="005C4286">
        <w:t>other ICRs</w:t>
      </w:r>
      <w:r w:rsidR="00C529EE">
        <w:t xml:space="preserve">, and </w:t>
      </w:r>
      <w:r w:rsidR="00166FEC">
        <w:t xml:space="preserve">so that </w:t>
      </w:r>
      <w:r w:rsidR="00166FEC" w:rsidRPr="00166FEC">
        <w:t>managerial and clerical hours account for an additional 5 and 10 percent</w:t>
      </w:r>
      <w:r w:rsidR="00AC1F91">
        <w:t xml:space="preserve">,       </w:t>
      </w:r>
      <w:r w:rsidR="00166FEC" w:rsidRPr="00166FEC">
        <w:t xml:space="preserve"> </w:t>
      </w:r>
      <w:r w:rsidR="00AC1F91">
        <w:t xml:space="preserve">respectively, </w:t>
      </w:r>
      <w:r w:rsidR="00166FEC" w:rsidRPr="00166FEC">
        <w:t>of technical labor hours</w:t>
      </w:r>
      <w:r w:rsidR="00166FEC">
        <w:t xml:space="preserve">.  </w:t>
      </w:r>
      <w:r w:rsidR="005C4286">
        <w:t xml:space="preserve">The net result of these </w:t>
      </w:r>
      <w:r w:rsidR="00C529EE">
        <w:t xml:space="preserve">adjustments </w:t>
      </w:r>
      <w:r w:rsidR="005C4286">
        <w:t xml:space="preserve">was a </w:t>
      </w:r>
      <w:r w:rsidR="00C529EE">
        <w:t xml:space="preserve">decrease in </w:t>
      </w:r>
      <w:r w:rsidR="004F0682">
        <w:t>burden.</w:t>
      </w:r>
    </w:p>
    <w:p w:rsidR="00394ACD" w:rsidRDefault="00394ACD" w:rsidP="0087316D">
      <w:pPr>
        <w:pBdr>
          <w:top w:val="single" w:sz="6" w:space="0" w:color="FFFFFF"/>
          <w:left w:val="single" w:sz="6" w:space="0" w:color="FFFFFF"/>
          <w:bottom w:val="single" w:sz="6" w:space="0" w:color="FFFFFF"/>
          <w:right w:val="single" w:sz="6" w:space="0" w:color="FFFFFF"/>
        </w:pBdr>
        <w:ind w:firstLine="720"/>
      </w:pPr>
    </w:p>
    <w:p w:rsidR="008D4133" w:rsidRPr="008D4133" w:rsidRDefault="00222D83" w:rsidP="00222D83">
      <w:pPr>
        <w:pBdr>
          <w:top w:val="single" w:sz="6" w:space="0" w:color="FFFFFF"/>
          <w:left w:val="single" w:sz="6" w:space="0" w:color="FFFFFF"/>
          <w:bottom w:val="single" w:sz="6" w:space="0" w:color="FFFFFF"/>
          <w:right w:val="single" w:sz="6" w:space="0" w:color="FFFFFF"/>
        </w:pBdr>
        <w:ind w:firstLine="720"/>
      </w:pPr>
      <w:r w:rsidRPr="008D4133">
        <w:t xml:space="preserve">There is </w:t>
      </w:r>
      <w:r w:rsidR="006C66D0">
        <w:t xml:space="preserve">also </w:t>
      </w:r>
      <w:r w:rsidRPr="008D4133">
        <w:t>a decrease in O&amp;M cost</w:t>
      </w:r>
      <w:r w:rsidR="00C72D74">
        <w:t>s</w:t>
      </w:r>
      <w:r w:rsidRPr="008D4133">
        <w:t xml:space="preserve"> from the most recently approved ICR.</w:t>
      </w:r>
      <w:r w:rsidR="008D4133" w:rsidRPr="008D4133">
        <w:t xml:space="preserve">  This </w:t>
      </w:r>
      <w:r w:rsidR="00C72D74">
        <w:t>decrease</w:t>
      </w:r>
      <w:r w:rsidR="008D4133" w:rsidRPr="008D4133">
        <w:t xml:space="preserve"> is not due to any program changes</w:t>
      </w:r>
      <w:r w:rsidR="00AE7063">
        <w:t xml:space="preserve">, and is attributed to </w:t>
      </w:r>
      <w:r w:rsidR="00C72D74">
        <w:t>the</w:t>
      </w:r>
      <w:r w:rsidR="00AE7063">
        <w:t xml:space="preserve"> decrease in the number of respondents due to landfill closures </w:t>
      </w:r>
      <w:r w:rsidR="00C72D74">
        <w:t xml:space="preserve">that have </w:t>
      </w:r>
      <w:r w:rsidR="00AE7063">
        <w:t>occurr</w:t>
      </w:r>
      <w:r w:rsidR="00C72D74">
        <w:t>ed</w:t>
      </w:r>
      <w:r w:rsidR="00AE7063">
        <w:t xml:space="preserve"> since the previous ICR</w:t>
      </w:r>
      <w:r w:rsidR="00C72D74">
        <w:t xml:space="preserve"> was approved</w:t>
      </w:r>
      <w:r w:rsidR="00AE7063">
        <w:t xml:space="preserve">.  </w:t>
      </w:r>
      <w:r w:rsidR="00AC1F91">
        <w:t xml:space="preserve"> </w:t>
      </w:r>
      <w:r w:rsidR="006C66D0">
        <w:t>As a result</w:t>
      </w:r>
      <w:r w:rsidR="00AE7063">
        <w:t>, there is a proportional decrease in the O&amp;M cost</w:t>
      </w:r>
      <w:r w:rsidRPr="008D4133">
        <w:t>.</w:t>
      </w:r>
    </w:p>
    <w:p w:rsidR="00CA4CD6" w:rsidRPr="008D4133" w:rsidRDefault="00CA4CD6">
      <w:pPr>
        <w:pBdr>
          <w:top w:val="single" w:sz="6" w:space="0" w:color="FFFFFF"/>
          <w:left w:val="single" w:sz="6" w:space="0" w:color="FFFFFF"/>
          <w:bottom w:val="single" w:sz="6" w:space="0" w:color="FFFFFF"/>
          <w:right w:val="single" w:sz="6" w:space="0" w:color="FFFFFF"/>
        </w:pBdr>
      </w:pPr>
    </w:p>
    <w:p w:rsidR="00CA4CD6" w:rsidRPr="008D4133" w:rsidRDefault="00CA4CD6">
      <w:pPr>
        <w:pBdr>
          <w:top w:val="single" w:sz="6" w:space="0" w:color="FFFFFF"/>
          <w:left w:val="single" w:sz="6" w:space="0" w:color="FFFFFF"/>
          <w:bottom w:val="single" w:sz="6" w:space="0" w:color="FFFFFF"/>
          <w:right w:val="single" w:sz="6" w:space="0" w:color="FFFFFF"/>
        </w:pBdr>
        <w:ind w:firstLine="720"/>
      </w:pPr>
      <w:r w:rsidRPr="008D4133">
        <w:rPr>
          <w:b/>
          <w:bCs/>
        </w:rPr>
        <w:t>6(g)  Burden Statement</w:t>
      </w:r>
    </w:p>
    <w:p w:rsidR="00CA4CD6" w:rsidRPr="008D413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B3B14">
        <w:rPr>
          <w:color w:val="000000"/>
        </w:rPr>
        <w:t xml:space="preserve"> 1</w:t>
      </w:r>
      <w:r w:rsidR="006B4A1C">
        <w:rPr>
          <w:color w:val="000000"/>
        </w:rPr>
        <w:t>5</w:t>
      </w:r>
      <w:r w:rsidR="000B3B14">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531181">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lastRenderedPageBreak/>
        <w:t>Docket ID Number</w:t>
      </w:r>
      <w:r w:rsidR="00531181">
        <w:t xml:space="preserve"> </w:t>
      </w:r>
      <w:r w:rsidR="00531181" w:rsidRPr="009B02A3">
        <w:rPr>
          <w:u w:val="single"/>
        </w:rPr>
        <w:t>EPA</w:t>
      </w:r>
      <w:r w:rsidR="007E62D0" w:rsidRPr="009B02A3">
        <w:rPr>
          <w:u w:val="single"/>
        </w:rPr>
        <w:t>-</w:t>
      </w:r>
      <w:r w:rsidR="00531181" w:rsidRPr="009B02A3">
        <w:rPr>
          <w:u w:val="single"/>
        </w:rPr>
        <w:t>HQ</w:t>
      </w:r>
      <w:r w:rsidR="007E62D0" w:rsidRPr="009B02A3">
        <w:rPr>
          <w:u w:val="single"/>
        </w:rPr>
        <w:t>-</w:t>
      </w:r>
      <w:r w:rsidR="00531181" w:rsidRPr="009B02A3">
        <w:rPr>
          <w:u w:val="single"/>
        </w:rPr>
        <w:t>OECA</w:t>
      </w:r>
      <w:r w:rsidR="007E62D0" w:rsidRPr="009B02A3">
        <w:rPr>
          <w:u w:val="single"/>
        </w:rPr>
        <w:t>-</w:t>
      </w:r>
      <w:r w:rsidR="00531181" w:rsidRPr="009B02A3">
        <w:rPr>
          <w:u w:val="single"/>
        </w:rPr>
        <w:t>2012</w:t>
      </w:r>
      <w:r w:rsidR="007E62D0" w:rsidRPr="009B02A3">
        <w:rPr>
          <w:u w:val="single"/>
        </w:rPr>
        <w:t>-</w:t>
      </w:r>
      <w:r w:rsidR="00531181" w:rsidRPr="009B02A3">
        <w:rPr>
          <w:u w:val="single"/>
        </w:rPr>
        <w:t>0680</w:t>
      </w:r>
      <w:r w:rsidR="00531181">
        <w:t xml:space="preserve">.  </w:t>
      </w:r>
      <w:r w:rsidR="00354C15" w:rsidRPr="00354C15">
        <w:t xml:space="preserve">An electronic version of the public docket is available at </w:t>
      </w:r>
      <w:r w:rsidR="00354C15" w:rsidRPr="00AC1F91">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9B02A3">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6E1856">
        <w:t>-</w:t>
      </w:r>
      <w:r w:rsidR="00531181">
        <w:t>2012–0680 an</w:t>
      </w:r>
      <w:r w:rsidR="00CA4CD6">
        <w:t>d OMB Control Number</w:t>
      </w:r>
      <w:r w:rsidR="0045183D">
        <w:t xml:space="preserve"> 2060-</w:t>
      </w:r>
      <w:r w:rsidR="0045183D" w:rsidRPr="0045183D">
        <w:t>0430</w:t>
      </w:r>
      <w:r w:rsidR="0045183D">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144F35" w:rsidRDefault="00CA4CD6"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rsidR="00E44571" w:rsidRDefault="00CB5694">
      <w:pPr>
        <w:jc w:val="center"/>
        <w:rPr>
          <w:b/>
          <w:bCs/>
        </w:rPr>
      </w:pPr>
      <w:r w:rsidRPr="00C4183F">
        <w:rPr>
          <w:b/>
          <w:bCs/>
          <w:color w:val="000000"/>
        </w:rPr>
        <w:lastRenderedPageBreak/>
        <w:t>Table 1</w:t>
      </w:r>
      <w:r w:rsidR="00D44EE0">
        <w:rPr>
          <w:b/>
          <w:bCs/>
          <w:color w:val="000000"/>
        </w:rPr>
        <w:t>a</w:t>
      </w:r>
      <w:r w:rsidRPr="00C4183F">
        <w:rPr>
          <w:b/>
          <w:bCs/>
          <w:color w:val="000000"/>
        </w:rPr>
        <w:t xml:space="preserve">: Annual </w:t>
      </w:r>
      <w:r w:rsidRPr="00AE0C16">
        <w:rPr>
          <w:b/>
          <w:bCs/>
        </w:rPr>
        <w:t xml:space="preserve">Respondent Burden and Cost – Emission </w:t>
      </w:r>
      <w:r w:rsidR="00AE0C16" w:rsidRPr="00AE0C16">
        <w:rPr>
          <w:b/>
          <w:bCs/>
        </w:rPr>
        <w:t>Guidelines and Compliance Tim</w:t>
      </w:r>
      <w:r w:rsidR="00E44571">
        <w:rPr>
          <w:b/>
          <w:bCs/>
        </w:rPr>
        <w:t>es for Existing Municipal Solid</w:t>
      </w:r>
    </w:p>
    <w:p w:rsidR="00C24697" w:rsidRDefault="00E44571" w:rsidP="00E44571">
      <w:pPr>
        <w:rPr>
          <w:b/>
          <w:bCs/>
        </w:rPr>
      </w:pPr>
      <w:r>
        <w:rPr>
          <w:b/>
          <w:bCs/>
        </w:rPr>
        <w:t xml:space="preserve">    </w:t>
      </w:r>
      <w:r w:rsidR="00AE0C16" w:rsidRPr="00AE0C16">
        <w:rPr>
          <w:b/>
          <w:bCs/>
        </w:rPr>
        <w:t>Waste Landfills (40 CFR Part 60, Subpart Cc and 40 CFR Part 62, Subpart GGG) (Renewal)</w:t>
      </w:r>
    </w:p>
    <w:p w:rsidR="00144F35" w:rsidRPr="00AE0C16" w:rsidRDefault="00144F35" w:rsidP="00F340DF">
      <w:pPr>
        <w:rPr>
          <w:b/>
          <w:bCs/>
        </w:rPr>
      </w:pPr>
    </w:p>
    <w:tbl>
      <w:tblPr>
        <w:tblW w:w="12742" w:type="dxa"/>
        <w:jc w:val="center"/>
        <w:tblInd w:w="103" w:type="dxa"/>
        <w:tblLook w:val="04A0"/>
      </w:tblPr>
      <w:tblGrid>
        <w:gridCol w:w="3198"/>
        <w:gridCol w:w="1160"/>
        <w:gridCol w:w="1238"/>
        <w:gridCol w:w="1244"/>
        <w:gridCol w:w="1306"/>
        <w:gridCol w:w="1050"/>
        <w:gridCol w:w="1347"/>
        <w:gridCol w:w="933"/>
        <w:gridCol w:w="1266"/>
      </w:tblGrid>
      <w:tr w:rsidR="00E01DCF" w:rsidRPr="00E01DCF" w:rsidTr="00C51DC9">
        <w:trPr>
          <w:trHeight w:val="300"/>
          <w:tblHeader/>
          <w:jc w:val="center"/>
        </w:trPr>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jc w:val="center"/>
              <w:rPr>
                <w:b/>
                <w:bCs/>
                <w:sz w:val="20"/>
                <w:szCs w:val="20"/>
              </w:rPr>
            </w:pPr>
            <w:r w:rsidRPr="00E01DCF">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B</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E</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F</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G</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b/>
                <w:bCs/>
                <w:sz w:val="20"/>
                <w:szCs w:val="20"/>
              </w:rPr>
            </w:pPr>
            <w:r w:rsidRPr="00E01DCF">
              <w:rPr>
                <w:b/>
                <w:bCs/>
                <w:sz w:val="20"/>
                <w:szCs w:val="20"/>
              </w:rPr>
              <w:t>H</w:t>
            </w:r>
          </w:p>
        </w:tc>
      </w:tr>
      <w:tr w:rsidR="00E01DCF" w:rsidRPr="00E01DCF" w:rsidTr="00C51DC9">
        <w:trPr>
          <w:trHeight w:val="1155"/>
          <w:tblHeader/>
          <w:jc w:val="center"/>
        </w:trPr>
        <w:tc>
          <w:tcPr>
            <w:tcW w:w="3198" w:type="dxa"/>
            <w:vMerge/>
            <w:tcBorders>
              <w:top w:val="single" w:sz="4" w:space="0" w:color="auto"/>
              <w:left w:val="single" w:sz="4" w:space="0" w:color="auto"/>
              <w:bottom w:val="single" w:sz="4" w:space="0" w:color="auto"/>
              <w:right w:val="single" w:sz="4" w:space="0" w:color="auto"/>
            </w:tcBorders>
            <w:vAlign w:val="center"/>
            <w:hideMark/>
          </w:tcPr>
          <w:p w:rsidR="00E01DCF" w:rsidRPr="00E01DCF" w:rsidRDefault="00E01DCF" w:rsidP="00E01DCF">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jc w:val="center"/>
              <w:rPr>
                <w:b/>
                <w:bCs/>
                <w:sz w:val="20"/>
                <w:szCs w:val="20"/>
              </w:rPr>
            </w:pPr>
            <w:r w:rsidRPr="00E01DCF">
              <w:rPr>
                <w:b/>
                <w:bCs/>
                <w:sz w:val="20"/>
                <w:szCs w:val="20"/>
              </w:rPr>
              <w:t>Technical person-hours per occurrence</w:t>
            </w:r>
          </w:p>
        </w:tc>
        <w:tc>
          <w:tcPr>
            <w:tcW w:w="1238" w:type="dxa"/>
            <w:tcBorders>
              <w:top w:val="nil"/>
              <w:left w:val="nil"/>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jc w:val="center"/>
              <w:rPr>
                <w:b/>
                <w:bCs/>
                <w:sz w:val="20"/>
                <w:szCs w:val="20"/>
              </w:rPr>
            </w:pPr>
            <w:r w:rsidRPr="00E01DCF">
              <w:rPr>
                <w:b/>
                <w:bCs/>
                <w:sz w:val="20"/>
                <w:szCs w:val="20"/>
              </w:rPr>
              <w:t>No. of occurrences per respondent per year</w:t>
            </w:r>
          </w:p>
        </w:tc>
        <w:tc>
          <w:tcPr>
            <w:tcW w:w="1244" w:type="dxa"/>
            <w:tcBorders>
              <w:top w:val="nil"/>
              <w:left w:val="nil"/>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jc w:val="center"/>
              <w:rPr>
                <w:b/>
                <w:bCs/>
                <w:sz w:val="20"/>
                <w:szCs w:val="20"/>
              </w:rPr>
            </w:pPr>
            <w:r w:rsidRPr="00E01DCF">
              <w:rPr>
                <w:b/>
                <w:bCs/>
                <w:sz w:val="20"/>
                <w:szCs w:val="20"/>
              </w:rPr>
              <w:t>Technical person-hours per respondent per year (AxB)</w:t>
            </w:r>
          </w:p>
        </w:tc>
        <w:tc>
          <w:tcPr>
            <w:tcW w:w="1306" w:type="dxa"/>
            <w:tcBorders>
              <w:top w:val="nil"/>
              <w:left w:val="nil"/>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jc w:val="center"/>
              <w:rPr>
                <w:b/>
                <w:bCs/>
                <w:sz w:val="20"/>
                <w:szCs w:val="20"/>
              </w:rPr>
            </w:pPr>
            <w:r w:rsidRPr="00E01DCF">
              <w:rPr>
                <w:b/>
                <w:bCs/>
                <w:sz w:val="20"/>
                <w:szCs w:val="20"/>
              </w:rPr>
              <w:t>Respondents per year</w:t>
            </w:r>
            <w:r w:rsidR="00913C57">
              <w:rPr>
                <w:b/>
                <w:bCs/>
                <w:sz w:val="20"/>
                <w:szCs w:val="20"/>
              </w:rPr>
              <w:t xml:space="preserve"> </w:t>
            </w:r>
            <w:r w:rsidRPr="00E01DCF">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rsidR="00E01DCF" w:rsidRDefault="00E01DCF" w:rsidP="00E01DCF">
            <w:pPr>
              <w:widowControl/>
              <w:autoSpaceDE/>
              <w:autoSpaceDN/>
              <w:adjustRightInd/>
              <w:jc w:val="center"/>
              <w:rPr>
                <w:b/>
                <w:bCs/>
                <w:sz w:val="20"/>
                <w:szCs w:val="20"/>
              </w:rPr>
            </w:pPr>
            <w:r w:rsidRPr="00E01DCF">
              <w:rPr>
                <w:b/>
                <w:bCs/>
                <w:sz w:val="20"/>
                <w:szCs w:val="20"/>
              </w:rPr>
              <w:t xml:space="preserve">Technical hours </w:t>
            </w:r>
          </w:p>
          <w:p w:rsidR="00E01DCF" w:rsidRPr="00E01DCF" w:rsidRDefault="00E01DCF" w:rsidP="00E01DCF">
            <w:pPr>
              <w:widowControl/>
              <w:autoSpaceDE/>
              <w:autoSpaceDN/>
              <w:adjustRightInd/>
              <w:jc w:val="center"/>
              <w:rPr>
                <w:b/>
                <w:bCs/>
                <w:sz w:val="20"/>
                <w:szCs w:val="20"/>
              </w:rPr>
            </w:pPr>
            <w:r w:rsidRPr="00E01DCF">
              <w:rPr>
                <w:b/>
                <w:bCs/>
                <w:sz w:val="20"/>
                <w:szCs w:val="20"/>
              </w:rPr>
              <w:t>per year (CxD)</w:t>
            </w:r>
          </w:p>
        </w:tc>
        <w:tc>
          <w:tcPr>
            <w:tcW w:w="1347" w:type="dxa"/>
            <w:tcBorders>
              <w:top w:val="nil"/>
              <w:left w:val="nil"/>
              <w:bottom w:val="single" w:sz="4" w:space="0" w:color="auto"/>
              <w:right w:val="single" w:sz="4" w:space="0" w:color="auto"/>
            </w:tcBorders>
            <w:shd w:val="clear" w:color="auto" w:fill="auto"/>
            <w:vAlign w:val="bottom"/>
            <w:hideMark/>
          </w:tcPr>
          <w:p w:rsidR="00E01DCF" w:rsidRDefault="00E01DCF" w:rsidP="00E01DCF">
            <w:pPr>
              <w:widowControl/>
              <w:autoSpaceDE/>
              <w:autoSpaceDN/>
              <w:adjustRightInd/>
              <w:jc w:val="center"/>
              <w:rPr>
                <w:b/>
                <w:bCs/>
                <w:sz w:val="20"/>
                <w:szCs w:val="20"/>
              </w:rPr>
            </w:pPr>
            <w:r w:rsidRPr="00E01DCF">
              <w:rPr>
                <w:b/>
                <w:bCs/>
                <w:sz w:val="20"/>
                <w:szCs w:val="20"/>
              </w:rPr>
              <w:t xml:space="preserve">Management hours </w:t>
            </w:r>
          </w:p>
          <w:p w:rsidR="00E01DCF" w:rsidRPr="00E01DCF" w:rsidRDefault="00E01DCF" w:rsidP="00E01DCF">
            <w:pPr>
              <w:widowControl/>
              <w:autoSpaceDE/>
              <w:autoSpaceDN/>
              <w:adjustRightInd/>
              <w:jc w:val="center"/>
              <w:rPr>
                <w:b/>
                <w:bCs/>
                <w:sz w:val="20"/>
                <w:szCs w:val="20"/>
              </w:rPr>
            </w:pPr>
            <w:r w:rsidRPr="00E01DCF">
              <w:rPr>
                <w:b/>
                <w:bCs/>
                <w:sz w:val="20"/>
                <w:szCs w:val="20"/>
              </w:rPr>
              <w:t>per year  (Ex0.05)</w:t>
            </w:r>
          </w:p>
        </w:tc>
        <w:tc>
          <w:tcPr>
            <w:tcW w:w="933" w:type="dxa"/>
            <w:tcBorders>
              <w:top w:val="nil"/>
              <w:left w:val="nil"/>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jc w:val="center"/>
              <w:rPr>
                <w:b/>
                <w:bCs/>
                <w:sz w:val="20"/>
                <w:szCs w:val="20"/>
              </w:rPr>
            </w:pPr>
            <w:r w:rsidRPr="00E01DCF">
              <w:rPr>
                <w:b/>
                <w:bCs/>
                <w:sz w:val="20"/>
                <w:szCs w:val="20"/>
              </w:rPr>
              <w:t>Clerical hours per year (Ex0.10)</w:t>
            </w:r>
          </w:p>
        </w:tc>
        <w:tc>
          <w:tcPr>
            <w:tcW w:w="1266" w:type="dxa"/>
            <w:tcBorders>
              <w:top w:val="nil"/>
              <w:left w:val="nil"/>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jc w:val="center"/>
              <w:rPr>
                <w:b/>
                <w:bCs/>
                <w:sz w:val="20"/>
                <w:szCs w:val="20"/>
              </w:rPr>
            </w:pPr>
            <w:r w:rsidRPr="00E01DCF">
              <w:rPr>
                <w:b/>
                <w:bCs/>
                <w:sz w:val="20"/>
                <w:szCs w:val="20"/>
              </w:rPr>
              <w:t>Total cost per year ($)</w:t>
            </w:r>
            <w:r w:rsidRPr="00E01DCF">
              <w:rPr>
                <w:b/>
                <w:bCs/>
                <w:sz w:val="20"/>
                <w:szCs w:val="20"/>
                <w:vertAlign w:val="superscript"/>
              </w:rPr>
              <w:t>b</w:t>
            </w:r>
            <w:r w:rsidR="00EE0703">
              <w:rPr>
                <w:b/>
                <w:bCs/>
                <w:sz w:val="20"/>
                <w:szCs w:val="20"/>
                <w:vertAlign w:val="superscript"/>
              </w:rPr>
              <w:t>, c</w:t>
            </w:r>
          </w:p>
        </w:tc>
      </w:tr>
      <w:tr w:rsidR="00E01DCF" w:rsidRPr="00E01DCF" w:rsidTr="00E33B0E">
        <w:trPr>
          <w:trHeight w:val="300"/>
          <w:jc w:val="center"/>
        </w:trPr>
        <w:tc>
          <w:tcPr>
            <w:tcW w:w="12742" w:type="dxa"/>
            <w:gridSpan w:val="9"/>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rPr>
                <w:sz w:val="20"/>
                <w:szCs w:val="20"/>
              </w:rPr>
            </w:pPr>
            <w:r w:rsidRPr="00E01DCF">
              <w:rPr>
                <w:sz w:val="20"/>
                <w:szCs w:val="20"/>
              </w:rPr>
              <w:t>1.  Reporting Requirements</w:t>
            </w:r>
            <w:r w:rsidR="00442961">
              <w:rPr>
                <w:sz w:val="20"/>
                <w:szCs w:val="20"/>
              </w:rPr>
              <w:t xml:space="preserve"> (Privately </w:t>
            </w:r>
            <w:r>
              <w:rPr>
                <w:sz w:val="20"/>
                <w:szCs w:val="20"/>
              </w:rPr>
              <w:t>Owned Landfills)</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8B0608">
            <w:pPr>
              <w:widowControl/>
              <w:autoSpaceDE/>
              <w:autoSpaceDN/>
              <w:adjustRightInd/>
              <w:ind w:leftChars="83" w:left="345" w:hangingChars="73" w:hanging="146"/>
              <w:rPr>
                <w:sz w:val="20"/>
                <w:szCs w:val="20"/>
              </w:rPr>
            </w:pPr>
            <w:r w:rsidRPr="00E01DCF">
              <w:rPr>
                <w:sz w:val="20"/>
                <w:szCs w:val="20"/>
              </w:rPr>
              <w:t xml:space="preserve">A. Initial </w:t>
            </w:r>
            <w:r w:rsidR="008B0608">
              <w:rPr>
                <w:sz w:val="20"/>
                <w:szCs w:val="20"/>
              </w:rPr>
              <w:t>d</w:t>
            </w:r>
            <w:r w:rsidRPr="00E01DCF">
              <w:rPr>
                <w:sz w:val="20"/>
                <w:szCs w:val="20"/>
              </w:rPr>
              <w:t xml:space="preserve">esign </w:t>
            </w:r>
            <w:r w:rsidR="008B0608">
              <w:rPr>
                <w:sz w:val="20"/>
                <w:szCs w:val="20"/>
              </w:rPr>
              <w:t>c</w:t>
            </w:r>
            <w:r w:rsidRPr="00E01DCF">
              <w:rPr>
                <w:sz w:val="20"/>
                <w:szCs w:val="20"/>
              </w:rPr>
              <w:t xml:space="preserve">apacity </w:t>
            </w:r>
            <w:r w:rsidR="008B0608">
              <w:rPr>
                <w:sz w:val="20"/>
                <w:szCs w:val="20"/>
              </w:rPr>
              <w:t>r</w:t>
            </w:r>
            <w:r w:rsidRPr="00E01DCF">
              <w:rPr>
                <w:sz w:val="20"/>
                <w:szCs w:val="20"/>
              </w:rPr>
              <w:t>eport</w:t>
            </w:r>
          </w:p>
        </w:tc>
        <w:tc>
          <w:tcPr>
            <w:tcW w:w="1160" w:type="dxa"/>
            <w:tcBorders>
              <w:top w:val="nil"/>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8B0608">
            <w:pPr>
              <w:widowControl/>
              <w:autoSpaceDE/>
              <w:autoSpaceDN/>
              <w:adjustRightInd/>
              <w:ind w:leftChars="83" w:left="345" w:hangingChars="73" w:hanging="146"/>
              <w:rPr>
                <w:sz w:val="20"/>
                <w:szCs w:val="20"/>
              </w:rPr>
            </w:pPr>
            <w:r w:rsidRPr="00E01DCF">
              <w:rPr>
                <w:sz w:val="20"/>
                <w:szCs w:val="20"/>
              </w:rPr>
              <w:t xml:space="preserve">B. Initial and </w:t>
            </w:r>
            <w:r w:rsidR="008B0608">
              <w:rPr>
                <w:sz w:val="20"/>
                <w:szCs w:val="20"/>
              </w:rPr>
              <w:t>a</w:t>
            </w:r>
            <w:r w:rsidRPr="00E01DCF">
              <w:rPr>
                <w:sz w:val="20"/>
                <w:szCs w:val="20"/>
              </w:rPr>
              <w:t xml:space="preserve">nnual NMOC </w:t>
            </w:r>
            <w:r w:rsidR="008B0608">
              <w:rPr>
                <w:sz w:val="20"/>
                <w:szCs w:val="20"/>
              </w:rPr>
              <w:t>e</w:t>
            </w:r>
            <w:r w:rsidRPr="00E01DCF">
              <w:rPr>
                <w:sz w:val="20"/>
                <w:szCs w:val="20"/>
              </w:rPr>
              <w:t xml:space="preserve">mission </w:t>
            </w:r>
            <w:r w:rsidR="008B0608">
              <w:rPr>
                <w:sz w:val="20"/>
                <w:szCs w:val="20"/>
              </w:rPr>
              <w:t>r</w:t>
            </w:r>
            <w:r w:rsidRPr="00E01DCF">
              <w:rPr>
                <w:sz w:val="20"/>
                <w:szCs w:val="20"/>
              </w:rPr>
              <w:t xml:space="preserve">ate </w:t>
            </w:r>
            <w:r w:rsidR="008B0608">
              <w:rPr>
                <w:sz w:val="20"/>
                <w:szCs w:val="20"/>
              </w:rPr>
              <w:t>r</w:t>
            </w:r>
            <w:r w:rsidRPr="00E01DCF">
              <w:rPr>
                <w:sz w:val="20"/>
                <w:szCs w:val="20"/>
              </w:rPr>
              <w:t>eports</w:t>
            </w:r>
            <w:r w:rsidR="009F76CA">
              <w:rPr>
                <w:sz w:val="20"/>
                <w:szCs w:val="20"/>
              </w:rPr>
              <w:t xml:space="preserve"> </w:t>
            </w:r>
            <w:r w:rsidR="00EE0703">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8B0608">
            <w:pPr>
              <w:widowControl/>
              <w:autoSpaceDE/>
              <w:autoSpaceDN/>
              <w:adjustRightInd/>
              <w:ind w:leftChars="83" w:left="345" w:hangingChars="73" w:hanging="146"/>
              <w:rPr>
                <w:sz w:val="20"/>
                <w:szCs w:val="20"/>
              </w:rPr>
            </w:pPr>
            <w:r w:rsidRPr="00E01DCF">
              <w:rPr>
                <w:sz w:val="20"/>
                <w:szCs w:val="20"/>
              </w:rPr>
              <w:t xml:space="preserve">C. Collection and </w:t>
            </w:r>
            <w:r w:rsidR="008B0608">
              <w:rPr>
                <w:sz w:val="20"/>
                <w:szCs w:val="20"/>
              </w:rPr>
              <w:t>c</w:t>
            </w:r>
            <w:r w:rsidRPr="00E01DCF">
              <w:rPr>
                <w:sz w:val="20"/>
                <w:szCs w:val="20"/>
              </w:rPr>
              <w:t xml:space="preserve">ontrol </w:t>
            </w:r>
            <w:r w:rsidR="008B0608">
              <w:rPr>
                <w:sz w:val="20"/>
                <w:szCs w:val="20"/>
              </w:rPr>
              <w:t>s</w:t>
            </w:r>
            <w:r w:rsidRPr="00E01DCF">
              <w:rPr>
                <w:sz w:val="20"/>
                <w:szCs w:val="20"/>
              </w:rPr>
              <w:t xml:space="preserve">ystem </w:t>
            </w:r>
            <w:r w:rsidR="008B0608">
              <w:rPr>
                <w:sz w:val="20"/>
                <w:szCs w:val="20"/>
              </w:rPr>
              <w:t>d</w:t>
            </w:r>
            <w:r w:rsidRPr="00E01DCF">
              <w:rPr>
                <w:sz w:val="20"/>
                <w:szCs w:val="20"/>
              </w:rPr>
              <w:t xml:space="preserve">esign </w:t>
            </w:r>
            <w:r w:rsidR="008B0608">
              <w:rPr>
                <w:sz w:val="20"/>
                <w:szCs w:val="20"/>
              </w:rPr>
              <w:t>p</w:t>
            </w:r>
            <w:r w:rsidRPr="00E01DCF">
              <w:rPr>
                <w:sz w:val="20"/>
                <w:szCs w:val="20"/>
              </w:rPr>
              <w:t>lan</w:t>
            </w:r>
          </w:p>
        </w:tc>
        <w:tc>
          <w:tcPr>
            <w:tcW w:w="1160" w:type="dxa"/>
            <w:tcBorders>
              <w:top w:val="nil"/>
              <w:left w:val="nil"/>
              <w:bottom w:val="single" w:sz="4" w:space="0" w:color="auto"/>
              <w:right w:val="single" w:sz="4" w:space="0" w:color="auto"/>
            </w:tcBorders>
            <w:shd w:val="clear" w:color="auto" w:fill="auto"/>
            <w:noWrap/>
            <w:vAlign w:val="center"/>
            <w:hideMark/>
          </w:tcPr>
          <w:p w:rsidR="00E01DCF" w:rsidRPr="00E01DCF" w:rsidRDefault="00E01DCF" w:rsidP="00E01DCF">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8B0608">
            <w:pPr>
              <w:widowControl/>
              <w:autoSpaceDE/>
              <w:autoSpaceDN/>
              <w:adjustRightInd/>
              <w:ind w:leftChars="83" w:left="345" w:hangingChars="73" w:hanging="146"/>
              <w:rPr>
                <w:sz w:val="20"/>
                <w:szCs w:val="20"/>
              </w:rPr>
            </w:pPr>
            <w:r w:rsidRPr="00E01DCF">
              <w:rPr>
                <w:sz w:val="20"/>
                <w:szCs w:val="20"/>
              </w:rPr>
              <w:t xml:space="preserve">D. Increments of </w:t>
            </w:r>
            <w:r w:rsidR="008B0608">
              <w:rPr>
                <w:sz w:val="20"/>
                <w:szCs w:val="20"/>
              </w:rPr>
              <w:t>p</w:t>
            </w:r>
            <w:r w:rsidRPr="00E01DCF">
              <w:rPr>
                <w:sz w:val="20"/>
                <w:szCs w:val="20"/>
              </w:rPr>
              <w:t>rogress</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5</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0</w:t>
            </w:r>
          </w:p>
        </w:tc>
      </w:tr>
      <w:tr w:rsidR="00E01DCF" w:rsidRPr="00E01DCF" w:rsidTr="00C51DC9">
        <w:trPr>
          <w:trHeight w:val="3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8B0608">
            <w:pPr>
              <w:widowControl/>
              <w:autoSpaceDE/>
              <w:autoSpaceDN/>
              <w:adjustRightInd/>
              <w:ind w:leftChars="83" w:left="345" w:hangingChars="73" w:hanging="146"/>
              <w:rPr>
                <w:sz w:val="20"/>
                <w:szCs w:val="20"/>
              </w:rPr>
            </w:pPr>
            <w:r w:rsidRPr="00E01DCF">
              <w:rPr>
                <w:sz w:val="20"/>
                <w:szCs w:val="20"/>
              </w:rPr>
              <w:t xml:space="preserve">E. Amended </w:t>
            </w:r>
            <w:r w:rsidR="008B0608">
              <w:rPr>
                <w:sz w:val="20"/>
                <w:szCs w:val="20"/>
              </w:rPr>
              <w:t>d</w:t>
            </w:r>
            <w:r w:rsidRPr="00E01DCF">
              <w:rPr>
                <w:sz w:val="20"/>
                <w:szCs w:val="20"/>
              </w:rPr>
              <w:t xml:space="preserve">esign </w:t>
            </w:r>
            <w:r w:rsidR="008B0608">
              <w:rPr>
                <w:sz w:val="20"/>
                <w:szCs w:val="20"/>
              </w:rPr>
              <w:t>c</w:t>
            </w:r>
            <w:r w:rsidRPr="00E01DCF">
              <w:rPr>
                <w:sz w:val="20"/>
                <w:szCs w:val="20"/>
              </w:rPr>
              <w:t xml:space="preserve">apacity </w:t>
            </w:r>
            <w:r w:rsidR="008B0608">
              <w:rPr>
                <w:sz w:val="20"/>
                <w:szCs w:val="20"/>
              </w:rPr>
              <w:t>r</w:t>
            </w:r>
            <w:r w:rsidRPr="00E01DCF">
              <w:rPr>
                <w:sz w:val="20"/>
                <w:szCs w:val="20"/>
              </w:rPr>
              <w:t>eport</w:t>
            </w:r>
            <w:r w:rsidR="009F76CA">
              <w:rPr>
                <w:sz w:val="20"/>
                <w:szCs w:val="20"/>
              </w:rPr>
              <w:t xml:space="preserve"> </w:t>
            </w:r>
            <w:r w:rsidR="00EE0703">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8</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16</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0.8</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1.6</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1,781.65</w:t>
            </w:r>
          </w:p>
        </w:tc>
      </w:tr>
      <w:tr w:rsidR="00E01DCF" w:rsidRPr="00E01DCF" w:rsidTr="00C51DC9">
        <w:trPr>
          <w:trHeight w:val="278"/>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8B0608">
            <w:pPr>
              <w:widowControl/>
              <w:autoSpaceDE/>
              <w:autoSpaceDN/>
              <w:adjustRightInd/>
              <w:ind w:leftChars="83" w:left="345" w:hangingChars="73" w:hanging="146"/>
              <w:rPr>
                <w:sz w:val="20"/>
                <w:szCs w:val="20"/>
              </w:rPr>
            </w:pPr>
            <w:r w:rsidRPr="00E01DCF">
              <w:rPr>
                <w:sz w:val="20"/>
                <w:szCs w:val="20"/>
              </w:rPr>
              <w:t xml:space="preserve">F. Annual </w:t>
            </w:r>
            <w:r w:rsidR="008B0608">
              <w:rPr>
                <w:sz w:val="20"/>
                <w:szCs w:val="20"/>
              </w:rPr>
              <w:t>c</w:t>
            </w:r>
            <w:r w:rsidRPr="00E01DCF">
              <w:rPr>
                <w:sz w:val="20"/>
                <w:szCs w:val="20"/>
              </w:rPr>
              <w:t xml:space="preserve">ompliance </w:t>
            </w:r>
            <w:r w:rsidR="008B0608">
              <w:rPr>
                <w:sz w:val="20"/>
                <w:szCs w:val="20"/>
              </w:rPr>
              <w:t>r</w:t>
            </w:r>
            <w:r w:rsidRPr="00E01DCF">
              <w:rPr>
                <w:sz w:val="20"/>
                <w:szCs w:val="20"/>
              </w:rPr>
              <w:t>eport</w:t>
            </w:r>
            <w:r w:rsidR="009F76CA">
              <w:rPr>
                <w:sz w:val="20"/>
                <w:szCs w:val="20"/>
              </w:rPr>
              <w:t xml:space="preserve"> </w:t>
            </w:r>
            <w:r w:rsidR="00EE0703">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314</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31.4</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34,964.84</w:t>
            </w:r>
          </w:p>
        </w:tc>
      </w:tr>
      <w:tr w:rsidR="00E01DCF" w:rsidRPr="00E01DCF" w:rsidTr="00C51DC9">
        <w:trPr>
          <w:trHeight w:val="2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8B0608">
            <w:pPr>
              <w:widowControl/>
              <w:autoSpaceDE/>
              <w:autoSpaceDN/>
              <w:adjustRightInd/>
              <w:ind w:leftChars="83" w:left="345" w:hangingChars="73" w:hanging="146"/>
              <w:rPr>
                <w:sz w:val="20"/>
                <w:szCs w:val="20"/>
              </w:rPr>
            </w:pPr>
            <w:r w:rsidRPr="00E01DCF">
              <w:rPr>
                <w:sz w:val="20"/>
                <w:szCs w:val="20"/>
              </w:rPr>
              <w:t xml:space="preserve">G. Landfill </w:t>
            </w:r>
            <w:r w:rsidR="008B0608">
              <w:rPr>
                <w:sz w:val="20"/>
                <w:szCs w:val="20"/>
              </w:rPr>
              <w:t>c</w:t>
            </w:r>
            <w:r w:rsidRPr="00E01DCF">
              <w:rPr>
                <w:sz w:val="20"/>
                <w:szCs w:val="20"/>
              </w:rPr>
              <w:t xml:space="preserve">losure </w:t>
            </w:r>
            <w:r w:rsidR="008B0608">
              <w:rPr>
                <w:sz w:val="20"/>
                <w:szCs w:val="20"/>
              </w:rPr>
              <w:t>r</w:t>
            </w:r>
            <w:r w:rsidRPr="00E01DCF">
              <w:rPr>
                <w:sz w:val="20"/>
                <w:szCs w:val="20"/>
              </w:rPr>
              <w:t>eport</w:t>
            </w:r>
            <w:r w:rsidR="009F76CA">
              <w:rPr>
                <w:sz w:val="20"/>
                <w:szCs w:val="20"/>
              </w:rPr>
              <w:t xml:space="preserve"> </w:t>
            </w:r>
            <w:r w:rsidR="00EE0703">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5</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0.5</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1,113.53</w:t>
            </w:r>
          </w:p>
        </w:tc>
      </w:tr>
      <w:tr w:rsidR="00E01DCF" w:rsidRPr="00E01DCF" w:rsidTr="00C51DC9">
        <w:trPr>
          <w:trHeight w:val="269"/>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7A071B">
            <w:pPr>
              <w:widowControl/>
              <w:autoSpaceDE/>
              <w:autoSpaceDN/>
              <w:adjustRightInd/>
              <w:ind w:leftChars="83" w:left="345" w:hangingChars="73" w:hanging="146"/>
              <w:rPr>
                <w:sz w:val="20"/>
                <w:szCs w:val="20"/>
              </w:rPr>
            </w:pPr>
            <w:r w:rsidRPr="00E01DCF">
              <w:rPr>
                <w:sz w:val="20"/>
                <w:szCs w:val="20"/>
              </w:rPr>
              <w:t xml:space="preserve">H. Equipment </w:t>
            </w:r>
            <w:r w:rsidR="007A071B">
              <w:rPr>
                <w:sz w:val="20"/>
                <w:szCs w:val="20"/>
              </w:rPr>
              <w:t>r</w:t>
            </w:r>
            <w:r w:rsidRPr="00E01DCF">
              <w:rPr>
                <w:sz w:val="20"/>
                <w:szCs w:val="20"/>
              </w:rPr>
              <w:t xml:space="preserve">emoval </w:t>
            </w:r>
            <w:r w:rsidR="007A071B">
              <w:rPr>
                <w:sz w:val="20"/>
                <w:szCs w:val="20"/>
              </w:rPr>
              <w:t>r</w:t>
            </w:r>
            <w:r w:rsidRPr="00E01DCF">
              <w:rPr>
                <w:sz w:val="20"/>
                <w:szCs w:val="20"/>
              </w:rPr>
              <w:t>eport</w:t>
            </w:r>
            <w:r w:rsidR="007A071B">
              <w:rPr>
                <w:sz w:val="20"/>
                <w:szCs w:val="20"/>
              </w:rPr>
              <w:t xml:space="preserve"> </w:t>
            </w:r>
            <w:r w:rsidR="00EE0703">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I. Surface methane monitoring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14</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56</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8,792</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439.6</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879.2</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979,015.58</w:t>
            </w:r>
          </w:p>
        </w:tc>
      </w:tr>
      <w:tr w:rsidR="00A35203"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A35203" w:rsidRPr="00A35203" w:rsidRDefault="00A35203" w:rsidP="00913C57">
            <w:pPr>
              <w:widowControl/>
              <w:autoSpaceDE/>
              <w:autoSpaceDN/>
              <w:adjustRightInd/>
              <w:ind w:leftChars="47" w:left="113"/>
              <w:rPr>
                <w:b/>
                <w:i/>
                <w:sz w:val="20"/>
                <w:szCs w:val="20"/>
              </w:rPr>
            </w:pPr>
            <w:r w:rsidRPr="00A35203">
              <w:rPr>
                <w:b/>
                <w:i/>
                <w:sz w:val="20"/>
                <w:szCs w:val="20"/>
              </w:rPr>
              <w:t xml:space="preserve">Subtotal for Reporting Requirements </w:t>
            </w:r>
            <w:r w:rsidR="00913C57">
              <w:rPr>
                <w:b/>
                <w:i/>
                <w:sz w:val="20"/>
                <w:szCs w:val="20"/>
              </w:rPr>
              <w:t>for Privately Owned</w:t>
            </w:r>
          </w:p>
        </w:tc>
        <w:tc>
          <w:tcPr>
            <w:tcW w:w="1160" w:type="dxa"/>
            <w:tcBorders>
              <w:top w:val="nil"/>
              <w:left w:val="nil"/>
              <w:bottom w:val="single" w:sz="4" w:space="0" w:color="auto"/>
              <w:right w:val="single" w:sz="4" w:space="0" w:color="auto"/>
            </w:tcBorders>
            <w:shd w:val="clear" w:color="auto" w:fill="auto"/>
            <w:noWrap/>
            <w:vAlign w:val="bottom"/>
            <w:hideMark/>
          </w:tcPr>
          <w:p w:rsidR="00A35203" w:rsidRPr="00E01DCF" w:rsidRDefault="00A35203" w:rsidP="00E01DCF">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A35203" w:rsidRPr="00E01DCF" w:rsidRDefault="00A35203" w:rsidP="00E01DCF">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noWrap/>
            <w:vAlign w:val="bottom"/>
            <w:hideMark/>
          </w:tcPr>
          <w:p w:rsidR="00A35203" w:rsidRPr="00E01DCF" w:rsidRDefault="00A35203" w:rsidP="00E01DCF">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A35203" w:rsidRPr="00E01DCF" w:rsidRDefault="00A35203" w:rsidP="00E01DCF">
            <w:pPr>
              <w:widowControl/>
              <w:autoSpaceDE/>
              <w:autoSpaceDN/>
              <w:adjustRightInd/>
              <w:jc w:val="center"/>
              <w:rPr>
                <w:sz w:val="20"/>
                <w:szCs w:val="20"/>
              </w:rPr>
            </w:pPr>
          </w:p>
        </w:tc>
        <w:tc>
          <w:tcPr>
            <w:tcW w:w="1050" w:type="dxa"/>
            <w:tcBorders>
              <w:top w:val="single" w:sz="4" w:space="0" w:color="auto"/>
              <w:left w:val="nil"/>
              <w:bottom w:val="single" w:sz="4" w:space="0" w:color="auto"/>
            </w:tcBorders>
            <w:shd w:val="clear" w:color="auto" w:fill="auto"/>
            <w:noWrap/>
            <w:vAlign w:val="bottom"/>
            <w:hideMark/>
          </w:tcPr>
          <w:p w:rsidR="00A35203" w:rsidRPr="00E01DCF" w:rsidRDefault="00A35203" w:rsidP="00E01DCF">
            <w:pPr>
              <w:widowControl/>
              <w:autoSpaceDE/>
              <w:autoSpaceDN/>
              <w:adjustRightInd/>
              <w:jc w:val="center"/>
              <w:rPr>
                <w:sz w:val="20"/>
                <w:szCs w:val="20"/>
              </w:rPr>
            </w:pPr>
          </w:p>
        </w:tc>
        <w:tc>
          <w:tcPr>
            <w:tcW w:w="1347" w:type="dxa"/>
            <w:tcBorders>
              <w:top w:val="single" w:sz="4" w:space="0" w:color="auto"/>
              <w:bottom w:val="single" w:sz="4" w:space="0" w:color="auto"/>
            </w:tcBorders>
            <w:shd w:val="clear" w:color="auto" w:fill="auto"/>
            <w:noWrap/>
            <w:vAlign w:val="bottom"/>
            <w:hideMark/>
          </w:tcPr>
          <w:p w:rsidR="00A35203" w:rsidRPr="00CC40EB" w:rsidRDefault="00A35203" w:rsidP="00E01DCF">
            <w:pPr>
              <w:widowControl/>
              <w:autoSpaceDE/>
              <w:autoSpaceDN/>
              <w:adjustRightInd/>
              <w:jc w:val="center"/>
              <w:rPr>
                <w:b/>
                <w:i/>
                <w:sz w:val="20"/>
                <w:szCs w:val="20"/>
              </w:rPr>
            </w:pPr>
            <w:r w:rsidRPr="00CC40EB">
              <w:rPr>
                <w:b/>
                <w:i/>
                <w:sz w:val="20"/>
                <w:szCs w:val="20"/>
              </w:rPr>
              <w:t>10,502</w:t>
            </w:r>
          </w:p>
        </w:tc>
        <w:tc>
          <w:tcPr>
            <w:tcW w:w="933" w:type="dxa"/>
            <w:tcBorders>
              <w:top w:val="single" w:sz="4" w:space="0" w:color="auto"/>
              <w:bottom w:val="single" w:sz="4" w:space="0" w:color="auto"/>
              <w:right w:val="single" w:sz="4" w:space="0" w:color="auto"/>
            </w:tcBorders>
            <w:shd w:val="clear" w:color="auto" w:fill="auto"/>
            <w:noWrap/>
            <w:vAlign w:val="bottom"/>
            <w:hideMark/>
          </w:tcPr>
          <w:p w:rsidR="00A35203" w:rsidRPr="00CC40EB" w:rsidRDefault="00A35203" w:rsidP="00E01DCF">
            <w:pPr>
              <w:widowControl/>
              <w:autoSpaceDE/>
              <w:autoSpaceDN/>
              <w:adjustRightInd/>
              <w:jc w:val="center"/>
              <w:rPr>
                <w:i/>
                <w:sz w:val="20"/>
                <w:szCs w:val="20"/>
              </w:rPr>
            </w:pPr>
          </w:p>
        </w:tc>
        <w:tc>
          <w:tcPr>
            <w:tcW w:w="1266" w:type="dxa"/>
            <w:tcBorders>
              <w:top w:val="nil"/>
              <w:left w:val="nil"/>
              <w:bottom w:val="single" w:sz="4" w:space="0" w:color="auto"/>
              <w:right w:val="single" w:sz="4" w:space="0" w:color="auto"/>
            </w:tcBorders>
            <w:shd w:val="clear" w:color="auto" w:fill="auto"/>
            <w:noWrap/>
            <w:vAlign w:val="bottom"/>
            <w:hideMark/>
          </w:tcPr>
          <w:p w:rsidR="00A35203" w:rsidRPr="00CC40EB" w:rsidRDefault="00EC1F12" w:rsidP="00E01DCF">
            <w:pPr>
              <w:widowControl/>
              <w:autoSpaceDE/>
              <w:autoSpaceDN/>
              <w:adjustRightInd/>
              <w:jc w:val="right"/>
              <w:rPr>
                <w:b/>
                <w:i/>
                <w:sz w:val="20"/>
                <w:szCs w:val="20"/>
              </w:rPr>
            </w:pPr>
            <w:r w:rsidRPr="00CC40EB">
              <w:rPr>
                <w:b/>
                <w:i/>
                <w:sz w:val="20"/>
                <w:szCs w:val="20"/>
              </w:rPr>
              <w:t>1,016,875.60</w:t>
            </w:r>
          </w:p>
        </w:tc>
      </w:tr>
      <w:tr w:rsidR="00E01DCF" w:rsidRPr="00E01DCF" w:rsidTr="00E33B0E">
        <w:trPr>
          <w:trHeight w:val="300"/>
          <w:jc w:val="center"/>
        </w:trPr>
        <w:tc>
          <w:tcPr>
            <w:tcW w:w="12742" w:type="dxa"/>
            <w:gridSpan w:val="9"/>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33B0E">
            <w:pPr>
              <w:widowControl/>
              <w:autoSpaceDE/>
              <w:autoSpaceDN/>
              <w:adjustRightInd/>
              <w:rPr>
                <w:sz w:val="20"/>
                <w:szCs w:val="20"/>
              </w:rPr>
            </w:pPr>
            <w:r>
              <w:rPr>
                <w:sz w:val="20"/>
                <w:szCs w:val="20"/>
              </w:rPr>
              <w:t>2</w:t>
            </w:r>
            <w:r w:rsidRPr="00E01DCF">
              <w:rPr>
                <w:sz w:val="20"/>
                <w:szCs w:val="20"/>
              </w:rPr>
              <w:t>.  Reporting Requirements</w:t>
            </w:r>
            <w:r w:rsidR="00442961">
              <w:rPr>
                <w:sz w:val="20"/>
                <w:szCs w:val="20"/>
              </w:rPr>
              <w:t xml:space="preserve"> (Publicly </w:t>
            </w:r>
            <w:r>
              <w:rPr>
                <w:sz w:val="20"/>
                <w:szCs w:val="20"/>
              </w:rPr>
              <w:t>Owned Landfills)</w:t>
            </w:r>
          </w:p>
        </w:tc>
      </w:tr>
      <w:tr w:rsidR="00E01DCF" w:rsidRPr="00E01DCF" w:rsidTr="00C51DC9">
        <w:trPr>
          <w:trHeight w:val="2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7A071B">
            <w:pPr>
              <w:widowControl/>
              <w:autoSpaceDE/>
              <w:autoSpaceDN/>
              <w:adjustRightInd/>
              <w:ind w:leftChars="83" w:left="345" w:hangingChars="73" w:hanging="146"/>
              <w:rPr>
                <w:sz w:val="20"/>
                <w:szCs w:val="20"/>
              </w:rPr>
            </w:pPr>
            <w:r w:rsidRPr="00E01DCF">
              <w:rPr>
                <w:sz w:val="20"/>
                <w:szCs w:val="20"/>
              </w:rPr>
              <w:t xml:space="preserve">A. Initial </w:t>
            </w:r>
            <w:r w:rsidR="007A071B">
              <w:rPr>
                <w:sz w:val="20"/>
                <w:szCs w:val="20"/>
              </w:rPr>
              <w:t>d</w:t>
            </w:r>
            <w:r w:rsidRPr="00E01DCF">
              <w:rPr>
                <w:sz w:val="20"/>
                <w:szCs w:val="20"/>
              </w:rPr>
              <w:t xml:space="preserve">esign </w:t>
            </w:r>
            <w:r w:rsidR="007A071B">
              <w:rPr>
                <w:sz w:val="20"/>
                <w:szCs w:val="20"/>
              </w:rPr>
              <w:t>c</w:t>
            </w:r>
            <w:r w:rsidRPr="00E01DCF">
              <w:rPr>
                <w:sz w:val="20"/>
                <w:szCs w:val="20"/>
              </w:rPr>
              <w:t xml:space="preserve">apacity </w:t>
            </w:r>
            <w:r w:rsidR="007A071B">
              <w:rPr>
                <w:sz w:val="20"/>
                <w:szCs w:val="20"/>
              </w:rPr>
              <w:t>r</w:t>
            </w:r>
            <w:r w:rsidRPr="00E01DCF">
              <w:rPr>
                <w:sz w:val="20"/>
                <w:szCs w:val="20"/>
              </w:rPr>
              <w:t>eport</w:t>
            </w:r>
          </w:p>
        </w:tc>
        <w:tc>
          <w:tcPr>
            <w:tcW w:w="1160" w:type="dxa"/>
            <w:tcBorders>
              <w:top w:val="nil"/>
              <w:left w:val="nil"/>
              <w:bottom w:val="single" w:sz="4" w:space="0" w:color="auto"/>
              <w:right w:val="single" w:sz="4" w:space="0" w:color="auto"/>
            </w:tcBorders>
            <w:shd w:val="clear" w:color="auto" w:fill="auto"/>
            <w:noWrap/>
            <w:vAlign w:val="center"/>
            <w:hideMark/>
          </w:tcPr>
          <w:p w:rsidR="00E01DCF" w:rsidRPr="00E01DCF" w:rsidRDefault="00E01DCF" w:rsidP="00E33B0E">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right"/>
              <w:rPr>
                <w:sz w:val="20"/>
                <w:szCs w:val="20"/>
              </w:rPr>
            </w:pPr>
            <w:r w:rsidRPr="00E01DCF">
              <w:rPr>
                <w:sz w:val="20"/>
                <w:szCs w:val="20"/>
              </w:rPr>
              <w:t>0</w:t>
            </w:r>
          </w:p>
        </w:tc>
      </w:tr>
      <w:tr w:rsidR="00E01DCF" w:rsidRPr="00E01DCF" w:rsidTr="00C51DC9">
        <w:trPr>
          <w:trHeight w:val="3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7A071B">
            <w:pPr>
              <w:widowControl/>
              <w:autoSpaceDE/>
              <w:autoSpaceDN/>
              <w:adjustRightInd/>
              <w:ind w:leftChars="83" w:left="345" w:hangingChars="73" w:hanging="146"/>
              <w:rPr>
                <w:sz w:val="20"/>
                <w:szCs w:val="20"/>
              </w:rPr>
            </w:pPr>
            <w:r w:rsidRPr="00E01DCF">
              <w:rPr>
                <w:sz w:val="20"/>
                <w:szCs w:val="20"/>
              </w:rPr>
              <w:t xml:space="preserve">B. Initial and </w:t>
            </w:r>
            <w:r w:rsidR="007A071B">
              <w:rPr>
                <w:sz w:val="20"/>
                <w:szCs w:val="20"/>
              </w:rPr>
              <w:t>a</w:t>
            </w:r>
            <w:r w:rsidRPr="00E01DCF">
              <w:rPr>
                <w:sz w:val="20"/>
                <w:szCs w:val="20"/>
              </w:rPr>
              <w:t xml:space="preserve">nnual NMOC </w:t>
            </w:r>
            <w:r w:rsidR="007A071B">
              <w:rPr>
                <w:sz w:val="20"/>
                <w:szCs w:val="20"/>
              </w:rPr>
              <w:t>e</w:t>
            </w:r>
            <w:r w:rsidRPr="00E01DCF">
              <w:rPr>
                <w:sz w:val="20"/>
                <w:szCs w:val="20"/>
              </w:rPr>
              <w:t xml:space="preserve">mission </w:t>
            </w:r>
            <w:r w:rsidR="007A071B">
              <w:rPr>
                <w:sz w:val="20"/>
                <w:szCs w:val="20"/>
              </w:rPr>
              <w:t>r</w:t>
            </w:r>
            <w:r w:rsidRPr="00E01DCF">
              <w:rPr>
                <w:sz w:val="20"/>
                <w:szCs w:val="20"/>
              </w:rPr>
              <w:t xml:space="preserve">ate </w:t>
            </w:r>
            <w:r w:rsidR="007A071B">
              <w:rPr>
                <w:sz w:val="20"/>
                <w:szCs w:val="20"/>
              </w:rPr>
              <w:t>r</w:t>
            </w:r>
            <w:r w:rsidRPr="00E01DCF">
              <w:rPr>
                <w:sz w:val="20"/>
                <w:szCs w:val="20"/>
              </w:rPr>
              <w:t>eports</w:t>
            </w:r>
            <w:r w:rsidR="009F76CA">
              <w:rPr>
                <w:sz w:val="20"/>
                <w:szCs w:val="20"/>
              </w:rPr>
              <w:t xml:space="preserve"> </w:t>
            </w:r>
            <w:r w:rsidR="00EE0703" w:rsidRPr="00EE0703">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E01DCF" w:rsidRPr="00E01DCF" w:rsidRDefault="00E01DCF" w:rsidP="00E33B0E">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right"/>
              <w:rPr>
                <w:sz w:val="20"/>
                <w:szCs w:val="20"/>
              </w:rPr>
            </w:pPr>
            <w:r w:rsidRPr="00E01DCF">
              <w:rPr>
                <w:sz w:val="20"/>
                <w:szCs w:val="20"/>
              </w:rPr>
              <w:t>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7A071B">
            <w:pPr>
              <w:widowControl/>
              <w:autoSpaceDE/>
              <w:autoSpaceDN/>
              <w:adjustRightInd/>
              <w:ind w:leftChars="83" w:left="345" w:hangingChars="73" w:hanging="146"/>
              <w:rPr>
                <w:sz w:val="20"/>
                <w:szCs w:val="20"/>
              </w:rPr>
            </w:pPr>
            <w:r w:rsidRPr="00E01DCF">
              <w:rPr>
                <w:sz w:val="20"/>
                <w:szCs w:val="20"/>
              </w:rPr>
              <w:t xml:space="preserve">C. Collection and </w:t>
            </w:r>
            <w:r w:rsidR="007A071B">
              <w:rPr>
                <w:sz w:val="20"/>
                <w:szCs w:val="20"/>
              </w:rPr>
              <w:t>c</w:t>
            </w:r>
            <w:r w:rsidRPr="00E01DCF">
              <w:rPr>
                <w:sz w:val="20"/>
                <w:szCs w:val="20"/>
              </w:rPr>
              <w:t>ontrol</w:t>
            </w:r>
            <w:r w:rsidR="007A071B">
              <w:rPr>
                <w:sz w:val="20"/>
                <w:szCs w:val="20"/>
              </w:rPr>
              <w:t xml:space="preserve"> s</w:t>
            </w:r>
            <w:r w:rsidRPr="00E01DCF">
              <w:rPr>
                <w:sz w:val="20"/>
                <w:szCs w:val="20"/>
              </w:rPr>
              <w:t xml:space="preserve">ystem </w:t>
            </w:r>
            <w:r w:rsidR="007A071B">
              <w:rPr>
                <w:sz w:val="20"/>
                <w:szCs w:val="20"/>
              </w:rPr>
              <w:t>d</w:t>
            </w:r>
            <w:r w:rsidRPr="00E01DCF">
              <w:rPr>
                <w:sz w:val="20"/>
                <w:szCs w:val="20"/>
              </w:rPr>
              <w:t xml:space="preserve">esign </w:t>
            </w:r>
            <w:r w:rsidR="007A071B">
              <w:rPr>
                <w:sz w:val="20"/>
                <w:szCs w:val="20"/>
              </w:rPr>
              <w:t>p</w:t>
            </w:r>
            <w:r w:rsidRPr="00E01DCF">
              <w:rPr>
                <w:sz w:val="20"/>
                <w:szCs w:val="20"/>
              </w:rPr>
              <w:t>lan</w:t>
            </w:r>
          </w:p>
        </w:tc>
        <w:tc>
          <w:tcPr>
            <w:tcW w:w="1160" w:type="dxa"/>
            <w:tcBorders>
              <w:top w:val="nil"/>
              <w:left w:val="nil"/>
              <w:bottom w:val="single" w:sz="4" w:space="0" w:color="auto"/>
              <w:right w:val="single" w:sz="4" w:space="0" w:color="auto"/>
            </w:tcBorders>
            <w:shd w:val="clear" w:color="auto" w:fill="auto"/>
            <w:noWrap/>
            <w:vAlign w:val="center"/>
            <w:hideMark/>
          </w:tcPr>
          <w:p w:rsidR="00E01DCF" w:rsidRPr="00E01DCF" w:rsidRDefault="00E01DCF" w:rsidP="00E33B0E">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right"/>
              <w:rPr>
                <w:sz w:val="20"/>
                <w:szCs w:val="20"/>
              </w:rPr>
            </w:pPr>
            <w:r w:rsidRPr="00E01DCF">
              <w:rPr>
                <w:sz w:val="20"/>
                <w:szCs w:val="20"/>
              </w:rPr>
              <w:t>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BF24E9">
            <w:pPr>
              <w:widowControl/>
              <w:autoSpaceDE/>
              <w:autoSpaceDN/>
              <w:adjustRightInd/>
              <w:ind w:leftChars="83" w:left="345" w:hangingChars="73" w:hanging="146"/>
              <w:rPr>
                <w:sz w:val="20"/>
                <w:szCs w:val="20"/>
              </w:rPr>
            </w:pPr>
            <w:r w:rsidRPr="00E01DCF">
              <w:rPr>
                <w:sz w:val="20"/>
                <w:szCs w:val="20"/>
              </w:rPr>
              <w:t xml:space="preserve">D. Increments of </w:t>
            </w:r>
            <w:r w:rsidR="00BF24E9">
              <w:rPr>
                <w:sz w:val="20"/>
                <w:szCs w:val="20"/>
              </w:rPr>
              <w:t>p</w:t>
            </w:r>
            <w:r w:rsidRPr="00E01DCF">
              <w:rPr>
                <w:sz w:val="20"/>
                <w:szCs w:val="20"/>
              </w:rPr>
              <w:t>rogress</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5</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right"/>
              <w:rPr>
                <w:sz w:val="20"/>
                <w:szCs w:val="20"/>
              </w:rPr>
            </w:pPr>
            <w:r w:rsidRPr="00E01DCF">
              <w:rPr>
                <w:sz w:val="20"/>
                <w:szCs w:val="20"/>
              </w:rPr>
              <w:t>0</w:t>
            </w:r>
          </w:p>
        </w:tc>
      </w:tr>
      <w:tr w:rsidR="00E01DCF" w:rsidRPr="00E01DCF" w:rsidTr="00C51DC9">
        <w:trPr>
          <w:trHeight w:val="3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BF24E9">
            <w:pPr>
              <w:widowControl/>
              <w:autoSpaceDE/>
              <w:autoSpaceDN/>
              <w:adjustRightInd/>
              <w:ind w:leftChars="83" w:left="345" w:hangingChars="73" w:hanging="146"/>
              <w:rPr>
                <w:sz w:val="20"/>
                <w:szCs w:val="20"/>
              </w:rPr>
            </w:pPr>
            <w:r w:rsidRPr="00E01DCF">
              <w:rPr>
                <w:sz w:val="20"/>
                <w:szCs w:val="20"/>
              </w:rPr>
              <w:t xml:space="preserve">E. Amended </w:t>
            </w:r>
            <w:r w:rsidR="00BF24E9">
              <w:rPr>
                <w:sz w:val="20"/>
                <w:szCs w:val="20"/>
              </w:rPr>
              <w:t>d</w:t>
            </w:r>
            <w:r w:rsidRPr="00E01DCF">
              <w:rPr>
                <w:sz w:val="20"/>
                <w:szCs w:val="20"/>
              </w:rPr>
              <w:t xml:space="preserve">esign </w:t>
            </w:r>
            <w:r w:rsidR="00BF24E9">
              <w:rPr>
                <w:sz w:val="20"/>
                <w:szCs w:val="20"/>
              </w:rPr>
              <w:t>c</w:t>
            </w:r>
            <w:r w:rsidRPr="00E01DCF">
              <w:rPr>
                <w:sz w:val="20"/>
                <w:szCs w:val="20"/>
              </w:rPr>
              <w:t xml:space="preserve">apacity </w:t>
            </w:r>
            <w:r w:rsidR="00BF24E9">
              <w:rPr>
                <w:sz w:val="20"/>
                <w:szCs w:val="20"/>
              </w:rPr>
              <w:t>r</w:t>
            </w:r>
            <w:r w:rsidRPr="00E01DCF">
              <w:rPr>
                <w:sz w:val="20"/>
                <w:szCs w:val="20"/>
              </w:rPr>
              <w:t>eport</w:t>
            </w:r>
            <w:r w:rsidR="009F76CA">
              <w:rPr>
                <w:sz w:val="20"/>
                <w:szCs w:val="20"/>
              </w:rPr>
              <w:t xml:space="preserve"> </w:t>
            </w:r>
            <w:r w:rsidR="00EE0703" w:rsidRPr="00EE0703">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16</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32</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1.6</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3.2</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503890" w:rsidP="00E33B0E">
            <w:pPr>
              <w:widowControl/>
              <w:autoSpaceDE/>
              <w:autoSpaceDN/>
              <w:adjustRightInd/>
              <w:jc w:val="right"/>
              <w:rPr>
                <w:sz w:val="20"/>
                <w:szCs w:val="20"/>
              </w:rPr>
            </w:pPr>
            <w:r>
              <w:rPr>
                <w:sz w:val="20"/>
                <w:szCs w:val="20"/>
              </w:rPr>
              <w:t>3,563.29</w:t>
            </w:r>
          </w:p>
        </w:tc>
      </w:tr>
      <w:tr w:rsidR="00E01DCF" w:rsidRPr="00E01DCF" w:rsidTr="00C51DC9">
        <w:trPr>
          <w:trHeight w:val="3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BF24E9">
            <w:pPr>
              <w:widowControl/>
              <w:autoSpaceDE/>
              <w:autoSpaceDN/>
              <w:adjustRightInd/>
              <w:ind w:leftChars="83" w:left="345" w:hangingChars="73" w:hanging="146"/>
              <w:rPr>
                <w:sz w:val="20"/>
                <w:szCs w:val="20"/>
              </w:rPr>
            </w:pPr>
            <w:r w:rsidRPr="00E01DCF">
              <w:rPr>
                <w:sz w:val="20"/>
                <w:szCs w:val="20"/>
              </w:rPr>
              <w:lastRenderedPageBreak/>
              <w:t xml:space="preserve">F. Annual </w:t>
            </w:r>
            <w:r w:rsidR="00BF24E9">
              <w:rPr>
                <w:sz w:val="20"/>
                <w:szCs w:val="20"/>
              </w:rPr>
              <w:t>c</w:t>
            </w:r>
            <w:r w:rsidRPr="00E01DCF">
              <w:rPr>
                <w:sz w:val="20"/>
                <w:szCs w:val="20"/>
              </w:rPr>
              <w:t xml:space="preserve">ompliance </w:t>
            </w:r>
            <w:r w:rsidR="00BF24E9">
              <w:rPr>
                <w:sz w:val="20"/>
                <w:szCs w:val="20"/>
              </w:rPr>
              <w:t>r</w:t>
            </w:r>
            <w:r w:rsidRPr="00E01DCF">
              <w:rPr>
                <w:sz w:val="20"/>
                <w:szCs w:val="20"/>
              </w:rPr>
              <w:t>eport</w:t>
            </w:r>
            <w:r w:rsidR="009F76CA">
              <w:rPr>
                <w:sz w:val="20"/>
                <w:szCs w:val="20"/>
              </w:rPr>
              <w:t xml:space="preserve"> </w:t>
            </w:r>
            <w:r w:rsidR="00EE0703" w:rsidRPr="00EE0703">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317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634</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31.7</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63.4</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503890" w:rsidP="00E33B0E">
            <w:pPr>
              <w:widowControl/>
              <w:autoSpaceDE/>
              <w:autoSpaceDN/>
              <w:adjustRightInd/>
              <w:jc w:val="right"/>
              <w:rPr>
                <w:sz w:val="20"/>
                <w:szCs w:val="20"/>
              </w:rPr>
            </w:pPr>
            <w:r>
              <w:rPr>
                <w:sz w:val="20"/>
                <w:szCs w:val="20"/>
              </w:rPr>
              <w:t>70,597.80</w:t>
            </w:r>
          </w:p>
        </w:tc>
      </w:tr>
      <w:tr w:rsidR="00E01DCF" w:rsidRPr="00E01DCF" w:rsidTr="00C51DC9">
        <w:trPr>
          <w:trHeight w:val="3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C1453E">
            <w:pPr>
              <w:widowControl/>
              <w:autoSpaceDE/>
              <w:autoSpaceDN/>
              <w:adjustRightInd/>
              <w:ind w:leftChars="83" w:left="345" w:hangingChars="73" w:hanging="146"/>
              <w:rPr>
                <w:sz w:val="20"/>
                <w:szCs w:val="20"/>
              </w:rPr>
            </w:pPr>
            <w:r w:rsidRPr="00E01DCF">
              <w:rPr>
                <w:sz w:val="20"/>
                <w:szCs w:val="20"/>
              </w:rPr>
              <w:t xml:space="preserve">G. Landfill </w:t>
            </w:r>
            <w:r w:rsidR="00C1453E">
              <w:rPr>
                <w:sz w:val="20"/>
                <w:szCs w:val="20"/>
              </w:rPr>
              <w:t>c</w:t>
            </w:r>
            <w:r w:rsidRPr="00E01DCF">
              <w:rPr>
                <w:sz w:val="20"/>
                <w:szCs w:val="20"/>
              </w:rPr>
              <w:t xml:space="preserve">losure </w:t>
            </w:r>
            <w:r w:rsidR="00C1453E">
              <w:rPr>
                <w:sz w:val="20"/>
                <w:szCs w:val="20"/>
              </w:rPr>
              <w:t>r</w:t>
            </w:r>
            <w:r w:rsidRPr="00E01DCF">
              <w:rPr>
                <w:sz w:val="20"/>
                <w:szCs w:val="20"/>
              </w:rPr>
              <w:t>eport</w:t>
            </w:r>
            <w:r w:rsidR="009F76CA">
              <w:rPr>
                <w:sz w:val="20"/>
                <w:szCs w:val="20"/>
              </w:rPr>
              <w:t xml:space="preserve"> </w:t>
            </w:r>
            <w:r w:rsidR="00EE0703" w:rsidRPr="00EE0703">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503890" w:rsidP="00E33B0E">
            <w:pPr>
              <w:widowControl/>
              <w:autoSpaceDE/>
              <w:autoSpaceDN/>
              <w:adjustRightInd/>
              <w:jc w:val="right"/>
              <w:rPr>
                <w:sz w:val="20"/>
                <w:szCs w:val="20"/>
              </w:rPr>
            </w:pPr>
            <w:r>
              <w:rPr>
                <w:sz w:val="20"/>
                <w:szCs w:val="20"/>
              </w:rPr>
              <w:t>2,227.06</w:t>
            </w:r>
          </w:p>
        </w:tc>
      </w:tr>
      <w:tr w:rsidR="00E01DCF" w:rsidRPr="00E01DCF" w:rsidTr="00C51DC9">
        <w:trPr>
          <w:trHeight w:val="36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C1453E">
            <w:pPr>
              <w:widowControl/>
              <w:autoSpaceDE/>
              <w:autoSpaceDN/>
              <w:adjustRightInd/>
              <w:ind w:leftChars="83" w:left="345" w:hangingChars="73" w:hanging="146"/>
              <w:rPr>
                <w:sz w:val="20"/>
                <w:szCs w:val="20"/>
              </w:rPr>
            </w:pPr>
            <w:r w:rsidRPr="00E01DCF">
              <w:rPr>
                <w:sz w:val="20"/>
                <w:szCs w:val="20"/>
              </w:rPr>
              <w:t xml:space="preserve">H. Equipment </w:t>
            </w:r>
            <w:r w:rsidR="00C1453E">
              <w:rPr>
                <w:sz w:val="20"/>
                <w:szCs w:val="20"/>
              </w:rPr>
              <w:t>r</w:t>
            </w:r>
            <w:r w:rsidRPr="00E01DCF">
              <w:rPr>
                <w:sz w:val="20"/>
                <w:szCs w:val="20"/>
              </w:rPr>
              <w:t xml:space="preserve">emoval </w:t>
            </w:r>
            <w:r w:rsidR="00C1453E">
              <w:rPr>
                <w:sz w:val="20"/>
                <w:szCs w:val="20"/>
              </w:rPr>
              <w:t>r</w:t>
            </w:r>
            <w:r w:rsidRPr="00E01DCF">
              <w:rPr>
                <w:sz w:val="20"/>
                <w:szCs w:val="20"/>
              </w:rPr>
              <w:t>eport</w:t>
            </w:r>
            <w:r w:rsidR="009F76CA">
              <w:rPr>
                <w:sz w:val="20"/>
                <w:szCs w:val="20"/>
              </w:rPr>
              <w:t xml:space="preserve"> </w:t>
            </w:r>
            <w:r w:rsidR="00EE0703" w:rsidRPr="00EE0703">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right"/>
              <w:rPr>
                <w:sz w:val="20"/>
                <w:szCs w:val="20"/>
              </w:rPr>
            </w:pPr>
            <w:r w:rsidRPr="00E01DCF">
              <w:rPr>
                <w:sz w:val="20"/>
                <w:szCs w:val="20"/>
              </w:rPr>
              <w:t>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33B0E">
            <w:pPr>
              <w:widowControl/>
              <w:autoSpaceDE/>
              <w:autoSpaceDN/>
              <w:adjustRightInd/>
              <w:ind w:leftChars="83" w:left="345" w:hangingChars="73" w:hanging="146"/>
              <w:rPr>
                <w:sz w:val="20"/>
                <w:szCs w:val="20"/>
              </w:rPr>
            </w:pPr>
            <w:r w:rsidRPr="00E01DCF">
              <w:rPr>
                <w:sz w:val="20"/>
                <w:szCs w:val="20"/>
              </w:rPr>
              <w:t>I. Surface methane monitoring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14</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56</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317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17,752</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887.6</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33B0E">
            <w:pPr>
              <w:widowControl/>
              <w:autoSpaceDE/>
              <w:autoSpaceDN/>
              <w:adjustRightInd/>
              <w:jc w:val="center"/>
              <w:rPr>
                <w:sz w:val="20"/>
                <w:szCs w:val="20"/>
              </w:rPr>
            </w:pPr>
            <w:r w:rsidRPr="00E01DCF">
              <w:rPr>
                <w:sz w:val="20"/>
                <w:szCs w:val="20"/>
              </w:rPr>
              <w:t>1,775.2</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5A0CE8" w:rsidP="00E33B0E">
            <w:pPr>
              <w:widowControl/>
              <w:autoSpaceDE/>
              <w:autoSpaceDN/>
              <w:adjustRightInd/>
              <w:jc w:val="right"/>
              <w:rPr>
                <w:sz w:val="20"/>
                <w:szCs w:val="20"/>
              </w:rPr>
            </w:pPr>
            <w:r>
              <w:rPr>
                <w:sz w:val="20"/>
                <w:szCs w:val="20"/>
              </w:rPr>
              <w:t>1,976,738.45</w:t>
            </w:r>
          </w:p>
        </w:tc>
      </w:tr>
      <w:tr w:rsidR="00913C57"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913C57" w:rsidRPr="00913C57" w:rsidRDefault="00913C57" w:rsidP="00913C57">
            <w:pPr>
              <w:widowControl/>
              <w:autoSpaceDE/>
              <w:autoSpaceDN/>
              <w:adjustRightInd/>
              <w:ind w:leftChars="83" w:left="346" w:hangingChars="73" w:hanging="147"/>
              <w:rPr>
                <w:b/>
                <w:i/>
                <w:sz w:val="20"/>
                <w:szCs w:val="20"/>
              </w:rPr>
            </w:pPr>
            <w:r w:rsidRPr="00913C57">
              <w:rPr>
                <w:b/>
                <w:i/>
                <w:sz w:val="20"/>
                <w:szCs w:val="20"/>
              </w:rPr>
              <w:t>Subtotal for Reporting</w:t>
            </w:r>
          </w:p>
          <w:p w:rsidR="00913C57" w:rsidRPr="00E01DCF" w:rsidRDefault="00EC1F12" w:rsidP="00EC1F12">
            <w:pPr>
              <w:widowControl/>
              <w:autoSpaceDE/>
              <w:autoSpaceDN/>
              <w:adjustRightInd/>
              <w:ind w:leftChars="47" w:left="113"/>
              <w:rPr>
                <w:sz w:val="20"/>
                <w:szCs w:val="20"/>
              </w:rPr>
            </w:pPr>
            <w:r>
              <w:rPr>
                <w:b/>
                <w:i/>
                <w:sz w:val="20"/>
                <w:szCs w:val="20"/>
              </w:rPr>
              <w:t xml:space="preserve"> </w:t>
            </w:r>
            <w:r w:rsidR="00913C57" w:rsidRPr="00913C57">
              <w:rPr>
                <w:b/>
                <w:i/>
                <w:sz w:val="20"/>
                <w:szCs w:val="20"/>
              </w:rPr>
              <w:t>Requirements for Publicly Owned</w:t>
            </w:r>
          </w:p>
        </w:tc>
        <w:tc>
          <w:tcPr>
            <w:tcW w:w="1160"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33B0E">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33B0E">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33B0E">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33B0E">
            <w:pPr>
              <w:widowControl/>
              <w:autoSpaceDE/>
              <w:autoSpaceDN/>
              <w:adjustRightInd/>
              <w:jc w:val="center"/>
              <w:rPr>
                <w:sz w:val="20"/>
                <w:szCs w:val="20"/>
              </w:rPr>
            </w:pPr>
          </w:p>
        </w:tc>
        <w:tc>
          <w:tcPr>
            <w:tcW w:w="1050" w:type="dxa"/>
            <w:tcBorders>
              <w:top w:val="single" w:sz="4" w:space="0" w:color="auto"/>
              <w:left w:val="nil"/>
              <w:bottom w:val="single" w:sz="4" w:space="0" w:color="auto"/>
            </w:tcBorders>
            <w:shd w:val="clear" w:color="auto" w:fill="auto"/>
            <w:noWrap/>
            <w:vAlign w:val="bottom"/>
            <w:hideMark/>
          </w:tcPr>
          <w:p w:rsidR="00913C57" w:rsidRPr="00E01DCF" w:rsidRDefault="00913C57" w:rsidP="00E33B0E">
            <w:pPr>
              <w:widowControl/>
              <w:autoSpaceDE/>
              <w:autoSpaceDN/>
              <w:adjustRightInd/>
              <w:jc w:val="center"/>
              <w:rPr>
                <w:sz w:val="20"/>
                <w:szCs w:val="20"/>
              </w:rPr>
            </w:pPr>
          </w:p>
        </w:tc>
        <w:tc>
          <w:tcPr>
            <w:tcW w:w="1347" w:type="dxa"/>
            <w:tcBorders>
              <w:top w:val="single" w:sz="4" w:space="0" w:color="auto"/>
              <w:bottom w:val="single" w:sz="4" w:space="0" w:color="auto"/>
            </w:tcBorders>
            <w:shd w:val="clear" w:color="auto" w:fill="auto"/>
            <w:noWrap/>
            <w:vAlign w:val="bottom"/>
            <w:hideMark/>
          </w:tcPr>
          <w:p w:rsidR="00913C57" w:rsidRPr="00CC40EB" w:rsidRDefault="00913C57" w:rsidP="00E33B0E">
            <w:pPr>
              <w:widowControl/>
              <w:autoSpaceDE/>
              <w:autoSpaceDN/>
              <w:adjustRightInd/>
              <w:jc w:val="center"/>
              <w:rPr>
                <w:b/>
                <w:i/>
                <w:sz w:val="20"/>
                <w:szCs w:val="20"/>
              </w:rPr>
            </w:pPr>
            <w:r w:rsidRPr="00CC40EB">
              <w:rPr>
                <w:b/>
                <w:i/>
                <w:sz w:val="20"/>
                <w:szCs w:val="20"/>
              </w:rPr>
              <w:t>21,204</w:t>
            </w:r>
          </w:p>
        </w:tc>
        <w:tc>
          <w:tcPr>
            <w:tcW w:w="933" w:type="dxa"/>
            <w:tcBorders>
              <w:top w:val="single" w:sz="4" w:space="0" w:color="auto"/>
              <w:bottom w:val="single" w:sz="4" w:space="0" w:color="auto"/>
              <w:right w:val="single" w:sz="4" w:space="0" w:color="auto"/>
            </w:tcBorders>
            <w:shd w:val="clear" w:color="auto" w:fill="auto"/>
            <w:noWrap/>
            <w:vAlign w:val="bottom"/>
            <w:hideMark/>
          </w:tcPr>
          <w:p w:rsidR="00913C57" w:rsidRPr="00CC40EB" w:rsidRDefault="00913C57" w:rsidP="00E33B0E">
            <w:pPr>
              <w:widowControl/>
              <w:autoSpaceDE/>
              <w:autoSpaceDN/>
              <w:adjustRightInd/>
              <w:jc w:val="center"/>
              <w:rPr>
                <w:i/>
                <w:sz w:val="20"/>
                <w:szCs w:val="20"/>
              </w:rPr>
            </w:pPr>
          </w:p>
        </w:tc>
        <w:tc>
          <w:tcPr>
            <w:tcW w:w="1266" w:type="dxa"/>
            <w:tcBorders>
              <w:top w:val="nil"/>
              <w:left w:val="nil"/>
              <w:bottom w:val="single" w:sz="4" w:space="0" w:color="auto"/>
              <w:right w:val="single" w:sz="4" w:space="0" w:color="auto"/>
            </w:tcBorders>
            <w:shd w:val="clear" w:color="auto" w:fill="auto"/>
            <w:noWrap/>
            <w:vAlign w:val="bottom"/>
            <w:hideMark/>
          </w:tcPr>
          <w:p w:rsidR="00913C57" w:rsidRPr="00CC40EB" w:rsidRDefault="005A0CE8" w:rsidP="00E33B0E">
            <w:pPr>
              <w:widowControl/>
              <w:autoSpaceDE/>
              <w:autoSpaceDN/>
              <w:adjustRightInd/>
              <w:jc w:val="right"/>
              <w:rPr>
                <w:b/>
                <w:i/>
                <w:sz w:val="20"/>
                <w:szCs w:val="20"/>
              </w:rPr>
            </w:pPr>
            <w:r w:rsidRPr="00CC40EB">
              <w:rPr>
                <w:b/>
                <w:i/>
                <w:sz w:val="20"/>
                <w:szCs w:val="20"/>
              </w:rPr>
              <w:t>2,053,126.60</w:t>
            </w:r>
          </w:p>
        </w:tc>
      </w:tr>
      <w:tr w:rsidR="00E01DCF" w:rsidRPr="00E01DCF" w:rsidTr="00E33B0E">
        <w:trPr>
          <w:trHeight w:val="300"/>
          <w:jc w:val="center"/>
        </w:trPr>
        <w:tc>
          <w:tcPr>
            <w:tcW w:w="12742" w:type="dxa"/>
            <w:gridSpan w:val="9"/>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rPr>
                <w:sz w:val="20"/>
                <w:szCs w:val="20"/>
              </w:rPr>
            </w:pPr>
            <w:r>
              <w:rPr>
                <w:sz w:val="20"/>
                <w:szCs w:val="20"/>
              </w:rPr>
              <w:t>3</w:t>
            </w:r>
            <w:r w:rsidRPr="00E01DCF">
              <w:rPr>
                <w:sz w:val="20"/>
                <w:szCs w:val="20"/>
              </w:rPr>
              <w:t xml:space="preserve">.  </w:t>
            </w:r>
            <w:r>
              <w:rPr>
                <w:sz w:val="20"/>
                <w:szCs w:val="20"/>
              </w:rPr>
              <w:t>Recordkeeping</w:t>
            </w:r>
            <w:r w:rsidRPr="00E01DCF">
              <w:rPr>
                <w:sz w:val="20"/>
                <w:szCs w:val="20"/>
              </w:rPr>
              <w:t xml:space="preserve"> Requirements</w:t>
            </w:r>
            <w:r w:rsidR="00442961">
              <w:rPr>
                <w:sz w:val="20"/>
                <w:szCs w:val="20"/>
              </w:rPr>
              <w:t xml:space="preserve"> (Privately </w:t>
            </w:r>
            <w:r>
              <w:rPr>
                <w:sz w:val="20"/>
                <w:szCs w:val="20"/>
              </w:rPr>
              <w:t>Owned Landfills)</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A. Records of control system monitoring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0.5</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12</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6</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942</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47.1</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94.2</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FA7A8F">
            <w:pPr>
              <w:widowControl/>
              <w:autoSpaceDE/>
              <w:autoSpaceDN/>
              <w:adjustRightInd/>
              <w:jc w:val="right"/>
              <w:rPr>
                <w:sz w:val="20"/>
                <w:szCs w:val="20"/>
              </w:rPr>
            </w:pPr>
            <w:r w:rsidRPr="00E01DCF">
              <w:rPr>
                <w:sz w:val="20"/>
                <w:szCs w:val="20"/>
              </w:rPr>
              <w:t>104,894.5</w:t>
            </w:r>
            <w:r w:rsidR="00FA7A8F">
              <w:rPr>
                <w:sz w:val="20"/>
                <w:szCs w:val="20"/>
              </w:rPr>
              <w:t>8</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B. Records of accumulated refuse</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1,256</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62.8</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125.6</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139,859.37</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C. Records of surface methane monitoring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0.5</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314</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31.4</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34,964.84</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D. Records of collection and control system exceedances</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0.5</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314</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31.4</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34,964.84</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E. Records of system design and initial performance test</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0</w:t>
            </w:r>
          </w:p>
        </w:tc>
      </w:tr>
      <w:tr w:rsidR="00913C57"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913C57" w:rsidRPr="00913C57" w:rsidRDefault="00913C57" w:rsidP="00913C57">
            <w:pPr>
              <w:widowControl/>
              <w:autoSpaceDE/>
              <w:autoSpaceDN/>
              <w:adjustRightInd/>
              <w:ind w:leftChars="83" w:left="346" w:hangingChars="73" w:hanging="147"/>
              <w:rPr>
                <w:b/>
                <w:i/>
                <w:sz w:val="20"/>
                <w:szCs w:val="20"/>
              </w:rPr>
            </w:pPr>
            <w:r w:rsidRPr="00913C57">
              <w:rPr>
                <w:b/>
                <w:i/>
                <w:sz w:val="20"/>
                <w:szCs w:val="20"/>
              </w:rPr>
              <w:t>Subtotal for Recordkeeping</w:t>
            </w:r>
          </w:p>
          <w:p w:rsidR="00913C57" w:rsidRPr="00E01DCF" w:rsidRDefault="00913C57" w:rsidP="00913C57">
            <w:pPr>
              <w:widowControl/>
              <w:autoSpaceDE/>
              <w:autoSpaceDN/>
              <w:adjustRightInd/>
              <w:ind w:leftChars="83" w:left="346" w:hangingChars="73" w:hanging="147"/>
              <w:rPr>
                <w:sz w:val="20"/>
                <w:szCs w:val="20"/>
              </w:rPr>
            </w:pPr>
            <w:r w:rsidRPr="00913C57">
              <w:rPr>
                <w:b/>
                <w:i/>
                <w:sz w:val="20"/>
                <w:szCs w:val="20"/>
              </w:rPr>
              <w:t>Requirements for Privately Owned</w:t>
            </w:r>
          </w:p>
        </w:tc>
        <w:tc>
          <w:tcPr>
            <w:tcW w:w="1160"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050" w:type="dxa"/>
            <w:tcBorders>
              <w:top w:val="single" w:sz="4" w:space="0" w:color="auto"/>
              <w:left w:val="nil"/>
              <w:bottom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347" w:type="dxa"/>
            <w:tcBorders>
              <w:top w:val="single" w:sz="4" w:space="0" w:color="auto"/>
              <w:bottom w:val="single" w:sz="4" w:space="0" w:color="auto"/>
            </w:tcBorders>
            <w:shd w:val="clear" w:color="auto" w:fill="auto"/>
            <w:noWrap/>
            <w:vAlign w:val="bottom"/>
            <w:hideMark/>
          </w:tcPr>
          <w:p w:rsidR="00913C57" w:rsidRPr="00CC40EB" w:rsidRDefault="00913C57" w:rsidP="00E01DCF">
            <w:pPr>
              <w:widowControl/>
              <w:autoSpaceDE/>
              <w:autoSpaceDN/>
              <w:adjustRightInd/>
              <w:jc w:val="center"/>
              <w:rPr>
                <w:b/>
                <w:i/>
                <w:sz w:val="20"/>
                <w:szCs w:val="20"/>
              </w:rPr>
            </w:pPr>
            <w:r w:rsidRPr="00CC40EB">
              <w:rPr>
                <w:b/>
                <w:i/>
                <w:sz w:val="20"/>
                <w:szCs w:val="20"/>
              </w:rPr>
              <w:t>3,250</w:t>
            </w:r>
          </w:p>
        </w:tc>
        <w:tc>
          <w:tcPr>
            <w:tcW w:w="933" w:type="dxa"/>
            <w:tcBorders>
              <w:top w:val="single" w:sz="4" w:space="0" w:color="auto"/>
              <w:bottom w:val="single" w:sz="4" w:space="0" w:color="auto"/>
              <w:right w:val="single" w:sz="4" w:space="0" w:color="auto"/>
            </w:tcBorders>
            <w:shd w:val="clear" w:color="auto" w:fill="auto"/>
            <w:noWrap/>
            <w:vAlign w:val="bottom"/>
            <w:hideMark/>
          </w:tcPr>
          <w:p w:rsidR="00913C57" w:rsidRPr="00CC40EB" w:rsidRDefault="00913C57" w:rsidP="00E01DCF">
            <w:pPr>
              <w:widowControl/>
              <w:autoSpaceDE/>
              <w:autoSpaceDN/>
              <w:adjustRightInd/>
              <w:jc w:val="center"/>
              <w:rPr>
                <w:i/>
                <w:sz w:val="20"/>
                <w:szCs w:val="20"/>
              </w:rPr>
            </w:pPr>
          </w:p>
        </w:tc>
        <w:tc>
          <w:tcPr>
            <w:tcW w:w="1266" w:type="dxa"/>
            <w:tcBorders>
              <w:top w:val="nil"/>
              <w:left w:val="nil"/>
              <w:bottom w:val="single" w:sz="4" w:space="0" w:color="auto"/>
              <w:right w:val="single" w:sz="4" w:space="0" w:color="auto"/>
            </w:tcBorders>
            <w:shd w:val="clear" w:color="auto" w:fill="auto"/>
            <w:noWrap/>
            <w:vAlign w:val="bottom"/>
            <w:hideMark/>
          </w:tcPr>
          <w:p w:rsidR="00913C57" w:rsidRPr="00CC40EB" w:rsidRDefault="00FA7A8F" w:rsidP="00E01DCF">
            <w:pPr>
              <w:widowControl/>
              <w:autoSpaceDE/>
              <w:autoSpaceDN/>
              <w:adjustRightInd/>
              <w:jc w:val="right"/>
              <w:rPr>
                <w:b/>
                <w:i/>
                <w:sz w:val="20"/>
                <w:szCs w:val="20"/>
              </w:rPr>
            </w:pPr>
            <w:r w:rsidRPr="00CC40EB">
              <w:rPr>
                <w:b/>
                <w:i/>
                <w:sz w:val="20"/>
                <w:szCs w:val="20"/>
              </w:rPr>
              <w:t>314,682.63</w:t>
            </w:r>
          </w:p>
        </w:tc>
      </w:tr>
      <w:tr w:rsidR="00E01DCF" w:rsidRPr="00E01DCF" w:rsidTr="00E33B0E">
        <w:trPr>
          <w:trHeight w:val="300"/>
          <w:jc w:val="center"/>
        </w:trPr>
        <w:tc>
          <w:tcPr>
            <w:tcW w:w="12742" w:type="dxa"/>
            <w:gridSpan w:val="9"/>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33B0E">
            <w:pPr>
              <w:widowControl/>
              <w:autoSpaceDE/>
              <w:autoSpaceDN/>
              <w:adjustRightInd/>
              <w:rPr>
                <w:sz w:val="20"/>
                <w:szCs w:val="20"/>
              </w:rPr>
            </w:pPr>
            <w:r>
              <w:rPr>
                <w:sz w:val="20"/>
                <w:szCs w:val="20"/>
              </w:rPr>
              <w:t>4</w:t>
            </w:r>
            <w:r w:rsidRPr="00E01DCF">
              <w:rPr>
                <w:sz w:val="20"/>
                <w:szCs w:val="20"/>
              </w:rPr>
              <w:t xml:space="preserve">.  </w:t>
            </w:r>
            <w:r>
              <w:rPr>
                <w:sz w:val="20"/>
                <w:szCs w:val="20"/>
              </w:rPr>
              <w:t>Recordkeeping</w:t>
            </w:r>
            <w:r w:rsidRPr="00E01DCF">
              <w:rPr>
                <w:sz w:val="20"/>
                <w:szCs w:val="20"/>
              </w:rPr>
              <w:t xml:space="preserve"> Requirements</w:t>
            </w:r>
            <w:r w:rsidR="00442961">
              <w:rPr>
                <w:sz w:val="20"/>
                <w:szCs w:val="20"/>
              </w:rPr>
              <w:t xml:space="preserve"> (Publicly </w:t>
            </w:r>
            <w:r>
              <w:rPr>
                <w:sz w:val="20"/>
                <w:szCs w:val="20"/>
              </w:rPr>
              <w:t>Owned Landfills)</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A. Records of control system monitoring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0.5</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12</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6</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1,902</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95.1</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190.2</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FD443C" w:rsidP="00E01DCF">
            <w:pPr>
              <w:widowControl/>
              <w:autoSpaceDE/>
              <w:autoSpaceDN/>
              <w:adjustRightInd/>
              <w:jc w:val="right"/>
              <w:rPr>
                <w:sz w:val="20"/>
                <w:szCs w:val="20"/>
              </w:rPr>
            </w:pPr>
            <w:r>
              <w:rPr>
                <w:sz w:val="20"/>
                <w:szCs w:val="20"/>
              </w:rPr>
              <w:t>211,793.40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B. Records of accumulated refuse</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2,536</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126.8</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253.6</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FD443C" w:rsidP="00E01DCF">
            <w:pPr>
              <w:widowControl/>
              <w:autoSpaceDE/>
              <w:autoSpaceDN/>
              <w:adjustRightInd/>
              <w:jc w:val="right"/>
              <w:rPr>
                <w:sz w:val="20"/>
                <w:szCs w:val="20"/>
              </w:rPr>
            </w:pPr>
            <w:r>
              <w:rPr>
                <w:sz w:val="20"/>
                <w:szCs w:val="20"/>
              </w:rPr>
              <w:t>282,391.21</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C. Records of surface methane monitoring</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0.5</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634</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31.7</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63.4</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FD443C" w:rsidP="00E01DCF">
            <w:pPr>
              <w:widowControl/>
              <w:autoSpaceDE/>
              <w:autoSpaceDN/>
              <w:adjustRightInd/>
              <w:jc w:val="right"/>
              <w:rPr>
                <w:sz w:val="20"/>
                <w:szCs w:val="20"/>
              </w:rPr>
            </w:pPr>
            <w:r>
              <w:rPr>
                <w:sz w:val="20"/>
                <w:szCs w:val="20"/>
              </w:rPr>
              <w:t>70,597.80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t>D. Records of collection and control system exceedances</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0.5</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634</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31.7</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63.4</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FD443C" w:rsidP="00E01DCF">
            <w:pPr>
              <w:widowControl/>
              <w:autoSpaceDE/>
              <w:autoSpaceDN/>
              <w:adjustRightInd/>
              <w:jc w:val="right"/>
              <w:rPr>
                <w:sz w:val="20"/>
                <w:szCs w:val="20"/>
              </w:rPr>
            </w:pPr>
            <w:r>
              <w:rPr>
                <w:sz w:val="20"/>
                <w:szCs w:val="20"/>
              </w:rPr>
              <w:t>70,597.80</w:t>
            </w:r>
          </w:p>
        </w:tc>
      </w:tr>
      <w:tr w:rsidR="00E01DCF"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E01DCF" w:rsidRPr="00E01DCF" w:rsidRDefault="00E01DCF" w:rsidP="00E01DCF">
            <w:pPr>
              <w:widowControl/>
              <w:autoSpaceDE/>
              <w:autoSpaceDN/>
              <w:adjustRightInd/>
              <w:ind w:leftChars="83" w:left="345" w:hangingChars="73" w:hanging="146"/>
              <w:rPr>
                <w:sz w:val="20"/>
                <w:szCs w:val="20"/>
              </w:rPr>
            </w:pPr>
            <w:r w:rsidRPr="00E01DCF">
              <w:rPr>
                <w:sz w:val="20"/>
                <w:szCs w:val="20"/>
              </w:rPr>
              <w:lastRenderedPageBreak/>
              <w:t>E. Records of system design and initial performance test</w:t>
            </w:r>
          </w:p>
        </w:tc>
        <w:tc>
          <w:tcPr>
            <w:tcW w:w="116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4</w:t>
            </w:r>
          </w:p>
        </w:tc>
        <w:tc>
          <w:tcPr>
            <w:tcW w:w="1244"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317</w:t>
            </w:r>
          </w:p>
        </w:tc>
        <w:tc>
          <w:tcPr>
            <w:tcW w:w="1050"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933"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center"/>
              <w:rPr>
                <w:sz w:val="20"/>
                <w:szCs w:val="20"/>
              </w:rPr>
            </w:pPr>
            <w:r w:rsidRPr="00E01DCF">
              <w:rPr>
                <w:sz w:val="20"/>
                <w:szCs w:val="20"/>
              </w:rPr>
              <w:t>0</w:t>
            </w:r>
          </w:p>
        </w:tc>
        <w:tc>
          <w:tcPr>
            <w:tcW w:w="1266" w:type="dxa"/>
            <w:tcBorders>
              <w:top w:val="nil"/>
              <w:left w:val="nil"/>
              <w:bottom w:val="single" w:sz="4" w:space="0" w:color="auto"/>
              <w:right w:val="single" w:sz="4" w:space="0" w:color="auto"/>
            </w:tcBorders>
            <w:shd w:val="clear" w:color="auto" w:fill="auto"/>
            <w:noWrap/>
            <w:vAlign w:val="bottom"/>
            <w:hideMark/>
          </w:tcPr>
          <w:p w:rsidR="00E01DCF" w:rsidRPr="00E01DCF" w:rsidRDefault="00E01DCF" w:rsidP="00E01DCF">
            <w:pPr>
              <w:widowControl/>
              <w:autoSpaceDE/>
              <w:autoSpaceDN/>
              <w:adjustRightInd/>
              <w:jc w:val="right"/>
              <w:rPr>
                <w:sz w:val="20"/>
                <w:szCs w:val="20"/>
              </w:rPr>
            </w:pPr>
            <w:r w:rsidRPr="00E01DCF">
              <w:rPr>
                <w:sz w:val="20"/>
                <w:szCs w:val="20"/>
              </w:rPr>
              <w:t>0</w:t>
            </w:r>
          </w:p>
        </w:tc>
      </w:tr>
      <w:tr w:rsidR="00913C57" w:rsidRPr="00E01DCF" w:rsidTr="00C51DC9">
        <w:trPr>
          <w:trHeight w:val="300"/>
          <w:jc w:val="center"/>
        </w:trPr>
        <w:tc>
          <w:tcPr>
            <w:tcW w:w="3198" w:type="dxa"/>
            <w:tcBorders>
              <w:top w:val="nil"/>
              <w:left w:val="single" w:sz="4" w:space="0" w:color="auto"/>
              <w:bottom w:val="single" w:sz="4" w:space="0" w:color="auto"/>
              <w:right w:val="single" w:sz="4" w:space="0" w:color="auto"/>
            </w:tcBorders>
            <w:shd w:val="clear" w:color="auto" w:fill="auto"/>
            <w:vAlign w:val="bottom"/>
            <w:hideMark/>
          </w:tcPr>
          <w:p w:rsidR="00913C57" w:rsidRPr="00913C57" w:rsidRDefault="00913C57" w:rsidP="00913C57">
            <w:pPr>
              <w:widowControl/>
              <w:autoSpaceDE/>
              <w:autoSpaceDN/>
              <w:adjustRightInd/>
              <w:ind w:leftChars="83" w:left="346" w:hangingChars="73" w:hanging="147"/>
              <w:rPr>
                <w:b/>
                <w:i/>
                <w:sz w:val="20"/>
                <w:szCs w:val="20"/>
              </w:rPr>
            </w:pPr>
            <w:r w:rsidRPr="00913C57">
              <w:rPr>
                <w:b/>
                <w:i/>
                <w:sz w:val="20"/>
                <w:szCs w:val="20"/>
              </w:rPr>
              <w:t>Subtotal for Recordkeeping</w:t>
            </w:r>
          </w:p>
          <w:p w:rsidR="00913C57" w:rsidRPr="00E01DCF" w:rsidRDefault="00913C57" w:rsidP="00913C57">
            <w:pPr>
              <w:widowControl/>
              <w:autoSpaceDE/>
              <w:autoSpaceDN/>
              <w:adjustRightInd/>
              <w:ind w:leftChars="83" w:left="346" w:hangingChars="73" w:hanging="147"/>
              <w:rPr>
                <w:sz w:val="20"/>
                <w:szCs w:val="20"/>
              </w:rPr>
            </w:pPr>
            <w:r w:rsidRPr="00913C57">
              <w:rPr>
                <w:b/>
                <w:i/>
                <w:sz w:val="20"/>
                <w:szCs w:val="20"/>
              </w:rPr>
              <w:t xml:space="preserve"> Requirements for Publicly Owned</w:t>
            </w:r>
          </w:p>
        </w:tc>
        <w:tc>
          <w:tcPr>
            <w:tcW w:w="1160"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050" w:type="dxa"/>
            <w:tcBorders>
              <w:top w:val="single" w:sz="4" w:space="0" w:color="auto"/>
              <w:left w:val="nil"/>
              <w:bottom w:val="single" w:sz="4" w:space="0" w:color="auto"/>
            </w:tcBorders>
            <w:shd w:val="clear" w:color="auto" w:fill="auto"/>
            <w:noWrap/>
            <w:vAlign w:val="bottom"/>
            <w:hideMark/>
          </w:tcPr>
          <w:p w:rsidR="00913C57" w:rsidRPr="00E01DCF" w:rsidRDefault="00913C57" w:rsidP="00E01DCF">
            <w:pPr>
              <w:widowControl/>
              <w:autoSpaceDE/>
              <w:autoSpaceDN/>
              <w:adjustRightInd/>
              <w:jc w:val="center"/>
              <w:rPr>
                <w:sz w:val="20"/>
                <w:szCs w:val="20"/>
              </w:rPr>
            </w:pPr>
          </w:p>
        </w:tc>
        <w:tc>
          <w:tcPr>
            <w:tcW w:w="1347" w:type="dxa"/>
            <w:tcBorders>
              <w:top w:val="single" w:sz="4" w:space="0" w:color="auto"/>
              <w:bottom w:val="single" w:sz="4" w:space="0" w:color="auto"/>
            </w:tcBorders>
            <w:shd w:val="clear" w:color="auto" w:fill="auto"/>
            <w:noWrap/>
            <w:vAlign w:val="bottom"/>
            <w:hideMark/>
          </w:tcPr>
          <w:p w:rsidR="00913C57" w:rsidRPr="00CC40EB" w:rsidRDefault="00913C57" w:rsidP="00E01DCF">
            <w:pPr>
              <w:widowControl/>
              <w:autoSpaceDE/>
              <w:autoSpaceDN/>
              <w:adjustRightInd/>
              <w:jc w:val="center"/>
              <w:rPr>
                <w:b/>
                <w:i/>
                <w:sz w:val="20"/>
                <w:szCs w:val="20"/>
              </w:rPr>
            </w:pPr>
            <w:r w:rsidRPr="00CC40EB">
              <w:rPr>
                <w:b/>
                <w:i/>
                <w:sz w:val="20"/>
                <w:szCs w:val="20"/>
              </w:rPr>
              <w:t>6,562</w:t>
            </w:r>
          </w:p>
        </w:tc>
        <w:tc>
          <w:tcPr>
            <w:tcW w:w="933" w:type="dxa"/>
            <w:tcBorders>
              <w:top w:val="single" w:sz="4" w:space="0" w:color="auto"/>
              <w:bottom w:val="single" w:sz="4" w:space="0" w:color="auto"/>
              <w:right w:val="single" w:sz="4" w:space="0" w:color="auto"/>
            </w:tcBorders>
            <w:shd w:val="clear" w:color="auto" w:fill="auto"/>
            <w:noWrap/>
            <w:vAlign w:val="bottom"/>
            <w:hideMark/>
          </w:tcPr>
          <w:p w:rsidR="00913C57" w:rsidRPr="00CC40EB" w:rsidRDefault="00913C57" w:rsidP="00E01DCF">
            <w:pPr>
              <w:widowControl/>
              <w:autoSpaceDE/>
              <w:autoSpaceDN/>
              <w:adjustRightInd/>
              <w:jc w:val="center"/>
              <w:rPr>
                <w:i/>
                <w:sz w:val="20"/>
                <w:szCs w:val="20"/>
              </w:rPr>
            </w:pPr>
          </w:p>
        </w:tc>
        <w:tc>
          <w:tcPr>
            <w:tcW w:w="1266" w:type="dxa"/>
            <w:tcBorders>
              <w:top w:val="nil"/>
              <w:left w:val="nil"/>
              <w:bottom w:val="single" w:sz="4" w:space="0" w:color="auto"/>
              <w:right w:val="single" w:sz="4" w:space="0" w:color="auto"/>
            </w:tcBorders>
            <w:shd w:val="clear" w:color="auto" w:fill="auto"/>
            <w:noWrap/>
            <w:vAlign w:val="bottom"/>
            <w:hideMark/>
          </w:tcPr>
          <w:p w:rsidR="00913C57" w:rsidRPr="00CC40EB" w:rsidRDefault="00FD443C" w:rsidP="00E01DCF">
            <w:pPr>
              <w:widowControl/>
              <w:autoSpaceDE/>
              <w:autoSpaceDN/>
              <w:adjustRightInd/>
              <w:jc w:val="right"/>
              <w:rPr>
                <w:b/>
                <w:i/>
                <w:sz w:val="20"/>
                <w:szCs w:val="20"/>
              </w:rPr>
            </w:pPr>
            <w:r w:rsidRPr="00CC40EB">
              <w:rPr>
                <w:b/>
                <w:i/>
                <w:sz w:val="20"/>
                <w:szCs w:val="20"/>
              </w:rPr>
              <w:t>635,380.21</w:t>
            </w:r>
          </w:p>
        </w:tc>
      </w:tr>
      <w:tr w:rsidR="00C51DC9" w:rsidRPr="00E01DCF"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51DC9" w:rsidRPr="00C51DC9" w:rsidRDefault="008439CA" w:rsidP="00C51DC9">
            <w:pPr>
              <w:widowControl/>
              <w:autoSpaceDE/>
              <w:autoSpaceDN/>
              <w:adjustRightInd/>
              <w:rPr>
                <w:b/>
                <w:color w:val="000000"/>
                <w:sz w:val="20"/>
                <w:szCs w:val="20"/>
              </w:rPr>
            </w:pPr>
            <w:r>
              <w:rPr>
                <w:b/>
                <w:color w:val="000000"/>
                <w:sz w:val="20"/>
                <w:szCs w:val="20"/>
              </w:rPr>
              <w:t xml:space="preserve">Reporting and Recordkeeping </w:t>
            </w:r>
            <w:r w:rsidR="00C51DC9" w:rsidRPr="00C51DC9">
              <w:rPr>
                <w:b/>
                <w:color w:val="000000"/>
                <w:sz w:val="20"/>
                <w:szCs w:val="20"/>
              </w:rPr>
              <w:t>Subtotals for Privately and Publicly Owned Landfills</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C51DC9" w:rsidRPr="007C16D1" w:rsidRDefault="00C51DC9" w:rsidP="007C16D1">
            <w:pPr>
              <w:widowControl/>
              <w:autoSpaceDE/>
              <w:autoSpaceDN/>
              <w:adjustRightInd/>
              <w:jc w:val="center"/>
              <w:rPr>
                <w:sz w:val="20"/>
                <w:szCs w:val="20"/>
              </w:rPr>
            </w:pP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C51DC9" w:rsidRPr="007C16D1" w:rsidRDefault="00C51DC9" w:rsidP="00EE0703">
            <w:pPr>
              <w:widowControl/>
              <w:autoSpaceDE/>
              <w:autoSpaceDN/>
              <w:adjustRightInd/>
              <w:jc w:val="right"/>
              <w:rPr>
                <w:sz w:val="20"/>
                <w:szCs w:val="20"/>
              </w:rPr>
            </w:pPr>
          </w:p>
        </w:tc>
      </w:tr>
      <w:tr w:rsidR="00EE0703" w:rsidRPr="00E01DCF"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E0703" w:rsidRPr="00E01DCF" w:rsidRDefault="00EE0703" w:rsidP="005C4CC5">
            <w:pPr>
              <w:widowControl/>
              <w:autoSpaceDE/>
              <w:autoSpaceDN/>
              <w:adjustRightInd/>
              <w:ind w:left="98" w:firstLine="270"/>
              <w:rPr>
                <w:sz w:val="20"/>
                <w:szCs w:val="20"/>
              </w:rPr>
            </w:pPr>
            <w:r>
              <w:rPr>
                <w:color w:val="000000"/>
                <w:sz w:val="20"/>
                <w:szCs w:val="20"/>
              </w:rPr>
              <w:t>Reporting Labor Burden (Privately</w:t>
            </w:r>
            <w:r w:rsidR="00442961">
              <w:rPr>
                <w:color w:val="000000"/>
                <w:sz w:val="20"/>
                <w:szCs w:val="20"/>
              </w:rPr>
              <w:t xml:space="preserve"> </w:t>
            </w:r>
            <w:r>
              <w:rPr>
                <w:color w:val="000000"/>
                <w:sz w:val="20"/>
                <w:szCs w:val="20"/>
              </w:rPr>
              <w:t>Owned Landfills)</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EE0703" w:rsidRDefault="007C16D1" w:rsidP="007C16D1">
            <w:pPr>
              <w:widowControl/>
              <w:autoSpaceDE/>
              <w:autoSpaceDN/>
              <w:adjustRightInd/>
              <w:jc w:val="center"/>
              <w:rPr>
                <w:sz w:val="20"/>
                <w:szCs w:val="20"/>
              </w:rPr>
            </w:pPr>
            <w:r w:rsidRPr="007C16D1">
              <w:rPr>
                <w:sz w:val="20"/>
                <w:szCs w:val="20"/>
              </w:rPr>
              <w:t>10,50</w:t>
            </w:r>
            <w:r w:rsidR="00A83AFC">
              <w:rPr>
                <w:sz w:val="20"/>
                <w:szCs w:val="20"/>
              </w:rPr>
              <w:t>2</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EE0703" w:rsidRDefault="007C16D1" w:rsidP="00EE0703">
            <w:pPr>
              <w:widowControl/>
              <w:autoSpaceDE/>
              <w:autoSpaceDN/>
              <w:adjustRightInd/>
              <w:jc w:val="right"/>
              <w:rPr>
                <w:sz w:val="20"/>
                <w:szCs w:val="20"/>
              </w:rPr>
            </w:pPr>
            <w:r w:rsidRPr="007C16D1">
              <w:rPr>
                <w:sz w:val="20"/>
                <w:szCs w:val="20"/>
              </w:rPr>
              <w:t>1,016,875.6</w:t>
            </w:r>
            <w:r w:rsidR="00CC40EB">
              <w:rPr>
                <w:sz w:val="20"/>
                <w:szCs w:val="20"/>
              </w:rPr>
              <w:t>0</w:t>
            </w:r>
          </w:p>
        </w:tc>
      </w:tr>
      <w:tr w:rsidR="00EE0703" w:rsidRPr="00E01DCF"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E0703" w:rsidRPr="00E01DCF" w:rsidRDefault="00EE0703" w:rsidP="005C4CC5">
            <w:pPr>
              <w:widowControl/>
              <w:autoSpaceDE/>
              <w:autoSpaceDN/>
              <w:adjustRightInd/>
              <w:ind w:left="98" w:firstLine="270"/>
              <w:rPr>
                <w:sz w:val="20"/>
                <w:szCs w:val="20"/>
              </w:rPr>
            </w:pPr>
            <w:r>
              <w:rPr>
                <w:color w:val="000000"/>
                <w:sz w:val="20"/>
                <w:szCs w:val="20"/>
              </w:rPr>
              <w:t>Recordkeeping Labor Burden (Privately</w:t>
            </w:r>
            <w:r w:rsidR="00442961">
              <w:rPr>
                <w:color w:val="000000"/>
                <w:sz w:val="20"/>
                <w:szCs w:val="20"/>
              </w:rPr>
              <w:t xml:space="preserve"> </w:t>
            </w:r>
            <w:r>
              <w:rPr>
                <w:color w:val="000000"/>
                <w:sz w:val="20"/>
                <w:szCs w:val="20"/>
              </w:rPr>
              <w:t>Owned Landfills)</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EE0703" w:rsidRDefault="007C16D1" w:rsidP="007C16D1">
            <w:pPr>
              <w:widowControl/>
              <w:autoSpaceDE/>
              <w:autoSpaceDN/>
              <w:adjustRightInd/>
              <w:jc w:val="center"/>
              <w:rPr>
                <w:sz w:val="20"/>
                <w:szCs w:val="20"/>
              </w:rPr>
            </w:pPr>
            <w:r w:rsidRPr="007C16D1">
              <w:rPr>
                <w:sz w:val="20"/>
                <w:szCs w:val="20"/>
              </w:rPr>
              <w:t>3,2</w:t>
            </w:r>
            <w:r w:rsidR="00A83AFC">
              <w:rPr>
                <w:sz w:val="20"/>
                <w:szCs w:val="20"/>
              </w:rPr>
              <w:t>50</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EE0703" w:rsidRDefault="007C16D1" w:rsidP="007C16D1">
            <w:pPr>
              <w:widowControl/>
              <w:autoSpaceDE/>
              <w:autoSpaceDN/>
              <w:adjustRightInd/>
              <w:jc w:val="right"/>
              <w:rPr>
                <w:sz w:val="20"/>
                <w:szCs w:val="20"/>
              </w:rPr>
            </w:pPr>
            <w:r w:rsidRPr="007C16D1">
              <w:rPr>
                <w:sz w:val="20"/>
                <w:szCs w:val="20"/>
              </w:rPr>
              <w:t>314,683.58</w:t>
            </w:r>
          </w:p>
        </w:tc>
      </w:tr>
      <w:tr w:rsidR="00EE0703" w:rsidRPr="005C4CC5"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E0703" w:rsidRPr="008439CA" w:rsidRDefault="00435FE1" w:rsidP="005C4CC5">
            <w:pPr>
              <w:widowControl/>
              <w:autoSpaceDE/>
              <w:autoSpaceDN/>
              <w:adjustRightInd/>
              <w:rPr>
                <w:b/>
                <w:i/>
                <w:sz w:val="20"/>
                <w:szCs w:val="20"/>
              </w:rPr>
            </w:pPr>
            <w:r w:rsidRPr="008439CA">
              <w:rPr>
                <w:b/>
                <w:i/>
                <w:color w:val="000000"/>
                <w:sz w:val="20"/>
                <w:szCs w:val="20"/>
              </w:rPr>
              <w:t xml:space="preserve">Subtotal </w:t>
            </w:r>
            <w:r w:rsidR="00EE0703" w:rsidRPr="008439CA">
              <w:rPr>
                <w:b/>
                <w:i/>
                <w:color w:val="000000"/>
                <w:sz w:val="20"/>
                <w:szCs w:val="20"/>
              </w:rPr>
              <w:t>Labor Burden</w:t>
            </w:r>
            <w:r w:rsidR="008439CA">
              <w:rPr>
                <w:b/>
                <w:i/>
                <w:color w:val="000000"/>
                <w:sz w:val="20"/>
                <w:szCs w:val="20"/>
              </w:rPr>
              <w:t xml:space="preserve"> and Cost</w:t>
            </w:r>
            <w:r w:rsidR="00EE0703" w:rsidRPr="008439CA">
              <w:rPr>
                <w:b/>
                <w:i/>
                <w:color w:val="000000"/>
                <w:sz w:val="20"/>
                <w:szCs w:val="20"/>
              </w:rPr>
              <w:t xml:space="preserve"> (Privately</w:t>
            </w:r>
            <w:r w:rsidR="00442961" w:rsidRPr="008439CA">
              <w:rPr>
                <w:b/>
                <w:i/>
                <w:color w:val="000000"/>
                <w:sz w:val="20"/>
                <w:szCs w:val="20"/>
              </w:rPr>
              <w:t xml:space="preserve"> </w:t>
            </w:r>
            <w:r w:rsidR="00EE0703" w:rsidRPr="008439CA">
              <w:rPr>
                <w:b/>
                <w:i/>
                <w:color w:val="000000"/>
                <w:sz w:val="20"/>
                <w:szCs w:val="20"/>
              </w:rPr>
              <w:t>Owned Landfills)</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EE0703" w:rsidRPr="008439CA" w:rsidRDefault="007C16D1" w:rsidP="00E01DCF">
            <w:pPr>
              <w:widowControl/>
              <w:autoSpaceDE/>
              <w:autoSpaceDN/>
              <w:adjustRightInd/>
              <w:jc w:val="center"/>
              <w:rPr>
                <w:b/>
                <w:i/>
                <w:sz w:val="20"/>
                <w:szCs w:val="20"/>
              </w:rPr>
            </w:pPr>
            <w:r w:rsidRPr="008439CA">
              <w:rPr>
                <w:b/>
                <w:i/>
                <w:sz w:val="20"/>
                <w:szCs w:val="20"/>
              </w:rPr>
              <w:t>13,752</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EE0703" w:rsidRPr="008439CA" w:rsidRDefault="007C16D1" w:rsidP="00C51DC9">
            <w:pPr>
              <w:widowControl/>
              <w:autoSpaceDE/>
              <w:autoSpaceDN/>
              <w:adjustRightInd/>
              <w:jc w:val="right"/>
              <w:rPr>
                <w:b/>
                <w:i/>
                <w:sz w:val="20"/>
                <w:szCs w:val="20"/>
              </w:rPr>
            </w:pPr>
            <w:r w:rsidRPr="008439CA">
              <w:rPr>
                <w:b/>
                <w:i/>
                <w:sz w:val="20"/>
                <w:szCs w:val="20"/>
              </w:rPr>
              <w:t>1,331,55</w:t>
            </w:r>
            <w:r w:rsidR="00C51DC9" w:rsidRPr="008439CA">
              <w:rPr>
                <w:b/>
                <w:i/>
                <w:sz w:val="20"/>
                <w:szCs w:val="20"/>
              </w:rPr>
              <w:t>8</w:t>
            </w:r>
            <w:r w:rsidR="008439CA" w:rsidRPr="008439CA">
              <w:rPr>
                <w:b/>
                <w:i/>
                <w:sz w:val="20"/>
                <w:szCs w:val="20"/>
              </w:rPr>
              <w:t>.23</w:t>
            </w:r>
          </w:p>
        </w:tc>
      </w:tr>
      <w:tr w:rsidR="007C16D1" w:rsidRPr="00E01DCF"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C16D1" w:rsidRPr="00E01DCF" w:rsidRDefault="007C16D1" w:rsidP="005C4CC5">
            <w:pPr>
              <w:widowControl/>
              <w:autoSpaceDE/>
              <w:autoSpaceDN/>
              <w:adjustRightInd/>
              <w:ind w:left="98" w:firstLine="270"/>
              <w:rPr>
                <w:sz w:val="20"/>
                <w:szCs w:val="20"/>
              </w:rPr>
            </w:pPr>
            <w:r>
              <w:rPr>
                <w:color w:val="000000"/>
                <w:sz w:val="20"/>
                <w:szCs w:val="20"/>
              </w:rPr>
              <w:t>Reporting Labor Burden (Publicly</w:t>
            </w:r>
            <w:r w:rsidR="00442961">
              <w:rPr>
                <w:color w:val="000000"/>
                <w:sz w:val="20"/>
                <w:szCs w:val="20"/>
              </w:rPr>
              <w:t xml:space="preserve"> </w:t>
            </w:r>
            <w:r>
              <w:rPr>
                <w:color w:val="000000"/>
                <w:sz w:val="20"/>
                <w:szCs w:val="20"/>
              </w:rPr>
              <w:t>Owned Landfills)</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7C16D1" w:rsidRDefault="007C16D1" w:rsidP="00E01DCF">
            <w:pPr>
              <w:widowControl/>
              <w:autoSpaceDE/>
              <w:autoSpaceDN/>
              <w:adjustRightInd/>
              <w:jc w:val="center"/>
              <w:rPr>
                <w:sz w:val="20"/>
                <w:szCs w:val="20"/>
              </w:rPr>
            </w:pPr>
            <w:r w:rsidRPr="007C16D1">
              <w:rPr>
                <w:sz w:val="20"/>
                <w:szCs w:val="20"/>
              </w:rPr>
              <w:t>21,20</w:t>
            </w:r>
            <w:r w:rsidR="00A83AFC">
              <w:rPr>
                <w:sz w:val="20"/>
                <w:szCs w:val="20"/>
              </w:rPr>
              <w:t>4</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7C16D1" w:rsidRDefault="00C51DC9" w:rsidP="00E33B0E">
            <w:pPr>
              <w:widowControl/>
              <w:autoSpaceDE/>
              <w:autoSpaceDN/>
              <w:adjustRightInd/>
              <w:jc w:val="right"/>
              <w:rPr>
                <w:sz w:val="20"/>
                <w:szCs w:val="20"/>
              </w:rPr>
            </w:pPr>
            <w:r>
              <w:rPr>
                <w:sz w:val="20"/>
                <w:szCs w:val="20"/>
              </w:rPr>
              <w:t>2,053,126.60</w:t>
            </w:r>
          </w:p>
        </w:tc>
      </w:tr>
      <w:tr w:rsidR="007C16D1" w:rsidRPr="00E01DCF"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C16D1" w:rsidRPr="00E01DCF" w:rsidRDefault="007C16D1" w:rsidP="005C4CC5">
            <w:pPr>
              <w:widowControl/>
              <w:autoSpaceDE/>
              <w:autoSpaceDN/>
              <w:adjustRightInd/>
              <w:ind w:left="98" w:firstLine="270"/>
              <w:rPr>
                <w:sz w:val="20"/>
                <w:szCs w:val="20"/>
              </w:rPr>
            </w:pPr>
            <w:r>
              <w:rPr>
                <w:color w:val="000000"/>
                <w:sz w:val="20"/>
                <w:szCs w:val="20"/>
              </w:rPr>
              <w:t>Recordkeeping Labor Burden (Publicly Owned Landfills)</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7C16D1" w:rsidRDefault="007C16D1" w:rsidP="00E01DCF">
            <w:pPr>
              <w:widowControl/>
              <w:autoSpaceDE/>
              <w:autoSpaceDN/>
              <w:adjustRightInd/>
              <w:jc w:val="center"/>
              <w:rPr>
                <w:sz w:val="20"/>
                <w:szCs w:val="20"/>
              </w:rPr>
            </w:pPr>
            <w:r w:rsidRPr="007C16D1">
              <w:rPr>
                <w:sz w:val="20"/>
                <w:szCs w:val="20"/>
              </w:rPr>
              <w:t>6,56</w:t>
            </w:r>
            <w:r w:rsidR="00A83AFC">
              <w:rPr>
                <w:sz w:val="20"/>
                <w:szCs w:val="20"/>
              </w:rPr>
              <w:t>2</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7C16D1" w:rsidRDefault="00C51DC9" w:rsidP="00E33B0E">
            <w:pPr>
              <w:widowControl/>
              <w:autoSpaceDE/>
              <w:autoSpaceDN/>
              <w:adjustRightInd/>
              <w:jc w:val="right"/>
              <w:rPr>
                <w:sz w:val="20"/>
                <w:szCs w:val="20"/>
              </w:rPr>
            </w:pPr>
            <w:r>
              <w:rPr>
                <w:sz w:val="20"/>
                <w:szCs w:val="20"/>
              </w:rPr>
              <w:t>635,380.21</w:t>
            </w:r>
          </w:p>
        </w:tc>
      </w:tr>
      <w:tr w:rsidR="007C16D1" w:rsidRPr="005C4CC5"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C16D1" w:rsidRPr="008439CA" w:rsidRDefault="00435FE1" w:rsidP="005C4CC5">
            <w:pPr>
              <w:widowControl/>
              <w:autoSpaceDE/>
              <w:autoSpaceDN/>
              <w:adjustRightInd/>
              <w:rPr>
                <w:b/>
                <w:i/>
                <w:sz w:val="20"/>
                <w:szCs w:val="20"/>
              </w:rPr>
            </w:pPr>
            <w:r w:rsidRPr="008439CA">
              <w:rPr>
                <w:b/>
                <w:i/>
                <w:color w:val="000000"/>
                <w:sz w:val="20"/>
                <w:szCs w:val="20"/>
              </w:rPr>
              <w:t xml:space="preserve">Subtotal </w:t>
            </w:r>
            <w:r w:rsidR="00442961" w:rsidRPr="008439CA">
              <w:rPr>
                <w:b/>
                <w:i/>
                <w:color w:val="000000"/>
                <w:sz w:val="20"/>
                <w:szCs w:val="20"/>
              </w:rPr>
              <w:t>Labor Burden</w:t>
            </w:r>
            <w:r w:rsidR="008439CA">
              <w:rPr>
                <w:b/>
                <w:i/>
                <w:color w:val="000000"/>
                <w:sz w:val="20"/>
                <w:szCs w:val="20"/>
              </w:rPr>
              <w:t xml:space="preserve"> and Cost</w:t>
            </w:r>
            <w:r w:rsidR="00442961" w:rsidRPr="008439CA">
              <w:rPr>
                <w:b/>
                <w:i/>
                <w:color w:val="000000"/>
                <w:sz w:val="20"/>
                <w:szCs w:val="20"/>
              </w:rPr>
              <w:t xml:space="preserve"> (Publicly </w:t>
            </w:r>
            <w:r w:rsidR="007C16D1" w:rsidRPr="008439CA">
              <w:rPr>
                <w:b/>
                <w:i/>
                <w:color w:val="000000"/>
                <w:sz w:val="20"/>
                <w:szCs w:val="20"/>
              </w:rPr>
              <w:t>Owned Landfills)</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7C16D1" w:rsidRPr="008439CA" w:rsidRDefault="007C16D1" w:rsidP="00E01DCF">
            <w:pPr>
              <w:widowControl/>
              <w:autoSpaceDE/>
              <w:autoSpaceDN/>
              <w:adjustRightInd/>
              <w:jc w:val="center"/>
              <w:rPr>
                <w:b/>
                <w:i/>
                <w:sz w:val="20"/>
                <w:szCs w:val="20"/>
              </w:rPr>
            </w:pPr>
            <w:r w:rsidRPr="008439CA">
              <w:rPr>
                <w:b/>
                <w:i/>
                <w:sz w:val="20"/>
                <w:szCs w:val="20"/>
              </w:rPr>
              <w:t>27,766</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7C16D1" w:rsidRPr="008439CA" w:rsidRDefault="00C51DC9" w:rsidP="00E01DCF">
            <w:pPr>
              <w:widowControl/>
              <w:autoSpaceDE/>
              <w:autoSpaceDN/>
              <w:adjustRightInd/>
              <w:jc w:val="right"/>
              <w:rPr>
                <w:b/>
                <w:i/>
                <w:sz w:val="20"/>
                <w:szCs w:val="20"/>
              </w:rPr>
            </w:pPr>
            <w:r w:rsidRPr="008439CA">
              <w:rPr>
                <w:b/>
                <w:i/>
                <w:sz w:val="20"/>
                <w:szCs w:val="20"/>
              </w:rPr>
              <w:t>2,688,506.81</w:t>
            </w:r>
          </w:p>
        </w:tc>
      </w:tr>
      <w:tr w:rsidR="00C51DC9" w:rsidRPr="005C4CC5" w:rsidTr="00C51DC9">
        <w:trPr>
          <w:trHeight w:val="300"/>
          <w:jc w:val="center"/>
        </w:trPr>
        <w:tc>
          <w:tcPr>
            <w:tcW w:w="814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51DC9" w:rsidRPr="005C4CC5" w:rsidRDefault="00C51DC9" w:rsidP="005C4CC5">
            <w:pPr>
              <w:widowControl/>
              <w:autoSpaceDE/>
              <w:autoSpaceDN/>
              <w:adjustRightInd/>
              <w:rPr>
                <w:b/>
                <w:color w:val="000000"/>
                <w:sz w:val="20"/>
                <w:szCs w:val="20"/>
              </w:rPr>
            </w:pPr>
            <w:r>
              <w:rPr>
                <w:b/>
                <w:color w:val="000000"/>
                <w:sz w:val="20"/>
                <w:szCs w:val="20"/>
              </w:rPr>
              <w:t>TOTAL LABOR BURDEN AND COST (rounded)</w:t>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rsidR="00C51DC9" w:rsidRPr="005C4CC5" w:rsidRDefault="00C51DC9" w:rsidP="00E01DCF">
            <w:pPr>
              <w:widowControl/>
              <w:autoSpaceDE/>
              <w:autoSpaceDN/>
              <w:adjustRightInd/>
              <w:jc w:val="center"/>
              <w:rPr>
                <w:b/>
                <w:sz w:val="20"/>
                <w:szCs w:val="20"/>
              </w:rPr>
            </w:pPr>
            <w:r>
              <w:rPr>
                <w:b/>
                <w:sz w:val="20"/>
                <w:szCs w:val="20"/>
              </w:rPr>
              <w:t>41,518</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C51DC9" w:rsidRDefault="00C51DC9" w:rsidP="00C51DC9">
            <w:pPr>
              <w:widowControl/>
              <w:autoSpaceDE/>
              <w:autoSpaceDN/>
              <w:adjustRightInd/>
              <w:jc w:val="right"/>
              <w:rPr>
                <w:b/>
                <w:sz w:val="20"/>
                <w:szCs w:val="20"/>
              </w:rPr>
            </w:pPr>
            <w:r>
              <w:rPr>
                <w:b/>
                <w:sz w:val="20"/>
                <w:szCs w:val="20"/>
              </w:rPr>
              <w:t>$4,020,065</w:t>
            </w:r>
          </w:p>
        </w:tc>
      </w:tr>
    </w:tbl>
    <w:p w:rsidR="00E01DCF" w:rsidRDefault="00E01DCF" w:rsidP="00F972EB">
      <w:pPr>
        <w:ind w:left="270" w:hanging="270"/>
        <w:rPr>
          <w:bCs/>
        </w:rPr>
      </w:pPr>
    </w:p>
    <w:p w:rsidR="00EE0703" w:rsidRPr="007C16D1" w:rsidRDefault="00EE0703" w:rsidP="00EE0703">
      <w:pPr>
        <w:ind w:left="270" w:hanging="270"/>
        <w:rPr>
          <w:bCs/>
          <w:sz w:val="20"/>
          <w:szCs w:val="20"/>
        </w:rPr>
      </w:pPr>
      <w:r w:rsidRPr="007C16D1">
        <w:rPr>
          <w:bCs/>
          <w:sz w:val="20"/>
          <w:szCs w:val="20"/>
        </w:rPr>
        <w:t>Assumptions:</w:t>
      </w:r>
    </w:p>
    <w:p w:rsidR="00EE0703" w:rsidRPr="007C16D1" w:rsidRDefault="00EE0703" w:rsidP="00EE0703">
      <w:pPr>
        <w:ind w:left="270" w:hanging="270"/>
        <w:rPr>
          <w:bCs/>
          <w:sz w:val="20"/>
          <w:szCs w:val="20"/>
        </w:rPr>
      </w:pPr>
      <w:r w:rsidRPr="002B5158">
        <w:rPr>
          <w:bCs/>
          <w:sz w:val="20"/>
          <w:szCs w:val="20"/>
          <w:vertAlign w:val="superscript"/>
        </w:rPr>
        <w:t>a.</w:t>
      </w:r>
      <w:r w:rsidRPr="007C16D1">
        <w:rPr>
          <w:bCs/>
          <w:sz w:val="20"/>
          <w:szCs w:val="20"/>
        </w:rPr>
        <w:t xml:space="preserve">  We estimate there are 474 existing landfills subject to the emission guidelines.  Of these, we estimate 157 (33%) landfills are private and 317 (67%) are public.</w:t>
      </w:r>
    </w:p>
    <w:p w:rsidR="00EE0703" w:rsidRPr="007C16D1" w:rsidRDefault="00EE0703" w:rsidP="00EE0703">
      <w:pPr>
        <w:ind w:left="270" w:hanging="270"/>
        <w:rPr>
          <w:bCs/>
          <w:sz w:val="20"/>
          <w:szCs w:val="20"/>
        </w:rPr>
      </w:pPr>
      <w:r w:rsidRPr="002B5158">
        <w:rPr>
          <w:bCs/>
          <w:sz w:val="20"/>
          <w:szCs w:val="20"/>
          <w:vertAlign w:val="superscript"/>
        </w:rPr>
        <w:t>b.</w:t>
      </w:r>
      <w:r w:rsidRPr="007C16D1">
        <w:rPr>
          <w:bCs/>
          <w:sz w:val="20"/>
          <w:szCs w:val="20"/>
        </w:rPr>
        <w:t xml:space="preserve">  This ICR uses the following labor rates: Technical $100.23 ($47.73 + 110%); Managerial $121.44 ($57.83+ 110%);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EE0703" w:rsidRPr="007C16D1" w:rsidRDefault="00EE0703" w:rsidP="00EE0703">
      <w:pPr>
        <w:ind w:left="270" w:hanging="270"/>
        <w:rPr>
          <w:bCs/>
          <w:sz w:val="20"/>
          <w:szCs w:val="20"/>
        </w:rPr>
      </w:pPr>
      <w:r w:rsidRPr="002B5158">
        <w:rPr>
          <w:bCs/>
          <w:sz w:val="20"/>
          <w:szCs w:val="20"/>
          <w:vertAlign w:val="superscript"/>
        </w:rPr>
        <w:t>c.</w:t>
      </w:r>
      <w:r w:rsidRPr="007C16D1">
        <w:rPr>
          <w:bCs/>
          <w:sz w:val="20"/>
          <w:szCs w:val="20"/>
        </w:rPr>
        <w:t xml:space="preserve">  Labor rates for Federal agency personnel were applied to publicly</w:t>
      </w:r>
      <w:r w:rsidR="00442961">
        <w:rPr>
          <w:bCs/>
          <w:sz w:val="20"/>
          <w:szCs w:val="20"/>
        </w:rPr>
        <w:t xml:space="preserve"> </w:t>
      </w:r>
      <w:r w:rsidRPr="007C16D1">
        <w:rPr>
          <w:bCs/>
          <w:sz w:val="20"/>
          <w:szCs w:val="20"/>
        </w:rPr>
        <w:t>owned landfills, and are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locality rates of pay.  The rates have been applied to local agencies and have been increased by 60 percent to account for the benefit packages available to government employees.</w:t>
      </w:r>
    </w:p>
    <w:p w:rsidR="00EE0703" w:rsidRPr="007C16D1" w:rsidRDefault="00EE0703" w:rsidP="00EE0703">
      <w:pPr>
        <w:ind w:left="270" w:hanging="270"/>
        <w:rPr>
          <w:bCs/>
          <w:sz w:val="20"/>
          <w:szCs w:val="20"/>
        </w:rPr>
      </w:pPr>
      <w:r w:rsidRPr="002B5158">
        <w:rPr>
          <w:bCs/>
          <w:sz w:val="20"/>
          <w:szCs w:val="20"/>
          <w:vertAlign w:val="superscript"/>
        </w:rPr>
        <w:t>d.</w:t>
      </w:r>
      <w:r w:rsidRPr="007C16D1">
        <w:rPr>
          <w:bCs/>
          <w:sz w:val="20"/>
          <w:szCs w:val="20"/>
        </w:rPr>
        <w:t xml:space="preserve">  This ICR assumes that all landfills affected by a State plan or the Federal plan have already exceeded the 50 Mg/yr NMOC emission threshold and are no longer submitting annual NMOC emission rate reports.</w:t>
      </w:r>
    </w:p>
    <w:p w:rsidR="00EE0703" w:rsidRPr="007C16D1" w:rsidRDefault="00EE0703" w:rsidP="00EE0703">
      <w:pPr>
        <w:ind w:left="270" w:hanging="270"/>
        <w:rPr>
          <w:bCs/>
          <w:sz w:val="20"/>
          <w:szCs w:val="20"/>
        </w:rPr>
      </w:pPr>
      <w:r w:rsidRPr="002B5158">
        <w:rPr>
          <w:bCs/>
          <w:sz w:val="20"/>
          <w:szCs w:val="20"/>
          <w:vertAlign w:val="superscript"/>
        </w:rPr>
        <w:lastRenderedPageBreak/>
        <w:t>e.</w:t>
      </w:r>
      <w:r w:rsidRPr="007C16D1">
        <w:rPr>
          <w:bCs/>
          <w:sz w:val="20"/>
          <w:szCs w:val="20"/>
        </w:rPr>
        <w:t xml:space="preserve">  This ICR assumes 5 percent of landfills will submit an amended design capacity report per year.</w:t>
      </w:r>
    </w:p>
    <w:p w:rsidR="00EE0703" w:rsidRPr="007C16D1" w:rsidRDefault="00EE0703" w:rsidP="00EE0703">
      <w:pPr>
        <w:ind w:left="270" w:hanging="270"/>
        <w:rPr>
          <w:bCs/>
          <w:sz w:val="20"/>
          <w:szCs w:val="20"/>
        </w:rPr>
      </w:pPr>
      <w:r w:rsidRPr="002B5158">
        <w:rPr>
          <w:bCs/>
          <w:sz w:val="20"/>
          <w:szCs w:val="20"/>
          <w:vertAlign w:val="superscript"/>
        </w:rPr>
        <w:t>f.</w:t>
      </w:r>
      <w:r w:rsidRPr="007C16D1">
        <w:rPr>
          <w:bCs/>
          <w:sz w:val="20"/>
          <w:szCs w:val="20"/>
        </w:rPr>
        <w:t xml:space="preserve">  We estimate that 33% of private landfills are subject to the Federal plan and 67% of private landfills are subject to a State plan.  Our estimate of 157 private landfills includes 52 private landfills subject to the Federal plan and 105 private landfills subject to a State plan.  Our estimate of 317 public landfills includes 105 public landfills subject to the Federal plan and 212 public landfills subject to a State plan.</w:t>
      </w:r>
    </w:p>
    <w:p w:rsidR="00EE0703" w:rsidRPr="007C16D1" w:rsidRDefault="00EE0703" w:rsidP="00EE0703">
      <w:pPr>
        <w:ind w:left="270" w:hanging="270"/>
        <w:rPr>
          <w:bCs/>
          <w:sz w:val="20"/>
          <w:szCs w:val="20"/>
        </w:rPr>
      </w:pPr>
      <w:r w:rsidRPr="002B5158">
        <w:rPr>
          <w:bCs/>
          <w:sz w:val="20"/>
          <w:szCs w:val="20"/>
          <w:vertAlign w:val="superscript"/>
        </w:rPr>
        <w:t>g.</w:t>
      </w:r>
      <w:r w:rsidRPr="007C16D1">
        <w:rPr>
          <w:bCs/>
          <w:sz w:val="20"/>
          <w:szCs w:val="20"/>
        </w:rPr>
        <w:t xml:space="preserve">  This ICR assumes 3 percent of landfills will submit a landfill closure report per year.</w:t>
      </w:r>
    </w:p>
    <w:p w:rsidR="00E01DCF" w:rsidRPr="007C16D1" w:rsidRDefault="00EE0703" w:rsidP="00EE0703">
      <w:pPr>
        <w:ind w:left="270" w:hanging="270"/>
        <w:rPr>
          <w:bCs/>
          <w:sz w:val="20"/>
          <w:szCs w:val="20"/>
        </w:rPr>
      </w:pPr>
      <w:r w:rsidRPr="002B5158">
        <w:rPr>
          <w:bCs/>
          <w:sz w:val="20"/>
          <w:szCs w:val="20"/>
          <w:vertAlign w:val="superscript"/>
        </w:rPr>
        <w:t>h.</w:t>
      </w:r>
      <w:r w:rsidRPr="007C16D1">
        <w:rPr>
          <w:bCs/>
          <w:sz w:val="20"/>
          <w:szCs w:val="20"/>
        </w:rPr>
        <w:t xml:space="preserve">  This ICR assumes no landfills will submit an equipment removal report over the 3-year period of this ICR</w:t>
      </w:r>
      <w:r w:rsidR="00E01DCF" w:rsidRPr="007C16D1">
        <w:rPr>
          <w:bCs/>
          <w:sz w:val="20"/>
          <w:szCs w:val="20"/>
        </w:rPr>
        <w:t>.</w:t>
      </w:r>
    </w:p>
    <w:p w:rsidR="00E01DCF" w:rsidRPr="007C16D1" w:rsidRDefault="00E01DCF" w:rsidP="00E01DCF">
      <w:pPr>
        <w:ind w:left="270" w:hanging="270"/>
        <w:rPr>
          <w:bCs/>
          <w:sz w:val="19"/>
          <w:szCs w:val="19"/>
        </w:rPr>
        <w:sectPr w:rsidR="00E01DCF" w:rsidRPr="007C16D1" w:rsidSect="00144F35">
          <w:headerReference w:type="default" r:id="rId10"/>
          <w:pgSz w:w="15840" w:h="12240" w:orient="landscape"/>
          <w:pgMar w:top="1440" w:right="1350" w:bottom="1440" w:left="1440" w:header="1350" w:footer="1440" w:gutter="0"/>
          <w:cols w:space="720"/>
          <w:noEndnote/>
          <w:docGrid w:linePitch="326"/>
        </w:sectPr>
      </w:pPr>
    </w:p>
    <w:p w:rsidR="00C24697" w:rsidRDefault="00B55328">
      <w:pPr>
        <w:jc w:val="center"/>
        <w:rPr>
          <w:b/>
          <w:bCs/>
        </w:rPr>
      </w:pPr>
      <w:r w:rsidRPr="00C4183F">
        <w:rPr>
          <w:b/>
          <w:bCs/>
          <w:color w:val="000000"/>
        </w:rPr>
        <w:lastRenderedPageBreak/>
        <w:t xml:space="preserve">Table </w:t>
      </w:r>
      <w:r w:rsidR="00D44EE0">
        <w:rPr>
          <w:b/>
          <w:bCs/>
          <w:color w:val="000000"/>
        </w:rPr>
        <w:t>1b</w:t>
      </w:r>
      <w:r w:rsidRPr="00C4183F">
        <w:rPr>
          <w:b/>
          <w:bCs/>
          <w:color w:val="000000"/>
        </w:rPr>
        <w:t>:</w:t>
      </w:r>
      <w:r>
        <w:rPr>
          <w:b/>
          <w:bCs/>
          <w:color w:val="000000"/>
        </w:rPr>
        <w:t xml:space="preserve"> </w:t>
      </w:r>
      <w:r w:rsidRPr="00B55328">
        <w:rPr>
          <w:b/>
          <w:bCs/>
          <w:color w:val="000000"/>
        </w:rPr>
        <w:t>Average Annual State/Local Agency Burden and Cost – Emission Guidelines and Compliance Times for Existing Municipal Solid Waste Landfills (40 CFR Part 60, Subpart Cc and 40 CFR Part 62, Subpart GGG) (Renewal)</w:t>
      </w:r>
    </w:p>
    <w:p w:rsidR="00B55328" w:rsidRDefault="00B55328" w:rsidP="00144F35">
      <w:pPr>
        <w:rPr>
          <w:b/>
          <w:bCs/>
        </w:rPr>
      </w:pPr>
    </w:p>
    <w:tbl>
      <w:tblPr>
        <w:tblW w:w="13892" w:type="dxa"/>
        <w:jc w:val="center"/>
        <w:tblLook w:val="04A0"/>
      </w:tblPr>
      <w:tblGrid>
        <w:gridCol w:w="3243"/>
        <w:gridCol w:w="1160"/>
        <w:gridCol w:w="1238"/>
        <w:gridCol w:w="1530"/>
        <w:gridCol w:w="1223"/>
        <w:gridCol w:w="1027"/>
        <w:gridCol w:w="1092"/>
        <w:gridCol w:w="1338"/>
        <w:gridCol w:w="1025"/>
        <w:gridCol w:w="1016"/>
      </w:tblGrid>
      <w:tr w:rsidR="00D60407" w:rsidRPr="007F0C5A" w:rsidTr="00D60407">
        <w:trPr>
          <w:trHeight w:val="179"/>
          <w:jc w:val="center"/>
        </w:trPr>
        <w:tc>
          <w:tcPr>
            <w:tcW w:w="33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jc w:val="center"/>
              <w:rPr>
                <w:b/>
                <w:bCs/>
                <w:sz w:val="20"/>
                <w:szCs w:val="20"/>
              </w:rPr>
            </w:pPr>
            <w:r w:rsidRPr="007F0C5A">
              <w:rPr>
                <w:b/>
                <w:bCs/>
                <w:sz w:val="20"/>
                <w:szCs w:val="20"/>
              </w:rPr>
              <w:t>Burden Item</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C</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D</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E</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F</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G</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H</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b/>
                <w:bCs/>
                <w:sz w:val="20"/>
                <w:szCs w:val="20"/>
              </w:rPr>
            </w:pPr>
            <w:r w:rsidRPr="007F0C5A">
              <w:rPr>
                <w:b/>
                <w:bCs/>
                <w:sz w:val="20"/>
                <w:szCs w:val="20"/>
              </w:rPr>
              <w:t>I</w:t>
            </w:r>
          </w:p>
        </w:tc>
      </w:tr>
      <w:tr w:rsidR="00D60407" w:rsidRPr="007F0C5A" w:rsidTr="00D60407">
        <w:trPr>
          <w:trHeight w:val="1205"/>
          <w:jc w:val="center"/>
        </w:trPr>
        <w:tc>
          <w:tcPr>
            <w:tcW w:w="3301" w:type="dxa"/>
            <w:vMerge/>
            <w:tcBorders>
              <w:top w:val="single" w:sz="4" w:space="0" w:color="auto"/>
              <w:left w:val="single" w:sz="4" w:space="0" w:color="auto"/>
              <w:bottom w:val="single" w:sz="4" w:space="0" w:color="auto"/>
              <w:right w:val="single" w:sz="4" w:space="0" w:color="auto"/>
            </w:tcBorders>
            <w:vAlign w:val="center"/>
            <w:hideMark/>
          </w:tcPr>
          <w:p w:rsidR="007F0C5A" w:rsidRPr="007F0C5A" w:rsidRDefault="007F0C5A" w:rsidP="007F0C5A">
            <w:pPr>
              <w:widowControl/>
              <w:autoSpaceDE/>
              <w:autoSpaceDN/>
              <w:adjustRightInd/>
              <w:rPr>
                <w:b/>
                <w:bCs/>
                <w:sz w:val="20"/>
                <w:szCs w:val="20"/>
              </w:rPr>
            </w:pPr>
          </w:p>
        </w:tc>
        <w:tc>
          <w:tcPr>
            <w:tcW w:w="1102"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jc w:val="center"/>
              <w:rPr>
                <w:b/>
                <w:bCs/>
                <w:sz w:val="20"/>
                <w:szCs w:val="20"/>
              </w:rPr>
            </w:pPr>
            <w:r w:rsidRPr="007F0C5A">
              <w:rPr>
                <w:b/>
                <w:bCs/>
                <w:sz w:val="20"/>
                <w:szCs w:val="20"/>
              </w:rPr>
              <w:t>Technical person-hours per occurrence</w:t>
            </w:r>
          </w:p>
        </w:tc>
        <w:tc>
          <w:tcPr>
            <w:tcW w:w="1238"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jc w:val="center"/>
              <w:rPr>
                <w:b/>
                <w:bCs/>
                <w:sz w:val="20"/>
                <w:szCs w:val="20"/>
              </w:rPr>
            </w:pPr>
            <w:r w:rsidRPr="007F0C5A">
              <w:rPr>
                <w:b/>
                <w:bCs/>
                <w:sz w:val="20"/>
                <w:szCs w:val="20"/>
              </w:rPr>
              <w:t>No. of occurrences per landfill per year</w:t>
            </w:r>
          </w:p>
        </w:tc>
        <w:tc>
          <w:tcPr>
            <w:tcW w:w="1530" w:type="dxa"/>
            <w:tcBorders>
              <w:top w:val="nil"/>
              <w:left w:val="nil"/>
              <w:bottom w:val="single" w:sz="4" w:space="0" w:color="auto"/>
              <w:right w:val="single" w:sz="4" w:space="0" w:color="auto"/>
            </w:tcBorders>
            <w:shd w:val="clear" w:color="auto" w:fill="auto"/>
            <w:vAlign w:val="bottom"/>
            <w:hideMark/>
          </w:tcPr>
          <w:p w:rsidR="00672479" w:rsidRDefault="007F0C5A" w:rsidP="007F0C5A">
            <w:pPr>
              <w:widowControl/>
              <w:autoSpaceDE/>
              <w:autoSpaceDN/>
              <w:adjustRightInd/>
              <w:jc w:val="center"/>
              <w:rPr>
                <w:b/>
                <w:bCs/>
                <w:sz w:val="20"/>
                <w:szCs w:val="20"/>
              </w:rPr>
            </w:pPr>
            <w:r w:rsidRPr="007F0C5A">
              <w:rPr>
                <w:b/>
                <w:bCs/>
                <w:sz w:val="20"/>
                <w:szCs w:val="20"/>
              </w:rPr>
              <w:t xml:space="preserve">Landfills </w:t>
            </w:r>
          </w:p>
          <w:p w:rsidR="007F0C5A" w:rsidRPr="007F0C5A" w:rsidRDefault="007F0C5A" w:rsidP="00672479">
            <w:pPr>
              <w:widowControl/>
              <w:autoSpaceDE/>
              <w:autoSpaceDN/>
              <w:adjustRightInd/>
              <w:jc w:val="center"/>
              <w:rPr>
                <w:b/>
                <w:bCs/>
                <w:sz w:val="20"/>
                <w:szCs w:val="20"/>
              </w:rPr>
            </w:pPr>
            <w:r w:rsidRPr="007F0C5A">
              <w:rPr>
                <w:b/>
                <w:bCs/>
                <w:sz w:val="20"/>
                <w:szCs w:val="20"/>
              </w:rPr>
              <w:t xml:space="preserve">per </w:t>
            </w:r>
            <w:r>
              <w:rPr>
                <w:b/>
                <w:bCs/>
                <w:sz w:val="20"/>
                <w:szCs w:val="20"/>
              </w:rPr>
              <w:t>a</w:t>
            </w:r>
            <w:r w:rsidRPr="007F0C5A">
              <w:rPr>
                <w:b/>
                <w:bCs/>
                <w:sz w:val="20"/>
                <w:szCs w:val="20"/>
              </w:rPr>
              <w:t>gency (Average no. in States enforcing State plans)</w:t>
            </w:r>
            <w:r w:rsidRPr="007F0C5A">
              <w:rPr>
                <w:b/>
                <w:bCs/>
                <w:sz w:val="20"/>
                <w:szCs w:val="20"/>
                <w:vertAlign w:val="superscript"/>
              </w:rPr>
              <w:t>a</w:t>
            </w:r>
          </w:p>
        </w:tc>
        <w:tc>
          <w:tcPr>
            <w:tcW w:w="1223" w:type="dxa"/>
            <w:tcBorders>
              <w:top w:val="nil"/>
              <w:left w:val="nil"/>
              <w:bottom w:val="single" w:sz="4" w:space="0" w:color="auto"/>
              <w:right w:val="single" w:sz="4" w:space="0" w:color="auto"/>
            </w:tcBorders>
            <w:shd w:val="clear" w:color="auto" w:fill="auto"/>
            <w:vAlign w:val="bottom"/>
            <w:hideMark/>
          </w:tcPr>
          <w:p w:rsidR="007F0C5A" w:rsidRDefault="007F0C5A" w:rsidP="007F0C5A">
            <w:pPr>
              <w:widowControl/>
              <w:autoSpaceDE/>
              <w:autoSpaceDN/>
              <w:adjustRightInd/>
              <w:jc w:val="center"/>
              <w:rPr>
                <w:b/>
                <w:bCs/>
                <w:sz w:val="20"/>
                <w:szCs w:val="20"/>
              </w:rPr>
            </w:pPr>
            <w:r w:rsidRPr="007F0C5A">
              <w:rPr>
                <w:b/>
                <w:bCs/>
                <w:sz w:val="20"/>
                <w:szCs w:val="20"/>
              </w:rPr>
              <w:t xml:space="preserve">Technical person-hours </w:t>
            </w:r>
          </w:p>
          <w:p w:rsidR="007F0C5A" w:rsidRPr="007F0C5A" w:rsidRDefault="007F0C5A" w:rsidP="007F0C5A">
            <w:pPr>
              <w:widowControl/>
              <w:autoSpaceDE/>
              <w:autoSpaceDN/>
              <w:adjustRightInd/>
              <w:jc w:val="center"/>
              <w:rPr>
                <w:b/>
                <w:bCs/>
                <w:sz w:val="20"/>
                <w:szCs w:val="20"/>
              </w:rPr>
            </w:pPr>
            <w:r w:rsidRPr="007F0C5A">
              <w:rPr>
                <w:b/>
                <w:bCs/>
                <w:sz w:val="20"/>
                <w:szCs w:val="20"/>
              </w:rPr>
              <w:t>per agency per year (AxBxC)</w:t>
            </w:r>
          </w:p>
        </w:tc>
        <w:tc>
          <w:tcPr>
            <w:tcW w:w="1027"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jc w:val="center"/>
              <w:rPr>
                <w:b/>
                <w:bCs/>
                <w:sz w:val="20"/>
                <w:szCs w:val="20"/>
              </w:rPr>
            </w:pPr>
            <w:r w:rsidRPr="007F0C5A">
              <w:rPr>
                <w:b/>
                <w:bCs/>
                <w:sz w:val="20"/>
                <w:szCs w:val="20"/>
              </w:rPr>
              <w:t>No. of  agencies  enforcing State plans</w:t>
            </w:r>
            <w:r w:rsidR="00FF09DC">
              <w:rPr>
                <w:b/>
                <w:bCs/>
                <w:sz w:val="20"/>
                <w:szCs w:val="20"/>
              </w:rPr>
              <w:t xml:space="preserve"> </w:t>
            </w:r>
            <w:r w:rsidRPr="007F0C5A">
              <w:rPr>
                <w:b/>
                <w:bCs/>
                <w:sz w:val="20"/>
                <w:szCs w:val="20"/>
                <w:vertAlign w:val="superscript"/>
              </w:rPr>
              <w:t>a</w:t>
            </w:r>
          </w:p>
        </w:tc>
        <w:tc>
          <w:tcPr>
            <w:tcW w:w="1092" w:type="dxa"/>
            <w:tcBorders>
              <w:top w:val="nil"/>
              <w:left w:val="nil"/>
              <w:bottom w:val="single" w:sz="4" w:space="0" w:color="auto"/>
              <w:right w:val="single" w:sz="4" w:space="0" w:color="auto"/>
            </w:tcBorders>
            <w:shd w:val="clear" w:color="auto" w:fill="auto"/>
            <w:vAlign w:val="bottom"/>
            <w:hideMark/>
          </w:tcPr>
          <w:p w:rsidR="007F0C5A" w:rsidRDefault="007F0C5A" w:rsidP="007F0C5A">
            <w:pPr>
              <w:widowControl/>
              <w:autoSpaceDE/>
              <w:autoSpaceDN/>
              <w:adjustRightInd/>
              <w:jc w:val="center"/>
              <w:rPr>
                <w:b/>
                <w:bCs/>
                <w:sz w:val="20"/>
                <w:szCs w:val="20"/>
              </w:rPr>
            </w:pPr>
            <w:r w:rsidRPr="007F0C5A">
              <w:rPr>
                <w:b/>
                <w:bCs/>
                <w:sz w:val="20"/>
                <w:szCs w:val="20"/>
              </w:rPr>
              <w:t xml:space="preserve">Technical hours </w:t>
            </w:r>
          </w:p>
          <w:p w:rsidR="007F0C5A" w:rsidRPr="007F0C5A" w:rsidRDefault="007F0C5A" w:rsidP="007F0C5A">
            <w:pPr>
              <w:widowControl/>
              <w:autoSpaceDE/>
              <w:autoSpaceDN/>
              <w:adjustRightInd/>
              <w:jc w:val="center"/>
              <w:rPr>
                <w:b/>
                <w:bCs/>
                <w:sz w:val="20"/>
                <w:szCs w:val="20"/>
              </w:rPr>
            </w:pPr>
            <w:r w:rsidRPr="007F0C5A">
              <w:rPr>
                <w:b/>
                <w:bCs/>
                <w:sz w:val="20"/>
                <w:szCs w:val="20"/>
              </w:rPr>
              <w:t>per year (DxE)</w:t>
            </w:r>
          </w:p>
        </w:tc>
        <w:tc>
          <w:tcPr>
            <w:tcW w:w="1338" w:type="dxa"/>
            <w:tcBorders>
              <w:top w:val="nil"/>
              <w:left w:val="nil"/>
              <w:bottom w:val="single" w:sz="4" w:space="0" w:color="auto"/>
              <w:right w:val="single" w:sz="4" w:space="0" w:color="auto"/>
            </w:tcBorders>
            <w:shd w:val="clear" w:color="auto" w:fill="auto"/>
            <w:vAlign w:val="bottom"/>
            <w:hideMark/>
          </w:tcPr>
          <w:p w:rsidR="007F0C5A" w:rsidRDefault="007F0C5A" w:rsidP="007F0C5A">
            <w:pPr>
              <w:widowControl/>
              <w:autoSpaceDE/>
              <w:autoSpaceDN/>
              <w:adjustRightInd/>
              <w:jc w:val="center"/>
              <w:rPr>
                <w:b/>
                <w:bCs/>
                <w:sz w:val="20"/>
                <w:szCs w:val="20"/>
              </w:rPr>
            </w:pPr>
            <w:r w:rsidRPr="007F0C5A">
              <w:rPr>
                <w:b/>
                <w:bCs/>
                <w:sz w:val="20"/>
                <w:szCs w:val="20"/>
              </w:rPr>
              <w:t xml:space="preserve">Management hours </w:t>
            </w:r>
          </w:p>
          <w:p w:rsidR="007F0C5A" w:rsidRPr="007F0C5A" w:rsidRDefault="007F0C5A" w:rsidP="007F0C5A">
            <w:pPr>
              <w:widowControl/>
              <w:autoSpaceDE/>
              <w:autoSpaceDN/>
              <w:adjustRightInd/>
              <w:jc w:val="center"/>
              <w:rPr>
                <w:b/>
                <w:bCs/>
                <w:sz w:val="20"/>
                <w:szCs w:val="20"/>
              </w:rPr>
            </w:pPr>
            <w:r w:rsidRPr="007F0C5A">
              <w:rPr>
                <w:b/>
                <w:bCs/>
                <w:sz w:val="20"/>
                <w:szCs w:val="20"/>
              </w:rPr>
              <w:t>per year  (Fx0.05)</w:t>
            </w:r>
          </w:p>
        </w:tc>
        <w:tc>
          <w:tcPr>
            <w:tcW w:w="1025"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jc w:val="center"/>
              <w:rPr>
                <w:b/>
                <w:bCs/>
                <w:sz w:val="20"/>
                <w:szCs w:val="20"/>
              </w:rPr>
            </w:pPr>
            <w:r w:rsidRPr="007F0C5A">
              <w:rPr>
                <w:b/>
                <w:bCs/>
                <w:sz w:val="20"/>
                <w:szCs w:val="20"/>
              </w:rPr>
              <w:t>Clerical hours per year (Fx0.10)</w:t>
            </w:r>
          </w:p>
        </w:tc>
        <w:tc>
          <w:tcPr>
            <w:tcW w:w="1016"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jc w:val="center"/>
              <w:rPr>
                <w:b/>
                <w:bCs/>
                <w:sz w:val="20"/>
                <w:szCs w:val="20"/>
              </w:rPr>
            </w:pPr>
            <w:r w:rsidRPr="007F0C5A">
              <w:rPr>
                <w:b/>
                <w:bCs/>
                <w:sz w:val="20"/>
                <w:szCs w:val="20"/>
              </w:rPr>
              <w:t>Total cost per year ($)</w:t>
            </w:r>
            <w:r w:rsidRPr="007F0C5A">
              <w:rPr>
                <w:b/>
                <w:bCs/>
                <w:sz w:val="20"/>
                <w:szCs w:val="20"/>
                <w:vertAlign w:val="superscript"/>
              </w:rPr>
              <w:t>b</w:t>
            </w:r>
          </w:p>
        </w:tc>
      </w:tr>
      <w:tr w:rsidR="00D60407" w:rsidRPr="007F0C5A" w:rsidTr="00D60407">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rPr>
                <w:sz w:val="20"/>
                <w:szCs w:val="20"/>
              </w:rPr>
            </w:pPr>
            <w:r w:rsidRPr="007F0C5A">
              <w:rPr>
                <w:sz w:val="20"/>
                <w:szCs w:val="20"/>
              </w:rPr>
              <w:t>1.  Reporting Requirements</w:t>
            </w:r>
          </w:p>
        </w:tc>
        <w:tc>
          <w:tcPr>
            <w:tcW w:w="1102" w:type="dxa"/>
            <w:tcBorders>
              <w:top w:val="nil"/>
              <w:left w:val="nil"/>
              <w:bottom w:val="single" w:sz="4" w:space="0" w:color="auto"/>
              <w:right w:val="single" w:sz="4" w:space="0" w:color="auto"/>
            </w:tcBorders>
            <w:shd w:val="clear" w:color="auto" w:fill="auto"/>
            <w:vAlign w:val="center"/>
            <w:hideMark/>
          </w:tcPr>
          <w:p w:rsidR="007F0C5A" w:rsidRPr="007F0C5A" w:rsidRDefault="007F0C5A" w:rsidP="007F0C5A">
            <w:pPr>
              <w:widowControl/>
              <w:autoSpaceDE/>
              <w:autoSpaceDN/>
              <w:adjustRightInd/>
              <w:jc w:val="center"/>
              <w:rPr>
                <w:sz w:val="20"/>
                <w:szCs w:val="20"/>
              </w:rPr>
            </w:pPr>
            <w:r w:rsidRPr="007F0C5A">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7F0C5A" w:rsidRPr="007F0C5A" w:rsidRDefault="007F0C5A" w:rsidP="007F0C5A">
            <w:pPr>
              <w:widowControl/>
              <w:autoSpaceDE/>
              <w:autoSpaceDN/>
              <w:adjustRightInd/>
              <w:jc w:val="center"/>
              <w:rPr>
                <w:sz w:val="20"/>
                <w:szCs w:val="20"/>
              </w:rPr>
            </w:pPr>
            <w:r w:rsidRPr="007F0C5A">
              <w:rPr>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7F0C5A" w:rsidRPr="007F0C5A" w:rsidRDefault="007F0C5A" w:rsidP="007F0C5A">
            <w:pPr>
              <w:widowControl/>
              <w:autoSpaceDE/>
              <w:autoSpaceDN/>
              <w:adjustRightInd/>
              <w:jc w:val="center"/>
              <w:rPr>
                <w:sz w:val="20"/>
                <w:szCs w:val="20"/>
              </w:rPr>
            </w:pPr>
            <w:r w:rsidRPr="007F0C5A">
              <w:rPr>
                <w:sz w:val="20"/>
                <w:szCs w:val="20"/>
              </w:rPr>
              <w:t> </w:t>
            </w:r>
          </w:p>
        </w:tc>
        <w:tc>
          <w:tcPr>
            <w:tcW w:w="1223" w:type="dxa"/>
            <w:tcBorders>
              <w:top w:val="nil"/>
              <w:left w:val="nil"/>
              <w:bottom w:val="single" w:sz="4" w:space="0" w:color="auto"/>
              <w:right w:val="single" w:sz="4" w:space="0" w:color="auto"/>
            </w:tcBorders>
            <w:shd w:val="clear" w:color="auto" w:fill="auto"/>
            <w:vAlign w:val="center"/>
            <w:hideMark/>
          </w:tcPr>
          <w:p w:rsidR="007F0C5A" w:rsidRPr="007F0C5A" w:rsidRDefault="007F0C5A" w:rsidP="007F0C5A">
            <w:pPr>
              <w:widowControl/>
              <w:autoSpaceDE/>
              <w:autoSpaceDN/>
              <w:adjustRightInd/>
              <w:jc w:val="center"/>
              <w:rPr>
                <w:sz w:val="20"/>
                <w:szCs w:val="20"/>
              </w:rPr>
            </w:pPr>
            <w:r w:rsidRPr="007F0C5A">
              <w:rPr>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7F0C5A" w:rsidRPr="007F0C5A" w:rsidRDefault="007F0C5A" w:rsidP="007F0C5A">
            <w:pPr>
              <w:widowControl/>
              <w:autoSpaceDE/>
              <w:autoSpaceDN/>
              <w:adjustRightInd/>
              <w:jc w:val="center"/>
              <w:rPr>
                <w:sz w:val="20"/>
                <w:szCs w:val="20"/>
              </w:rPr>
            </w:pPr>
            <w:r w:rsidRPr="007F0C5A">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rPr>
                <w:sz w:val="20"/>
                <w:szCs w:val="20"/>
              </w:rPr>
            </w:pPr>
            <w:r w:rsidRPr="007F0C5A">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rPr>
                <w:sz w:val="20"/>
                <w:szCs w:val="20"/>
              </w:rPr>
            </w:pPr>
            <w:r w:rsidRPr="007F0C5A">
              <w:rPr>
                <w:sz w:val="20"/>
                <w:szCs w:val="20"/>
              </w:rPr>
              <w:t> </w:t>
            </w:r>
          </w:p>
        </w:tc>
        <w:tc>
          <w:tcPr>
            <w:tcW w:w="1025" w:type="dxa"/>
            <w:tcBorders>
              <w:top w:val="nil"/>
              <w:left w:val="nil"/>
              <w:bottom w:val="single" w:sz="4" w:space="0" w:color="auto"/>
              <w:right w:val="single" w:sz="4" w:space="0" w:color="auto"/>
            </w:tcBorders>
            <w:shd w:val="clear" w:color="auto" w:fill="auto"/>
            <w:vAlign w:val="bottom"/>
            <w:hideMark/>
          </w:tcPr>
          <w:p w:rsidR="007F0C5A" w:rsidRPr="007F0C5A" w:rsidRDefault="007F0C5A" w:rsidP="007F0C5A">
            <w:pPr>
              <w:widowControl/>
              <w:autoSpaceDE/>
              <w:autoSpaceDN/>
              <w:adjustRightInd/>
              <w:rPr>
                <w:sz w:val="20"/>
                <w:szCs w:val="20"/>
              </w:rPr>
            </w:pPr>
            <w:r w:rsidRPr="007F0C5A">
              <w:rPr>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rsidR="007F0C5A" w:rsidRPr="007F0C5A" w:rsidRDefault="007F0C5A" w:rsidP="007F0C5A">
            <w:pPr>
              <w:widowControl/>
              <w:autoSpaceDE/>
              <w:autoSpaceDN/>
              <w:adjustRightInd/>
              <w:jc w:val="center"/>
              <w:rPr>
                <w:sz w:val="20"/>
                <w:szCs w:val="20"/>
              </w:rPr>
            </w:pPr>
            <w:r w:rsidRPr="007F0C5A">
              <w:rPr>
                <w:sz w:val="20"/>
                <w:szCs w:val="20"/>
              </w:rPr>
              <w:t> </w:t>
            </w:r>
          </w:p>
        </w:tc>
      </w:tr>
      <w:tr w:rsidR="00D60407" w:rsidRPr="007F0C5A" w:rsidTr="00D60407">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A. Review </w:t>
            </w:r>
            <w:r w:rsidR="00977441">
              <w:rPr>
                <w:color w:val="000000"/>
                <w:sz w:val="20"/>
                <w:szCs w:val="20"/>
              </w:rPr>
              <w:t>i</w:t>
            </w:r>
            <w:r w:rsidRPr="007F0C5A">
              <w:rPr>
                <w:color w:val="000000"/>
                <w:sz w:val="20"/>
                <w:szCs w:val="20"/>
              </w:rPr>
              <w:t xml:space="preserve">nitial </w:t>
            </w:r>
            <w:r w:rsidR="00977441">
              <w:rPr>
                <w:color w:val="000000"/>
                <w:sz w:val="20"/>
                <w:szCs w:val="20"/>
              </w:rPr>
              <w:t>d</w:t>
            </w:r>
            <w:r w:rsidRPr="007F0C5A">
              <w:rPr>
                <w:color w:val="000000"/>
                <w:sz w:val="20"/>
                <w:szCs w:val="20"/>
              </w:rPr>
              <w:t xml:space="preserve">esign </w:t>
            </w:r>
            <w:r w:rsidR="00977441">
              <w:rPr>
                <w:color w:val="000000"/>
                <w:sz w:val="20"/>
                <w:szCs w:val="20"/>
              </w:rPr>
              <w:t>c</w:t>
            </w:r>
            <w:r w:rsidRPr="007F0C5A">
              <w:rPr>
                <w:color w:val="000000"/>
                <w:sz w:val="20"/>
                <w:szCs w:val="20"/>
              </w:rPr>
              <w:t xml:space="preserve">apacity </w:t>
            </w:r>
            <w:r w:rsidR="00977441">
              <w:rPr>
                <w:color w:val="000000"/>
                <w:sz w:val="20"/>
                <w:szCs w:val="20"/>
              </w:rPr>
              <w:t>r</w:t>
            </w:r>
            <w:r w:rsidRPr="007F0C5A">
              <w:rPr>
                <w:color w:val="000000"/>
                <w:sz w:val="20"/>
                <w:szCs w:val="20"/>
              </w:rPr>
              <w:t>eport</w:t>
            </w:r>
          </w:p>
        </w:tc>
        <w:tc>
          <w:tcPr>
            <w:tcW w:w="1102" w:type="dxa"/>
            <w:tcBorders>
              <w:top w:val="nil"/>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sz w:val="20"/>
                <w:szCs w:val="20"/>
              </w:rPr>
            </w:pPr>
            <w:r w:rsidRPr="007F0C5A">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0</w:t>
            </w:r>
          </w:p>
        </w:tc>
      </w:tr>
      <w:tr w:rsidR="00D60407" w:rsidRPr="007F0C5A" w:rsidTr="00D60407">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B. Review </w:t>
            </w:r>
            <w:r w:rsidR="00977441">
              <w:rPr>
                <w:color w:val="000000"/>
                <w:sz w:val="20"/>
                <w:szCs w:val="20"/>
              </w:rPr>
              <w:t>i</w:t>
            </w:r>
            <w:r w:rsidRPr="007F0C5A">
              <w:rPr>
                <w:color w:val="000000"/>
                <w:sz w:val="20"/>
                <w:szCs w:val="20"/>
              </w:rPr>
              <w:t xml:space="preserve">nitial and </w:t>
            </w:r>
            <w:r w:rsidR="00977441">
              <w:rPr>
                <w:color w:val="000000"/>
                <w:sz w:val="20"/>
                <w:szCs w:val="20"/>
              </w:rPr>
              <w:t>a</w:t>
            </w:r>
            <w:r w:rsidRPr="007F0C5A">
              <w:rPr>
                <w:color w:val="000000"/>
                <w:sz w:val="20"/>
                <w:szCs w:val="20"/>
              </w:rPr>
              <w:t xml:space="preserve">nnual NMOC </w:t>
            </w:r>
            <w:r w:rsidR="00977441">
              <w:rPr>
                <w:color w:val="000000"/>
                <w:sz w:val="20"/>
                <w:szCs w:val="20"/>
              </w:rPr>
              <w:t>e</w:t>
            </w:r>
            <w:r w:rsidRPr="007F0C5A">
              <w:rPr>
                <w:color w:val="000000"/>
                <w:sz w:val="20"/>
                <w:szCs w:val="20"/>
              </w:rPr>
              <w:t xml:space="preserve">mission </w:t>
            </w:r>
            <w:r w:rsidR="00977441">
              <w:rPr>
                <w:color w:val="000000"/>
                <w:sz w:val="20"/>
                <w:szCs w:val="20"/>
              </w:rPr>
              <w:t>r</w:t>
            </w:r>
            <w:r w:rsidRPr="007F0C5A">
              <w:rPr>
                <w:color w:val="000000"/>
                <w:sz w:val="20"/>
                <w:szCs w:val="20"/>
              </w:rPr>
              <w:t xml:space="preserve">ate </w:t>
            </w:r>
            <w:r w:rsidR="00977441">
              <w:rPr>
                <w:color w:val="000000"/>
                <w:sz w:val="20"/>
                <w:szCs w:val="20"/>
              </w:rPr>
              <w:t>r</w:t>
            </w:r>
            <w:r w:rsidRPr="007F0C5A">
              <w:rPr>
                <w:color w:val="000000"/>
                <w:sz w:val="20"/>
                <w:szCs w:val="20"/>
              </w:rPr>
              <w:t>eports</w:t>
            </w:r>
            <w:r w:rsidR="00D60407">
              <w:rPr>
                <w:color w:val="000000"/>
                <w:sz w:val="20"/>
                <w:szCs w:val="20"/>
              </w:rPr>
              <w:t xml:space="preserve"> </w:t>
            </w:r>
            <w:r w:rsidRPr="007F0C5A">
              <w:rPr>
                <w:color w:val="000000"/>
                <w:sz w:val="20"/>
                <w:szCs w:val="20"/>
                <w:vertAlign w:val="superscript"/>
              </w:rPr>
              <w:t>c</w:t>
            </w:r>
          </w:p>
        </w:tc>
        <w:tc>
          <w:tcPr>
            <w:tcW w:w="1102" w:type="dxa"/>
            <w:tcBorders>
              <w:top w:val="nil"/>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sz w:val="20"/>
                <w:szCs w:val="20"/>
              </w:rPr>
            </w:pPr>
            <w:r w:rsidRPr="007F0C5A">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0</w:t>
            </w:r>
          </w:p>
        </w:tc>
      </w:tr>
      <w:tr w:rsidR="00D60407" w:rsidRPr="007F0C5A" w:rsidTr="00D60407">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C. Review </w:t>
            </w:r>
            <w:r w:rsidR="00977441">
              <w:rPr>
                <w:color w:val="000000"/>
                <w:sz w:val="20"/>
                <w:szCs w:val="20"/>
              </w:rPr>
              <w:t>c</w:t>
            </w:r>
            <w:r w:rsidRPr="007F0C5A">
              <w:rPr>
                <w:color w:val="000000"/>
                <w:sz w:val="20"/>
                <w:szCs w:val="20"/>
              </w:rPr>
              <w:t xml:space="preserve">ollection and </w:t>
            </w:r>
            <w:r w:rsidR="00977441">
              <w:rPr>
                <w:color w:val="000000"/>
                <w:sz w:val="20"/>
                <w:szCs w:val="20"/>
              </w:rPr>
              <w:t>c</w:t>
            </w:r>
            <w:r w:rsidRPr="007F0C5A">
              <w:rPr>
                <w:color w:val="000000"/>
                <w:sz w:val="20"/>
                <w:szCs w:val="20"/>
              </w:rPr>
              <w:t xml:space="preserve">ontrol </w:t>
            </w:r>
            <w:r w:rsidR="00977441">
              <w:rPr>
                <w:color w:val="000000"/>
                <w:sz w:val="20"/>
                <w:szCs w:val="20"/>
              </w:rPr>
              <w:t>s</w:t>
            </w:r>
            <w:r w:rsidRPr="007F0C5A">
              <w:rPr>
                <w:color w:val="000000"/>
                <w:sz w:val="20"/>
                <w:szCs w:val="20"/>
              </w:rPr>
              <w:t xml:space="preserve">ystem </w:t>
            </w:r>
            <w:r w:rsidR="00977441">
              <w:rPr>
                <w:color w:val="000000"/>
                <w:sz w:val="20"/>
                <w:szCs w:val="20"/>
              </w:rPr>
              <w:t>d</w:t>
            </w:r>
            <w:r w:rsidRPr="007F0C5A">
              <w:rPr>
                <w:color w:val="000000"/>
                <w:sz w:val="20"/>
                <w:szCs w:val="20"/>
              </w:rPr>
              <w:t xml:space="preserve">esign </w:t>
            </w:r>
            <w:r w:rsidR="00977441">
              <w:rPr>
                <w:color w:val="000000"/>
                <w:sz w:val="20"/>
                <w:szCs w:val="20"/>
              </w:rPr>
              <w:t>p</w:t>
            </w:r>
            <w:r w:rsidRPr="007F0C5A">
              <w:rPr>
                <w:color w:val="000000"/>
                <w:sz w:val="20"/>
                <w:szCs w:val="20"/>
              </w:rPr>
              <w:t>lan</w:t>
            </w:r>
          </w:p>
        </w:tc>
        <w:tc>
          <w:tcPr>
            <w:tcW w:w="1102" w:type="dxa"/>
            <w:tcBorders>
              <w:top w:val="nil"/>
              <w:left w:val="nil"/>
              <w:bottom w:val="single" w:sz="4" w:space="0" w:color="auto"/>
              <w:right w:val="single" w:sz="4" w:space="0" w:color="auto"/>
            </w:tcBorders>
            <w:shd w:val="clear" w:color="auto" w:fill="auto"/>
            <w:noWrap/>
            <w:vAlign w:val="center"/>
            <w:hideMark/>
          </w:tcPr>
          <w:p w:rsidR="007F0C5A" w:rsidRPr="007F0C5A" w:rsidRDefault="007F0C5A" w:rsidP="007F0C5A">
            <w:pPr>
              <w:widowControl/>
              <w:autoSpaceDE/>
              <w:autoSpaceDN/>
              <w:adjustRightInd/>
              <w:jc w:val="center"/>
              <w:rPr>
                <w:sz w:val="20"/>
                <w:szCs w:val="20"/>
              </w:rPr>
            </w:pPr>
            <w:r w:rsidRPr="007F0C5A">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0</w:t>
            </w:r>
          </w:p>
        </w:tc>
      </w:tr>
      <w:tr w:rsidR="00D60407" w:rsidRPr="007F0C5A" w:rsidTr="00D60407">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D. Review </w:t>
            </w:r>
            <w:r w:rsidR="00977441">
              <w:rPr>
                <w:color w:val="000000"/>
                <w:sz w:val="20"/>
                <w:szCs w:val="20"/>
              </w:rPr>
              <w:t>i</w:t>
            </w:r>
            <w:r w:rsidRPr="007F0C5A">
              <w:rPr>
                <w:color w:val="000000"/>
                <w:sz w:val="20"/>
                <w:szCs w:val="20"/>
              </w:rPr>
              <w:t xml:space="preserve">ncrements of </w:t>
            </w:r>
            <w:r w:rsidR="00977441">
              <w:rPr>
                <w:color w:val="000000"/>
                <w:sz w:val="20"/>
                <w:szCs w:val="20"/>
              </w:rPr>
              <w:t>p</w:t>
            </w:r>
            <w:r w:rsidRPr="007F0C5A">
              <w:rPr>
                <w:color w:val="000000"/>
                <w:sz w:val="20"/>
                <w:szCs w:val="20"/>
              </w:rPr>
              <w:t>rogress</w:t>
            </w:r>
          </w:p>
        </w:tc>
        <w:tc>
          <w:tcPr>
            <w:tcW w:w="110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5</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0</w:t>
            </w:r>
          </w:p>
        </w:tc>
      </w:tr>
      <w:tr w:rsidR="00D60407" w:rsidRPr="007F0C5A" w:rsidTr="00D60407">
        <w:trPr>
          <w:trHeight w:val="36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E. Review </w:t>
            </w:r>
            <w:r w:rsidR="00977441">
              <w:rPr>
                <w:color w:val="000000"/>
                <w:sz w:val="20"/>
                <w:szCs w:val="20"/>
              </w:rPr>
              <w:t>a</w:t>
            </w:r>
            <w:r w:rsidRPr="007F0C5A">
              <w:rPr>
                <w:color w:val="000000"/>
                <w:sz w:val="20"/>
                <w:szCs w:val="20"/>
              </w:rPr>
              <w:t xml:space="preserve">mended </w:t>
            </w:r>
            <w:r w:rsidR="00977441">
              <w:rPr>
                <w:color w:val="000000"/>
                <w:sz w:val="20"/>
                <w:szCs w:val="20"/>
              </w:rPr>
              <w:t>d</w:t>
            </w:r>
            <w:r w:rsidRPr="007F0C5A">
              <w:rPr>
                <w:color w:val="000000"/>
                <w:sz w:val="20"/>
                <w:szCs w:val="20"/>
              </w:rPr>
              <w:t xml:space="preserve">esign </w:t>
            </w:r>
            <w:r w:rsidR="00977441">
              <w:rPr>
                <w:color w:val="000000"/>
                <w:sz w:val="20"/>
                <w:szCs w:val="20"/>
              </w:rPr>
              <w:t>c</w:t>
            </w:r>
            <w:r w:rsidRPr="007F0C5A">
              <w:rPr>
                <w:color w:val="000000"/>
                <w:sz w:val="20"/>
                <w:szCs w:val="20"/>
              </w:rPr>
              <w:t xml:space="preserve">apacity </w:t>
            </w:r>
            <w:r w:rsidR="00977441">
              <w:rPr>
                <w:color w:val="000000"/>
                <w:sz w:val="20"/>
                <w:szCs w:val="20"/>
              </w:rPr>
              <w:t>r</w:t>
            </w:r>
            <w:r w:rsidRPr="007F0C5A">
              <w:rPr>
                <w:color w:val="000000"/>
                <w:sz w:val="20"/>
                <w:szCs w:val="20"/>
              </w:rPr>
              <w:t>eport</w:t>
            </w:r>
            <w:r w:rsidR="00D60407">
              <w:rPr>
                <w:color w:val="000000"/>
                <w:sz w:val="20"/>
                <w:szCs w:val="20"/>
              </w:rPr>
              <w:t xml:space="preserve"> </w:t>
            </w:r>
            <w:r w:rsidRPr="007F0C5A">
              <w:rPr>
                <w:color w:val="000000"/>
                <w:sz w:val="20"/>
                <w:szCs w:val="20"/>
                <w:vertAlign w:val="superscript"/>
              </w:rPr>
              <w:t>d</w:t>
            </w:r>
          </w:p>
        </w:tc>
        <w:tc>
          <w:tcPr>
            <w:tcW w:w="110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0.43</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0.43</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37</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15.91</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095BA4">
            <w:pPr>
              <w:widowControl/>
              <w:autoSpaceDE/>
              <w:autoSpaceDN/>
              <w:adjustRightInd/>
              <w:jc w:val="center"/>
              <w:rPr>
                <w:color w:val="000000"/>
                <w:sz w:val="20"/>
                <w:szCs w:val="20"/>
              </w:rPr>
            </w:pPr>
            <w:r w:rsidRPr="007F0C5A">
              <w:rPr>
                <w:color w:val="000000"/>
                <w:sz w:val="20"/>
                <w:szCs w:val="20"/>
              </w:rPr>
              <w:t>0.8</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1.59</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824.53</w:t>
            </w:r>
          </w:p>
        </w:tc>
      </w:tr>
      <w:tr w:rsidR="00D60407" w:rsidRPr="007F0C5A" w:rsidTr="00D60407">
        <w:trPr>
          <w:trHeight w:val="36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F. Review </w:t>
            </w:r>
            <w:r w:rsidR="00977441">
              <w:rPr>
                <w:color w:val="000000"/>
                <w:sz w:val="20"/>
                <w:szCs w:val="20"/>
              </w:rPr>
              <w:t>a</w:t>
            </w:r>
            <w:r w:rsidRPr="007F0C5A">
              <w:rPr>
                <w:color w:val="000000"/>
                <w:sz w:val="20"/>
                <w:szCs w:val="20"/>
              </w:rPr>
              <w:t xml:space="preserve">nnual </w:t>
            </w:r>
            <w:r w:rsidR="00977441">
              <w:rPr>
                <w:color w:val="000000"/>
                <w:sz w:val="20"/>
                <w:szCs w:val="20"/>
              </w:rPr>
              <w:t>c</w:t>
            </w:r>
            <w:r w:rsidRPr="007F0C5A">
              <w:rPr>
                <w:color w:val="000000"/>
                <w:sz w:val="20"/>
                <w:szCs w:val="20"/>
              </w:rPr>
              <w:t xml:space="preserve">ompliance </w:t>
            </w:r>
            <w:r w:rsidR="00977441">
              <w:rPr>
                <w:color w:val="000000"/>
                <w:sz w:val="20"/>
                <w:szCs w:val="20"/>
              </w:rPr>
              <w:t>r</w:t>
            </w:r>
            <w:r w:rsidRPr="007F0C5A">
              <w:rPr>
                <w:color w:val="000000"/>
                <w:sz w:val="20"/>
                <w:szCs w:val="20"/>
              </w:rPr>
              <w:t>eport</w:t>
            </w:r>
            <w:r w:rsidR="00D60407">
              <w:rPr>
                <w:color w:val="000000"/>
                <w:sz w:val="20"/>
                <w:szCs w:val="20"/>
              </w:rPr>
              <w:t xml:space="preserve"> </w:t>
            </w:r>
            <w:r w:rsidRPr="007F0C5A">
              <w:rPr>
                <w:color w:val="000000"/>
                <w:sz w:val="20"/>
                <w:szCs w:val="20"/>
                <w:vertAlign w:val="superscript"/>
              </w:rPr>
              <w:t>e</w:t>
            </w:r>
          </w:p>
        </w:tc>
        <w:tc>
          <w:tcPr>
            <w:tcW w:w="110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8.57</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17.14</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37</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634.18</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31.71</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63.42</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32,866.06</w:t>
            </w:r>
          </w:p>
        </w:tc>
      </w:tr>
      <w:tr w:rsidR="00D60407" w:rsidRPr="007F0C5A" w:rsidTr="00D60407">
        <w:trPr>
          <w:trHeight w:val="36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G. Review </w:t>
            </w:r>
            <w:r w:rsidR="00977441">
              <w:rPr>
                <w:color w:val="000000"/>
                <w:sz w:val="20"/>
                <w:szCs w:val="20"/>
              </w:rPr>
              <w:t>l</w:t>
            </w:r>
            <w:r w:rsidRPr="007F0C5A">
              <w:rPr>
                <w:color w:val="000000"/>
                <w:sz w:val="20"/>
                <w:szCs w:val="20"/>
              </w:rPr>
              <w:t xml:space="preserve">andfill </w:t>
            </w:r>
            <w:r w:rsidR="00977441">
              <w:rPr>
                <w:color w:val="000000"/>
                <w:sz w:val="20"/>
                <w:szCs w:val="20"/>
              </w:rPr>
              <w:t>c</w:t>
            </w:r>
            <w:r w:rsidRPr="007F0C5A">
              <w:rPr>
                <w:color w:val="000000"/>
                <w:sz w:val="20"/>
                <w:szCs w:val="20"/>
              </w:rPr>
              <w:t xml:space="preserve">losure </w:t>
            </w:r>
            <w:r w:rsidR="00977441">
              <w:rPr>
                <w:color w:val="000000"/>
                <w:sz w:val="20"/>
                <w:szCs w:val="20"/>
              </w:rPr>
              <w:t>r</w:t>
            </w:r>
            <w:r w:rsidRPr="007F0C5A">
              <w:rPr>
                <w:color w:val="000000"/>
                <w:sz w:val="20"/>
                <w:szCs w:val="20"/>
              </w:rPr>
              <w:t>eport</w:t>
            </w:r>
            <w:r w:rsidR="00D60407">
              <w:rPr>
                <w:color w:val="000000"/>
                <w:sz w:val="20"/>
                <w:szCs w:val="20"/>
              </w:rPr>
              <w:t xml:space="preserve"> </w:t>
            </w:r>
            <w:r w:rsidRPr="007F0C5A">
              <w:rPr>
                <w:color w:val="000000"/>
                <w:sz w:val="20"/>
                <w:szCs w:val="20"/>
                <w:vertAlign w:val="superscript"/>
              </w:rPr>
              <w:t>f</w:t>
            </w:r>
          </w:p>
        </w:tc>
        <w:tc>
          <w:tcPr>
            <w:tcW w:w="110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0.26</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0.26</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37</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9.62</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0.48</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0.96</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498.55</w:t>
            </w:r>
          </w:p>
        </w:tc>
      </w:tr>
      <w:tr w:rsidR="00D60407" w:rsidRPr="007F0C5A" w:rsidTr="00D60407">
        <w:trPr>
          <w:trHeight w:val="36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7F0C5A" w:rsidRDefault="007F0C5A" w:rsidP="00977441">
            <w:pPr>
              <w:widowControl/>
              <w:autoSpaceDE/>
              <w:autoSpaceDN/>
              <w:adjustRightInd/>
              <w:ind w:left="507" w:hanging="270"/>
              <w:rPr>
                <w:color w:val="000000"/>
                <w:sz w:val="20"/>
                <w:szCs w:val="20"/>
              </w:rPr>
            </w:pPr>
            <w:r w:rsidRPr="007F0C5A">
              <w:rPr>
                <w:color w:val="000000"/>
                <w:sz w:val="20"/>
                <w:szCs w:val="20"/>
              </w:rPr>
              <w:t xml:space="preserve">H. Review </w:t>
            </w:r>
            <w:r w:rsidR="00977441">
              <w:rPr>
                <w:color w:val="000000"/>
                <w:sz w:val="20"/>
                <w:szCs w:val="20"/>
              </w:rPr>
              <w:t>e</w:t>
            </w:r>
            <w:r w:rsidRPr="007F0C5A">
              <w:rPr>
                <w:color w:val="000000"/>
                <w:sz w:val="20"/>
                <w:szCs w:val="20"/>
              </w:rPr>
              <w:t xml:space="preserve">quipment </w:t>
            </w:r>
            <w:r w:rsidR="00977441">
              <w:rPr>
                <w:color w:val="000000"/>
                <w:sz w:val="20"/>
                <w:szCs w:val="20"/>
              </w:rPr>
              <w:t>r</w:t>
            </w:r>
            <w:r w:rsidRPr="007F0C5A">
              <w:rPr>
                <w:color w:val="000000"/>
                <w:sz w:val="20"/>
                <w:szCs w:val="20"/>
              </w:rPr>
              <w:t xml:space="preserve">emoval </w:t>
            </w:r>
            <w:r w:rsidR="00977441">
              <w:rPr>
                <w:color w:val="000000"/>
                <w:sz w:val="20"/>
                <w:szCs w:val="20"/>
              </w:rPr>
              <w:t>r</w:t>
            </w:r>
            <w:r w:rsidRPr="007F0C5A">
              <w:rPr>
                <w:color w:val="000000"/>
                <w:sz w:val="20"/>
                <w:szCs w:val="20"/>
              </w:rPr>
              <w:t>eport</w:t>
            </w:r>
            <w:r w:rsidR="00D60407">
              <w:rPr>
                <w:color w:val="000000"/>
                <w:sz w:val="20"/>
                <w:szCs w:val="20"/>
              </w:rPr>
              <w:t xml:space="preserve"> </w:t>
            </w:r>
            <w:r w:rsidRPr="007F0C5A">
              <w:rPr>
                <w:color w:val="000000"/>
                <w:sz w:val="20"/>
                <w:szCs w:val="20"/>
                <w:vertAlign w:val="superscript"/>
              </w:rPr>
              <w:t>g</w:t>
            </w:r>
          </w:p>
        </w:tc>
        <w:tc>
          <w:tcPr>
            <w:tcW w:w="110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0</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sz w:val="20"/>
                <w:szCs w:val="20"/>
              </w:rPr>
            </w:pPr>
            <w:r w:rsidRPr="007F0C5A">
              <w:rPr>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right"/>
              <w:rPr>
                <w:sz w:val="20"/>
                <w:szCs w:val="20"/>
              </w:rPr>
            </w:pPr>
            <w:r w:rsidRPr="007F0C5A">
              <w:rPr>
                <w:sz w:val="20"/>
                <w:szCs w:val="20"/>
              </w:rPr>
              <w:t>0</w:t>
            </w:r>
          </w:p>
        </w:tc>
      </w:tr>
      <w:tr w:rsidR="00D60407" w:rsidRPr="007F0C5A" w:rsidTr="00D60407">
        <w:trPr>
          <w:trHeight w:val="300"/>
          <w:jc w:val="center"/>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7F0C5A" w:rsidRPr="00301BCC" w:rsidRDefault="007F0C5A" w:rsidP="007F0C5A">
            <w:pPr>
              <w:widowControl/>
              <w:autoSpaceDE/>
              <w:autoSpaceDN/>
              <w:adjustRightInd/>
              <w:rPr>
                <w:b/>
                <w:color w:val="000000"/>
                <w:sz w:val="20"/>
                <w:szCs w:val="20"/>
              </w:rPr>
            </w:pPr>
            <w:r w:rsidRPr="00301BCC">
              <w:rPr>
                <w:b/>
                <w:color w:val="000000"/>
                <w:sz w:val="20"/>
                <w:szCs w:val="20"/>
              </w:rPr>
              <w:t>Total Labor Burden and Cost</w:t>
            </w:r>
            <w:r w:rsidR="00D60407">
              <w:rPr>
                <w:b/>
                <w:color w:val="000000"/>
                <w:sz w:val="20"/>
                <w:szCs w:val="20"/>
              </w:rPr>
              <w:t xml:space="preserve"> (rounded)</w:t>
            </w:r>
          </w:p>
        </w:tc>
        <w:tc>
          <w:tcPr>
            <w:tcW w:w="1102"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rPr>
                <w:color w:val="000000"/>
                <w:sz w:val="20"/>
                <w:szCs w:val="20"/>
              </w:rPr>
            </w:pPr>
            <w:r w:rsidRPr="007F0C5A">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 </w:t>
            </w:r>
          </w:p>
        </w:tc>
        <w:tc>
          <w:tcPr>
            <w:tcW w:w="1223"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 </w:t>
            </w:r>
          </w:p>
        </w:tc>
        <w:tc>
          <w:tcPr>
            <w:tcW w:w="1027" w:type="dxa"/>
            <w:tcBorders>
              <w:top w:val="nil"/>
              <w:left w:val="nil"/>
              <w:bottom w:val="single" w:sz="4" w:space="0" w:color="auto"/>
              <w:right w:val="single" w:sz="4" w:space="0" w:color="auto"/>
            </w:tcBorders>
            <w:shd w:val="clear" w:color="auto" w:fill="auto"/>
            <w:noWrap/>
            <w:vAlign w:val="bottom"/>
            <w:hideMark/>
          </w:tcPr>
          <w:p w:rsidR="007F0C5A" w:rsidRPr="007F0C5A" w:rsidRDefault="007F0C5A" w:rsidP="007F0C5A">
            <w:pPr>
              <w:widowControl/>
              <w:autoSpaceDE/>
              <w:autoSpaceDN/>
              <w:adjustRightInd/>
              <w:jc w:val="center"/>
              <w:rPr>
                <w:color w:val="000000"/>
                <w:sz w:val="20"/>
                <w:szCs w:val="20"/>
              </w:rPr>
            </w:pPr>
            <w:r w:rsidRPr="007F0C5A">
              <w:rPr>
                <w:color w:val="000000"/>
                <w:sz w:val="20"/>
                <w:szCs w:val="20"/>
              </w:rPr>
              <w:t> </w:t>
            </w:r>
          </w:p>
        </w:tc>
        <w:tc>
          <w:tcPr>
            <w:tcW w:w="3455" w:type="dxa"/>
            <w:gridSpan w:val="3"/>
            <w:tcBorders>
              <w:top w:val="single" w:sz="4" w:space="0" w:color="auto"/>
              <w:left w:val="nil"/>
              <w:bottom w:val="single" w:sz="4" w:space="0" w:color="auto"/>
              <w:right w:val="single" w:sz="4" w:space="0" w:color="auto"/>
            </w:tcBorders>
            <w:shd w:val="clear" w:color="auto" w:fill="auto"/>
            <w:noWrap/>
            <w:vAlign w:val="bottom"/>
            <w:hideMark/>
          </w:tcPr>
          <w:p w:rsidR="007F0C5A" w:rsidRPr="00A83AFC" w:rsidRDefault="00301BCC" w:rsidP="00301BCC">
            <w:pPr>
              <w:widowControl/>
              <w:autoSpaceDE/>
              <w:autoSpaceDN/>
              <w:adjustRightInd/>
              <w:jc w:val="center"/>
              <w:rPr>
                <w:b/>
                <w:color w:val="000000"/>
                <w:sz w:val="20"/>
                <w:szCs w:val="20"/>
              </w:rPr>
            </w:pPr>
            <w:r w:rsidRPr="00301BCC">
              <w:rPr>
                <w:b/>
                <w:color w:val="000000"/>
                <w:sz w:val="20"/>
                <w:szCs w:val="20"/>
              </w:rPr>
              <w:t>759</w:t>
            </w:r>
          </w:p>
        </w:tc>
        <w:tc>
          <w:tcPr>
            <w:tcW w:w="1016" w:type="dxa"/>
            <w:tcBorders>
              <w:top w:val="nil"/>
              <w:left w:val="nil"/>
              <w:bottom w:val="single" w:sz="4" w:space="0" w:color="auto"/>
              <w:right w:val="single" w:sz="4" w:space="0" w:color="auto"/>
            </w:tcBorders>
            <w:shd w:val="clear" w:color="auto" w:fill="auto"/>
            <w:noWrap/>
            <w:vAlign w:val="bottom"/>
            <w:hideMark/>
          </w:tcPr>
          <w:p w:rsidR="007F0C5A" w:rsidRPr="00A83AFC" w:rsidRDefault="00691155" w:rsidP="00301BCC">
            <w:pPr>
              <w:widowControl/>
              <w:autoSpaceDE/>
              <w:autoSpaceDN/>
              <w:adjustRightInd/>
              <w:jc w:val="right"/>
              <w:rPr>
                <w:b/>
                <w:sz w:val="20"/>
                <w:szCs w:val="20"/>
              </w:rPr>
            </w:pPr>
            <w:r>
              <w:rPr>
                <w:b/>
                <w:sz w:val="20"/>
                <w:szCs w:val="20"/>
              </w:rPr>
              <w:t>$</w:t>
            </w:r>
            <w:r w:rsidR="00301BCC">
              <w:rPr>
                <w:b/>
                <w:sz w:val="20"/>
                <w:szCs w:val="20"/>
              </w:rPr>
              <w:t>34,189</w:t>
            </w:r>
          </w:p>
        </w:tc>
      </w:tr>
    </w:tbl>
    <w:p w:rsidR="00F972EB" w:rsidRPr="00F972EB" w:rsidRDefault="00F972EB" w:rsidP="00F972EB">
      <w:pPr>
        <w:ind w:left="270" w:hanging="270"/>
        <w:rPr>
          <w:bCs/>
          <w:sz w:val="20"/>
          <w:szCs w:val="20"/>
        </w:rPr>
      </w:pPr>
    </w:p>
    <w:p w:rsidR="00CB6BFB" w:rsidRPr="00CB6BFB" w:rsidRDefault="00CB6BFB" w:rsidP="00CB6BFB">
      <w:pPr>
        <w:ind w:left="270" w:hanging="270"/>
        <w:rPr>
          <w:bCs/>
          <w:sz w:val="20"/>
          <w:szCs w:val="20"/>
        </w:rPr>
      </w:pPr>
      <w:r>
        <w:rPr>
          <w:bCs/>
          <w:sz w:val="20"/>
          <w:szCs w:val="20"/>
        </w:rPr>
        <w:t>Assumptions:</w:t>
      </w:r>
    </w:p>
    <w:p w:rsidR="00CB6BFB" w:rsidRPr="00CB6BFB" w:rsidRDefault="00CB6BFB" w:rsidP="00CB6BFB">
      <w:pPr>
        <w:ind w:left="270" w:hanging="270"/>
        <w:rPr>
          <w:bCs/>
          <w:sz w:val="20"/>
          <w:szCs w:val="20"/>
        </w:rPr>
      </w:pPr>
      <w:r w:rsidRPr="00977441">
        <w:rPr>
          <w:bCs/>
          <w:sz w:val="20"/>
          <w:szCs w:val="20"/>
          <w:vertAlign w:val="superscript"/>
        </w:rPr>
        <w:t>a.</w:t>
      </w:r>
      <w:r w:rsidRPr="00CB6BFB">
        <w:rPr>
          <w:bCs/>
          <w:sz w:val="20"/>
          <w:szCs w:val="20"/>
        </w:rPr>
        <w:t xml:space="preserve">  This ICR assumes that 317 landfills are subject to State plans, and that 37 State and local agencies will be enforcing State plans. Thus, each agency is expected to review reports fo</w:t>
      </w:r>
      <w:r>
        <w:rPr>
          <w:bCs/>
          <w:sz w:val="20"/>
          <w:szCs w:val="20"/>
        </w:rPr>
        <w:t>r an average of 8.34 landfills.</w:t>
      </w:r>
    </w:p>
    <w:p w:rsidR="00CB6BFB" w:rsidRPr="00CB6BFB" w:rsidRDefault="00CB6BFB" w:rsidP="00CB6BFB">
      <w:pPr>
        <w:ind w:left="270" w:hanging="270"/>
        <w:rPr>
          <w:bCs/>
          <w:sz w:val="20"/>
          <w:szCs w:val="20"/>
        </w:rPr>
      </w:pPr>
      <w:r w:rsidRPr="00977441">
        <w:rPr>
          <w:bCs/>
          <w:sz w:val="20"/>
          <w:szCs w:val="20"/>
          <w:vertAlign w:val="superscript"/>
        </w:rPr>
        <w:t>b.</w:t>
      </w:r>
      <w:r w:rsidRPr="00CB6BFB">
        <w:rPr>
          <w:bCs/>
          <w:sz w:val="20"/>
          <w:szCs w:val="20"/>
        </w:rPr>
        <w:t xml:space="preserve">  Labor rates for Federal agency personnel were applied to State/Local agencies, and are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locality rates of pay.  The rates have been applied to local agencies and have been increased by 60 percent to account for the benefit packages available to government employees.</w:t>
      </w:r>
    </w:p>
    <w:p w:rsidR="00CB6BFB" w:rsidRPr="00CB6BFB" w:rsidRDefault="00CB6BFB" w:rsidP="00CB6BFB">
      <w:pPr>
        <w:ind w:left="270" w:hanging="270"/>
        <w:rPr>
          <w:bCs/>
          <w:sz w:val="20"/>
          <w:szCs w:val="20"/>
        </w:rPr>
      </w:pPr>
      <w:r w:rsidRPr="00977441">
        <w:rPr>
          <w:bCs/>
          <w:sz w:val="20"/>
          <w:szCs w:val="20"/>
          <w:vertAlign w:val="superscript"/>
        </w:rPr>
        <w:lastRenderedPageBreak/>
        <w:t>c.</w:t>
      </w:r>
      <w:r w:rsidRPr="00CB6BFB">
        <w:rPr>
          <w:bCs/>
          <w:sz w:val="20"/>
          <w:szCs w:val="20"/>
        </w:rPr>
        <w:t xml:space="preserve">  This ICR assumes that all landfills affected by a State plan have already exceeded the 50 Mg/yr NMOC emission threshold and are no longer submitting annual NMOC emission rate reports.</w:t>
      </w:r>
    </w:p>
    <w:p w:rsidR="00CB6BFB" w:rsidRPr="00CB6BFB" w:rsidRDefault="00CB6BFB" w:rsidP="00CB6BFB">
      <w:pPr>
        <w:ind w:left="270" w:hanging="270"/>
        <w:rPr>
          <w:bCs/>
          <w:sz w:val="20"/>
          <w:szCs w:val="20"/>
        </w:rPr>
      </w:pPr>
      <w:r w:rsidRPr="00977441">
        <w:rPr>
          <w:bCs/>
          <w:sz w:val="20"/>
          <w:szCs w:val="20"/>
          <w:vertAlign w:val="superscript"/>
        </w:rPr>
        <w:t>d.</w:t>
      </w:r>
      <w:r w:rsidRPr="00CB6BFB">
        <w:rPr>
          <w:bCs/>
          <w:sz w:val="20"/>
          <w:szCs w:val="20"/>
        </w:rPr>
        <w:t xml:space="preserve">  This ICR assumes 5 percent of landfills will submit an amended design capacity report per year.</w:t>
      </w:r>
    </w:p>
    <w:p w:rsidR="00CB6BFB" w:rsidRPr="00977441" w:rsidRDefault="00CB6BFB" w:rsidP="00CB6BFB">
      <w:pPr>
        <w:ind w:left="270" w:hanging="270"/>
        <w:rPr>
          <w:bCs/>
          <w:sz w:val="20"/>
          <w:szCs w:val="20"/>
          <w:vertAlign w:val="superscript"/>
        </w:rPr>
      </w:pPr>
      <w:r w:rsidRPr="00977441">
        <w:rPr>
          <w:bCs/>
          <w:sz w:val="20"/>
          <w:szCs w:val="20"/>
          <w:vertAlign w:val="superscript"/>
        </w:rPr>
        <w:t>e.</w:t>
      </w:r>
      <w:r w:rsidRPr="00CB6BFB">
        <w:rPr>
          <w:bCs/>
          <w:sz w:val="20"/>
          <w:szCs w:val="20"/>
        </w:rPr>
        <w:t xml:space="preserve">  We estimate that 33% of landfills are subject to the Federal plan and 67% of landfills are subject to a State plan.  Our estimate of 317 landfills subject to a State </w:t>
      </w:r>
      <w:r w:rsidRPr="00C314FA">
        <w:rPr>
          <w:bCs/>
          <w:sz w:val="20"/>
          <w:szCs w:val="20"/>
        </w:rPr>
        <w:t>plan includes 105 private landfills and 212 public landfills</w:t>
      </w:r>
      <w:r w:rsidRPr="00977441">
        <w:rPr>
          <w:bCs/>
          <w:sz w:val="20"/>
          <w:szCs w:val="20"/>
          <w:vertAlign w:val="superscript"/>
        </w:rPr>
        <w:t>.</w:t>
      </w:r>
    </w:p>
    <w:p w:rsidR="00CB6BFB" w:rsidRPr="00CB6BFB" w:rsidRDefault="00CB6BFB" w:rsidP="00CB6BFB">
      <w:pPr>
        <w:ind w:left="270" w:hanging="270"/>
        <w:rPr>
          <w:bCs/>
          <w:sz w:val="20"/>
          <w:szCs w:val="20"/>
        </w:rPr>
      </w:pPr>
      <w:r w:rsidRPr="00977441">
        <w:rPr>
          <w:bCs/>
          <w:sz w:val="20"/>
          <w:szCs w:val="20"/>
          <w:vertAlign w:val="superscript"/>
        </w:rPr>
        <w:t>f.</w:t>
      </w:r>
      <w:r w:rsidRPr="00CB6BFB">
        <w:rPr>
          <w:bCs/>
          <w:sz w:val="20"/>
          <w:szCs w:val="20"/>
        </w:rPr>
        <w:t xml:space="preserve">  This ICR assumes 3 percent of landfills will submit a landfill closure report per year.</w:t>
      </w:r>
    </w:p>
    <w:p w:rsidR="00C24697" w:rsidRDefault="00CB6BFB" w:rsidP="00095BA4">
      <w:pPr>
        <w:ind w:left="270" w:hanging="270"/>
        <w:rPr>
          <w:b/>
          <w:bCs/>
        </w:rPr>
      </w:pPr>
      <w:r w:rsidRPr="00977441">
        <w:rPr>
          <w:bCs/>
          <w:sz w:val="20"/>
          <w:szCs w:val="20"/>
          <w:vertAlign w:val="superscript"/>
        </w:rPr>
        <w:t>g</w:t>
      </w:r>
      <w:r w:rsidRPr="00CB6BFB">
        <w:rPr>
          <w:bCs/>
          <w:sz w:val="20"/>
          <w:szCs w:val="20"/>
        </w:rPr>
        <w:t>.  This ICR assumes no landfills will submit an equipment removal report over the 3-year period of this ICR.</w:t>
      </w:r>
      <w:r w:rsidRPr="00F972EB">
        <w:rPr>
          <w:bCs/>
          <w:sz w:val="20"/>
          <w:szCs w:val="20"/>
        </w:rPr>
        <w:t xml:space="preserve"> </w:t>
      </w:r>
      <w:r w:rsidR="00144F35" w:rsidRPr="00F972EB">
        <w:rPr>
          <w:bCs/>
          <w:sz w:val="20"/>
          <w:szCs w:val="20"/>
        </w:rPr>
        <w:br w:type="page"/>
      </w:r>
      <w:r w:rsidR="00CB5694" w:rsidRPr="00C4183F">
        <w:rPr>
          <w:b/>
          <w:bCs/>
          <w:color w:val="000000"/>
        </w:rPr>
        <w:lastRenderedPageBreak/>
        <w:t xml:space="preserve">Table </w:t>
      </w:r>
      <w:r w:rsidR="002B426A">
        <w:rPr>
          <w:b/>
          <w:bCs/>
          <w:color w:val="000000"/>
        </w:rPr>
        <w:t>2</w:t>
      </w:r>
      <w:r w:rsidR="00CB5694" w:rsidRPr="00C4183F">
        <w:rPr>
          <w:b/>
          <w:bCs/>
          <w:color w:val="000000"/>
        </w:rPr>
        <w:t>:</w:t>
      </w:r>
      <w:r w:rsidR="00CB5694">
        <w:rPr>
          <w:b/>
          <w:bCs/>
          <w:color w:val="000000"/>
        </w:rPr>
        <w:t xml:space="preserve"> Average Annual EPA Burden and Cost – </w:t>
      </w:r>
      <w:r w:rsidR="00CB5694" w:rsidRPr="00A6380B">
        <w:rPr>
          <w:b/>
          <w:bCs/>
          <w:color w:val="000000"/>
        </w:rPr>
        <w:t>Emission</w:t>
      </w:r>
      <w:r w:rsidR="00A6380B" w:rsidRPr="00A6380B">
        <w:rPr>
          <w:b/>
          <w:bCs/>
          <w:color w:val="000000"/>
        </w:rPr>
        <w:t xml:space="preserve"> Guidelines and Compliance Times for Existing Municipal Solid Waste Landfills (40 CFR Part 60, Subpart Cc and 40 CFR Part 62, Subpart GGG) (Renewal)</w:t>
      </w:r>
    </w:p>
    <w:p w:rsidR="00144F35" w:rsidRPr="00A6380B" w:rsidRDefault="00144F35" w:rsidP="00CB5694">
      <w:pPr>
        <w:jc w:val="center"/>
        <w:rPr>
          <w:b/>
          <w:bCs/>
        </w:rPr>
      </w:pPr>
    </w:p>
    <w:tbl>
      <w:tblPr>
        <w:tblW w:w="13882" w:type="dxa"/>
        <w:jc w:val="center"/>
        <w:tblInd w:w="103" w:type="dxa"/>
        <w:tblLook w:val="04A0"/>
      </w:tblPr>
      <w:tblGrid>
        <w:gridCol w:w="4494"/>
        <w:gridCol w:w="1282"/>
        <w:gridCol w:w="1238"/>
        <w:gridCol w:w="1190"/>
        <w:gridCol w:w="1306"/>
        <w:gridCol w:w="1050"/>
        <w:gridCol w:w="1350"/>
        <w:gridCol w:w="954"/>
        <w:gridCol w:w="1018"/>
      </w:tblGrid>
      <w:tr w:rsidR="00F00E7C" w:rsidRPr="00CB6BFB" w:rsidTr="00F00E7C">
        <w:trPr>
          <w:trHeight w:val="300"/>
          <w:jc w:val="center"/>
        </w:trPr>
        <w:tc>
          <w:tcPr>
            <w:tcW w:w="44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b/>
                <w:bCs/>
                <w:sz w:val="20"/>
                <w:szCs w:val="20"/>
              </w:rPr>
            </w:pPr>
            <w:r w:rsidRPr="00CB6BFB">
              <w:rPr>
                <w:b/>
                <w:bCs/>
                <w:sz w:val="20"/>
                <w:szCs w:val="20"/>
              </w:rPr>
              <w:t>Burden Item</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B</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F</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G</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b/>
                <w:bCs/>
                <w:sz w:val="20"/>
                <w:szCs w:val="20"/>
              </w:rPr>
            </w:pPr>
            <w:r w:rsidRPr="00CB6BFB">
              <w:rPr>
                <w:b/>
                <w:bCs/>
                <w:sz w:val="20"/>
                <w:szCs w:val="20"/>
              </w:rPr>
              <w:t>H</w:t>
            </w:r>
          </w:p>
        </w:tc>
      </w:tr>
      <w:tr w:rsidR="00F00E7C" w:rsidRPr="00CB6BFB" w:rsidTr="00F00E7C">
        <w:trPr>
          <w:trHeight w:val="773"/>
          <w:jc w:val="center"/>
        </w:trPr>
        <w:tc>
          <w:tcPr>
            <w:tcW w:w="4494" w:type="dxa"/>
            <w:vMerge/>
            <w:tcBorders>
              <w:top w:val="single" w:sz="4" w:space="0" w:color="auto"/>
              <w:left w:val="single" w:sz="4" w:space="0" w:color="auto"/>
              <w:bottom w:val="single" w:sz="4" w:space="0" w:color="auto"/>
              <w:right w:val="single" w:sz="4" w:space="0" w:color="auto"/>
            </w:tcBorders>
            <w:vAlign w:val="center"/>
            <w:hideMark/>
          </w:tcPr>
          <w:p w:rsidR="00CB6BFB" w:rsidRPr="00CB6BFB" w:rsidRDefault="00CB6BFB" w:rsidP="00CB6BFB">
            <w:pPr>
              <w:widowControl/>
              <w:autoSpaceDE/>
              <w:autoSpaceDN/>
              <w:adjustRightInd/>
              <w:rPr>
                <w:b/>
                <w:bCs/>
                <w:sz w:val="20"/>
                <w:szCs w:val="20"/>
              </w:rPr>
            </w:pPr>
          </w:p>
        </w:tc>
        <w:tc>
          <w:tcPr>
            <w:tcW w:w="1282"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b/>
                <w:bCs/>
                <w:sz w:val="20"/>
                <w:szCs w:val="20"/>
              </w:rPr>
            </w:pPr>
            <w:r w:rsidRPr="00CB6BFB">
              <w:rPr>
                <w:b/>
                <w:bCs/>
                <w:sz w:val="20"/>
                <w:szCs w:val="20"/>
              </w:rPr>
              <w:t>Technical person-hours per occurrence</w:t>
            </w:r>
          </w:p>
        </w:tc>
        <w:tc>
          <w:tcPr>
            <w:tcW w:w="1238"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b/>
                <w:bCs/>
                <w:sz w:val="20"/>
                <w:szCs w:val="20"/>
              </w:rPr>
            </w:pPr>
            <w:r w:rsidRPr="00CB6BFB">
              <w:rPr>
                <w:b/>
                <w:bCs/>
                <w:sz w:val="20"/>
                <w:szCs w:val="20"/>
              </w:rPr>
              <w:t>No. of occurrences per respondent per year</w:t>
            </w:r>
          </w:p>
        </w:tc>
        <w:tc>
          <w:tcPr>
            <w:tcW w:w="1190"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b/>
                <w:bCs/>
                <w:sz w:val="20"/>
                <w:szCs w:val="20"/>
              </w:rPr>
            </w:pPr>
            <w:r w:rsidRPr="00CB6BFB">
              <w:rPr>
                <w:b/>
                <w:bCs/>
                <w:sz w:val="20"/>
                <w:szCs w:val="20"/>
              </w:rPr>
              <w:t>Technical person-hours per respondent per year (AxB)</w:t>
            </w:r>
          </w:p>
        </w:tc>
        <w:tc>
          <w:tcPr>
            <w:tcW w:w="1306"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b/>
                <w:bCs/>
                <w:sz w:val="20"/>
                <w:szCs w:val="20"/>
              </w:rPr>
            </w:pPr>
            <w:r w:rsidRPr="00CB6BFB">
              <w:rPr>
                <w:b/>
                <w:bCs/>
                <w:sz w:val="20"/>
                <w:szCs w:val="20"/>
              </w:rPr>
              <w:t>Respondents per year</w:t>
            </w:r>
            <w:r w:rsidR="005A761F">
              <w:rPr>
                <w:b/>
                <w:bCs/>
                <w:sz w:val="20"/>
                <w:szCs w:val="20"/>
              </w:rPr>
              <w:t xml:space="preserve"> </w:t>
            </w:r>
            <w:r w:rsidRPr="00CB6BFB">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rsidR="00CB6BFB" w:rsidRDefault="00CB6BFB" w:rsidP="00CB6BFB">
            <w:pPr>
              <w:widowControl/>
              <w:autoSpaceDE/>
              <w:autoSpaceDN/>
              <w:adjustRightInd/>
              <w:jc w:val="center"/>
              <w:rPr>
                <w:b/>
                <w:bCs/>
                <w:sz w:val="20"/>
                <w:szCs w:val="20"/>
              </w:rPr>
            </w:pPr>
            <w:r w:rsidRPr="00CB6BFB">
              <w:rPr>
                <w:b/>
                <w:bCs/>
                <w:sz w:val="20"/>
                <w:szCs w:val="20"/>
              </w:rPr>
              <w:t xml:space="preserve">Technical hours </w:t>
            </w:r>
          </w:p>
          <w:p w:rsidR="00CB6BFB" w:rsidRPr="00CB6BFB" w:rsidRDefault="00CB6BFB" w:rsidP="00CB6BFB">
            <w:pPr>
              <w:widowControl/>
              <w:autoSpaceDE/>
              <w:autoSpaceDN/>
              <w:adjustRightInd/>
              <w:jc w:val="center"/>
              <w:rPr>
                <w:b/>
                <w:bCs/>
                <w:sz w:val="20"/>
                <w:szCs w:val="20"/>
              </w:rPr>
            </w:pPr>
            <w:r w:rsidRPr="00CB6BFB">
              <w:rPr>
                <w:b/>
                <w:bCs/>
                <w:sz w:val="20"/>
                <w:szCs w:val="20"/>
              </w:rPr>
              <w:t>per year (CxD)</w:t>
            </w:r>
          </w:p>
        </w:tc>
        <w:tc>
          <w:tcPr>
            <w:tcW w:w="1350" w:type="dxa"/>
            <w:tcBorders>
              <w:top w:val="nil"/>
              <w:left w:val="nil"/>
              <w:bottom w:val="single" w:sz="4" w:space="0" w:color="auto"/>
              <w:right w:val="single" w:sz="4" w:space="0" w:color="auto"/>
            </w:tcBorders>
            <w:shd w:val="clear" w:color="auto" w:fill="auto"/>
            <w:vAlign w:val="bottom"/>
            <w:hideMark/>
          </w:tcPr>
          <w:p w:rsidR="00CB6BFB" w:rsidRDefault="00CB6BFB" w:rsidP="00CB6BFB">
            <w:pPr>
              <w:widowControl/>
              <w:autoSpaceDE/>
              <w:autoSpaceDN/>
              <w:adjustRightInd/>
              <w:jc w:val="center"/>
              <w:rPr>
                <w:b/>
                <w:bCs/>
                <w:sz w:val="20"/>
                <w:szCs w:val="20"/>
              </w:rPr>
            </w:pPr>
            <w:r w:rsidRPr="00CB6BFB">
              <w:rPr>
                <w:b/>
                <w:bCs/>
                <w:sz w:val="20"/>
                <w:szCs w:val="20"/>
              </w:rPr>
              <w:t xml:space="preserve">Management hours </w:t>
            </w:r>
          </w:p>
          <w:p w:rsidR="00CB6BFB" w:rsidRPr="00CB6BFB" w:rsidRDefault="00CB6BFB" w:rsidP="00CB6BFB">
            <w:pPr>
              <w:widowControl/>
              <w:autoSpaceDE/>
              <w:autoSpaceDN/>
              <w:adjustRightInd/>
              <w:jc w:val="center"/>
              <w:rPr>
                <w:b/>
                <w:bCs/>
                <w:sz w:val="20"/>
                <w:szCs w:val="20"/>
              </w:rPr>
            </w:pPr>
            <w:r w:rsidRPr="00CB6BFB">
              <w:rPr>
                <w:b/>
                <w:bCs/>
                <w:sz w:val="20"/>
                <w:szCs w:val="20"/>
              </w:rPr>
              <w:t>per year  (Ex0.05)</w:t>
            </w:r>
          </w:p>
        </w:tc>
        <w:tc>
          <w:tcPr>
            <w:tcW w:w="954" w:type="dxa"/>
            <w:tcBorders>
              <w:top w:val="nil"/>
              <w:left w:val="nil"/>
              <w:bottom w:val="single" w:sz="4" w:space="0" w:color="auto"/>
              <w:right w:val="single" w:sz="4" w:space="0" w:color="auto"/>
            </w:tcBorders>
            <w:shd w:val="clear" w:color="auto" w:fill="auto"/>
            <w:vAlign w:val="bottom"/>
            <w:hideMark/>
          </w:tcPr>
          <w:p w:rsidR="00CB6BFB" w:rsidRDefault="00CB6BFB" w:rsidP="00CB6BFB">
            <w:pPr>
              <w:widowControl/>
              <w:autoSpaceDE/>
              <w:autoSpaceDN/>
              <w:adjustRightInd/>
              <w:jc w:val="center"/>
              <w:rPr>
                <w:b/>
                <w:bCs/>
                <w:sz w:val="20"/>
                <w:szCs w:val="20"/>
              </w:rPr>
            </w:pPr>
            <w:r w:rsidRPr="00CB6BFB">
              <w:rPr>
                <w:b/>
                <w:bCs/>
                <w:sz w:val="20"/>
                <w:szCs w:val="20"/>
              </w:rPr>
              <w:t xml:space="preserve">Clerical hours </w:t>
            </w:r>
          </w:p>
          <w:p w:rsidR="00CB6BFB" w:rsidRPr="00CB6BFB" w:rsidRDefault="00CB6BFB" w:rsidP="00CB6BFB">
            <w:pPr>
              <w:widowControl/>
              <w:autoSpaceDE/>
              <w:autoSpaceDN/>
              <w:adjustRightInd/>
              <w:jc w:val="center"/>
              <w:rPr>
                <w:b/>
                <w:bCs/>
                <w:sz w:val="20"/>
                <w:szCs w:val="20"/>
              </w:rPr>
            </w:pPr>
            <w:r w:rsidRPr="00CB6BFB">
              <w:rPr>
                <w:b/>
                <w:bCs/>
                <w:sz w:val="20"/>
                <w:szCs w:val="20"/>
              </w:rPr>
              <w:t>per year (Ex0.10)</w:t>
            </w:r>
          </w:p>
        </w:tc>
        <w:tc>
          <w:tcPr>
            <w:tcW w:w="1018"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b/>
                <w:bCs/>
                <w:sz w:val="20"/>
                <w:szCs w:val="20"/>
              </w:rPr>
            </w:pPr>
            <w:r w:rsidRPr="00CB6BFB">
              <w:rPr>
                <w:b/>
                <w:bCs/>
                <w:sz w:val="20"/>
                <w:szCs w:val="20"/>
              </w:rPr>
              <w:t>Total cost per year ($)</w:t>
            </w:r>
            <w:r w:rsidRPr="00CB6BFB">
              <w:rPr>
                <w:b/>
                <w:bCs/>
                <w:sz w:val="20"/>
                <w:szCs w:val="20"/>
                <w:vertAlign w:val="superscript"/>
              </w:rPr>
              <w:t>b</w:t>
            </w:r>
          </w:p>
        </w:tc>
      </w:tr>
      <w:tr w:rsidR="00F00E7C" w:rsidRPr="00CB6BFB" w:rsidTr="00F00E7C">
        <w:trPr>
          <w:trHeight w:val="30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rPr>
                <w:sz w:val="20"/>
                <w:szCs w:val="20"/>
              </w:rPr>
            </w:pPr>
            <w:r w:rsidRPr="00CB6BFB">
              <w:rPr>
                <w:sz w:val="20"/>
                <w:szCs w:val="20"/>
              </w:rPr>
              <w:t>1.  Reporting Requirements</w:t>
            </w:r>
          </w:p>
        </w:tc>
        <w:tc>
          <w:tcPr>
            <w:tcW w:w="1282" w:type="dxa"/>
            <w:tcBorders>
              <w:top w:val="nil"/>
              <w:left w:val="nil"/>
              <w:bottom w:val="single" w:sz="4" w:space="0" w:color="auto"/>
              <w:right w:val="single" w:sz="4" w:space="0" w:color="auto"/>
            </w:tcBorders>
            <w:shd w:val="clear" w:color="auto" w:fill="auto"/>
            <w:vAlign w:val="center"/>
            <w:hideMark/>
          </w:tcPr>
          <w:p w:rsidR="00CB6BFB" w:rsidRPr="00CB6BFB" w:rsidRDefault="00CB6BFB" w:rsidP="00CB6BFB">
            <w:pPr>
              <w:widowControl/>
              <w:autoSpaceDE/>
              <w:autoSpaceDN/>
              <w:adjustRightInd/>
              <w:jc w:val="center"/>
              <w:rPr>
                <w:sz w:val="20"/>
                <w:szCs w:val="20"/>
              </w:rPr>
            </w:pPr>
            <w:r w:rsidRPr="00CB6BFB">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CB6BFB" w:rsidRPr="00CB6BFB" w:rsidRDefault="00CB6BFB" w:rsidP="00CB6BFB">
            <w:pPr>
              <w:widowControl/>
              <w:autoSpaceDE/>
              <w:autoSpaceDN/>
              <w:adjustRightInd/>
              <w:jc w:val="center"/>
              <w:rPr>
                <w:sz w:val="20"/>
                <w:szCs w:val="20"/>
              </w:rPr>
            </w:pPr>
            <w:r w:rsidRPr="00CB6BFB">
              <w:rPr>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rsidR="00CB6BFB" w:rsidRPr="00CB6BFB" w:rsidRDefault="00CB6BFB" w:rsidP="00CB6BFB">
            <w:pPr>
              <w:widowControl/>
              <w:autoSpaceDE/>
              <w:autoSpaceDN/>
              <w:adjustRightInd/>
              <w:jc w:val="center"/>
              <w:rPr>
                <w:sz w:val="20"/>
                <w:szCs w:val="20"/>
              </w:rPr>
            </w:pPr>
            <w:r w:rsidRPr="00CB6B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B6BFB" w:rsidRPr="00CB6BFB" w:rsidRDefault="00CB6BFB" w:rsidP="00CB6BFB">
            <w:pPr>
              <w:widowControl/>
              <w:autoSpaceDE/>
              <w:autoSpaceDN/>
              <w:adjustRightInd/>
              <w:jc w:val="center"/>
              <w:rPr>
                <w:sz w:val="20"/>
                <w:szCs w:val="20"/>
              </w:rPr>
            </w:pPr>
            <w:r w:rsidRPr="00CB6BFB">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sz w:val="20"/>
                <w:szCs w:val="20"/>
              </w:rPr>
            </w:pPr>
            <w:r w:rsidRPr="00CB6BFB">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sz w:val="20"/>
                <w:szCs w:val="20"/>
              </w:rPr>
            </w:pPr>
            <w:r w:rsidRPr="00CB6BFB">
              <w:rPr>
                <w:sz w:val="20"/>
                <w:szCs w:val="20"/>
              </w:rPr>
              <w:t> </w:t>
            </w:r>
          </w:p>
        </w:tc>
        <w:tc>
          <w:tcPr>
            <w:tcW w:w="954" w:type="dxa"/>
            <w:tcBorders>
              <w:top w:val="nil"/>
              <w:left w:val="nil"/>
              <w:bottom w:val="single" w:sz="4" w:space="0" w:color="auto"/>
              <w:right w:val="single" w:sz="4" w:space="0" w:color="auto"/>
            </w:tcBorders>
            <w:shd w:val="clear" w:color="auto" w:fill="auto"/>
            <w:vAlign w:val="bottom"/>
            <w:hideMark/>
          </w:tcPr>
          <w:p w:rsidR="00CB6BFB" w:rsidRPr="00CB6BFB" w:rsidRDefault="00CB6BFB" w:rsidP="00CB6BFB">
            <w:pPr>
              <w:widowControl/>
              <w:autoSpaceDE/>
              <w:autoSpaceDN/>
              <w:adjustRightInd/>
              <w:jc w:val="center"/>
              <w:rPr>
                <w:sz w:val="20"/>
                <w:szCs w:val="20"/>
              </w:rPr>
            </w:pPr>
            <w:r w:rsidRPr="00CB6BFB">
              <w:rPr>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rsidR="00CB6BFB" w:rsidRPr="00CB6BFB" w:rsidRDefault="00CB6BFB" w:rsidP="00CB6BFB">
            <w:pPr>
              <w:widowControl/>
              <w:autoSpaceDE/>
              <w:autoSpaceDN/>
              <w:adjustRightInd/>
              <w:jc w:val="center"/>
              <w:rPr>
                <w:sz w:val="20"/>
                <w:szCs w:val="20"/>
              </w:rPr>
            </w:pPr>
            <w:r w:rsidRPr="00CB6BFB">
              <w:rPr>
                <w:sz w:val="20"/>
                <w:szCs w:val="20"/>
              </w:rPr>
              <w:t> </w:t>
            </w:r>
          </w:p>
        </w:tc>
      </w:tr>
      <w:tr w:rsidR="00F00E7C" w:rsidRPr="00CB6BFB" w:rsidTr="00F00E7C">
        <w:trPr>
          <w:trHeight w:val="30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A. Review </w:t>
            </w:r>
            <w:r w:rsidR="00F00E7C">
              <w:rPr>
                <w:color w:val="000000"/>
                <w:sz w:val="20"/>
                <w:szCs w:val="20"/>
              </w:rPr>
              <w:t>i</w:t>
            </w:r>
            <w:r w:rsidRPr="00CB6BFB">
              <w:rPr>
                <w:color w:val="000000"/>
                <w:sz w:val="20"/>
                <w:szCs w:val="20"/>
              </w:rPr>
              <w:t xml:space="preserve">nitial </w:t>
            </w:r>
            <w:r w:rsidR="00F00E7C">
              <w:rPr>
                <w:color w:val="000000"/>
                <w:sz w:val="20"/>
                <w:szCs w:val="20"/>
              </w:rPr>
              <w:t>d</w:t>
            </w:r>
            <w:r w:rsidRPr="00CB6BFB">
              <w:rPr>
                <w:color w:val="000000"/>
                <w:sz w:val="20"/>
                <w:szCs w:val="20"/>
              </w:rPr>
              <w:t xml:space="preserve">esign </w:t>
            </w:r>
            <w:r w:rsidR="00F00E7C">
              <w:rPr>
                <w:color w:val="000000"/>
                <w:sz w:val="20"/>
                <w:szCs w:val="20"/>
              </w:rPr>
              <w:t>c</w:t>
            </w:r>
            <w:r w:rsidRPr="00CB6BFB">
              <w:rPr>
                <w:color w:val="000000"/>
                <w:sz w:val="20"/>
                <w:szCs w:val="20"/>
              </w:rPr>
              <w:t xml:space="preserve">apacity </w:t>
            </w:r>
            <w:r w:rsidR="00F00E7C">
              <w:rPr>
                <w:color w:val="000000"/>
                <w:sz w:val="20"/>
                <w:szCs w:val="20"/>
              </w:rPr>
              <w:t>r</w:t>
            </w:r>
            <w:r w:rsidRPr="00CB6BFB">
              <w:rPr>
                <w:color w:val="000000"/>
                <w:sz w:val="20"/>
                <w:szCs w:val="20"/>
              </w:rPr>
              <w:t>eport</w:t>
            </w:r>
          </w:p>
        </w:tc>
        <w:tc>
          <w:tcPr>
            <w:tcW w:w="1282" w:type="dxa"/>
            <w:tcBorders>
              <w:top w:val="nil"/>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sz w:val="20"/>
                <w:szCs w:val="20"/>
              </w:rPr>
            </w:pPr>
            <w:r w:rsidRPr="00CB6BFB">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0</w:t>
            </w:r>
          </w:p>
        </w:tc>
      </w:tr>
      <w:tr w:rsidR="00F00E7C" w:rsidRPr="00CB6BFB" w:rsidTr="00F00E7C">
        <w:trPr>
          <w:trHeight w:val="30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B. Review </w:t>
            </w:r>
            <w:r w:rsidR="00F00E7C">
              <w:rPr>
                <w:color w:val="000000"/>
                <w:sz w:val="20"/>
                <w:szCs w:val="20"/>
              </w:rPr>
              <w:t>i</w:t>
            </w:r>
            <w:r w:rsidRPr="00CB6BFB">
              <w:rPr>
                <w:color w:val="000000"/>
                <w:sz w:val="20"/>
                <w:szCs w:val="20"/>
              </w:rPr>
              <w:t xml:space="preserve">nitial and </w:t>
            </w:r>
            <w:r w:rsidR="00F00E7C">
              <w:rPr>
                <w:color w:val="000000"/>
                <w:sz w:val="20"/>
                <w:szCs w:val="20"/>
              </w:rPr>
              <w:t>a</w:t>
            </w:r>
            <w:r w:rsidRPr="00CB6BFB">
              <w:rPr>
                <w:color w:val="000000"/>
                <w:sz w:val="20"/>
                <w:szCs w:val="20"/>
              </w:rPr>
              <w:t xml:space="preserve">nnual NMOC </w:t>
            </w:r>
            <w:r w:rsidR="00F00E7C">
              <w:rPr>
                <w:color w:val="000000"/>
                <w:sz w:val="20"/>
                <w:szCs w:val="20"/>
              </w:rPr>
              <w:t>r</w:t>
            </w:r>
            <w:r w:rsidRPr="00CB6BFB">
              <w:rPr>
                <w:color w:val="000000"/>
                <w:sz w:val="20"/>
                <w:szCs w:val="20"/>
              </w:rPr>
              <w:t xml:space="preserve">ate </w:t>
            </w:r>
            <w:r w:rsidR="00F00E7C">
              <w:rPr>
                <w:color w:val="000000"/>
                <w:sz w:val="20"/>
                <w:szCs w:val="20"/>
              </w:rPr>
              <w:t>r</w:t>
            </w:r>
            <w:r w:rsidRPr="00CB6BFB">
              <w:rPr>
                <w:color w:val="000000"/>
                <w:sz w:val="20"/>
                <w:szCs w:val="20"/>
              </w:rPr>
              <w:t>eports</w:t>
            </w:r>
            <w:r w:rsidR="00F00E7C">
              <w:rPr>
                <w:color w:val="000000"/>
                <w:sz w:val="20"/>
                <w:szCs w:val="20"/>
              </w:rPr>
              <w:t xml:space="preserve"> </w:t>
            </w:r>
            <w:r w:rsidRPr="00CB6BFB">
              <w:rPr>
                <w:color w:val="000000"/>
                <w:sz w:val="20"/>
                <w:szCs w:val="20"/>
                <w:vertAlign w:val="superscript"/>
              </w:rPr>
              <w:t>c</w:t>
            </w:r>
          </w:p>
        </w:tc>
        <w:tc>
          <w:tcPr>
            <w:tcW w:w="1282" w:type="dxa"/>
            <w:tcBorders>
              <w:top w:val="nil"/>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sz w:val="20"/>
                <w:szCs w:val="20"/>
              </w:rPr>
            </w:pPr>
            <w:r w:rsidRPr="00CB6BFB">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0</w:t>
            </w:r>
          </w:p>
        </w:tc>
      </w:tr>
      <w:tr w:rsidR="00F00E7C" w:rsidRPr="00CB6BFB" w:rsidTr="00F00E7C">
        <w:trPr>
          <w:trHeight w:val="30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C. Review </w:t>
            </w:r>
            <w:r w:rsidR="00F00E7C">
              <w:rPr>
                <w:color w:val="000000"/>
                <w:sz w:val="20"/>
                <w:szCs w:val="20"/>
              </w:rPr>
              <w:t>c</w:t>
            </w:r>
            <w:r w:rsidRPr="00CB6BFB">
              <w:rPr>
                <w:color w:val="000000"/>
                <w:sz w:val="20"/>
                <w:szCs w:val="20"/>
              </w:rPr>
              <w:t xml:space="preserve">ollection and </w:t>
            </w:r>
            <w:r w:rsidR="00F00E7C">
              <w:rPr>
                <w:color w:val="000000"/>
                <w:sz w:val="20"/>
                <w:szCs w:val="20"/>
              </w:rPr>
              <w:t>co</w:t>
            </w:r>
            <w:r w:rsidRPr="00CB6BFB">
              <w:rPr>
                <w:color w:val="000000"/>
                <w:sz w:val="20"/>
                <w:szCs w:val="20"/>
              </w:rPr>
              <w:t xml:space="preserve">ntrol </w:t>
            </w:r>
            <w:r w:rsidR="00F00E7C">
              <w:rPr>
                <w:color w:val="000000"/>
                <w:sz w:val="20"/>
                <w:szCs w:val="20"/>
              </w:rPr>
              <w:t>s</w:t>
            </w:r>
            <w:r w:rsidRPr="00CB6BFB">
              <w:rPr>
                <w:color w:val="000000"/>
                <w:sz w:val="20"/>
                <w:szCs w:val="20"/>
              </w:rPr>
              <w:t xml:space="preserve">ystem </w:t>
            </w:r>
            <w:r w:rsidR="00F00E7C">
              <w:rPr>
                <w:color w:val="000000"/>
                <w:sz w:val="20"/>
                <w:szCs w:val="20"/>
              </w:rPr>
              <w:t>d</w:t>
            </w:r>
            <w:r w:rsidRPr="00CB6BFB">
              <w:rPr>
                <w:color w:val="000000"/>
                <w:sz w:val="20"/>
                <w:szCs w:val="20"/>
              </w:rPr>
              <w:t xml:space="preserve">esign </w:t>
            </w:r>
            <w:r w:rsidR="00F00E7C">
              <w:rPr>
                <w:color w:val="000000"/>
                <w:sz w:val="20"/>
                <w:szCs w:val="20"/>
              </w:rPr>
              <w:t>p</w:t>
            </w:r>
            <w:r w:rsidRPr="00CB6BFB">
              <w:rPr>
                <w:color w:val="000000"/>
                <w:sz w:val="20"/>
                <w:szCs w:val="20"/>
              </w:rPr>
              <w:t>lan</w:t>
            </w:r>
          </w:p>
        </w:tc>
        <w:tc>
          <w:tcPr>
            <w:tcW w:w="1282" w:type="dxa"/>
            <w:tcBorders>
              <w:top w:val="nil"/>
              <w:left w:val="nil"/>
              <w:bottom w:val="single" w:sz="4" w:space="0" w:color="auto"/>
              <w:right w:val="single" w:sz="4" w:space="0" w:color="auto"/>
            </w:tcBorders>
            <w:shd w:val="clear" w:color="auto" w:fill="auto"/>
            <w:noWrap/>
            <w:vAlign w:val="center"/>
            <w:hideMark/>
          </w:tcPr>
          <w:p w:rsidR="00CB6BFB" w:rsidRPr="00CB6BFB" w:rsidRDefault="00CB6BFB" w:rsidP="00CB6BFB">
            <w:pPr>
              <w:widowControl/>
              <w:autoSpaceDE/>
              <w:autoSpaceDN/>
              <w:adjustRightInd/>
              <w:jc w:val="center"/>
              <w:rPr>
                <w:sz w:val="20"/>
                <w:szCs w:val="20"/>
              </w:rPr>
            </w:pPr>
            <w:r w:rsidRPr="00CB6BFB">
              <w:rPr>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0</w:t>
            </w:r>
          </w:p>
        </w:tc>
      </w:tr>
      <w:tr w:rsidR="00F00E7C" w:rsidRPr="00CB6BFB" w:rsidTr="00F00E7C">
        <w:trPr>
          <w:trHeight w:val="30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D. Review </w:t>
            </w:r>
            <w:r w:rsidR="00F00E7C">
              <w:rPr>
                <w:color w:val="000000"/>
                <w:sz w:val="20"/>
                <w:szCs w:val="20"/>
              </w:rPr>
              <w:t>i</w:t>
            </w:r>
            <w:r w:rsidRPr="00CB6BFB">
              <w:rPr>
                <w:color w:val="000000"/>
                <w:sz w:val="20"/>
                <w:szCs w:val="20"/>
              </w:rPr>
              <w:t xml:space="preserve">ncrements of </w:t>
            </w:r>
            <w:r w:rsidR="00F00E7C">
              <w:rPr>
                <w:color w:val="000000"/>
                <w:sz w:val="20"/>
                <w:szCs w:val="20"/>
              </w:rPr>
              <w:t>p</w:t>
            </w:r>
            <w:r w:rsidRPr="00CB6BFB">
              <w:rPr>
                <w:color w:val="000000"/>
                <w:sz w:val="20"/>
                <w:szCs w:val="20"/>
              </w:rPr>
              <w:t>rogress</w:t>
            </w:r>
          </w:p>
        </w:tc>
        <w:tc>
          <w:tcPr>
            <w:tcW w:w="1282"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5</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0</w:t>
            </w:r>
          </w:p>
        </w:tc>
      </w:tr>
      <w:tr w:rsidR="00F00E7C" w:rsidRPr="00CB6BFB" w:rsidTr="00F00E7C">
        <w:trPr>
          <w:trHeight w:val="36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E. Review </w:t>
            </w:r>
            <w:r w:rsidR="00F00E7C">
              <w:rPr>
                <w:color w:val="000000"/>
                <w:sz w:val="20"/>
                <w:szCs w:val="20"/>
              </w:rPr>
              <w:t>a</w:t>
            </w:r>
            <w:r w:rsidRPr="00CB6BFB">
              <w:rPr>
                <w:color w:val="000000"/>
                <w:sz w:val="20"/>
                <w:szCs w:val="20"/>
              </w:rPr>
              <w:t xml:space="preserve">mended </w:t>
            </w:r>
            <w:r w:rsidR="00F00E7C">
              <w:rPr>
                <w:color w:val="000000"/>
                <w:sz w:val="20"/>
                <w:szCs w:val="20"/>
              </w:rPr>
              <w:t>d</w:t>
            </w:r>
            <w:r w:rsidRPr="00CB6BFB">
              <w:rPr>
                <w:color w:val="000000"/>
                <w:sz w:val="20"/>
                <w:szCs w:val="20"/>
              </w:rPr>
              <w:t xml:space="preserve">esign </w:t>
            </w:r>
            <w:r w:rsidR="00F00E7C">
              <w:rPr>
                <w:color w:val="000000"/>
                <w:sz w:val="20"/>
                <w:szCs w:val="20"/>
              </w:rPr>
              <w:t>c</w:t>
            </w:r>
            <w:r w:rsidRPr="00CB6BFB">
              <w:rPr>
                <w:color w:val="000000"/>
                <w:sz w:val="20"/>
                <w:szCs w:val="20"/>
              </w:rPr>
              <w:t xml:space="preserve">apacity </w:t>
            </w:r>
            <w:r w:rsidR="00F00E7C">
              <w:rPr>
                <w:color w:val="000000"/>
                <w:sz w:val="20"/>
                <w:szCs w:val="20"/>
              </w:rPr>
              <w:t>r</w:t>
            </w:r>
            <w:r w:rsidRPr="00CB6BFB">
              <w:rPr>
                <w:color w:val="000000"/>
                <w:sz w:val="20"/>
                <w:szCs w:val="20"/>
              </w:rPr>
              <w:t>eport</w:t>
            </w:r>
          </w:p>
        </w:tc>
        <w:tc>
          <w:tcPr>
            <w:tcW w:w="1282"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0.4</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0.8</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414.6</w:t>
            </w:r>
          </w:p>
        </w:tc>
      </w:tr>
      <w:tr w:rsidR="00F00E7C" w:rsidRPr="00CB6BFB" w:rsidTr="00F00E7C">
        <w:trPr>
          <w:trHeight w:val="30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F. Review </w:t>
            </w:r>
            <w:r w:rsidR="00F00E7C">
              <w:rPr>
                <w:color w:val="000000"/>
                <w:sz w:val="20"/>
                <w:szCs w:val="20"/>
              </w:rPr>
              <w:t>a</w:t>
            </w:r>
            <w:r w:rsidRPr="00CB6BFB">
              <w:rPr>
                <w:color w:val="000000"/>
                <w:sz w:val="20"/>
                <w:szCs w:val="20"/>
              </w:rPr>
              <w:t xml:space="preserve">nnual </w:t>
            </w:r>
            <w:r w:rsidR="00F00E7C">
              <w:rPr>
                <w:color w:val="000000"/>
                <w:sz w:val="20"/>
                <w:szCs w:val="20"/>
              </w:rPr>
              <w:t>c</w:t>
            </w:r>
            <w:r w:rsidRPr="00CB6BFB">
              <w:rPr>
                <w:color w:val="000000"/>
                <w:sz w:val="20"/>
                <w:szCs w:val="20"/>
              </w:rPr>
              <w:t xml:space="preserve">ompliance </w:t>
            </w:r>
            <w:r w:rsidR="00F00E7C">
              <w:rPr>
                <w:color w:val="000000"/>
                <w:sz w:val="20"/>
                <w:szCs w:val="20"/>
              </w:rPr>
              <w:t>r</w:t>
            </w:r>
            <w:r w:rsidRPr="00CB6BFB">
              <w:rPr>
                <w:color w:val="000000"/>
                <w:sz w:val="20"/>
                <w:szCs w:val="20"/>
              </w:rPr>
              <w:t>eport</w:t>
            </w:r>
          </w:p>
        </w:tc>
        <w:tc>
          <w:tcPr>
            <w:tcW w:w="1282"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sz w:val="20"/>
                <w:szCs w:val="20"/>
              </w:rPr>
            </w:pPr>
            <w:r w:rsidRPr="00CB6BFB">
              <w:rPr>
                <w:sz w:val="20"/>
                <w:szCs w:val="20"/>
              </w:rPr>
              <w:t>157</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314</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15.7</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31.4</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16,272.89</w:t>
            </w:r>
          </w:p>
        </w:tc>
      </w:tr>
      <w:tr w:rsidR="00F00E7C" w:rsidRPr="00CB6BFB" w:rsidTr="00F00E7C">
        <w:trPr>
          <w:trHeight w:val="36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G. Review </w:t>
            </w:r>
            <w:r w:rsidR="00F00E7C">
              <w:rPr>
                <w:color w:val="000000"/>
                <w:sz w:val="20"/>
                <w:szCs w:val="20"/>
              </w:rPr>
              <w:t>l</w:t>
            </w:r>
            <w:r w:rsidRPr="00CB6BFB">
              <w:rPr>
                <w:color w:val="000000"/>
                <w:sz w:val="20"/>
                <w:szCs w:val="20"/>
              </w:rPr>
              <w:t xml:space="preserve">andfill </w:t>
            </w:r>
            <w:r w:rsidR="00F00E7C">
              <w:rPr>
                <w:color w:val="000000"/>
                <w:sz w:val="20"/>
                <w:szCs w:val="20"/>
              </w:rPr>
              <w:t>c</w:t>
            </w:r>
            <w:r w:rsidRPr="00CB6BFB">
              <w:rPr>
                <w:color w:val="000000"/>
                <w:sz w:val="20"/>
                <w:szCs w:val="20"/>
              </w:rPr>
              <w:t xml:space="preserve">losure </w:t>
            </w:r>
            <w:r w:rsidR="00F00E7C">
              <w:rPr>
                <w:color w:val="000000"/>
                <w:sz w:val="20"/>
                <w:szCs w:val="20"/>
              </w:rPr>
              <w:t>r</w:t>
            </w:r>
            <w:r w:rsidRPr="00CB6BFB">
              <w:rPr>
                <w:color w:val="000000"/>
                <w:sz w:val="20"/>
                <w:szCs w:val="20"/>
              </w:rPr>
              <w:t>eport</w:t>
            </w:r>
            <w:r w:rsidR="00F00E7C">
              <w:rPr>
                <w:color w:val="000000"/>
                <w:sz w:val="20"/>
                <w:szCs w:val="20"/>
              </w:rPr>
              <w:t xml:space="preserve"> </w:t>
            </w:r>
            <w:r w:rsidRPr="00CB6BFB">
              <w:rPr>
                <w:color w:val="000000"/>
                <w:sz w:val="20"/>
                <w:szCs w:val="20"/>
                <w:vertAlign w:val="superscript"/>
              </w:rPr>
              <w:t>e</w:t>
            </w:r>
          </w:p>
        </w:tc>
        <w:tc>
          <w:tcPr>
            <w:tcW w:w="1282"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sz w:val="20"/>
                <w:szCs w:val="20"/>
              </w:rPr>
            </w:pPr>
            <w:r w:rsidRPr="00CB6BFB">
              <w:rPr>
                <w:sz w:val="20"/>
                <w:szCs w:val="20"/>
              </w:rPr>
              <w:t>5</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5</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0.25</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0.5</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259.12</w:t>
            </w:r>
          </w:p>
        </w:tc>
      </w:tr>
      <w:tr w:rsidR="00F00E7C" w:rsidRPr="00CB6BFB" w:rsidTr="00F00E7C">
        <w:trPr>
          <w:trHeight w:val="36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CB6BFB" w:rsidRDefault="00CB6BFB" w:rsidP="00F00E7C">
            <w:pPr>
              <w:widowControl/>
              <w:autoSpaceDE/>
              <w:autoSpaceDN/>
              <w:adjustRightInd/>
              <w:ind w:left="437" w:hanging="167"/>
              <w:rPr>
                <w:color w:val="000000"/>
                <w:sz w:val="20"/>
                <w:szCs w:val="20"/>
              </w:rPr>
            </w:pPr>
            <w:r w:rsidRPr="00CB6BFB">
              <w:rPr>
                <w:color w:val="000000"/>
                <w:sz w:val="20"/>
                <w:szCs w:val="20"/>
              </w:rPr>
              <w:t xml:space="preserve">H. Review </w:t>
            </w:r>
            <w:r w:rsidR="00F00E7C">
              <w:rPr>
                <w:color w:val="000000"/>
                <w:sz w:val="20"/>
                <w:szCs w:val="20"/>
              </w:rPr>
              <w:t>e</w:t>
            </w:r>
            <w:r w:rsidRPr="00CB6BFB">
              <w:rPr>
                <w:color w:val="000000"/>
                <w:sz w:val="20"/>
                <w:szCs w:val="20"/>
              </w:rPr>
              <w:t xml:space="preserve">quipment </w:t>
            </w:r>
            <w:r w:rsidR="00F00E7C">
              <w:rPr>
                <w:color w:val="000000"/>
                <w:sz w:val="20"/>
                <w:szCs w:val="20"/>
              </w:rPr>
              <w:t>r</w:t>
            </w:r>
            <w:r w:rsidRPr="00CB6BFB">
              <w:rPr>
                <w:color w:val="000000"/>
                <w:sz w:val="20"/>
                <w:szCs w:val="20"/>
              </w:rPr>
              <w:t xml:space="preserve">emoval </w:t>
            </w:r>
            <w:r w:rsidR="00F00E7C">
              <w:rPr>
                <w:color w:val="000000"/>
                <w:sz w:val="20"/>
                <w:szCs w:val="20"/>
              </w:rPr>
              <w:t>r</w:t>
            </w:r>
            <w:r w:rsidRPr="00CB6BFB">
              <w:rPr>
                <w:color w:val="000000"/>
                <w:sz w:val="20"/>
                <w:szCs w:val="20"/>
              </w:rPr>
              <w:t>eport</w:t>
            </w:r>
            <w:r w:rsidR="00F00E7C">
              <w:rPr>
                <w:color w:val="000000"/>
                <w:sz w:val="20"/>
                <w:szCs w:val="20"/>
              </w:rPr>
              <w:t xml:space="preserve"> </w:t>
            </w:r>
            <w:r w:rsidRPr="00CB6BFB">
              <w:rPr>
                <w:color w:val="000000"/>
                <w:sz w:val="20"/>
                <w:szCs w:val="20"/>
                <w:vertAlign w:val="superscript"/>
              </w:rPr>
              <w:t>f</w:t>
            </w:r>
          </w:p>
        </w:tc>
        <w:tc>
          <w:tcPr>
            <w:tcW w:w="1282"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center"/>
              <w:rPr>
                <w:color w:val="000000"/>
                <w:sz w:val="20"/>
                <w:szCs w:val="20"/>
              </w:rPr>
            </w:pPr>
            <w:r w:rsidRPr="00CB6BFB">
              <w:rPr>
                <w:color w:val="000000"/>
                <w:sz w:val="20"/>
                <w:szCs w:val="20"/>
              </w:rPr>
              <w:t>0</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CB6BFB" w:rsidRDefault="00CB6BFB" w:rsidP="00CB6BFB">
            <w:pPr>
              <w:widowControl/>
              <w:autoSpaceDE/>
              <w:autoSpaceDN/>
              <w:adjustRightInd/>
              <w:jc w:val="right"/>
              <w:rPr>
                <w:sz w:val="20"/>
                <w:szCs w:val="20"/>
              </w:rPr>
            </w:pPr>
            <w:r w:rsidRPr="00CB6BFB">
              <w:rPr>
                <w:sz w:val="20"/>
                <w:szCs w:val="20"/>
              </w:rPr>
              <w:t>0</w:t>
            </w:r>
          </w:p>
        </w:tc>
      </w:tr>
      <w:tr w:rsidR="00CB6BFB" w:rsidRPr="00A83AFC" w:rsidTr="00F00E7C">
        <w:trPr>
          <w:trHeight w:val="300"/>
          <w:jc w:val="center"/>
        </w:trPr>
        <w:tc>
          <w:tcPr>
            <w:tcW w:w="4494" w:type="dxa"/>
            <w:tcBorders>
              <w:top w:val="nil"/>
              <w:left w:val="single" w:sz="4" w:space="0" w:color="auto"/>
              <w:bottom w:val="single" w:sz="4" w:space="0" w:color="auto"/>
              <w:right w:val="single" w:sz="4" w:space="0" w:color="auto"/>
            </w:tcBorders>
            <w:shd w:val="clear" w:color="auto" w:fill="auto"/>
            <w:vAlign w:val="bottom"/>
            <w:hideMark/>
          </w:tcPr>
          <w:p w:rsidR="00CB6BFB" w:rsidRPr="00A83AFC" w:rsidRDefault="00A70493" w:rsidP="00CB6BFB">
            <w:pPr>
              <w:widowControl/>
              <w:autoSpaceDE/>
              <w:autoSpaceDN/>
              <w:adjustRightInd/>
              <w:rPr>
                <w:b/>
                <w:color w:val="000000"/>
                <w:sz w:val="20"/>
                <w:szCs w:val="20"/>
              </w:rPr>
            </w:pPr>
            <w:r w:rsidRPr="00A70493">
              <w:rPr>
                <w:b/>
                <w:color w:val="000000"/>
                <w:sz w:val="20"/>
                <w:szCs w:val="20"/>
              </w:rPr>
              <w:t>Total Labor Burden and Cost</w:t>
            </w:r>
            <w:r w:rsidR="00F00E7C">
              <w:rPr>
                <w:b/>
                <w:color w:val="000000"/>
                <w:sz w:val="20"/>
                <w:szCs w:val="20"/>
              </w:rPr>
              <w:t xml:space="preserve"> (rounded)</w:t>
            </w:r>
          </w:p>
        </w:tc>
        <w:tc>
          <w:tcPr>
            <w:tcW w:w="1282" w:type="dxa"/>
            <w:tcBorders>
              <w:top w:val="nil"/>
              <w:left w:val="nil"/>
              <w:bottom w:val="single" w:sz="4" w:space="0" w:color="auto"/>
              <w:right w:val="single" w:sz="4" w:space="0" w:color="auto"/>
            </w:tcBorders>
            <w:shd w:val="clear" w:color="auto" w:fill="auto"/>
            <w:noWrap/>
            <w:vAlign w:val="bottom"/>
            <w:hideMark/>
          </w:tcPr>
          <w:p w:rsidR="00CB6BFB" w:rsidRPr="00A83AFC" w:rsidRDefault="00A70493" w:rsidP="00CB6BFB">
            <w:pPr>
              <w:widowControl/>
              <w:autoSpaceDE/>
              <w:autoSpaceDN/>
              <w:adjustRightInd/>
              <w:rPr>
                <w:b/>
                <w:color w:val="000000"/>
                <w:sz w:val="20"/>
                <w:szCs w:val="20"/>
              </w:rPr>
            </w:pPr>
            <w:r w:rsidRPr="00A70493">
              <w:rPr>
                <w:b/>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CB6BFB" w:rsidRPr="00A83AFC" w:rsidRDefault="00A70493" w:rsidP="00CB6BFB">
            <w:pPr>
              <w:widowControl/>
              <w:autoSpaceDE/>
              <w:autoSpaceDN/>
              <w:adjustRightInd/>
              <w:jc w:val="center"/>
              <w:rPr>
                <w:b/>
                <w:color w:val="000000"/>
                <w:sz w:val="20"/>
                <w:szCs w:val="20"/>
              </w:rPr>
            </w:pPr>
            <w:r w:rsidRPr="00A70493">
              <w:rPr>
                <w:b/>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rsidR="00CB6BFB" w:rsidRPr="00A83AFC" w:rsidRDefault="00A70493" w:rsidP="00CB6BFB">
            <w:pPr>
              <w:widowControl/>
              <w:autoSpaceDE/>
              <w:autoSpaceDN/>
              <w:adjustRightInd/>
              <w:jc w:val="center"/>
              <w:rPr>
                <w:b/>
                <w:color w:val="000000"/>
                <w:sz w:val="20"/>
                <w:szCs w:val="20"/>
              </w:rPr>
            </w:pPr>
            <w:r w:rsidRPr="00A70493">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B6BFB" w:rsidRPr="00A83AFC" w:rsidRDefault="00A70493" w:rsidP="00CB6BFB">
            <w:pPr>
              <w:widowControl/>
              <w:autoSpaceDE/>
              <w:autoSpaceDN/>
              <w:adjustRightInd/>
              <w:jc w:val="center"/>
              <w:rPr>
                <w:b/>
                <w:color w:val="000000"/>
                <w:sz w:val="20"/>
                <w:szCs w:val="20"/>
              </w:rPr>
            </w:pPr>
            <w:r w:rsidRPr="00A70493">
              <w:rPr>
                <w:b/>
                <w:color w:val="000000"/>
                <w:sz w:val="20"/>
                <w:szCs w:val="20"/>
              </w:rPr>
              <w:t> </w:t>
            </w:r>
          </w:p>
        </w:tc>
        <w:tc>
          <w:tcPr>
            <w:tcW w:w="3354" w:type="dxa"/>
            <w:gridSpan w:val="3"/>
            <w:tcBorders>
              <w:top w:val="single" w:sz="4" w:space="0" w:color="auto"/>
              <w:left w:val="nil"/>
              <w:bottom w:val="single" w:sz="4" w:space="0" w:color="auto"/>
              <w:right w:val="single" w:sz="4" w:space="0" w:color="auto"/>
            </w:tcBorders>
            <w:shd w:val="clear" w:color="auto" w:fill="auto"/>
            <w:noWrap/>
            <w:vAlign w:val="bottom"/>
            <w:hideMark/>
          </w:tcPr>
          <w:p w:rsidR="00CB6BFB" w:rsidRPr="00A83AFC" w:rsidRDefault="00301BCC" w:rsidP="00CB6BFB">
            <w:pPr>
              <w:widowControl/>
              <w:autoSpaceDE/>
              <w:autoSpaceDN/>
              <w:adjustRightInd/>
              <w:jc w:val="center"/>
              <w:rPr>
                <w:b/>
                <w:color w:val="000000"/>
                <w:sz w:val="20"/>
                <w:szCs w:val="20"/>
              </w:rPr>
            </w:pPr>
            <w:r>
              <w:rPr>
                <w:b/>
                <w:color w:val="000000"/>
                <w:sz w:val="20"/>
                <w:szCs w:val="20"/>
              </w:rPr>
              <w:t>376</w:t>
            </w:r>
          </w:p>
        </w:tc>
        <w:tc>
          <w:tcPr>
            <w:tcW w:w="1018" w:type="dxa"/>
            <w:tcBorders>
              <w:top w:val="nil"/>
              <w:left w:val="nil"/>
              <w:bottom w:val="single" w:sz="4" w:space="0" w:color="auto"/>
              <w:right w:val="single" w:sz="4" w:space="0" w:color="auto"/>
            </w:tcBorders>
            <w:shd w:val="clear" w:color="auto" w:fill="auto"/>
            <w:noWrap/>
            <w:vAlign w:val="bottom"/>
            <w:hideMark/>
          </w:tcPr>
          <w:p w:rsidR="00CB6BFB" w:rsidRPr="00A83AFC" w:rsidRDefault="003C48C1" w:rsidP="009712FB">
            <w:pPr>
              <w:widowControl/>
              <w:autoSpaceDE/>
              <w:autoSpaceDN/>
              <w:adjustRightInd/>
              <w:jc w:val="right"/>
              <w:rPr>
                <w:b/>
                <w:sz w:val="20"/>
                <w:szCs w:val="20"/>
              </w:rPr>
            </w:pPr>
            <w:r>
              <w:rPr>
                <w:b/>
                <w:sz w:val="20"/>
                <w:szCs w:val="20"/>
              </w:rPr>
              <w:t>$</w:t>
            </w:r>
            <w:r w:rsidR="00301BCC" w:rsidRPr="00301BCC">
              <w:rPr>
                <w:b/>
                <w:sz w:val="20"/>
                <w:szCs w:val="20"/>
              </w:rPr>
              <w:t>16,947</w:t>
            </w:r>
          </w:p>
        </w:tc>
      </w:tr>
    </w:tbl>
    <w:p w:rsidR="00F972EB" w:rsidRDefault="00F972EB" w:rsidP="00F972EB">
      <w:pPr>
        <w:ind w:left="270" w:hanging="270"/>
        <w:rPr>
          <w:sz w:val="20"/>
          <w:szCs w:val="20"/>
        </w:rPr>
      </w:pPr>
    </w:p>
    <w:p w:rsidR="00CB6BFB" w:rsidRPr="00CB6BFB" w:rsidRDefault="00CB6BFB" w:rsidP="00CB6BFB">
      <w:pPr>
        <w:ind w:left="270" w:hanging="270"/>
        <w:rPr>
          <w:sz w:val="20"/>
          <w:szCs w:val="20"/>
        </w:rPr>
      </w:pPr>
      <w:r>
        <w:rPr>
          <w:sz w:val="20"/>
          <w:szCs w:val="20"/>
        </w:rPr>
        <w:t>Assumptions:</w:t>
      </w:r>
    </w:p>
    <w:p w:rsidR="00CB6BFB" w:rsidRPr="00CB6BFB" w:rsidRDefault="00CB6BFB" w:rsidP="00CB6BFB">
      <w:pPr>
        <w:ind w:left="270" w:hanging="270"/>
        <w:rPr>
          <w:sz w:val="20"/>
          <w:szCs w:val="20"/>
        </w:rPr>
      </w:pPr>
      <w:r w:rsidRPr="00730F5B">
        <w:rPr>
          <w:sz w:val="20"/>
          <w:szCs w:val="20"/>
          <w:vertAlign w:val="superscript"/>
        </w:rPr>
        <w:t>a</w:t>
      </w:r>
      <w:r w:rsidRPr="00CB6BFB">
        <w:rPr>
          <w:sz w:val="20"/>
          <w:szCs w:val="20"/>
        </w:rPr>
        <w:t>.  We estimate there are 474 existing landfills that are subject to the emission guidelines.  Of these, we estimate 157 (33%) of landfills are private a</w:t>
      </w:r>
      <w:r>
        <w:rPr>
          <w:sz w:val="20"/>
          <w:szCs w:val="20"/>
        </w:rPr>
        <w:t>nd 317 (67%) are public.</w:t>
      </w:r>
    </w:p>
    <w:p w:rsidR="00CB6BFB" w:rsidRPr="00CB6BFB" w:rsidRDefault="00CB6BFB" w:rsidP="00CB6BFB">
      <w:pPr>
        <w:ind w:left="270" w:hanging="270"/>
        <w:rPr>
          <w:sz w:val="20"/>
          <w:szCs w:val="20"/>
        </w:rPr>
      </w:pPr>
      <w:r w:rsidRPr="00730F5B">
        <w:rPr>
          <w:sz w:val="20"/>
          <w:szCs w:val="20"/>
          <w:vertAlign w:val="superscript"/>
        </w:rPr>
        <w:t>b.</w:t>
      </w:r>
      <w:r w:rsidRPr="00CB6BFB">
        <w:rPr>
          <w:sz w:val="20"/>
          <w:szCs w:val="20"/>
        </w:rPr>
        <w:t xml:space="preserve">  This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locality rates of pay.  The rates have been increased by 60 percent to account for the benefit packages available </w:t>
      </w:r>
      <w:r>
        <w:rPr>
          <w:sz w:val="20"/>
          <w:szCs w:val="20"/>
        </w:rPr>
        <w:t>to government employees.</w:t>
      </w:r>
    </w:p>
    <w:p w:rsidR="00CB6BFB" w:rsidRPr="00CB6BFB" w:rsidRDefault="00CB6BFB" w:rsidP="00CB6BFB">
      <w:pPr>
        <w:ind w:left="270" w:hanging="270"/>
        <w:rPr>
          <w:sz w:val="20"/>
          <w:szCs w:val="20"/>
        </w:rPr>
      </w:pPr>
      <w:r w:rsidRPr="00730F5B">
        <w:rPr>
          <w:sz w:val="20"/>
          <w:szCs w:val="20"/>
          <w:vertAlign w:val="superscript"/>
        </w:rPr>
        <w:t>c.</w:t>
      </w:r>
      <w:r w:rsidRPr="00CB6BFB">
        <w:rPr>
          <w:sz w:val="20"/>
          <w:szCs w:val="20"/>
        </w:rPr>
        <w:t xml:space="preserve">  This ICR assumes that all landfills affected by a State plan or the Federal plan have already exceeded the 50 Mg/yr NMOC emission threshold and are no longer submitting annual NMO</w:t>
      </w:r>
      <w:r>
        <w:rPr>
          <w:sz w:val="20"/>
          <w:szCs w:val="20"/>
        </w:rPr>
        <w:t>C emission rate reports.</w:t>
      </w:r>
    </w:p>
    <w:p w:rsidR="00CB6BFB" w:rsidRPr="00CB6BFB" w:rsidRDefault="00CB6BFB" w:rsidP="00CB6BFB">
      <w:pPr>
        <w:ind w:left="270" w:hanging="270"/>
        <w:rPr>
          <w:sz w:val="20"/>
          <w:szCs w:val="20"/>
        </w:rPr>
      </w:pPr>
      <w:r w:rsidRPr="00730F5B">
        <w:rPr>
          <w:sz w:val="20"/>
          <w:szCs w:val="20"/>
          <w:vertAlign w:val="superscript"/>
        </w:rPr>
        <w:t>d.</w:t>
      </w:r>
      <w:r w:rsidRPr="00CB6BFB">
        <w:rPr>
          <w:sz w:val="20"/>
          <w:szCs w:val="20"/>
        </w:rPr>
        <w:t xml:space="preserve">  This ICR assumes 5 percent of landfills will submit an amended design c</w:t>
      </w:r>
      <w:r>
        <w:rPr>
          <w:sz w:val="20"/>
          <w:szCs w:val="20"/>
        </w:rPr>
        <w:t>apacity report per year.</w:t>
      </w:r>
    </w:p>
    <w:p w:rsidR="00CB6BFB" w:rsidRPr="00CB6BFB" w:rsidRDefault="00CB6BFB" w:rsidP="00CB6BFB">
      <w:pPr>
        <w:ind w:left="270" w:hanging="270"/>
        <w:rPr>
          <w:sz w:val="20"/>
          <w:szCs w:val="20"/>
        </w:rPr>
      </w:pPr>
      <w:r w:rsidRPr="00730F5B">
        <w:rPr>
          <w:sz w:val="20"/>
          <w:szCs w:val="20"/>
          <w:vertAlign w:val="superscript"/>
        </w:rPr>
        <w:t>e.</w:t>
      </w:r>
      <w:r w:rsidRPr="00CB6BFB">
        <w:rPr>
          <w:sz w:val="20"/>
          <w:szCs w:val="20"/>
        </w:rPr>
        <w:t xml:space="preserve">  We estimate that 33% of landfills are subject to the Federal plan and 67% of landfills are subject to a State plan.  Our estimate of 157 landfills subject to the </w:t>
      </w:r>
      <w:r w:rsidRPr="00CB6BFB">
        <w:rPr>
          <w:sz w:val="20"/>
          <w:szCs w:val="20"/>
        </w:rPr>
        <w:lastRenderedPageBreak/>
        <w:t>Federal plan includes 52 private landfills an</w:t>
      </w:r>
      <w:r>
        <w:rPr>
          <w:sz w:val="20"/>
          <w:szCs w:val="20"/>
        </w:rPr>
        <w:t>d 105 public landfills.</w:t>
      </w:r>
    </w:p>
    <w:p w:rsidR="00CB6BFB" w:rsidRPr="00CB6BFB" w:rsidRDefault="00CB6BFB" w:rsidP="00CB6BFB">
      <w:pPr>
        <w:ind w:left="270" w:hanging="270"/>
        <w:rPr>
          <w:sz w:val="20"/>
          <w:szCs w:val="20"/>
        </w:rPr>
      </w:pPr>
      <w:r w:rsidRPr="00730F5B">
        <w:rPr>
          <w:sz w:val="20"/>
          <w:szCs w:val="20"/>
          <w:vertAlign w:val="superscript"/>
        </w:rPr>
        <w:t>f.</w:t>
      </w:r>
      <w:r w:rsidRPr="00CB6BFB">
        <w:rPr>
          <w:sz w:val="20"/>
          <w:szCs w:val="20"/>
        </w:rPr>
        <w:t xml:space="preserve">  This ICR assumes 3 percent of landfills will submit a landfill </w:t>
      </w:r>
      <w:r>
        <w:rPr>
          <w:sz w:val="20"/>
          <w:szCs w:val="20"/>
        </w:rPr>
        <w:t>closure report per year.</w:t>
      </w:r>
    </w:p>
    <w:p w:rsidR="00CB6BFB" w:rsidRPr="00F972EB" w:rsidRDefault="00CB6BFB" w:rsidP="00CB6BFB">
      <w:pPr>
        <w:ind w:left="270" w:hanging="270"/>
        <w:rPr>
          <w:sz w:val="20"/>
          <w:szCs w:val="20"/>
        </w:rPr>
      </w:pPr>
      <w:r w:rsidRPr="00730F5B">
        <w:rPr>
          <w:sz w:val="20"/>
          <w:szCs w:val="20"/>
          <w:vertAlign w:val="superscript"/>
        </w:rPr>
        <w:t>g.</w:t>
      </w:r>
      <w:r w:rsidRPr="00CB6BFB">
        <w:rPr>
          <w:sz w:val="20"/>
          <w:szCs w:val="20"/>
        </w:rPr>
        <w:t xml:space="preserve">  This ICR assumes no landfills will submit an equipment removal report over the 3-year period of this ICR.</w:t>
      </w:r>
    </w:p>
    <w:sectPr w:rsidR="00CB6BFB" w:rsidRPr="00F972E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F91" w:rsidRDefault="00AC1F91">
      <w:r>
        <w:separator/>
      </w:r>
    </w:p>
  </w:endnote>
  <w:endnote w:type="continuationSeparator" w:id="0">
    <w:p w:rsidR="00AC1F91" w:rsidRDefault="00AC1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F91" w:rsidRDefault="00AC1F91">
      <w:r>
        <w:separator/>
      </w:r>
    </w:p>
  </w:footnote>
  <w:footnote w:type="continuationSeparator" w:id="0">
    <w:p w:rsidR="00AC1F91" w:rsidRDefault="00AC1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91" w:rsidRDefault="00AC1F91">
    <w:pPr>
      <w:framePr w:w="9361" w:wrap="notBeside" w:vAnchor="text" w:hAnchor="text" w:x="1" w:y="1"/>
      <w:jc w:val="center"/>
    </w:pPr>
    <w:fldSimple w:instr="PAGE ">
      <w:r w:rsidR="004C22BB">
        <w:rPr>
          <w:noProof/>
        </w:rPr>
        <w:t>17</w:t>
      </w:r>
    </w:fldSimple>
  </w:p>
  <w:p w:rsidR="00AC1F91" w:rsidRDefault="00AC1F91"/>
  <w:p w:rsidR="00AC1F91" w:rsidRDefault="00AC1F91">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91" w:rsidRDefault="00AC1F91" w:rsidP="00B55328">
    <w:pPr>
      <w:framePr w:w="12960" w:wrap="notBeside" w:vAnchor="text" w:hAnchor="text" w:x="1" w:y="1"/>
      <w:jc w:val="center"/>
    </w:pPr>
    <w:fldSimple w:instr="PAGE ">
      <w:r w:rsidR="004C22BB">
        <w:rPr>
          <w:noProof/>
        </w:rPr>
        <w:t>18</w:t>
      </w:r>
    </w:fldSimple>
  </w:p>
  <w:p w:rsidR="00AC1F91" w:rsidRDefault="00AC1F91"/>
  <w:p w:rsidR="00AC1F91" w:rsidRDefault="00AC1F9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530675E"/>
    <w:multiLevelType w:val="hybridMultilevel"/>
    <w:tmpl w:val="39C0F8B6"/>
    <w:lvl w:ilvl="0" w:tplc="0A441C2A">
      <w:start w:val="1"/>
      <w:numFmt w:val="decimal"/>
      <w:lvlText w:val="%1"/>
      <w:lvlJc w:val="left"/>
      <w:pPr>
        <w:ind w:left="1080" w:hanging="360"/>
      </w:pPr>
      <w:rPr>
        <w:rFonts w:hint="default"/>
        <w:sz w:val="24"/>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nsid w:val="686772DB"/>
    <w:multiLevelType w:val="hybridMultilevel"/>
    <w:tmpl w:val="A50C3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2"/>
  </w:num>
  <w:num w:numId="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7931"/>
    <w:rsid w:val="00017D99"/>
    <w:rsid w:val="000208B8"/>
    <w:rsid w:val="0003619B"/>
    <w:rsid w:val="0005081A"/>
    <w:rsid w:val="00051FE2"/>
    <w:rsid w:val="00055BDF"/>
    <w:rsid w:val="00055DC5"/>
    <w:rsid w:val="00067429"/>
    <w:rsid w:val="00072E8B"/>
    <w:rsid w:val="0008696E"/>
    <w:rsid w:val="00086CC6"/>
    <w:rsid w:val="00095BA4"/>
    <w:rsid w:val="000A1FBB"/>
    <w:rsid w:val="000A2B5C"/>
    <w:rsid w:val="000A4133"/>
    <w:rsid w:val="000A687C"/>
    <w:rsid w:val="000A6A5E"/>
    <w:rsid w:val="000B3160"/>
    <w:rsid w:val="000B3B14"/>
    <w:rsid w:val="000D09E2"/>
    <w:rsid w:val="000D0CA4"/>
    <w:rsid w:val="000D2272"/>
    <w:rsid w:val="000D4791"/>
    <w:rsid w:val="000F6EEB"/>
    <w:rsid w:val="000F772C"/>
    <w:rsid w:val="00101B40"/>
    <w:rsid w:val="00101C5B"/>
    <w:rsid w:val="001020ED"/>
    <w:rsid w:val="00102B52"/>
    <w:rsid w:val="0010697C"/>
    <w:rsid w:val="0011029B"/>
    <w:rsid w:val="00123889"/>
    <w:rsid w:val="00126A7C"/>
    <w:rsid w:val="0013290E"/>
    <w:rsid w:val="0013622C"/>
    <w:rsid w:val="0014079D"/>
    <w:rsid w:val="00144978"/>
    <w:rsid w:val="00144A82"/>
    <w:rsid w:val="00144F35"/>
    <w:rsid w:val="0015433E"/>
    <w:rsid w:val="00157D67"/>
    <w:rsid w:val="001638E5"/>
    <w:rsid w:val="00166FEC"/>
    <w:rsid w:val="00176C73"/>
    <w:rsid w:val="00186DA3"/>
    <w:rsid w:val="0019030B"/>
    <w:rsid w:val="00191F07"/>
    <w:rsid w:val="00192216"/>
    <w:rsid w:val="00193E25"/>
    <w:rsid w:val="00195753"/>
    <w:rsid w:val="001A0B41"/>
    <w:rsid w:val="001A434D"/>
    <w:rsid w:val="001A7B0D"/>
    <w:rsid w:val="001B0B9A"/>
    <w:rsid w:val="001B35F2"/>
    <w:rsid w:val="001C24CE"/>
    <w:rsid w:val="001C5873"/>
    <w:rsid w:val="001C5991"/>
    <w:rsid w:val="001D762C"/>
    <w:rsid w:val="001E325E"/>
    <w:rsid w:val="001E7C44"/>
    <w:rsid w:val="001F19FF"/>
    <w:rsid w:val="001F46A2"/>
    <w:rsid w:val="001F48BF"/>
    <w:rsid w:val="002041C5"/>
    <w:rsid w:val="002063FE"/>
    <w:rsid w:val="00206932"/>
    <w:rsid w:val="00207D69"/>
    <w:rsid w:val="0021722B"/>
    <w:rsid w:val="00222D83"/>
    <w:rsid w:val="0022738C"/>
    <w:rsid w:val="002322B8"/>
    <w:rsid w:val="00234A28"/>
    <w:rsid w:val="00236DB3"/>
    <w:rsid w:val="002370B4"/>
    <w:rsid w:val="00241BFB"/>
    <w:rsid w:val="00243082"/>
    <w:rsid w:val="002431D9"/>
    <w:rsid w:val="002457BC"/>
    <w:rsid w:val="0025284D"/>
    <w:rsid w:val="002638A0"/>
    <w:rsid w:val="00263DA0"/>
    <w:rsid w:val="002712EB"/>
    <w:rsid w:val="0027222A"/>
    <w:rsid w:val="002743D2"/>
    <w:rsid w:val="00277F42"/>
    <w:rsid w:val="00281CAE"/>
    <w:rsid w:val="00286588"/>
    <w:rsid w:val="00287403"/>
    <w:rsid w:val="0029006A"/>
    <w:rsid w:val="002904E7"/>
    <w:rsid w:val="0029263E"/>
    <w:rsid w:val="00294104"/>
    <w:rsid w:val="002976E9"/>
    <w:rsid w:val="002A10AD"/>
    <w:rsid w:val="002A4E65"/>
    <w:rsid w:val="002B29A5"/>
    <w:rsid w:val="002B29A7"/>
    <w:rsid w:val="002B2B71"/>
    <w:rsid w:val="002B3AB1"/>
    <w:rsid w:val="002B426A"/>
    <w:rsid w:val="002B5158"/>
    <w:rsid w:val="002B517F"/>
    <w:rsid w:val="002B6993"/>
    <w:rsid w:val="002C1F95"/>
    <w:rsid w:val="002C416A"/>
    <w:rsid w:val="002C4F6E"/>
    <w:rsid w:val="002C77DF"/>
    <w:rsid w:val="002D7683"/>
    <w:rsid w:val="002E03DC"/>
    <w:rsid w:val="002E0C98"/>
    <w:rsid w:val="002F1EFA"/>
    <w:rsid w:val="002F674B"/>
    <w:rsid w:val="002F6DB3"/>
    <w:rsid w:val="00301BCC"/>
    <w:rsid w:val="00302FC6"/>
    <w:rsid w:val="003110FE"/>
    <w:rsid w:val="003139FC"/>
    <w:rsid w:val="00330BE5"/>
    <w:rsid w:val="003337BB"/>
    <w:rsid w:val="00334700"/>
    <w:rsid w:val="00340D80"/>
    <w:rsid w:val="00341540"/>
    <w:rsid w:val="0034728B"/>
    <w:rsid w:val="0035018F"/>
    <w:rsid w:val="003511C6"/>
    <w:rsid w:val="00354C15"/>
    <w:rsid w:val="003630D1"/>
    <w:rsid w:val="00365AF1"/>
    <w:rsid w:val="00367D01"/>
    <w:rsid w:val="00372563"/>
    <w:rsid w:val="0037277B"/>
    <w:rsid w:val="00394ACD"/>
    <w:rsid w:val="003B7049"/>
    <w:rsid w:val="003B7A5E"/>
    <w:rsid w:val="003C48C1"/>
    <w:rsid w:val="003C4B46"/>
    <w:rsid w:val="003C5023"/>
    <w:rsid w:val="003C7E1E"/>
    <w:rsid w:val="003D2036"/>
    <w:rsid w:val="003E30B5"/>
    <w:rsid w:val="003E4C18"/>
    <w:rsid w:val="003E62DB"/>
    <w:rsid w:val="003F61FF"/>
    <w:rsid w:val="0040391F"/>
    <w:rsid w:val="004063F5"/>
    <w:rsid w:val="0041212C"/>
    <w:rsid w:val="00412980"/>
    <w:rsid w:val="00412EF6"/>
    <w:rsid w:val="004159ED"/>
    <w:rsid w:val="00417FC7"/>
    <w:rsid w:val="00426E5E"/>
    <w:rsid w:val="00435FE1"/>
    <w:rsid w:val="0044133C"/>
    <w:rsid w:val="00442961"/>
    <w:rsid w:val="004429F0"/>
    <w:rsid w:val="00444B12"/>
    <w:rsid w:val="00446509"/>
    <w:rsid w:val="0045183D"/>
    <w:rsid w:val="00455557"/>
    <w:rsid w:val="00461576"/>
    <w:rsid w:val="0046540C"/>
    <w:rsid w:val="00473FD9"/>
    <w:rsid w:val="0047766E"/>
    <w:rsid w:val="00484A45"/>
    <w:rsid w:val="00493743"/>
    <w:rsid w:val="004A4B25"/>
    <w:rsid w:val="004C04FB"/>
    <w:rsid w:val="004C22BB"/>
    <w:rsid w:val="004C5E95"/>
    <w:rsid w:val="004C701D"/>
    <w:rsid w:val="004D6933"/>
    <w:rsid w:val="004E2BAC"/>
    <w:rsid w:val="004E6927"/>
    <w:rsid w:val="004E7561"/>
    <w:rsid w:val="004F0682"/>
    <w:rsid w:val="004F1469"/>
    <w:rsid w:val="004F6FCD"/>
    <w:rsid w:val="00503890"/>
    <w:rsid w:val="0050676D"/>
    <w:rsid w:val="00507EC5"/>
    <w:rsid w:val="005110F5"/>
    <w:rsid w:val="00516952"/>
    <w:rsid w:val="005253D4"/>
    <w:rsid w:val="00531181"/>
    <w:rsid w:val="0054048A"/>
    <w:rsid w:val="00550E96"/>
    <w:rsid w:val="00551815"/>
    <w:rsid w:val="00560AD2"/>
    <w:rsid w:val="005618BA"/>
    <w:rsid w:val="00565A51"/>
    <w:rsid w:val="00571260"/>
    <w:rsid w:val="00574916"/>
    <w:rsid w:val="00583626"/>
    <w:rsid w:val="005842C5"/>
    <w:rsid w:val="0059682C"/>
    <w:rsid w:val="005A0CE8"/>
    <w:rsid w:val="005A1986"/>
    <w:rsid w:val="005A761F"/>
    <w:rsid w:val="005B3DC3"/>
    <w:rsid w:val="005B485E"/>
    <w:rsid w:val="005B5DE8"/>
    <w:rsid w:val="005C3665"/>
    <w:rsid w:val="005C3871"/>
    <w:rsid w:val="005C4286"/>
    <w:rsid w:val="005C42AC"/>
    <w:rsid w:val="005C4CC5"/>
    <w:rsid w:val="005D1B56"/>
    <w:rsid w:val="005D385C"/>
    <w:rsid w:val="005E194B"/>
    <w:rsid w:val="005F42F8"/>
    <w:rsid w:val="005F4DD5"/>
    <w:rsid w:val="005F6AA2"/>
    <w:rsid w:val="00601205"/>
    <w:rsid w:val="00606DEF"/>
    <w:rsid w:val="0061544E"/>
    <w:rsid w:val="00622F9E"/>
    <w:rsid w:val="00630160"/>
    <w:rsid w:val="0063046F"/>
    <w:rsid w:val="00631517"/>
    <w:rsid w:val="00635DBD"/>
    <w:rsid w:val="00635F9E"/>
    <w:rsid w:val="006423A5"/>
    <w:rsid w:val="00644D1B"/>
    <w:rsid w:val="006575CC"/>
    <w:rsid w:val="0066231D"/>
    <w:rsid w:val="00672479"/>
    <w:rsid w:val="006741F7"/>
    <w:rsid w:val="006767D9"/>
    <w:rsid w:val="00684382"/>
    <w:rsid w:val="00687442"/>
    <w:rsid w:val="00687816"/>
    <w:rsid w:val="00690BC1"/>
    <w:rsid w:val="00691155"/>
    <w:rsid w:val="00694B55"/>
    <w:rsid w:val="006A32C4"/>
    <w:rsid w:val="006B217C"/>
    <w:rsid w:val="006B4A1C"/>
    <w:rsid w:val="006C519F"/>
    <w:rsid w:val="006C5AF7"/>
    <w:rsid w:val="006C66D0"/>
    <w:rsid w:val="006D1B12"/>
    <w:rsid w:val="006E1856"/>
    <w:rsid w:val="006E4A6E"/>
    <w:rsid w:val="006E642B"/>
    <w:rsid w:val="00701C51"/>
    <w:rsid w:val="00707D6F"/>
    <w:rsid w:val="00714176"/>
    <w:rsid w:val="007143F2"/>
    <w:rsid w:val="0072431E"/>
    <w:rsid w:val="00730F5B"/>
    <w:rsid w:val="007315DD"/>
    <w:rsid w:val="0073456A"/>
    <w:rsid w:val="00752341"/>
    <w:rsid w:val="00763160"/>
    <w:rsid w:val="007776EE"/>
    <w:rsid w:val="00780612"/>
    <w:rsid w:val="00786A20"/>
    <w:rsid w:val="007A0634"/>
    <w:rsid w:val="007A071B"/>
    <w:rsid w:val="007A16F4"/>
    <w:rsid w:val="007A458D"/>
    <w:rsid w:val="007C00E8"/>
    <w:rsid w:val="007C0FAA"/>
    <w:rsid w:val="007C16D1"/>
    <w:rsid w:val="007C28C2"/>
    <w:rsid w:val="007D2873"/>
    <w:rsid w:val="007D392E"/>
    <w:rsid w:val="007E62D0"/>
    <w:rsid w:val="007F07FB"/>
    <w:rsid w:val="007F0C5A"/>
    <w:rsid w:val="007F7F67"/>
    <w:rsid w:val="00810507"/>
    <w:rsid w:val="00813E69"/>
    <w:rsid w:val="00817E8B"/>
    <w:rsid w:val="00833674"/>
    <w:rsid w:val="008338D4"/>
    <w:rsid w:val="008415E9"/>
    <w:rsid w:val="0084255D"/>
    <w:rsid w:val="008439CA"/>
    <w:rsid w:val="00844CB0"/>
    <w:rsid w:val="008457BE"/>
    <w:rsid w:val="00850ACF"/>
    <w:rsid w:val="00852038"/>
    <w:rsid w:val="008551D1"/>
    <w:rsid w:val="00861489"/>
    <w:rsid w:val="00870273"/>
    <w:rsid w:val="0087316D"/>
    <w:rsid w:val="00876B42"/>
    <w:rsid w:val="008825D0"/>
    <w:rsid w:val="00885C4A"/>
    <w:rsid w:val="0088639E"/>
    <w:rsid w:val="00894DAC"/>
    <w:rsid w:val="008A2198"/>
    <w:rsid w:val="008A28F6"/>
    <w:rsid w:val="008A46EB"/>
    <w:rsid w:val="008B0608"/>
    <w:rsid w:val="008B2641"/>
    <w:rsid w:val="008B407C"/>
    <w:rsid w:val="008B4327"/>
    <w:rsid w:val="008C0D6F"/>
    <w:rsid w:val="008C5B3D"/>
    <w:rsid w:val="008C5F60"/>
    <w:rsid w:val="008D4106"/>
    <w:rsid w:val="008D4133"/>
    <w:rsid w:val="008E65DE"/>
    <w:rsid w:val="008E65E6"/>
    <w:rsid w:val="008F1E5F"/>
    <w:rsid w:val="008F285B"/>
    <w:rsid w:val="008F4564"/>
    <w:rsid w:val="009018EC"/>
    <w:rsid w:val="00902154"/>
    <w:rsid w:val="00905F62"/>
    <w:rsid w:val="00906EDB"/>
    <w:rsid w:val="00912E00"/>
    <w:rsid w:val="00913C57"/>
    <w:rsid w:val="00923C46"/>
    <w:rsid w:val="009254CD"/>
    <w:rsid w:val="0092579C"/>
    <w:rsid w:val="009262DB"/>
    <w:rsid w:val="00927022"/>
    <w:rsid w:val="00930B7B"/>
    <w:rsid w:val="00942F6E"/>
    <w:rsid w:val="00943C67"/>
    <w:rsid w:val="00952F56"/>
    <w:rsid w:val="00955CE0"/>
    <w:rsid w:val="009711DB"/>
    <w:rsid w:val="009712FB"/>
    <w:rsid w:val="00977441"/>
    <w:rsid w:val="009920A0"/>
    <w:rsid w:val="00995292"/>
    <w:rsid w:val="009A0F50"/>
    <w:rsid w:val="009A16CD"/>
    <w:rsid w:val="009A55B8"/>
    <w:rsid w:val="009B02A3"/>
    <w:rsid w:val="009C06F5"/>
    <w:rsid w:val="009C50B4"/>
    <w:rsid w:val="009D5026"/>
    <w:rsid w:val="009D6567"/>
    <w:rsid w:val="009D744D"/>
    <w:rsid w:val="009E0F31"/>
    <w:rsid w:val="009F6AC4"/>
    <w:rsid w:val="009F7356"/>
    <w:rsid w:val="009F76CA"/>
    <w:rsid w:val="00A006FB"/>
    <w:rsid w:val="00A007F5"/>
    <w:rsid w:val="00A0083E"/>
    <w:rsid w:val="00A014F1"/>
    <w:rsid w:val="00A038EC"/>
    <w:rsid w:val="00A12364"/>
    <w:rsid w:val="00A13403"/>
    <w:rsid w:val="00A145B0"/>
    <w:rsid w:val="00A15172"/>
    <w:rsid w:val="00A26EF7"/>
    <w:rsid w:val="00A277D6"/>
    <w:rsid w:val="00A35203"/>
    <w:rsid w:val="00A379F8"/>
    <w:rsid w:val="00A44D76"/>
    <w:rsid w:val="00A54EEA"/>
    <w:rsid w:val="00A56BFF"/>
    <w:rsid w:val="00A57221"/>
    <w:rsid w:val="00A6380B"/>
    <w:rsid w:val="00A63871"/>
    <w:rsid w:val="00A6411D"/>
    <w:rsid w:val="00A665B6"/>
    <w:rsid w:val="00A70493"/>
    <w:rsid w:val="00A72EB9"/>
    <w:rsid w:val="00A73600"/>
    <w:rsid w:val="00A74C1E"/>
    <w:rsid w:val="00A7661C"/>
    <w:rsid w:val="00A83AFC"/>
    <w:rsid w:val="00A85BFC"/>
    <w:rsid w:val="00A86C52"/>
    <w:rsid w:val="00A91CF7"/>
    <w:rsid w:val="00A95BC7"/>
    <w:rsid w:val="00A962DF"/>
    <w:rsid w:val="00AA42CA"/>
    <w:rsid w:val="00AA43A1"/>
    <w:rsid w:val="00AB7ED0"/>
    <w:rsid w:val="00AC1F91"/>
    <w:rsid w:val="00AC5895"/>
    <w:rsid w:val="00AD21A3"/>
    <w:rsid w:val="00AE0C16"/>
    <w:rsid w:val="00AE0F13"/>
    <w:rsid w:val="00AE7063"/>
    <w:rsid w:val="00AF0E0D"/>
    <w:rsid w:val="00AF19F1"/>
    <w:rsid w:val="00AF70A1"/>
    <w:rsid w:val="00AF7880"/>
    <w:rsid w:val="00B07887"/>
    <w:rsid w:val="00B07F79"/>
    <w:rsid w:val="00B16C07"/>
    <w:rsid w:val="00B46A57"/>
    <w:rsid w:val="00B51CF1"/>
    <w:rsid w:val="00B55328"/>
    <w:rsid w:val="00B6098C"/>
    <w:rsid w:val="00B65754"/>
    <w:rsid w:val="00B66231"/>
    <w:rsid w:val="00B7365B"/>
    <w:rsid w:val="00B769F1"/>
    <w:rsid w:val="00B7716F"/>
    <w:rsid w:val="00B82025"/>
    <w:rsid w:val="00B90F17"/>
    <w:rsid w:val="00BA064C"/>
    <w:rsid w:val="00BA0A91"/>
    <w:rsid w:val="00BA4887"/>
    <w:rsid w:val="00BA6B18"/>
    <w:rsid w:val="00BB3390"/>
    <w:rsid w:val="00BB3C1A"/>
    <w:rsid w:val="00BC6DEF"/>
    <w:rsid w:val="00BD0DED"/>
    <w:rsid w:val="00BD5395"/>
    <w:rsid w:val="00BE148B"/>
    <w:rsid w:val="00BE2989"/>
    <w:rsid w:val="00BE7A11"/>
    <w:rsid w:val="00BF24E9"/>
    <w:rsid w:val="00BF722F"/>
    <w:rsid w:val="00C13FE8"/>
    <w:rsid w:val="00C1453E"/>
    <w:rsid w:val="00C22EFB"/>
    <w:rsid w:val="00C24697"/>
    <w:rsid w:val="00C24EDD"/>
    <w:rsid w:val="00C273B5"/>
    <w:rsid w:val="00C27479"/>
    <w:rsid w:val="00C30A60"/>
    <w:rsid w:val="00C314FA"/>
    <w:rsid w:val="00C33ABA"/>
    <w:rsid w:val="00C37B86"/>
    <w:rsid w:val="00C37BB6"/>
    <w:rsid w:val="00C43032"/>
    <w:rsid w:val="00C47CCA"/>
    <w:rsid w:val="00C51DC9"/>
    <w:rsid w:val="00C529EE"/>
    <w:rsid w:val="00C52EFD"/>
    <w:rsid w:val="00C64378"/>
    <w:rsid w:val="00C72D74"/>
    <w:rsid w:val="00C75CF0"/>
    <w:rsid w:val="00C808B5"/>
    <w:rsid w:val="00C81548"/>
    <w:rsid w:val="00C82DB6"/>
    <w:rsid w:val="00C90D6F"/>
    <w:rsid w:val="00C9571F"/>
    <w:rsid w:val="00CA306A"/>
    <w:rsid w:val="00CA4CD6"/>
    <w:rsid w:val="00CB36B6"/>
    <w:rsid w:val="00CB4D65"/>
    <w:rsid w:val="00CB5694"/>
    <w:rsid w:val="00CB5F76"/>
    <w:rsid w:val="00CB6BFB"/>
    <w:rsid w:val="00CC40EB"/>
    <w:rsid w:val="00CC48AB"/>
    <w:rsid w:val="00CC58F6"/>
    <w:rsid w:val="00CC7DA0"/>
    <w:rsid w:val="00CD2069"/>
    <w:rsid w:val="00CD280D"/>
    <w:rsid w:val="00CE15B1"/>
    <w:rsid w:val="00CE45AE"/>
    <w:rsid w:val="00CF0462"/>
    <w:rsid w:val="00D00B38"/>
    <w:rsid w:val="00D040EE"/>
    <w:rsid w:val="00D066CD"/>
    <w:rsid w:val="00D07BB5"/>
    <w:rsid w:val="00D13D9A"/>
    <w:rsid w:val="00D14A8D"/>
    <w:rsid w:val="00D1575D"/>
    <w:rsid w:val="00D21198"/>
    <w:rsid w:val="00D22494"/>
    <w:rsid w:val="00D2273E"/>
    <w:rsid w:val="00D254E2"/>
    <w:rsid w:val="00D27884"/>
    <w:rsid w:val="00D411B4"/>
    <w:rsid w:val="00D42D52"/>
    <w:rsid w:val="00D44EE0"/>
    <w:rsid w:val="00D46FA2"/>
    <w:rsid w:val="00D5080D"/>
    <w:rsid w:val="00D56CAA"/>
    <w:rsid w:val="00D56F5F"/>
    <w:rsid w:val="00D60407"/>
    <w:rsid w:val="00D61B37"/>
    <w:rsid w:val="00D63B96"/>
    <w:rsid w:val="00D71066"/>
    <w:rsid w:val="00D77A61"/>
    <w:rsid w:val="00D83D38"/>
    <w:rsid w:val="00D84760"/>
    <w:rsid w:val="00D92F66"/>
    <w:rsid w:val="00D95819"/>
    <w:rsid w:val="00DA01B9"/>
    <w:rsid w:val="00DA1030"/>
    <w:rsid w:val="00DA1861"/>
    <w:rsid w:val="00DA4A3D"/>
    <w:rsid w:val="00DA7285"/>
    <w:rsid w:val="00DA7D0A"/>
    <w:rsid w:val="00DB59E1"/>
    <w:rsid w:val="00DC4DA8"/>
    <w:rsid w:val="00DC5504"/>
    <w:rsid w:val="00DD1AC1"/>
    <w:rsid w:val="00DD4E19"/>
    <w:rsid w:val="00DD7D49"/>
    <w:rsid w:val="00DE3FD2"/>
    <w:rsid w:val="00DE58F6"/>
    <w:rsid w:val="00DF5C4E"/>
    <w:rsid w:val="00E00861"/>
    <w:rsid w:val="00E01DCF"/>
    <w:rsid w:val="00E064CB"/>
    <w:rsid w:val="00E106EA"/>
    <w:rsid w:val="00E10DA7"/>
    <w:rsid w:val="00E1538C"/>
    <w:rsid w:val="00E1768E"/>
    <w:rsid w:val="00E25DB6"/>
    <w:rsid w:val="00E276CD"/>
    <w:rsid w:val="00E32EDA"/>
    <w:rsid w:val="00E33B0E"/>
    <w:rsid w:val="00E37960"/>
    <w:rsid w:val="00E44571"/>
    <w:rsid w:val="00E45E14"/>
    <w:rsid w:val="00E47FA3"/>
    <w:rsid w:val="00E51FFC"/>
    <w:rsid w:val="00E53137"/>
    <w:rsid w:val="00E60C23"/>
    <w:rsid w:val="00E613A1"/>
    <w:rsid w:val="00E702F6"/>
    <w:rsid w:val="00E74EA5"/>
    <w:rsid w:val="00E77D5E"/>
    <w:rsid w:val="00E868BB"/>
    <w:rsid w:val="00E941A3"/>
    <w:rsid w:val="00E95FF5"/>
    <w:rsid w:val="00E97E6F"/>
    <w:rsid w:val="00EA37A9"/>
    <w:rsid w:val="00EA7026"/>
    <w:rsid w:val="00EA7F30"/>
    <w:rsid w:val="00EB516C"/>
    <w:rsid w:val="00EC1F12"/>
    <w:rsid w:val="00EC1FCA"/>
    <w:rsid w:val="00EC4074"/>
    <w:rsid w:val="00ED1D02"/>
    <w:rsid w:val="00ED741E"/>
    <w:rsid w:val="00EE0703"/>
    <w:rsid w:val="00EE2BD3"/>
    <w:rsid w:val="00EE7A12"/>
    <w:rsid w:val="00EF113F"/>
    <w:rsid w:val="00EF1C3E"/>
    <w:rsid w:val="00EF201E"/>
    <w:rsid w:val="00EF26A4"/>
    <w:rsid w:val="00EF6877"/>
    <w:rsid w:val="00F00E7C"/>
    <w:rsid w:val="00F03803"/>
    <w:rsid w:val="00F05C51"/>
    <w:rsid w:val="00F066C9"/>
    <w:rsid w:val="00F07034"/>
    <w:rsid w:val="00F166CD"/>
    <w:rsid w:val="00F20822"/>
    <w:rsid w:val="00F2531E"/>
    <w:rsid w:val="00F340DF"/>
    <w:rsid w:val="00F34354"/>
    <w:rsid w:val="00F40272"/>
    <w:rsid w:val="00F434F5"/>
    <w:rsid w:val="00F44636"/>
    <w:rsid w:val="00F4659B"/>
    <w:rsid w:val="00F538BC"/>
    <w:rsid w:val="00F7238B"/>
    <w:rsid w:val="00F75AF4"/>
    <w:rsid w:val="00F84000"/>
    <w:rsid w:val="00F9092B"/>
    <w:rsid w:val="00F92D22"/>
    <w:rsid w:val="00F94409"/>
    <w:rsid w:val="00F95D66"/>
    <w:rsid w:val="00F972EB"/>
    <w:rsid w:val="00FA7A8F"/>
    <w:rsid w:val="00FA7C05"/>
    <w:rsid w:val="00FB0650"/>
    <w:rsid w:val="00FB1637"/>
    <w:rsid w:val="00FB4D98"/>
    <w:rsid w:val="00FB6378"/>
    <w:rsid w:val="00FB6874"/>
    <w:rsid w:val="00FB7BCE"/>
    <w:rsid w:val="00FC05C2"/>
    <w:rsid w:val="00FC4E09"/>
    <w:rsid w:val="00FD09E1"/>
    <w:rsid w:val="00FD443C"/>
    <w:rsid w:val="00FE170F"/>
    <w:rsid w:val="00FE2099"/>
    <w:rsid w:val="00FE5319"/>
    <w:rsid w:val="00FE7F5B"/>
    <w:rsid w:val="00FF09DC"/>
    <w:rsid w:val="00FF1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Revision">
    <w:name w:val="Revision"/>
    <w:hidden/>
    <w:uiPriority w:val="99"/>
    <w:semiHidden/>
    <w:rsid w:val="00AF0E0D"/>
    <w:rPr>
      <w:sz w:val="24"/>
      <w:szCs w:val="24"/>
    </w:rPr>
  </w:style>
  <w:style w:type="paragraph" w:styleId="ListParagraph">
    <w:name w:val="List Paragraph"/>
    <w:basedOn w:val="Normal"/>
    <w:uiPriority w:val="34"/>
    <w:qFormat/>
    <w:rsid w:val="008D4106"/>
    <w:pPr>
      <w:ind w:left="720"/>
      <w:contextualSpacing/>
    </w:pPr>
  </w:style>
</w:styles>
</file>

<file path=word/webSettings.xml><?xml version="1.0" encoding="utf-8"?>
<w:webSettings xmlns:r="http://schemas.openxmlformats.org/officeDocument/2006/relationships" xmlns:w="http://schemas.openxmlformats.org/wordprocessingml/2006/main">
  <w:divs>
    <w:div w:id="101153974">
      <w:bodyDiv w:val="1"/>
      <w:marLeft w:val="0"/>
      <w:marRight w:val="0"/>
      <w:marTop w:val="0"/>
      <w:marBottom w:val="0"/>
      <w:divBdr>
        <w:top w:val="none" w:sz="0" w:space="0" w:color="auto"/>
        <w:left w:val="none" w:sz="0" w:space="0" w:color="auto"/>
        <w:bottom w:val="none" w:sz="0" w:space="0" w:color="auto"/>
        <w:right w:val="none" w:sz="0" w:space="0" w:color="auto"/>
      </w:divBdr>
    </w:div>
    <w:div w:id="37369469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1238844">
      <w:bodyDiv w:val="1"/>
      <w:marLeft w:val="0"/>
      <w:marRight w:val="0"/>
      <w:marTop w:val="0"/>
      <w:marBottom w:val="0"/>
      <w:divBdr>
        <w:top w:val="none" w:sz="0" w:space="0" w:color="auto"/>
        <w:left w:val="none" w:sz="0" w:space="0" w:color="auto"/>
        <w:bottom w:val="none" w:sz="0" w:space="0" w:color="auto"/>
        <w:right w:val="none" w:sz="0" w:space="0" w:color="auto"/>
      </w:divBdr>
    </w:div>
    <w:div w:id="595553814">
      <w:bodyDiv w:val="1"/>
      <w:marLeft w:val="0"/>
      <w:marRight w:val="0"/>
      <w:marTop w:val="0"/>
      <w:marBottom w:val="0"/>
      <w:divBdr>
        <w:top w:val="none" w:sz="0" w:space="0" w:color="auto"/>
        <w:left w:val="none" w:sz="0" w:space="0" w:color="auto"/>
        <w:bottom w:val="none" w:sz="0" w:space="0" w:color="auto"/>
        <w:right w:val="none" w:sz="0" w:space="0" w:color="auto"/>
      </w:divBdr>
    </w:div>
    <w:div w:id="715467098">
      <w:bodyDiv w:val="1"/>
      <w:marLeft w:val="0"/>
      <w:marRight w:val="0"/>
      <w:marTop w:val="0"/>
      <w:marBottom w:val="0"/>
      <w:divBdr>
        <w:top w:val="none" w:sz="0" w:space="0" w:color="auto"/>
        <w:left w:val="none" w:sz="0" w:space="0" w:color="auto"/>
        <w:bottom w:val="none" w:sz="0" w:space="0" w:color="auto"/>
        <w:right w:val="none" w:sz="0" w:space="0" w:color="auto"/>
      </w:divBdr>
    </w:div>
    <w:div w:id="1049300161">
      <w:bodyDiv w:val="1"/>
      <w:marLeft w:val="0"/>
      <w:marRight w:val="0"/>
      <w:marTop w:val="0"/>
      <w:marBottom w:val="0"/>
      <w:divBdr>
        <w:top w:val="none" w:sz="0" w:space="0" w:color="auto"/>
        <w:left w:val="none" w:sz="0" w:space="0" w:color="auto"/>
        <w:bottom w:val="none" w:sz="0" w:space="0" w:color="auto"/>
        <w:right w:val="none" w:sz="0" w:space="0" w:color="auto"/>
      </w:divBdr>
    </w:div>
    <w:div w:id="1230733050">
      <w:bodyDiv w:val="1"/>
      <w:marLeft w:val="0"/>
      <w:marRight w:val="0"/>
      <w:marTop w:val="0"/>
      <w:marBottom w:val="0"/>
      <w:divBdr>
        <w:top w:val="none" w:sz="0" w:space="0" w:color="auto"/>
        <w:left w:val="none" w:sz="0" w:space="0" w:color="auto"/>
        <w:bottom w:val="none" w:sz="0" w:space="0" w:color="auto"/>
        <w:right w:val="none" w:sz="0" w:space="0" w:color="auto"/>
      </w:divBdr>
    </w:div>
    <w:div w:id="1240170099">
      <w:bodyDiv w:val="1"/>
      <w:marLeft w:val="0"/>
      <w:marRight w:val="0"/>
      <w:marTop w:val="0"/>
      <w:marBottom w:val="0"/>
      <w:divBdr>
        <w:top w:val="none" w:sz="0" w:space="0" w:color="auto"/>
        <w:left w:val="none" w:sz="0" w:space="0" w:color="auto"/>
        <w:bottom w:val="none" w:sz="0" w:space="0" w:color="auto"/>
        <w:right w:val="none" w:sz="0" w:space="0" w:color="auto"/>
      </w:divBdr>
    </w:div>
    <w:div w:id="1322781548">
      <w:bodyDiv w:val="1"/>
      <w:marLeft w:val="0"/>
      <w:marRight w:val="0"/>
      <w:marTop w:val="0"/>
      <w:marBottom w:val="0"/>
      <w:divBdr>
        <w:top w:val="none" w:sz="0" w:space="0" w:color="auto"/>
        <w:left w:val="none" w:sz="0" w:space="0" w:color="auto"/>
        <w:bottom w:val="none" w:sz="0" w:space="0" w:color="auto"/>
        <w:right w:val="none" w:sz="0" w:space="0" w:color="auto"/>
      </w:divBdr>
    </w:div>
    <w:div w:id="1457212326">
      <w:bodyDiv w:val="1"/>
      <w:marLeft w:val="0"/>
      <w:marRight w:val="0"/>
      <w:marTop w:val="0"/>
      <w:marBottom w:val="0"/>
      <w:divBdr>
        <w:top w:val="none" w:sz="0" w:space="0" w:color="auto"/>
        <w:left w:val="none" w:sz="0" w:space="0" w:color="auto"/>
        <w:bottom w:val="none" w:sz="0" w:space="0" w:color="auto"/>
        <w:right w:val="none" w:sz="0" w:space="0" w:color="auto"/>
      </w:divBdr>
    </w:div>
    <w:div w:id="1472164266">
      <w:bodyDiv w:val="1"/>
      <w:marLeft w:val="0"/>
      <w:marRight w:val="0"/>
      <w:marTop w:val="0"/>
      <w:marBottom w:val="0"/>
      <w:divBdr>
        <w:top w:val="none" w:sz="0" w:space="0" w:color="auto"/>
        <w:left w:val="none" w:sz="0" w:space="0" w:color="auto"/>
        <w:bottom w:val="none" w:sz="0" w:space="0" w:color="auto"/>
        <w:right w:val="none" w:sz="0" w:space="0" w:color="auto"/>
      </w:divBdr>
    </w:div>
    <w:div w:id="1518929644">
      <w:bodyDiv w:val="1"/>
      <w:marLeft w:val="0"/>
      <w:marRight w:val="0"/>
      <w:marTop w:val="0"/>
      <w:marBottom w:val="0"/>
      <w:divBdr>
        <w:top w:val="none" w:sz="0" w:space="0" w:color="auto"/>
        <w:left w:val="none" w:sz="0" w:space="0" w:color="auto"/>
        <w:bottom w:val="none" w:sz="0" w:space="0" w:color="auto"/>
        <w:right w:val="none" w:sz="0" w:space="0" w:color="auto"/>
      </w:divBdr>
    </w:div>
    <w:div w:id="1600285403">
      <w:bodyDiv w:val="1"/>
      <w:marLeft w:val="0"/>
      <w:marRight w:val="0"/>
      <w:marTop w:val="0"/>
      <w:marBottom w:val="0"/>
      <w:divBdr>
        <w:top w:val="none" w:sz="0" w:space="0" w:color="auto"/>
        <w:left w:val="none" w:sz="0" w:space="0" w:color="auto"/>
        <w:bottom w:val="none" w:sz="0" w:space="0" w:color="auto"/>
        <w:right w:val="none" w:sz="0" w:space="0" w:color="auto"/>
      </w:divBdr>
    </w:div>
    <w:div w:id="1668167090">
      <w:bodyDiv w:val="1"/>
      <w:marLeft w:val="0"/>
      <w:marRight w:val="0"/>
      <w:marTop w:val="0"/>
      <w:marBottom w:val="0"/>
      <w:divBdr>
        <w:top w:val="none" w:sz="0" w:space="0" w:color="auto"/>
        <w:left w:val="none" w:sz="0" w:space="0" w:color="auto"/>
        <w:bottom w:val="none" w:sz="0" w:space="0" w:color="auto"/>
        <w:right w:val="none" w:sz="0" w:space="0" w:color="auto"/>
      </w:divBdr>
    </w:div>
    <w:div w:id="1917548931">
      <w:bodyDiv w:val="1"/>
      <w:marLeft w:val="0"/>
      <w:marRight w:val="0"/>
      <w:marTop w:val="0"/>
      <w:marBottom w:val="0"/>
      <w:divBdr>
        <w:top w:val="none" w:sz="0" w:space="0" w:color="auto"/>
        <w:left w:val="none" w:sz="0" w:space="0" w:color="auto"/>
        <w:bottom w:val="none" w:sz="0" w:space="0" w:color="auto"/>
        <w:right w:val="none" w:sz="0" w:space="0" w:color="auto"/>
      </w:divBdr>
    </w:div>
    <w:div w:id="19662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landfill/%20landflp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318C-15D4-4B7C-BC04-222EDE4A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7852</Words>
  <Characters>42605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50357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2013-01-09T17:25:00Z</cp:lastPrinted>
  <dcterms:created xsi:type="dcterms:W3CDTF">2013-02-01T19:55:00Z</dcterms:created>
  <dcterms:modified xsi:type="dcterms:W3CDTF">2013-02-01T19:55:00Z</dcterms:modified>
</cp:coreProperties>
</file>