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E02" w:rsidRPr="00A27DC1" w:rsidRDefault="00212984" w:rsidP="00151E02">
      <w:pPr>
        <w:rPr>
          <w:rFonts w:ascii="Arial" w:hAnsi="Arial" w:cs="Arial"/>
          <w:b/>
          <w:szCs w:val="24"/>
        </w:rPr>
      </w:pPr>
      <w:r>
        <w:rPr>
          <w:rFonts w:ascii="Arial" w:hAnsi="Arial" w:cs="Arial"/>
          <w:b/>
          <w:noProof/>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156.95pt;margin-top:.8pt;width:315.55pt;height:119.5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J+wKgIAAFEEAAAOAAAAZHJzL2Uyb0RvYy54bWysVNtu2zAMfR+wfxD0vtjxkjU14hRdugwD&#10;ugvQ7gNkWbaFSaImKbG7ry8lp2l2exnmB4EUqUPykPT6atSKHITzEkxF57OcEmE4NNJ0Ff16v3u1&#10;osQHZhqmwIiKPghPrzYvX6wHW4oCelCNcARBjC8HW9E+BFtmmee90MzPwAqDxhacZgFV12WNYwOi&#10;a5UVef4mG8A11gEX3uPtzWSkm4TftoKHz23rRSCqophbSKdLZx3PbLNmZeeY7SU/psH+IQvNpMGg&#10;J6gbFhjZO/kblJbcgYc2zDjoDNpWcpFqwGrm+S/V3PXMilQLkuPtiSb//2D5p8MXR2RT0deUGKax&#10;RfdiDOQtjKSI7AzWl+h0Z9EtjHiNXU6VensL/JsnBrY9M524dg6GXrAGs5vHl9nZ0wnHR5B6+AgN&#10;hmH7AAlobJ2O1CEZBNGxSw+nzsRUOF4u8vxisVpSwtE2X85XBSoxBiufnlvnw3sBmkShog5bn+DZ&#10;4daHyfXJJUbzoGSzk0olxXX1VjlyYDgmu/Qd0X9yU4YMFb1cFsuJgb9C5On7E4SWAeddSV3R1cmJ&#10;lZG3d6bBNFkZmFSTjNUpcyQycjexGMZ6RMfIbg3NA1LqYJpr3EMUenA/KBlwpivqv++ZE5SoDwbb&#10;cjlfLOISJGWxvChQceeW+tzCDEeoigZKJnEbpsXZWye7HiNNg2DgGlvZykTyc1bHvHFuU5uOOxYX&#10;41xPXs9/gs0jAAAA//8DAFBLAwQUAAYACAAAACEA5GuIO98AAAAJAQAADwAAAGRycy9kb3ducmV2&#10;LnhtbEyPwU7DMBBE70j8g7VIXFDrtAlpE+JUCAlEb9AiuLqxm0TY62C7afh7lhMcV280+6baTNaw&#10;UfvQOxSwmCfANDZO9dgKeNs/ztbAQpSopHGoBXzrAJv68qKSpXJnfNXjLraMSjCUUkAX41ByHppO&#10;WxnmbtBI7Oi8lZFO33Ll5ZnKreHLJMm5lT3Sh04O+qHTzefuZAWss+fxI2zTl/cmP5oi3qzGpy8v&#10;xPXVdH8HLOop/oXhV5/UoSangzuhCswISBdpQVECOTDiRXZL2w4CllmyAl5X/P+C+gcAAP//AwBQ&#10;SwECLQAUAAYACAAAACEAtoM4kv4AAADhAQAAEwAAAAAAAAAAAAAAAAAAAAAAW0NvbnRlbnRfVHlw&#10;ZXNdLnhtbFBLAQItABQABgAIAAAAIQA4/SH/1gAAAJQBAAALAAAAAAAAAAAAAAAAAC8BAABfcmVs&#10;cy8ucmVsc1BLAQItABQABgAIAAAAIQBG5J+wKgIAAFEEAAAOAAAAAAAAAAAAAAAAAC4CAABkcnMv&#10;ZTJvRG9jLnhtbFBLAQItABQABgAIAAAAIQDka4g73wAAAAkBAAAPAAAAAAAAAAAAAAAAAIQEAABk&#10;cnMvZG93bnJldi54bWxQSwUGAAAAAAQABADzAAAAkAUAAAAA&#10;">
            <v:textbox>
              <w:txbxContent>
                <w:p w:rsidR="00DC0B8B" w:rsidRPr="006139D7" w:rsidRDefault="00DC0B8B" w:rsidP="00151E02">
                  <w:pPr>
                    <w:spacing w:before="280" w:beforeAutospacing="0" w:after="120" w:afterAutospacing="0"/>
                    <w:jc w:val="left"/>
                    <w:rPr>
                      <w:b/>
                      <w:sz w:val="28"/>
                      <w:szCs w:val="28"/>
                    </w:rPr>
                  </w:pPr>
                  <w:r w:rsidRPr="006139D7">
                    <w:rPr>
                      <w:b/>
                      <w:sz w:val="28"/>
                      <w:szCs w:val="28"/>
                    </w:rPr>
                    <w:t>U.S. Energy Information Administration</w:t>
                  </w:r>
                </w:p>
                <w:p w:rsidR="00DC0B8B" w:rsidRPr="006139D7" w:rsidRDefault="00DC0B8B" w:rsidP="00151E02">
                  <w:pPr>
                    <w:spacing w:before="280" w:beforeAutospacing="0" w:after="120" w:afterAutospacing="0"/>
                    <w:jc w:val="left"/>
                    <w:rPr>
                      <w:b/>
                      <w:sz w:val="28"/>
                      <w:szCs w:val="28"/>
                    </w:rPr>
                  </w:pPr>
                  <w:r w:rsidRPr="006139D7">
                    <w:rPr>
                      <w:b/>
                      <w:sz w:val="28"/>
                      <w:szCs w:val="28"/>
                    </w:rPr>
                    <w:t>Office of Energy Statistics</w:t>
                  </w:r>
                </w:p>
                <w:p w:rsidR="00DC0B8B" w:rsidRPr="006139D7" w:rsidRDefault="00DC0B8B" w:rsidP="00151E02">
                  <w:pPr>
                    <w:spacing w:before="280" w:beforeAutospacing="0" w:after="120" w:afterAutospacing="0"/>
                    <w:jc w:val="left"/>
                    <w:rPr>
                      <w:b/>
                      <w:sz w:val="28"/>
                      <w:szCs w:val="28"/>
                    </w:rPr>
                  </w:pPr>
                  <w:r>
                    <w:rPr>
                      <w:b/>
                      <w:sz w:val="28"/>
                      <w:szCs w:val="28"/>
                    </w:rPr>
                    <w:t>Office of Oil, Gas, and Coal Supply Statistics</w:t>
                  </w:r>
                </w:p>
              </w:txbxContent>
            </v:textbox>
          </v:shape>
        </w:pict>
      </w:r>
      <w:r w:rsidR="00151E02" w:rsidRPr="00A27DC1">
        <w:rPr>
          <w:noProof/>
          <w:szCs w:val="24"/>
        </w:rPr>
        <w:drawing>
          <wp:inline distT="0" distB="0" distL="0" distR="0">
            <wp:extent cx="1819275" cy="1399442"/>
            <wp:effectExtent l="19050" t="0" r="9525" b="0"/>
            <wp:docPr id="2" name="Picture 1" descr="http://taz/neic/Intranet2007/images/eia_logos/just%20EIA%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z/neic/Intranet2007/images/eia_logos/just%20EIA%20logo.jpg"/>
                    <pic:cNvPicPr>
                      <a:picLocks noChangeAspect="1" noChangeArrowheads="1"/>
                    </pic:cNvPicPr>
                  </pic:nvPicPr>
                  <pic:blipFill>
                    <a:blip r:embed="rId8" cstate="print"/>
                    <a:srcRect/>
                    <a:stretch>
                      <a:fillRect/>
                    </a:stretch>
                  </pic:blipFill>
                  <pic:spPr bwMode="auto">
                    <a:xfrm>
                      <a:off x="0" y="0"/>
                      <a:ext cx="1819275" cy="1399442"/>
                    </a:xfrm>
                    <a:prstGeom prst="rect">
                      <a:avLst/>
                    </a:prstGeom>
                    <a:noFill/>
                    <a:ln w="9525">
                      <a:noFill/>
                      <a:miter lim="800000"/>
                      <a:headEnd/>
                      <a:tailEnd/>
                    </a:ln>
                  </pic:spPr>
                </pic:pic>
              </a:graphicData>
            </a:graphic>
          </wp:inline>
        </w:drawing>
      </w:r>
    </w:p>
    <w:p w:rsidR="00151E02" w:rsidRPr="00A27DC1" w:rsidRDefault="00151E02" w:rsidP="00151E02">
      <w:pPr>
        <w:ind w:left="4320"/>
        <w:rPr>
          <w:szCs w:val="24"/>
        </w:rPr>
      </w:pPr>
    </w:p>
    <w:p w:rsidR="00151E02" w:rsidRPr="00A27DC1" w:rsidRDefault="00151E02" w:rsidP="00151E02">
      <w:pPr>
        <w:rPr>
          <w:rFonts w:ascii="Arial Black" w:hAnsi="Arial Black"/>
          <w:szCs w:val="24"/>
        </w:rPr>
      </w:pPr>
    </w:p>
    <w:p w:rsidR="00151E02" w:rsidRPr="0029242B" w:rsidRDefault="00151E02" w:rsidP="00151E02">
      <w:pPr>
        <w:jc w:val="left"/>
        <w:rPr>
          <w:b/>
          <w:sz w:val="32"/>
          <w:szCs w:val="32"/>
        </w:rPr>
      </w:pPr>
      <w:r w:rsidRPr="0029242B">
        <w:rPr>
          <w:b/>
          <w:sz w:val="32"/>
          <w:szCs w:val="32"/>
        </w:rPr>
        <w:t>Supporting Statement for Survey Clearance</w:t>
      </w:r>
      <w:r>
        <w:rPr>
          <w:b/>
          <w:sz w:val="32"/>
          <w:szCs w:val="32"/>
        </w:rPr>
        <w:t>:</w:t>
      </w:r>
    </w:p>
    <w:p w:rsidR="00151E02" w:rsidRPr="00A27DC1" w:rsidRDefault="00151E02" w:rsidP="00151E02">
      <w:pPr>
        <w:jc w:val="left"/>
        <w:rPr>
          <w:b/>
          <w:sz w:val="28"/>
          <w:szCs w:val="28"/>
        </w:rPr>
      </w:pPr>
      <w:r>
        <w:rPr>
          <w:b/>
          <w:sz w:val="28"/>
          <w:szCs w:val="28"/>
        </w:rPr>
        <w:t>U.S. Energy Information Administration’s (EIA) Oil and Gas Reserves System Surveys:</w:t>
      </w:r>
    </w:p>
    <w:p w:rsidR="00151E02" w:rsidRPr="00A27DC1" w:rsidRDefault="00151E02" w:rsidP="00151E02">
      <w:pPr>
        <w:ind w:left="360"/>
        <w:jc w:val="left"/>
        <w:rPr>
          <w:b/>
          <w:sz w:val="28"/>
          <w:szCs w:val="28"/>
        </w:rPr>
      </w:pPr>
      <w:r>
        <w:rPr>
          <w:b/>
          <w:sz w:val="28"/>
          <w:szCs w:val="28"/>
        </w:rPr>
        <w:t>FORM</w:t>
      </w:r>
      <w:r w:rsidRPr="00A27DC1">
        <w:rPr>
          <w:b/>
          <w:sz w:val="28"/>
          <w:szCs w:val="28"/>
        </w:rPr>
        <w:t xml:space="preserve"> EIA-23L, </w:t>
      </w:r>
      <w:r w:rsidRPr="00B40712">
        <w:rPr>
          <w:b/>
          <w:i/>
          <w:sz w:val="28"/>
          <w:szCs w:val="28"/>
        </w:rPr>
        <w:t>Annual Survey of Domestic Oil and Gas Reserves (Field Version)</w:t>
      </w:r>
    </w:p>
    <w:p w:rsidR="00151E02" w:rsidRPr="00A27DC1" w:rsidRDefault="006C0138" w:rsidP="00151E02">
      <w:pPr>
        <w:ind w:left="360"/>
        <w:jc w:val="left"/>
        <w:rPr>
          <w:b/>
          <w:sz w:val="28"/>
          <w:szCs w:val="28"/>
        </w:rPr>
      </w:pPr>
      <w:r>
        <w:rPr>
          <w:b/>
          <w:sz w:val="28"/>
          <w:szCs w:val="28"/>
        </w:rPr>
        <w:t xml:space="preserve">Form </w:t>
      </w:r>
      <w:r w:rsidR="00151E02" w:rsidRPr="00A27DC1">
        <w:rPr>
          <w:b/>
          <w:sz w:val="28"/>
          <w:szCs w:val="28"/>
        </w:rPr>
        <w:t xml:space="preserve">EIA-23S, </w:t>
      </w:r>
      <w:r w:rsidR="00151E02" w:rsidRPr="00B40712">
        <w:rPr>
          <w:b/>
          <w:i/>
          <w:sz w:val="28"/>
          <w:szCs w:val="28"/>
        </w:rPr>
        <w:t>Annual Survey of Domestic Oil and Gas Reserves (Summary Version)</w:t>
      </w:r>
      <w:r w:rsidR="00B6039F">
        <w:rPr>
          <w:b/>
          <w:i/>
          <w:sz w:val="28"/>
          <w:szCs w:val="28"/>
        </w:rPr>
        <w:t xml:space="preserve"> – Requesting </w:t>
      </w:r>
      <w:r w:rsidR="002F157F">
        <w:rPr>
          <w:b/>
          <w:i/>
          <w:sz w:val="28"/>
          <w:szCs w:val="28"/>
        </w:rPr>
        <w:t>Suspension</w:t>
      </w:r>
    </w:p>
    <w:p w:rsidR="00151E02" w:rsidRPr="00A27DC1" w:rsidRDefault="006C0138" w:rsidP="00151E02">
      <w:pPr>
        <w:ind w:left="360"/>
        <w:jc w:val="left"/>
        <w:rPr>
          <w:b/>
          <w:sz w:val="28"/>
          <w:szCs w:val="28"/>
        </w:rPr>
      </w:pPr>
      <w:proofErr w:type="spellStart"/>
      <w:r>
        <w:rPr>
          <w:b/>
          <w:sz w:val="28"/>
          <w:szCs w:val="28"/>
        </w:rPr>
        <w:t xml:space="preserve">Form </w:t>
      </w:r>
      <w:r w:rsidR="00151E02" w:rsidRPr="00A27DC1">
        <w:rPr>
          <w:b/>
          <w:sz w:val="28"/>
          <w:szCs w:val="28"/>
        </w:rPr>
        <w:t>EIA-64A,</w:t>
      </w:r>
      <w:proofErr w:type="spellEnd"/>
      <w:r w:rsidR="00151E02" w:rsidRPr="00A27DC1">
        <w:rPr>
          <w:b/>
          <w:sz w:val="28"/>
          <w:szCs w:val="28"/>
        </w:rPr>
        <w:t xml:space="preserve"> </w:t>
      </w:r>
      <w:r w:rsidR="00151E02" w:rsidRPr="00B40712">
        <w:rPr>
          <w:b/>
          <w:i/>
          <w:sz w:val="28"/>
          <w:szCs w:val="28"/>
        </w:rPr>
        <w:t>Annual Report of the Origin of Natural Gas Liquids Production</w:t>
      </w:r>
    </w:p>
    <w:p w:rsidR="00151E02" w:rsidRPr="00A27DC1" w:rsidRDefault="00151E02" w:rsidP="00151E02">
      <w:pPr>
        <w:ind w:left="360"/>
        <w:jc w:val="left"/>
        <w:rPr>
          <w:b/>
          <w:sz w:val="28"/>
          <w:szCs w:val="28"/>
        </w:rPr>
      </w:pPr>
      <w:r w:rsidRPr="00A27DC1">
        <w:rPr>
          <w:b/>
          <w:sz w:val="28"/>
          <w:szCs w:val="28"/>
        </w:rPr>
        <w:t>OMB No. 1905-0057</w:t>
      </w:r>
    </w:p>
    <w:p w:rsidR="00151E02" w:rsidRPr="00A27DC1" w:rsidRDefault="00151E02" w:rsidP="00151E02">
      <w:pPr>
        <w:jc w:val="lef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tblGrid>
      <w:tr w:rsidR="00151E02" w:rsidRPr="00A27DC1" w:rsidTr="003935DC">
        <w:tc>
          <w:tcPr>
            <w:tcW w:w="7488" w:type="dxa"/>
            <w:vAlign w:val="center"/>
          </w:tcPr>
          <w:p w:rsidR="00151E02" w:rsidRDefault="00151E02" w:rsidP="003935DC">
            <w:pPr>
              <w:spacing w:before="240" w:beforeAutospacing="0" w:after="240" w:afterAutospacing="0"/>
              <w:jc w:val="left"/>
              <w:rPr>
                <w:b/>
                <w:sz w:val="32"/>
                <w:szCs w:val="32"/>
              </w:rPr>
            </w:pPr>
            <w:r>
              <w:rPr>
                <w:b/>
                <w:sz w:val="32"/>
                <w:szCs w:val="32"/>
              </w:rPr>
              <w:t>Part B:</w:t>
            </w:r>
          </w:p>
          <w:p w:rsidR="00151E02" w:rsidRDefault="00151E02" w:rsidP="003935DC">
            <w:pPr>
              <w:spacing w:before="240" w:beforeAutospacing="0" w:after="240" w:afterAutospacing="0"/>
              <w:jc w:val="left"/>
              <w:rPr>
                <w:b/>
                <w:sz w:val="32"/>
                <w:szCs w:val="32"/>
              </w:rPr>
            </w:pPr>
            <w:r>
              <w:rPr>
                <w:b/>
                <w:sz w:val="32"/>
                <w:szCs w:val="32"/>
              </w:rPr>
              <w:t>Statistical Methods</w:t>
            </w:r>
          </w:p>
          <w:p w:rsidR="009776DC" w:rsidRPr="00A27DC1" w:rsidRDefault="00755805" w:rsidP="003935DC">
            <w:pPr>
              <w:spacing w:before="240" w:beforeAutospacing="0" w:after="240" w:afterAutospacing="0"/>
              <w:jc w:val="left"/>
              <w:rPr>
                <w:b/>
                <w:szCs w:val="24"/>
              </w:rPr>
            </w:pPr>
            <w:r>
              <w:rPr>
                <w:b/>
                <w:sz w:val="32"/>
                <w:szCs w:val="32"/>
              </w:rPr>
              <w:t>Appendix: References</w:t>
            </w:r>
          </w:p>
        </w:tc>
      </w:tr>
    </w:tbl>
    <w:p w:rsidR="006C0138" w:rsidRPr="006C0138" w:rsidRDefault="00403BF3" w:rsidP="006C0138">
      <w:pPr>
        <w:rPr>
          <w:b/>
          <w:sz w:val="28"/>
          <w:szCs w:val="28"/>
        </w:rPr>
      </w:pPr>
      <w:r>
        <w:rPr>
          <w:b/>
          <w:sz w:val="28"/>
          <w:szCs w:val="28"/>
        </w:rPr>
        <w:t>February</w:t>
      </w:r>
      <w:r w:rsidR="006C0138" w:rsidRPr="006C0138">
        <w:rPr>
          <w:b/>
          <w:sz w:val="28"/>
          <w:szCs w:val="28"/>
        </w:rPr>
        <w:t>, 2013</w:t>
      </w:r>
    </w:p>
    <w:p w:rsidR="006C0138" w:rsidRPr="00A27DC1" w:rsidRDefault="006C0138" w:rsidP="00151E02">
      <w:pPr>
        <w:rPr>
          <w:szCs w:val="24"/>
        </w:rPr>
      </w:pPr>
    </w:p>
    <w:p w:rsidR="00151E02" w:rsidRDefault="00151E02" w:rsidP="00151E02">
      <w:pPr>
        <w:rPr>
          <w:szCs w:val="24"/>
        </w:rPr>
        <w:sectPr w:rsidR="00151E02" w:rsidSect="003935DC">
          <w:footerReference w:type="default" r:id="rId9"/>
          <w:pgSz w:w="12240" w:h="15840"/>
          <w:pgMar w:top="1440" w:right="1440" w:bottom="1440" w:left="1440" w:header="720" w:footer="720" w:gutter="0"/>
          <w:cols w:space="720"/>
          <w:titlePg/>
          <w:docGrid w:linePitch="360"/>
        </w:sectPr>
      </w:pPr>
    </w:p>
    <w:p w:rsidR="00BB6F52" w:rsidRDefault="00BB6F52"/>
    <w:sdt>
      <w:sdtPr>
        <w:rPr>
          <w:rFonts w:ascii="Calibri" w:hAnsi="Calibri"/>
          <w:b/>
          <w:bCs/>
          <w:sz w:val="28"/>
          <w:szCs w:val="28"/>
        </w:rPr>
        <w:id w:val="23057126"/>
        <w:docPartObj>
          <w:docPartGallery w:val="Table of Contents"/>
          <w:docPartUnique/>
        </w:docPartObj>
      </w:sdtPr>
      <w:sdtEndPr>
        <w:rPr>
          <w:rFonts w:ascii="Times New Roman" w:hAnsi="Times New Roman"/>
          <w:b w:val="0"/>
          <w:bCs w:val="0"/>
          <w:sz w:val="22"/>
          <w:szCs w:val="22"/>
        </w:rPr>
      </w:sdtEndPr>
      <w:sdtContent>
        <w:p w:rsidR="00BB6F52" w:rsidRPr="006473DA" w:rsidRDefault="00BB6F52" w:rsidP="00BB6F52">
          <w:pPr>
            <w:spacing w:before="240" w:beforeAutospacing="0" w:after="240" w:afterAutospacing="0"/>
            <w:rPr>
              <w:b/>
              <w:sz w:val="28"/>
              <w:szCs w:val="28"/>
            </w:rPr>
          </w:pPr>
          <w:r w:rsidRPr="006473DA">
            <w:rPr>
              <w:b/>
              <w:sz w:val="28"/>
              <w:szCs w:val="28"/>
            </w:rPr>
            <w:t>Table of Contents</w:t>
          </w:r>
        </w:p>
        <w:p w:rsidR="009776DC" w:rsidRPr="00755805" w:rsidRDefault="00212984">
          <w:pPr>
            <w:pStyle w:val="TOC1"/>
            <w:tabs>
              <w:tab w:val="left" w:pos="480"/>
              <w:tab w:val="right" w:leader="dot" w:pos="9350"/>
            </w:tabs>
            <w:rPr>
              <w:rFonts w:asciiTheme="minorHAnsi" w:eastAsiaTheme="minorEastAsia" w:hAnsiTheme="minorHAnsi" w:cstheme="minorBidi"/>
              <w:noProof/>
              <w:sz w:val="22"/>
            </w:rPr>
          </w:pPr>
          <w:r w:rsidRPr="005A5C6D">
            <w:rPr>
              <w:sz w:val="22"/>
            </w:rPr>
            <w:fldChar w:fldCharType="begin"/>
          </w:r>
          <w:r w:rsidR="00BB6F52" w:rsidRPr="00755805">
            <w:rPr>
              <w:sz w:val="22"/>
            </w:rPr>
            <w:instrText xml:space="preserve"> TOC \o "1-3" \h \z \u </w:instrText>
          </w:r>
          <w:r w:rsidRPr="005A5C6D">
            <w:rPr>
              <w:sz w:val="22"/>
            </w:rPr>
            <w:fldChar w:fldCharType="separate"/>
          </w:r>
          <w:hyperlink w:anchor="_Toc349051175" w:history="1">
            <w:r w:rsidR="009776DC" w:rsidRPr="00755805">
              <w:rPr>
                <w:rStyle w:val="Hyperlink"/>
                <w:noProof/>
                <w:sz w:val="22"/>
              </w:rPr>
              <w:t>B.</w:t>
            </w:r>
            <w:r w:rsidR="009776DC" w:rsidRPr="00755805">
              <w:rPr>
                <w:rFonts w:asciiTheme="minorHAnsi" w:eastAsiaTheme="minorEastAsia" w:hAnsiTheme="minorHAnsi" w:cstheme="minorBidi"/>
                <w:noProof/>
                <w:sz w:val="22"/>
              </w:rPr>
              <w:tab/>
            </w:r>
            <w:r w:rsidR="009776DC" w:rsidRPr="00755805">
              <w:rPr>
                <w:rStyle w:val="Hyperlink"/>
                <w:noProof/>
                <w:sz w:val="22"/>
              </w:rPr>
              <w:t>STATISTICAL METHODS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_Toc349051175 \h </w:instrText>
            </w:r>
            <w:r w:rsidRPr="00755805">
              <w:rPr>
                <w:noProof/>
                <w:webHidden/>
                <w:sz w:val="22"/>
              </w:rPr>
            </w:r>
            <w:r w:rsidRPr="00755805">
              <w:rPr>
                <w:noProof/>
                <w:webHidden/>
                <w:sz w:val="22"/>
              </w:rPr>
              <w:fldChar w:fldCharType="separate"/>
            </w:r>
            <w:r w:rsidR="009776DC" w:rsidRPr="00755805">
              <w:rPr>
                <w:noProof/>
                <w:webHidden/>
                <w:sz w:val="22"/>
              </w:rPr>
              <w:t>1</w:t>
            </w:r>
            <w:r w:rsidRPr="00755805">
              <w:rPr>
                <w:noProof/>
                <w:webHidden/>
                <w:sz w:val="22"/>
              </w:rPr>
              <w:fldChar w:fldCharType="end"/>
            </w:r>
          </w:hyperlink>
        </w:p>
        <w:p w:rsidR="009776DC" w:rsidRPr="00755805" w:rsidRDefault="00212984">
          <w:pPr>
            <w:pStyle w:val="TOC2"/>
            <w:tabs>
              <w:tab w:val="left" w:pos="880"/>
              <w:tab w:val="right" w:leader="dot" w:pos="9350"/>
            </w:tabs>
            <w:rPr>
              <w:rFonts w:asciiTheme="minorHAnsi" w:eastAsiaTheme="minorEastAsia" w:hAnsiTheme="minorHAnsi" w:cstheme="minorBidi"/>
              <w:noProof/>
              <w:sz w:val="22"/>
            </w:rPr>
          </w:pPr>
          <w:hyperlink w:anchor="_Toc349051176" w:history="1">
            <w:r w:rsidR="009776DC" w:rsidRPr="00755805">
              <w:rPr>
                <w:rStyle w:val="Hyperlink"/>
                <w:noProof/>
                <w:sz w:val="22"/>
              </w:rPr>
              <w:t>A.1.</w:t>
            </w:r>
            <w:r w:rsidR="009776DC" w:rsidRPr="00755805">
              <w:rPr>
                <w:rFonts w:asciiTheme="minorHAnsi" w:eastAsiaTheme="minorEastAsia" w:hAnsiTheme="minorHAnsi" w:cstheme="minorBidi"/>
                <w:noProof/>
                <w:sz w:val="22"/>
              </w:rPr>
              <w:tab/>
            </w:r>
            <w:r w:rsidR="009776DC" w:rsidRPr="00755805">
              <w:rPr>
                <w:rStyle w:val="Hyperlink"/>
                <w:noProof/>
                <w:sz w:val="22"/>
              </w:rPr>
              <w:t>Respondent Universe</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_Toc349051176 \h </w:instrText>
            </w:r>
            <w:r w:rsidRPr="00755805">
              <w:rPr>
                <w:noProof/>
                <w:webHidden/>
                <w:sz w:val="22"/>
              </w:rPr>
            </w:r>
            <w:r w:rsidRPr="00755805">
              <w:rPr>
                <w:noProof/>
                <w:webHidden/>
                <w:sz w:val="22"/>
              </w:rPr>
              <w:fldChar w:fldCharType="separate"/>
            </w:r>
            <w:r w:rsidR="009776DC" w:rsidRPr="00755805">
              <w:rPr>
                <w:noProof/>
                <w:webHidden/>
                <w:sz w:val="22"/>
              </w:rPr>
              <w:t>1</w:t>
            </w:r>
            <w:r w:rsidRPr="00755805">
              <w:rPr>
                <w:noProof/>
                <w:webHidden/>
                <w:sz w:val="22"/>
              </w:rPr>
              <w:fldChar w:fldCharType="end"/>
            </w:r>
          </w:hyperlink>
        </w:p>
        <w:p w:rsidR="009776DC" w:rsidRPr="00755805" w:rsidRDefault="00212984">
          <w:pPr>
            <w:pStyle w:val="TOC2"/>
            <w:tabs>
              <w:tab w:val="left" w:pos="880"/>
              <w:tab w:val="right" w:leader="dot" w:pos="9350"/>
            </w:tabs>
            <w:rPr>
              <w:rFonts w:asciiTheme="minorHAnsi" w:eastAsiaTheme="minorEastAsia" w:hAnsiTheme="minorHAnsi" w:cstheme="minorBidi"/>
              <w:noProof/>
              <w:sz w:val="22"/>
            </w:rPr>
          </w:pPr>
          <w:hyperlink w:anchor="_Toc349051177" w:history="1">
            <w:r w:rsidR="009776DC" w:rsidRPr="00755805">
              <w:rPr>
                <w:rStyle w:val="Hyperlink"/>
                <w:noProof/>
                <w:sz w:val="22"/>
              </w:rPr>
              <w:t>A.2.</w:t>
            </w:r>
            <w:r w:rsidR="009776DC" w:rsidRPr="00755805">
              <w:rPr>
                <w:rFonts w:asciiTheme="minorHAnsi" w:eastAsiaTheme="minorEastAsia" w:hAnsiTheme="minorHAnsi" w:cstheme="minorBidi"/>
                <w:noProof/>
                <w:sz w:val="22"/>
              </w:rPr>
              <w:tab/>
            </w:r>
            <w:r w:rsidR="009776DC" w:rsidRPr="00755805">
              <w:rPr>
                <w:rStyle w:val="Hyperlink"/>
                <w:noProof/>
                <w:sz w:val="22"/>
              </w:rPr>
              <w:t>Statistical Sampling, Imputation, and Estimation Procedures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_Toc349051177 \h </w:instrText>
            </w:r>
            <w:r w:rsidRPr="00755805">
              <w:rPr>
                <w:noProof/>
                <w:webHidden/>
                <w:sz w:val="22"/>
              </w:rPr>
            </w:r>
            <w:r w:rsidRPr="00755805">
              <w:rPr>
                <w:noProof/>
                <w:webHidden/>
                <w:sz w:val="22"/>
              </w:rPr>
              <w:fldChar w:fldCharType="separate"/>
            </w:r>
            <w:r w:rsidR="009776DC" w:rsidRPr="00755805">
              <w:rPr>
                <w:noProof/>
                <w:webHidden/>
                <w:sz w:val="22"/>
              </w:rPr>
              <w:t>2</w:t>
            </w:r>
            <w:r w:rsidRPr="00755805">
              <w:rPr>
                <w:noProof/>
                <w:webHidden/>
                <w:sz w:val="22"/>
              </w:rPr>
              <w:fldChar w:fldCharType="end"/>
            </w:r>
          </w:hyperlink>
        </w:p>
        <w:p w:rsidR="009776DC" w:rsidRPr="00755805" w:rsidRDefault="00212984">
          <w:pPr>
            <w:pStyle w:val="TOC3"/>
            <w:tabs>
              <w:tab w:val="left" w:pos="1320"/>
              <w:tab w:val="right" w:leader="dot" w:pos="9350"/>
            </w:tabs>
            <w:rPr>
              <w:rFonts w:asciiTheme="minorHAnsi" w:eastAsiaTheme="minorEastAsia" w:hAnsiTheme="minorHAnsi" w:cstheme="minorBidi"/>
              <w:noProof/>
              <w:sz w:val="22"/>
            </w:rPr>
          </w:pPr>
          <w:hyperlink w:anchor="_Toc349051178" w:history="1">
            <w:r w:rsidR="009776DC" w:rsidRPr="00755805">
              <w:rPr>
                <w:rStyle w:val="Hyperlink"/>
                <w:noProof/>
                <w:sz w:val="22"/>
              </w:rPr>
              <w:t>A.2.1.</w:t>
            </w:r>
            <w:r w:rsidR="009776DC" w:rsidRPr="00755805">
              <w:rPr>
                <w:rFonts w:asciiTheme="minorHAnsi" w:eastAsiaTheme="minorEastAsia" w:hAnsiTheme="minorHAnsi" w:cstheme="minorBidi"/>
                <w:noProof/>
                <w:sz w:val="22"/>
              </w:rPr>
              <w:tab/>
            </w:r>
            <w:r w:rsidR="009776DC" w:rsidRPr="00755805">
              <w:rPr>
                <w:rStyle w:val="Hyperlink"/>
                <w:noProof/>
                <w:sz w:val="22"/>
              </w:rPr>
              <w:t>Sampling</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_Toc349051178 \h </w:instrText>
            </w:r>
            <w:r w:rsidRPr="00755805">
              <w:rPr>
                <w:noProof/>
                <w:webHidden/>
                <w:sz w:val="22"/>
              </w:rPr>
            </w:r>
            <w:r w:rsidRPr="00755805">
              <w:rPr>
                <w:noProof/>
                <w:webHidden/>
                <w:sz w:val="22"/>
              </w:rPr>
              <w:fldChar w:fldCharType="separate"/>
            </w:r>
            <w:r w:rsidR="009776DC" w:rsidRPr="00755805">
              <w:rPr>
                <w:noProof/>
                <w:webHidden/>
                <w:sz w:val="22"/>
              </w:rPr>
              <w:t>2</w:t>
            </w:r>
            <w:r w:rsidRPr="00755805">
              <w:rPr>
                <w:noProof/>
                <w:webHidden/>
                <w:sz w:val="22"/>
              </w:rPr>
              <w:fldChar w:fldCharType="end"/>
            </w:r>
          </w:hyperlink>
        </w:p>
        <w:p w:rsidR="009776DC" w:rsidRPr="00755805" w:rsidRDefault="00212984">
          <w:pPr>
            <w:pStyle w:val="TOC3"/>
            <w:tabs>
              <w:tab w:val="left" w:pos="1320"/>
              <w:tab w:val="right" w:leader="dot" w:pos="9350"/>
            </w:tabs>
            <w:rPr>
              <w:rFonts w:asciiTheme="minorHAnsi" w:eastAsiaTheme="minorEastAsia" w:hAnsiTheme="minorHAnsi" w:cstheme="minorBidi"/>
              <w:noProof/>
              <w:sz w:val="22"/>
            </w:rPr>
          </w:pPr>
          <w:hyperlink w:anchor="_Toc349051179" w:history="1">
            <w:r w:rsidR="009776DC" w:rsidRPr="00755805">
              <w:rPr>
                <w:rStyle w:val="Hyperlink"/>
                <w:noProof/>
                <w:sz w:val="22"/>
              </w:rPr>
              <w:t>A.2.2.</w:t>
            </w:r>
            <w:r w:rsidR="009776DC" w:rsidRPr="00755805">
              <w:rPr>
                <w:rFonts w:asciiTheme="minorHAnsi" w:eastAsiaTheme="minorEastAsia" w:hAnsiTheme="minorHAnsi" w:cstheme="minorBidi"/>
                <w:noProof/>
                <w:sz w:val="22"/>
              </w:rPr>
              <w:tab/>
            </w:r>
            <w:r w:rsidR="009776DC" w:rsidRPr="00755805">
              <w:rPr>
                <w:rStyle w:val="Hyperlink"/>
                <w:noProof/>
                <w:sz w:val="22"/>
              </w:rPr>
              <w:t>Estimating Proved Reserves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_Toc349051179 \h </w:instrText>
            </w:r>
            <w:r w:rsidRPr="00755805">
              <w:rPr>
                <w:noProof/>
                <w:webHidden/>
                <w:sz w:val="22"/>
              </w:rPr>
            </w:r>
            <w:r w:rsidRPr="00755805">
              <w:rPr>
                <w:noProof/>
                <w:webHidden/>
                <w:sz w:val="22"/>
              </w:rPr>
              <w:fldChar w:fldCharType="separate"/>
            </w:r>
            <w:r w:rsidR="009776DC" w:rsidRPr="00755805">
              <w:rPr>
                <w:noProof/>
                <w:webHidden/>
                <w:sz w:val="22"/>
              </w:rPr>
              <w:t>4</w:t>
            </w:r>
            <w:r w:rsidRPr="00755805">
              <w:rPr>
                <w:noProof/>
                <w:webHidden/>
                <w:sz w:val="22"/>
              </w:rPr>
              <w:fldChar w:fldCharType="end"/>
            </w:r>
          </w:hyperlink>
        </w:p>
        <w:p w:rsidR="009776DC" w:rsidRPr="00755805" w:rsidRDefault="00212984">
          <w:pPr>
            <w:pStyle w:val="TOC3"/>
            <w:tabs>
              <w:tab w:val="left" w:pos="1320"/>
              <w:tab w:val="right" w:leader="dot" w:pos="9350"/>
            </w:tabs>
            <w:rPr>
              <w:rFonts w:asciiTheme="minorHAnsi" w:eastAsiaTheme="minorEastAsia" w:hAnsiTheme="minorHAnsi" w:cstheme="minorBidi"/>
              <w:noProof/>
              <w:sz w:val="22"/>
            </w:rPr>
          </w:pPr>
          <w:hyperlink w:anchor="_Toc349051180" w:history="1">
            <w:r w:rsidR="009776DC" w:rsidRPr="00755805">
              <w:rPr>
                <w:rStyle w:val="Hyperlink"/>
                <w:noProof/>
                <w:sz w:val="22"/>
              </w:rPr>
              <w:t>A.2.3.</w:t>
            </w:r>
            <w:r w:rsidR="009776DC" w:rsidRPr="00755805">
              <w:rPr>
                <w:rFonts w:asciiTheme="minorHAnsi" w:eastAsiaTheme="minorEastAsia" w:hAnsiTheme="minorHAnsi" w:cstheme="minorBidi"/>
                <w:noProof/>
                <w:sz w:val="22"/>
              </w:rPr>
              <w:tab/>
            </w:r>
            <w:r w:rsidR="009776DC" w:rsidRPr="00755805">
              <w:rPr>
                <w:rStyle w:val="Hyperlink"/>
                <w:noProof/>
                <w:sz w:val="22"/>
              </w:rPr>
              <w:t>Estimating Reserve Balancing Categories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_Toc349051180 \h </w:instrText>
            </w:r>
            <w:r w:rsidRPr="00755805">
              <w:rPr>
                <w:noProof/>
                <w:webHidden/>
                <w:sz w:val="22"/>
              </w:rPr>
            </w:r>
            <w:r w:rsidRPr="00755805">
              <w:rPr>
                <w:noProof/>
                <w:webHidden/>
                <w:sz w:val="22"/>
              </w:rPr>
              <w:fldChar w:fldCharType="separate"/>
            </w:r>
            <w:r w:rsidR="009776DC" w:rsidRPr="00755805">
              <w:rPr>
                <w:noProof/>
                <w:webHidden/>
                <w:sz w:val="22"/>
              </w:rPr>
              <w:t>6</w:t>
            </w:r>
            <w:r w:rsidRPr="00755805">
              <w:rPr>
                <w:noProof/>
                <w:webHidden/>
                <w:sz w:val="22"/>
              </w:rPr>
              <w:fldChar w:fldCharType="end"/>
            </w:r>
          </w:hyperlink>
        </w:p>
        <w:p w:rsidR="009776DC" w:rsidRPr="00755805" w:rsidRDefault="00212984">
          <w:pPr>
            <w:pStyle w:val="TOC3"/>
            <w:tabs>
              <w:tab w:val="left" w:pos="1320"/>
              <w:tab w:val="right" w:leader="dot" w:pos="9350"/>
            </w:tabs>
            <w:rPr>
              <w:rFonts w:asciiTheme="minorHAnsi" w:eastAsiaTheme="minorEastAsia" w:hAnsiTheme="minorHAnsi" w:cstheme="minorBidi"/>
              <w:noProof/>
              <w:sz w:val="22"/>
            </w:rPr>
          </w:pPr>
          <w:hyperlink w:anchor="_Toc349051181" w:history="1">
            <w:r w:rsidR="009776DC" w:rsidRPr="00755805">
              <w:rPr>
                <w:rStyle w:val="Hyperlink"/>
                <w:noProof/>
                <w:sz w:val="22"/>
              </w:rPr>
              <w:t>A.2.4.</w:t>
            </w:r>
            <w:r w:rsidR="009776DC" w:rsidRPr="00755805">
              <w:rPr>
                <w:rFonts w:asciiTheme="minorHAnsi" w:eastAsiaTheme="minorEastAsia" w:hAnsiTheme="minorHAnsi" w:cstheme="minorBidi"/>
                <w:noProof/>
                <w:sz w:val="22"/>
              </w:rPr>
              <w:tab/>
            </w:r>
            <w:r w:rsidR="009776DC" w:rsidRPr="00755805">
              <w:rPr>
                <w:rStyle w:val="Hyperlink"/>
                <w:noProof/>
                <w:sz w:val="22"/>
              </w:rPr>
              <w:t>Estimating Natural Gas Liquids Reserves and Dry Natural Gas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_Toc349051181 \h </w:instrText>
            </w:r>
            <w:r w:rsidRPr="00755805">
              <w:rPr>
                <w:noProof/>
                <w:webHidden/>
                <w:sz w:val="22"/>
              </w:rPr>
            </w:r>
            <w:r w:rsidRPr="00755805">
              <w:rPr>
                <w:noProof/>
                <w:webHidden/>
                <w:sz w:val="22"/>
              </w:rPr>
              <w:fldChar w:fldCharType="separate"/>
            </w:r>
            <w:r w:rsidR="009776DC" w:rsidRPr="00755805">
              <w:rPr>
                <w:noProof/>
                <w:webHidden/>
                <w:sz w:val="22"/>
              </w:rPr>
              <w:t>7</w:t>
            </w:r>
            <w:r w:rsidRPr="00755805">
              <w:rPr>
                <w:noProof/>
                <w:webHidden/>
                <w:sz w:val="22"/>
              </w:rPr>
              <w:fldChar w:fldCharType="end"/>
            </w:r>
          </w:hyperlink>
        </w:p>
        <w:p w:rsidR="009776DC" w:rsidRPr="00755805" w:rsidRDefault="00212984">
          <w:pPr>
            <w:pStyle w:val="TOC3"/>
            <w:tabs>
              <w:tab w:val="left" w:pos="1320"/>
              <w:tab w:val="right" w:leader="dot" w:pos="9350"/>
            </w:tabs>
            <w:rPr>
              <w:rFonts w:asciiTheme="minorHAnsi" w:eastAsiaTheme="minorEastAsia" w:hAnsiTheme="minorHAnsi" w:cstheme="minorBidi"/>
              <w:noProof/>
              <w:sz w:val="22"/>
            </w:rPr>
          </w:pPr>
          <w:hyperlink w:anchor="_Toc349051182" w:history="1">
            <w:r w:rsidR="009776DC" w:rsidRPr="00755805">
              <w:rPr>
                <w:rStyle w:val="Hyperlink"/>
                <w:noProof/>
                <w:sz w:val="22"/>
              </w:rPr>
              <w:t>A.2.5.</w:t>
            </w:r>
            <w:r w:rsidR="009776DC" w:rsidRPr="00755805">
              <w:rPr>
                <w:rFonts w:asciiTheme="minorHAnsi" w:eastAsiaTheme="minorEastAsia" w:hAnsiTheme="minorHAnsi" w:cstheme="minorBidi"/>
                <w:noProof/>
                <w:sz w:val="22"/>
              </w:rPr>
              <w:tab/>
            </w:r>
            <w:r w:rsidR="009776DC" w:rsidRPr="00755805">
              <w:rPr>
                <w:rStyle w:val="Hyperlink"/>
                <w:noProof/>
                <w:sz w:val="22"/>
              </w:rPr>
              <w:t>Imputation for Item Non-Response</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_Toc349051182 \h </w:instrText>
            </w:r>
            <w:r w:rsidRPr="00755805">
              <w:rPr>
                <w:noProof/>
                <w:webHidden/>
                <w:sz w:val="22"/>
              </w:rPr>
            </w:r>
            <w:r w:rsidRPr="00755805">
              <w:rPr>
                <w:noProof/>
                <w:webHidden/>
                <w:sz w:val="22"/>
              </w:rPr>
              <w:fldChar w:fldCharType="separate"/>
            </w:r>
            <w:r w:rsidR="009776DC" w:rsidRPr="00755805">
              <w:rPr>
                <w:noProof/>
                <w:webHidden/>
                <w:sz w:val="22"/>
              </w:rPr>
              <w:t>9</w:t>
            </w:r>
            <w:r w:rsidRPr="00755805">
              <w:rPr>
                <w:noProof/>
                <w:webHidden/>
                <w:sz w:val="22"/>
              </w:rPr>
              <w:fldChar w:fldCharType="end"/>
            </w:r>
          </w:hyperlink>
        </w:p>
        <w:p w:rsidR="009776DC" w:rsidRPr="00755805" w:rsidRDefault="00212984">
          <w:pPr>
            <w:pStyle w:val="TOC3"/>
            <w:tabs>
              <w:tab w:val="left" w:pos="1320"/>
              <w:tab w:val="right" w:leader="dot" w:pos="9350"/>
            </w:tabs>
            <w:rPr>
              <w:rFonts w:asciiTheme="minorHAnsi" w:eastAsiaTheme="minorEastAsia" w:hAnsiTheme="minorHAnsi" w:cstheme="minorBidi"/>
              <w:noProof/>
              <w:sz w:val="22"/>
            </w:rPr>
          </w:pPr>
          <w:hyperlink w:anchor="_Toc349051183" w:history="1">
            <w:r w:rsidR="009776DC" w:rsidRPr="00755805">
              <w:rPr>
                <w:rStyle w:val="Hyperlink"/>
                <w:noProof/>
                <w:sz w:val="22"/>
              </w:rPr>
              <w:t>A.2.6.</w:t>
            </w:r>
            <w:r w:rsidR="009776DC" w:rsidRPr="00755805">
              <w:rPr>
                <w:rFonts w:asciiTheme="minorHAnsi" w:eastAsiaTheme="minorEastAsia" w:hAnsiTheme="minorHAnsi" w:cstheme="minorBidi"/>
                <w:noProof/>
                <w:sz w:val="22"/>
              </w:rPr>
              <w:tab/>
            </w:r>
            <w:r w:rsidR="009776DC" w:rsidRPr="00755805">
              <w:rPr>
                <w:rStyle w:val="Hyperlink"/>
                <w:noProof/>
                <w:sz w:val="22"/>
              </w:rPr>
              <w:t>Frame Maintenance</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_Toc349051183 \h </w:instrText>
            </w:r>
            <w:r w:rsidRPr="00755805">
              <w:rPr>
                <w:noProof/>
                <w:webHidden/>
                <w:sz w:val="22"/>
              </w:rPr>
            </w:r>
            <w:r w:rsidRPr="00755805">
              <w:rPr>
                <w:noProof/>
                <w:webHidden/>
                <w:sz w:val="22"/>
              </w:rPr>
              <w:fldChar w:fldCharType="separate"/>
            </w:r>
            <w:r w:rsidR="009776DC" w:rsidRPr="00755805">
              <w:rPr>
                <w:noProof/>
                <w:webHidden/>
                <w:sz w:val="22"/>
              </w:rPr>
              <w:t>9</w:t>
            </w:r>
            <w:r w:rsidRPr="00755805">
              <w:rPr>
                <w:noProof/>
                <w:webHidden/>
                <w:sz w:val="22"/>
              </w:rPr>
              <w:fldChar w:fldCharType="end"/>
            </w:r>
          </w:hyperlink>
        </w:p>
        <w:p w:rsidR="009776DC" w:rsidRPr="00755805" w:rsidRDefault="00212984">
          <w:pPr>
            <w:pStyle w:val="TOC3"/>
            <w:tabs>
              <w:tab w:val="left" w:pos="1320"/>
              <w:tab w:val="right" w:leader="dot" w:pos="9350"/>
            </w:tabs>
            <w:rPr>
              <w:rFonts w:asciiTheme="minorHAnsi" w:eastAsiaTheme="minorEastAsia" w:hAnsiTheme="minorHAnsi" w:cstheme="minorBidi"/>
              <w:noProof/>
              <w:sz w:val="22"/>
            </w:rPr>
          </w:pPr>
          <w:hyperlink w:anchor="_Toc349051184" w:history="1">
            <w:r w:rsidR="009776DC" w:rsidRPr="00755805">
              <w:rPr>
                <w:rStyle w:val="Hyperlink"/>
                <w:noProof/>
                <w:sz w:val="22"/>
              </w:rPr>
              <w:t>A.2.7.</w:t>
            </w:r>
            <w:r w:rsidR="009776DC" w:rsidRPr="00755805">
              <w:rPr>
                <w:rFonts w:asciiTheme="minorHAnsi" w:eastAsiaTheme="minorEastAsia" w:hAnsiTheme="minorHAnsi" w:cstheme="minorBidi"/>
                <w:noProof/>
                <w:sz w:val="22"/>
              </w:rPr>
              <w:tab/>
            </w:r>
            <w:r w:rsidR="009776DC" w:rsidRPr="00755805">
              <w:rPr>
                <w:rStyle w:val="Hyperlink"/>
                <w:noProof/>
                <w:sz w:val="22"/>
              </w:rPr>
              <w:t>Efforts to Reduce Total Survey Error</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_Toc349051184 \h </w:instrText>
            </w:r>
            <w:r w:rsidRPr="00755805">
              <w:rPr>
                <w:noProof/>
                <w:webHidden/>
                <w:sz w:val="22"/>
              </w:rPr>
            </w:r>
            <w:r w:rsidRPr="00755805">
              <w:rPr>
                <w:noProof/>
                <w:webHidden/>
                <w:sz w:val="22"/>
              </w:rPr>
              <w:fldChar w:fldCharType="separate"/>
            </w:r>
            <w:r w:rsidR="009776DC" w:rsidRPr="00755805">
              <w:rPr>
                <w:noProof/>
                <w:webHidden/>
                <w:sz w:val="22"/>
              </w:rPr>
              <w:t>10</w:t>
            </w:r>
            <w:r w:rsidRPr="00755805">
              <w:rPr>
                <w:noProof/>
                <w:webHidden/>
                <w:sz w:val="22"/>
              </w:rPr>
              <w:fldChar w:fldCharType="end"/>
            </w:r>
          </w:hyperlink>
        </w:p>
        <w:p w:rsidR="009776DC" w:rsidRPr="00755805" w:rsidRDefault="00212984">
          <w:pPr>
            <w:pStyle w:val="TOC2"/>
            <w:tabs>
              <w:tab w:val="left" w:pos="880"/>
              <w:tab w:val="right" w:leader="dot" w:pos="9350"/>
            </w:tabs>
            <w:rPr>
              <w:rFonts w:asciiTheme="minorHAnsi" w:eastAsiaTheme="minorEastAsia" w:hAnsiTheme="minorHAnsi" w:cstheme="minorBidi"/>
              <w:noProof/>
              <w:sz w:val="22"/>
            </w:rPr>
          </w:pPr>
          <w:hyperlink w:anchor="_Toc349051185" w:history="1">
            <w:r w:rsidR="009776DC" w:rsidRPr="00755805">
              <w:rPr>
                <w:rStyle w:val="Hyperlink"/>
                <w:noProof/>
                <w:sz w:val="22"/>
              </w:rPr>
              <w:t>A.3.</w:t>
            </w:r>
            <w:r w:rsidR="009776DC" w:rsidRPr="00755805">
              <w:rPr>
                <w:rFonts w:asciiTheme="minorHAnsi" w:eastAsiaTheme="minorEastAsia" w:hAnsiTheme="minorHAnsi" w:cstheme="minorBidi"/>
                <w:noProof/>
                <w:sz w:val="22"/>
              </w:rPr>
              <w:tab/>
            </w:r>
            <w:r w:rsidR="009776DC" w:rsidRPr="00755805">
              <w:rPr>
                <w:rStyle w:val="Hyperlink"/>
                <w:noProof/>
                <w:sz w:val="22"/>
              </w:rPr>
              <w:t>Maximizing Response Rates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_Toc349051185 \h </w:instrText>
            </w:r>
            <w:r w:rsidRPr="00755805">
              <w:rPr>
                <w:noProof/>
                <w:webHidden/>
                <w:sz w:val="22"/>
              </w:rPr>
            </w:r>
            <w:r w:rsidRPr="00755805">
              <w:rPr>
                <w:noProof/>
                <w:webHidden/>
                <w:sz w:val="22"/>
              </w:rPr>
              <w:fldChar w:fldCharType="separate"/>
            </w:r>
            <w:r w:rsidR="009776DC" w:rsidRPr="00755805">
              <w:rPr>
                <w:noProof/>
                <w:webHidden/>
                <w:sz w:val="22"/>
              </w:rPr>
              <w:t>12</w:t>
            </w:r>
            <w:r w:rsidRPr="00755805">
              <w:rPr>
                <w:noProof/>
                <w:webHidden/>
                <w:sz w:val="22"/>
              </w:rPr>
              <w:fldChar w:fldCharType="end"/>
            </w:r>
          </w:hyperlink>
        </w:p>
        <w:p w:rsidR="009776DC" w:rsidRPr="00755805" w:rsidRDefault="00212984">
          <w:pPr>
            <w:pStyle w:val="TOC2"/>
            <w:tabs>
              <w:tab w:val="left" w:pos="880"/>
              <w:tab w:val="right" w:leader="dot" w:pos="9350"/>
            </w:tabs>
            <w:rPr>
              <w:rFonts w:asciiTheme="minorHAnsi" w:eastAsiaTheme="minorEastAsia" w:hAnsiTheme="minorHAnsi" w:cstheme="minorBidi"/>
              <w:noProof/>
              <w:sz w:val="22"/>
            </w:rPr>
          </w:pPr>
          <w:hyperlink w:anchor="_Toc349051186" w:history="1">
            <w:r w:rsidR="009776DC" w:rsidRPr="00755805">
              <w:rPr>
                <w:rStyle w:val="Hyperlink"/>
                <w:noProof/>
                <w:sz w:val="22"/>
              </w:rPr>
              <w:t>A.4.</w:t>
            </w:r>
            <w:r w:rsidR="009776DC" w:rsidRPr="00755805">
              <w:rPr>
                <w:rFonts w:asciiTheme="minorHAnsi" w:eastAsiaTheme="minorEastAsia" w:hAnsiTheme="minorHAnsi" w:cstheme="minorBidi"/>
                <w:noProof/>
                <w:sz w:val="22"/>
              </w:rPr>
              <w:tab/>
            </w:r>
            <w:r w:rsidR="009776DC" w:rsidRPr="00755805">
              <w:rPr>
                <w:rStyle w:val="Hyperlink"/>
                <w:noProof/>
                <w:sz w:val="22"/>
              </w:rPr>
              <w:t>Testing Procedures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_Toc349051186 \h </w:instrText>
            </w:r>
            <w:r w:rsidRPr="00755805">
              <w:rPr>
                <w:noProof/>
                <w:webHidden/>
                <w:sz w:val="22"/>
              </w:rPr>
            </w:r>
            <w:r w:rsidRPr="00755805">
              <w:rPr>
                <w:noProof/>
                <w:webHidden/>
                <w:sz w:val="22"/>
              </w:rPr>
              <w:fldChar w:fldCharType="separate"/>
            </w:r>
            <w:r w:rsidR="009776DC" w:rsidRPr="00755805">
              <w:rPr>
                <w:noProof/>
                <w:webHidden/>
                <w:sz w:val="22"/>
              </w:rPr>
              <w:t>12</w:t>
            </w:r>
            <w:r w:rsidRPr="00755805">
              <w:rPr>
                <w:noProof/>
                <w:webHidden/>
                <w:sz w:val="22"/>
              </w:rPr>
              <w:fldChar w:fldCharType="end"/>
            </w:r>
          </w:hyperlink>
        </w:p>
        <w:p w:rsidR="009776DC" w:rsidRPr="00755805" w:rsidRDefault="00212984">
          <w:pPr>
            <w:pStyle w:val="TOC2"/>
            <w:tabs>
              <w:tab w:val="left" w:pos="880"/>
              <w:tab w:val="right" w:leader="dot" w:pos="9350"/>
            </w:tabs>
            <w:rPr>
              <w:rFonts w:asciiTheme="minorHAnsi" w:eastAsiaTheme="minorEastAsia" w:hAnsiTheme="minorHAnsi" w:cstheme="minorBidi"/>
              <w:noProof/>
              <w:sz w:val="22"/>
            </w:rPr>
          </w:pPr>
          <w:hyperlink w:anchor="_Toc349051187" w:history="1">
            <w:r w:rsidR="009776DC" w:rsidRPr="00755805">
              <w:rPr>
                <w:rStyle w:val="Hyperlink"/>
                <w:noProof/>
                <w:sz w:val="22"/>
              </w:rPr>
              <w:t>A.5.</w:t>
            </w:r>
            <w:r w:rsidR="009776DC" w:rsidRPr="00755805">
              <w:rPr>
                <w:rFonts w:asciiTheme="minorHAnsi" w:eastAsiaTheme="minorEastAsia" w:hAnsiTheme="minorHAnsi" w:cstheme="minorBidi"/>
                <w:noProof/>
                <w:sz w:val="22"/>
              </w:rPr>
              <w:tab/>
            </w:r>
            <w:r w:rsidR="009776DC" w:rsidRPr="00755805">
              <w:rPr>
                <w:rStyle w:val="Hyperlink"/>
                <w:noProof/>
                <w:sz w:val="22"/>
              </w:rPr>
              <w:t>Statistical Consultations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_Toc349051187 \h </w:instrText>
            </w:r>
            <w:r w:rsidRPr="00755805">
              <w:rPr>
                <w:noProof/>
                <w:webHidden/>
                <w:sz w:val="22"/>
              </w:rPr>
            </w:r>
            <w:r w:rsidRPr="00755805">
              <w:rPr>
                <w:noProof/>
                <w:webHidden/>
                <w:sz w:val="22"/>
              </w:rPr>
              <w:fldChar w:fldCharType="separate"/>
            </w:r>
            <w:r w:rsidR="009776DC" w:rsidRPr="00755805">
              <w:rPr>
                <w:noProof/>
                <w:webHidden/>
                <w:sz w:val="22"/>
              </w:rPr>
              <w:t>13</w:t>
            </w:r>
            <w:r w:rsidRPr="00755805">
              <w:rPr>
                <w:noProof/>
                <w:webHidden/>
                <w:sz w:val="22"/>
              </w:rPr>
              <w:fldChar w:fldCharType="end"/>
            </w:r>
          </w:hyperlink>
        </w:p>
        <w:p w:rsidR="009776DC" w:rsidRPr="00755805" w:rsidRDefault="00212984">
          <w:pPr>
            <w:pStyle w:val="TOC1"/>
            <w:tabs>
              <w:tab w:val="right" w:leader="dot" w:pos="9350"/>
            </w:tabs>
            <w:rPr>
              <w:rFonts w:asciiTheme="minorHAnsi" w:eastAsiaTheme="minorEastAsia" w:hAnsiTheme="minorHAnsi" w:cstheme="minorBidi"/>
              <w:noProof/>
              <w:sz w:val="22"/>
            </w:rPr>
          </w:pPr>
          <w:hyperlink w:anchor="_Toc349051188" w:history="1">
            <w:r w:rsidR="009776DC" w:rsidRPr="00755805">
              <w:rPr>
                <w:rStyle w:val="Hyperlink"/>
                <w:noProof/>
                <w:sz w:val="22"/>
              </w:rPr>
              <w:t>APPENDIX: REFERENCES</w:t>
            </w:r>
            <w:r w:rsidR="009776DC" w:rsidRPr="00755805">
              <w:rPr>
                <w:noProof/>
                <w:webHidden/>
                <w:sz w:val="22"/>
              </w:rPr>
              <w:tab/>
            </w:r>
            <w:r w:rsidRPr="00755805">
              <w:rPr>
                <w:noProof/>
                <w:webHidden/>
                <w:sz w:val="22"/>
              </w:rPr>
              <w:fldChar w:fldCharType="begin"/>
            </w:r>
            <w:r w:rsidR="009776DC" w:rsidRPr="00755805">
              <w:rPr>
                <w:noProof/>
                <w:webHidden/>
                <w:sz w:val="22"/>
              </w:rPr>
              <w:instrText xml:space="preserve"> PAGEREF _Toc349051188 \h </w:instrText>
            </w:r>
            <w:r w:rsidRPr="00755805">
              <w:rPr>
                <w:noProof/>
                <w:webHidden/>
                <w:sz w:val="22"/>
              </w:rPr>
            </w:r>
            <w:r w:rsidRPr="00755805">
              <w:rPr>
                <w:noProof/>
                <w:webHidden/>
                <w:sz w:val="22"/>
              </w:rPr>
              <w:fldChar w:fldCharType="separate"/>
            </w:r>
            <w:r w:rsidR="009776DC" w:rsidRPr="00755805">
              <w:rPr>
                <w:noProof/>
                <w:webHidden/>
                <w:sz w:val="22"/>
              </w:rPr>
              <w:t>14</w:t>
            </w:r>
            <w:r w:rsidRPr="00755805">
              <w:rPr>
                <w:noProof/>
                <w:webHidden/>
                <w:sz w:val="22"/>
              </w:rPr>
              <w:fldChar w:fldCharType="end"/>
            </w:r>
          </w:hyperlink>
        </w:p>
        <w:p w:rsidR="00151E02" w:rsidRPr="00755805" w:rsidRDefault="00212984" w:rsidP="00BB6F52">
          <w:pPr>
            <w:spacing w:before="160" w:beforeAutospacing="0" w:after="0" w:afterAutospacing="0"/>
            <w:rPr>
              <w:sz w:val="22"/>
            </w:rPr>
          </w:pPr>
          <w:r w:rsidRPr="005A5C6D">
            <w:rPr>
              <w:sz w:val="22"/>
            </w:rPr>
            <w:fldChar w:fldCharType="end"/>
          </w:r>
        </w:p>
      </w:sdtContent>
    </w:sdt>
    <w:p w:rsidR="00151E02" w:rsidRDefault="00151E02" w:rsidP="00151E02">
      <w:pPr>
        <w:jc w:val="left"/>
        <w:rPr>
          <w:szCs w:val="24"/>
        </w:rPr>
      </w:pPr>
    </w:p>
    <w:p w:rsidR="00151E02" w:rsidRDefault="00151E02" w:rsidP="00151E02">
      <w:pPr>
        <w:rPr>
          <w:szCs w:val="24"/>
        </w:rPr>
        <w:sectPr w:rsidR="00151E02" w:rsidSect="0061775D">
          <w:headerReference w:type="default" r:id="rId10"/>
          <w:footerReference w:type="default" r:id="rId11"/>
          <w:pgSz w:w="12240" w:h="15840"/>
          <w:pgMar w:top="1440" w:right="1440" w:bottom="1440" w:left="1440" w:header="720" w:footer="720" w:gutter="0"/>
          <w:cols w:space="720"/>
          <w:docGrid w:linePitch="360"/>
        </w:sectPr>
      </w:pPr>
    </w:p>
    <w:p w:rsidR="00151E02" w:rsidRPr="00C6298C" w:rsidRDefault="00151E02" w:rsidP="00C6298C">
      <w:pPr>
        <w:pStyle w:val="Heading1"/>
      </w:pPr>
      <w:bookmarkStart w:id="0" w:name="_Toc336547811"/>
      <w:bookmarkStart w:id="1" w:name="_Toc349051175"/>
      <w:r w:rsidRPr="00C6298C">
        <w:lastRenderedPageBreak/>
        <w:t>STATISTICAL METHODS</w:t>
      </w:r>
      <w:bookmarkEnd w:id="0"/>
      <w:bookmarkEnd w:id="1"/>
    </w:p>
    <w:p w:rsidR="00221811" w:rsidRPr="00221811" w:rsidRDefault="00221811" w:rsidP="00221811">
      <w:pPr>
        <w:pStyle w:val="ListParagraph"/>
        <w:numPr>
          <w:ilvl w:val="0"/>
          <w:numId w:val="54"/>
        </w:numPr>
        <w:tabs>
          <w:tab w:val="clear" w:pos="360"/>
        </w:tabs>
        <w:spacing w:after="0" w:afterAutospacing="0"/>
        <w:contextualSpacing w:val="0"/>
        <w:outlineLvl w:val="1"/>
        <w:rPr>
          <w:b/>
          <w:vanish/>
          <w:sz w:val="24"/>
          <w:szCs w:val="24"/>
        </w:rPr>
      </w:pPr>
      <w:bookmarkStart w:id="2" w:name="_Toc336547812"/>
      <w:bookmarkStart w:id="3" w:name="_Toc349051176"/>
    </w:p>
    <w:p w:rsidR="00221811" w:rsidRPr="00221811" w:rsidRDefault="00221811" w:rsidP="00221811">
      <w:pPr>
        <w:pStyle w:val="ListParagraph"/>
        <w:numPr>
          <w:ilvl w:val="0"/>
          <w:numId w:val="54"/>
        </w:numPr>
        <w:tabs>
          <w:tab w:val="clear" w:pos="360"/>
        </w:tabs>
        <w:spacing w:after="0" w:afterAutospacing="0"/>
        <w:contextualSpacing w:val="0"/>
        <w:outlineLvl w:val="1"/>
        <w:rPr>
          <w:b/>
          <w:vanish/>
          <w:sz w:val="24"/>
          <w:szCs w:val="24"/>
        </w:rPr>
      </w:pPr>
    </w:p>
    <w:p w:rsidR="00151E02" w:rsidRPr="00C6298C" w:rsidRDefault="00151E02" w:rsidP="00221811">
      <w:pPr>
        <w:pStyle w:val="Heading2"/>
      </w:pPr>
      <w:r w:rsidRPr="00C6298C">
        <w:t>Respondent Universe</w:t>
      </w:r>
      <w:bookmarkEnd w:id="2"/>
      <w:bookmarkEnd w:id="3"/>
    </w:p>
    <w:p w:rsidR="00151E02" w:rsidRPr="00CA006A" w:rsidRDefault="00151E02" w:rsidP="0044662E">
      <w:pPr>
        <w:spacing w:before="120" w:beforeAutospacing="0" w:after="0" w:afterAutospacing="0"/>
        <w:rPr>
          <w:sz w:val="22"/>
          <w:u w:val="single"/>
        </w:rPr>
      </w:pPr>
      <w:r w:rsidRPr="00CA006A">
        <w:rPr>
          <w:sz w:val="22"/>
          <w:u w:val="single"/>
        </w:rPr>
        <w:t>Form EIA-23L</w:t>
      </w:r>
    </w:p>
    <w:p w:rsidR="00151E02" w:rsidRPr="00CA006A" w:rsidRDefault="00151E02" w:rsidP="00CA006A">
      <w:pPr>
        <w:tabs>
          <w:tab w:val="clear" w:pos="360"/>
        </w:tabs>
        <w:spacing w:before="120" w:beforeAutospacing="0"/>
        <w:rPr>
          <w:sz w:val="22"/>
        </w:rPr>
      </w:pPr>
      <w:proofErr w:type="gramStart"/>
      <w:r w:rsidRPr="00CA006A">
        <w:rPr>
          <w:sz w:val="22"/>
        </w:rPr>
        <w:t xml:space="preserve">The Form EIA-23L, </w:t>
      </w:r>
      <w:r w:rsidRPr="00CA006A">
        <w:rPr>
          <w:i/>
          <w:sz w:val="22"/>
        </w:rPr>
        <w:t>Annual Survey of Domestic Oil and Gas Reserves</w:t>
      </w:r>
      <w:r w:rsidRPr="00CA006A">
        <w:rPr>
          <w:sz w:val="22"/>
        </w:rPr>
        <w:t xml:space="preserve"> </w:t>
      </w:r>
      <w:r w:rsidRPr="00CA006A">
        <w:rPr>
          <w:i/>
          <w:sz w:val="22"/>
        </w:rPr>
        <w:t>(Field Version)</w:t>
      </w:r>
      <w:r w:rsidRPr="00CA006A">
        <w:rPr>
          <w:sz w:val="22"/>
        </w:rPr>
        <w:t xml:space="preserve"> collect</w:t>
      </w:r>
      <w:r w:rsidR="00A50F0A" w:rsidRPr="00CA006A">
        <w:rPr>
          <w:sz w:val="22"/>
        </w:rPr>
        <w:t>s</w:t>
      </w:r>
      <w:r w:rsidRPr="00CA006A">
        <w:rPr>
          <w:sz w:val="22"/>
        </w:rPr>
        <w:t xml:space="preserve"> data on domestic reserves of crude oil</w:t>
      </w:r>
      <w:r w:rsidR="008E431D" w:rsidRPr="00CA006A">
        <w:rPr>
          <w:sz w:val="22"/>
        </w:rPr>
        <w:t>, condensate,</w:t>
      </w:r>
      <w:r w:rsidRPr="00CA006A">
        <w:rPr>
          <w:sz w:val="22"/>
        </w:rPr>
        <w:t xml:space="preserve"> </w:t>
      </w:r>
      <w:r w:rsidR="00752DBC" w:rsidRPr="00CA006A">
        <w:rPr>
          <w:sz w:val="22"/>
        </w:rPr>
        <w:t xml:space="preserve">and </w:t>
      </w:r>
      <w:r w:rsidRPr="00CA006A">
        <w:rPr>
          <w:sz w:val="22"/>
        </w:rPr>
        <w:t>natural gas</w:t>
      </w:r>
      <w:r w:rsidR="00752DBC" w:rsidRPr="00CA006A">
        <w:rPr>
          <w:sz w:val="22"/>
        </w:rPr>
        <w:t>.</w:t>
      </w:r>
      <w:proofErr w:type="gramEnd"/>
      <w:r w:rsidR="00752DBC" w:rsidRPr="00CA006A">
        <w:rPr>
          <w:sz w:val="22"/>
        </w:rPr>
        <w:t xml:space="preserve">  Form </w:t>
      </w:r>
      <w:r w:rsidR="0086451F" w:rsidRPr="00CA006A">
        <w:rPr>
          <w:sz w:val="22"/>
        </w:rPr>
        <w:t>EIA-</w:t>
      </w:r>
      <w:r w:rsidR="00752DBC" w:rsidRPr="00CA006A">
        <w:rPr>
          <w:sz w:val="22"/>
        </w:rPr>
        <w:t xml:space="preserve">64A, complimentary to the </w:t>
      </w:r>
      <w:r w:rsidR="0086451F" w:rsidRPr="00CA006A">
        <w:rPr>
          <w:sz w:val="22"/>
        </w:rPr>
        <w:t>EIA-</w:t>
      </w:r>
      <w:r w:rsidR="00752DBC" w:rsidRPr="00CA006A">
        <w:rPr>
          <w:sz w:val="22"/>
        </w:rPr>
        <w:t>23L, collects data on</w:t>
      </w:r>
      <w:r w:rsidRPr="00CA006A">
        <w:rPr>
          <w:sz w:val="22"/>
        </w:rPr>
        <w:t xml:space="preserve"> natural gas liquids.  These data are used to develop national and regional estimates of proved reserves of domestic crude oil, </w:t>
      </w:r>
      <w:r w:rsidR="008E431D" w:rsidRPr="00CA006A">
        <w:rPr>
          <w:sz w:val="22"/>
        </w:rPr>
        <w:t xml:space="preserve">condensate, </w:t>
      </w:r>
      <w:r w:rsidRPr="00CA006A">
        <w:rPr>
          <w:sz w:val="22"/>
        </w:rPr>
        <w:t>natural gas, and natural gas liquids, and to facilitate national energy policy decisions.</w:t>
      </w:r>
    </w:p>
    <w:p w:rsidR="00151E02" w:rsidRPr="00CA006A" w:rsidRDefault="009673C2" w:rsidP="00CA006A">
      <w:pPr>
        <w:tabs>
          <w:tab w:val="clear" w:pos="360"/>
        </w:tabs>
        <w:rPr>
          <w:sz w:val="22"/>
        </w:rPr>
      </w:pPr>
      <w:r w:rsidRPr="00CA006A">
        <w:rPr>
          <w:sz w:val="22"/>
        </w:rPr>
        <w:t>O</w:t>
      </w:r>
      <w:r w:rsidR="00151E02" w:rsidRPr="00CA006A">
        <w:rPr>
          <w:sz w:val="22"/>
        </w:rPr>
        <w:t>perators of crude oil and natural gas wells were selected as the appropriate respondent population for the Form EIA-23L, because the well operators have access to the most current and detailed reserve information.  Therefore, they presumably have better proved reserve estimates than do other possible classes of respondents, such as working interest or royalty owners.</w:t>
      </w:r>
    </w:p>
    <w:p w:rsidR="00151E02" w:rsidRPr="00CA006A" w:rsidRDefault="00151E02" w:rsidP="00CA006A">
      <w:pPr>
        <w:tabs>
          <w:tab w:val="clear" w:pos="360"/>
        </w:tabs>
        <w:rPr>
          <w:sz w:val="22"/>
        </w:rPr>
      </w:pPr>
      <w:r w:rsidRPr="00CA006A">
        <w:rPr>
          <w:sz w:val="22"/>
        </w:rPr>
        <w:t>The universe of currently active oil and natural gas well operators in the United States contains roughly 13,000 operators.  Though the larger well operators are quite well</w:t>
      </w:r>
      <w:r w:rsidR="0044662E">
        <w:rPr>
          <w:sz w:val="22"/>
        </w:rPr>
        <w:t>-</w:t>
      </w:r>
      <w:r w:rsidRPr="00CA006A">
        <w:rPr>
          <w:sz w:val="22"/>
        </w:rPr>
        <w:t>known to EIA, they comprise only a small portion of all operators.  The small well operators are not well</w:t>
      </w:r>
      <w:r w:rsidR="0044662E">
        <w:rPr>
          <w:sz w:val="22"/>
        </w:rPr>
        <w:t>-</w:t>
      </w:r>
      <w:r w:rsidRPr="00CA006A">
        <w:rPr>
          <w:sz w:val="22"/>
        </w:rPr>
        <w:t>known and are difficult to identify</w:t>
      </w:r>
      <w:r w:rsidR="0044662E">
        <w:rPr>
          <w:sz w:val="22"/>
        </w:rPr>
        <w:t>,</w:t>
      </w:r>
      <w:r w:rsidRPr="00CA006A">
        <w:rPr>
          <w:sz w:val="22"/>
        </w:rPr>
        <w:t xml:space="preserve"> because they go into and out of business more easily, frequently alter their corporate identities, make relatively large property sales and acquisitions that significantly change their size, and often change addresses.  EIA uses commercial vendors of production data, such as </w:t>
      </w:r>
      <w:r w:rsidR="00374791" w:rsidRPr="00CA006A">
        <w:rPr>
          <w:sz w:val="22"/>
        </w:rPr>
        <w:t>Drilling Info</w:t>
      </w:r>
      <w:r w:rsidR="00633A9F" w:rsidRPr="00CA006A">
        <w:rPr>
          <w:sz w:val="22"/>
        </w:rPr>
        <w:t xml:space="preserve"> (</w:t>
      </w:r>
      <w:r w:rsidRPr="00CA006A">
        <w:rPr>
          <w:sz w:val="22"/>
        </w:rPr>
        <w:t>DI</w:t>
      </w:r>
      <w:r w:rsidR="00633A9F" w:rsidRPr="00CA006A">
        <w:rPr>
          <w:sz w:val="22"/>
        </w:rPr>
        <w:t>)</w:t>
      </w:r>
      <w:r w:rsidRPr="00CA006A">
        <w:rPr>
          <w:sz w:val="22"/>
        </w:rPr>
        <w:t>, and operator data from state regulatory agencies</w:t>
      </w:r>
      <w:r w:rsidR="0044662E">
        <w:rPr>
          <w:sz w:val="22"/>
        </w:rPr>
        <w:t>,</w:t>
      </w:r>
      <w:r w:rsidRPr="00CA006A">
        <w:rPr>
          <w:sz w:val="22"/>
        </w:rPr>
        <w:t xml:space="preserve"> to build and maintain its survey frames.</w:t>
      </w:r>
    </w:p>
    <w:p w:rsidR="00151E02" w:rsidRPr="00CA006A" w:rsidRDefault="00151E02" w:rsidP="00CA006A">
      <w:pPr>
        <w:tabs>
          <w:tab w:val="clear" w:pos="360"/>
        </w:tabs>
        <w:rPr>
          <w:sz w:val="22"/>
        </w:rPr>
      </w:pPr>
      <w:r w:rsidRPr="00CA006A">
        <w:rPr>
          <w:sz w:val="22"/>
        </w:rPr>
        <w:t>EIA estimates and publishes data</w:t>
      </w:r>
      <w:r w:rsidR="006A3D78" w:rsidRPr="00CA006A">
        <w:rPr>
          <w:sz w:val="22"/>
        </w:rPr>
        <w:t xml:space="preserve"> that meet predetermined reliability constraints</w:t>
      </w:r>
      <w:r w:rsidRPr="00CA006A">
        <w:rPr>
          <w:sz w:val="22"/>
        </w:rPr>
        <w:t xml:space="preserve"> on proved reserves and production for crude oil, natural gas, and lease condensate by state for most states, and by state subdivision for the States of Alaska, California, Louisiana, New Mexico, and Texas.  </w:t>
      </w:r>
      <w:r w:rsidR="00374791" w:rsidRPr="00CA006A">
        <w:rPr>
          <w:sz w:val="22"/>
        </w:rPr>
        <w:t xml:space="preserve">EIA also publishes data </w:t>
      </w:r>
      <w:r w:rsidR="00C578FE" w:rsidRPr="00CA006A">
        <w:rPr>
          <w:sz w:val="22"/>
        </w:rPr>
        <w:t xml:space="preserve">by reservoir type for shale and </w:t>
      </w:r>
      <w:proofErr w:type="spellStart"/>
      <w:r w:rsidR="00C578FE" w:rsidRPr="00CA006A">
        <w:rPr>
          <w:sz w:val="22"/>
        </w:rPr>
        <w:t>coalbed</w:t>
      </w:r>
      <w:proofErr w:type="spellEnd"/>
      <w:r w:rsidR="00C578FE" w:rsidRPr="00CA006A">
        <w:rPr>
          <w:sz w:val="22"/>
        </w:rPr>
        <w:t xml:space="preserve"> methane by state/subdivision.  </w:t>
      </w:r>
      <w:r w:rsidRPr="00CA006A">
        <w:rPr>
          <w:sz w:val="22"/>
        </w:rPr>
        <w:t xml:space="preserve">Each operator reporting on the survey is asked to report </w:t>
      </w:r>
      <w:r w:rsidR="00C578FE" w:rsidRPr="00CA006A">
        <w:rPr>
          <w:sz w:val="22"/>
        </w:rPr>
        <w:t xml:space="preserve">proved reserves and </w:t>
      </w:r>
      <w:r w:rsidRPr="00CA006A">
        <w:rPr>
          <w:sz w:val="22"/>
        </w:rPr>
        <w:t xml:space="preserve">production for crude oil, natural gas, and lease condensate </w:t>
      </w:r>
      <w:r w:rsidR="006E5CF3" w:rsidRPr="00CA006A">
        <w:rPr>
          <w:sz w:val="22"/>
        </w:rPr>
        <w:t xml:space="preserve">by field </w:t>
      </w:r>
      <w:r w:rsidRPr="00CA006A">
        <w:rPr>
          <w:sz w:val="22"/>
        </w:rPr>
        <w:t xml:space="preserve">for each </w:t>
      </w:r>
      <w:r w:rsidR="006E5CF3" w:rsidRPr="00CA006A">
        <w:rPr>
          <w:sz w:val="22"/>
        </w:rPr>
        <w:t>field</w:t>
      </w:r>
      <w:r w:rsidRPr="00CA006A">
        <w:rPr>
          <w:sz w:val="22"/>
        </w:rPr>
        <w:t xml:space="preserve"> in which it operates</w:t>
      </w:r>
      <w:r w:rsidR="009D059D" w:rsidRPr="00CA006A">
        <w:rPr>
          <w:sz w:val="22"/>
        </w:rPr>
        <w:t xml:space="preserve">, as well as the reservoir type </w:t>
      </w:r>
      <w:r w:rsidR="001C4B2C" w:rsidRPr="00CA006A">
        <w:rPr>
          <w:sz w:val="22"/>
        </w:rPr>
        <w:t xml:space="preserve">associated with </w:t>
      </w:r>
      <w:r w:rsidR="009D059D" w:rsidRPr="00CA006A">
        <w:rPr>
          <w:sz w:val="22"/>
        </w:rPr>
        <w:t>the reserves</w:t>
      </w:r>
      <w:r w:rsidRPr="00CA006A">
        <w:rPr>
          <w:sz w:val="22"/>
        </w:rPr>
        <w:t xml:space="preserve">. </w:t>
      </w:r>
      <w:r w:rsidR="00E17EBE" w:rsidRPr="00CA006A">
        <w:rPr>
          <w:sz w:val="22"/>
        </w:rPr>
        <w:t xml:space="preserve"> Shale, </w:t>
      </w:r>
      <w:proofErr w:type="spellStart"/>
      <w:r w:rsidR="00E17EBE" w:rsidRPr="00CA006A">
        <w:rPr>
          <w:sz w:val="22"/>
        </w:rPr>
        <w:t>coalbed</w:t>
      </w:r>
      <w:proofErr w:type="spellEnd"/>
      <w:r w:rsidR="00E17EBE" w:rsidRPr="00CA006A">
        <w:rPr>
          <w:sz w:val="22"/>
        </w:rPr>
        <w:t xml:space="preserve"> methane, and conventional are the main reservoir types reported by operators.  Reservoir types of low permeability and chalk are also used.  </w:t>
      </w:r>
      <w:r w:rsidRPr="00CA006A">
        <w:rPr>
          <w:sz w:val="22"/>
        </w:rPr>
        <w:t>(Hereafter, the term “state/subdivision” refers to an individual subdivision within a state or an individual state that is not subdivided.)</w:t>
      </w:r>
    </w:p>
    <w:p w:rsidR="00151E02" w:rsidRPr="00CA006A" w:rsidRDefault="00151E02" w:rsidP="00CA006A">
      <w:pPr>
        <w:tabs>
          <w:tab w:val="clear" w:pos="360"/>
        </w:tabs>
        <w:spacing w:after="0" w:afterAutospacing="0"/>
        <w:rPr>
          <w:sz w:val="22"/>
          <w:u w:val="single"/>
        </w:rPr>
      </w:pPr>
      <w:r w:rsidRPr="00CA006A">
        <w:rPr>
          <w:sz w:val="22"/>
          <w:u w:val="single"/>
        </w:rPr>
        <w:t>Form EIA-64A</w:t>
      </w:r>
    </w:p>
    <w:p w:rsidR="00151E02" w:rsidRPr="00CA006A" w:rsidRDefault="00151E02" w:rsidP="00CA006A">
      <w:pPr>
        <w:tabs>
          <w:tab w:val="clear" w:pos="360"/>
        </w:tabs>
        <w:spacing w:before="120" w:beforeAutospacing="0"/>
        <w:rPr>
          <w:sz w:val="22"/>
        </w:rPr>
      </w:pPr>
      <w:r w:rsidRPr="00CA006A">
        <w:rPr>
          <w:sz w:val="22"/>
        </w:rPr>
        <w:t xml:space="preserve">The Form EIA-64A, </w:t>
      </w:r>
      <w:r w:rsidRPr="00CA006A">
        <w:rPr>
          <w:i/>
          <w:sz w:val="22"/>
        </w:rPr>
        <w:t>Annual Report of the Origin of Natural Gas Liquids Production</w:t>
      </w:r>
      <w:r w:rsidRPr="00CA006A">
        <w:rPr>
          <w:sz w:val="22"/>
        </w:rPr>
        <w:t>, collects information on the annual volumes of natural gas received and natural gas liquids extracted at domestic gas processing plants, by area of origin.  It also includes the total gas shrinkage resulting from the natural gas liquids extracted and the annual volume of natural gas utilized as fuel at gas processing plants.  These data enable estimating natural gas plant liquids production and reserves.</w:t>
      </w:r>
    </w:p>
    <w:p w:rsidR="00151E02" w:rsidRPr="00CA006A" w:rsidRDefault="00151E02" w:rsidP="00CA006A">
      <w:pPr>
        <w:tabs>
          <w:tab w:val="clear" w:pos="360"/>
        </w:tabs>
        <w:rPr>
          <w:sz w:val="22"/>
        </w:rPr>
      </w:pPr>
      <w:r w:rsidRPr="00CA006A">
        <w:rPr>
          <w:sz w:val="22"/>
        </w:rPr>
        <w:t xml:space="preserve">Operators of natural gas plants were selected as the appropriate respondent population for the Form EIA-64A because they have access to the most current and detailed information on natural gas </w:t>
      </w:r>
      <w:r w:rsidR="0086451F" w:rsidRPr="00CA006A">
        <w:rPr>
          <w:sz w:val="22"/>
        </w:rPr>
        <w:t xml:space="preserve">plant </w:t>
      </w:r>
      <w:r w:rsidRPr="00CA006A">
        <w:rPr>
          <w:sz w:val="22"/>
        </w:rPr>
        <w:t>liquids.  Therefore, the</w:t>
      </w:r>
      <w:r w:rsidR="003508C9" w:rsidRPr="00CA006A">
        <w:rPr>
          <w:sz w:val="22"/>
        </w:rPr>
        <w:t>se operators</w:t>
      </w:r>
      <w:r w:rsidRPr="00CA006A">
        <w:rPr>
          <w:sz w:val="22"/>
        </w:rPr>
        <w:t xml:space="preserve"> presumably have better gas plant liquids production and gas shrinkage data than do other possible classes of respondents, such as gas producers or pipelines.</w:t>
      </w:r>
    </w:p>
    <w:p w:rsidR="00151E02" w:rsidRPr="00CA006A" w:rsidRDefault="00151E02" w:rsidP="00CA006A">
      <w:pPr>
        <w:tabs>
          <w:tab w:val="clear" w:pos="360"/>
        </w:tabs>
        <w:rPr>
          <w:sz w:val="22"/>
        </w:rPr>
      </w:pPr>
      <w:r w:rsidRPr="00CA006A">
        <w:rPr>
          <w:sz w:val="22"/>
        </w:rPr>
        <w:t xml:space="preserve">The Form EIA-64A and the Form EIA-816, </w:t>
      </w:r>
      <w:r w:rsidR="008D6004" w:rsidRPr="00CA006A">
        <w:rPr>
          <w:i/>
          <w:sz w:val="22"/>
        </w:rPr>
        <w:t>Monthly Natural Gas Plant Liquids Report</w:t>
      </w:r>
      <w:r w:rsidRPr="00CA006A">
        <w:rPr>
          <w:sz w:val="22"/>
        </w:rPr>
        <w:t xml:space="preserve">, are scheduled to be combined and replaced </w:t>
      </w:r>
      <w:r w:rsidR="00691D94">
        <w:rPr>
          <w:sz w:val="22"/>
        </w:rPr>
        <w:t>in</w:t>
      </w:r>
      <w:r w:rsidR="00B35E75" w:rsidRPr="00CA006A">
        <w:rPr>
          <w:sz w:val="22"/>
        </w:rPr>
        <w:t xml:space="preserve"> 2014 </w:t>
      </w:r>
      <w:r w:rsidRPr="00CA006A">
        <w:rPr>
          <w:sz w:val="22"/>
        </w:rPr>
        <w:t xml:space="preserve">by the newly proposed </w:t>
      </w:r>
      <w:r w:rsidR="003C5A38" w:rsidRPr="00CA006A">
        <w:rPr>
          <w:sz w:val="22"/>
        </w:rPr>
        <w:t xml:space="preserve">Form </w:t>
      </w:r>
      <w:r w:rsidRPr="00CA006A">
        <w:rPr>
          <w:sz w:val="22"/>
        </w:rPr>
        <w:t>EIA-915</w:t>
      </w:r>
      <w:r w:rsidR="003508C9" w:rsidRPr="00CA006A">
        <w:rPr>
          <w:sz w:val="22"/>
        </w:rPr>
        <w:t>,</w:t>
      </w:r>
      <w:r w:rsidRPr="00CA006A">
        <w:rPr>
          <w:sz w:val="22"/>
        </w:rPr>
        <w:t xml:space="preserve"> </w:t>
      </w:r>
      <w:hyperlink r:id="rId12" w:anchor="eia-915" w:history="1">
        <w:r w:rsidR="00890DE4" w:rsidRPr="00666D0D">
          <w:rPr>
            <w:rStyle w:val="Hyperlink"/>
            <w:i/>
            <w:sz w:val="22"/>
          </w:rPr>
          <w:t>Monthly Gas Processing and Liquids Report</w:t>
        </w:r>
      </w:hyperlink>
      <w:r w:rsidRPr="00CA006A">
        <w:rPr>
          <w:sz w:val="22"/>
        </w:rPr>
        <w:t>.</w:t>
      </w:r>
    </w:p>
    <w:p w:rsidR="00DF3B52" w:rsidRPr="00313501" w:rsidRDefault="00DF3B52" w:rsidP="00C6298C">
      <w:pPr>
        <w:pStyle w:val="Heading2"/>
      </w:pPr>
      <w:bookmarkStart w:id="4" w:name="_Toc349051177"/>
      <w:bookmarkStart w:id="5" w:name="_Toc336547813"/>
      <w:r>
        <w:lastRenderedPageBreak/>
        <w:t>Statistical Sampling, Imputation, and Estimation Procedures</w:t>
      </w:r>
      <w:bookmarkEnd w:id="4"/>
    </w:p>
    <w:p w:rsidR="00823E0E" w:rsidRPr="00C6298C" w:rsidRDefault="00823E0E" w:rsidP="00C6298C">
      <w:pPr>
        <w:pStyle w:val="Heading3"/>
      </w:pPr>
      <w:bookmarkStart w:id="6" w:name="_Toc349051178"/>
      <w:r w:rsidRPr="00C6298C">
        <w:t>Sampling</w:t>
      </w:r>
      <w:bookmarkEnd w:id="6"/>
    </w:p>
    <w:bookmarkEnd w:id="5"/>
    <w:p w:rsidR="00151E02" w:rsidRPr="0044662E" w:rsidRDefault="003741A7" w:rsidP="0044662E">
      <w:pPr>
        <w:tabs>
          <w:tab w:val="clear" w:pos="360"/>
        </w:tabs>
        <w:spacing w:before="240" w:beforeAutospacing="0" w:after="0" w:afterAutospacing="0"/>
        <w:rPr>
          <w:sz w:val="22"/>
          <w:u w:val="single"/>
        </w:rPr>
      </w:pPr>
      <w:r w:rsidRPr="0044662E">
        <w:rPr>
          <w:sz w:val="22"/>
          <w:u w:val="single"/>
        </w:rPr>
        <w:t>Current</w:t>
      </w:r>
      <w:r w:rsidR="00674E3B" w:rsidRPr="0044662E">
        <w:rPr>
          <w:sz w:val="22"/>
          <w:u w:val="single"/>
        </w:rPr>
        <w:t xml:space="preserve"> </w:t>
      </w:r>
      <w:r w:rsidR="00151E02" w:rsidRPr="0044662E">
        <w:rPr>
          <w:sz w:val="22"/>
          <w:u w:val="single"/>
        </w:rPr>
        <w:t>Form EIA-23L</w:t>
      </w:r>
    </w:p>
    <w:p w:rsidR="00E00A64" w:rsidRPr="0044662E" w:rsidRDefault="00151E02" w:rsidP="000615CC">
      <w:pPr>
        <w:tabs>
          <w:tab w:val="clear" w:pos="360"/>
        </w:tabs>
        <w:spacing w:before="120" w:beforeAutospacing="0"/>
        <w:rPr>
          <w:sz w:val="22"/>
        </w:rPr>
      </w:pPr>
      <w:r w:rsidRPr="0044662E">
        <w:rPr>
          <w:sz w:val="22"/>
        </w:rPr>
        <w:t xml:space="preserve">The </w:t>
      </w:r>
      <w:r w:rsidR="00666D0D">
        <w:rPr>
          <w:sz w:val="22"/>
        </w:rPr>
        <w:t>current</w:t>
      </w:r>
      <w:r w:rsidRPr="0044662E">
        <w:rPr>
          <w:sz w:val="22"/>
        </w:rPr>
        <w:t xml:space="preserve"> survey samples for the Form EIA-23L</w:t>
      </w:r>
      <w:r w:rsidR="00666D0D">
        <w:rPr>
          <w:sz w:val="22"/>
        </w:rPr>
        <w:t xml:space="preserve"> and Form EIA-23S</w:t>
      </w:r>
      <w:r w:rsidRPr="0044662E">
        <w:rPr>
          <w:sz w:val="22"/>
        </w:rPr>
        <w:t xml:space="preserve"> were a combination of </w:t>
      </w:r>
      <w:r w:rsidR="00432263" w:rsidRPr="0044662E">
        <w:rPr>
          <w:sz w:val="22"/>
        </w:rPr>
        <w:t>certainty strata</w:t>
      </w:r>
      <w:r w:rsidR="00633A9F" w:rsidRPr="0044662E">
        <w:rPr>
          <w:sz w:val="22"/>
        </w:rPr>
        <w:t xml:space="preserve"> for large well operators and</w:t>
      </w:r>
      <w:r w:rsidRPr="0044662E">
        <w:rPr>
          <w:sz w:val="22"/>
        </w:rPr>
        <w:t xml:space="preserve"> probability proportional to size (PPS) samples for smaller operators. </w:t>
      </w:r>
      <w:r w:rsidR="00674E3B" w:rsidRPr="0044662E">
        <w:rPr>
          <w:sz w:val="22"/>
        </w:rPr>
        <w:t xml:space="preserve"> </w:t>
      </w:r>
      <w:r w:rsidR="005454AD" w:rsidRPr="0044662E">
        <w:rPr>
          <w:sz w:val="22"/>
        </w:rPr>
        <w:t>Operator s</w:t>
      </w:r>
      <w:r w:rsidR="00AB7EF6" w:rsidRPr="0044662E">
        <w:rPr>
          <w:sz w:val="22"/>
        </w:rPr>
        <w:t xml:space="preserve">ize is determined by </w:t>
      </w:r>
      <w:r w:rsidR="005454AD" w:rsidRPr="0044662E">
        <w:rPr>
          <w:sz w:val="22"/>
        </w:rPr>
        <w:t xml:space="preserve">level of </w:t>
      </w:r>
      <w:r w:rsidR="00AB7EF6" w:rsidRPr="0044662E">
        <w:rPr>
          <w:sz w:val="22"/>
        </w:rPr>
        <w:t>production</w:t>
      </w:r>
      <w:r w:rsidR="005454AD" w:rsidRPr="0044662E">
        <w:rPr>
          <w:sz w:val="22"/>
        </w:rPr>
        <w:t xml:space="preserve">, which is obtained from </w:t>
      </w:r>
      <w:r w:rsidR="008E672F" w:rsidRPr="0044662E">
        <w:rPr>
          <w:sz w:val="22"/>
        </w:rPr>
        <w:t xml:space="preserve">the </w:t>
      </w:r>
      <w:r w:rsidR="005454AD" w:rsidRPr="0044662E">
        <w:rPr>
          <w:sz w:val="22"/>
        </w:rPr>
        <w:t>commercial</w:t>
      </w:r>
      <w:r w:rsidR="008E672F" w:rsidRPr="0044662E">
        <w:rPr>
          <w:sz w:val="22"/>
        </w:rPr>
        <w:t xml:space="preserve"> </w:t>
      </w:r>
      <w:r w:rsidR="0046428C" w:rsidRPr="0044662E">
        <w:rPr>
          <w:sz w:val="22"/>
        </w:rPr>
        <w:t xml:space="preserve">data </w:t>
      </w:r>
      <w:r w:rsidR="005454AD" w:rsidRPr="0044662E">
        <w:rPr>
          <w:sz w:val="22"/>
        </w:rPr>
        <w:t>vendor</w:t>
      </w:r>
      <w:r w:rsidR="00674E3B" w:rsidRPr="0044662E">
        <w:rPr>
          <w:sz w:val="22"/>
        </w:rPr>
        <w:t>,</w:t>
      </w:r>
      <w:r w:rsidR="005454AD" w:rsidRPr="0044662E">
        <w:rPr>
          <w:sz w:val="22"/>
        </w:rPr>
        <w:t xml:space="preserve"> DI</w:t>
      </w:r>
      <w:r w:rsidR="0046428C" w:rsidRPr="0044662E">
        <w:rPr>
          <w:sz w:val="22"/>
        </w:rPr>
        <w:t>, from state agencies, or the Bureau of Safety and Environmental Enforcement (BSEE)</w:t>
      </w:r>
      <w:r w:rsidR="005454AD" w:rsidRPr="0044662E">
        <w:rPr>
          <w:sz w:val="22"/>
        </w:rPr>
        <w:t>.</w:t>
      </w:r>
      <w:r w:rsidRPr="0044662E">
        <w:rPr>
          <w:sz w:val="22"/>
        </w:rPr>
        <w:t xml:space="preserve"> </w:t>
      </w:r>
      <w:r w:rsidR="00674E3B" w:rsidRPr="0044662E">
        <w:rPr>
          <w:sz w:val="22"/>
        </w:rPr>
        <w:t xml:space="preserve"> </w:t>
      </w:r>
      <w:r w:rsidRPr="0044662E">
        <w:rPr>
          <w:sz w:val="22"/>
        </w:rPr>
        <w:t xml:space="preserve">Roughly half of all sampled respondents came from the </w:t>
      </w:r>
      <w:r w:rsidR="00447891" w:rsidRPr="0044662E">
        <w:rPr>
          <w:sz w:val="22"/>
        </w:rPr>
        <w:t>certainty strata</w:t>
      </w:r>
      <w:r w:rsidR="003741A7" w:rsidRPr="0044662E">
        <w:rPr>
          <w:sz w:val="22"/>
        </w:rPr>
        <w:t>,</w:t>
      </w:r>
      <w:r w:rsidRPr="0044662E">
        <w:rPr>
          <w:sz w:val="22"/>
        </w:rPr>
        <w:t xml:space="preserve"> </w:t>
      </w:r>
      <w:r w:rsidR="00253B9A" w:rsidRPr="0044662E">
        <w:rPr>
          <w:sz w:val="22"/>
        </w:rPr>
        <w:t>and the other half came</w:t>
      </w:r>
      <w:r w:rsidRPr="0044662E">
        <w:rPr>
          <w:sz w:val="22"/>
        </w:rPr>
        <w:t xml:space="preserve"> from the PPS sample conducted for each survey</w:t>
      </w:r>
      <w:r w:rsidR="00674E3B" w:rsidRPr="0044662E">
        <w:rPr>
          <w:sz w:val="22"/>
        </w:rPr>
        <w:t>.</w:t>
      </w:r>
      <w:r w:rsidR="0046428C" w:rsidRPr="0044662E">
        <w:rPr>
          <w:sz w:val="22"/>
        </w:rPr>
        <w:t xml:space="preserve">  There were roughly 1</w:t>
      </w:r>
      <w:r w:rsidR="00B35E75" w:rsidRPr="0044662E">
        <w:rPr>
          <w:sz w:val="22"/>
        </w:rPr>
        <w:t>,</w:t>
      </w:r>
      <w:r w:rsidR="0046428C" w:rsidRPr="0044662E">
        <w:rPr>
          <w:sz w:val="22"/>
        </w:rPr>
        <w:t>200 total respondents</w:t>
      </w:r>
      <w:r w:rsidR="008B0687">
        <w:rPr>
          <w:sz w:val="22"/>
        </w:rPr>
        <w:t xml:space="preserve"> for Forms EIA-23L and EIA 23S, combined</w:t>
      </w:r>
      <w:r w:rsidR="0046428C" w:rsidRPr="0044662E">
        <w:rPr>
          <w:sz w:val="22"/>
        </w:rPr>
        <w:t>.</w:t>
      </w:r>
      <w:r w:rsidR="0086451F" w:rsidRPr="0044662E">
        <w:rPr>
          <w:sz w:val="22"/>
        </w:rPr>
        <w:t xml:space="preserve">  Sample selection was performed using national operator production.</w:t>
      </w:r>
    </w:p>
    <w:p w:rsidR="00151E02" w:rsidRPr="0044662E" w:rsidRDefault="00151E02" w:rsidP="000615CC">
      <w:pPr>
        <w:tabs>
          <w:tab w:val="clear" w:pos="360"/>
        </w:tabs>
        <w:spacing w:after="0" w:afterAutospacing="0"/>
        <w:rPr>
          <w:sz w:val="22"/>
          <w:u w:val="single"/>
        </w:rPr>
      </w:pPr>
      <w:r w:rsidRPr="0044662E">
        <w:rPr>
          <w:sz w:val="22"/>
          <w:u w:val="single"/>
        </w:rPr>
        <w:t>Proposed Form EIA-23L</w:t>
      </w:r>
    </w:p>
    <w:p w:rsidR="00E00A64" w:rsidRPr="0044662E" w:rsidRDefault="009A426E" w:rsidP="0044662E">
      <w:pPr>
        <w:tabs>
          <w:tab w:val="clear" w:pos="360"/>
        </w:tabs>
        <w:autoSpaceDE w:val="0"/>
        <w:autoSpaceDN w:val="0"/>
        <w:adjustRightInd w:val="0"/>
        <w:spacing w:before="120" w:beforeAutospacing="0"/>
        <w:rPr>
          <w:rFonts w:eastAsia="Times New Roman"/>
          <w:sz w:val="22"/>
        </w:rPr>
      </w:pPr>
      <w:r w:rsidRPr="0044662E">
        <w:rPr>
          <w:sz w:val="22"/>
        </w:rPr>
        <w:t>EIA proposes a cut</w:t>
      </w:r>
      <w:r w:rsidR="00674E3B" w:rsidRPr="0044662E">
        <w:rPr>
          <w:sz w:val="22"/>
        </w:rPr>
        <w:t>-</w:t>
      </w:r>
      <w:r w:rsidR="00432263" w:rsidRPr="0044662E">
        <w:rPr>
          <w:sz w:val="22"/>
        </w:rPr>
        <w:t>off sample</w:t>
      </w:r>
      <w:r w:rsidRPr="0044662E">
        <w:rPr>
          <w:sz w:val="22"/>
        </w:rPr>
        <w:t xml:space="preserve"> for </w:t>
      </w:r>
      <w:r w:rsidR="00432263" w:rsidRPr="0044662E">
        <w:rPr>
          <w:sz w:val="22"/>
        </w:rPr>
        <w:t>the F</w:t>
      </w:r>
      <w:r w:rsidRPr="0044662E">
        <w:rPr>
          <w:sz w:val="22"/>
        </w:rPr>
        <w:t>orm EIA-23L</w:t>
      </w:r>
      <w:r w:rsidR="008B0687">
        <w:rPr>
          <w:sz w:val="22"/>
        </w:rPr>
        <w:t xml:space="preserve">, which will include some </w:t>
      </w:r>
      <w:r w:rsidR="002D53E5">
        <w:rPr>
          <w:sz w:val="22"/>
        </w:rPr>
        <w:t xml:space="preserve">former </w:t>
      </w:r>
      <w:r w:rsidR="008B0687">
        <w:rPr>
          <w:sz w:val="22"/>
        </w:rPr>
        <w:t>respondents to the Form EIA-23S, which is proposed to be suspended</w:t>
      </w:r>
      <w:r w:rsidRPr="0044662E">
        <w:rPr>
          <w:sz w:val="22"/>
        </w:rPr>
        <w:t>.  Cut</w:t>
      </w:r>
      <w:r w:rsidR="00674E3B" w:rsidRPr="0044662E">
        <w:rPr>
          <w:sz w:val="22"/>
        </w:rPr>
        <w:t>-</w:t>
      </w:r>
      <w:r w:rsidRPr="0044662E">
        <w:rPr>
          <w:sz w:val="22"/>
        </w:rPr>
        <w:t xml:space="preserve">off samples </w:t>
      </w:r>
      <w:r w:rsidR="00432263" w:rsidRPr="0044662E">
        <w:rPr>
          <w:sz w:val="22"/>
        </w:rPr>
        <w:t>are</w:t>
      </w:r>
      <w:r w:rsidR="0013225D" w:rsidRPr="0044662E">
        <w:rPr>
          <w:sz w:val="22"/>
        </w:rPr>
        <w:t xml:space="preserve"> comprised of all operators with measures of size larger than a predefined </w:t>
      </w:r>
      <w:r w:rsidR="0046428C" w:rsidRPr="0044662E">
        <w:rPr>
          <w:sz w:val="22"/>
        </w:rPr>
        <w:t xml:space="preserve">production </w:t>
      </w:r>
      <w:r w:rsidR="0013225D" w:rsidRPr="0044662E">
        <w:rPr>
          <w:sz w:val="22"/>
        </w:rPr>
        <w:t xml:space="preserve">threshold. </w:t>
      </w:r>
      <w:r w:rsidR="00674E3B" w:rsidRPr="0044662E">
        <w:rPr>
          <w:sz w:val="22"/>
        </w:rPr>
        <w:t xml:space="preserve"> </w:t>
      </w:r>
      <w:r w:rsidR="009C2665" w:rsidRPr="0044662E">
        <w:rPr>
          <w:sz w:val="22"/>
        </w:rPr>
        <w:t>The reporting burden for operators below the predefined threshold is eliminated</w:t>
      </w:r>
      <w:r w:rsidR="009C2665" w:rsidRPr="0044662E">
        <w:rPr>
          <w:rFonts w:eastAsia="Times New Roman"/>
          <w:sz w:val="22"/>
        </w:rPr>
        <w:t>.</w:t>
      </w:r>
      <w:r w:rsidRPr="0044662E">
        <w:rPr>
          <w:rFonts w:eastAsia="Times New Roman"/>
          <w:sz w:val="22"/>
        </w:rPr>
        <w:t xml:space="preserve"> </w:t>
      </w:r>
      <w:r w:rsidR="00746859" w:rsidRPr="0044662E">
        <w:rPr>
          <w:rFonts w:eastAsia="Times New Roman"/>
          <w:sz w:val="22"/>
        </w:rPr>
        <w:t xml:space="preserve"> </w:t>
      </w:r>
      <w:r w:rsidR="009C2665" w:rsidRPr="0044662E">
        <w:rPr>
          <w:rFonts w:eastAsia="Times New Roman"/>
          <w:sz w:val="22"/>
        </w:rPr>
        <w:t>Reductions to sample sizes from cut-off sampling</w:t>
      </w:r>
      <w:r w:rsidRPr="0044662E">
        <w:rPr>
          <w:rFonts w:eastAsia="Times New Roman"/>
          <w:sz w:val="22"/>
        </w:rPr>
        <w:t xml:space="preserve"> also </w:t>
      </w:r>
      <w:r w:rsidR="009C2665" w:rsidRPr="0044662E">
        <w:rPr>
          <w:rFonts w:eastAsia="Times New Roman"/>
          <w:sz w:val="22"/>
        </w:rPr>
        <w:t>ha</w:t>
      </w:r>
      <w:r w:rsidR="00447891" w:rsidRPr="0044662E">
        <w:rPr>
          <w:rFonts w:eastAsia="Times New Roman"/>
          <w:sz w:val="22"/>
        </w:rPr>
        <w:t>ve</w:t>
      </w:r>
      <w:r w:rsidR="009C2665" w:rsidRPr="0044662E">
        <w:rPr>
          <w:rFonts w:eastAsia="Times New Roman"/>
          <w:sz w:val="22"/>
        </w:rPr>
        <w:t xml:space="preserve"> the potential to reduce</w:t>
      </w:r>
      <w:r w:rsidR="008E672F" w:rsidRPr="0044662E">
        <w:rPr>
          <w:rFonts w:eastAsia="Times New Roman"/>
          <w:sz w:val="22"/>
        </w:rPr>
        <w:t xml:space="preserve"> burden/cost to </w:t>
      </w:r>
      <w:r w:rsidRPr="0044662E">
        <w:rPr>
          <w:rFonts w:eastAsia="Times New Roman"/>
          <w:sz w:val="22"/>
        </w:rPr>
        <w:t>EIA.</w:t>
      </w:r>
      <w:r w:rsidR="00746859" w:rsidRPr="0044662E">
        <w:rPr>
          <w:rFonts w:eastAsia="Times New Roman"/>
          <w:sz w:val="22"/>
        </w:rPr>
        <w:t xml:space="preserve"> </w:t>
      </w:r>
      <w:r w:rsidRPr="0044662E">
        <w:rPr>
          <w:rFonts w:eastAsia="Times New Roman"/>
          <w:sz w:val="22"/>
        </w:rPr>
        <w:t xml:space="preserve"> </w:t>
      </w:r>
      <w:r w:rsidR="00B35E75" w:rsidRPr="0044662E">
        <w:rPr>
          <w:rFonts w:eastAsia="Times New Roman"/>
          <w:sz w:val="22"/>
        </w:rPr>
        <w:t>Because</w:t>
      </w:r>
      <w:r w:rsidR="0013225D" w:rsidRPr="0044662E">
        <w:rPr>
          <w:sz w:val="22"/>
        </w:rPr>
        <w:t xml:space="preserve"> smaller operators have, in the past, been responsible for a high percentage of reporting errors</w:t>
      </w:r>
      <w:r w:rsidR="00432263" w:rsidRPr="0044662E">
        <w:rPr>
          <w:sz w:val="22"/>
        </w:rPr>
        <w:t xml:space="preserve"> and </w:t>
      </w:r>
      <w:proofErr w:type="spellStart"/>
      <w:r w:rsidR="0046392F" w:rsidRPr="0044662E">
        <w:rPr>
          <w:sz w:val="22"/>
        </w:rPr>
        <w:t>nonrespons</w:t>
      </w:r>
      <w:r w:rsidR="002D53E5">
        <w:rPr>
          <w:sz w:val="22"/>
        </w:rPr>
        <w:t>e</w:t>
      </w:r>
      <w:proofErr w:type="spellEnd"/>
      <w:r w:rsidR="0086451F" w:rsidRPr="0044662E">
        <w:rPr>
          <w:sz w:val="22"/>
        </w:rPr>
        <w:t>,</w:t>
      </w:r>
      <w:r w:rsidR="0013225D" w:rsidRPr="0044662E">
        <w:rPr>
          <w:sz w:val="22"/>
        </w:rPr>
        <w:t xml:space="preserve"> </w:t>
      </w:r>
      <w:r w:rsidR="0086451F" w:rsidRPr="0044662E">
        <w:rPr>
          <w:sz w:val="22"/>
        </w:rPr>
        <w:t>c</w:t>
      </w:r>
      <w:r w:rsidR="0013225D" w:rsidRPr="0044662E">
        <w:rPr>
          <w:sz w:val="22"/>
        </w:rPr>
        <w:t>ut</w:t>
      </w:r>
      <w:r w:rsidR="00746859" w:rsidRPr="0044662E">
        <w:rPr>
          <w:sz w:val="22"/>
        </w:rPr>
        <w:t>-</w:t>
      </w:r>
      <w:r w:rsidR="0013225D" w:rsidRPr="0044662E">
        <w:rPr>
          <w:sz w:val="22"/>
        </w:rPr>
        <w:t>off sampling may also reduce the levels of non-sampling error affecting the published estimates (</w:t>
      </w:r>
      <w:r w:rsidR="00746859" w:rsidRPr="0044662E">
        <w:rPr>
          <w:sz w:val="22"/>
        </w:rPr>
        <w:t>s</w:t>
      </w:r>
      <w:r w:rsidR="0013225D" w:rsidRPr="0044662E">
        <w:rPr>
          <w:sz w:val="22"/>
        </w:rPr>
        <w:t xml:space="preserve">ee Knaub </w:t>
      </w:r>
      <w:r w:rsidR="003741A7" w:rsidRPr="0044662E">
        <w:rPr>
          <w:sz w:val="22"/>
        </w:rPr>
        <w:t>[</w:t>
      </w:r>
      <w:r w:rsidR="0013225D" w:rsidRPr="0044662E">
        <w:rPr>
          <w:sz w:val="22"/>
        </w:rPr>
        <w:t>2007, 2008</w:t>
      </w:r>
      <w:r w:rsidR="003741A7" w:rsidRPr="0044662E">
        <w:rPr>
          <w:sz w:val="22"/>
        </w:rPr>
        <w:t>]</w:t>
      </w:r>
      <w:r w:rsidR="0013225D" w:rsidRPr="0044662E">
        <w:rPr>
          <w:sz w:val="22"/>
        </w:rPr>
        <w:t xml:space="preserve"> on cut</w:t>
      </w:r>
      <w:r w:rsidR="00746859" w:rsidRPr="0044662E">
        <w:rPr>
          <w:sz w:val="22"/>
        </w:rPr>
        <w:t>-</w:t>
      </w:r>
      <w:r w:rsidR="0013225D" w:rsidRPr="0044662E">
        <w:rPr>
          <w:sz w:val="22"/>
        </w:rPr>
        <w:t xml:space="preserve">off sampling in general, Royall </w:t>
      </w:r>
      <w:r w:rsidR="003741A7" w:rsidRPr="0044662E">
        <w:rPr>
          <w:sz w:val="22"/>
        </w:rPr>
        <w:t>[</w:t>
      </w:r>
      <w:r w:rsidR="0013225D" w:rsidRPr="0044662E">
        <w:rPr>
          <w:sz w:val="22"/>
        </w:rPr>
        <w:t>1970</w:t>
      </w:r>
      <w:r w:rsidR="003741A7" w:rsidRPr="0044662E">
        <w:rPr>
          <w:sz w:val="22"/>
        </w:rPr>
        <w:t>]</w:t>
      </w:r>
      <w:r w:rsidR="0013225D" w:rsidRPr="0044662E">
        <w:rPr>
          <w:sz w:val="22"/>
        </w:rPr>
        <w:t xml:space="preserve"> on model variance, and Knaub </w:t>
      </w:r>
      <w:r w:rsidR="003741A7" w:rsidRPr="0044662E">
        <w:rPr>
          <w:sz w:val="22"/>
        </w:rPr>
        <w:t>[</w:t>
      </w:r>
      <w:r w:rsidR="0013225D" w:rsidRPr="0044662E">
        <w:rPr>
          <w:sz w:val="22"/>
        </w:rPr>
        <w:t>2001</w:t>
      </w:r>
      <w:r w:rsidR="003741A7" w:rsidRPr="0044662E">
        <w:rPr>
          <w:sz w:val="22"/>
        </w:rPr>
        <w:t>]</w:t>
      </w:r>
      <w:r w:rsidR="0013225D" w:rsidRPr="0044662E">
        <w:rPr>
          <w:sz w:val="22"/>
        </w:rPr>
        <w:t xml:space="preserve"> on model </w:t>
      </w:r>
      <w:r w:rsidR="008E672F" w:rsidRPr="0044662E">
        <w:rPr>
          <w:sz w:val="22"/>
        </w:rPr>
        <w:t>validity</w:t>
      </w:r>
      <w:r w:rsidR="0013225D" w:rsidRPr="0044662E">
        <w:rPr>
          <w:sz w:val="22"/>
        </w:rPr>
        <w:t xml:space="preserve"> and variance)</w:t>
      </w:r>
      <w:r w:rsidR="00746859" w:rsidRPr="0044662E">
        <w:rPr>
          <w:sz w:val="22"/>
        </w:rPr>
        <w:t xml:space="preserve">. </w:t>
      </w:r>
      <w:r w:rsidR="0013225D" w:rsidRPr="0044662E">
        <w:rPr>
          <w:sz w:val="22"/>
        </w:rPr>
        <w:t xml:space="preserve"> </w:t>
      </w:r>
      <w:r w:rsidRPr="0044662E">
        <w:rPr>
          <w:rFonts w:eastAsia="Times New Roman"/>
          <w:sz w:val="22"/>
        </w:rPr>
        <w:t>Cut</w:t>
      </w:r>
      <w:r w:rsidR="00746859" w:rsidRPr="0044662E">
        <w:rPr>
          <w:rFonts w:eastAsia="Times New Roman"/>
          <w:sz w:val="22"/>
        </w:rPr>
        <w:t>-</w:t>
      </w:r>
      <w:r w:rsidRPr="0044662E">
        <w:rPr>
          <w:rFonts w:eastAsia="Times New Roman"/>
          <w:sz w:val="22"/>
        </w:rPr>
        <w:t>off sampling also allows data collection</w:t>
      </w:r>
      <w:r w:rsidR="00B6469B" w:rsidRPr="0044662E">
        <w:rPr>
          <w:rFonts w:eastAsia="Times New Roman"/>
          <w:sz w:val="22"/>
        </w:rPr>
        <w:t xml:space="preserve"> and validation</w:t>
      </w:r>
      <w:r w:rsidRPr="0044662E">
        <w:rPr>
          <w:rFonts w:eastAsia="Times New Roman"/>
          <w:sz w:val="22"/>
        </w:rPr>
        <w:t>/editing effort</w:t>
      </w:r>
      <w:r w:rsidR="00B6469B" w:rsidRPr="0044662E">
        <w:rPr>
          <w:rFonts w:eastAsia="Times New Roman"/>
          <w:sz w:val="22"/>
        </w:rPr>
        <w:t>s</w:t>
      </w:r>
      <w:r w:rsidRPr="0044662E">
        <w:rPr>
          <w:rFonts w:eastAsia="Times New Roman"/>
          <w:sz w:val="22"/>
        </w:rPr>
        <w:t xml:space="preserve"> to be focused on larger operators</w:t>
      </w:r>
      <w:r w:rsidR="00B6469B" w:rsidRPr="0044662E">
        <w:rPr>
          <w:rFonts w:eastAsia="Times New Roman"/>
          <w:sz w:val="22"/>
        </w:rPr>
        <w:t>, wh</w:t>
      </w:r>
      <w:r w:rsidR="009C2665" w:rsidRPr="0044662E">
        <w:rPr>
          <w:rFonts w:eastAsia="Times New Roman"/>
          <w:sz w:val="22"/>
        </w:rPr>
        <w:t>ose responses</w:t>
      </w:r>
      <w:r w:rsidR="00B6469B" w:rsidRPr="0044662E">
        <w:rPr>
          <w:rFonts w:eastAsia="Times New Roman"/>
          <w:sz w:val="22"/>
        </w:rPr>
        <w:t xml:space="preserve"> are more likely to influence published summary</w:t>
      </w:r>
      <w:r w:rsidR="008F0801" w:rsidRPr="0044662E">
        <w:rPr>
          <w:rFonts w:eastAsia="Times New Roman"/>
          <w:sz w:val="22"/>
        </w:rPr>
        <w:t>-</w:t>
      </w:r>
      <w:r w:rsidR="00B6469B" w:rsidRPr="0044662E">
        <w:rPr>
          <w:rFonts w:eastAsia="Times New Roman"/>
          <w:sz w:val="22"/>
        </w:rPr>
        <w:t>level</w:t>
      </w:r>
      <w:r w:rsidR="00CD7C2E" w:rsidRPr="0044662E">
        <w:rPr>
          <w:rFonts w:eastAsia="Times New Roman"/>
          <w:sz w:val="22"/>
        </w:rPr>
        <w:t xml:space="preserve"> data</w:t>
      </w:r>
      <w:r w:rsidRPr="0044662E">
        <w:rPr>
          <w:rFonts w:eastAsia="Times New Roman"/>
          <w:sz w:val="22"/>
        </w:rPr>
        <w:t>.</w:t>
      </w:r>
      <w:r w:rsidR="0086451F" w:rsidRPr="0044662E">
        <w:rPr>
          <w:rFonts w:eastAsia="Times New Roman"/>
          <w:sz w:val="22"/>
        </w:rPr>
        <w:t xml:space="preserve">  Sample selection is performed using state/subdivision operator production.</w:t>
      </w:r>
    </w:p>
    <w:p w:rsidR="00E00A64" w:rsidRPr="0044662E" w:rsidRDefault="0012540C" w:rsidP="0044662E">
      <w:pPr>
        <w:tabs>
          <w:tab w:val="clear" w:pos="360"/>
        </w:tabs>
        <w:autoSpaceDE w:val="0"/>
        <w:autoSpaceDN w:val="0"/>
        <w:adjustRightInd w:val="0"/>
        <w:rPr>
          <w:rFonts w:eastAsia="Times New Roman"/>
          <w:sz w:val="22"/>
        </w:rPr>
      </w:pPr>
      <w:r w:rsidRPr="0044662E">
        <w:rPr>
          <w:rFonts w:eastAsia="Times New Roman"/>
          <w:sz w:val="22"/>
        </w:rPr>
        <w:t>Estimates are required for multiple attributes (natural gas, oil, and lease condensate</w:t>
      </w:r>
      <w:r w:rsidR="00363180" w:rsidRPr="0044662E">
        <w:rPr>
          <w:rFonts w:eastAsia="Times New Roman"/>
          <w:sz w:val="22"/>
        </w:rPr>
        <w:t xml:space="preserve"> by state/subdivision and by </w:t>
      </w:r>
      <w:r w:rsidR="009673C2" w:rsidRPr="0044662E">
        <w:rPr>
          <w:rFonts w:eastAsia="Times New Roman"/>
          <w:sz w:val="22"/>
        </w:rPr>
        <w:t xml:space="preserve">reservoir </w:t>
      </w:r>
      <w:r w:rsidR="00363180" w:rsidRPr="0044662E">
        <w:rPr>
          <w:rFonts w:eastAsia="Times New Roman"/>
          <w:sz w:val="22"/>
        </w:rPr>
        <w:t>type</w:t>
      </w:r>
      <w:r w:rsidRPr="0044662E">
        <w:rPr>
          <w:rFonts w:eastAsia="Times New Roman"/>
          <w:sz w:val="22"/>
        </w:rPr>
        <w:t xml:space="preserve">). </w:t>
      </w:r>
      <w:r w:rsidR="00B6469B" w:rsidRPr="0044662E">
        <w:rPr>
          <w:rFonts w:eastAsia="Times New Roman"/>
          <w:sz w:val="22"/>
        </w:rPr>
        <w:t xml:space="preserve"> Thus</w:t>
      </w:r>
      <w:r w:rsidRPr="0044662E">
        <w:rPr>
          <w:rFonts w:eastAsia="Times New Roman"/>
          <w:sz w:val="22"/>
        </w:rPr>
        <w:t xml:space="preserve">, </w:t>
      </w:r>
      <w:r w:rsidR="00FF38B5" w:rsidRPr="0044662E">
        <w:rPr>
          <w:rFonts w:eastAsia="Times New Roman"/>
          <w:sz w:val="22"/>
        </w:rPr>
        <w:t>a variant of cut</w:t>
      </w:r>
      <w:r w:rsidR="00746859" w:rsidRPr="0044662E">
        <w:rPr>
          <w:rFonts w:eastAsia="Times New Roman"/>
          <w:sz w:val="22"/>
        </w:rPr>
        <w:t>-</w:t>
      </w:r>
      <w:r w:rsidR="00FF38B5" w:rsidRPr="0044662E">
        <w:rPr>
          <w:rFonts w:eastAsia="Times New Roman"/>
          <w:sz w:val="22"/>
        </w:rPr>
        <w:t xml:space="preserve">off sampling, </w:t>
      </w:r>
      <w:r w:rsidR="00890DE4" w:rsidRPr="0044662E">
        <w:rPr>
          <w:rFonts w:eastAsia="Times New Roman"/>
          <w:i/>
          <w:sz w:val="22"/>
        </w:rPr>
        <w:t>quasi-cut-off sampling</w:t>
      </w:r>
      <w:r w:rsidR="00FF38B5" w:rsidRPr="0044662E">
        <w:rPr>
          <w:rFonts w:eastAsia="Times New Roman"/>
          <w:sz w:val="22"/>
        </w:rPr>
        <w:t xml:space="preserve">, </w:t>
      </w:r>
      <w:r w:rsidR="000A2423" w:rsidRPr="0044662E">
        <w:rPr>
          <w:rFonts w:eastAsia="Times New Roman"/>
          <w:sz w:val="22"/>
        </w:rPr>
        <w:t xml:space="preserve">allows a sample </w:t>
      </w:r>
      <w:r w:rsidR="00B6469B" w:rsidRPr="0044662E">
        <w:rPr>
          <w:rFonts w:eastAsia="Times New Roman"/>
          <w:sz w:val="22"/>
        </w:rPr>
        <w:t xml:space="preserve">design </w:t>
      </w:r>
      <w:r w:rsidR="000A2423" w:rsidRPr="0044662E">
        <w:rPr>
          <w:rFonts w:eastAsia="Times New Roman"/>
          <w:sz w:val="22"/>
        </w:rPr>
        <w:t>that yields reliable estimates for the various</w:t>
      </w:r>
      <w:r w:rsidRPr="0044662E">
        <w:rPr>
          <w:rFonts w:eastAsia="Times New Roman"/>
          <w:sz w:val="22"/>
        </w:rPr>
        <w:t xml:space="preserve"> attributes (sometimes called </w:t>
      </w:r>
      <w:r w:rsidR="008B0687">
        <w:rPr>
          <w:rFonts w:eastAsia="Times New Roman"/>
          <w:sz w:val="22"/>
        </w:rPr>
        <w:t>“</w:t>
      </w:r>
      <w:r w:rsidRPr="0044662E">
        <w:rPr>
          <w:rFonts w:eastAsia="Times New Roman"/>
          <w:sz w:val="22"/>
        </w:rPr>
        <w:t>target</w:t>
      </w:r>
      <w:r w:rsidR="00FF38B5" w:rsidRPr="0044662E">
        <w:rPr>
          <w:rFonts w:eastAsia="Times New Roman"/>
          <w:sz w:val="22"/>
        </w:rPr>
        <w:t xml:space="preserve"> </w:t>
      </w:r>
      <w:r w:rsidRPr="0044662E">
        <w:rPr>
          <w:rFonts w:eastAsia="Times New Roman"/>
          <w:sz w:val="22"/>
        </w:rPr>
        <w:t>variables,</w:t>
      </w:r>
      <w:r w:rsidR="008B0687">
        <w:rPr>
          <w:rFonts w:eastAsia="Times New Roman"/>
          <w:sz w:val="22"/>
        </w:rPr>
        <w:t>”</w:t>
      </w:r>
      <w:r w:rsidRPr="0044662E">
        <w:rPr>
          <w:rFonts w:eastAsia="Times New Roman"/>
          <w:sz w:val="22"/>
        </w:rPr>
        <w:t xml:space="preserve"> or </w:t>
      </w:r>
      <w:r w:rsidR="008B0687">
        <w:rPr>
          <w:rFonts w:eastAsia="Times New Roman"/>
          <w:sz w:val="22"/>
        </w:rPr>
        <w:t>“</w:t>
      </w:r>
      <w:r w:rsidRPr="0044662E">
        <w:rPr>
          <w:rFonts w:eastAsia="Times New Roman"/>
          <w:sz w:val="22"/>
        </w:rPr>
        <w:t>variables of interest</w:t>
      </w:r>
      <w:r w:rsidR="008B0687">
        <w:rPr>
          <w:rFonts w:eastAsia="Times New Roman"/>
          <w:sz w:val="22"/>
        </w:rPr>
        <w:t>”</w:t>
      </w:r>
      <w:r w:rsidR="00B6469B" w:rsidRPr="0044662E">
        <w:rPr>
          <w:rFonts w:eastAsia="Times New Roman"/>
          <w:sz w:val="22"/>
        </w:rPr>
        <w:t xml:space="preserve"> --</w:t>
      </w:r>
      <w:r w:rsidRPr="0044662E">
        <w:rPr>
          <w:rFonts w:eastAsia="Times New Roman"/>
          <w:sz w:val="22"/>
        </w:rPr>
        <w:t xml:space="preserve"> </w:t>
      </w:r>
      <w:r w:rsidR="004F742A" w:rsidRPr="0044662E">
        <w:rPr>
          <w:rFonts w:eastAsia="Times New Roman"/>
          <w:sz w:val="22"/>
        </w:rPr>
        <w:t>s</w:t>
      </w:r>
      <w:r w:rsidR="00FF38B5" w:rsidRPr="0044662E">
        <w:rPr>
          <w:rFonts w:eastAsia="Times New Roman"/>
          <w:sz w:val="22"/>
        </w:rPr>
        <w:t>ee Knaub</w:t>
      </w:r>
      <w:r w:rsidR="00E02BC3" w:rsidRPr="0044662E">
        <w:rPr>
          <w:rFonts w:eastAsia="Times New Roman"/>
          <w:sz w:val="22"/>
        </w:rPr>
        <w:t xml:space="preserve"> </w:t>
      </w:r>
      <w:r w:rsidR="00B6469B" w:rsidRPr="0044662E">
        <w:rPr>
          <w:rFonts w:eastAsia="Times New Roman"/>
          <w:sz w:val="22"/>
        </w:rPr>
        <w:t>[</w:t>
      </w:r>
      <w:r w:rsidR="00FF38B5" w:rsidRPr="0044662E">
        <w:rPr>
          <w:rFonts w:eastAsia="Times New Roman"/>
          <w:sz w:val="22"/>
        </w:rPr>
        <w:t>2011a</w:t>
      </w:r>
      <w:r w:rsidR="00B6469B" w:rsidRPr="0044662E">
        <w:rPr>
          <w:rFonts w:eastAsia="Times New Roman"/>
          <w:sz w:val="22"/>
        </w:rPr>
        <w:t>]</w:t>
      </w:r>
      <w:r w:rsidR="00FF38B5" w:rsidRPr="0044662E">
        <w:rPr>
          <w:rFonts w:eastAsia="Times New Roman"/>
          <w:sz w:val="22"/>
        </w:rPr>
        <w:t xml:space="preserve">). </w:t>
      </w:r>
      <w:r w:rsidR="00B6469B" w:rsidRPr="0044662E">
        <w:rPr>
          <w:rFonts w:eastAsia="Times New Roman"/>
          <w:sz w:val="22"/>
        </w:rPr>
        <w:t xml:space="preserve"> </w:t>
      </w:r>
      <w:r w:rsidR="008F0801" w:rsidRPr="0044662E">
        <w:rPr>
          <w:rFonts w:eastAsia="Times New Roman"/>
          <w:sz w:val="22"/>
        </w:rPr>
        <w:t>Because</w:t>
      </w:r>
      <w:r w:rsidR="00BD1CE3" w:rsidRPr="0044662E">
        <w:rPr>
          <w:rFonts w:eastAsia="Times New Roman"/>
          <w:sz w:val="22"/>
        </w:rPr>
        <w:t xml:space="preserve"> </w:t>
      </w:r>
      <w:r w:rsidR="000A23D8" w:rsidRPr="0044662E">
        <w:rPr>
          <w:sz w:val="22"/>
        </w:rPr>
        <w:t>many operators selected for their production in one attribute (e.g.</w:t>
      </w:r>
      <w:r w:rsidR="00B6469B" w:rsidRPr="0044662E">
        <w:rPr>
          <w:sz w:val="22"/>
        </w:rPr>
        <w:t>,</w:t>
      </w:r>
      <w:r w:rsidR="000A23D8" w:rsidRPr="0044662E">
        <w:rPr>
          <w:sz w:val="22"/>
        </w:rPr>
        <w:t xml:space="preserve"> liquid</w:t>
      </w:r>
      <w:r w:rsidR="00B6469B" w:rsidRPr="0044662E">
        <w:rPr>
          <w:sz w:val="22"/>
        </w:rPr>
        <w:t>s</w:t>
      </w:r>
      <w:r w:rsidR="000A23D8" w:rsidRPr="0044662E">
        <w:rPr>
          <w:sz w:val="22"/>
        </w:rPr>
        <w:t>) will also have production in other attributes (e.g., gas), a</w:t>
      </w:r>
      <w:r w:rsidR="006D5D01" w:rsidRPr="0044662E">
        <w:rPr>
          <w:rFonts w:eastAsia="Times New Roman"/>
          <w:sz w:val="22"/>
        </w:rPr>
        <w:t xml:space="preserve"> </w:t>
      </w:r>
      <w:r w:rsidR="0046428C" w:rsidRPr="0044662E">
        <w:rPr>
          <w:rFonts w:eastAsia="Times New Roman"/>
          <w:sz w:val="22"/>
        </w:rPr>
        <w:t xml:space="preserve">few more respondents </w:t>
      </w:r>
      <w:r w:rsidR="009E507B" w:rsidRPr="0044662E">
        <w:rPr>
          <w:rFonts w:eastAsia="Times New Roman"/>
          <w:sz w:val="22"/>
        </w:rPr>
        <w:t>may be</w:t>
      </w:r>
      <w:r w:rsidR="0046428C" w:rsidRPr="0044662E">
        <w:rPr>
          <w:rFonts w:eastAsia="Times New Roman"/>
          <w:sz w:val="22"/>
        </w:rPr>
        <w:t xml:space="preserve"> added </w:t>
      </w:r>
      <w:r w:rsidR="00227A89" w:rsidRPr="0044662E">
        <w:rPr>
          <w:rFonts w:eastAsia="Times New Roman"/>
          <w:sz w:val="22"/>
        </w:rPr>
        <w:t xml:space="preserve">to the </w:t>
      </w:r>
      <w:r w:rsidR="002D53E5">
        <w:rPr>
          <w:rFonts w:eastAsia="Times New Roman"/>
          <w:sz w:val="22"/>
        </w:rPr>
        <w:t xml:space="preserve">sample than the </w:t>
      </w:r>
      <w:r w:rsidR="00227A89" w:rsidRPr="0044662E">
        <w:rPr>
          <w:rFonts w:eastAsia="Times New Roman"/>
          <w:sz w:val="22"/>
        </w:rPr>
        <w:t xml:space="preserve">minimum number required </w:t>
      </w:r>
      <w:r w:rsidR="00E02BC3" w:rsidRPr="0044662E">
        <w:rPr>
          <w:rFonts w:eastAsia="Times New Roman"/>
          <w:sz w:val="22"/>
        </w:rPr>
        <w:t xml:space="preserve">to </w:t>
      </w:r>
      <w:r w:rsidR="00D85F76" w:rsidRPr="0044662E">
        <w:rPr>
          <w:rFonts w:eastAsia="Times New Roman"/>
          <w:sz w:val="22"/>
        </w:rPr>
        <w:t xml:space="preserve">meet preset </w:t>
      </w:r>
      <w:r w:rsidR="00E02BC3" w:rsidRPr="0044662E">
        <w:rPr>
          <w:rFonts w:eastAsia="Times New Roman"/>
          <w:sz w:val="22"/>
        </w:rPr>
        <w:t xml:space="preserve">reliability constraints </w:t>
      </w:r>
      <w:r w:rsidR="007846DB" w:rsidRPr="0044662E">
        <w:rPr>
          <w:rFonts w:eastAsia="Times New Roman"/>
          <w:sz w:val="22"/>
        </w:rPr>
        <w:t xml:space="preserve">for </w:t>
      </w:r>
      <w:r w:rsidR="00E02BC3" w:rsidRPr="0044662E">
        <w:rPr>
          <w:rFonts w:eastAsia="Times New Roman"/>
          <w:sz w:val="22"/>
        </w:rPr>
        <w:t>a particular</w:t>
      </w:r>
      <w:r w:rsidR="007846DB" w:rsidRPr="0044662E">
        <w:rPr>
          <w:rFonts w:eastAsia="Times New Roman"/>
          <w:sz w:val="22"/>
        </w:rPr>
        <w:t xml:space="preserve"> attribute</w:t>
      </w:r>
      <w:r w:rsidR="009E507B" w:rsidRPr="0044662E">
        <w:rPr>
          <w:rFonts w:eastAsia="Times New Roman"/>
          <w:sz w:val="22"/>
        </w:rPr>
        <w:t xml:space="preserve"> in a particular state/subdivision</w:t>
      </w:r>
      <w:r w:rsidR="007846DB" w:rsidRPr="0044662E">
        <w:rPr>
          <w:rFonts w:eastAsia="Times New Roman"/>
          <w:sz w:val="22"/>
        </w:rPr>
        <w:t>.</w:t>
      </w:r>
      <w:r w:rsidR="00227A89" w:rsidRPr="0044662E">
        <w:rPr>
          <w:rFonts w:eastAsia="Times New Roman"/>
          <w:sz w:val="22"/>
        </w:rPr>
        <w:t xml:space="preserve">  </w:t>
      </w:r>
      <w:r w:rsidR="009E507B" w:rsidRPr="0044662E">
        <w:rPr>
          <w:rFonts w:eastAsia="Times New Roman"/>
          <w:sz w:val="22"/>
        </w:rPr>
        <w:t xml:space="preserve">This may cause some state/subdivisions to </w:t>
      </w:r>
      <w:r w:rsidR="00F31DE6" w:rsidRPr="0044662E">
        <w:rPr>
          <w:rFonts w:eastAsia="Times New Roman"/>
          <w:sz w:val="22"/>
        </w:rPr>
        <w:t xml:space="preserve">appear to </w:t>
      </w:r>
      <w:r w:rsidR="009E507B" w:rsidRPr="0044662E">
        <w:rPr>
          <w:rFonts w:eastAsia="Times New Roman"/>
          <w:sz w:val="22"/>
        </w:rPr>
        <w:t>have a</w:t>
      </w:r>
      <w:r w:rsidR="00227A89" w:rsidRPr="0044662E">
        <w:rPr>
          <w:rFonts w:eastAsia="Times New Roman"/>
          <w:sz w:val="22"/>
        </w:rPr>
        <w:t xml:space="preserve"> few “extra” respondents scattered throughout the population below the cutoff threshold, </w:t>
      </w:r>
      <w:r w:rsidR="009E507B" w:rsidRPr="0044662E">
        <w:rPr>
          <w:rFonts w:eastAsia="Times New Roman"/>
          <w:sz w:val="22"/>
        </w:rPr>
        <w:t>but the total number of respondents doesn’t increase</w:t>
      </w:r>
      <w:r w:rsidR="00227A89" w:rsidRPr="0044662E">
        <w:rPr>
          <w:rFonts w:eastAsia="Times New Roman"/>
          <w:sz w:val="22"/>
        </w:rPr>
        <w:t>.</w:t>
      </w:r>
    </w:p>
    <w:p w:rsidR="00151E02" w:rsidRPr="0044662E" w:rsidDel="004B39F0" w:rsidRDefault="00151E02" w:rsidP="0044662E">
      <w:pPr>
        <w:tabs>
          <w:tab w:val="clear" w:pos="360"/>
        </w:tabs>
        <w:rPr>
          <w:sz w:val="22"/>
        </w:rPr>
      </w:pPr>
      <w:r w:rsidRPr="0044662E">
        <w:rPr>
          <w:sz w:val="22"/>
        </w:rPr>
        <w:t>The proposed expanded cut-off sample for the Form EIA-23L will have roughly 8</w:t>
      </w:r>
      <w:r w:rsidR="007315EA" w:rsidRPr="0044662E">
        <w:rPr>
          <w:sz w:val="22"/>
        </w:rPr>
        <w:t>5</w:t>
      </w:r>
      <w:r w:rsidRPr="0044662E">
        <w:rPr>
          <w:sz w:val="22"/>
        </w:rPr>
        <w:t>0 respondents, compared with roughly 1,200 respondents included in the previous sample</w:t>
      </w:r>
      <w:r w:rsidR="008B0687">
        <w:rPr>
          <w:sz w:val="22"/>
        </w:rPr>
        <w:t>s</w:t>
      </w:r>
      <w:r w:rsidR="00227A89" w:rsidRPr="0044662E">
        <w:rPr>
          <w:sz w:val="22"/>
        </w:rPr>
        <w:t xml:space="preserve"> (cutoff and PPS)</w:t>
      </w:r>
      <w:r w:rsidR="00327BFB">
        <w:rPr>
          <w:sz w:val="22"/>
        </w:rPr>
        <w:t xml:space="preserve"> for forms EIA-23L and EIA-23S, combined</w:t>
      </w:r>
      <w:r w:rsidRPr="0044662E">
        <w:rPr>
          <w:sz w:val="22"/>
        </w:rPr>
        <w:t>.  As in the past, sampling will be based on annual production volumes of the well operators</w:t>
      </w:r>
      <w:r w:rsidR="0086451F" w:rsidRPr="0044662E">
        <w:rPr>
          <w:sz w:val="22"/>
        </w:rPr>
        <w:t xml:space="preserve">, but at the state/subdivision </w:t>
      </w:r>
      <w:r w:rsidR="005E61BC" w:rsidRPr="0044662E">
        <w:rPr>
          <w:sz w:val="22"/>
        </w:rPr>
        <w:t xml:space="preserve">and geological province </w:t>
      </w:r>
      <w:r w:rsidR="0086451F" w:rsidRPr="0044662E">
        <w:rPr>
          <w:sz w:val="22"/>
        </w:rPr>
        <w:t>level, not the U.S. level as before</w:t>
      </w:r>
      <w:r w:rsidR="00221811">
        <w:rPr>
          <w:sz w:val="22"/>
        </w:rPr>
        <w:t xml:space="preserve"> (Geological provinces define the estimation groups, See section B.2.2)</w:t>
      </w:r>
      <w:r w:rsidRPr="0044662E">
        <w:rPr>
          <w:sz w:val="22"/>
        </w:rPr>
        <w:t xml:space="preserve">.  EIA’s proposed changes to the Form EIA-23L sampling process </w:t>
      </w:r>
      <w:r w:rsidR="00B6469B" w:rsidRPr="0044662E">
        <w:rPr>
          <w:sz w:val="22"/>
        </w:rPr>
        <w:t>enable developing</w:t>
      </w:r>
      <w:r w:rsidRPr="0044662E">
        <w:rPr>
          <w:sz w:val="22"/>
        </w:rPr>
        <w:t xml:space="preserve"> the </w:t>
      </w:r>
      <w:r w:rsidR="00B6469B" w:rsidRPr="0044662E">
        <w:rPr>
          <w:sz w:val="22"/>
        </w:rPr>
        <w:t xml:space="preserve">new </w:t>
      </w:r>
      <w:r w:rsidRPr="0044662E">
        <w:rPr>
          <w:sz w:val="22"/>
        </w:rPr>
        <w:t>cut-off sample, eliminat</w:t>
      </w:r>
      <w:r w:rsidR="00B6469B" w:rsidRPr="0044662E">
        <w:rPr>
          <w:sz w:val="22"/>
        </w:rPr>
        <w:t>ing</w:t>
      </w:r>
      <w:r w:rsidRPr="0044662E">
        <w:rPr>
          <w:sz w:val="22"/>
        </w:rPr>
        <w:t xml:space="preserve"> the PPS sample of the smaller operators, and </w:t>
      </w:r>
      <w:r w:rsidR="00B6469B" w:rsidRPr="0044662E">
        <w:rPr>
          <w:sz w:val="22"/>
        </w:rPr>
        <w:t xml:space="preserve">eliminating </w:t>
      </w:r>
      <w:r w:rsidRPr="0044662E">
        <w:rPr>
          <w:sz w:val="22"/>
        </w:rPr>
        <w:t xml:space="preserve">the </w:t>
      </w:r>
      <w:r w:rsidR="00B6469B" w:rsidRPr="0044662E">
        <w:rPr>
          <w:sz w:val="22"/>
        </w:rPr>
        <w:t xml:space="preserve">need to collect the </w:t>
      </w:r>
      <w:r w:rsidRPr="0044662E">
        <w:rPr>
          <w:sz w:val="22"/>
        </w:rPr>
        <w:t>Form EIA-23S</w:t>
      </w:r>
      <w:r w:rsidR="00227A89" w:rsidRPr="0044662E">
        <w:rPr>
          <w:sz w:val="22"/>
        </w:rPr>
        <w:t xml:space="preserve"> (for smaller operators)</w:t>
      </w:r>
      <w:r w:rsidRPr="0044662E">
        <w:rPr>
          <w:sz w:val="22"/>
        </w:rPr>
        <w:t xml:space="preserve">.  </w:t>
      </w:r>
      <w:r w:rsidR="006D4CC6" w:rsidRPr="0044662E">
        <w:rPr>
          <w:sz w:val="22"/>
        </w:rPr>
        <w:t xml:space="preserve">Roughly </w:t>
      </w:r>
      <w:r w:rsidRPr="0044662E">
        <w:rPr>
          <w:sz w:val="22"/>
        </w:rPr>
        <w:t xml:space="preserve">90 percent of U.S. oil and natural gas reserve volumes will be reported on the Form EIA-23L, leaving </w:t>
      </w:r>
      <w:r w:rsidR="006D4CC6" w:rsidRPr="0044662E">
        <w:rPr>
          <w:sz w:val="22"/>
        </w:rPr>
        <w:t xml:space="preserve">roughly </w:t>
      </w:r>
      <w:r w:rsidRPr="0044662E">
        <w:rPr>
          <w:sz w:val="22"/>
        </w:rPr>
        <w:t>10 percent to be estimated.</w:t>
      </w:r>
    </w:p>
    <w:p w:rsidR="009265F3" w:rsidRPr="0044662E" w:rsidRDefault="00F40615" w:rsidP="0044662E">
      <w:pPr>
        <w:tabs>
          <w:tab w:val="clear" w:pos="360"/>
        </w:tabs>
        <w:rPr>
          <w:sz w:val="22"/>
        </w:rPr>
      </w:pPr>
      <w:r w:rsidRPr="0044662E">
        <w:rPr>
          <w:sz w:val="22"/>
        </w:rPr>
        <w:t>The cut</w:t>
      </w:r>
      <w:r w:rsidR="00746859" w:rsidRPr="0044662E">
        <w:rPr>
          <w:sz w:val="22"/>
        </w:rPr>
        <w:t>-</w:t>
      </w:r>
      <w:r w:rsidRPr="0044662E">
        <w:rPr>
          <w:sz w:val="22"/>
        </w:rPr>
        <w:t>off sample thresholds for the Form EIA-23</w:t>
      </w:r>
      <w:r w:rsidR="002C4819" w:rsidRPr="0044662E">
        <w:rPr>
          <w:sz w:val="22"/>
        </w:rPr>
        <w:t>L</w:t>
      </w:r>
      <w:r w:rsidRPr="0044662E">
        <w:rPr>
          <w:sz w:val="22"/>
        </w:rPr>
        <w:t xml:space="preserve"> will be selected based on the </w:t>
      </w:r>
      <w:r w:rsidR="00EB7A04" w:rsidRPr="0044662E">
        <w:rPr>
          <w:sz w:val="22"/>
        </w:rPr>
        <w:t>target</w:t>
      </w:r>
      <w:r w:rsidRPr="0044662E">
        <w:rPr>
          <w:sz w:val="22"/>
        </w:rPr>
        <w:t xml:space="preserve"> estimated relative standard error (RSE) value</w:t>
      </w:r>
      <w:r w:rsidR="0086451F" w:rsidRPr="0044662E">
        <w:rPr>
          <w:sz w:val="22"/>
        </w:rPr>
        <w:t xml:space="preserve"> of 5 percent</w:t>
      </w:r>
      <w:r w:rsidRPr="0044662E">
        <w:rPr>
          <w:sz w:val="22"/>
        </w:rPr>
        <w:t xml:space="preserve"> </w:t>
      </w:r>
      <w:r w:rsidR="00CE3BB3" w:rsidRPr="0044662E">
        <w:rPr>
          <w:sz w:val="22"/>
        </w:rPr>
        <w:t>for all publication groups</w:t>
      </w:r>
      <w:r w:rsidRPr="0044662E">
        <w:rPr>
          <w:sz w:val="22"/>
        </w:rPr>
        <w:t xml:space="preserve">.  The RSE is a percentage measure of the precision of a survey statistic and is used as one way to measure error induced by </w:t>
      </w:r>
      <w:r w:rsidRPr="0044662E">
        <w:rPr>
          <w:sz w:val="22"/>
        </w:rPr>
        <w:lastRenderedPageBreak/>
        <w:t>sampling.  RSEs are estimated to account for using model-based predicted values in place of missing and non-sampled data for the quantities of interest (reserves).</w:t>
      </w:r>
      <w:r w:rsidR="00EB7A04" w:rsidRPr="0044662E">
        <w:rPr>
          <w:sz w:val="22"/>
        </w:rPr>
        <w:t xml:space="preserve">Most </w:t>
      </w:r>
      <w:r w:rsidR="00CE50F5">
        <w:rPr>
          <w:sz w:val="22"/>
        </w:rPr>
        <w:t xml:space="preserve">sampled </w:t>
      </w:r>
      <w:r w:rsidR="00EB7A04" w:rsidRPr="0044662E">
        <w:rPr>
          <w:sz w:val="22"/>
        </w:rPr>
        <w:t xml:space="preserve">areas will be able to achieve the 5% RSE, but some areas with mostly small operators may not, because the 5% condition </w:t>
      </w:r>
      <w:r w:rsidR="009265F3" w:rsidRPr="0044662E">
        <w:rPr>
          <w:sz w:val="22"/>
        </w:rPr>
        <w:t xml:space="preserve">would necessitate sampling a large number of extremely small operators.  </w:t>
      </w:r>
      <w:r w:rsidR="00EB7A04" w:rsidRPr="0044662E">
        <w:rPr>
          <w:sz w:val="22"/>
        </w:rPr>
        <w:t xml:space="preserve">In these cases a more reasonable (higher) cutoff will be imposed to avoid sampling </w:t>
      </w:r>
      <w:r w:rsidR="009265F3" w:rsidRPr="0044662E">
        <w:rPr>
          <w:sz w:val="22"/>
        </w:rPr>
        <w:t xml:space="preserve">these </w:t>
      </w:r>
      <w:r w:rsidR="00EB7A04" w:rsidRPr="0044662E">
        <w:rPr>
          <w:sz w:val="22"/>
        </w:rPr>
        <w:t>extremely small operators</w:t>
      </w:r>
      <w:r w:rsidR="009265F3" w:rsidRPr="0044662E">
        <w:rPr>
          <w:sz w:val="22"/>
        </w:rPr>
        <w:t>, to reduce respondent burden and to stay within EIA’s resource constraints.  In some situations</w:t>
      </w:r>
      <w:r w:rsidR="00CE50F5">
        <w:rPr>
          <w:sz w:val="22"/>
        </w:rPr>
        <w:t>,</w:t>
      </w:r>
      <w:r w:rsidR="009265F3" w:rsidRPr="0044662E">
        <w:rPr>
          <w:sz w:val="22"/>
        </w:rPr>
        <w:t xml:space="preserve"> data for these areas will be combined or withheld for dissemination purposes</w:t>
      </w:r>
      <w:r w:rsidR="00EB7A04" w:rsidRPr="0044662E">
        <w:rPr>
          <w:sz w:val="22"/>
        </w:rPr>
        <w:t>.</w:t>
      </w:r>
    </w:p>
    <w:p w:rsidR="00151E02" w:rsidRPr="0044662E" w:rsidRDefault="00151E02" w:rsidP="0044662E">
      <w:pPr>
        <w:tabs>
          <w:tab w:val="clear" w:pos="360"/>
        </w:tabs>
        <w:spacing w:after="0" w:afterAutospacing="0"/>
        <w:rPr>
          <w:sz w:val="22"/>
        </w:rPr>
      </w:pPr>
      <w:r w:rsidRPr="0044662E">
        <w:rPr>
          <w:sz w:val="22"/>
        </w:rPr>
        <w:t>The sampling cut-off production rates and the survey sample will be determined as follows:</w:t>
      </w:r>
    </w:p>
    <w:p w:rsidR="00151E02" w:rsidRPr="0044662E" w:rsidRDefault="00151E02"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The sampling frame will be constructed from commercial data provided by DI and data provided by state </w:t>
      </w:r>
      <w:r w:rsidR="004546D8" w:rsidRPr="0044662E">
        <w:rPr>
          <w:sz w:val="22"/>
        </w:rPr>
        <w:t xml:space="preserve">and </w:t>
      </w:r>
      <w:r w:rsidR="00CE50F5">
        <w:rPr>
          <w:sz w:val="22"/>
        </w:rPr>
        <w:t>f</w:t>
      </w:r>
      <w:r w:rsidR="004546D8" w:rsidRPr="0044662E">
        <w:rPr>
          <w:sz w:val="22"/>
        </w:rPr>
        <w:t xml:space="preserve">ederal </w:t>
      </w:r>
      <w:r w:rsidRPr="0044662E">
        <w:rPr>
          <w:sz w:val="22"/>
        </w:rPr>
        <w:t>regulatory agencies.</w:t>
      </w:r>
      <w:r w:rsidR="00E00A64" w:rsidRPr="0044662E" w:rsidDel="00E00A64">
        <w:rPr>
          <w:sz w:val="22"/>
        </w:rPr>
        <w:t xml:space="preserve"> </w:t>
      </w:r>
      <w:r w:rsidR="00E96DC8" w:rsidRPr="0044662E">
        <w:rPr>
          <w:sz w:val="22"/>
        </w:rPr>
        <w:t xml:space="preserve"> </w:t>
      </w:r>
      <w:r w:rsidRPr="0044662E">
        <w:rPr>
          <w:sz w:val="22"/>
        </w:rPr>
        <w:t xml:space="preserve">A census will be taken of Alaska and </w:t>
      </w:r>
      <w:r w:rsidR="00E96DC8" w:rsidRPr="0044662E">
        <w:rPr>
          <w:sz w:val="22"/>
        </w:rPr>
        <w:t xml:space="preserve">a near census of </w:t>
      </w:r>
      <w:r w:rsidRPr="0044662E">
        <w:rPr>
          <w:sz w:val="22"/>
        </w:rPr>
        <w:t>the Federal offshore Gulf of Mexico well operators.</w:t>
      </w:r>
    </w:p>
    <w:p w:rsidR="00151E02" w:rsidRPr="0044662E" w:rsidRDefault="00151E02"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Operators will be sorted by their gas production, largest to smallest, for each state/subdivision </w:t>
      </w:r>
      <w:r w:rsidR="00A25746" w:rsidRPr="0044662E">
        <w:rPr>
          <w:sz w:val="22"/>
        </w:rPr>
        <w:t>and geographic pro</w:t>
      </w:r>
      <w:r w:rsidR="00024DC1" w:rsidRPr="0044662E">
        <w:rPr>
          <w:sz w:val="22"/>
        </w:rPr>
        <w:t>vince and reservoir type</w:t>
      </w:r>
      <w:r w:rsidRPr="0044662E">
        <w:rPr>
          <w:sz w:val="22"/>
        </w:rPr>
        <w:t>.</w:t>
      </w:r>
      <w:r w:rsidR="003220A9" w:rsidRPr="0044662E">
        <w:rPr>
          <w:sz w:val="22"/>
        </w:rPr>
        <w:t xml:space="preserve"> </w:t>
      </w:r>
    </w:p>
    <w:p w:rsidR="00024DC1" w:rsidRPr="0044662E" w:rsidRDefault="00024DC1"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For each state/subdivision and reservoir type, the largest operator from each geographic province </w:t>
      </w:r>
      <w:r w:rsidR="00CE50F5">
        <w:rPr>
          <w:sz w:val="22"/>
        </w:rPr>
        <w:t>will be</w:t>
      </w:r>
      <w:r w:rsidR="00CE50F5" w:rsidRPr="0044662E">
        <w:rPr>
          <w:sz w:val="22"/>
        </w:rPr>
        <w:t xml:space="preserve"> </w:t>
      </w:r>
      <w:r w:rsidRPr="0044662E">
        <w:rPr>
          <w:sz w:val="22"/>
        </w:rPr>
        <w:t>added to the sample.</w:t>
      </w:r>
    </w:p>
    <w:p w:rsidR="00151E02" w:rsidRPr="0044662E" w:rsidRDefault="006D4CC6"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Operators will be added to the sample one at a time for each state/subdivision publication group.  To add an operator, the largest operator from each geologic province which makes up the state/subdivision</w:t>
      </w:r>
      <w:r w:rsidR="0092295C" w:rsidRPr="0044662E">
        <w:rPr>
          <w:sz w:val="22"/>
        </w:rPr>
        <w:t xml:space="preserve"> will be considered</w:t>
      </w:r>
      <w:r w:rsidRPr="0044662E">
        <w:rPr>
          <w:sz w:val="22"/>
        </w:rPr>
        <w:t xml:space="preserve">.  Whichever one of those operators reduces the anticipated RSE of the estimated reserves the most </w:t>
      </w:r>
      <w:r w:rsidR="0011417D">
        <w:rPr>
          <w:sz w:val="22"/>
        </w:rPr>
        <w:t>will be</w:t>
      </w:r>
      <w:r w:rsidRPr="0044662E">
        <w:rPr>
          <w:sz w:val="22"/>
        </w:rPr>
        <w:t xml:space="preserve"> added to the sample.  This process </w:t>
      </w:r>
      <w:r w:rsidR="0011417D">
        <w:rPr>
          <w:sz w:val="22"/>
        </w:rPr>
        <w:t>will be</w:t>
      </w:r>
      <w:r w:rsidRPr="0044662E">
        <w:rPr>
          <w:sz w:val="22"/>
        </w:rPr>
        <w:t xml:space="preserve"> repeated </w:t>
      </w:r>
      <w:r w:rsidR="00151E02" w:rsidRPr="0044662E">
        <w:rPr>
          <w:sz w:val="22"/>
        </w:rPr>
        <w:t xml:space="preserve">until </w:t>
      </w:r>
      <w:r w:rsidR="00AC0752" w:rsidRPr="0044662E">
        <w:rPr>
          <w:sz w:val="22"/>
        </w:rPr>
        <w:t xml:space="preserve">the estimated RSE for each published state/subdivision estimate is 5% </w:t>
      </w:r>
      <w:r w:rsidR="004546D8" w:rsidRPr="0044662E">
        <w:rPr>
          <w:sz w:val="22"/>
        </w:rPr>
        <w:t xml:space="preserve">(or as low as possible </w:t>
      </w:r>
      <w:r w:rsidR="00702381" w:rsidRPr="0044662E">
        <w:rPr>
          <w:sz w:val="22"/>
        </w:rPr>
        <w:t>if 5% is unattainable in a particular area</w:t>
      </w:r>
      <w:r w:rsidR="0092295C" w:rsidRPr="0044662E">
        <w:rPr>
          <w:sz w:val="22"/>
        </w:rPr>
        <w:t xml:space="preserve"> consisting mostly of extremely small operators</w:t>
      </w:r>
      <w:r w:rsidR="00E96DC8" w:rsidRPr="0044662E">
        <w:rPr>
          <w:sz w:val="22"/>
        </w:rPr>
        <w:t>)</w:t>
      </w:r>
      <w:r w:rsidR="00702381" w:rsidRPr="0044662E">
        <w:rPr>
          <w:sz w:val="22"/>
        </w:rPr>
        <w:t>.</w:t>
      </w:r>
      <w:r w:rsidR="00151E02" w:rsidRPr="0044662E">
        <w:rPr>
          <w:sz w:val="22"/>
        </w:rPr>
        <w:t xml:space="preserve">  The </w:t>
      </w:r>
      <w:r w:rsidRPr="0044662E">
        <w:rPr>
          <w:sz w:val="22"/>
        </w:rPr>
        <w:t>lowest</w:t>
      </w:r>
      <w:r w:rsidR="00561793" w:rsidRPr="0044662E">
        <w:rPr>
          <w:sz w:val="22"/>
        </w:rPr>
        <w:t xml:space="preserve"> </w:t>
      </w:r>
      <w:r w:rsidR="00151E02" w:rsidRPr="0044662E">
        <w:rPr>
          <w:sz w:val="22"/>
        </w:rPr>
        <w:t>gas production rate</w:t>
      </w:r>
      <w:r w:rsidRPr="0044662E">
        <w:rPr>
          <w:sz w:val="22"/>
        </w:rPr>
        <w:t>s</w:t>
      </w:r>
      <w:r w:rsidR="00151E02" w:rsidRPr="0044662E">
        <w:rPr>
          <w:sz w:val="22"/>
        </w:rPr>
        <w:t xml:space="preserve"> </w:t>
      </w:r>
      <w:r w:rsidRPr="0044662E">
        <w:rPr>
          <w:sz w:val="22"/>
        </w:rPr>
        <w:t>sampled in this way</w:t>
      </w:r>
      <w:r w:rsidR="00151E02" w:rsidRPr="0044662E">
        <w:rPr>
          <w:sz w:val="22"/>
        </w:rPr>
        <w:t xml:space="preserve"> will be the gas production cut-off</w:t>
      </w:r>
      <w:r w:rsidRPr="0044662E">
        <w:rPr>
          <w:sz w:val="22"/>
        </w:rPr>
        <w:t>s</w:t>
      </w:r>
      <w:r w:rsidR="00151E02" w:rsidRPr="0044662E">
        <w:rPr>
          <w:sz w:val="22"/>
        </w:rPr>
        <w:t xml:space="preserve"> used for the state/subdivision </w:t>
      </w:r>
      <w:r w:rsidRPr="0044662E">
        <w:rPr>
          <w:sz w:val="22"/>
        </w:rPr>
        <w:t>and geologic provinces</w:t>
      </w:r>
      <w:r w:rsidR="00561793" w:rsidRPr="0044662E">
        <w:rPr>
          <w:sz w:val="22"/>
        </w:rPr>
        <w:t xml:space="preserve"> in </w:t>
      </w:r>
      <w:r w:rsidR="0092295C" w:rsidRPr="0044662E">
        <w:rPr>
          <w:sz w:val="22"/>
        </w:rPr>
        <w:t>subsequent</w:t>
      </w:r>
      <w:r w:rsidR="00561793" w:rsidRPr="0044662E">
        <w:rPr>
          <w:sz w:val="22"/>
        </w:rPr>
        <w:t xml:space="preserve"> operational sampling procedure</w:t>
      </w:r>
      <w:r w:rsidR="0092295C" w:rsidRPr="0044662E">
        <w:rPr>
          <w:sz w:val="22"/>
        </w:rPr>
        <w:t>s</w:t>
      </w:r>
      <w:r w:rsidR="00151E02" w:rsidRPr="0044662E">
        <w:rPr>
          <w:sz w:val="22"/>
        </w:rPr>
        <w:t>.  This selection procedure will be performed for every</w:t>
      </w:r>
      <w:r w:rsidR="00FA5CB3" w:rsidRPr="0044662E">
        <w:rPr>
          <w:sz w:val="22"/>
        </w:rPr>
        <w:t xml:space="preserve"> </w:t>
      </w:r>
      <w:r w:rsidR="0048058E">
        <w:rPr>
          <w:sz w:val="22"/>
        </w:rPr>
        <w:t xml:space="preserve">possible </w:t>
      </w:r>
      <w:r w:rsidR="00151E02" w:rsidRPr="0044662E">
        <w:rPr>
          <w:sz w:val="22"/>
        </w:rPr>
        <w:t>state/subdivision</w:t>
      </w:r>
      <w:r w:rsidR="00E00A64" w:rsidRPr="0044662E">
        <w:rPr>
          <w:sz w:val="22"/>
        </w:rPr>
        <w:t xml:space="preserve"> substratum</w:t>
      </w:r>
      <w:r w:rsidR="00E96DC8" w:rsidRPr="0044662E">
        <w:rPr>
          <w:sz w:val="22"/>
        </w:rPr>
        <w:t xml:space="preserve">.  Some </w:t>
      </w:r>
      <w:r w:rsidR="0011417D">
        <w:rPr>
          <w:sz w:val="22"/>
        </w:rPr>
        <w:t xml:space="preserve">state/subdivision substrata </w:t>
      </w:r>
      <w:r w:rsidR="00E96DC8" w:rsidRPr="0044662E">
        <w:rPr>
          <w:sz w:val="22"/>
        </w:rPr>
        <w:t>may be combined.</w:t>
      </w:r>
    </w:p>
    <w:p w:rsidR="00151E02" w:rsidRPr="0044662E" w:rsidRDefault="00151E02"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Operators will be sorted by their oil production, largest to smallest, for each state/subdivision </w:t>
      </w:r>
      <w:r w:rsidR="00024DC1" w:rsidRPr="0044662E">
        <w:rPr>
          <w:sz w:val="22"/>
        </w:rPr>
        <w:t>and geographic province and reservoir type</w:t>
      </w:r>
      <w:r w:rsidRPr="0044662E">
        <w:rPr>
          <w:sz w:val="22"/>
        </w:rPr>
        <w:t>.</w:t>
      </w:r>
    </w:p>
    <w:p w:rsidR="00024DC1" w:rsidRPr="0044662E" w:rsidRDefault="00024DC1"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 xml:space="preserve">For each state/subdivision and reservoir type, the largest operator from each geographic province </w:t>
      </w:r>
      <w:r w:rsidR="00EA1C2B">
        <w:rPr>
          <w:sz w:val="22"/>
        </w:rPr>
        <w:t>will be</w:t>
      </w:r>
      <w:r w:rsidRPr="0044662E">
        <w:rPr>
          <w:sz w:val="22"/>
        </w:rPr>
        <w:t xml:space="preserve"> added to the sample.</w:t>
      </w:r>
    </w:p>
    <w:p w:rsidR="0092295C" w:rsidRPr="0044662E" w:rsidRDefault="0092295C" w:rsidP="0044662E">
      <w:pPr>
        <w:pStyle w:val="ListParagraph"/>
        <w:numPr>
          <w:ilvl w:val="0"/>
          <w:numId w:val="25"/>
        </w:numPr>
        <w:tabs>
          <w:tab w:val="clear" w:pos="360"/>
        </w:tabs>
        <w:spacing w:before="120" w:beforeAutospacing="0" w:after="0" w:afterAutospacing="0"/>
        <w:contextualSpacing w:val="0"/>
        <w:rPr>
          <w:sz w:val="22"/>
        </w:rPr>
      </w:pPr>
      <w:r w:rsidRPr="0044662E">
        <w:rPr>
          <w:sz w:val="22"/>
        </w:rPr>
        <w:t>Operators will be added to the sample one at a time for each state/subdivision publication.  To add an operator, the largest operator from each geologic province which makes up the state/subdivision</w:t>
      </w:r>
      <w:r w:rsidR="00E671DD">
        <w:rPr>
          <w:sz w:val="22"/>
        </w:rPr>
        <w:t xml:space="preserve"> will be considered</w:t>
      </w:r>
      <w:r w:rsidRPr="0044662E">
        <w:rPr>
          <w:sz w:val="22"/>
        </w:rPr>
        <w:t xml:space="preserve">.  Whichever one of those operators reduces the anticipated RSE of the estimated reserves the most </w:t>
      </w:r>
      <w:r w:rsidR="0048058E">
        <w:rPr>
          <w:sz w:val="22"/>
        </w:rPr>
        <w:t>will be</w:t>
      </w:r>
      <w:r w:rsidRPr="0044662E">
        <w:rPr>
          <w:sz w:val="22"/>
        </w:rPr>
        <w:t xml:space="preserve"> added to the sample.  This process </w:t>
      </w:r>
      <w:r w:rsidR="0048058E">
        <w:rPr>
          <w:sz w:val="22"/>
        </w:rPr>
        <w:t>will be</w:t>
      </w:r>
      <w:r w:rsidRPr="0044662E">
        <w:rPr>
          <w:sz w:val="22"/>
        </w:rPr>
        <w:t xml:space="preserve"> repeated until the estimated RSE for each published state/subdivision estimate is 5% (or as low as possible if 5% is unattainable in a particular area).  The lowest oil production rates sampled in this way will be the oil production cut-offs used for the state/subdivision and geologic provinces.  This selection procedure will be performed for every </w:t>
      </w:r>
      <w:r w:rsidR="0048058E">
        <w:rPr>
          <w:sz w:val="22"/>
        </w:rPr>
        <w:t xml:space="preserve">possible </w:t>
      </w:r>
      <w:r w:rsidRPr="0044662E">
        <w:rPr>
          <w:sz w:val="22"/>
        </w:rPr>
        <w:t xml:space="preserve">state/subdivision substratum.  Some </w:t>
      </w:r>
      <w:r w:rsidR="0048058E">
        <w:rPr>
          <w:sz w:val="22"/>
        </w:rPr>
        <w:t xml:space="preserve">state/subdivision substrata </w:t>
      </w:r>
      <w:r w:rsidRPr="0044662E">
        <w:rPr>
          <w:sz w:val="22"/>
        </w:rPr>
        <w:t xml:space="preserve">may be combined.  </w:t>
      </w:r>
      <w:r w:rsidR="0048058E">
        <w:rPr>
          <w:sz w:val="22"/>
        </w:rPr>
        <w:t>O</w:t>
      </w:r>
      <w:r w:rsidRPr="0044662E">
        <w:rPr>
          <w:sz w:val="22"/>
        </w:rPr>
        <w:t xml:space="preserve">perators producing less than 500 barrels of oil per day nationally will </w:t>
      </w:r>
      <w:r w:rsidR="0048058E">
        <w:rPr>
          <w:sz w:val="22"/>
        </w:rPr>
        <w:t xml:space="preserve">not </w:t>
      </w:r>
      <w:r w:rsidRPr="0044662E">
        <w:rPr>
          <w:sz w:val="22"/>
        </w:rPr>
        <w:t xml:space="preserve">be selected in this fashion, regardless of </w:t>
      </w:r>
      <w:r w:rsidR="0048058E">
        <w:rPr>
          <w:sz w:val="22"/>
        </w:rPr>
        <w:t xml:space="preserve">their impact on </w:t>
      </w:r>
      <w:r w:rsidRPr="0044662E">
        <w:rPr>
          <w:sz w:val="22"/>
        </w:rPr>
        <w:t>RSE</w:t>
      </w:r>
      <w:r w:rsidR="00976207">
        <w:rPr>
          <w:sz w:val="22"/>
        </w:rPr>
        <w:t xml:space="preserve"> calculations</w:t>
      </w:r>
      <w:r w:rsidRPr="0044662E">
        <w:rPr>
          <w:sz w:val="22"/>
        </w:rPr>
        <w:t>.</w:t>
      </w:r>
    </w:p>
    <w:p w:rsidR="0092295C" w:rsidRPr="0044662E" w:rsidRDefault="00024DC1" w:rsidP="0064564C">
      <w:pPr>
        <w:tabs>
          <w:tab w:val="clear" w:pos="360"/>
        </w:tabs>
        <w:rPr>
          <w:sz w:val="22"/>
        </w:rPr>
      </w:pPr>
      <w:r w:rsidRPr="0044662E">
        <w:rPr>
          <w:sz w:val="22"/>
        </w:rPr>
        <w:t xml:space="preserve">See section </w:t>
      </w:r>
      <w:r w:rsidR="00221811">
        <w:rPr>
          <w:sz w:val="22"/>
        </w:rPr>
        <w:t>B.</w:t>
      </w:r>
      <w:r w:rsidRPr="0044662E">
        <w:rPr>
          <w:sz w:val="22"/>
        </w:rPr>
        <w:t>2.7 for estimates of anticipated RSEs.</w:t>
      </w:r>
    </w:p>
    <w:p w:rsidR="00151E02" w:rsidRPr="0044662E" w:rsidRDefault="00150D4D" w:rsidP="00D23CA3">
      <w:pPr>
        <w:tabs>
          <w:tab w:val="clear" w:pos="360"/>
        </w:tabs>
        <w:spacing w:after="0" w:afterAutospacing="0"/>
        <w:rPr>
          <w:sz w:val="22"/>
          <w:u w:val="single"/>
        </w:rPr>
      </w:pPr>
      <w:r w:rsidRPr="0044662E">
        <w:rPr>
          <w:sz w:val="22"/>
          <w:u w:val="single"/>
        </w:rPr>
        <w:t>F</w:t>
      </w:r>
      <w:r w:rsidR="00151E02" w:rsidRPr="0044662E">
        <w:rPr>
          <w:sz w:val="22"/>
          <w:u w:val="single"/>
        </w:rPr>
        <w:t>orm EIA-64A</w:t>
      </w:r>
    </w:p>
    <w:p w:rsidR="00151E02" w:rsidRPr="0044662E" w:rsidRDefault="00151E02" w:rsidP="00D23CA3">
      <w:pPr>
        <w:tabs>
          <w:tab w:val="clear" w:pos="360"/>
        </w:tabs>
        <w:spacing w:before="120" w:beforeAutospacing="0"/>
        <w:rPr>
          <w:sz w:val="22"/>
        </w:rPr>
      </w:pPr>
      <w:r w:rsidRPr="0044662E">
        <w:rPr>
          <w:sz w:val="22"/>
        </w:rPr>
        <w:t xml:space="preserve">The EIA-64A is a census survey of natural gas processing plants.  All natural gas processing plant operators are requested to file a Form EIA-64A for each of their plants.  Plants are requested to report </w:t>
      </w:r>
      <w:r w:rsidRPr="0044662E">
        <w:rPr>
          <w:sz w:val="22"/>
        </w:rPr>
        <w:lastRenderedPageBreak/>
        <w:t xml:space="preserve">natural gas liquids production by the area of origin of the natural gas processed.  The majority of the plant operators report only one area of origin for the natural gas processed by the plant.  The state or </w:t>
      </w:r>
      <w:r w:rsidR="0037299F" w:rsidRPr="0044662E">
        <w:rPr>
          <w:sz w:val="22"/>
        </w:rPr>
        <w:t xml:space="preserve">the </w:t>
      </w:r>
      <w:r w:rsidRPr="0044662E">
        <w:rPr>
          <w:sz w:val="22"/>
        </w:rPr>
        <w:t>area of origin reported is generally also the plant location.</w:t>
      </w:r>
    </w:p>
    <w:p w:rsidR="003935DC" w:rsidRPr="0044662E" w:rsidRDefault="00151E02" w:rsidP="00D23CA3">
      <w:pPr>
        <w:tabs>
          <w:tab w:val="clear" w:pos="360"/>
        </w:tabs>
        <w:rPr>
          <w:sz w:val="22"/>
        </w:rPr>
      </w:pPr>
      <w:r w:rsidRPr="0044662E">
        <w:rPr>
          <w:sz w:val="22"/>
        </w:rPr>
        <w:t xml:space="preserve">The Form EIA-64A gas plant </w:t>
      </w:r>
      <w:r w:rsidR="001F49F9" w:rsidRPr="0044662E">
        <w:rPr>
          <w:sz w:val="22"/>
        </w:rPr>
        <w:t xml:space="preserve">survey </w:t>
      </w:r>
      <w:r w:rsidRPr="0044662E">
        <w:rPr>
          <w:sz w:val="22"/>
        </w:rPr>
        <w:t xml:space="preserve">frame contains data on all known active and inactive natural gas processing plants in the United States.  The </w:t>
      </w:r>
      <w:r w:rsidR="00CD0E7A" w:rsidRPr="0044662E">
        <w:rPr>
          <w:sz w:val="22"/>
        </w:rPr>
        <w:t xml:space="preserve">survey </w:t>
      </w:r>
      <w:r w:rsidRPr="0044662E">
        <w:rPr>
          <w:sz w:val="22"/>
        </w:rPr>
        <w:t xml:space="preserve">frame contains roughly </w:t>
      </w:r>
      <w:r w:rsidR="00150D4D" w:rsidRPr="0044662E">
        <w:rPr>
          <w:sz w:val="22"/>
        </w:rPr>
        <w:t>600</w:t>
      </w:r>
      <w:r w:rsidRPr="0044662E">
        <w:rPr>
          <w:sz w:val="22"/>
        </w:rPr>
        <w:t xml:space="preserve"> active natural gas plants</w:t>
      </w:r>
      <w:r w:rsidR="00FF7835">
        <w:rPr>
          <w:sz w:val="22"/>
        </w:rPr>
        <w:t>, and many new processing plants are being built to facilitate the production of tight oil and shale gas resources</w:t>
      </w:r>
      <w:r w:rsidRPr="0044662E">
        <w:rPr>
          <w:sz w:val="22"/>
        </w:rPr>
        <w:t xml:space="preserve">. </w:t>
      </w:r>
      <w:r w:rsidRPr="0044662E" w:rsidDel="00B860CC">
        <w:rPr>
          <w:sz w:val="22"/>
        </w:rPr>
        <w:t xml:space="preserve"> </w:t>
      </w:r>
      <w:r w:rsidRPr="0044662E">
        <w:rPr>
          <w:sz w:val="22"/>
        </w:rPr>
        <w:t>Each year, EIA provides Form EIA-64A to all known natural gas processing plant operators as of December 31 of the reporting year.  In addition, plant operators whose plants were shut down or dismantled during the reporting year are required to complete forms for that portion of the report</w:t>
      </w:r>
      <w:r w:rsidR="0091295D" w:rsidRPr="0044662E">
        <w:rPr>
          <w:sz w:val="22"/>
        </w:rPr>
        <w:t>ing</w:t>
      </w:r>
      <w:r w:rsidRPr="0044662E">
        <w:rPr>
          <w:sz w:val="22"/>
        </w:rPr>
        <w:t xml:space="preserve"> year the plants were operated.</w:t>
      </w:r>
      <w:r w:rsidR="00150D4D" w:rsidRPr="0044662E">
        <w:rPr>
          <w:sz w:val="22"/>
        </w:rPr>
        <w:t xml:space="preserve">  Many new processing plants are being built to facilitate the production of tight oil and shale gas resources.</w:t>
      </w:r>
    </w:p>
    <w:p w:rsidR="00F0752A" w:rsidRPr="00E47731" w:rsidRDefault="00F0752A" w:rsidP="00C6298C">
      <w:pPr>
        <w:pStyle w:val="Heading3"/>
      </w:pPr>
      <w:bookmarkStart w:id="7" w:name="_Toc349051179"/>
      <w:r>
        <w:t>Estimating Proved Reserves</w:t>
      </w:r>
      <w:bookmarkEnd w:id="7"/>
    </w:p>
    <w:p w:rsidR="00DB7E0C" w:rsidRPr="009574E9" w:rsidRDefault="00151E02" w:rsidP="009574E9">
      <w:pPr>
        <w:tabs>
          <w:tab w:val="clear" w:pos="360"/>
        </w:tabs>
        <w:spacing w:before="120" w:beforeAutospacing="0"/>
        <w:rPr>
          <w:sz w:val="22"/>
        </w:rPr>
      </w:pPr>
      <w:r w:rsidRPr="009574E9">
        <w:rPr>
          <w:sz w:val="22"/>
        </w:rPr>
        <w:t xml:space="preserve">The published estimates of U.S. proved reserves and production </w:t>
      </w:r>
      <w:r w:rsidR="00472A5C" w:rsidRPr="009574E9">
        <w:rPr>
          <w:sz w:val="22"/>
        </w:rPr>
        <w:t>are</w:t>
      </w:r>
      <w:r w:rsidRPr="009574E9">
        <w:rPr>
          <w:sz w:val="22"/>
        </w:rPr>
        <w:t xml:space="preserve"> the sum of the estimates for the individual states.  Correspondingly, the estimates for the states for which estimates are published separately by subdivision (California, Louisiana, New Mexico, and Texas) </w:t>
      </w:r>
      <w:r w:rsidR="00472A5C" w:rsidRPr="009574E9">
        <w:rPr>
          <w:sz w:val="22"/>
        </w:rPr>
        <w:t>are</w:t>
      </w:r>
      <w:r w:rsidRPr="009574E9">
        <w:rPr>
          <w:sz w:val="22"/>
        </w:rPr>
        <w:t xml:space="preserve"> the sum of the </w:t>
      </w:r>
      <w:r w:rsidR="00472A5C" w:rsidRPr="009574E9">
        <w:rPr>
          <w:sz w:val="22"/>
        </w:rPr>
        <w:t xml:space="preserve">subdivision </w:t>
      </w:r>
      <w:r w:rsidRPr="009574E9">
        <w:rPr>
          <w:sz w:val="22"/>
        </w:rPr>
        <w:t xml:space="preserve">estimates.  The remaining states are not subdivided and may be considered as a single subdivision.  </w:t>
      </w:r>
      <w:r w:rsidR="00B54CD7" w:rsidRPr="009574E9">
        <w:rPr>
          <w:sz w:val="22"/>
        </w:rPr>
        <w:t>The cut-off sample account</w:t>
      </w:r>
      <w:r w:rsidR="00472A5C" w:rsidRPr="009574E9">
        <w:rPr>
          <w:sz w:val="22"/>
        </w:rPr>
        <w:t>s</w:t>
      </w:r>
      <w:r w:rsidR="00B54CD7" w:rsidRPr="009574E9">
        <w:rPr>
          <w:sz w:val="22"/>
        </w:rPr>
        <w:t xml:space="preserve"> for </w:t>
      </w:r>
      <w:r w:rsidR="00C42174" w:rsidRPr="009574E9">
        <w:rPr>
          <w:sz w:val="22"/>
        </w:rPr>
        <w:t>roughly</w:t>
      </w:r>
      <w:r w:rsidRPr="009574E9">
        <w:rPr>
          <w:sz w:val="22"/>
        </w:rPr>
        <w:t xml:space="preserve"> 90</w:t>
      </w:r>
      <w:r w:rsidR="00C42174" w:rsidRPr="009574E9">
        <w:rPr>
          <w:sz w:val="22"/>
        </w:rPr>
        <w:t xml:space="preserve"> percent</w:t>
      </w:r>
      <w:r w:rsidRPr="009574E9">
        <w:rPr>
          <w:sz w:val="22"/>
        </w:rPr>
        <w:t xml:space="preserve"> of the U.S. proved reserves for both oil and gas, leaving only 10 percent to be estimated.</w:t>
      </w:r>
    </w:p>
    <w:p w:rsidR="00151E02" w:rsidRPr="009574E9" w:rsidRDefault="00151E02" w:rsidP="00151E02">
      <w:pPr>
        <w:spacing w:after="0"/>
        <w:rPr>
          <w:sz w:val="22"/>
        </w:rPr>
      </w:pPr>
      <w:r w:rsidRPr="009574E9">
        <w:rPr>
          <w:sz w:val="22"/>
        </w:rPr>
        <w:t xml:space="preserve">Production data from another source </w:t>
      </w:r>
      <w:r w:rsidR="00377986" w:rsidRPr="009574E9">
        <w:rPr>
          <w:sz w:val="22"/>
        </w:rPr>
        <w:t>(</w:t>
      </w:r>
      <w:r w:rsidRPr="009574E9">
        <w:rPr>
          <w:sz w:val="22"/>
        </w:rPr>
        <w:t>DI or the state regulatory agencies</w:t>
      </w:r>
      <w:r w:rsidR="00377986" w:rsidRPr="009574E9">
        <w:rPr>
          <w:sz w:val="22"/>
        </w:rPr>
        <w:t>)</w:t>
      </w:r>
      <w:r w:rsidRPr="009574E9">
        <w:rPr>
          <w:sz w:val="22"/>
        </w:rPr>
        <w:t xml:space="preserve"> are used to estimate proved reserves for the non</w:t>
      </w:r>
      <w:r w:rsidR="00377986" w:rsidRPr="009574E9">
        <w:rPr>
          <w:sz w:val="22"/>
        </w:rPr>
        <w:t>-</w:t>
      </w:r>
      <w:r w:rsidRPr="009574E9">
        <w:rPr>
          <w:sz w:val="22"/>
        </w:rPr>
        <w:t xml:space="preserve">surveyed operators.  The </w:t>
      </w:r>
      <w:r w:rsidR="00377986" w:rsidRPr="009574E9">
        <w:rPr>
          <w:sz w:val="22"/>
        </w:rPr>
        <w:t xml:space="preserve">estimates </w:t>
      </w:r>
      <w:r w:rsidRPr="009574E9">
        <w:rPr>
          <w:sz w:val="22"/>
        </w:rPr>
        <w:t>are based on reported reserves and production at the operator/field level.  Likewise, reserve estimates for the non</w:t>
      </w:r>
      <w:r w:rsidR="00377986" w:rsidRPr="009574E9">
        <w:rPr>
          <w:sz w:val="22"/>
        </w:rPr>
        <w:t>-</w:t>
      </w:r>
      <w:r w:rsidRPr="009574E9">
        <w:rPr>
          <w:sz w:val="22"/>
        </w:rPr>
        <w:t>surveyed operators are performed at the operator/field level.</w:t>
      </w:r>
      <w:r w:rsidR="00472A5C" w:rsidRPr="009574E9">
        <w:rPr>
          <w:sz w:val="22"/>
        </w:rPr>
        <w:t xml:space="preserve">  The estimates are </w:t>
      </w:r>
      <w:r w:rsidR="00202A8C" w:rsidRPr="009574E9">
        <w:rPr>
          <w:sz w:val="22"/>
        </w:rPr>
        <w:t>created</w:t>
      </w:r>
      <w:r w:rsidR="00472A5C" w:rsidRPr="009574E9">
        <w:rPr>
          <w:sz w:val="22"/>
        </w:rPr>
        <w:t xml:space="preserve"> using weighted least squares to fit an equation relating production to reserves.  </w:t>
      </w:r>
      <w:r w:rsidR="00202A8C" w:rsidRPr="009574E9">
        <w:rPr>
          <w:sz w:val="22"/>
        </w:rPr>
        <w:t>Operators</w:t>
      </w:r>
      <w:r w:rsidR="00472A5C" w:rsidRPr="009574E9">
        <w:rPr>
          <w:sz w:val="22"/>
        </w:rPr>
        <w:t xml:space="preserve"> are grouped into </w:t>
      </w:r>
      <w:r w:rsidR="00202A8C" w:rsidRPr="009574E9">
        <w:rPr>
          <w:sz w:val="22"/>
        </w:rPr>
        <w:t>geological provinces</w:t>
      </w:r>
      <w:r w:rsidR="00472A5C" w:rsidRPr="009574E9">
        <w:rPr>
          <w:sz w:val="22"/>
        </w:rPr>
        <w:t xml:space="preserve">, and </w:t>
      </w:r>
      <w:r w:rsidR="00202A8C" w:rsidRPr="009574E9">
        <w:rPr>
          <w:sz w:val="22"/>
        </w:rPr>
        <w:t>the equation</w:t>
      </w:r>
      <w:r w:rsidR="00472A5C" w:rsidRPr="009574E9">
        <w:rPr>
          <w:sz w:val="22"/>
        </w:rPr>
        <w:t xml:space="preserve"> is fitted </w:t>
      </w:r>
      <w:r w:rsidR="00202A8C" w:rsidRPr="009574E9">
        <w:rPr>
          <w:sz w:val="22"/>
        </w:rPr>
        <w:t xml:space="preserve">separately </w:t>
      </w:r>
      <w:r w:rsidR="00472A5C" w:rsidRPr="009574E9">
        <w:rPr>
          <w:sz w:val="22"/>
        </w:rPr>
        <w:t xml:space="preserve">for each </w:t>
      </w:r>
      <w:r w:rsidR="00202A8C" w:rsidRPr="009574E9">
        <w:rPr>
          <w:sz w:val="22"/>
        </w:rPr>
        <w:t>province.</w:t>
      </w:r>
    </w:p>
    <w:p w:rsidR="00225A15" w:rsidRPr="009574E9" w:rsidRDefault="00151E02" w:rsidP="009574E9">
      <w:pPr>
        <w:tabs>
          <w:tab w:val="clear" w:pos="360"/>
        </w:tabs>
        <w:rPr>
          <w:sz w:val="22"/>
        </w:rPr>
      </w:pPr>
      <w:r w:rsidRPr="009574E9">
        <w:rPr>
          <w:sz w:val="22"/>
        </w:rPr>
        <w:t xml:space="preserve">Estimation </w:t>
      </w:r>
      <w:r w:rsidR="005B086C" w:rsidRPr="009574E9">
        <w:rPr>
          <w:sz w:val="22"/>
        </w:rPr>
        <w:t xml:space="preserve">groups </w:t>
      </w:r>
      <w:r w:rsidRPr="009574E9">
        <w:rPr>
          <w:sz w:val="22"/>
        </w:rPr>
        <w:t xml:space="preserve">are developed by geologic provinces to benefit from the inherently higher geologic affinity and more similar stage of resource development that these provinces provide.  The boundaries of the geologic provinces used for this purpose are similar to the province and basin boundaries developed by the United States Geological Survey (viewable at </w:t>
      </w:r>
      <w:hyperlink r:id="rId13" w:history="1">
        <w:r w:rsidR="001551BC" w:rsidRPr="009574E9">
          <w:rPr>
            <w:rStyle w:val="Hyperlink"/>
            <w:sz w:val="22"/>
          </w:rPr>
          <w:t>http://certmapper.cr.usgs.gov/geoportal/catalog/search/browse/browse.page</w:t>
        </w:r>
      </w:hyperlink>
      <w:r w:rsidR="001551BC" w:rsidRPr="009574E9">
        <w:rPr>
          <w:sz w:val="22"/>
        </w:rPr>
        <w:t>).</w:t>
      </w:r>
      <w:r w:rsidR="00225A15" w:rsidRPr="009574E9">
        <w:rPr>
          <w:sz w:val="22"/>
        </w:rPr>
        <w:t xml:space="preserve">  </w:t>
      </w:r>
      <w:r w:rsidRPr="009574E9">
        <w:rPr>
          <w:sz w:val="22"/>
        </w:rPr>
        <w:t>Forty</w:t>
      </w:r>
      <w:r w:rsidR="00CF70F7" w:rsidRPr="009574E9">
        <w:rPr>
          <w:sz w:val="22"/>
        </w:rPr>
        <w:t>-</w:t>
      </w:r>
      <w:r w:rsidRPr="009574E9">
        <w:rPr>
          <w:sz w:val="22"/>
        </w:rPr>
        <w:t xml:space="preserve">five geologic provinces </w:t>
      </w:r>
      <w:r w:rsidR="00136567" w:rsidRPr="009574E9">
        <w:rPr>
          <w:sz w:val="22"/>
        </w:rPr>
        <w:t>a</w:t>
      </w:r>
      <w:r w:rsidRPr="009574E9">
        <w:rPr>
          <w:sz w:val="22"/>
        </w:rPr>
        <w:t>re identified, though only about forty regions are used in practice.  Some provinces are combined because they have too few operator/fields for sufficient statistical rigor when analyzed individually.</w:t>
      </w:r>
    </w:p>
    <w:p w:rsidR="00151E02" w:rsidRDefault="00151E02" w:rsidP="009574E9">
      <w:pPr>
        <w:tabs>
          <w:tab w:val="clear" w:pos="360"/>
        </w:tabs>
        <w:rPr>
          <w:sz w:val="22"/>
        </w:rPr>
      </w:pPr>
      <w:r w:rsidRPr="009574E9">
        <w:rPr>
          <w:sz w:val="22"/>
        </w:rPr>
        <w:t xml:space="preserve">Use of this estimation procedure reduces reporting and analysis burden by minimizing the number of operators that have to be surveyed.  Since the statistical distributions of production and proved reserves are to a significant degree positively skewed, </w:t>
      </w:r>
      <w:r w:rsidR="005B086C" w:rsidRPr="009574E9">
        <w:rPr>
          <w:sz w:val="22"/>
        </w:rPr>
        <w:t>weighted</w:t>
      </w:r>
      <w:r w:rsidRPr="009574E9">
        <w:rPr>
          <w:sz w:val="22"/>
        </w:rPr>
        <w:t xml:space="preserve"> linear regression estimation is used to reduce a propensity for dominance of the provincial fit by the largest operators and largest fields.</w:t>
      </w:r>
      <w:r w:rsidR="005B086C" w:rsidRPr="009574E9">
        <w:rPr>
          <w:sz w:val="22"/>
        </w:rPr>
        <w:t xml:space="preserve"> </w:t>
      </w:r>
      <w:r w:rsidR="00A72C5B" w:rsidRPr="009574E9">
        <w:rPr>
          <w:sz w:val="22"/>
        </w:rPr>
        <w:t xml:space="preserve"> </w:t>
      </w:r>
      <w:r w:rsidR="005B086C" w:rsidRPr="009574E9">
        <w:rPr>
          <w:sz w:val="22"/>
        </w:rPr>
        <w:t>The weight is defined as inverse of the operator</w:t>
      </w:r>
      <w:r w:rsidR="00225A15" w:rsidRPr="009574E9">
        <w:rPr>
          <w:sz w:val="22"/>
        </w:rPr>
        <w:t>/field</w:t>
      </w:r>
      <w:r w:rsidR="005B086C" w:rsidRPr="009574E9">
        <w:rPr>
          <w:sz w:val="22"/>
        </w:rPr>
        <w:t>’s size</w:t>
      </w:r>
      <w:r w:rsidR="00EC10DC" w:rsidRPr="009574E9">
        <w:rPr>
          <w:sz w:val="22"/>
        </w:rPr>
        <w:t xml:space="preserve"> or annual production</w:t>
      </w:r>
      <w:r w:rsidR="005B086C" w:rsidRPr="009574E9">
        <w:rPr>
          <w:sz w:val="22"/>
        </w:rPr>
        <w:t>.</w:t>
      </w:r>
    </w:p>
    <w:p w:rsidR="00240B4F" w:rsidRDefault="00240B4F">
      <w:pPr>
        <w:tabs>
          <w:tab w:val="clear" w:pos="360"/>
        </w:tabs>
        <w:spacing w:before="0" w:beforeAutospacing="0" w:after="0" w:afterAutospacing="0"/>
        <w:jc w:val="left"/>
        <w:rPr>
          <w:sz w:val="22"/>
        </w:rPr>
      </w:pPr>
      <w:r>
        <w:rPr>
          <w:sz w:val="22"/>
        </w:rPr>
        <w:br w:type="page"/>
      </w:r>
    </w:p>
    <w:p w:rsidR="00151E02" w:rsidRPr="009574E9" w:rsidRDefault="00151E02" w:rsidP="009574E9">
      <w:pPr>
        <w:tabs>
          <w:tab w:val="clear" w:pos="360"/>
        </w:tabs>
        <w:spacing w:after="0" w:afterAutospacing="0"/>
        <w:rPr>
          <w:sz w:val="22"/>
        </w:rPr>
      </w:pPr>
      <w:r w:rsidRPr="009574E9">
        <w:rPr>
          <w:sz w:val="22"/>
        </w:rPr>
        <w:lastRenderedPageBreak/>
        <w:t xml:space="preserve">The following </w:t>
      </w:r>
      <w:r w:rsidR="00AA1DEB" w:rsidRPr="009574E9">
        <w:rPr>
          <w:sz w:val="22"/>
        </w:rPr>
        <w:t xml:space="preserve">classical ratio estimation (CRE) </w:t>
      </w:r>
      <w:r w:rsidRPr="009574E9">
        <w:rPr>
          <w:sz w:val="22"/>
        </w:rPr>
        <w:t xml:space="preserve">function </w:t>
      </w:r>
      <w:r w:rsidR="00A70C61" w:rsidRPr="009574E9">
        <w:rPr>
          <w:sz w:val="22"/>
        </w:rPr>
        <w:t xml:space="preserve">is </w:t>
      </w:r>
      <w:r w:rsidRPr="009574E9">
        <w:rPr>
          <w:sz w:val="22"/>
        </w:rPr>
        <w:t>used in the provincial estimation models:</w:t>
      </w:r>
    </w:p>
    <w:p w:rsidR="00DB7E0C" w:rsidRPr="009574E9" w:rsidRDefault="00BD7BC8">
      <w:pPr>
        <w:pStyle w:val="ListParagraph"/>
        <w:numPr>
          <w:ilvl w:val="0"/>
          <w:numId w:val="51"/>
        </w:numPr>
        <w:spacing w:after="0" w:afterAutospacing="0"/>
        <w:rPr>
          <w:sz w:val="22"/>
        </w:rPr>
      </w:pPr>
      <m:oMath>
        <m:r>
          <w:rPr>
            <w:rFonts w:ascii="Cambria Math" w:hAnsi="Cambria Math"/>
            <w:sz w:val="22"/>
          </w:rPr>
          <m:t>RFP =x*PFP</m:t>
        </m:r>
      </m:oMath>
    </w:p>
    <w:p w:rsidR="00151E02" w:rsidRPr="009574E9" w:rsidRDefault="00151E02" w:rsidP="00151E02">
      <w:pPr>
        <w:spacing w:before="120" w:beforeAutospacing="0" w:after="0" w:afterAutospacing="0"/>
        <w:ind w:left="360"/>
        <w:jc w:val="left"/>
        <w:rPr>
          <w:sz w:val="22"/>
        </w:rPr>
      </w:pPr>
      <w:proofErr w:type="gramStart"/>
      <w:r w:rsidRPr="009574E9">
        <w:rPr>
          <w:sz w:val="22"/>
        </w:rPr>
        <w:t>where</w:t>
      </w:r>
      <w:proofErr w:type="gramEnd"/>
      <w:r w:rsidRPr="009574E9">
        <w:rPr>
          <w:sz w:val="22"/>
        </w:rPr>
        <w:t>:</w:t>
      </w:r>
    </w:p>
    <w:p w:rsidR="00151E02" w:rsidRPr="009574E9" w:rsidRDefault="00151E02" w:rsidP="00151E02">
      <w:pPr>
        <w:tabs>
          <w:tab w:val="clear" w:pos="360"/>
        </w:tabs>
        <w:spacing w:before="120" w:beforeAutospacing="0" w:after="0" w:afterAutospacing="0"/>
        <w:ind w:left="1080"/>
        <w:jc w:val="left"/>
        <w:rPr>
          <w:sz w:val="22"/>
        </w:rPr>
      </w:pPr>
      <w:r w:rsidRPr="009574E9">
        <w:rPr>
          <w:rFonts w:ascii="Cambria Math" w:eastAsiaTheme="minorHAnsi" w:hAnsi="Cambria Math" w:cstheme="minorBidi"/>
          <w:i/>
          <w:sz w:val="22"/>
        </w:rPr>
        <w:t>RFP</w:t>
      </w:r>
      <w:r w:rsidRPr="009574E9">
        <w:rPr>
          <w:sz w:val="22"/>
        </w:rPr>
        <w:t xml:space="preserve"> = Operator’s Year End Reserves in Field (F) in Province (P),</w:t>
      </w:r>
    </w:p>
    <w:p w:rsidR="00151E02" w:rsidRPr="009574E9" w:rsidRDefault="00151E02" w:rsidP="00151E02">
      <w:pPr>
        <w:spacing w:before="120" w:beforeAutospacing="0" w:after="0" w:afterAutospacing="0"/>
        <w:ind w:left="1080"/>
        <w:jc w:val="left"/>
        <w:rPr>
          <w:sz w:val="22"/>
        </w:rPr>
      </w:pPr>
      <w:r w:rsidRPr="009574E9">
        <w:rPr>
          <w:rFonts w:ascii="Cambria Math" w:eastAsiaTheme="minorHAnsi" w:hAnsi="Cambria Math" w:cstheme="minorBidi"/>
          <w:i/>
          <w:sz w:val="22"/>
        </w:rPr>
        <w:t>PFP</w:t>
      </w:r>
      <w:r w:rsidRPr="009574E9">
        <w:rPr>
          <w:sz w:val="22"/>
        </w:rPr>
        <w:t xml:space="preserve"> = Operator’s Annual Production in Field (F) in Province (P), and</w:t>
      </w:r>
    </w:p>
    <w:p w:rsidR="00EC10DC" w:rsidRPr="009574E9" w:rsidRDefault="00BD7BC8" w:rsidP="00151E02">
      <w:pPr>
        <w:spacing w:before="120" w:beforeAutospacing="0" w:after="0" w:afterAutospacing="0"/>
        <w:ind w:left="1080"/>
        <w:jc w:val="left"/>
        <w:rPr>
          <w:sz w:val="22"/>
        </w:rPr>
      </w:pPr>
      <w:r w:rsidRPr="009574E9">
        <w:rPr>
          <w:rFonts w:eastAsiaTheme="minorHAnsi"/>
          <w:i/>
          <w:sz w:val="22"/>
        </w:rPr>
        <w:t xml:space="preserve">x </w:t>
      </w:r>
      <w:r w:rsidRPr="009574E9">
        <w:rPr>
          <w:rFonts w:eastAsiaTheme="minorHAnsi"/>
          <w:sz w:val="22"/>
        </w:rPr>
        <w:t>= fit parameter determined by weighted least squares.</w:t>
      </w:r>
    </w:p>
    <w:p w:rsidR="00754EDE" w:rsidRPr="009574E9" w:rsidRDefault="00151E02" w:rsidP="00151E02">
      <w:pPr>
        <w:spacing w:after="0"/>
        <w:rPr>
          <w:sz w:val="22"/>
        </w:rPr>
      </w:pPr>
      <w:r w:rsidRPr="009574E9">
        <w:rPr>
          <w:sz w:val="22"/>
        </w:rPr>
        <w:t xml:space="preserve">For </w:t>
      </w:r>
      <w:r w:rsidR="00B15CAF" w:rsidRPr="009574E9">
        <w:rPr>
          <w:sz w:val="22"/>
        </w:rPr>
        <w:t>each</w:t>
      </w:r>
      <w:r w:rsidR="00F50B91" w:rsidRPr="009574E9">
        <w:rPr>
          <w:sz w:val="22"/>
        </w:rPr>
        <w:t xml:space="preserve"> </w:t>
      </w:r>
      <w:r w:rsidR="00341B2E" w:rsidRPr="009574E9">
        <w:rPr>
          <w:sz w:val="22"/>
        </w:rPr>
        <w:t>geologic province,</w:t>
      </w:r>
      <w:r w:rsidR="00F50B91" w:rsidRPr="009574E9">
        <w:rPr>
          <w:sz w:val="22"/>
        </w:rPr>
        <w:t xml:space="preserve"> </w:t>
      </w:r>
      <w:r w:rsidR="007C0157" w:rsidRPr="009574E9">
        <w:rPr>
          <w:sz w:val="22"/>
        </w:rPr>
        <w:t xml:space="preserve">classical ratio estimation (CRE) functions </w:t>
      </w:r>
      <w:r w:rsidR="00F50B91" w:rsidRPr="009574E9">
        <w:rPr>
          <w:sz w:val="22"/>
        </w:rPr>
        <w:t xml:space="preserve">were derived for </w:t>
      </w:r>
      <w:r w:rsidRPr="009574E9">
        <w:rPr>
          <w:sz w:val="22"/>
        </w:rPr>
        <w:t xml:space="preserve">conventional </w:t>
      </w:r>
      <w:r w:rsidR="00F50B91" w:rsidRPr="009574E9">
        <w:rPr>
          <w:sz w:val="22"/>
        </w:rPr>
        <w:t xml:space="preserve">liquids </w:t>
      </w:r>
      <w:r w:rsidRPr="009574E9">
        <w:rPr>
          <w:sz w:val="22"/>
        </w:rPr>
        <w:t>production</w:t>
      </w:r>
      <w:r w:rsidR="00F50B91" w:rsidRPr="009574E9">
        <w:rPr>
          <w:sz w:val="22"/>
        </w:rPr>
        <w:t xml:space="preserve"> and conventional gas production</w:t>
      </w:r>
      <w:r w:rsidR="00B15CAF" w:rsidRPr="009574E9">
        <w:rPr>
          <w:sz w:val="22"/>
        </w:rPr>
        <w:t xml:space="preserve">, using </w:t>
      </w:r>
      <w:r w:rsidR="00136567" w:rsidRPr="009574E9">
        <w:rPr>
          <w:sz w:val="22"/>
        </w:rPr>
        <w:t>E</w:t>
      </w:r>
      <w:r w:rsidR="00B15CAF" w:rsidRPr="009574E9">
        <w:rPr>
          <w:sz w:val="22"/>
        </w:rPr>
        <w:t>quation (1)</w:t>
      </w:r>
      <w:r w:rsidR="00F50B91" w:rsidRPr="009574E9">
        <w:rPr>
          <w:sz w:val="22"/>
        </w:rPr>
        <w:t xml:space="preserve">. </w:t>
      </w:r>
      <w:r w:rsidR="00754EDE" w:rsidRPr="009574E9">
        <w:rPr>
          <w:sz w:val="22"/>
        </w:rPr>
        <w:t xml:space="preserve"> </w:t>
      </w:r>
      <w:r w:rsidR="00F50B91" w:rsidRPr="009574E9">
        <w:rPr>
          <w:sz w:val="22"/>
        </w:rPr>
        <w:t xml:space="preserve">Four more </w:t>
      </w:r>
      <w:r w:rsidR="00341B2E" w:rsidRPr="009574E9">
        <w:rPr>
          <w:sz w:val="22"/>
        </w:rPr>
        <w:t xml:space="preserve">functions </w:t>
      </w:r>
      <w:r w:rsidR="00136567" w:rsidRPr="009574E9">
        <w:rPr>
          <w:sz w:val="22"/>
        </w:rPr>
        <w:t>a</w:t>
      </w:r>
      <w:r w:rsidR="00F50B91" w:rsidRPr="009574E9">
        <w:rPr>
          <w:sz w:val="22"/>
        </w:rPr>
        <w:t>re derived for shale gas</w:t>
      </w:r>
      <w:r w:rsidR="00FD2B9E" w:rsidRPr="009574E9">
        <w:rPr>
          <w:sz w:val="22"/>
        </w:rPr>
        <w:t>,</w:t>
      </w:r>
      <w:r w:rsidR="00E47F96" w:rsidRPr="009574E9">
        <w:rPr>
          <w:sz w:val="22"/>
        </w:rPr>
        <w:t xml:space="preserve"> coal bed methane gas, shale </w:t>
      </w:r>
      <w:r w:rsidR="0035127D" w:rsidRPr="009574E9">
        <w:rPr>
          <w:sz w:val="22"/>
        </w:rPr>
        <w:t>oil</w:t>
      </w:r>
      <w:r w:rsidR="00341B2E" w:rsidRPr="009574E9">
        <w:rPr>
          <w:sz w:val="22"/>
        </w:rPr>
        <w:t xml:space="preserve">, and coal bed </w:t>
      </w:r>
      <w:r w:rsidR="001551BC" w:rsidRPr="009574E9">
        <w:rPr>
          <w:sz w:val="22"/>
        </w:rPr>
        <w:t>liquids</w:t>
      </w:r>
      <w:r w:rsidR="00341B2E" w:rsidRPr="009574E9">
        <w:rPr>
          <w:sz w:val="22"/>
        </w:rPr>
        <w:t>.</w:t>
      </w:r>
      <w:r w:rsidRPr="009574E9">
        <w:rPr>
          <w:sz w:val="22"/>
        </w:rPr>
        <w:t xml:space="preserve"> </w:t>
      </w:r>
      <w:r w:rsidR="00754EDE" w:rsidRPr="009574E9">
        <w:rPr>
          <w:sz w:val="22"/>
        </w:rPr>
        <w:t xml:space="preserve"> </w:t>
      </w:r>
      <w:r w:rsidRPr="009574E9">
        <w:rPr>
          <w:sz w:val="22"/>
        </w:rPr>
        <w:t xml:space="preserve">Operators that report a reserve to production ratio greater than 50 </w:t>
      </w:r>
      <w:r w:rsidR="00136567" w:rsidRPr="009574E9">
        <w:rPr>
          <w:sz w:val="22"/>
        </w:rPr>
        <w:t>a</w:t>
      </w:r>
      <w:r w:rsidRPr="009574E9">
        <w:rPr>
          <w:sz w:val="22"/>
        </w:rPr>
        <w:t>re excluded from the calculation of the province coefficients</w:t>
      </w:r>
      <w:r w:rsidR="00136567" w:rsidRPr="009574E9">
        <w:rPr>
          <w:sz w:val="22"/>
        </w:rPr>
        <w:t xml:space="preserve">. </w:t>
      </w:r>
      <w:r w:rsidR="00754EDE" w:rsidRPr="009574E9">
        <w:rPr>
          <w:sz w:val="22"/>
        </w:rPr>
        <w:t xml:space="preserve"> (Note that the aforementioned situation is rare—the reported values of this type </w:t>
      </w:r>
      <w:r w:rsidR="00240B4F">
        <w:rPr>
          <w:sz w:val="22"/>
        </w:rPr>
        <w:t xml:space="preserve">are typically </w:t>
      </w:r>
      <w:r w:rsidR="00754EDE" w:rsidRPr="009574E9">
        <w:rPr>
          <w:sz w:val="22"/>
        </w:rPr>
        <w:t>based on less than a full year’s production.)</w:t>
      </w:r>
    </w:p>
    <w:p w:rsidR="00151E02" w:rsidRPr="009574E9" w:rsidRDefault="00151E02" w:rsidP="00151E02">
      <w:pPr>
        <w:spacing w:after="0"/>
        <w:rPr>
          <w:sz w:val="22"/>
        </w:rPr>
      </w:pPr>
      <w:r w:rsidRPr="009574E9">
        <w:rPr>
          <w:sz w:val="22"/>
        </w:rPr>
        <w:t xml:space="preserve">The </w:t>
      </w:r>
      <w:r w:rsidR="00AA1DEB" w:rsidRPr="009574E9">
        <w:rPr>
          <w:sz w:val="22"/>
        </w:rPr>
        <w:t xml:space="preserve">CRE </w:t>
      </w:r>
      <w:r w:rsidR="00341B2E" w:rsidRPr="009574E9">
        <w:rPr>
          <w:sz w:val="22"/>
        </w:rPr>
        <w:t xml:space="preserve">function </w:t>
      </w:r>
      <w:r w:rsidR="00AA1DEB" w:rsidRPr="009574E9">
        <w:rPr>
          <w:sz w:val="22"/>
        </w:rPr>
        <w:t xml:space="preserve">is </w:t>
      </w:r>
      <w:r w:rsidRPr="009574E9">
        <w:rPr>
          <w:sz w:val="22"/>
        </w:rPr>
        <w:t xml:space="preserve">applied to data for non-sampled operators from DI, or operator/field production data from the states, to estimate the proved reserves of non-surveyed operators in all states, except Illinois, Indiana, and Tennessee.  Current production information is not available in these </w:t>
      </w:r>
      <w:r w:rsidR="00293D36" w:rsidRPr="009574E9">
        <w:rPr>
          <w:sz w:val="22"/>
        </w:rPr>
        <w:t xml:space="preserve">three </w:t>
      </w:r>
      <w:r w:rsidRPr="009574E9">
        <w:rPr>
          <w:sz w:val="22"/>
        </w:rPr>
        <w:t>states, so the same estimation procedure described above is not applicable.</w:t>
      </w:r>
    </w:p>
    <w:p w:rsidR="00B27A21" w:rsidRPr="009574E9" w:rsidRDefault="003671E7">
      <w:pPr>
        <w:spacing w:before="120" w:beforeAutospacing="0" w:after="0" w:afterAutospacing="0"/>
        <w:rPr>
          <w:sz w:val="22"/>
        </w:rPr>
      </w:pPr>
      <w:r w:rsidRPr="009574E9">
        <w:rPr>
          <w:sz w:val="22"/>
        </w:rPr>
        <w:t xml:space="preserve">Obtaining operator production data for the smaller oil and gas producing states of Tennessee, Illinois, and Indiana </w:t>
      </w:r>
      <w:r w:rsidR="00C81ED7" w:rsidRPr="009574E9">
        <w:rPr>
          <w:sz w:val="22"/>
        </w:rPr>
        <w:t>requires an alternative approach to using DI data, because DI excludes these states</w:t>
      </w:r>
      <w:r w:rsidR="001551BC" w:rsidRPr="009574E9">
        <w:rPr>
          <w:sz w:val="22"/>
        </w:rPr>
        <w:t xml:space="preserve"> or the data is not current</w:t>
      </w:r>
      <w:r w:rsidR="00C81ED7" w:rsidRPr="009574E9">
        <w:rPr>
          <w:sz w:val="22"/>
        </w:rPr>
        <w:t>.</w:t>
      </w:r>
      <w:r w:rsidRPr="009574E9">
        <w:rPr>
          <w:sz w:val="22"/>
        </w:rPr>
        <w:t xml:space="preserve"> </w:t>
      </w:r>
      <w:r w:rsidR="001551BC" w:rsidRPr="009574E9">
        <w:rPr>
          <w:sz w:val="22"/>
        </w:rPr>
        <w:t xml:space="preserve"> </w:t>
      </w:r>
      <w:r w:rsidRPr="009574E9">
        <w:rPr>
          <w:sz w:val="22"/>
        </w:rPr>
        <w:t xml:space="preserve">Samples of operators in these states must be built from lists of oil and gas companies licensed to do business in the state, </w:t>
      </w:r>
      <w:r w:rsidR="001C324A" w:rsidRPr="009574E9">
        <w:rPr>
          <w:sz w:val="22"/>
        </w:rPr>
        <w:t>i</w:t>
      </w:r>
      <w:r w:rsidRPr="009574E9">
        <w:rPr>
          <w:sz w:val="22"/>
        </w:rPr>
        <w:t xml:space="preserve">nternet searches, and past reports on the Forms EIA-23L and EIA-23S.  Because production data is not current or not available, the sampling process described </w:t>
      </w:r>
      <w:r w:rsidR="00AA1DEB" w:rsidRPr="009574E9">
        <w:rPr>
          <w:sz w:val="22"/>
        </w:rPr>
        <w:t>in the previous section</w:t>
      </w:r>
      <w:r w:rsidRPr="009574E9">
        <w:rPr>
          <w:sz w:val="22"/>
        </w:rPr>
        <w:t xml:space="preserve"> cannot be used.  If the reserves in these states are surveyed, the summary-level data </w:t>
      </w:r>
      <w:r w:rsidR="001551BC" w:rsidRPr="009574E9">
        <w:rPr>
          <w:sz w:val="22"/>
        </w:rPr>
        <w:t>(U.S. level</w:t>
      </w:r>
      <w:r w:rsidR="00977123">
        <w:rPr>
          <w:sz w:val="22"/>
        </w:rPr>
        <w:t xml:space="preserve"> and “Miscellaneous States” level</w:t>
      </w:r>
      <w:r w:rsidR="001551BC" w:rsidRPr="009574E9">
        <w:rPr>
          <w:sz w:val="22"/>
        </w:rPr>
        <w:t xml:space="preserve">) </w:t>
      </w:r>
      <w:r w:rsidRPr="009574E9">
        <w:rPr>
          <w:sz w:val="22"/>
        </w:rPr>
        <w:t xml:space="preserve">may be published </w:t>
      </w:r>
      <w:r w:rsidR="001551BC" w:rsidRPr="009574E9">
        <w:rPr>
          <w:sz w:val="22"/>
        </w:rPr>
        <w:t xml:space="preserve">including these states </w:t>
      </w:r>
      <w:r w:rsidRPr="009574E9">
        <w:rPr>
          <w:sz w:val="22"/>
        </w:rPr>
        <w:t>‘as reported’ (i.e., no estimates</w:t>
      </w:r>
      <w:r w:rsidR="00472AFF" w:rsidRPr="009574E9">
        <w:rPr>
          <w:sz w:val="22"/>
        </w:rPr>
        <w:t xml:space="preserve"> </w:t>
      </w:r>
      <w:r w:rsidR="00FE3BA0" w:rsidRPr="009574E9">
        <w:rPr>
          <w:sz w:val="22"/>
        </w:rPr>
        <w:t xml:space="preserve">for the total state population will be </w:t>
      </w:r>
      <w:r w:rsidR="00472AFF" w:rsidRPr="009574E9">
        <w:rPr>
          <w:sz w:val="22"/>
        </w:rPr>
        <w:t>generated for these states</w:t>
      </w:r>
      <w:r w:rsidRPr="009574E9">
        <w:rPr>
          <w:sz w:val="22"/>
        </w:rPr>
        <w:t>).  The reserves for these individual states will not be published.</w:t>
      </w:r>
    </w:p>
    <w:p w:rsidR="003671E7" w:rsidRPr="009574E9" w:rsidRDefault="003671E7" w:rsidP="003671E7">
      <w:pPr>
        <w:rPr>
          <w:sz w:val="22"/>
        </w:rPr>
      </w:pPr>
      <w:r w:rsidRPr="009574E9">
        <w:rPr>
          <w:sz w:val="22"/>
        </w:rPr>
        <w:t>The largest operators in the states of Illinois, and Indiana</w:t>
      </w:r>
      <w:r w:rsidR="00C81ED7" w:rsidRPr="009574E9">
        <w:rPr>
          <w:sz w:val="22"/>
        </w:rPr>
        <w:t>, and Tennessee</w:t>
      </w:r>
      <w:r w:rsidRPr="009574E9">
        <w:rPr>
          <w:sz w:val="22"/>
        </w:rPr>
        <w:t xml:space="preserve"> should be identifiable.  However, </w:t>
      </w:r>
      <w:r w:rsidR="00341880" w:rsidRPr="009574E9">
        <w:rPr>
          <w:sz w:val="22"/>
        </w:rPr>
        <w:t>the frame will be incomplete and may be insufficient to reliably estimate reserves for non-sampled operators</w:t>
      </w:r>
      <w:r w:rsidRPr="009574E9">
        <w:rPr>
          <w:sz w:val="22"/>
        </w:rPr>
        <w:t>.  These three states, when combined, are estimated to hold less than 0.5 percent of U.S. total oil and condensate reserves and less than 1.0 percent of U.S. total natural gas reserves.</w:t>
      </w:r>
    </w:p>
    <w:p w:rsidR="003671E7" w:rsidRPr="009574E9" w:rsidRDefault="003671E7" w:rsidP="003671E7">
      <w:pPr>
        <w:rPr>
          <w:sz w:val="22"/>
        </w:rPr>
      </w:pPr>
      <w:r w:rsidRPr="009574E9">
        <w:rPr>
          <w:sz w:val="22"/>
        </w:rPr>
        <w:t>EIA will continue to study the available information for Tennessee, Illinois, and Indiana to determine if and when reliable proved reserve estimates can be generated using the same methods as in the other states.  In particular, EIA will research state agencies, including agencies other than oil and gas regulatory agencies, and industry trade journals, newsletters, etc, to build a sample frame.</w:t>
      </w:r>
    </w:p>
    <w:p w:rsidR="00151E02" w:rsidRPr="009574E9" w:rsidRDefault="00151E02" w:rsidP="00151E02">
      <w:pPr>
        <w:spacing w:after="0"/>
        <w:rPr>
          <w:sz w:val="22"/>
        </w:rPr>
      </w:pPr>
      <w:r w:rsidRPr="009574E9">
        <w:rPr>
          <w:sz w:val="22"/>
        </w:rPr>
        <w:t>Figure 1 shows the map of geologic provinces used to group the reported data and estimate proved reserves for the non-sampled operators.  The reported reserves and the estimated reserves are summed to the field level.  The field level reserves are then summed to the state/subdivision level which is then summed to the U.S. level.</w:t>
      </w:r>
    </w:p>
    <w:p w:rsidR="00151E02" w:rsidRPr="00F64918" w:rsidRDefault="00403BF3" w:rsidP="00F64918">
      <w:pPr>
        <w:tabs>
          <w:tab w:val="clear" w:pos="360"/>
        </w:tabs>
        <w:spacing w:before="60" w:beforeAutospacing="0"/>
        <w:jc w:val="left"/>
        <w:rPr>
          <w:b/>
          <w:sz w:val="20"/>
          <w:szCs w:val="20"/>
        </w:rPr>
      </w:pPr>
      <w:r>
        <w:rPr>
          <w:noProof/>
        </w:rPr>
        <w:lastRenderedPageBreak/>
        <w:drawing>
          <wp:inline distT="0" distB="0" distL="0" distR="0">
            <wp:extent cx="5943600" cy="4593590"/>
            <wp:effectExtent l="19050" t="0" r="0" b="0"/>
            <wp:docPr id="1" name="Picture 0" descr="GeologicalProvincesMap2010_2-1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logicalProvincesMap2010_2-15-11.jpg"/>
                    <pic:cNvPicPr/>
                  </pic:nvPicPr>
                  <pic:blipFill>
                    <a:blip r:embed="rId14" cstate="print"/>
                    <a:stretch>
                      <a:fillRect/>
                    </a:stretch>
                  </pic:blipFill>
                  <pic:spPr>
                    <a:xfrm>
                      <a:off x="0" y="0"/>
                      <a:ext cx="5943600" cy="4593590"/>
                    </a:xfrm>
                    <a:prstGeom prst="rect">
                      <a:avLst/>
                    </a:prstGeom>
                  </pic:spPr>
                </pic:pic>
              </a:graphicData>
            </a:graphic>
          </wp:inline>
        </w:drawing>
      </w:r>
      <w:r w:rsidR="00151E02" w:rsidRPr="00F64918">
        <w:rPr>
          <w:b/>
          <w:sz w:val="20"/>
          <w:szCs w:val="20"/>
        </w:rPr>
        <w:t>Figure 1</w:t>
      </w:r>
      <w:r w:rsidR="00977123" w:rsidRPr="00F64918">
        <w:rPr>
          <w:b/>
          <w:sz w:val="20"/>
          <w:szCs w:val="20"/>
        </w:rPr>
        <w:t>: US Oil and Gas Bearing Geologic Provinces</w:t>
      </w:r>
    </w:p>
    <w:p w:rsidR="002D02AB" w:rsidRDefault="002D02AB" w:rsidP="00C6298C">
      <w:pPr>
        <w:pStyle w:val="Heading3"/>
      </w:pPr>
      <w:bookmarkStart w:id="8" w:name="_Toc349051180"/>
      <w:bookmarkStart w:id="9" w:name="_Toc336547817"/>
      <w:r>
        <w:t>Estimating Reserve Balancing Categories</w:t>
      </w:r>
      <w:bookmarkEnd w:id="8"/>
    </w:p>
    <w:bookmarkEnd w:id="9"/>
    <w:p w:rsidR="00151E02" w:rsidRPr="00F64918" w:rsidRDefault="00151E02" w:rsidP="00F64918">
      <w:pPr>
        <w:tabs>
          <w:tab w:val="clear" w:pos="360"/>
        </w:tabs>
        <w:spacing w:before="120" w:beforeAutospacing="0"/>
        <w:rPr>
          <w:sz w:val="22"/>
        </w:rPr>
      </w:pPr>
      <w:r w:rsidRPr="00F64918">
        <w:rPr>
          <w:sz w:val="22"/>
        </w:rPr>
        <w:t xml:space="preserve">Estimated proved reserve balancing categories (i.e., revisions, extensions, new discoveries, etc.) are assumed to have the same relationship to </w:t>
      </w:r>
      <w:proofErr w:type="gramStart"/>
      <w:r w:rsidRPr="00F64918">
        <w:rPr>
          <w:sz w:val="22"/>
        </w:rPr>
        <w:t>estimated</w:t>
      </w:r>
      <w:proofErr w:type="gramEnd"/>
      <w:r w:rsidRPr="00F64918">
        <w:rPr>
          <w:sz w:val="22"/>
        </w:rPr>
        <w:t xml:space="preserve"> year</w:t>
      </w:r>
      <w:r w:rsidR="00CA0DE6" w:rsidRPr="00F64918">
        <w:rPr>
          <w:sz w:val="22"/>
        </w:rPr>
        <w:t>-</w:t>
      </w:r>
      <w:r w:rsidRPr="00F64918">
        <w:rPr>
          <w:sz w:val="22"/>
        </w:rPr>
        <w:t>end reserves as the reported proved reserve balancing categories</w:t>
      </w:r>
      <w:r w:rsidR="00A51433">
        <w:rPr>
          <w:sz w:val="22"/>
        </w:rPr>
        <w:t xml:space="preserve"> have to the reported year-end reserves</w:t>
      </w:r>
      <w:r w:rsidRPr="00F64918">
        <w:rPr>
          <w:sz w:val="22"/>
        </w:rPr>
        <w:t>.  Ratios for the total reported categories in a province are applied to the estimated reserves volumes to calculate the estimated balancing categories.  Estimated balance items will have the same proportion to year</w:t>
      </w:r>
      <w:r w:rsidR="00CA0DE6" w:rsidRPr="00F64918">
        <w:rPr>
          <w:sz w:val="22"/>
        </w:rPr>
        <w:t>-</w:t>
      </w:r>
      <w:r w:rsidRPr="00F64918">
        <w:rPr>
          <w:sz w:val="22"/>
        </w:rPr>
        <w:t>end reserves as do the reported volumes.</w:t>
      </w:r>
    </w:p>
    <w:p w:rsidR="00151E02" w:rsidRPr="00F64918" w:rsidRDefault="00151E02" w:rsidP="00F64918">
      <w:pPr>
        <w:tabs>
          <w:tab w:val="clear" w:pos="360"/>
        </w:tabs>
        <w:rPr>
          <w:sz w:val="22"/>
        </w:rPr>
      </w:pPr>
      <w:r w:rsidRPr="00F64918">
        <w:rPr>
          <w:sz w:val="22"/>
        </w:rPr>
        <w:t>The instructions for Form EIA-23L specify that, when reporting proved reserves balance data, the following arithmetic equation applies:</w:t>
      </w:r>
    </w:p>
    <w:p w:rsidR="00151E02" w:rsidRPr="00F64918" w:rsidRDefault="00151E02" w:rsidP="00F64918">
      <w:pPr>
        <w:tabs>
          <w:tab w:val="clear" w:pos="360"/>
        </w:tabs>
        <w:spacing w:after="0" w:afterAutospacing="0"/>
        <w:rPr>
          <w:sz w:val="22"/>
        </w:rPr>
      </w:pPr>
      <w:r w:rsidRPr="00F64918">
        <w:rPr>
          <w:sz w:val="22"/>
        </w:rPr>
        <w:t>Proved Reserves at End of Previous Report Year</w:t>
      </w:r>
    </w:p>
    <w:p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Adjustments</w:t>
      </w:r>
    </w:p>
    <w:p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Revision Increases</w:t>
      </w:r>
    </w:p>
    <w:p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Revision Decreases</w:t>
      </w:r>
    </w:p>
    <w:p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Sales</w:t>
      </w:r>
    </w:p>
    <w:p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Acquisitions</w:t>
      </w:r>
    </w:p>
    <w:p w:rsidR="00151E02" w:rsidRPr="00F64918" w:rsidRDefault="00151E02" w:rsidP="00F64918">
      <w:pPr>
        <w:tabs>
          <w:tab w:val="clear" w:pos="360"/>
        </w:tabs>
        <w:spacing w:before="120" w:beforeAutospacing="0" w:after="0" w:afterAutospacing="0"/>
        <w:ind w:left="360"/>
        <w:rPr>
          <w:sz w:val="22"/>
        </w:rPr>
      </w:pPr>
      <w:r w:rsidRPr="00F64918">
        <w:rPr>
          <w:sz w:val="22"/>
        </w:rPr>
        <w:lastRenderedPageBreak/>
        <w:t>+</w:t>
      </w:r>
      <w:r w:rsidRPr="00F64918">
        <w:rPr>
          <w:sz w:val="22"/>
        </w:rPr>
        <w:tab/>
        <w:t>Extensions</w:t>
      </w:r>
    </w:p>
    <w:p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New Field Discoveries</w:t>
      </w:r>
    </w:p>
    <w:p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New Reservoir Discoveries in Old Fields</w:t>
      </w:r>
    </w:p>
    <w:p w:rsidR="00151E02" w:rsidRPr="00F64918" w:rsidRDefault="00151E02" w:rsidP="00F64918">
      <w:pPr>
        <w:tabs>
          <w:tab w:val="clear" w:pos="360"/>
        </w:tabs>
        <w:spacing w:before="120" w:beforeAutospacing="0" w:after="0" w:afterAutospacing="0"/>
        <w:ind w:left="360"/>
        <w:rPr>
          <w:sz w:val="22"/>
        </w:rPr>
      </w:pPr>
      <w:r w:rsidRPr="00F64918">
        <w:rPr>
          <w:sz w:val="22"/>
        </w:rPr>
        <w:t>−</w:t>
      </w:r>
      <w:r w:rsidRPr="00F64918">
        <w:rPr>
          <w:sz w:val="22"/>
        </w:rPr>
        <w:tab/>
        <w:t>Report Year Production</w:t>
      </w:r>
    </w:p>
    <w:p w:rsidR="00151E02" w:rsidRPr="00F64918" w:rsidRDefault="00151E02" w:rsidP="00F64918">
      <w:pPr>
        <w:tabs>
          <w:tab w:val="clear" w:pos="360"/>
        </w:tabs>
        <w:spacing w:before="120" w:beforeAutospacing="0" w:after="0" w:afterAutospacing="0"/>
        <w:rPr>
          <w:sz w:val="22"/>
        </w:rPr>
      </w:pPr>
      <w:r w:rsidRPr="00F64918">
        <w:rPr>
          <w:sz w:val="22"/>
        </w:rPr>
        <w:t>=</w:t>
      </w:r>
      <w:r w:rsidRPr="00F64918">
        <w:rPr>
          <w:sz w:val="22"/>
        </w:rPr>
        <w:tab/>
        <w:t>Proved Reserves at End of Report Year</w:t>
      </w:r>
    </w:p>
    <w:p w:rsidR="00151E02" w:rsidRPr="00F64918" w:rsidRDefault="00151E02" w:rsidP="00F64918">
      <w:pPr>
        <w:tabs>
          <w:tab w:val="clear" w:pos="360"/>
        </w:tabs>
        <w:rPr>
          <w:sz w:val="22"/>
        </w:rPr>
      </w:pPr>
      <w:r w:rsidRPr="00F64918">
        <w:rPr>
          <w:sz w:val="22"/>
        </w:rPr>
        <w:t>Any remaining difference in the annual proved reserves balance between the published previous reporting year-end proved reserves and current reporting year-end proved reserves, not accounted for by the estimated proved reserves changes, is included in the adjustments for the area.  One of the reasons that adjustments are necessary is th</w:t>
      </w:r>
      <w:r w:rsidR="00136567" w:rsidRPr="00F64918">
        <w:rPr>
          <w:sz w:val="22"/>
        </w:rPr>
        <w:t>at th</w:t>
      </w:r>
      <w:r w:rsidRPr="00F64918">
        <w:rPr>
          <w:sz w:val="22"/>
        </w:rPr>
        <w:t>e inclusion of operators with the same operating characteristics in each year’s sample</w:t>
      </w:r>
      <w:r w:rsidR="00136567" w:rsidRPr="00F64918">
        <w:rPr>
          <w:sz w:val="22"/>
        </w:rPr>
        <w:t xml:space="preserve"> is uncertain</w:t>
      </w:r>
      <w:r w:rsidRPr="00F64918">
        <w:rPr>
          <w:sz w:val="22"/>
        </w:rPr>
        <w:t>.  There is no guarantee that, in the smaller producing states/subdivisions, the same small operators will be selected each reporting year, or the operators selected will have comparable production volumes when compared with operators selected in a prior reporting year.</w:t>
      </w:r>
    </w:p>
    <w:p w:rsidR="00151E02" w:rsidRPr="00F64918" w:rsidRDefault="00151E02" w:rsidP="00F64918">
      <w:pPr>
        <w:tabs>
          <w:tab w:val="clear" w:pos="360"/>
        </w:tabs>
        <w:spacing w:after="0" w:afterAutospacing="0"/>
        <w:rPr>
          <w:sz w:val="22"/>
        </w:rPr>
      </w:pPr>
      <w:r w:rsidRPr="00F64918">
        <w:rPr>
          <w:sz w:val="22"/>
        </w:rPr>
        <w:t xml:space="preserve">Other reasons for more substantial adjustments to the annual proved reserves balance </w:t>
      </w:r>
      <w:r w:rsidR="00A70C61" w:rsidRPr="00F64918">
        <w:rPr>
          <w:sz w:val="22"/>
        </w:rPr>
        <w:t xml:space="preserve">may </w:t>
      </w:r>
      <w:r w:rsidRPr="00F64918">
        <w:rPr>
          <w:sz w:val="22"/>
        </w:rPr>
        <w:t>include any combination of the following:</w:t>
      </w:r>
    </w:p>
    <w:p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The frame sample coverage may or may not have improved between survey years, such that more or fewer operators were included in the report</w:t>
      </w:r>
      <w:r w:rsidR="00F006AE">
        <w:rPr>
          <w:sz w:val="22"/>
        </w:rPr>
        <w:t>ing</w:t>
      </w:r>
      <w:r w:rsidRPr="00F64918">
        <w:rPr>
          <w:sz w:val="22"/>
        </w:rPr>
        <w:t xml:space="preserve"> year than the previous year.</w:t>
      </w:r>
    </w:p>
    <w:p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One or more operators may have reported data incorrectly in one report</w:t>
      </w:r>
      <w:r w:rsidR="00F006AE">
        <w:rPr>
          <w:sz w:val="22"/>
        </w:rPr>
        <w:t>ing</w:t>
      </w:r>
      <w:r w:rsidRPr="00F64918">
        <w:rPr>
          <w:sz w:val="22"/>
        </w:rPr>
        <w:t xml:space="preserve"> year or the next, but not both, and the error was not detected by </w:t>
      </w:r>
      <w:r w:rsidR="00136567" w:rsidRPr="00F64918">
        <w:rPr>
          <w:sz w:val="22"/>
        </w:rPr>
        <w:t>data validation/</w:t>
      </w:r>
      <w:r w:rsidRPr="00F64918">
        <w:rPr>
          <w:sz w:val="22"/>
        </w:rPr>
        <w:t>edit</w:t>
      </w:r>
      <w:r w:rsidR="00136567" w:rsidRPr="00F64918">
        <w:rPr>
          <w:sz w:val="22"/>
        </w:rPr>
        <w:t xml:space="preserve"> rules</w:t>
      </w:r>
      <w:r w:rsidRPr="00F64918">
        <w:rPr>
          <w:sz w:val="22"/>
        </w:rPr>
        <w:t xml:space="preserve"> processing.</w:t>
      </w:r>
    </w:p>
    <w:p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Operation of properties was transferred during the report</w:t>
      </w:r>
      <w:r w:rsidR="00F006AE">
        <w:rPr>
          <w:sz w:val="22"/>
        </w:rPr>
        <w:t>ing</w:t>
      </w:r>
      <w:r w:rsidRPr="00F64918">
        <w:rPr>
          <w:sz w:val="22"/>
        </w:rPr>
        <w:t xml:space="preserve"> year from operators not in the frame</w:t>
      </w:r>
      <w:r w:rsidR="00136567" w:rsidRPr="00F64918">
        <w:rPr>
          <w:sz w:val="22"/>
        </w:rPr>
        <w:t>,</w:t>
      </w:r>
      <w:r w:rsidRPr="00F64918">
        <w:rPr>
          <w:sz w:val="22"/>
        </w:rPr>
        <w:t xml:space="preserve"> or operators not selected for the sample</w:t>
      </w:r>
      <w:r w:rsidR="00136567" w:rsidRPr="00F64918">
        <w:rPr>
          <w:sz w:val="22"/>
        </w:rPr>
        <w:t>,</w:t>
      </w:r>
      <w:r w:rsidRPr="00F64918">
        <w:rPr>
          <w:sz w:val="22"/>
        </w:rPr>
        <w:t xml:space="preserve"> to surveyed operators.</w:t>
      </w:r>
    </w:p>
    <w:p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Operation of properties was transferred during the reporting year to an operator with a different evaluation of the proved reserves associated with the properties than that of the previous year's operator.</w:t>
      </w:r>
    </w:p>
    <w:p w:rsidR="00151E02"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 xml:space="preserve">The respondent changed the classification of their natural gas from </w:t>
      </w:r>
      <w:r w:rsidR="00472AFF" w:rsidRPr="00F64918">
        <w:rPr>
          <w:sz w:val="22"/>
        </w:rPr>
        <w:t xml:space="preserve">non-associated </w:t>
      </w:r>
      <w:r w:rsidR="00FE3BA0" w:rsidRPr="00F64918">
        <w:rPr>
          <w:sz w:val="22"/>
        </w:rPr>
        <w:t xml:space="preserve">gas </w:t>
      </w:r>
      <w:r w:rsidRPr="00F64918">
        <w:rPr>
          <w:sz w:val="22"/>
        </w:rPr>
        <w:t xml:space="preserve">to </w:t>
      </w:r>
      <w:r w:rsidR="00472AFF" w:rsidRPr="00F64918">
        <w:rPr>
          <w:sz w:val="22"/>
        </w:rPr>
        <w:t>associated</w:t>
      </w:r>
      <w:r w:rsidR="00FE3BA0" w:rsidRPr="00F64918">
        <w:rPr>
          <w:sz w:val="22"/>
        </w:rPr>
        <w:t>-</w:t>
      </w:r>
      <w:r w:rsidR="00472AFF" w:rsidRPr="00F64918">
        <w:rPr>
          <w:sz w:val="22"/>
        </w:rPr>
        <w:t>dissolved</w:t>
      </w:r>
      <w:r w:rsidR="00FE3BA0" w:rsidRPr="00F64918">
        <w:rPr>
          <w:sz w:val="22"/>
        </w:rPr>
        <w:t xml:space="preserve"> gas</w:t>
      </w:r>
      <w:r w:rsidRPr="00F64918">
        <w:rPr>
          <w:sz w:val="22"/>
        </w:rPr>
        <w:t>, or vice versa.</w:t>
      </w:r>
    </w:p>
    <w:p w:rsidR="00CA0DE6" w:rsidRPr="00F64918" w:rsidRDefault="00151E02" w:rsidP="00F64918">
      <w:pPr>
        <w:pStyle w:val="ListParagraph"/>
        <w:numPr>
          <w:ilvl w:val="0"/>
          <w:numId w:val="13"/>
        </w:numPr>
        <w:tabs>
          <w:tab w:val="clear" w:pos="360"/>
        </w:tabs>
        <w:spacing w:before="120" w:beforeAutospacing="0" w:after="0" w:afterAutospacing="0"/>
        <w:contextualSpacing w:val="0"/>
        <w:rPr>
          <w:sz w:val="22"/>
        </w:rPr>
      </w:pPr>
      <w:r w:rsidRPr="00F64918">
        <w:rPr>
          <w:sz w:val="22"/>
        </w:rPr>
        <w:t xml:space="preserve">The trend in reserve changes imputed for the </w:t>
      </w:r>
      <w:r w:rsidR="00D930AF" w:rsidRPr="00F64918">
        <w:rPr>
          <w:sz w:val="22"/>
        </w:rPr>
        <w:t xml:space="preserve">non-sampled </w:t>
      </w:r>
      <w:r w:rsidRPr="00F64918">
        <w:rPr>
          <w:sz w:val="22"/>
        </w:rPr>
        <w:t xml:space="preserve">operators, which was based on the trend reported by the </w:t>
      </w:r>
      <w:r w:rsidR="00D930AF" w:rsidRPr="00F64918">
        <w:rPr>
          <w:sz w:val="22"/>
        </w:rPr>
        <w:t xml:space="preserve">sampled </w:t>
      </w:r>
      <w:r w:rsidRPr="00F64918">
        <w:rPr>
          <w:sz w:val="22"/>
        </w:rPr>
        <w:t xml:space="preserve">operators, did not reflect the actual trend for the </w:t>
      </w:r>
      <w:r w:rsidR="00D930AF" w:rsidRPr="00F64918">
        <w:rPr>
          <w:sz w:val="22"/>
        </w:rPr>
        <w:t xml:space="preserve">non-sampled </w:t>
      </w:r>
      <w:r w:rsidRPr="00F64918">
        <w:rPr>
          <w:sz w:val="22"/>
        </w:rPr>
        <w:t>operators.</w:t>
      </w:r>
    </w:p>
    <w:p w:rsidR="00EE10EA" w:rsidRPr="00F64918" w:rsidRDefault="00EE10EA" w:rsidP="00F64918">
      <w:pPr>
        <w:tabs>
          <w:tab w:val="clear" w:pos="360"/>
        </w:tabs>
        <w:rPr>
          <w:sz w:val="22"/>
        </w:rPr>
      </w:pPr>
      <w:r w:rsidRPr="00F64918">
        <w:rPr>
          <w:sz w:val="22"/>
        </w:rPr>
        <w:t>The causes for adjustments are known for some, but not all instances of imbalance.  The only problems for which the effects cannot be expected to balance over a period of several years are problems associated with an inadequate survey frame or with any actual trend in reserve changes for non-sampled operators not being the same as the reserve changes for sampled operators.  EIA continues to attempt to improve sources of operator data to resolve problems in frame completeness.</w:t>
      </w:r>
    </w:p>
    <w:p w:rsidR="00CA0DE6" w:rsidRDefault="00CA0DE6" w:rsidP="00C6298C">
      <w:pPr>
        <w:pStyle w:val="Heading3"/>
      </w:pPr>
      <w:bookmarkStart w:id="10" w:name="_Toc349051181"/>
      <w:r>
        <w:t>Estimating Natural Gas Liquids Reserves and Dry Natural Gas</w:t>
      </w:r>
      <w:bookmarkEnd w:id="10"/>
    </w:p>
    <w:p w:rsidR="00151E02" w:rsidRPr="0079033B" w:rsidRDefault="00151E02" w:rsidP="0079033B">
      <w:pPr>
        <w:tabs>
          <w:tab w:val="clear" w:pos="360"/>
        </w:tabs>
        <w:spacing w:before="120" w:beforeAutospacing="0"/>
        <w:rPr>
          <w:sz w:val="22"/>
        </w:rPr>
      </w:pPr>
      <w:r w:rsidRPr="0079033B">
        <w:rPr>
          <w:sz w:val="22"/>
        </w:rPr>
        <w:t>The published reserves, production, and reserves change statistics for crude oil, lease condensate, and natural gas, wet after lease separation, are derived from data reported on Form EIA-23L and the application of the estimation methods discussed</w:t>
      </w:r>
      <w:r w:rsidR="007765F1" w:rsidRPr="0079033B">
        <w:rPr>
          <w:sz w:val="22"/>
        </w:rPr>
        <w:t>,</w:t>
      </w:r>
      <w:r w:rsidRPr="0079033B">
        <w:rPr>
          <w:sz w:val="22"/>
        </w:rPr>
        <w:t xml:space="preserve"> previously.  The information collected on Form EIA-64A is then utilized in converting the estimates of the wet natural gas reserves into two components</w:t>
      </w:r>
      <w:r w:rsidR="007765F1" w:rsidRPr="0079033B">
        <w:rPr>
          <w:sz w:val="22"/>
        </w:rPr>
        <w:t>:</w:t>
      </w:r>
      <w:r w:rsidRPr="0079033B">
        <w:rPr>
          <w:sz w:val="22"/>
        </w:rPr>
        <w:t xml:space="preserve"> plant liquids reserve data and dry natural gas reserve data.</w:t>
      </w:r>
    </w:p>
    <w:p w:rsidR="003851BC" w:rsidRPr="0079033B" w:rsidRDefault="003851BC" w:rsidP="0079033B">
      <w:pPr>
        <w:tabs>
          <w:tab w:val="clear" w:pos="360"/>
        </w:tabs>
        <w:rPr>
          <w:sz w:val="22"/>
        </w:rPr>
      </w:pPr>
      <w:r w:rsidRPr="0079033B">
        <w:rPr>
          <w:sz w:val="22"/>
        </w:rPr>
        <w:lastRenderedPageBreak/>
        <w:t xml:space="preserve">In estimating the volumes of natural gas on a dry basis, downward adjustments of the natural gas data, wet after lease separation, are made.  These reductions are based on estimates of the gaseous equivalents of the liquids removed (in the case of production), or expected to be removed (in the case of reserves), from the natural gas stream at natural gas processing plants.  Form EIA-64A collects the volumetric reduction, or shrinkage, of the input natural gas stream that results from the removal of the Natural Gas </w:t>
      </w:r>
      <w:r w:rsidR="00A70C61" w:rsidRPr="0079033B">
        <w:rPr>
          <w:sz w:val="22"/>
        </w:rPr>
        <w:t xml:space="preserve">Plant </w:t>
      </w:r>
      <w:r w:rsidRPr="0079033B">
        <w:rPr>
          <w:sz w:val="22"/>
        </w:rPr>
        <w:t>Liquids (NG</w:t>
      </w:r>
      <w:r w:rsidR="00A70C61" w:rsidRPr="0079033B">
        <w:rPr>
          <w:sz w:val="22"/>
        </w:rPr>
        <w:t>P</w:t>
      </w:r>
      <w:r w:rsidRPr="0079033B">
        <w:rPr>
          <w:sz w:val="22"/>
        </w:rPr>
        <w:t>L) at each natural gas processing plant.</w:t>
      </w:r>
    </w:p>
    <w:p w:rsidR="003851BC" w:rsidRPr="0079033B" w:rsidRDefault="003851BC" w:rsidP="0079033B">
      <w:pPr>
        <w:tabs>
          <w:tab w:val="clear" w:pos="360"/>
        </w:tabs>
        <w:rPr>
          <w:sz w:val="22"/>
        </w:rPr>
      </w:pPr>
      <w:r w:rsidRPr="0079033B">
        <w:rPr>
          <w:sz w:val="22"/>
        </w:rPr>
        <w:t>The shrinkage volume is then allocated to the plant's reported area or areas of origin.  Because shrinkage volume is, by definition, roughly in proportion to the NG</w:t>
      </w:r>
      <w:r w:rsidR="00A70C61" w:rsidRPr="0079033B">
        <w:rPr>
          <w:sz w:val="22"/>
        </w:rPr>
        <w:t>P</w:t>
      </w:r>
      <w:r w:rsidRPr="0079033B">
        <w:rPr>
          <w:sz w:val="22"/>
        </w:rPr>
        <w:t>L recovered (i.e., the volume of NG</w:t>
      </w:r>
      <w:r w:rsidR="00A70C61" w:rsidRPr="0079033B">
        <w:rPr>
          <w:sz w:val="22"/>
        </w:rPr>
        <w:t>P</w:t>
      </w:r>
      <w:r w:rsidRPr="0079033B">
        <w:rPr>
          <w:sz w:val="22"/>
        </w:rPr>
        <w:t>L produced), this allocation is in proportion to the reported production of NG</w:t>
      </w:r>
      <w:r w:rsidR="00A70C61" w:rsidRPr="0079033B">
        <w:rPr>
          <w:sz w:val="22"/>
        </w:rPr>
        <w:t>P</w:t>
      </w:r>
      <w:r w:rsidRPr="0079033B">
        <w:rPr>
          <w:sz w:val="22"/>
        </w:rPr>
        <w:t>L volumes for each area of origin.  However, these derived shrinkage volumes are rejected if the ratio between the shrinkage and the NG</w:t>
      </w:r>
      <w:r w:rsidR="00A70C61" w:rsidRPr="0079033B">
        <w:rPr>
          <w:sz w:val="22"/>
        </w:rPr>
        <w:t>P</w:t>
      </w:r>
      <w:r w:rsidRPr="0079033B">
        <w:rPr>
          <w:sz w:val="22"/>
        </w:rPr>
        <w:t>L production (gas equivalents ratio) fall outside certain limits of physical accuracy.  The ratio is expected to range between 1,558 cubic feet per barrel (where NG</w:t>
      </w:r>
      <w:r w:rsidR="00A70C61" w:rsidRPr="0079033B">
        <w:rPr>
          <w:sz w:val="22"/>
        </w:rPr>
        <w:t>P</w:t>
      </w:r>
      <w:r w:rsidRPr="0079033B">
        <w:rPr>
          <w:sz w:val="22"/>
        </w:rPr>
        <w:t>L consists primarily of ethane) and 900 cubic feet per barrel (where NG</w:t>
      </w:r>
      <w:r w:rsidR="00A70C61" w:rsidRPr="0079033B">
        <w:rPr>
          <w:sz w:val="22"/>
        </w:rPr>
        <w:t>P</w:t>
      </w:r>
      <w:r w:rsidRPr="0079033B">
        <w:rPr>
          <w:sz w:val="22"/>
        </w:rPr>
        <w:t>L consists primarily of natural gasoline).  When the computed gas equivalents ratio falls outside these limits, an imputed ratio is utilized to estimate the plant's natural gas shrinkage allocation to each reported area of origin.</w:t>
      </w:r>
    </w:p>
    <w:p w:rsidR="003851BC" w:rsidRPr="0079033B" w:rsidRDefault="003851BC" w:rsidP="0079033B">
      <w:pPr>
        <w:tabs>
          <w:tab w:val="clear" w:pos="360"/>
        </w:tabs>
        <w:rPr>
          <w:sz w:val="22"/>
        </w:rPr>
      </w:pPr>
      <w:r w:rsidRPr="0079033B">
        <w:rPr>
          <w:sz w:val="22"/>
        </w:rPr>
        <w:t xml:space="preserve">This imputed ratio is calculated for the aggregate of all other plants from the area that </w:t>
      </w:r>
      <w:r w:rsidR="00245CDE" w:rsidRPr="0079033B">
        <w:rPr>
          <w:sz w:val="22"/>
        </w:rPr>
        <w:t xml:space="preserve">are </w:t>
      </w:r>
      <w:r w:rsidRPr="0079033B">
        <w:rPr>
          <w:sz w:val="22"/>
        </w:rPr>
        <w:t xml:space="preserve">reporting production and shrinkage and also </w:t>
      </w:r>
      <w:r w:rsidR="00245CDE" w:rsidRPr="0079033B">
        <w:rPr>
          <w:sz w:val="22"/>
        </w:rPr>
        <w:t xml:space="preserve">are </w:t>
      </w:r>
      <w:r w:rsidRPr="0079033B">
        <w:rPr>
          <w:sz w:val="22"/>
        </w:rPr>
        <w:t>having a gas equivalent ratio within the aforesaid limits.  The imputed ratio is applied only if there were at least five other plants reporting NG</w:t>
      </w:r>
      <w:r w:rsidR="00A70C61" w:rsidRPr="0079033B">
        <w:rPr>
          <w:sz w:val="22"/>
        </w:rPr>
        <w:t>P</w:t>
      </w:r>
      <w:r w:rsidRPr="0079033B">
        <w:rPr>
          <w:sz w:val="22"/>
        </w:rPr>
        <w:t xml:space="preserve">L production in a producing area.  If there are less than five other plants, the imputed ratio is calculated based on all plants in the survey </w:t>
      </w:r>
      <w:r w:rsidR="00245CDE" w:rsidRPr="0079033B">
        <w:rPr>
          <w:sz w:val="22"/>
        </w:rPr>
        <w:t xml:space="preserve">for which the </w:t>
      </w:r>
      <w:r w:rsidRPr="0079033B">
        <w:rPr>
          <w:sz w:val="22"/>
        </w:rPr>
        <w:t>individual gas equivalents ratio is within the acceptable limits.  Less than one percent of gas liquids production is associated with shrinkage volumes imputed in this manner.  Based on the Form EIA-64A survey of 20</w:t>
      </w:r>
      <w:r w:rsidR="00C1201A" w:rsidRPr="0079033B">
        <w:rPr>
          <w:sz w:val="22"/>
        </w:rPr>
        <w:t>10</w:t>
      </w:r>
      <w:r w:rsidRPr="0079033B">
        <w:rPr>
          <w:sz w:val="22"/>
        </w:rPr>
        <w:t>, the national weighted average gas equivalents ratio was computed to be 1,</w:t>
      </w:r>
      <w:r w:rsidR="00C1201A" w:rsidRPr="0079033B">
        <w:rPr>
          <w:sz w:val="22"/>
        </w:rPr>
        <w:t>243</w:t>
      </w:r>
      <w:r w:rsidRPr="0079033B">
        <w:rPr>
          <w:sz w:val="22"/>
        </w:rPr>
        <w:t xml:space="preserve"> cubic feet of natural gas shrinkage per barrel of NG</w:t>
      </w:r>
      <w:r w:rsidR="00A70C61" w:rsidRPr="0079033B">
        <w:rPr>
          <w:sz w:val="22"/>
        </w:rPr>
        <w:t>P</w:t>
      </w:r>
      <w:r w:rsidRPr="0079033B">
        <w:rPr>
          <w:sz w:val="22"/>
        </w:rPr>
        <w:t>L recovered.</w:t>
      </w:r>
    </w:p>
    <w:p w:rsidR="003851BC" w:rsidRPr="0079033B" w:rsidRDefault="003851BC" w:rsidP="0079033B">
      <w:pPr>
        <w:tabs>
          <w:tab w:val="clear" w:pos="360"/>
        </w:tabs>
        <w:rPr>
          <w:sz w:val="22"/>
        </w:rPr>
      </w:pPr>
      <w:r w:rsidRPr="0079033B">
        <w:rPr>
          <w:sz w:val="22"/>
        </w:rPr>
        <w:t>The total shrinkage volume (reported plus imputed) for all plants reporting a given area of origin is then subtracted from the estimated value of natural gas production, wet after lease separation, yielding dry natural gas production for the area.  The amount of the reduction in the wet natural gas production is then expressed as a percentage of the wet natural gas production.  Dry natural gas reserves and reserve changes are determined by reducing the wet natural gas proved reserves and proved reserve changes by the same percentage reduction factor.</w:t>
      </w:r>
    </w:p>
    <w:p w:rsidR="003851BC" w:rsidRPr="0079033B" w:rsidRDefault="003851BC" w:rsidP="0079033B">
      <w:pPr>
        <w:tabs>
          <w:tab w:val="clear" w:pos="360"/>
        </w:tabs>
        <w:rPr>
          <w:sz w:val="22"/>
        </w:rPr>
      </w:pPr>
      <w:r w:rsidRPr="0079033B">
        <w:rPr>
          <w:sz w:val="22"/>
        </w:rPr>
        <w:t xml:space="preserve">A further refinement of the estimation process is used to generate an estimate of the natural gas liquids reserves in those states with </w:t>
      </w:r>
      <w:proofErr w:type="spellStart"/>
      <w:r w:rsidRPr="0079033B">
        <w:rPr>
          <w:sz w:val="22"/>
        </w:rPr>
        <w:t>coalbed</w:t>
      </w:r>
      <w:proofErr w:type="spellEnd"/>
      <w:r w:rsidRPr="0079033B">
        <w:rPr>
          <w:sz w:val="22"/>
        </w:rPr>
        <w:t xml:space="preserve"> methane fields.  The states where this procedure is applied are Alabama, Arkansas, Colorado, Illinois, Indiana, Kansas, Louisiana, Maryland, Montana, New Mexico, Ohio, Oklahoma, Pennsylvania, Tennessee, Utah, Virginia, West Virginia, and Wyoming.  </w:t>
      </w:r>
      <w:r w:rsidR="00DC0B8B">
        <w:rPr>
          <w:sz w:val="22"/>
        </w:rPr>
        <w:t xml:space="preserve">The </w:t>
      </w:r>
      <w:r w:rsidR="00BA4B27">
        <w:rPr>
          <w:sz w:val="22"/>
        </w:rPr>
        <w:t>natural gas</w:t>
      </w:r>
      <w:r w:rsidR="00DC0B8B">
        <w:rPr>
          <w:sz w:val="22"/>
        </w:rPr>
        <w:t xml:space="preserve"> liquids reserves for Illinois, Indiana, and Tennessee are not published individually, but </w:t>
      </w:r>
      <w:r w:rsidR="00BA4B27">
        <w:rPr>
          <w:sz w:val="22"/>
        </w:rPr>
        <w:t>are</w:t>
      </w:r>
      <w:r w:rsidR="00DC0B8B">
        <w:rPr>
          <w:sz w:val="22"/>
        </w:rPr>
        <w:t xml:space="preserve"> included in national aggregates.  </w:t>
      </w:r>
      <w:r w:rsidRPr="0079033B">
        <w:rPr>
          <w:sz w:val="22"/>
        </w:rPr>
        <w:t xml:space="preserve">The first step in the process is to identify all Form EIA-23L reported </w:t>
      </w:r>
      <w:proofErr w:type="spellStart"/>
      <w:r w:rsidRPr="0079033B">
        <w:rPr>
          <w:sz w:val="22"/>
        </w:rPr>
        <w:t>coalbed</w:t>
      </w:r>
      <w:proofErr w:type="spellEnd"/>
      <w:r w:rsidRPr="0079033B">
        <w:rPr>
          <w:sz w:val="22"/>
        </w:rPr>
        <w:t xml:space="preserve"> methane fields.  The assumption is that </w:t>
      </w:r>
      <w:proofErr w:type="spellStart"/>
      <w:r w:rsidRPr="0079033B">
        <w:rPr>
          <w:sz w:val="22"/>
        </w:rPr>
        <w:t>coalbed</w:t>
      </w:r>
      <w:proofErr w:type="spellEnd"/>
      <w:r w:rsidRPr="0079033B">
        <w:rPr>
          <w:sz w:val="22"/>
        </w:rPr>
        <w:t xml:space="preserve"> methane fields contain little or no extractable natural gas liquids.  Therefore, when the normal shrinkage procedure is applied to the wet gas volume reserve components, the estimate of state </w:t>
      </w:r>
      <w:proofErr w:type="spellStart"/>
      <w:r w:rsidRPr="0079033B">
        <w:rPr>
          <w:sz w:val="22"/>
        </w:rPr>
        <w:t>coalbed</w:t>
      </w:r>
      <w:proofErr w:type="spellEnd"/>
      <w:r w:rsidRPr="0079033B">
        <w:rPr>
          <w:sz w:val="22"/>
        </w:rPr>
        <w:t xml:space="preserve"> methane volumes are excluded and are not reduced for liquid extraction.  Following the computation for shrinkage, each </w:t>
      </w:r>
      <w:proofErr w:type="spellStart"/>
      <w:r w:rsidRPr="0079033B">
        <w:rPr>
          <w:sz w:val="22"/>
        </w:rPr>
        <w:t>coalbed</w:t>
      </w:r>
      <w:proofErr w:type="spellEnd"/>
      <w:r w:rsidRPr="0079033B">
        <w:rPr>
          <w:sz w:val="22"/>
        </w:rPr>
        <w:t xml:space="preserve"> field gas volume reserve component is added back to each of the dry gas volume reserve components in a state.  The effect of this calculation is that the large increases in proved reserves in some states from </w:t>
      </w:r>
      <w:proofErr w:type="spellStart"/>
      <w:r w:rsidRPr="0079033B">
        <w:rPr>
          <w:sz w:val="22"/>
        </w:rPr>
        <w:t>coalbed</w:t>
      </w:r>
      <w:proofErr w:type="spellEnd"/>
      <w:r w:rsidRPr="0079033B">
        <w:rPr>
          <w:sz w:val="22"/>
        </w:rPr>
        <w:t xml:space="preserve"> methane fields do not cause corresponding increases in the EIA-64A derived estimates of state natural gas liquids proved reserves.</w:t>
      </w:r>
    </w:p>
    <w:p w:rsidR="003851BC" w:rsidRPr="0079033B" w:rsidRDefault="003851BC" w:rsidP="0079033B">
      <w:pPr>
        <w:tabs>
          <w:tab w:val="clear" w:pos="360"/>
        </w:tabs>
        <w:rPr>
          <w:sz w:val="22"/>
        </w:rPr>
      </w:pPr>
      <w:r w:rsidRPr="0079033B">
        <w:rPr>
          <w:sz w:val="22"/>
        </w:rPr>
        <w:t xml:space="preserve">To generate estimates for each element in the proved reserves balance for plant liquids in a given producing area, the first step is to group all natural gas processing plants that reported this area as an area-of-origin on their Form EIA-64A and, then, sum the liquids production attributed to this area over all </w:t>
      </w:r>
      <w:r w:rsidRPr="0079033B">
        <w:rPr>
          <w:sz w:val="22"/>
        </w:rPr>
        <w:lastRenderedPageBreak/>
        <w:t>respondents.  Next, the ratio of the liquids production to the total wet natural gas production for the area is determined.  This ratio represents the percentage of the wet natural gas recovered as natural gas liquids.  Finally, it is assumed that this ratio is applicable to the reserves and each component of reserve changes (except adjustments), as well as production.</w:t>
      </w:r>
    </w:p>
    <w:p w:rsidR="00B063B8" w:rsidRPr="0079033B" w:rsidRDefault="00B063B8" w:rsidP="0079033B">
      <w:pPr>
        <w:tabs>
          <w:tab w:val="clear" w:pos="360"/>
        </w:tabs>
        <w:rPr>
          <w:sz w:val="22"/>
        </w:rPr>
      </w:pPr>
      <w:r w:rsidRPr="0079033B">
        <w:rPr>
          <w:sz w:val="22"/>
        </w:rPr>
        <w:t>Therefore, each element in the wet natural gas reserves balance is multiplied by this recovery factor to yield the corresponding estimate for plant liquids.  Adjustments of natural gas liquids are set equal to the difference between the end of previous reporting year proved reserve estimates, based upon the current reporting year Form EIA-23L and Form EIA-64A data collections, and the end of current reporting year proved reserve estimates published in the preceding year's annual reserves report.</w:t>
      </w:r>
    </w:p>
    <w:p w:rsidR="003851BC" w:rsidRPr="0079033B" w:rsidRDefault="003851BC" w:rsidP="0079033B">
      <w:pPr>
        <w:tabs>
          <w:tab w:val="clear" w:pos="360"/>
        </w:tabs>
        <w:rPr>
          <w:sz w:val="22"/>
        </w:rPr>
      </w:pPr>
      <w:r w:rsidRPr="0079033B">
        <w:rPr>
          <w:sz w:val="22"/>
        </w:rPr>
        <w:t>Adjustments of dry natural gas are set equal to the difference between the end of previous year reserves estimates, based upon the current report year Form EIA-23L and Form EIA-64A surveys, and the end of current year reserve estimates published in the preceding year's annual reserves report.</w:t>
      </w:r>
    </w:p>
    <w:p w:rsidR="00637B07" w:rsidRDefault="00637B07" w:rsidP="00C6298C">
      <w:pPr>
        <w:pStyle w:val="Heading3"/>
      </w:pPr>
      <w:bookmarkStart w:id="11" w:name="_Toc349051182"/>
      <w:r>
        <w:t>Imputation for Item Non-Response</w:t>
      </w:r>
      <w:bookmarkEnd w:id="11"/>
    </w:p>
    <w:p w:rsidR="00151E02" w:rsidRPr="001730E4" w:rsidRDefault="00151E02" w:rsidP="001730E4">
      <w:pPr>
        <w:tabs>
          <w:tab w:val="clear" w:pos="360"/>
        </w:tabs>
        <w:spacing w:before="120" w:beforeAutospacing="0" w:after="0" w:afterAutospacing="0"/>
        <w:rPr>
          <w:sz w:val="22"/>
          <w:u w:val="single"/>
        </w:rPr>
      </w:pPr>
      <w:r w:rsidRPr="001730E4">
        <w:rPr>
          <w:sz w:val="22"/>
          <w:u w:val="single"/>
        </w:rPr>
        <w:t>Form EIA-23L</w:t>
      </w:r>
    </w:p>
    <w:p w:rsidR="00403ACA" w:rsidRPr="001730E4" w:rsidRDefault="00151E02" w:rsidP="001730E4">
      <w:pPr>
        <w:tabs>
          <w:tab w:val="clear" w:pos="360"/>
        </w:tabs>
        <w:spacing w:before="120" w:beforeAutospacing="0"/>
        <w:rPr>
          <w:sz w:val="22"/>
        </w:rPr>
      </w:pPr>
      <w:bookmarkStart w:id="12" w:name="_GoBack"/>
      <w:r w:rsidRPr="001730E4">
        <w:rPr>
          <w:sz w:val="22"/>
        </w:rPr>
        <w:t>Survey questionnaire items for which a response is not received are anticipated to be rare for the proposed sampling method for the Form EIA-23L</w:t>
      </w:r>
      <w:bookmarkEnd w:id="12"/>
      <w:r w:rsidRPr="001730E4">
        <w:rPr>
          <w:sz w:val="22"/>
        </w:rPr>
        <w:t>.  Non-response items wi</w:t>
      </w:r>
      <w:r w:rsidR="003851BC" w:rsidRPr="001730E4">
        <w:rPr>
          <w:sz w:val="22"/>
        </w:rPr>
        <w:t>ll</w:t>
      </w:r>
      <w:r w:rsidRPr="001730E4">
        <w:rPr>
          <w:sz w:val="22"/>
        </w:rPr>
        <w:t xml:space="preserve"> be imputed</w:t>
      </w:r>
      <w:r w:rsidR="000A23D8" w:rsidRPr="001730E4">
        <w:rPr>
          <w:sz w:val="22"/>
        </w:rPr>
        <w:t>,</w:t>
      </w:r>
      <w:r w:rsidRPr="001730E4">
        <w:rPr>
          <w:sz w:val="22"/>
        </w:rPr>
        <w:t xml:space="preserve"> </w:t>
      </w:r>
      <w:r w:rsidR="00293D36" w:rsidRPr="001730E4">
        <w:rPr>
          <w:sz w:val="22"/>
        </w:rPr>
        <w:t xml:space="preserve">using </w:t>
      </w:r>
      <w:r w:rsidR="00AF7E64" w:rsidRPr="001730E4">
        <w:rPr>
          <w:sz w:val="22"/>
        </w:rPr>
        <w:t>E</w:t>
      </w:r>
      <w:r w:rsidR="00293D36" w:rsidRPr="001730E4">
        <w:rPr>
          <w:sz w:val="22"/>
        </w:rPr>
        <w:t xml:space="preserve">quation (1) </w:t>
      </w:r>
      <w:r w:rsidR="000A23D8" w:rsidRPr="001730E4">
        <w:rPr>
          <w:sz w:val="22"/>
        </w:rPr>
        <w:t xml:space="preserve">in </w:t>
      </w:r>
      <w:r w:rsidR="0043215D" w:rsidRPr="001730E4">
        <w:rPr>
          <w:sz w:val="22"/>
        </w:rPr>
        <w:t>the same</w:t>
      </w:r>
      <w:r w:rsidR="000A23D8" w:rsidRPr="001730E4">
        <w:rPr>
          <w:sz w:val="22"/>
        </w:rPr>
        <w:t xml:space="preserve"> manner as </w:t>
      </w:r>
      <w:r w:rsidR="00F63633">
        <w:rPr>
          <w:sz w:val="22"/>
        </w:rPr>
        <w:t xml:space="preserve">for the </w:t>
      </w:r>
      <w:r w:rsidR="000A23D8" w:rsidRPr="001730E4">
        <w:rPr>
          <w:sz w:val="22"/>
        </w:rPr>
        <w:t>non-sampled cases.</w:t>
      </w:r>
    </w:p>
    <w:p w:rsidR="00151E02" w:rsidRPr="001730E4" w:rsidRDefault="00151E02" w:rsidP="001730E4">
      <w:pPr>
        <w:tabs>
          <w:tab w:val="clear" w:pos="360"/>
        </w:tabs>
        <w:spacing w:after="0" w:afterAutospacing="0"/>
        <w:rPr>
          <w:sz w:val="22"/>
          <w:u w:val="single"/>
        </w:rPr>
      </w:pPr>
      <w:r w:rsidRPr="001730E4">
        <w:rPr>
          <w:sz w:val="22"/>
          <w:u w:val="single"/>
        </w:rPr>
        <w:t>Form EIA-64A</w:t>
      </w:r>
    </w:p>
    <w:p w:rsidR="00151E02" w:rsidRPr="001730E4" w:rsidRDefault="00151E02" w:rsidP="001730E4">
      <w:pPr>
        <w:tabs>
          <w:tab w:val="clear" w:pos="360"/>
        </w:tabs>
        <w:spacing w:before="120" w:beforeAutospacing="0"/>
        <w:rPr>
          <w:sz w:val="22"/>
        </w:rPr>
      </w:pPr>
      <w:r w:rsidRPr="001730E4">
        <w:rPr>
          <w:sz w:val="22"/>
        </w:rPr>
        <w:t xml:space="preserve">Natural </w:t>
      </w:r>
      <w:r w:rsidR="0040442D" w:rsidRPr="001730E4">
        <w:rPr>
          <w:sz w:val="22"/>
        </w:rPr>
        <w:t>g</w:t>
      </w:r>
      <w:r w:rsidRPr="001730E4">
        <w:rPr>
          <w:sz w:val="22"/>
        </w:rPr>
        <w:t xml:space="preserve">as </w:t>
      </w:r>
      <w:r w:rsidR="0040442D" w:rsidRPr="001730E4">
        <w:rPr>
          <w:sz w:val="22"/>
        </w:rPr>
        <w:t>l</w:t>
      </w:r>
      <w:r w:rsidRPr="001730E4">
        <w:rPr>
          <w:sz w:val="22"/>
        </w:rPr>
        <w:t xml:space="preserve">iquids recovery rates are calculated from data supplied on Form EIA-64A.  These rates are applied to </w:t>
      </w:r>
      <w:proofErr w:type="gramStart"/>
      <w:r w:rsidRPr="001730E4">
        <w:rPr>
          <w:sz w:val="22"/>
        </w:rPr>
        <w:t>proved</w:t>
      </w:r>
      <w:proofErr w:type="gramEnd"/>
      <w:r w:rsidRPr="001730E4">
        <w:rPr>
          <w:sz w:val="22"/>
        </w:rPr>
        <w:t xml:space="preserve"> reserves of </w:t>
      </w:r>
      <w:r w:rsidR="009A343D" w:rsidRPr="001730E4">
        <w:rPr>
          <w:sz w:val="22"/>
        </w:rPr>
        <w:t xml:space="preserve">wet </w:t>
      </w:r>
      <w:r w:rsidRPr="001730E4">
        <w:rPr>
          <w:sz w:val="22"/>
        </w:rPr>
        <w:t xml:space="preserve">natural gas </w:t>
      </w:r>
      <w:r w:rsidR="00F63633">
        <w:rPr>
          <w:sz w:val="22"/>
        </w:rPr>
        <w:t>(</w:t>
      </w:r>
      <w:r w:rsidRPr="001730E4">
        <w:rPr>
          <w:sz w:val="22"/>
        </w:rPr>
        <w:t>estimated from data collected on Form EIA-23L</w:t>
      </w:r>
      <w:r w:rsidR="00F63633">
        <w:rPr>
          <w:sz w:val="22"/>
        </w:rPr>
        <w:t>)</w:t>
      </w:r>
      <w:r w:rsidRPr="001730E4">
        <w:rPr>
          <w:sz w:val="22"/>
        </w:rPr>
        <w:t xml:space="preserve"> to derive dry natural gas proved reserves data.  When plants fail to report data, their production data from the Form EIA-816 are obtained, and an estimated shrinkage factor, based on past data for shrinkage, is applied to impute dry natural gas proved reserves for that plant.</w:t>
      </w:r>
    </w:p>
    <w:p w:rsidR="00637B07" w:rsidRDefault="00637B07" w:rsidP="00C6298C">
      <w:pPr>
        <w:pStyle w:val="Heading3"/>
      </w:pPr>
      <w:bookmarkStart w:id="13" w:name="_Toc349051183"/>
      <w:r>
        <w:t>Frame Maintenance</w:t>
      </w:r>
      <w:bookmarkEnd w:id="13"/>
    </w:p>
    <w:p w:rsidR="00151E02" w:rsidRPr="006B4EFD" w:rsidRDefault="00151E02" w:rsidP="006B4EFD">
      <w:pPr>
        <w:tabs>
          <w:tab w:val="clear" w:pos="360"/>
        </w:tabs>
        <w:spacing w:before="120" w:beforeAutospacing="0" w:after="0" w:afterAutospacing="0"/>
        <w:rPr>
          <w:sz w:val="22"/>
          <w:u w:val="single"/>
        </w:rPr>
      </w:pPr>
      <w:r w:rsidRPr="006B4EFD">
        <w:rPr>
          <w:sz w:val="22"/>
          <w:u w:val="single"/>
        </w:rPr>
        <w:t>Forms EIA-23L</w:t>
      </w:r>
    </w:p>
    <w:p w:rsidR="003935DC" w:rsidRPr="006B4EFD" w:rsidRDefault="00151E02" w:rsidP="006B4EFD">
      <w:pPr>
        <w:tabs>
          <w:tab w:val="clear" w:pos="360"/>
        </w:tabs>
        <w:spacing w:before="120" w:beforeAutospacing="0"/>
        <w:rPr>
          <w:sz w:val="22"/>
        </w:rPr>
      </w:pPr>
      <w:r w:rsidRPr="006B4EFD">
        <w:rPr>
          <w:sz w:val="22"/>
        </w:rPr>
        <w:t xml:space="preserve">Since EIA’s inception in 1977, </w:t>
      </w:r>
      <w:r w:rsidR="008775EE">
        <w:rPr>
          <w:sz w:val="22"/>
        </w:rPr>
        <w:t>EIA</w:t>
      </w:r>
      <w:r w:rsidR="0043215D" w:rsidRPr="006B4EFD">
        <w:rPr>
          <w:sz w:val="22"/>
        </w:rPr>
        <w:t xml:space="preserve"> has maintained an </w:t>
      </w:r>
      <w:r w:rsidRPr="006B4EFD">
        <w:rPr>
          <w:sz w:val="22"/>
        </w:rPr>
        <w:t>operator sampling frame from which the Form EIA-23L samples have been drawn</w:t>
      </w:r>
      <w:r w:rsidR="0043215D" w:rsidRPr="006B4EFD">
        <w:rPr>
          <w:sz w:val="22"/>
        </w:rPr>
        <w:t>.</w:t>
      </w:r>
      <w:r w:rsidRPr="006B4EFD">
        <w:rPr>
          <w:sz w:val="22"/>
        </w:rPr>
        <w:t xml:space="preserve"> </w:t>
      </w:r>
      <w:r w:rsidR="008775EE">
        <w:rPr>
          <w:sz w:val="22"/>
        </w:rPr>
        <w:t xml:space="preserve"> </w:t>
      </w:r>
      <w:r w:rsidR="0043215D" w:rsidRPr="006B4EFD">
        <w:rPr>
          <w:sz w:val="22"/>
        </w:rPr>
        <w:t>This frame is intended</w:t>
      </w:r>
      <w:r w:rsidRPr="006B4EFD">
        <w:rPr>
          <w:sz w:val="22"/>
        </w:rPr>
        <w:t xml:space="preserve"> to </w:t>
      </w:r>
      <w:r w:rsidR="0043215D" w:rsidRPr="006B4EFD">
        <w:rPr>
          <w:sz w:val="22"/>
        </w:rPr>
        <w:t>include</w:t>
      </w:r>
      <w:r w:rsidRPr="006B4EFD">
        <w:rPr>
          <w:sz w:val="22"/>
        </w:rPr>
        <w:t xml:space="preserve"> all active crude oil and natural gas well operators in the United States.</w:t>
      </w:r>
    </w:p>
    <w:p w:rsidR="00151E02" w:rsidRPr="006B4EFD" w:rsidRDefault="00151E02" w:rsidP="006B4EFD">
      <w:pPr>
        <w:tabs>
          <w:tab w:val="clear" w:pos="360"/>
        </w:tabs>
        <w:rPr>
          <w:sz w:val="22"/>
        </w:rPr>
      </w:pPr>
      <w:r w:rsidRPr="006B4EFD">
        <w:rPr>
          <w:sz w:val="22"/>
        </w:rPr>
        <w:t xml:space="preserve">The sampling frame maintenance procedure uses state production records and commercial information databases </w:t>
      </w:r>
      <w:r w:rsidR="0057547B" w:rsidRPr="006B4EFD">
        <w:rPr>
          <w:sz w:val="22"/>
        </w:rPr>
        <w:t xml:space="preserve">(DI) </w:t>
      </w:r>
      <w:r w:rsidRPr="006B4EFD">
        <w:rPr>
          <w:sz w:val="22"/>
        </w:rPr>
        <w:t xml:space="preserve">to update information on the definite and possible crude oil and natural gas well operators already listed, and to add information about apparent new operators.  This procedure identifies both active operators and </w:t>
      </w:r>
      <w:r w:rsidR="00CD6533" w:rsidRPr="006B4EFD">
        <w:rPr>
          <w:sz w:val="22"/>
        </w:rPr>
        <w:t>inactive/</w:t>
      </w:r>
      <w:r w:rsidRPr="006B4EFD">
        <w:rPr>
          <w:sz w:val="22"/>
        </w:rPr>
        <w:t>non-operators, thereby improving the sampling frame for future sample selections.  The Form EIA-23L sampling frame also retains and properly identifies the names and addresses of both definite and possible non-operators (which are often prior operators) so that these operators can more easily be reclassified to the active operator list, should future review indicate a resumption of operating status.</w:t>
      </w:r>
    </w:p>
    <w:p w:rsidR="00151E02" w:rsidRPr="006B4EFD" w:rsidRDefault="00151E02" w:rsidP="006B4EFD">
      <w:pPr>
        <w:tabs>
          <w:tab w:val="clear" w:pos="360"/>
        </w:tabs>
        <w:spacing w:after="0" w:afterAutospacing="0"/>
        <w:rPr>
          <w:sz w:val="22"/>
          <w:u w:val="single"/>
        </w:rPr>
      </w:pPr>
      <w:r w:rsidRPr="006B4EFD">
        <w:rPr>
          <w:sz w:val="22"/>
          <w:u w:val="single"/>
        </w:rPr>
        <w:t>Form EIA-64A</w:t>
      </w:r>
    </w:p>
    <w:p w:rsidR="003935DC" w:rsidRPr="006B4EFD" w:rsidRDefault="00151E02" w:rsidP="006B4EFD">
      <w:pPr>
        <w:tabs>
          <w:tab w:val="clear" w:pos="360"/>
        </w:tabs>
        <w:spacing w:before="120" w:beforeAutospacing="0"/>
        <w:rPr>
          <w:sz w:val="22"/>
        </w:rPr>
      </w:pPr>
      <w:r w:rsidRPr="006B4EFD">
        <w:rPr>
          <w:sz w:val="22"/>
        </w:rPr>
        <w:t xml:space="preserve">Each year, the Form EIA-64A plant frame is compared to listings of natural gas processing plants from the Form EIA-816, </w:t>
      </w:r>
      <w:r w:rsidR="009A343D" w:rsidRPr="006B4EFD">
        <w:rPr>
          <w:sz w:val="22"/>
        </w:rPr>
        <w:t xml:space="preserve">Form EIA-757, </w:t>
      </w:r>
      <w:r w:rsidRPr="006B4EFD">
        <w:rPr>
          <w:sz w:val="22"/>
        </w:rPr>
        <w:t xml:space="preserve">the </w:t>
      </w:r>
      <w:r w:rsidRPr="006B4EFD">
        <w:rPr>
          <w:i/>
          <w:sz w:val="22"/>
        </w:rPr>
        <w:t>LPG Almanac</w:t>
      </w:r>
      <w:r w:rsidRPr="006B4EFD">
        <w:rPr>
          <w:sz w:val="22"/>
        </w:rPr>
        <w:t xml:space="preserve">, and the </w:t>
      </w:r>
      <w:r w:rsidRPr="006B4EFD">
        <w:rPr>
          <w:i/>
          <w:sz w:val="22"/>
        </w:rPr>
        <w:t>Oil and Gas Journal</w:t>
      </w:r>
      <w:r w:rsidRPr="006B4EFD">
        <w:rPr>
          <w:sz w:val="22"/>
        </w:rPr>
        <w:t xml:space="preserve">.  A list of possible changes to the plant frame is compiled each year.  Telephone calls to the newly-identified plants are </w:t>
      </w:r>
      <w:r w:rsidRPr="006B4EFD">
        <w:rPr>
          <w:sz w:val="22"/>
        </w:rPr>
        <w:lastRenderedPageBreak/>
        <w:t xml:space="preserve">conducted to verify their </w:t>
      </w:r>
      <w:r w:rsidR="008775EE">
        <w:rPr>
          <w:sz w:val="22"/>
        </w:rPr>
        <w:t xml:space="preserve">operating </w:t>
      </w:r>
      <w:r w:rsidRPr="006B4EFD">
        <w:rPr>
          <w:sz w:val="22"/>
        </w:rPr>
        <w:t>status.  Changes identified during frame maintenance are coordinated with the Form EIA-816</w:t>
      </w:r>
      <w:r w:rsidR="00A70C61" w:rsidRPr="006B4EFD">
        <w:rPr>
          <w:sz w:val="22"/>
        </w:rPr>
        <w:t xml:space="preserve"> and EIA-757</w:t>
      </w:r>
      <w:r w:rsidRPr="006B4EFD">
        <w:rPr>
          <w:sz w:val="22"/>
        </w:rPr>
        <w:t xml:space="preserve"> Program Office</w:t>
      </w:r>
      <w:r w:rsidR="00A70C61" w:rsidRPr="006B4EFD">
        <w:rPr>
          <w:sz w:val="22"/>
        </w:rPr>
        <w:t>s</w:t>
      </w:r>
      <w:r w:rsidR="008775EE">
        <w:rPr>
          <w:sz w:val="22"/>
        </w:rPr>
        <w:t xml:space="preserve"> at EIA</w:t>
      </w:r>
      <w:r w:rsidRPr="006B4EFD">
        <w:rPr>
          <w:sz w:val="22"/>
        </w:rPr>
        <w:t>.</w:t>
      </w:r>
    </w:p>
    <w:p w:rsidR="000D0CBA" w:rsidRDefault="000D0CBA" w:rsidP="00C6298C">
      <w:pPr>
        <w:pStyle w:val="Heading3"/>
      </w:pPr>
      <w:bookmarkStart w:id="14" w:name="_Toc349051184"/>
      <w:r>
        <w:t>Efforts to Reduce Total Survey Error</w:t>
      </w:r>
      <w:bookmarkEnd w:id="14"/>
    </w:p>
    <w:p w:rsidR="00151E02" w:rsidRPr="00C47FE9" w:rsidRDefault="00151E02" w:rsidP="00C47FE9">
      <w:pPr>
        <w:tabs>
          <w:tab w:val="clear" w:pos="360"/>
        </w:tabs>
        <w:spacing w:before="120" w:beforeAutospacing="0" w:after="0" w:afterAutospacing="0"/>
        <w:rPr>
          <w:sz w:val="22"/>
          <w:u w:val="single"/>
        </w:rPr>
      </w:pPr>
      <w:r w:rsidRPr="00C47FE9">
        <w:rPr>
          <w:sz w:val="22"/>
          <w:u w:val="single"/>
        </w:rPr>
        <w:t>Frame Coverage Errors</w:t>
      </w:r>
    </w:p>
    <w:p w:rsidR="00151E02" w:rsidRPr="00C47FE9" w:rsidRDefault="00151E02" w:rsidP="00C47FE9">
      <w:pPr>
        <w:tabs>
          <w:tab w:val="clear" w:pos="360"/>
        </w:tabs>
        <w:spacing w:before="120" w:beforeAutospacing="0"/>
        <w:rPr>
          <w:sz w:val="22"/>
        </w:rPr>
      </w:pPr>
      <w:r w:rsidRPr="00C47FE9">
        <w:rPr>
          <w:sz w:val="22"/>
        </w:rPr>
        <w:t xml:space="preserve">Of all the sources of controllable error connected with the Form EIA-23L survey, errors in selecting the survey frame are expected to be the most consequential.  If the sampling frame does not list all well operators in a given state, the sample selected from the sampling frame for the state will not be representative </w:t>
      </w:r>
      <w:r w:rsidR="00495849" w:rsidRPr="00C47FE9">
        <w:rPr>
          <w:sz w:val="22"/>
        </w:rPr>
        <w:t xml:space="preserve">of </w:t>
      </w:r>
      <w:r w:rsidRPr="00C47FE9">
        <w:rPr>
          <w:sz w:val="22"/>
        </w:rPr>
        <w:t>the entire operator population, a condition called “</w:t>
      </w:r>
      <w:proofErr w:type="spellStart"/>
      <w:r w:rsidRPr="00C47FE9">
        <w:rPr>
          <w:sz w:val="22"/>
        </w:rPr>
        <w:t>undercoverage</w:t>
      </w:r>
      <w:proofErr w:type="spellEnd"/>
      <w:r w:rsidRPr="00C47FE9">
        <w:rPr>
          <w:sz w:val="22"/>
        </w:rPr>
        <w:t>.”</w:t>
      </w:r>
    </w:p>
    <w:p w:rsidR="00151E02" w:rsidRPr="00C47FE9" w:rsidRDefault="00151E02" w:rsidP="00C47FE9">
      <w:pPr>
        <w:tabs>
          <w:tab w:val="clear" w:pos="360"/>
        </w:tabs>
        <w:rPr>
          <w:sz w:val="22"/>
        </w:rPr>
      </w:pPr>
      <w:proofErr w:type="spellStart"/>
      <w:r w:rsidRPr="00C47FE9">
        <w:rPr>
          <w:sz w:val="22"/>
        </w:rPr>
        <w:t>Undercoverage</w:t>
      </w:r>
      <w:proofErr w:type="spellEnd"/>
      <w:r w:rsidRPr="00C47FE9">
        <w:rPr>
          <w:sz w:val="22"/>
        </w:rPr>
        <w:t xml:space="preserve"> is a problem with certain states, but it does not appear to be a problem with respect to the </w:t>
      </w:r>
      <w:r w:rsidR="00495849" w:rsidRPr="00C47FE9">
        <w:rPr>
          <w:sz w:val="22"/>
        </w:rPr>
        <w:t xml:space="preserve">total </w:t>
      </w:r>
      <w:r w:rsidRPr="00C47FE9">
        <w:rPr>
          <w:sz w:val="22"/>
        </w:rPr>
        <w:t xml:space="preserve">domestic proved reserves estimates for either crude oil or natural gas.  The proposed sampling process should greatly reduce the potential </w:t>
      </w:r>
      <w:proofErr w:type="spellStart"/>
      <w:r w:rsidRPr="00C47FE9">
        <w:rPr>
          <w:sz w:val="22"/>
        </w:rPr>
        <w:t>undercoverage</w:t>
      </w:r>
      <w:proofErr w:type="spellEnd"/>
      <w:r w:rsidRPr="00C47FE9">
        <w:rPr>
          <w:sz w:val="22"/>
        </w:rPr>
        <w:t xml:space="preserve"> error.</w:t>
      </w:r>
      <w:r w:rsidR="002D6F1E" w:rsidRPr="00C47FE9">
        <w:rPr>
          <w:sz w:val="22"/>
        </w:rPr>
        <w:t xml:space="preserve">  Using a state/subdivision cutoff instead of a U.S. total cutoff should greatly reduce the potential to miss a significant operator in a state.</w:t>
      </w:r>
    </w:p>
    <w:p w:rsidR="00151E02" w:rsidRPr="00C47FE9" w:rsidRDefault="00151E02" w:rsidP="00C47FE9">
      <w:pPr>
        <w:tabs>
          <w:tab w:val="clear" w:pos="360"/>
        </w:tabs>
        <w:rPr>
          <w:sz w:val="22"/>
        </w:rPr>
      </w:pPr>
      <w:r w:rsidRPr="00C47FE9">
        <w:rPr>
          <w:sz w:val="22"/>
        </w:rPr>
        <w:t xml:space="preserve">While it is relatively straightforward to use existing sources to identify large operators and find addresses for them, such is not the case for small operators.  The Form EIA-23L frame is most likely to be deficient in states where a large portion of total proved reserves and production is accounted for by small operators.  These states are not likely to allocate sufficient resources to keep track of all operators on a current basis.  Some </w:t>
      </w:r>
      <w:proofErr w:type="spellStart"/>
      <w:r w:rsidRPr="00C47FE9">
        <w:rPr>
          <w:sz w:val="22"/>
        </w:rPr>
        <w:t>undercoverage</w:t>
      </w:r>
      <w:proofErr w:type="spellEnd"/>
      <w:r w:rsidRPr="00C47FE9">
        <w:rPr>
          <w:sz w:val="22"/>
        </w:rPr>
        <w:t xml:space="preserve"> of this type seems to exist, particularly with respect to natural gas operators.  EIA is continuing to work to remedy the </w:t>
      </w:r>
      <w:proofErr w:type="spellStart"/>
      <w:r w:rsidRPr="00C47FE9">
        <w:rPr>
          <w:sz w:val="22"/>
        </w:rPr>
        <w:t>undercoverage</w:t>
      </w:r>
      <w:proofErr w:type="spellEnd"/>
      <w:r w:rsidRPr="00C47FE9">
        <w:rPr>
          <w:sz w:val="22"/>
        </w:rPr>
        <w:t xml:space="preserve"> problem in those states where this problem has occurred.</w:t>
      </w:r>
    </w:p>
    <w:p w:rsidR="00151E02" w:rsidRPr="00C47FE9" w:rsidRDefault="00151E02" w:rsidP="00C47FE9">
      <w:pPr>
        <w:tabs>
          <w:tab w:val="clear" w:pos="360"/>
        </w:tabs>
        <w:spacing w:after="0" w:afterAutospacing="0"/>
        <w:rPr>
          <w:sz w:val="22"/>
          <w:u w:val="single"/>
        </w:rPr>
      </w:pPr>
      <w:r w:rsidRPr="00C47FE9">
        <w:rPr>
          <w:sz w:val="22"/>
          <w:u w:val="single"/>
        </w:rPr>
        <w:t>Reporting Errors and Data Processing Errors</w:t>
      </w:r>
    </w:p>
    <w:p w:rsidR="00151E02" w:rsidRPr="00C47FE9" w:rsidRDefault="00151E02" w:rsidP="00C47FE9">
      <w:pPr>
        <w:tabs>
          <w:tab w:val="clear" w:pos="360"/>
        </w:tabs>
        <w:spacing w:before="120" w:beforeAutospacing="0"/>
        <w:rPr>
          <w:sz w:val="22"/>
        </w:rPr>
      </w:pPr>
      <w:r w:rsidRPr="00C47FE9">
        <w:rPr>
          <w:sz w:val="22"/>
        </w:rPr>
        <w:t xml:space="preserve">Reporting errors on the part of respondents are of concern in a survey of the magnitude and complexity of the Form EIA-23L.  Several steps </w:t>
      </w:r>
      <w:r w:rsidR="00D325E6" w:rsidRPr="00C47FE9">
        <w:rPr>
          <w:sz w:val="22"/>
        </w:rPr>
        <w:t xml:space="preserve">have been </w:t>
      </w:r>
      <w:r w:rsidRPr="00C47FE9">
        <w:rPr>
          <w:sz w:val="22"/>
        </w:rPr>
        <w:t xml:space="preserve">taken by EIA to minimize and detect such problems.  The survey instrument </w:t>
      </w:r>
      <w:r w:rsidR="00D325E6" w:rsidRPr="00C47FE9">
        <w:rPr>
          <w:sz w:val="22"/>
        </w:rPr>
        <w:t xml:space="preserve">is </w:t>
      </w:r>
      <w:r w:rsidRPr="00C47FE9">
        <w:rPr>
          <w:sz w:val="22"/>
        </w:rPr>
        <w:t>carefully developed, and it includes a detailed set of instructions for filing data, subject to a common set of definitions similar to those already used by the industry.  Data validation/editing software is continually developed to detect different kinds of probable reporting errors and flag them for resolution by analysts, either through confirmation of the data by the respondent or through submission of amendments to the filed data.  Data processing errors, consisting primarily of random keypunch errors, are detected by the same software.</w:t>
      </w:r>
    </w:p>
    <w:p w:rsidR="00151E02" w:rsidRPr="00C47FE9" w:rsidRDefault="00151E02" w:rsidP="00C47FE9">
      <w:pPr>
        <w:tabs>
          <w:tab w:val="clear" w:pos="360"/>
        </w:tabs>
        <w:spacing w:after="0" w:afterAutospacing="0"/>
        <w:rPr>
          <w:sz w:val="22"/>
          <w:u w:val="single"/>
        </w:rPr>
      </w:pPr>
      <w:r w:rsidRPr="00C47FE9">
        <w:rPr>
          <w:sz w:val="22"/>
          <w:u w:val="single"/>
        </w:rPr>
        <w:t>Estimation Errors by Respondents</w:t>
      </w:r>
    </w:p>
    <w:p w:rsidR="00151E02" w:rsidRPr="00C47FE9" w:rsidRDefault="00151E02" w:rsidP="00C47FE9">
      <w:pPr>
        <w:tabs>
          <w:tab w:val="clear" w:pos="360"/>
        </w:tabs>
        <w:spacing w:before="120" w:beforeAutospacing="0"/>
        <w:rPr>
          <w:sz w:val="22"/>
        </w:rPr>
      </w:pPr>
      <w:r w:rsidRPr="00C47FE9">
        <w:rPr>
          <w:sz w:val="22"/>
        </w:rPr>
        <w:t xml:space="preserve">The principal data elements of the Form EIA-23L survey consist of respondent estimates of proved reserves of crude oil, natural gas, and lease condensate.  However, until a particular reservoir has been fully produced to its economic limit and abandoned, </w:t>
      </w:r>
      <w:r w:rsidR="006141F5">
        <w:rPr>
          <w:sz w:val="22"/>
        </w:rPr>
        <w:t>the</w:t>
      </w:r>
      <w:r w:rsidRPr="00C47FE9">
        <w:rPr>
          <w:sz w:val="22"/>
        </w:rPr>
        <w:t xml:space="preserve"> proved reserves </w:t>
      </w:r>
      <w:r w:rsidR="006141F5">
        <w:rPr>
          <w:sz w:val="22"/>
        </w:rPr>
        <w:t xml:space="preserve">of the reservoir </w:t>
      </w:r>
      <w:r w:rsidRPr="00C47FE9">
        <w:rPr>
          <w:sz w:val="22"/>
        </w:rPr>
        <w:t>are not subject to direct measurement, but instead must be inferred from limited, imperfect, or indirect evidence.  As a result, respondents cannot perfectly estimate their proved reserves, and such estimates can change over time.</w:t>
      </w:r>
    </w:p>
    <w:p w:rsidR="00151E02" w:rsidRPr="00C47FE9" w:rsidRDefault="006E7AB3" w:rsidP="00C47FE9">
      <w:pPr>
        <w:tabs>
          <w:tab w:val="clear" w:pos="360"/>
        </w:tabs>
        <w:spacing w:after="0" w:afterAutospacing="0"/>
        <w:rPr>
          <w:sz w:val="22"/>
          <w:u w:val="single"/>
        </w:rPr>
      </w:pPr>
      <w:r w:rsidRPr="00C47FE9">
        <w:rPr>
          <w:sz w:val="22"/>
          <w:u w:val="single"/>
        </w:rPr>
        <w:t xml:space="preserve">Sampling </w:t>
      </w:r>
      <w:r w:rsidR="00151E02" w:rsidRPr="00C47FE9">
        <w:rPr>
          <w:sz w:val="22"/>
          <w:u w:val="single"/>
        </w:rPr>
        <w:t>Errors</w:t>
      </w:r>
    </w:p>
    <w:p w:rsidR="00B27A21" w:rsidRPr="00C47FE9" w:rsidRDefault="00B15CAF" w:rsidP="00C47FE9">
      <w:pPr>
        <w:tabs>
          <w:tab w:val="clear" w:pos="360"/>
        </w:tabs>
        <w:autoSpaceDE w:val="0"/>
        <w:autoSpaceDN w:val="0"/>
        <w:adjustRightInd w:val="0"/>
        <w:spacing w:before="120" w:beforeAutospacing="0"/>
        <w:jc w:val="left"/>
        <w:rPr>
          <w:rFonts w:eastAsia="Times New Roman"/>
          <w:sz w:val="22"/>
        </w:rPr>
      </w:pPr>
      <w:r w:rsidRPr="00C47FE9">
        <w:rPr>
          <w:rFonts w:eastAsia="Times New Roman"/>
          <w:sz w:val="22"/>
        </w:rPr>
        <w:t>As in most establishment survey</w:t>
      </w:r>
      <w:r w:rsidR="00960211" w:rsidRPr="00C47FE9">
        <w:rPr>
          <w:rFonts w:eastAsia="Times New Roman"/>
          <w:sz w:val="22"/>
        </w:rPr>
        <w:t>s</w:t>
      </w:r>
      <w:r w:rsidRPr="00C47FE9">
        <w:rPr>
          <w:rFonts w:eastAsia="Times New Roman"/>
          <w:sz w:val="22"/>
        </w:rPr>
        <w:t xml:space="preserve">, </w:t>
      </w:r>
      <w:r w:rsidR="00960211" w:rsidRPr="00C47FE9">
        <w:rPr>
          <w:rFonts w:eastAsia="Times New Roman"/>
          <w:sz w:val="22"/>
        </w:rPr>
        <w:t xml:space="preserve">Form </w:t>
      </w:r>
      <w:r w:rsidRPr="00C47FE9">
        <w:rPr>
          <w:rFonts w:eastAsia="Times New Roman"/>
          <w:sz w:val="22"/>
        </w:rPr>
        <w:t>EIA-23</w:t>
      </w:r>
      <w:r w:rsidR="00960211" w:rsidRPr="00C47FE9">
        <w:rPr>
          <w:rFonts w:eastAsia="Times New Roman"/>
          <w:sz w:val="22"/>
        </w:rPr>
        <w:t>L</w:t>
      </w:r>
      <w:r w:rsidRPr="00C47FE9">
        <w:rPr>
          <w:rFonts w:eastAsia="Times New Roman"/>
          <w:sz w:val="22"/>
        </w:rPr>
        <w:t xml:space="preserve"> reserves and production data are highly skewed. </w:t>
      </w:r>
      <w:r w:rsidR="00960211" w:rsidRPr="00C47FE9">
        <w:rPr>
          <w:rFonts w:eastAsia="Times New Roman"/>
          <w:sz w:val="22"/>
        </w:rPr>
        <w:t xml:space="preserve"> </w:t>
      </w:r>
      <w:r w:rsidRPr="00C47FE9">
        <w:rPr>
          <w:rFonts w:eastAsia="Times New Roman"/>
          <w:sz w:val="22"/>
        </w:rPr>
        <w:t>Most reserves data for natural gas, oil, and lease condensate are provided by relatively few</w:t>
      </w:r>
      <w:r w:rsidR="00960211" w:rsidRPr="00C47FE9">
        <w:rPr>
          <w:rFonts w:eastAsia="Times New Roman"/>
          <w:sz w:val="22"/>
        </w:rPr>
        <w:t xml:space="preserve"> </w:t>
      </w:r>
      <w:r w:rsidRPr="00C47FE9">
        <w:rPr>
          <w:rFonts w:eastAsia="Times New Roman"/>
          <w:sz w:val="22"/>
        </w:rPr>
        <w:t xml:space="preserve">well operators, and there are many small operators. </w:t>
      </w:r>
      <w:r w:rsidR="00960211" w:rsidRPr="00C47FE9">
        <w:rPr>
          <w:rFonts w:eastAsia="Times New Roman"/>
          <w:sz w:val="22"/>
        </w:rPr>
        <w:t xml:space="preserve"> </w:t>
      </w:r>
      <w:r w:rsidRPr="00C47FE9">
        <w:rPr>
          <w:rFonts w:eastAsia="Times New Roman"/>
          <w:sz w:val="22"/>
        </w:rPr>
        <w:t>The classical ratio estimator (CRE) is model-based and is well</w:t>
      </w:r>
      <w:r w:rsidR="00960211" w:rsidRPr="00C47FE9">
        <w:rPr>
          <w:rFonts w:eastAsia="Times New Roman"/>
          <w:sz w:val="22"/>
        </w:rPr>
        <w:t>-</w:t>
      </w:r>
      <w:r w:rsidRPr="00C47FE9">
        <w:rPr>
          <w:rFonts w:eastAsia="Times New Roman"/>
          <w:sz w:val="22"/>
        </w:rPr>
        <w:t>suited for the cut</w:t>
      </w:r>
      <w:r w:rsidR="00746859" w:rsidRPr="00C47FE9">
        <w:rPr>
          <w:rFonts w:eastAsia="Times New Roman"/>
          <w:sz w:val="22"/>
        </w:rPr>
        <w:t>-</w:t>
      </w:r>
      <w:r w:rsidRPr="00C47FE9">
        <w:rPr>
          <w:rFonts w:eastAsia="Times New Roman"/>
          <w:sz w:val="22"/>
        </w:rPr>
        <w:t xml:space="preserve">off sampling design used for </w:t>
      </w:r>
      <w:r w:rsidR="00960211" w:rsidRPr="00C47FE9">
        <w:rPr>
          <w:rFonts w:eastAsia="Times New Roman"/>
          <w:sz w:val="22"/>
        </w:rPr>
        <w:t xml:space="preserve">the Form </w:t>
      </w:r>
      <w:r w:rsidRPr="00C47FE9">
        <w:rPr>
          <w:rFonts w:eastAsia="Times New Roman"/>
          <w:sz w:val="22"/>
        </w:rPr>
        <w:t>EIA-23</w:t>
      </w:r>
      <w:r w:rsidR="00960211" w:rsidRPr="00C47FE9">
        <w:rPr>
          <w:rFonts w:eastAsia="Times New Roman"/>
          <w:sz w:val="22"/>
        </w:rPr>
        <w:t>L</w:t>
      </w:r>
      <w:r w:rsidRPr="00C47FE9">
        <w:rPr>
          <w:rFonts w:eastAsia="Times New Roman"/>
          <w:sz w:val="22"/>
        </w:rPr>
        <w:t>.  CRE is based on well</w:t>
      </w:r>
      <w:r w:rsidR="00960211" w:rsidRPr="00C47FE9">
        <w:rPr>
          <w:rFonts w:eastAsia="Times New Roman"/>
          <w:sz w:val="22"/>
        </w:rPr>
        <w:t>-</w:t>
      </w:r>
      <w:r w:rsidRPr="00C47FE9">
        <w:rPr>
          <w:rFonts w:eastAsia="Times New Roman"/>
          <w:sz w:val="22"/>
        </w:rPr>
        <w:t>establish</w:t>
      </w:r>
      <w:r w:rsidR="00960211" w:rsidRPr="00C47FE9">
        <w:rPr>
          <w:rFonts w:eastAsia="Times New Roman"/>
          <w:sz w:val="22"/>
        </w:rPr>
        <w:t>ed</w:t>
      </w:r>
      <w:r w:rsidRPr="00C47FE9">
        <w:rPr>
          <w:rFonts w:eastAsia="Times New Roman"/>
          <w:sz w:val="22"/>
        </w:rPr>
        <w:t xml:space="preserve"> theory with readily available standard error estimators </w:t>
      </w:r>
      <w:r w:rsidR="00960211" w:rsidRPr="00C47FE9">
        <w:rPr>
          <w:rFonts w:eastAsia="Times New Roman"/>
          <w:sz w:val="22"/>
        </w:rPr>
        <w:t>(s</w:t>
      </w:r>
      <w:r w:rsidRPr="00C47FE9">
        <w:rPr>
          <w:rFonts w:eastAsia="Times New Roman"/>
          <w:sz w:val="22"/>
        </w:rPr>
        <w:t xml:space="preserve">ee </w:t>
      </w:r>
      <w:r w:rsidRPr="00C47FE9">
        <w:rPr>
          <w:sz w:val="22"/>
        </w:rPr>
        <w:t xml:space="preserve">Royall </w:t>
      </w:r>
      <w:r w:rsidR="00960211" w:rsidRPr="00C47FE9">
        <w:rPr>
          <w:sz w:val="22"/>
        </w:rPr>
        <w:t>[</w:t>
      </w:r>
      <w:r w:rsidRPr="00C47FE9">
        <w:rPr>
          <w:sz w:val="22"/>
        </w:rPr>
        <w:t>1970</w:t>
      </w:r>
      <w:r w:rsidR="00960211" w:rsidRPr="00C47FE9">
        <w:rPr>
          <w:sz w:val="22"/>
        </w:rPr>
        <w:t>]</w:t>
      </w:r>
      <w:r w:rsidRPr="00C47FE9">
        <w:rPr>
          <w:sz w:val="22"/>
        </w:rPr>
        <w:t xml:space="preserve"> on model est</w:t>
      </w:r>
      <w:r w:rsidR="00960211" w:rsidRPr="00C47FE9">
        <w:rPr>
          <w:sz w:val="22"/>
        </w:rPr>
        <w:t>i</w:t>
      </w:r>
      <w:r w:rsidRPr="00C47FE9">
        <w:rPr>
          <w:sz w:val="22"/>
        </w:rPr>
        <w:t>mation and variance</w:t>
      </w:r>
      <w:r w:rsidR="00960211" w:rsidRPr="00C47FE9">
        <w:rPr>
          <w:sz w:val="22"/>
        </w:rPr>
        <w:t>)</w:t>
      </w:r>
      <w:r w:rsidRPr="00C47FE9">
        <w:rPr>
          <w:sz w:val="22"/>
        </w:rPr>
        <w:t>.</w:t>
      </w:r>
      <w:r w:rsidRPr="00C47FE9">
        <w:rPr>
          <w:rFonts w:eastAsia="Times New Roman"/>
          <w:sz w:val="22"/>
        </w:rPr>
        <w:t xml:space="preserve"> </w:t>
      </w:r>
      <w:r w:rsidR="00960211" w:rsidRPr="00C47FE9">
        <w:rPr>
          <w:rFonts w:eastAsia="Times New Roman"/>
          <w:sz w:val="22"/>
        </w:rPr>
        <w:t xml:space="preserve"> </w:t>
      </w:r>
      <w:r w:rsidRPr="00C47FE9">
        <w:rPr>
          <w:rFonts w:eastAsia="Times New Roman"/>
          <w:sz w:val="22"/>
        </w:rPr>
        <w:t xml:space="preserve">The model-based CRE </w:t>
      </w:r>
      <w:r w:rsidR="00960211" w:rsidRPr="00C47FE9">
        <w:rPr>
          <w:rFonts w:eastAsia="Times New Roman"/>
          <w:sz w:val="22"/>
        </w:rPr>
        <w:t>(</w:t>
      </w:r>
      <w:r w:rsidRPr="00C47FE9">
        <w:rPr>
          <w:rFonts w:eastAsia="Times New Roman"/>
          <w:sz w:val="22"/>
        </w:rPr>
        <w:t xml:space="preserve">see </w:t>
      </w:r>
      <w:proofErr w:type="gramStart"/>
      <w:r w:rsidRPr="00C47FE9">
        <w:rPr>
          <w:rFonts w:eastAsia="Times New Roman"/>
          <w:sz w:val="22"/>
        </w:rPr>
        <w:t>Knaub</w:t>
      </w:r>
      <w:r w:rsidR="00960211" w:rsidRPr="00C47FE9">
        <w:rPr>
          <w:rFonts w:eastAsia="Times New Roman"/>
          <w:sz w:val="22"/>
        </w:rPr>
        <w:t>[</w:t>
      </w:r>
      <w:proofErr w:type="gramEnd"/>
      <w:r w:rsidRPr="00C47FE9">
        <w:rPr>
          <w:rFonts w:eastAsia="Times New Roman"/>
          <w:sz w:val="22"/>
        </w:rPr>
        <w:t>2005</w:t>
      </w:r>
      <w:r w:rsidR="00960211" w:rsidRPr="00C47FE9">
        <w:rPr>
          <w:rFonts w:eastAsia="Times New Roman"/>
          <w:sz w:val="22"/>
        </w:rPr>
        <w:t>])</w:t>
      </w:r>
      <w:r w:rsidRPr="00C47FE9">
        <w:rPr>
          <w:rFonts w:eastAsia="Times New Roman"/>
          <w:sz w:val="22"/>
        </w:rPr>
        <w:t xml:space="preserve"> is quite robust for</w:t>
      </w:r>
      <w:r w:rsidR="00423C13" w:rsidRPr="00C47FE9">
        <w:rPr>
          <w:rFonts w:eastAsia="Times New Roman"/>
          <w:sz w:val="22"/>
        </w:rPr>
        <w:t xml:space="preserve"> </w:t>
      </w:r>
      <w:r w:rsidRPr="00C47FE9">
        <w:rPr>
          <w:rFonts w:eastAsia="Times New Roman"/>
          <w:sz w:val="22"/>
        </w:rPr>
        <w:t>estimation of both out-of-sample cases and for non</w:t>
      </w:r>
      <w:r w:rsidR="00960211" w:rsidRPr="00C47FE9">
        <w:rPr>
          <w:rFonts w:eastAsia="Times New Roman"/>
          <w:sz w:val="22"/>
        </w:rPr>
        <w:t>-</w:t>
      </w:r>
      <w:r w:rsidRPr="00C47FE9">
        <w:rPr>
          <w:rFonts w:eastAsia="Times New Roman"/>
          <w:sz w:val="22"/>
        </w:rPr>
        <w:t>response.</w:t>
      </w:r>
    </w:p>
    <w:p w:rsidR="005C7AA0" w:rsidRPr="00C47FE9" w:rsidRDefault="005C7AA0" w:rsidP="00C47FE9">
      <w:pPr>
        <w:tabs>
          <w:tab w:val="clear" w:pos="360"/>
        </w:tabs>
        <w:autoSpaceDE w:val="0"/>
        <w:autoSpaceDN w:val="0"/>
        <w:adjustRightInd w:val="0"/>
        <w:jc w:val="left"/>
        <w:rPr>
          <w:rFonts w:eastAsia="Times New Roman"/>
          <w:sz w:val="22"/>
        </w:rPr>
      </w:pPr>
      <w:r w:rsidRPr="00C47FE9">
        <w:rPr>
          <w:rFonts w:eastAsia="Times New Roman"/>
          <w:sz w:val="22"/>
        </w:rPr>
        <w:lastRenderedPageBreak/>
        <w:t>Based on the 2011 Form EIA-23 data collection, EIA anticipates RSEs by state and subdivision similar to the following:</w:t>
      </w:r>
    </w:p>
    <w:p w:rsidR="00403BF3" w:rsidRPr="006141F5" w:rsidRDefault="005C7AA0" w:rsidP="006141F5">
      <w:pPr>
        <w:tabs>
          <w:tab w:val="clear" w:pos="360"/>
        </w:tabs>
        <w:spacing w:after="120" w:afterAutospacing="0"/>
        <w:rPr>
          <w:b/>
          <w:sz w:val="22"/>
        </w:rPr>
      </w:pPr>
      <w:r w:rsidRPr="006141F5">
        <w:rPr>
          <w:b/>
          <w:sz w:val="22"/>
        </w:rPr>
        <w:t xml:space="preserve">Table </w:t>
      </w:r>
      <w:r w:rsidR="00212984" w:rsidRPr="006141F5">
        <w:rPr>
          <w:b/>
          <w:sz w:val="22"/>
        </w:rPr>
        <w:fldChar w:fldCharType="begin"/>
      </w:r>
      <w:r w:rsidRPr="006141F5">
        <w:rPr>
          <w:b/>
          <w:sz w:val="22"/>
        </w:rPr>
        <w:instrText xml:space="preserve"> SEQ Table \* ARABIC </w:instrText>
      </w:r>
      <w:r w:rsidR="00212984" w:rsidRPr="006141F5">
        <w:rPr>
          <w:b/>
          <w:sz w:val="22"/>
        </w:rPr>
        <w:fldChar w:fldCharType="separate"/>
      </w:r>
      <w:r w:rsidR="00186A59" w:rsidRPr="006141F5">
        <w:rPr>
          <w:b/>
          <w:noProof/>
          <w:sz w:val="22"/>
        </w:rPr>
        <w:t>1</w:t>
      </w:r>
      <w:r w:rsidR="00212984" w:rsidRPr="006141F5">
        <w:rPr>
          <w:b/>
          <w:sz w:val="22"/>
        </w:rPr>
        <w:fldChar w:fldCharType="end"/>
      </w:r>
      <w:r w:rsidRPr="006141F5">
        <w:rPr>
          <w:b/>
          <w:sz w:val="22"/>
        </w:rPr>
        <w:t>: Anticipated Estimated Natural Gas Reserves RSEs</w:t>
      </w:r>
    </w:p>
    <w:tbl>
      <w:tblPr>
        <w:tblW w:w="4548" w:type="dxa"/>
        <w:tblInd w:w="95" w:type="dxa"/>
        <w:tblLook w:val="04A0"/>
      </w:tblPr>
      <w:tblGrid>
        <w:gridCol w:w="1003"/>
        <w:gridCol w:w="1271"/>
        <w:gridCol w:w="979"/>
        <w:gridCol w:w="1295"/>
      </w:tblGrid>
      <w:tr w:rsidR="005C7AA0" w:rsidRPr="006141F5" w:rsidTr="003B0E63">
        <w:trPr>
          <w:trHeight w:val="270"/>
        </w:trPr>
        <w:tc>
          <w:tcPr>
            <w:tcW w:w="100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b/>
                <w:sz w:val="20"/>
                <w:szCs w:val="20"/>
              </w:rPr>
            </w:pPr>
            <w:r w:rsidRPr="006141F5">
              <w:rPr>
                <w:rFonts w:eastAsia="Times New Roman"/>
                <w:b/>
                <w:sz w:val="20"/>
                <w:szCs w:val="20"/>
              </w:rPr>
              <w:t>Region</w:t>
            </w:r>
          </w:p>
        </w:tc>
        <w:tc>
          <w:tcPr>
            <w:tcW w:w="1271" w:type="dxa"/>
            <w:tcBorders>
              <w:top w:val="single" w:sz="8" w:space="0" w:color="auto"/>
              <w:left w:val="nil"/>
              <w:bottom w:val="single" w:sz="8" w:space="0" w:color="auto"/>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b/>
                <w:sz w:val="20"/>
                <w:szCs w:val="20"/>
              </w:rPr>
            </w:pPr>
            <w:r w:rsidRPr="006141F5">
              <w:rPr>
                <w:rFonts w:eastAsia="Times New Roman"/>
                <w:b/>
                <w:sz w:val="20"/>
                <w:szCs w:val="20"/>
              </w:rPr>
              <w:t>Estimated RSE</w:t>
            </w:r>
          </w:p>
        </w:tc>
        <w:tc>
          <w:tcPr>
            <w:tcW w:w="979" w:type="dxa"/>
            <w:tcBorders>
              <w:top w:val="single" w:sz="8" w:space="0" w:color="auto"/>
              <w:left w:val="nil"/>
              <w:bottom w:val="single" w:sz="4" w:space="0" w:color="auto"/>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b/>
                <w:sz w:val="20"/>
                <w:szCs w:val="20"/>
              </w:rPr>
            </w:pPr>
            <w:r w:rsidRPr="006141F5">
              <w:rPr>
                <w:rFonts w:eastAsia="Times New Roman"/>
                <w:b/>
                <w:sz w:val="20"/>
                <w:szCs w:val="20"/>
              </w:rPr>
              <w:t>Region</w:t>
            </w:r>
          </w:p>
        </w:tc>
        <w:tc>
          <w:tcPr>
            <w:tcW w:w="1295" w:type="dxa"/>
            <w:tcBorders>
              <w:top w:val="single" w:sz="8" w:space="0" w:color="auto"/>
              <w:left w:val="nil"/>
              <w:bottom w:val="single" w:sz="4" w:space="0" w:color="auto"/>
              <w:right w:val="single" w:sz="8"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b/>
                <w:sz w:val="20"/>
                <w:szCs w:val="20"/>
              </w:rPr>
            </w:pPr>
            <w:r w:rsidRPr="006141F5">
              <w:rPr>
                <w:rFonts w:eastAsia="Times New Roman"/>
                <w:b/>
                <w:sz w:val="20"/>
                <w:szCs w:val="20"/>
              </w:rPr>
              <w:t>Estimated RSE</w:t>
            </w:r>
          </w:p>
        </w:tc>
      </w:tr>
      <w:tr w:rsidR="005C7AA0" w:rsidRPr="006141F5" w:rsidTr="003B0E63">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AK .</w:t>
            </w:r>
            <w:proofErr w:type="gramEnd"/>
          </w:p>
        </w:tc>
        <w:tc>
          <w:tcPr>
            <w:tcW w:w="1271"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0%</w:t>
            </w:r>
          </w:p>
        </w:tc>
        <w:tc>
          <w:tcPr>
            <w:tcW w:w="979" w:type="dxa"/>
            <w:tcBorders>
              <w:top w:val="single" w:sz="4" w:space="0" w:color="auto"/>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OH .</w:t>
            </w:r>
            <w:proofErr w:type="gramEnd"/>
          </w:p>
        </w:tc>
        <w:tc>
          <w:tcPr>
            <w:tcW w:w="1295" w:type="dxa"/>
            <w:tcBorders>
              <w:top w:val="single" w:sz="4" w:space="0" w:color="auto"/>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5%</w:t>
            </w:r>
          </w:p>
        </w:tc>
      </w:tr>
      <w:tr w:rsidR="005C7AA0"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AL .</w:t>
            </w:r>
            <w:proofErr w:type="gramEnd"/>
          </w:p>
        </w:tc>
        <w:tc>
          <w:tcPr>
            <w:tcW w:w="1271"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c>
          <w:tcPr>
            <w:tcW w:w="979"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OK .</w:t>
            </w:r>
            <w:proofErr w:type="gramEnd"/>
          </w:p>
        </w:tc>
        <w:tc>
          <w:tcPr>
            <w:tcW w:w="1295"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r>
      <w:tr w:rsidR="005C7AA0"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AR .</w:t>
            </w:r>
            <w:proofErr w:type="gramEnd"/>
          </w:p>
        </w:tc>
        <w:tc>
          <w:tcPr>
            <w:tcW w:w="1271"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1%</w:t>
            </w:r>
          </w:p>
        </w:tc>
        <w:tc>
          <w:tcPr>
            <w:tcW w:w="979"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PA .</w:t>
            </w:r>
            <w:proofErr w:type="gramEnd"/>
          </w:p>
        </w:tc>
        <w:tc>
          <w:tcPr>
            <w:tcW w:w="1295"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5C7AA0"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CA   5</w:t>
            </w:r>
          </w:p>
        </w:tc>
        <w:tc>
          <w:tcPr>
            <w:tcW w:w="1271"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979"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5</w:t>
            </w:r>
          </w:p>
        </w:tc>
        <w:tc>
          <w:tcPr>
            <w:tcW w:w="1295" w:type="dxa"/>
            <w:tcBorders>
              <w:top w:val="nil"/>
              <w:left w:val="nil"/>
              <w:bottom w:val="nil"/>
              <w:right w:val="single" w:sz="4" w:space="0" w:color="auto"/>
            </w:tcBorders>
            <w:shd w:val="clear" w:color="auto" w:fill="auto"/>
            <w:noWrap/>
            <w:vAlign w:val="bottom"/>
            <w:hideMark/>
          </w:tcPr>
          <w:p w:rsidR="005C7AA0" w:rsidRPr="006141F5" w:rsidRDefault="005C7AA0"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CA  10</w:t>
            </w:r>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10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CA  50</w:t>
            </w:r>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20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CA  90</w:t>
            </w:r>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5%</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30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CO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40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FG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50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FL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0%</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60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FP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70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KS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75</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LA   5</w:t>
            </w:r>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80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1%</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LA  10</w:t>
            </w:r>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85</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LA  50</w:t>
            </w:r>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1%</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90</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MI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TX  95</w:t>
            </w:r>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MS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4%</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UT .</w:t>
            </w:r>
            <w:proofErr w:type="gramEnd"/>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MT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VA .</w:t>
            </w:r>
            <w:proofErr w:type="gramEnd"/>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0%</w:t>
            </w:r>
          </w:p>
        </w:tc>
      </w:tr>
      <w:tr w:rsidR="003B0E63" w:rsidRPr="006141F5"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ND .</w:t>
            </w:r>
            <w:proofErr w:type="gramEnd"/>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c>
          <w:tcPr>
            <w:tcW w:w="979"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WV .</w:t>
            </w:r>
            <w:proofErr w:type="gramEnd"/>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3%</w:t>
            </w:r>
          </w:p>
        </w:tc>
      </w:tr>
      <w:tr w:rsidR="003B0E63" w:rsidRPr="006141F5" w:rsidTr="003B0E63">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NM  10</w:t>
            </w:r>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2%</w:t>
            </w:r>
          </w:p>
        </w:tc>
        <w:tc>
          <w:tcPr>
            <w:tcW w:w="979" w:type="dxa"/>
            <w:tcBorders>
              <w:top w:val="nil"/>
              <w:left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WY .</w:t>
            </w:r>
            <w:proofErr w:type="gramEnd"/>
          </w:p>
        </w:tc>
        <w:tc>
          <w:tcPr>
            <w:tcW w:w="1295"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1%</w:t>
            </w:r>
          </w:p>
        </w:tc>
      </w:tr>
      <w:tr w:rsidR="003B0E63" w:rsidRPr="006141F5" w:rsidTr="003B0E63">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r w:rsidRPr="006141F5">
              <w:rPr>
                <w:rFonts w:eastAsia="Times New Roman"/>
                <w:sz w:val="20"/>
                <w:szCs w:val="20"/>
              </w:rPr>
              <w:t>NM  50</w:t>
            </w:r>
          </w:p>
        </w:tc>
        <w:tc>
          <w:tcPr>
            <w:tcW w:w="1271" w:type="dxa"/>
            <w:tcBorders>
              <w:top w:val="nil"/>
              <w:left w:val="nil"/>
              <w:bottom w:val="nil"/>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1%</w:t>
            </w:r>
          </w:p>
        </w:tc>
        <w:tc>
          <w:tcPr>
            <w:tcW w:w="979" w:type="dxa"/>
            <w:tcBorders>
              <w:left w:val="single" w:sz="4" w:space="0" w:color="auto"/>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
        </w:tc>
        <w:tc>
          <w:tcPr>
            <w:tcW w:w="1295" w:type="dxa"/>
            <w:tcBorders>
              <w:top w:val="nil"/>
              <w:left w:val="single" w:sz="4" w:space="0" w:color="auto"/>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p>
        </w:tc>
      </w:tr>
      <w:tr w:rsidR="003B0E63" w:rsidRPr="006141F5" w:rsidTr="003B0E63">
        <w:trPr>
          <w:trHeight w:val="25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roofErr w:type="gramStart"/>
            <w:r w:rsidRPr="006141F5">
              <w:rPr>
                <w:rFonts w:eastAsia="Times New Roman"/>
                <w:sz w:val="20"/>
                <w:szCs w:val="20"/>
              </w:rPr>
              <w:t>NY .</w:t>
            </w:r>
            <w:proofErr w:type="gramEnd"/>
          </w:p>
        </w:tc>
        <w:tc>
          <w:tcPr>
            <w:tcW w:w="1271" w:type="dxa"/>
            <w:tcBorders>
              <w:top w:val="nil"/>
              <w:left w:val="nil"/>
              <w:bottom w:val="single" w:sz="4" w:space="0" w:color="auto"/>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right"/>
              <w:rPr>
                <w:rFonts w:eastAsia="Times New Roman"/>
                <w:sz w:val="20"/>
                <w:szCs w:val="20"/>
              </w:rPr>
            </w:pPr>
            <w:r w:rsidRPr="006141F5">
              <w:rPr>
                <w:rFonts w:eastAsia="Times New Roman"/>
                <w:sz w:val="20"/>
                <w:szCs w:val="20"/>
              </w:rPr>
              <w:t>5%</w:t>
            </w:r>
          </w:p>
        </w:tc>
        <w:tc>
          <w:tcPr>
            <w:tcW w:w="979" w:type="dxa"/>
            <w:tcBorders>
              <w:top w:val="nil"/>
              <w:left w:val="single" w:sz="4" w:space="0" w:color="auto"/>
              <w:bottom w:val="single" w:sz="4" w:space="0" w:color="auto"/>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rsidR="003B0E63" w:rsidRPr="006141F5" w:rsidRDefault="003B0E63" w:rsidP="005C7AA0">
            <w:pPr>
              <w:tabs>
                <w:tab w:val="clear" w:pos="360"/>
              </w:tabs>
              <w:spacing w:before="0" w:beforeAutospacing="0" w:after="0" w:afterAutospacing="0"/>
              <w:jc w:val="left"/>
              <w:rPr>
                <w:rFonts w:eastAsia="Times New Roman"/>
                <w:sz w:val="20"/>
                <w:szCs w:val="20"/>
              </w:rPr>
            </w:pPr>
          </w:p>
        </w:tc>
      </w:tr>
    </w:tbl>
    <w:p w:rsidR="00186A59" w:rsidRPr="006141F5" w:rsidRDefault="00186A59" w:rsidP="006141F5">
      <w:pPr>
        <w:tabs>
          <w:tab w:val="clear" w:pos="360"/>
        </w:tabs>
        <w:rPr>
          <w:sz w:val="22"/>
        </w:rPr>
      </w:pPr>
    </w:p>
    <w:p w:rsidR="00186A59" w:rsidRPr="006141F5" w:rsidRDefault="00186A59" w:rsidP="006141F5">
      <w:pPr>
        <w:rPr>
          <w:sz w:val="22"/>
        </w:rPr>
      </w:pPr>
      <w:r w:rsidRPr="006141F5">
        <w:rPr>
          <w:sz w:val="22"/>
        </w:rPr>
        <w:br w:type="page"/>
      </w:r>
    </w:p>
    <w:p w:rsidR="00403BF3" w:rsidRPr="0004628D" w:rsidRDefault="00C45A49" w:rsidP="0004628D">
      <w:pPr>
        <w:tabs>
          <w:tab w:val="clear" w:pos="360"/>
        </w:tabs>
        <w:spacing w:after="120" w:afterAutospacing="0"/>
        <w:rPr>
          <w:b/>
          <w:sz w:val="22"/>
        </w:rPr>
      </w:pPr>
      <w:r w:rsidRPr="0004628D">
        <w:rPr>
          <w:b/>
          <w:sz w:val="22"/>
        </w:rPr>
        <w:lastRenderedPageBreak/>
        <w:t xml:space="preserve">Table </w:t>
      </w:r>
      <w:r w:rsidR="00212984" w:rsidRPr="0004628D">
        <w:rPr>
          <w:b/>
          <w:sz w:val="22"/>
        </w:rPr>
        <w:fldChar w:fldCharType="begin"/>
      </w:r>
      <w:r w:rsidRPr="0004628D">
        <w:rPr>
          <w:b/>
          <w:sz w:val="22"/>
        </w:rPr>
        <w:instrText xml:space="preserve"> SEQ Table \* ARABIC </w:instrText>
      </w:r>
      <w:r w:rsidR="00212984" w:rsidRPr="0004628D">
        <w:rPr>
          <w:b/>
          <w:sz w:val="22"/>
        </w:rPr>
        <w:fldChar w:fldCharType="separate"/>
      </w:r>
      <w:r w:rsidR="00186A59" w:rsidRPr="0004628D">
        <w:rPr>
          <w:b/>
          <w:sz w:val="22"/>
        </w:rPr>
        <w:t>2</w:t>
      </w:r>
      <w:r w:rsidR="00212984" w:rsidRPr="0004628D">
        <w:rPr>
          <w:b/>
          <w:sz w:val="22"/>
        </w:rPr>
        <w:fldChar w:fldCharType="end"/>
      </w:r>
      <w:r w:rsidRPr="0004628D">
        <w:rPr>
          <w:b/>
          <w:sz w:val="22"/>
        </w:rPr>
        <w:t xml:space="preserve">: Anticipated Estimated Crude Oil </w:t>
      </w:r>
      <w:proofErr w:type="gramStart"/>
      <w:r w:rsidRPr="0004628D">
        <w:rPr>
          <w:b/>
          <w:sz w:val="22"/>
        </w:rPr>
        <w:t>Plus</w:t>
      </w:r>
      <w:proofErr w:type="gramEnd"/>
      <w:r w:rsidRPr="0004628D">
        <w:rPr>
          <w:b/>
          <w:sz w:val="22"/>
        </w:rPr>
        <w:t xml:space="preserve"> Lease Condensate Reserves RSEs</w:t>
      </w:r>
    </w:p>
    <w:tbl>
      <w:tblPr>
        <w:tblW w:w="4548" w:type="dxa"/>
        <w:tblInd w:w="95" w:type="dxa"/>
        <w:tblLook w:val="04A0"/>
      </w:tblPr>
      <w:tblGrid>
        <w:gridCol w:w="1003"/>
        <w:gridCol w:w="1271"/>
        <w:gridCol w:w="979"/>
        <w:gridCol w:w="1295"/>
      </w:tblGrid>
      <w:tr w:rsidR="00C45A49" w:rsidRPr="0004628D" w:rsidTr="00C45A49">
        <w:trPr>
          <w:trHeight w:val="270"/>
        </w:trPr>
        <w:tc>
          <w:tcPr>
            <w:tcW w:w="1003"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C45A49" w:rsidRPr="0004628D" w:rsidRDefault="00C45A49" w:rsidP="00C45A49">
            <w:pPr>
              <w:tabs>
                <w:tab w:val="clear" w:pos="360"/>
              </w:tabs>
              <w:spacing w:before="0" w:beforeAutospacing="0" w:after="0" w:afterAutospacing="0"/>
              <w:jc w:val="left"/>
              <w:rPr>
                <w:rFonts w:eastAsia="Times New Roman"/>
                <w:b/>
                <w:sz w:val="20"/>
                <w:szCs w:val="20"/>
              </w:rPr>
            </w:pPr>
            <w:r w:rsidRPr="0004628D">
              <w:rPr>
                <w:rFonts w:eastAsia="Times New Roman"/>
                <w:b/>
                <w:sz w:val="20"/>
                <w:szCs w:val="20"/>
              </w:rPr>
              <w:t>Region</w:t>
            </w:r>
          </w:p>
        </w:tc>
        <w:tc>
          <w:tcPr>
            <w:tcW w:w="1271" w:type="dxa"/>
            <w:tcBorders>
              <w:top w:val="single" w:sz="8" w:space="0" w:color="auto"/>
              <w:left w:val="nil"/>
              <w:bottom w:val="single" w:sz="8" w:space="0" w:color="auto"/>
              <w:right w:val="single" w:sz="4" w:space="0" w:color="auto"/>
            </w:tcBorders>
            <w:shd w:val="clear" w:color="auto" w:fill="auto"/>
            <w:noWrap/>
            <w:vAlign w:val="bottom"/>
            <w:hideMark/>
          </w:tcPr>
          <w:p w:rsidR="00C45A49" w:rsidRPr="0004628D" w:rsidRDefault="00C45A49" w:rsidP="00C45A49">
            <w:pPr>
              <w:tabs>
                <w:tab w:val="clear" w:pos="360"/>
              </w:tabs>
              <w:spacing w:before="0" w:beforeAutospacing="0" w:after="0" w:afterAutospacing="0"/>
              <w:jc w:val="left"/>
              <w:rPr>
                <w:rFonts w:eastAsia="Times New Roman"/>
                <w:b/>
                <w:sz w:val="20"/>
                <w:szCs w:val="20"/>
              </w:rPr>
            </w:pPr>
            <w:r w:rsidRPr="0004628D">
              <w:rPr>
                <w:rFonts w:eastAsia="Times New Roman"/>
                <w:b/>
                <w:sz w:val="20"/>
                <w:szCs w:val="20"/>
              </w:rPr>
              <w:t>Estimated RSE</w:t>
            </w:r>
          </w:p>
        </w:tc>
        <w:tc>
          <w:tcPr>
            <w:tcW w:w="979" w:type="dxa"/>
            <w:tcBorders>
              <w:top w:val="single" w:sz="8" w:space="0" w:color="auto"/>
              <w:left w:val="nil"/>
              <w:bottom w:val="single" w:sz="8" w:space="0" w:color="auto"/>
              <w:right w:val="single" w:sz="4" w:space="0" w:color="auto"/>
            </w:tcBorders>
            <w:shd w:val="clear" w:color="auto" w:fill="auto"/>
            <w:noWrap/>
            <w:vAlign w:val="bottom"/>
            <w:hideMark/>
          </w:tcPr>
          <w:p w:rsidR="00C45A49" w:rsidRPr="0004628D" w:rsidRDefault="00C45A49" w:rsidP="00C45A49">
            <w:pPr>
              <w:tabs>
                <w:tab w:val="clear" w:pos="360"/>
              </w:tabs>
              <w:spacing w:before="0" w:beforeAutospacing="0" w:after="0" w:afterAutospacing="0"/>
              <w:jc w:val="left"/>
              <w:rPr>
                <w:rFonts w:eastAsia="Times New Roman"/>
                <w:b/>
                <w:sz w:val="20"/>
                <w:szCs w:val="20"/>
              </w:rPr>
            </w:pPr>
            <w:r w:rsidRPr="0004628D">
              <w:rPr>
                <w:rFonts w:eastAsia="Times New Roman"/>
                <w:b/>
                <w:sz w:val="20"/>
                <w:szCs w:val="20"/>
              </w:rPr>
              <w:t>Region</w:t>
            </w:r>
          </w:p>
        </w:tc>
        <w:tc>
          <w:tcPr>
            <w:tcW w:w="1295" w:type="dxa"/>
            <w:tcBorders>
              <w:top w:val="single" w:sz="8" w:space="0" w:color="auto"/>
              <w:left w:val="nil"/>
              <w:bottom w:val="single" w:sz="8" w:space="0" w:color="auto"/>
              <w:right w:val="single" w:sz="8" w:space="0" w:color="auto"/>
            </w:tcBorders>
            <w:shd w:val="clear" w:color="auto" w:fill="auto"/>
            <w:noWrap/>
            <w:vAlign w:val="bottom"/>
            <w:hideMark/>
          </w:tcPr>
          <w:p w:rsidR="00C45A49" w:rsidRPr="0004628D" w:rsidRDefault="00C45A49" w:rsidP="00C45A49">
            <w:pPr>
              <w:tabs>
                <w:tab w:val="clear" w:pos="360"/>
              </w:tabs>
              <w:spacing w:before="0" w:beforeAutospacing="0" w:after="0" w:afterAutospacing="0"/>
              <w:jc w:val="left"/>
              <w:rPr>
                <w:rFonts w:eastAsia="Times New Roman"/>
                <w:b/>
                <w:sz w:val="20"/>
                <w:szCs w:val="20"/>
              </w:rPr>
            </w:pPr>
            <w:r w:rsidRPr="0004628D">
              <w:rPr>
                <w:rFonts w:eastAsia="Times New Roman"/>
                <w:b/>
                <w:sz w:val="20"/>
                <w:szCs w:val="20"/>
              </w:rPr>
              <w:t>Estimated RSE</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AK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2%</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NM  50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11%</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AL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8%</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OH .</w:t>
            </w:r>
            <w:proofErr w:type="gramEnd"/>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6%</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AR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46%</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OK .</w:t>
            </w:r>
            <w:proofErr w:type="gramEnd"/>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6%</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CA   5</w:t>
            </w:r>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PA .</w:t>
            </w:r>
            <w:proofErr w:type="gramEnd"/>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11%</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CA  10</w:t>
            </w:r>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3%</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5</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4%</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CA  50</w:t>
            </w:r>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7%</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10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4%</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CA  90</w:t>
            </w:r>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7%</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20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2%</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CO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2%</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30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6%</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FG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2%</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40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7%</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FL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6%</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50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16%</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FP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3%</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60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6%</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KS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9%</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70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14%</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LA   5</w:t>
            </w:r>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5%</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75</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5%</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LA  10</w:t>
            </w:r>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4%</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80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2%</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LA  50</w:t>
            </w:r>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16%</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85</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2%</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MI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11%</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90</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7%</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MS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4%</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TX  95</w:t>
            </w:r>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5%</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MT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3%</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UT .</w:t>
            </w:r>
            <w:proofErr w:type="gramEnd"/>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5%</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ND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WV .</w:t>
            </w:r>
            <w:proofErr w:type="gramEnd"/>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9%</w:t>
            </w:r>
          </w:p>
        </w:tc>
      </w:tr>
      <w:tr w:rsidR="0081210E" w:rsidRPr="0004628D" w:rsidTr="00C45A49">
        <w:trPr>
          <w:trHeight w:val="255"/>
        </w:trPr>
        <w:tc>
          <w:tcPr>
            <w:tcW w:w="1003" w:type="dxa"/>
            <w:tcBorders>
              <w:top w:val="nil"/>
              <w:left w:val="single" w:sz="4" w:space="0" w:color="auto"/>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NE .</w:t>
            </w:r>
            <w:proofErr w:type="gramEnd"/>
          </w:p>
        </w:tc>
        <w:tc>
          <w:tcPr>
            <w:tcW w:w="1271"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19%</w:t>
            </w:r>
          </w:p>
        </w:tc>
        <w:tc>
          <w:tcPr>
            <w:tcW w:w="979"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roofErr w:type="gramStart"/>
            <w:r w:rsidRPr="0004628D">
              <w:rPr>
                <w:rFonts w:eastAsia="Times New Roman"/>
                <w:sz w:val="20"/>
                <w:szCs w:val="20"/>
              </w:rPr>
              <w:t>WY .</w:t>
            </w:r>
            <w:proofErr w:type="gramEnd"/>
          </w:p>
        </w:tc>
        <w:tc>
          <w:tcPr>
            <w:tcW w:w="1295" w:type="dxa"/>
            <w:tcBorders>
              <w:top w:val="nil"/>
              <w:left w:val="nil"/>
              <w:bottom w:val="nil"/>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3%</w:t>
            </w:r>
          </w:p>
        </w:tc>
      </w:tr>
      <w:tr w:rsidR="0081210E" w:rsidRPr="0004628D" w:rsidTr="00C45A49">
        <w:trPr>
          <w:trHeight w:val="255"/>
        </w:trPr>
        <w:tc>
          <w:tcPr>
            <w:tcW w:w="1003" w:type="dxa"/>
            <w:tcBorders>
              <w:top w:val="nil"/>
              <w:left w:val="single" w:sz="4" w:space="0" w:color="auto"/>
              <w:bottom w:val="single" w:sz="4" w:space="0" w:color="auto"/>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r w:rsidRPr="0004628D">
              <w:rPr>
                <w:rFonts w:eastAsia="Times New Roman"/>
                <w:sz w:val="20"/>
                <w:szCs w:val="20"/>
              </w:rPr>
              <w:t>NM  10</w:t>
            </w:r>
          </w:p>
        </w:tc>
        <w:tc>
          <w:tcPr>
            <w:tcW w:w="1271" w:type="dxa"/>
            <w:tcBorders>
              <w:top w:val="nil"/>
              <w:left w:val="nil"/>
              <w:bottom w:val="single" w:sz="4" w:space="0" w:color="auto"/>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right"/>
              <w:rPr>
                <w:rFonts w:eastAsia="Times New Roman"/>
                <w:sz w:val="20"/>
                <w:szCs w:val="20"/>
              </w:rPr>
            </w:pPr>
            <w:r w:rsidRPr="0004628D">
              <w:rPr>
                <w:sz w:val="20"/>
                <w:szCs w:val="20"/>
              </w:rPr>
              <w:t>3%</w:t>
            </w:r>
          </w:p>
        </w:tc>
        <w:tc>
          <w:tcPr>
            <w:tcW w:w="979" w:type="dxa"/>
            <w:tcBorders>
              <w:top w:val="nil"/>
              <w:left w:val="nil"/>
              <w:bottom w:val="single" w:sz="4" w:space="0" w:color="auto"/>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
        </w:tc>
        <w:tc>
          <w:tcPr>
            <w:tcW w:w="1295" w:type="dxa"/>
            <w:tcBorders>
              <w:top w:val="nil"/>
              <w:left w:val="nil"/>
              <w:bottom w:val="single" w:sz="4" w:space="0" w:color="auto"/>
              <w:right w:val="single" w:sz="4" w:space="0" w:color="auto"/>
            </w:tcBorders>
            <w:shd w:val="clear" w:color="auto" w:fill="auto"/>
            <w:noWrap/>
            <w:vAlign w:val="bottom"/>
            <w:hideMark/>
          </w:tcPr>
          <w:p w:rsidR="0081210E" w:rsidRPr="0004628D" w:rsidRDefault="0081210E" w:rsidP="00C45A49">
            <w:pPr>
              <w:tabs>
                <w:tab w:val="clear" w:pos="360"/>
              </w:tabs>
              <w:spacing w:before="0" w:beforeAutospacing="0" w:after="0" w:afterAutospacing="0"/>
              <w:jc w:val="left"/>
              <w:rPr>
                <w:rFonts w:eastAsia="Times New Roman"/>
                <w:sz w:val="20"/>
                <w:szCs w:val="20"/>
              </w:rPr>
            </w:pPr>
          </w:p>
        </w:tc>
      </w:tr>
    </w:tbl>
    <w:p w:rsidR="00C45A49" w:rsidRDefault="00C45A49" w:rsidP="0004628D">
      <w:pPr>
        <w:tabs>
          <w:tab w:val="clear" w:pos="360"/>
        </w:tabs>
        <w:autoSpaceDE w:val="0"/>
        <w:autoSpaceDN w:val="0"/>
        <w:adjustRightInd w:val="0"/>
        <w:spacing w:before="0" w:beforeAutospacing="0" w:after="0" w:afterAutospacing="0"/>
        <w:jc w:val="left"/>
        <w:rPr>
          <w:rFonts w:ascii="TimesNewRoman" w:eastAsia="Times New Roman" w:hAnsi="TimesNewRoman" w:cs="TimesNewRoman"/>
          <w:sz w:val="22"/>
        </w:rPr>
      </w:pPr>
    </w:p>
    <w:p w:rsidR="00B27A21" w:rsidRPr="00C47FE9" w:rsidRDefault="00A936C9" w:rsidP="00C47FE9">
      <w:pPr>
        <w:tabs>
          <w:tab w:val="clear" w:pos="360"/>
        </w:tabs>
        <w:autoSpaceDE w:val="0"/>
        <w:autoSpaceDN w:val="0"/>
        <w:adjustRightInd w:val="0"/>
        <w:jc w:val="left"/>
        <w:rPr>
          <w:rFonts w:ascii="TimesNewRoman" w:eastAsia="Times New Roman" w:hAnsi="TimesNewRoman" w:cs="TimesNewRoman"/>
          <w:sz w:val="22"/>
        </w:rPr>
      </w:pPr>
      <w:r w:rsidRPr="00C47FE9">
        <w:rPr>
          <w:sz w:val="22"/>
          <w:u w:val="single"/>
        </w:rPr>
        <w:t xml:space="preserve">Unit </w:t>
      </w:r>
      <w:r w:rsidR="006E7AB3" w:rsidRPr="00C47FE9">
        <w:rPr>
          <w:sz w:val="22"/>
          <w:u w:val="single"/>
        </w:rPr>
        <w:t>Non-re</w:t>
      </w:r>
      <w:r w:rsidRPr="00C47FE9">
        <w:rPr>
          <w:sz w:val="22"/>
          <w:u w:val="single"/>
        </w:rPr>
        <w:t>s</w:t>
      </w:r>
      <w:r w:rsidR="006E7AB3" w:rsidRPr="00C47FE9">
        <w:rPr>
          <w:sz w:val="22"/>
          <w:u w:val="single"/>
        </w:rPr>
        <w:t>ponse</w:t>
      </w:r>
    </w:p>
    <w:p w:rsidR="00151E02" w:rsidRPr="00C47FE9" w:rsidRDefault="00151E02" w:rsidP="00C47FE9">
      <w:pPr>
        <w:tabs>
          <w:tab w:val="clear" w:pos="360"/>
        </w:tabs>
        <w:spacing w:before="120" w:beforeAutospacing="0"/>
        <w:rPr>
          <w:sz w:val="22"/>
        </w:rPr>
      </w:pPr>
      <w:r w:rsidRPr="00C47FE9">
        <w:rPr>
          <w:sz w:val="22"/>
        </w:rPr>
        <w:t xml:space="preserve">Non-response is anticipated to be minimal for the proposed Form EIA-23L sampling method.  Because </w:t>
      </w:r>
      <w:r w:rsidR="000A23D8" w:rsidRPr="00C47FE9">
        <w:rPr>
          <w:sz w:val="22"/>
        </w:rPr>
        <w:t xml:space="preserve">estimated </w:t>
      </w:r>
      <w:r w:rsidRPr="00C47FE9">
        <w:rPr>
          <w:sz w:val="22"/>
        </w:rPr>
        <w:t xml:space="preserve">reserves are </w:t>
      </w:r>
      <w:r w:rsidR="000A23D8" w:rsidRPr="00C47FE9">
        <w:rPr>
          <w:sz w:val="22"/>
        </w:rPr>
        <w:t>published</w:t>
      </w:r>
      <w:r w:rsidR="000A23D8" w:rsidRPr="00C47FE9" w:rsidDel="000A23D8">
        <w:rPr>
          <w:sz w:val="22"/>
        </w:rPr>
        <w:t xml:space="preserve"> </w:t>
      </w:r>
      <w:r w:rsidRPr="00C47FE9">
        <w:rPr>
          <w:sz w:val="22"/>
        </w:rPr>
        <w:t>at aggregated levels by geographic region, these rare non-responses are not anticipated to have a significant impact on published totals.  For states where a large share of total proved reserves is accounted for by smaller operators, any errors in estimating aggregated data are expected to be somewhat larger than in states where a large share of total proved reserves is accounted for by larger operators.</w:t>
      </w:r>
    </w:p>
    <w:p w:rsidR="00390A15" w:rsidRDefault="0051403C" w:rsidP="00C6298C">
      <w:pPr>
        <w:pStyle w:val="Heading2"/>
      </w:pPr>
      <w:bookmarkStart w:id="15" w:name="_Toc349051185"/>
      <w:r>
        <w:t>Maximizing Response Rates</w:t>
      </w:r>
      <w:bookmarkEnd w:id="15"/>
    </w:p>
    <w:p w:rsidR="00151E02" w:rsidRPr="009E7B53" w:rsidRDefault="00EE10EA" w:rsidP="009E7B53">
      <w:pPr>
        <w:tabs>
          <w:tab w:val="clear" w:pos="360"/>
        </w:tabs>
        <w:spacing w:before="120" w:beforeAutospacing="0"/>
        <w:rPr>
          <w:sz w:val="22"/>
        </w:rPr>
      </w:pPr>
      <w:r w:rsidRPr="009E7B53">
        <w:rPr>
          <w:sz w:val="22"/>
        </w:rPr>
        <w:t>EIA</w:t>
      </w:r>
      <w:r w:rsidR="00151E02" w:rsidRPr="009E7B53">
        <w:rPr>
          <w:sz w:val="22"/>
        </w:rPr>
        <w:t xml:space="preserve"> </w:t>
      </w:r>
      <w:r w:rsidR="00C153E5" w:rsidRPr="009E7B53">
        <w:rPr>
          <w:sz w:val="22"/>
        </w:rPr>
        <w:t>uses</w:t>
      </w:r>
      <w:r w:rsidR="00151E02" w:rsidRPr="009E7B53">
        <w:rPr>
          <w:sz w:val="22"/>
        </w:rPr>
        <w:t xml:space="preserve"> standard procedures to conduct the data collections</w:t>
      </w:r>
      <w:r w:rsidRPr="009E7B53">
        <w:rPr>
          <w:sz w:val="22"/>
        </w:rPr>
        <w:t xml:space="preserve"> for the Form EIA-23L and Form EIA-64A</w:t>
      </w:r>
      <w:r w:rsidR="00151E02" w:rsidRPr="009E7B53">
        <w:rPr>
          <w:sz w:val="22"/>
        </w:rPr>
        <w:t xml:space="preserve">.  An introductory letter signed by a responsible EIA official </w:t>
      </w:r>
      <w:r w:rsidRPr="009E7B53">
        <w:rPr>
          <w:sz w:val="22"/>
        </w:rPr>
        <w:t>is</w:t>
      </w:r>
      <w:r w:rsidR="00151E02" w:rsidRPr="009E7B53">
        <w:rPr>
          <w:sz w:val="22"/>
        </w:rPr>
        <w:t xml:space="preserve"> sent to each company that is selected as a respondent to the data collections.  Follow-up procedures for non response consist of an email message or a reminder letter (for those not using email) to all companies that do not return a completed survey form by the due date.  This initial re-contact is followed by repeated email messages, letters, and phone calls until a response is received or other agreeable solution is found.</w:t>
      </w:r>
    </w:p>
    <w:p w:rsidR="00151E02" w:rsidRPr="00114C7B" w:rsidRDefault="00151E02" w:rsidP="00C6298C">
      <w:pPr>
        <w:pStyle w:val="Heading2"/>
      </w:pPr>
      <w:bookmarkStart w:id="16" w:name="_Toc336547824"/>
      <w:bookmarkStart w:id="17" w:name="_Toc349051186"/>
      <w:r w:rsidRPr="00F5194A">
        <w:t>Testing Procedures</w:t>
      </w:r>
      <w:bookmarkEnd w:id="16"/>
      <w:bookmarkEnd w:id="17"/>
    </w:p>
    <w:p w:rsidR="00151E02" w:rsidRPr="002053A8" w:rsidRDefault="000A23D8" w:rsidP="00CD3B61">
      <w:pPr>
        <w:tabs>
          <w:tab w:val="clear" w:pos="360"/>
        </w:tabs>
        <w:spacing w:before="120" w:beforeAutospacing="0"/>
        <w:rPr>
          <w:sz w:val="22"/>
        </w:rPr>
      </w:pPr>
      <w:r w:rsidRPr="002053A8">
        <w:rPr>
          <w:sz w:val="22"/>
        </w:rPr>
        <w:t xml:space="preserve">With regard to </w:t>
      </w:r>
      <w:r w:rsidR="00440361" w:rsidRPr="002053A8">
        <w:rPr>
          <w:sz w:val="22"/>
        </w:rPr>
        <w:t>collection instruments</w:t>
      </w:r>
      <w:r w:rsidRPr="002053A8">
        <w:rPr>
          <w:sz w:val="22"/>
        </w:rPr>
        <w:t>, the</w:t>
      </w:r>
      <w:r w:rsidR="00151E02" w:rsidRPr="002053A8">
        <w:rPr>
          <w:sz w:val="22"/>
        </w:rPr>
        <w:t xml:space="preserve"> changes proposed to the Form EIA-23L sampling methodology will change only the Form EIA-23L instructions </w:t>
      </w:r>
      <w:r w:rsidR="00EE10EA" w:rsidRPr="002053A8">
        <w:rPr>
          <w:sz w:val="22"/>
        </w:rPr>
        <w:t xml:space="preserve">to make </w:t>
      </w:r>
      <w:r w:rsidR="00151E02" w:rsidRPr="002053A8">
        <w:rPr>
          <w:sz w:val="22"/>
        </w:rPr>
        <w:t xml:space="preserve">these instructions consistent with the language used to describe the sampling process.  </w:t>
      </w:r>
      <w:r w:rsidR="00EE10EA" w:rsidRPr="002053A8">
        <w:rPr>
          <w:sz w:val="22"/>
        </w:rPr>
        <w:t xml:space="preserve">Form EIA-23L instructions have also been updated to reflect revised online EIA Glossary terms.  </w:t>
      </w:r>
      <w:r w:rsidR="00151E02" w:rsidRPr="002053A8">
        <w:rPr>
          <w:sz w:val="22"/>
        </w:rPr>
        <w:t>Furthermore, changes are not proposed for the Form EIA-64A data collection.  Therefore, no cognitive testing or review was determined to be necessary at this time.</w:t>
      </w:r>
    </w:p>
    <w:p w:rsidR="00151E02" w:rsidRPr="003C573C" w:rsidRDefault="00151E02" w:rsidP="00C6298C">
      <w:pPr>
        <w:pStyle w:val="Heading2"/>
      </w:pPr>
      <w:bookmarkStart w:id="18" w:name="_Toc336547825"/>
      <w:bookmarkStart w:id="19" w:name="_Toc349051187"/>
      <w:r>
        <w:lastRenderedPageBreak/>
        <w:t>Statistical Consultations</w:t>
      </w:r>
      <w:bookmarkEnd w:id="18"/>
      <w:bookmarkEnd w:id="19"/>
    </w:p>
    <w:p w:rsidR="00151E02" w:rsidRPr="00CD3B61" w:rsidRDefault="00151E02" w:rsidP="00CD3B61">
      <w:pPr>
        <w:tabs>
          <w:tab w:val="clear" w:pos="360"/>
        </w:tabs>
        <w:spacing w:before="120" w:beforeAutospacing="0"/>
        <w:rPr>
          <w:sz w:val="22"/>
        </w:rPr>
      </w:pPr>
      <w:r w:rsidRPr="00CD3B61">
        <w:rPr>
          <w:sz w:val="22"/>
        </w:rPr>
        <w:t xml:space="preserve">For additional information concerning this data collection, please contact Steven Grape at (202) 586-1868, or </w:t>
      </w:r>
      <w:hyperlink r:id="rId15" w:history="1">
        <w:r w:rsidRPr="00CD3B61">
          <w:rPr>
            <w:rStyle w:val="Hyperlink"/>
            <w:sz w:val="22"/>
          </w:rPr>
          <w:t>steven.grape@eia.gov</w:t>
        </w:r>
      </w:hyperlink>
      <w:r w:rsidRPr="00CD3B61">
        <w:rPr>
          <w:sz w:val="22"/>
        </w:rPr>
        <w:t>.</w:t>
      </w:r>
    </w:p>
    <w:p w:rsidR="00151E02" w:rsidRPr="00CD3B61" w:rsidRDefault="00151E02" w:rsidP="00CD3B61">
      <w:pPr>
        <w:tabs>
          <w:tab w:val="clear" w:pos="360"/>
        </w:tabs>
        <w:rPr>
          <w:sz w:val="22"/>
        </w:rPr>
      </w:pPr>
      <w:r w:rsidRPr="00CD3B61">
        <w:rPr>
          <w:sz w:val="22"/>
        </w:rPr>
        <w:t>For information concerning this request for OMB approval, please contact the agency Forms Clearance Officer, Alethea Jennings, at (202) 586-5879, or alethea.jennings@eia.gov.</w:t>
      </w:r>
    </w:p>
    <w:p w:rsidR="006C0138" w:rsidRPr="00313501" w:rsidRDefault="002D7125" w:rsidP="00CD3B61">
      <w:pPr>
        <w:pStyle w:val="Heading1"/>
        <w:numPr>
          <w:ilvl w:val="0"/>
          <w:numId w:val="0"/>
        </w:numPr>
      </w:pPr>
      <w:r>
        <w:rPr>
          <w:rFonts w:ascii="Arial" w:hAnsi="Arial" w:cs="Arial"/>
        </w:rPr>
        <w:br w:type="page"/>
      </w:r>
      <w:bookmarkStart w:id="20" w:name="_Toc349051188"/>
      <w:r w:rsidR="006C0138">
        <w:lastRenderedPageBreak/>
        <w:t>APPENDIX: REFERENCES</w:t>
      </w:r>
      <w:bookmarkEnd w:id="20"/>
    </w:p>
    <w:p w:rsidR="006C0138" w:rsidRPr="00CD3B61" w:rsidRDefault="006C0138" w:rsidP="00CD3B61">
      <w:pPr>
        <w:jc w:val="left"/>
        <w:rPr>
          <w:sz w:val="22"/>
        </w:rPr>
      </w:pPr>
      <w:r w:rsidRPr="00CD3B61">
        <w:rPr>
          <w:sz w:val="22"/>
        </w:rPr>
        <w:t xml:space="preserve">Knaub, J.R., Jr. (2005), Using Prediction-Oriented Software for Survey Estimation - Part III: Full-Scale Study of Variance and Bias,” </w:t>
      </w:r>
      <w:proofErr w:type="spellStart"/>
      <w:r w:rsidRPr="00CD3B61">
        <w:rPr>
          <w:sz w:val="22"/>
        </w:rPr>
        <w:t>InterStat</w:t>
      </w:r>
      <w:proofErr w:type="spellEnd"/>
      <w:r w:rsidRPr="00CD3B61">
        <w:rPr>
          <w:sz w:val="22"/>
        </w:rPr>
        <w:t xml:space="preserve">, October 2005, </w:t>
      </w:r>
      <w:hyperlink r:id="rId16" w:history="1">
        <w:r w:rsidRPr="00CD3B61">
          <w:rPr>
            <w:rStyle w:val="Hyperlink"/>
            <w:sz w:val="22"/>
          </w:rPr>
          <w:t>http://interstat.statjournals.net/YEAR/2001/abstracts/0106001.php?Name=106001</w:t>
        </w:r>
      </w:hyperlink>
    </w:p>
    <w:p w:rsidR="006C0138" w:rsidRPr="00CD3B61" w:rsidRDefault="006C0138" w:rsidP="00CD3B61">
      <w:pPr>
        <w:jc w:val="left"/>
        <w:rPr>
          <w:sz w:val="22"/>
        </w:rPr>
      </w:pPr>
      <w:proofErr w:type="gramStart"/>
      <w:r w:rsidRPr="00CD3B61">
        <w:rPr>
          <w:sz w:val="22"/>
        </w:rPr>
        <w:t xml:space="preserve">Knaub, J.R., Jr. (2005), “Classical Ratio Estimator,” </w:t>
      </w:r>
      <w:proofErr w:type="spellStart"/>
      <w:r w:rsidRPr="00CD3B61">
        <w:rPr>
          <w:sz w:val="22"/>
        </w:rPr>
        <w:t>InterStat</w:t>
      </w:r>
      <w:proofErr w:type="spellEnd"/>
      <w:r w:rsidRPr="00CD3B61">
        <w:rPr>
          <w:sz w:val="22"/>
        </w:rPr>
        <w:t xml:space="preserve">, October 2005, </w:t>
      </w:r>
      <w:hyperlink r:id="rId17" w:history="1">
        <w:r w:rsidRPr="00CD3B61">
          <w:rPr>
            <w:rStyle w:val="Hyperlink"/>
            <w:sz w:val="22"/>
          </w:rPr>
          <w:t>http://interstat.statjournals.net/YEAR/2005/abstracts/0510004.php?Name=510004</w:t>
        </w:r>
      </w:hyperlink>
      <w:r w:rsidRPr="00CD3B61">
        <w:rPr>
          <w:sz w:val="22"/>
        </w:rPr>
        <w:t>.</w:t>
      </w:r>
      <w:proofErr w:type="gramEnd"/>
    </w:p>
    <w:p w:rsidR="006C0138" w:rsidRPr="00CD3B61" w:rsidRDefault="006C0138" w:rsidP="00CD3B61">
      <w:pPr>
        <w:jc w:val="left"/>
        <w:rPr>
          <w:sz w:val="22"/>
        </w:rPr>
      </w:pPr>
      <w:proofErr w:type="gramStart"/>
      <w:r w:rsidRPr="00CD3B61">
        <w:rPr>
          <w:sz w:val="22"/>
        </w:rPr>
        <w:t xml:space="preserve">Knaub, J.R., Jr. (2007), “Cutoff Sampling and Inference,” </w:t>
      </w:r>
      <w:proofErr w:type="spellStart"/>
      <w:r w:rsidRPr="00CD3B61">
        <w:rPr>
          <w:sz w:val="22"/>
        </w:rPr>
        <w:t>InterStat</w:t>
      </w:r>
      <w:proofErr w:type="spellEnd"/>
      <w:r w:rsidRPr="00CD3B61">
        <w:rPr>
          <w:sz w:val="22"/>
        </w:rPr>
        <w:t xml:space="preserve">, April 2007, </w:t>
      </w:r>
      <w:hyperlink r:id="rId18" w:history="1">
        <w:r w:rsidRPr="00CD3B61">
          <w:rPr>
            <w:rStyle w:val="Hyperlink"/>
            <w:sz w:val="22"/>
          </w:rPr>
          <w:t>http://interstat.statjournals.net/YEAR/2007/abstracts/0704006.php?Name=704006</w:t>
        </w:r>
      </w:hyperlink>
      <w:r w:rsidRPr="00CD3B61">
        <w:rPr>
          <w:sz w:val="22"/>
        </w:rPr>
        <w:t>.</w:t>
      </w:r>
      <w:proofErr w:type="gramEnd"/>
    </w:p>
    <w:p w:rsidR="006C0138" w:rsidRPr="00CD3B61" w:rsidRDefault="006C0138" w:rsidP="00CD3B61">
      <w:pPr>
        <w:jc w:val="left"/>
        <w:rPr>
          <w:sz w:val="22"/>
        </w:rPr>
      </w:pPr>
      <w:r w:rsidRPr="00CD3B61">
        <w:rPr>
          <w:sz w:val="22"/>
        </w:rPr>
        <w:t xml:space="preserve">Knaub J.R., Jr. (2010). </w:t>
      </w:r>
      <w:proofErr w:type="gramStart"/>
      <w:r w:rsidRPr="00CD3B61">
        <w:rPr>
          <w:sz w:val="22"/>
        </w:rPr>
        <w:t xml:space="preserve">On model-failure when estimating from cutoff samples, </w:t>
      </w:r>
      <w:proofErr w:type="spellStart"/>
      <w:r w:rsidRPr="00CD3B61">
        <w:rPr>
          <w:sz w:val="22"/>
        </w:rPr>
        <w:t>InterStat</w:t>
      </w:r>
      <w:proofErr w:type="spellEnd"/>
      <w:r w:rsidRPr="00CD3B61">
        <w:rPr>
          <w:sz w:val="22"/>
        </w:rPr>
        <w:t xml:space="preserve">, July 2010, </w:t>
      </w:r>
      <w:hyperlink r:id="rId19" w:history="1">
        <w:r w:rsidRPr="00CD3B61">
          <w:rPr>
            <w:rStyle w:val="Hyperlink"/>
            <w:sz w:val="22"/>
          </w:rPr>
          <w:t>http://interstat.statjournals.net/YEAR/2010/abstracts/1007005.php?Name=007005</w:t>
        </w:r>
      </w:hyperlink>
      <w:r w:rsidRPr="00CD3B61">
        <w:rPr>
          <w:sz w:val="22"/>
        </w:rPr>
        <w:t>.</w:t>
      </w:r>
      <w:proofErr w:type="gramEnd"/>
    </w:p>
    <w:p w:rsidR="006C0138" w:rsidRPr="00CD3B61" w:rsidRDefault="006C0138" w:rsidP="00CD3B61">
      <w:pPr>
        <w:jc w:val="left"/>
        <w:rPr>
          <w:sz w:val="22"/>
        </w:rPr>
      </w:pPr>
      <w:r w:rsidRPr="00CD3B61">
        <w:rPr>
          <w:sz w:val="22"/>
        </w:rPr>
        <w:t xml:space="preserve">Knaub J.R., Jr. (2011). “Cutoff Sampling and Total Survey Error,” Journal of Official Statistics, Letter to the Editor, 27(1), pp. 135-138. </w:t>
      </w:r>
      <w:hyperlink r:id="rId20" w:history="1">
        <w:r w:rsidRPr="00CD3B61">
          <w:rPr>
            <w:rStyle w:val="Hyperlink"/>
            <w:sz w:val="22"/>
          </w:rPr>
          <w:t>http://www.jos.nu/Articles/abstract.asp?article=271135</w:t>
        </w:r>
      </w:hyperlink>
    </w:p>
    <w:p w:rsidR="002D7125" w:rsidRPr="00CD3B61" w:rsidRDefault="006C0138" w:rsidP="00CD3B61">
      <w:pPr>
        <w:jc w:val="left"/>
        <w:rPr>
          <w:sz w:val="22"/>
        </w:rPr>
      </w:pPr>
      <w:r w:rsidRPr="00CD3B61">
        <w:rPr>
          <w:sz w:val="22"/>
        </w:rPr>
        <w:t>Royall, R.M</w:t>
      </w:r>
      <w:proofErr w:type="gramStart"/>
      <w:r w:rsidRPr="00CD3B61">
        <w:rPr>
          <w:sz w:val="22"/>
        </w:rPr>
        <w:t>.(</w:t>
      </w:r>
      <w:proofErr w:type="gramEnd"/>
      <w:r w:rsidRPr="00CD3B61">
        <w:rPr>
          <w:sz w:val="22"/>
        </w:rPr>
        <w:t xml:space="preserve">1970), “On Finite Population Sampling Theory Under Certain Linear Regression Models,” </w:t>
      </w:r>
      <w:proofErr w:type="spellStart"/>
      <w:r w:rsidRPr="00CD3B61">
        <w:rPr>
          <w:sz w:val="22"/>
        </w:rPr>
        <w:t>Biometrika</w:t>
      </w:r>
      <w:proofErr w:type="spellEnd"/>
      <w:r w:rsidRPr="00CD3B61">
        <w:rPr>
          <w:sz w:val="22"/>
        </w:rPr>
        <w:t xml:space="preserve">, </w:t>
      </w:r>
      <w:proofErr w:type="spellStart"/>
      <w:r w:rsidRPr="00CD3B61">
        <w:rPr>
          <w:sz w:val="22"/>
        </w:rPr>
        <w:t>Vol</w:t>
      </w:r>
      <w:proofErr w:type="spellEnd"/>
      <w:r w:rsidRPr="00CD3B61">
        <w:rPr>
          <w:sz w:val="22"/>
        </w:rPr>
        <w:t xml:space="preserve"> 57, pp. 377-387.</w:t>
      </w:r>
    </w:p>
    <w:sectPr w:rsidR="002D7125" w:rsidRPr="00CD3B61" w:rsidSect="00481A10">
      <w:headerReference w:type="default" r:id="rId2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F86" w:rsidRDefault="00E81F86" w:rsidP="00151E02">
      <w:pPr>
        <w:spacing w:before="0" w:after="0"/>
      </w:pPr>
      <w:r>
        <w:separator/>
      </w:r>
    </w:p>
  </w:endnote>
  <w:endnote w:type="continuationSeparator" w:id="0">
    <w:p w:rsidR="00E81F86" w:rsidRDefault="00E81F86" w:rsidP="00151E0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8B" w:rsidRDefault="00DC0B8B">
    <w:pPr>
      <w:pStyle w:val="Footer"/>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036383"/>
      <w:docPartObj>
        <w:docPartGallery w:val="Page Numbers (Bottom of Page)"/>
        <w:docPartUnique/>
      </w:docPartObj>
    </w:sdtPr>
    <w:sdtEndPr>
      <w:rPr>
        <w:sz w:val="18"/>
        <w:szCs w:val="18"/>
      </w:rPr>
    </w:sdtEndPr>
    <w:sdtContent>
      <w:sdt>
        <w:sdtPr>
          <w:rPr>
            <w:sz w:val="18"/>
            <w:szCs w:val="18"/>
          </w:rPr>
          <w:id w:val="278036384"/>
          <w:docPartObj>
            <w:docPartGallery w:val="Page Numbers (Top of Page)"/>
            <w:docPartUnique/>
          </w:docPartObj>
        </w:sdtPr>
        <w:sdtContent>
          <w:p w:rsidR="00DC0B8B" w:rsidRPr="00280B07" w:rsidRDefault="00DC0B8B" w:rsidP="00280B07">
            <w:pPr>
              <w:pStyle w:val="Footer"/>
              <w:tabs>
                <w:tab w:val="clear" w:pos="4680"/>
                <w:tab w:val="clear" w:pos="9360"/>
              </w:tabs>
              <w:spacing w:before="100" w:after="100"/>
              <w:jc w:val="center"/>
              <w:rPr>
                <w:sz w:val="18"/>
                <w:szCs w:val="18"/>
              </w:rPr>
            </w:pPr>
            <w:proofErr w:type="spellStart"/>
            <w:proofErr w:type="gramStart"/>
            <w:r w:rsidRPr="00280B07">
              <w:rPr>
                <w:sz w:val="18"/>
                <w:szCs w:val="18"/>
              </w:rPr>
              <w:t>i</w:t>
            </w:r>
            <w:proofErr w:type="spellEnd"/>
            <w:proofErr w:type="gramEnd"/>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78036349"/>
      <w:docPartObj>
        <w:docPartGallery w:val="Page Numbers (Bottom of Page)"/>
        <w:docPartUnique/>
      </w:docPartObj>
    </w:sdtPr>
    <w:sdtContent>
      <w:sdt>
        <w:sdtPr>
          <w:rPr>
            <w:sz w:val="18"/>
            <w:szCs w:val="18"/>
          </w:rPr>
          <w:id w:val="278036350"/>
          <w:docPartObj>
            <w:docPartGallery w:val="Page Numbers (Top of Page)"/>
            <w:docPartUnique/>
          </w:docPartObj>
        </w:sdtPr>
        <w:sdtContent>
          <w:p w:rsidR="00DC0B8B" w:rsidRPr="00151E02" w:rsidRDefault="00DC0B8B" w:rsidP="00280B07">
            <w:pPr>
              <w:pStyle w:val="Footer"/>
              <w:tabs>
                <w:tab w:val="clear" w:pos="4680"/>
                <w:tab w:val="clear" w:pos="9360"/>
                <w:tab w:val="center" w:pos="8640"/>
              </w:tabs>
              <w:spacing w:before="100" w:after="100"/>
              <w:jc w:val="right"/>
              <w:rPr>
                <w:sz w:val="18"/>
                <w:szCs w:val="18"/>
              </w:rPr>
            </w:pPr>
            <w:r w:rsidRPr="00151E02">
              <w:rPr>
                <w:sz w:val="18"/>
                <w:szCs w:val="18"/>
              </w:rPr>
              <w:t>Forms EIA-23L/23S/64A [OMB 1905-0057]</w:t>
            </w:r>
            <w:r w:rsidRPr="00151E02">
              <w:rPr>
                <w:sz w:val="18"/>
                <w:szCs w:val="18"/>
              </w:rPr>
              <w:tab/>
              <w:t xml:space="preserve">Page </w:t>
            </w:r>
            <w:r w:rsidR="00212984" w:rsidRPr="00151E02">
              <w:rPr>
                <w:sz w:val="18"/>
                <w:szCs w:val="18"/>
              </w:rPr>
              <w:fldChar w:fldCharType="begin"/>
            </w:r>
            <w:r w:rsidRPr="00151E02">
              <w:rPr>
                <w:sz w:val="18"/>
                <w:szCs w:val="18"/>
              </w:rPr>
              <w:instrText xml:space="preserve"> PAGE </w:instrText>
            </w:r>
            <w:r w:rsidR="00212984" w:rsidRPr="00151E02">
              <w:rPr>
                <w:sz w:val="18"/>
                <w:szCs w:val="18"/>
              </w:rPr>
              <w:fldChar w:fldCharType="separate"/>
            </w:r>
            <w:r w:rsidR="002F157F">
              <w:rPr>
                <w:noProof/>
                <w:sz w:val="18"/>
                <w:szCs w:val="18"/>
              </w:rPr>
              <w:t>14</w:t>
            </w:r>
            <w:r w:rsidR="00212984" w:rsidRPr="00151E02">
              <w:rPr>
                <w:sz w:val="18"/>
                <w:szCs w:val="18"/>
              </w:rPr>
              <w:fldChar w:fldCharType="end"/>
            </w:r>
            <w:r w:rsidRPr="00151E02">
              <w:rPr>
                <w:sz w:val="18"/>
                <w:szCs w:val="18"/>
              </w:rPr>
              <w:t xml:space="preserve"> of</w:t>
            </w:r>
            <w:r>
              <w:rPr>
                <w:sz w:val="18"/>
                <w:szCs w:val="18"/>
              </w:rPr>
              <w:t xml:space="preserve"> 14</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F86" w:rsidRDefault="00E81F86" w:rsidP="00151E02">
      <w:pPr>
        <w:spacing w:before="0" w:after="0"/>
      </w:pPr>
      <w:r>
        <w:separator/>
      </w:r>
    </w:p>
  </w:footnote>
  <w:footnote w:type="continuationSeparator" w:id="0">
    <w:p w:rsidR="00E81F86" w:rsidRDefault="00E81F86" w:rsidP="00151E0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8B" w:rsidRPr="00280B07" w:rsidRDefault="00DC0B8B" w:rsidP="00280B07">
    <w:pPr>
      <w:pStyle w:val="Header"/>
      <w:tabs>
        <w:tab w:val="clear" w:pos="4680"/>
      </w:tabs>
      <w:spacing w:before="100" w:after="100"/>
      <w:rPr>
        <w:sz w:val="18"/>
        <w:szCs w:val="18"/>
      </w:rPr>
    </w:pPr>
    <w:r w:rsidRPr="00280B07">
      <w:rPr>
        <w:sz w:val="18"/>
        <w:szCs w:val="18"/>
      </w:rPr>
      <w:t>Supporting Statement, Part B: Forms EIA-23L/23S/64A</w:t>
    </w:r>
    <w:r w:rsidRPr="00280B07">
      <w:rPr>
        <w:sz w:val="18"/>
        <w:szCs w:val="18"/>
      </w:rPr>
      <w:tab/>
      <w:t>February 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8B" w:rsidRPr="00280B07" w:rsidRDefault="00DC0B8B" w:rsidP="00280B07">
    <w:pPr>
      <w:pStyle w:val="Header"/>
      <w:tabs>
        <w:tab w:val="clear" w:pos="4680"/>
        <w:tab w:val="clear" w:pos="9360"/>
      </w:tabs>
      <w:spacing w:before="100" w:after="100"/>
      <w:jc w:val="right"/>
      <w:rPr>
        <w:sz w:val="18"/>
        <w:szCs w:val="18"/>
      </w:rPr>
    </w:pPr>
    <w:r w:rsidRPr="00280B07">
      <w:rPr>
        <w:sz w:val="18"/>
        <w:szCs w:val="18"/>
      </w:rPr>
      <w:t>Supporting Statement, Part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717"/>
    <w:multiLevelType w:val="hybridMultilevel"/>
    <w:tmpl w:val="3042CCDE"/>
    <w:lvl w:ilvl="0" w:tplc="0F3013A8">
      <w:start w:val="2"/>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50957"/>
    <w:multiLevelType w:val="hybridMultilevel"/>
    <w:tmpl w:val="8BE40ADE"/>
    <w:lvl w:ilvl="0" w:tplc="2376E05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4781F"/>
    <w:multiLevelType w:val="hybridMultilevel"/>
    <w:tmpl w:val="847AD036"/>
    <w:lvl w:ilvl="0" w:tplc="2C88ABE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818D0"/>
    <w:multiLevelType w:val="multilevel"/>
    <w:tmpl w:val="E6D8AB58"/>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B207BBB"/>
    <w:multiLevelType w:val="hybridMultilevel"/>
    <w:tmpl w:val="03A6622E"/>
    <w:lvl w:ilvl="0" w:tplc="D6E23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135DF8"/>
    <w:multiLevelType w:val="multilevel"/>
    <w:tmpl w:val="96B04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5D4209"/>
    <w:multiLevelType w:val="multilevel"/>
    <w:tmpl w:val="59EE70DA"/>
    <w:lvl w:ilvl="0">
      <w:start w:val="2"/>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3."/>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5022BA4"/>
    <w:multiLevelType w:val="multilevel"/>
    <w:tmpl w:val="7EB69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81D3E4E"/>
    <w:multiLevelType w:val="hybridMultilevel"/>
    <w:tmpl w:val="DE34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F161DB"/>
    <w:multiLevelType w:val="multilevel"/>
    <w:tmpl w:val="D0D0645A"/>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2"/>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1E891E21"/>
    <w:multiLevelType w:val="multilevel"/>
    <w:tmpl w:val="109A4D70"/>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none"/>
      <w:lvlText w:val="2.1."/>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4520EC1"/>
    <w:multiLevelType w:val="hybridMultilevel"/>
    <w:tmpl w:val="8B6E7D14"/>
    <w:lvl w:ilvl="0" w:tplc="CD46A90C">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25F2F1E"/>
    <w:multiLevelType w:val="multilevel"/>
    <w:tmpl w:val="471A2E32"/>
    <w:lvl w:ilvl="0">
      <w:start w:val="1"/>
      <w:numFmt w:val="decimal"/>
      <w:lvlText w:val="%1.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34344C2"/>
    <w:multiLevelType w:val="multilevel"/>
    <w:tmpl w:val="D6369042"/>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nsid w:val="340D0850"/>
    <w:multiLevelType w:val="hybridMultilevel"/>
    <w:tmpl w:val="A8B23B40"/>
    <w:lvl w:ilvl="0" w:tplc="EFCC21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F96613"/>
    <w:multiLevelType w:val="hybridMultilevel"/>
    <w:tmpl w:val="6BBC9F84"/>
    <w:lvl w:ilvl="0" w:tplc="72B861B8">
      <w:start w:val="1"/>
      <w:numFmt w:val="decimal"/>
      <w:lvlText w:val="%1."/>
      <w:lvlJc w:val="left"/>
      <w:pPr>
        <w:ind w:left="720" w:hanging="360"/>
      </w:pPr>
      <w:rPr>
        <w:rFonts w:hint="default"/>
      </w:rPr>
    </w:lvl>
    <w:lvl w:ilvl="1" w:tplc="6EEA60FA" w:tentative="1">
      <w:start w:val="1"/>
      <w:numFmt w:val="lowerLetter"/>
      <w:lvlText w:val="%2."/>
      <w:lvlJc w:val="left"/>
      <w:pPr>
        <w:ind w:left="1440" w:hanging="360"/>
      </w:pPr>
    </w:lvl>
    <w:lvl w:ilvl="2" w:tplc="C33AFF1E" w:tentative="1">
      <w:start w:val="1"/>
      <w:numFmt w:val="lowerRoman"/>
      <w:lvlText w:val="%3."/>
      <w:lvlJc w:val="right"/>
      <w:pPr>
        <w:ind w:left="2160" w:hanging="180"/>
      </w:pPr>
    </w:lvl>
    <w:lvl w:ilvl="3" w:tplc="E87A32E0" w:tentative="1">
      <w:start w:val="1"/>
      <w:numFmt w:val="decimal"/>
      <w:lvlText w:val="%4."/>
      <w:lvlJc w:val="left"/>
      <w:pPr>
        <w:ind w:left="2880" w:hanging="360"/>
      </w:pPr>
    </w:lvl>
    <w:lvl w:ilvl="4" w:tplc="021A2020" w:tentative="1">
      <w:start w:val="1"/>
      <w:numFmt w:val="lowerLetter"/>
      <w:lvlText w:val="%5."/>
      <w:lvlJc w:val="left"/>
      <w:pPr>
        <w:ind w:left="3600" w:hanging="360"/>
      </w:pPr>
    </w:lvl>
    <w:lvl w:ilvl="5" w:tplc="C964AA0E" w:tentative="1">
      <w:start w:val="1"/>
      <w:numFmt w:val="lowerRoman"/>
      <w:lvlText w:val="%6."/>
      <w:lvlJc w:val="right"/>
      <w:pPr>
        <w:ind w:left="4320" w:hanging="180"/>
      </w:pPr>
    </w:lvl>
    <w:lvl w:ilvl="6" w:tplc="807E0A6A" w:tentative="1">
      <w:start w:val="1"/>
      <w:numFmt w:val="decimal"/>
      <w:lvlText w:val="%7."/>
      <w:lvlJc w:val="left"/>
      <w:pPr>
        <w:ind w:left="5040" w:hanging="360"/>
      </w:pPr>
    </w:lvl>
    <w:lvl w:ilvl="7" w:tplc="D9BE11AC" w:tentative="1">
      <w:start w:val="1"/>
      <w:numFmt w:val="lowerLetter"/>
      <w:lvlText w:val="%8."/>
      <w:lvlJc w:val="left"/>
      <w:pPr>
        <w:ind w:left="5760" w:hanging="360"/>
      </w:pPr>
    </w:lvl>
    <w:lvl w:ilvl="8" w:tplc="603A2AF6" w:tentative="1">
      <w:start w:val="1"/>
      <w:numFmt w:val="lowerRoman"/>
      <w:lvlText w:val="%9."/>
      <w:lvlJc w:val="right"/>
      <w:pPr>
        <w:ind w:left="6480" w:hanging="180"/>
      </w:pPr>
    </w:lvl>
  </w:abstractNum>
  <w:abstractNum w:abstractNumId="16">
    <w:nsid w:val="37A57C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A383792"/>
    <w:multiLevelType w:val="hybridMultilevel"/>
    <w:tmpl w:val="39A4AE08"/>
    <w:lvl w:ilvl="0" w:tplc="57F0E4AA">
      <w:start w:val="1"/>
      <w:numFmt w:val="bullet"/>
      <w:lvlText w:val=""/>
      <w:lvlJc w:val="left"/>
      <w:pPr>
        <w:ind w:left="720" w:hanging="360"/>
      </w:pPr>
      <w:rPr>
        <w:rFonts w:ascii="Symbol" w:hAnsi="Symbol" w:hint="default"/>
      </w:rPr>
    </w:lvl>
    <w:lvl w:ilvl="1" w:tplc="F3B62F22">
      <w:start w:val="1"/>
      <w:numFmt w:val="bullet"/>
      <w:lvlText w:val="o"/>
      <w:lvlJc w:val="left"/>
      <w:pPr>
        <w:ind w:left="1440" w:hanging="360"/>
      </w:pPr>
      <w:rPr>
        <w:rFonts w:ascii="Courier New" w:hAnsi="Courier New" w:cs="Courier New" w:hint="default"/>
      </w:rPr>
    </w:lvl>
    <w:lvl w:ilvl="2" w:tplc="7D1E4988">
      <w:start w:val="1"/>
      <w:numFmt w:val="bullet"/>
      <w:lvlText w:val=""/>
      <w:lvlJc w:val="left"/>
      <w:pPr>
        <w:ind w:left="2160" w:hanging="360"/>
      </w:pPr>
      <w:rPr>
        <w:rFonts w:ascii="Wingdings" w:hAnsi="Wingdings" w:hint="default"/>
      </w:rPr>
    </w:lvl>
    <w:lvl w:ilvl="3" w:tplc="7382DAE2" w:tentative="1">
      <w:start w:val="1"/>
      <w:numFmt w:val="bullet"/>
      <w:lvlText w:val=""/>
      <w:lvlJc w:val="left"/>
      <w:pPr>
        <w:ind w:left="2880" w:hanging="360"/>
      </w:pPr>
      <w:rPr>
        <w:rFonts w:ascii="Symbol" w:hAnsi="Symbol" w:hint="default"/>
      </w:rPr>
    </w:lvl>
    <w:lvl w:ilvl="4" w:tplc="C988DDEA" w:tentative="1">
      <w:start w:val="1"/>
      <w:numFmt w:val="bullet"/>
      <w:lvlText w:val="o"/>
      <w:lvlJc w:val="left"/>
      <w:pPr>
        <w:ind w:left="3600" w:hanging="360"/>
      </w:pPr>
      <w:rPr>
        <w:rFonts w:ascii="Courier New" w:hAnsi="Courier New" w:cs="Courier New" w:hint="default"/>
      </w:rPr>
    </w:lvl>
    <w:lvl w:ilvl="5" w:tplc="D5F48850" w:tentative="1">
      <w:start w:val="1"/>
      <w:numFmt w:val="bullet"/>
      <w:lvlText w:val=""/>
      <w:lvlJc w:val="left"/>
      <w:pPr>
        <w:ind w:left="4320" w:hanging="360"/>
      </w:pPr>
      <w:rPr>
        <w:rFonts w:ascii="Wingdings" w:hAnsi="Wingdings" w:hint="default"/>
      </w:rPr>
    </w:lvl>
    <w:lvl w:ilvl="6" w:tplc="E188A160" w:tentative="1">
      <w:start w:val="1"/>
      <w:numFmt w:val="bullet"/>
      <w:lvlText w:val=""/>
      <w:lvlJc w:val="left"/>
      <w:pPr>
        <w:ind w:left="5040" w:hanging="360"/>
      </w:pPr>
      <w:rPr>
        <w:rFonts w:ascii="Symbol" w:hAnsi="Symbol" w:hint="default"/>
      </w:rPr>
    </w:lvl>
    <w:lvl w:ilvl="7" w:tplc="7D106C98" w:tentative="1">
      <w:start w:val="1"/>
      <w:numFmt w:val="bullet"/>
      <w:lvlText w:val="o"/>
      <w:lvlJc w:val="left"/>
      <w:pPr>
        <w:ind w:left="5760" w:hanging="360"/>
      </w:pPr>
      <w:rPr>
        <w:rFonts w:ascii="Courier New" w:hAnsi="Courier New" w:cs="Courier New" w:hint="default"/>
      </w:rPr>
    </w:lvl>
    <w:lvl w:ilvl="8" w:tplc="74904C1A" w:tentative="1">
      <w:start w:val="1"/>
      <w:numFmt w:val="bullet"/>
      <w:lvlText w:val=""/>
      <w:lvlJc w:val="left"/>
      <w:pPr>
        <w:ind w:left="6480" w:hanging="360"/>
      </w:pPr>
      <w:rPr>
        <w:rFonts w:ascii="Wingdings" w:hAnsi="Wingdings" w:hint="default"/>
      </w:rPr>
    </w:lvl>
  </w:abstractNum>
  <w:abstractNum w:abstractNumId="18">
    <w:nsid w:val="3A767C86"/>
    <w:multiLevelType w:val="multilevel"/>
    <w:tmpl w:val="BD26E448"/>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AA45653"/>
    <w:multiLevelType w:val="multilevel"/>
    <w:tmpl w:val="109A4D70"/>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none"/>
      <w:lvlText w:val="2.1."/>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3C9E35BC"/>
    <w:multiLevelType w:val="multilevel"/>
    <w:tmpl w:val="0AD04D40"/>
    <w:lvl w:ilvl="0">
      <w:start w:val="1"/>
      <w:numFmt w:val="decimal"/>
      <w:lvlText w:val="%1"/>
      <w:lvlJc w:val="left"/>
      <w:pPr>
        <w:ind w:left="432" w:hanging="432"/>
      </w:pPr>
      <w:rPr>
        <w:rFonts w:hint="default"/>
      </w:rPr>
    </w:lvl>
    <w:lvl w:ilvl="1">
      <w:start w:val="1"/>
      <w:numFmt w:val="decimal"/>
      <w:lvlText w:val="%2%1."/>
      <w:lvlJc w:val="left"/>
      <w:pPr>
        <w:ind w:left="576" w:hanging="576"/>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3CF07402"/>
    <w:multiLevelType w:val="hybridMultilevel"/>
    <w:tmpl w:val="7EB6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CE490C"/>
    <w:multiLevelType w:val="multilevel"/>
    <w:tmpl w:val="A184DA9C"/>
    <w:lvl w:ilvl="0">
      <w:start w:val="1"/>
      <w:numFmt w:val="upperLetter"/>
      <w:lvlText w:val="%1."/>
      <w:lvlJc w:val="left"/>
      <w:pPr>
        <w:ind w:left="360" w:hanging="360"/>
      </w:pPr>
      <w:rPr>
        <w:rFonts w:hint="default"/>
      </w:rPr>
    </w:lvl>
    <w:lvl w:ilvl="1">
      <w:start w:val="1"/>
      <w:numFmt w:val="decimal"/>
      <w:pStyle w:val="Heading2"/>
      <w:lvlText w:val="%1.%2."/>
      <w:lvlJc w:val="left"/>
      <w:pPr>
        <w:ind w:left="792" w:hanging="79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C286E65"/>
    <w:multiLevelType w:val="multilevel"/>
    <w:tmpl w:val="5D96BB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576063"/>
    <w:multiLevelType w:val="multilevel"/>
    <w:tmpl w:val="3A1A6CC4"/>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7B6D1C"/>
    <w:multiLevelType w:val="hybridMultilevel"/>
    <w:tmpl w:val="2CCE2B58"/>
    <w:lvl w:ilvl="0" w:tplc="9F50522C">
      <w:start w:val="1"/>
      <w:numFmt w:val="bullet"/>
      <w:lvlText w:val=""/>
      <w:lvlJc w:val="left"/>
      <w:pPr>
        <w:ind w:left="720" w:hanging="360"/>
      </w:pPr>
      <w:rPr>
        <w:rFonts w:ascii="Symbol" w:hAnsi="Symbol" w:hint="default"/>
      </w:rPr>
    </w:lvl>
    <w:lvl w:ilvl="1" w:tplc="CF14EB12" w:tentative="1">
      <w:start w:val="1"/>
      <w:numFmt w:val="bullet"/>
      <w:lvlText w:val="o"/>
      <w:lvlJc w:val="left"/>
      <w:pPr>
        <w:ind w:left="1440" w:hanging="360"/>
      </w:pPr>
      <w:rPr>
        <w:rFonts w:ascii="Courier New" w:hAnsi="Courier New" w:cs="Courier New" w:hint="default"/>
      </w:rPr>
    </w:lvl>
    <w:lvl w:ilvl="2" w:tplc="D8BE9FB8" w:tentative="1">
      <w:start w:val="1"/>
      <w:numFmt w:val="bullet"/>
      <w:lvlText w:val=""/>
      <w:lvlJc w:val="left"/>
      <w:pPr>
        <w:ind w:left="2160" w:hanging="360"/>
      </w:pPr>
      <w:rPr>
        <w:rFonts w:ascii="Wingdings" w:hAnsi="Wingdings" w:hint="default"/>
      </w:rPr>
    </w:lvl>
    <w:lvl w:ilvl="3" w:tplc="EB0268EA" w:tentative="1">
      <w:start w:val="1"/>
      <w:numFmt w:val="bullet"/>
      <w:lvlText w:val=""/>
      <w:lvlJc w:val="left"/>
      <w:pPr>
        <w:ind w:left="2880" w:hanging="360"/>
      </w:pPr>
      <w:rPr>
        <w:rFonts w:ascii="Symbol" w:hAnsi="Symbol" w:hint="default"/>
      </w:rPr>
    </w:lvl>
    <w:lvl w:ilvl="4" w:tplc="552600B2" w:tentative="1">
      <w:start w:val="1"/>
      <w:numFmt w:val="bullet"/>
      <w:lvlText w:val="o"/>
      <w:lvlJc w:val="left"/>
      <w:pPr>
        <w:ind w:left="3600" w:hanging="360"/>
      </w:pPr>
      <w:rPr>
        <w:rFonts w:ascii="Courier New" w:hAnsi="Courier New" w:cs="Courier New" w:hint="default"/>
      </w:rPr>
    </w:lvl>
    <w:lvl w:ilvl="5" w:tplc="20E427E2" w:tentative="1">
      <w:start w:val="1"/>
      <w:numFmt w:val="bullet"/>
      <w:lvlText w:val=""/>
      <w:lvlJc w:val="left"/>
      <w:pPr>
        <w:ind w:left="4320" w:hanging="360"/>
      </w:pPr>
      <w:rPr>
        <w:rFonts w:ascii="Wingdings" w:hAnsi="Wingdings" w:hint="default"/>
      </w:rPr>
    </w:lvl>
    <w:lvl w:ilvl="6" w:tplc="5BBA51E8" w:tentative="1">
      <w:start w:val="1"/>
      <w:numFmt w:val="bullet"/>
      <w:lvlText w:val=""/>
      <w:lvlJc w:val="left"/>
      <w:pPr>
        <w:ind w:left="5040" w:hanging="360"/>
      </w:pPr>
      <w:rPr>
        <w:rFonts w:ascii="Symbol" w:hAnsi="Symbol" w:hint="default"/>
      </w:rPr>
    </w:lvl>
    <w:lvl w:ilvl="7" w:tplc="A24491DC" w:tentative="1">
      <w:start w:val="1"/>
      <w:numFmt w:val="bullet"/>
      <w:lvlText w:val="o"/>
      <w:lvlJc w:val="left"/>
      <w:pPr>
        <w:ind w:left="5760" w:hanging="360"/>
      </w:pPr>
      <w:rPr>
        <w:rFonts w:ascii="Courier New" w:hAnsi="Courier New" w:cs="Courier New" w:hint="default"/>
      </w:rPr>
    </w:lvl>
    <w:lvl w:ilvl="8" w:tplc="4B3CC08A" w:tentative="1">
      <w:start w:val="1"/>
      <w:numFmt w:val="bullet"/>
      <w:lvlText w:val=""/>
      <w:lvlJc w:val="left"/>
      <w:pPr>
        <w:ind w:left="6480" w:hanging="360"/>
      </w:pPr>
      <w:rPr>
        <w:rFonts w:ascii="Wingdings" w:hAnsi="Wingdings" w:hint="default"/>
      </w:rPr>
    </w:lvl>
  </w:abstractNum>
  <w:abstractNum w:abstractNumId="26">
    <w:nsid w:val="523E59AF"/>
    <w:multiLevelType w:val="hybridMultilevel"/>
    <w:tmpl w:val="ADB8F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56A1A71"/>
    <w:multiLevelType w:val="multilevel"/>
    <w:tmpl w:val="96B04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B41043"/>
    <w:multiLevelType w:val="hybridMultilevel"/>
    <w:tmpl w:val="3DFA0E92"/>
    <w:lvl w:ilvl="0" w:tplc="EF46F16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8A2704"/>
    <w:multiLevelType w:val="hybridMultilevel"/>
    <w:tmpl w:val="088E702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nsid w:val="61FD01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2A80286"/>
    <w:multiLevelType w:val="multilevel"/>
    <w:tmpl w:val="96B04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57875BF"/>
    <w:multiLevelType w:val="hybridMultilevel"/>
    <w:tmpl w:val="DE920B7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D60F80"/>
    <w:multiLevelType w:val="multilevel"/>
    <w:tmpl w:val="25F8149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2"/>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729D3766"/>
    <w:multiLevelType w:val="multilevel"/>
    <w:tmpl w:val="C65C74F2"/>
    <w:lvl w:ilvl="0">
      <w:start w:val="2"/>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3."/>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74C31B5E"/>
    <w:multiLevelType w:val="multilevel"/>
    <w:tmpl w:val="7748A664"/>
    <w:lvl w:ilvl="0">
      <w:start w:val="1"/>
      <w:numFmt w:val="none"/>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6">
    <w:nsid w:val="74F2325B"/>
    <w:multiLevelType w:val="multilevel"/>
    <w:tmpl w:val="F01279A4"/>
    <w:lvl w:ilvl="0">
      <w:start w:val="2"/>
      <w:numFmt w:val="decimal"/>
      <w:lvlText w:val="%1"/>
      <w:lvlJc w:val="left"/>
      <w:pPr>
        <w:ind w:left="432" w:hanging="432"/>
      </w:pPr>
      <w:rPr>
        <w:rFonts w:hint="default"/>
      </w:rPr>
    </w:lvl>
    <w:lvl w:ilvl="1">
      <w:start w:val="1"/>
      <w:numFmt w:val="decimal"/>
      <w:lvlText w:val="%1."/>
      <w:lvlJc w:val="left"/>
      <w:pPr>
        <w:ind w:left="576" w:hanging="576"/>
      </w:pPr>
      <w:rPr>
        <w:rFonts w:hint="default"/>
      </w:rPr>
    </w:lvl>
    <w:lvl w:ilvl="2">
      <w:start w:val="1"/>
      <w:numFmt w:val="decimal"/>
      <w:lvlText w:val="%1.%3."/>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76A6702"/>
    <w:multiLevelType w:val="multilevel"/>
    <w:tmpl w:val="0FF82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85A79C0"/>
    <w:multiLevelType w:val="multilevel"/>
    <w:tmpl w:val="2CCE2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A584509"/>
    <w:multiLevelType w:val="hybridMultilevel"/>
    <w:tmpl w:val="2338A3A8"/>
    <w:lvl w:ilvl="0" w:tplc="0896C3D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682049"/>
    <w:multiLevelType w:val="multilevel"/>
    <w:tmpl w:val="4F5AA6A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1.%2."/>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nsid w:val="7D6141FB"/>
    <w:multiLevelType w:val="multilevel"/>
    <w:tmpl w:val="25F8149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2"/>
      <w:lvlJc w:val="left"/>
      <w:pPr>
        <w:ind w:left="720" w:hanging="720"/>
      </w:pPr>
      <w:rPr>
        <w:rFonts w:ascii="Times New Roman" w:hAnsi="Times New Roman" w:cs="Times New Roman" w:hint="default"/>
        <w:bCs w:val="0"/>
        <w:i w:val="0"/>
        <w:iCs w:val="0"/>
        <w:caps w:val="0"/>
        <w:smallCaps w:val="0"/>
        <w:strike w:val="0"/>
        <w:dstrike w:val="0"/>
        <w:vanish w:val="0"/>
        <w:spacing w:val="0"/>
        <w:kern w:val="0"/>
        <w:position w:val="0"/>
        <w:u w:val="none"/>
        <w:vertAlign w:val="baseline"/>
        <w:em w:val="no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40"/>
  </w:num>
  <w:num w:numId="3">
    <w:abstractNumId w:val="40"/>
  </w:num>
  <w:num w:numId="4">
    <w:abstractNumId w:val="40"/>
  </w:num>
  <w:num w:numId="5">
    <w:abstractNumId w:val="40"/>
  </w:num>
  <w:num w:numId="6">
    <w:abstractNumId w:val="40"/>
  </w:num>
  <w:num w:numId="7">
    <w:abstractNumId w:val="40"/>
  </w:num>
  <w:num w:numId="8">
    <w:abstractNumId w:val="40"/>
  </w:num>
  <w:num w:numId="9">
    <w:abstractNumId w:val="40"/>
  </w:num>
  <w:num w:numId="10">
    <w:abstractNumId w:val="8"/>
  </w:num>
  <w:num w:numId="11">
    <w:abstractNumId w:val="17"/>
  </w:num>
  <w:num w:numId="12">
    <w:abstractNumId w:val="26"/>
  </w:num>
  <w:num w:numId="13">
    <w:abstractNumId w:val="25"/>
  </w:num>
  <w:num w:numId="14">
    <w:abstractNumId w:val="15"/>
  </w:num>
  <w:num w:numId="15">
    <w:abstractNumId w:val="29"/>
  </w:num>
  <w:num w:numId="16">
    <w:abstractNumId w:val="21"/>
  </w:num>
  <w:num w:numId="17">
    <w:abstractNumId w:val="2"/>
  </w:num>
  <w:num w:numId="18">
    <w:abstractNumId w:val="12"/>
  </w:num>
  <w:num w:numId="19">
    <w:abstractNumId w:val="23"/>
  </w:num>
  <w:num w:numId="20">
    <w:abstractNumId w:val="30"/>
  </w:num>
  <w:num w:numId="21">
    <w:abstractNumId w:val="39"/>
  </w:num>
  <w:num w:numId="22">
    <w:abstractNumId w:val="24"/>
  </w:num>
  <w:num w:numId="23">
    <w:abstractNumId w:val="39"/>
    <w:lvlOverride w:ilvl="0">
      <w:startOverride w:val="1"/>
    </w:lvlOverride>
  </w:num>
  <w:num w:numId="24">
    <w:abstractNumId w:val="7"/>
  </w:num>
  <w:num w:numId="25">
    <w:abstractNumId w:val="32"/>
  </w:num>
  <w:num w:numId="26">
    <w:abstractNumId w:val="11"/>
  </w:num>
  <w:num w:numId="27">
    <w:abstractNumId w:val="18"/>
  </w:num>
  <w:num w:numId="28">
    <w:abstractNumId w:val="37"/>
  </w:num>
  <w:num w:numId="29">
    <w:abstractNumId w:val="14"/>
  </w:num>
  <w:num w:numId="30">
    <w:abstractNumId w:val="4"/>
  </w:num>
  <w:num w:numId="31">
    <w:abstractNumId w:val="13"/>
  </w:num>
  <w:num w:numId="32">
    <w:abstractNumId w:val="40"/>
  </w:num>
  <w:num w:numId="33">
    <w:abstractNumId w:val="3"/>
  </w:num>
  <w:num w:numId="34">
    <w:abstractNumId w:val="9"/>
  </w:num>
  <w:num w:numId="35">
    <w:abstractNumId w:val="19"/>
  </w:num>
  <w:num w:numId="36">
    <w:abstractNumId w:val="10"/>
  </w:num>
  <w:num w:numId="37">
    <w:abstractNumId w:val="9"/>
  </w:num>
  <w:num w:numId="38">
    <w:abstractNumId w:val="33"/>
  </w:num>
  <w:num w:numId="3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36"/>
  </w:num>
  <w:num w:numId="42">
    <w:abstractNumId w:val="34"/>
  </w:num>
  <w:num w:numId="43">
    <w:abstractNumId w:val="6"/>
  </w:num>
  <w:num w:numId="44">
    <w:abstractNumId w:val="28"/>
  </w:num>
  <w:num w:numId="45">
    <w:abstractNumId w:val="5"/>
  </w:num>
  <w:num w:numId="46">
    <w:abstractNumId w:val="6"/>
  </w:num>
  <w:num w:numId="47">
    <w:abstractNumId w:val="6"/>
  </w:num>
  <w:num w:numId="48">
    <w:abstractNumId w:val="38"/>
  </w:num>
  <w:num w:numId="49">
    <w:abstractNumId w:val="27"/>
  </w:num>
  <w:num w:numId="50">
    <w:abstractNumId w:val="31"/>
  </w:num>
  <w:num w:numId="51">
    <w:abstractNumId w:val="1"/>
  </w:num>
  <w:num w:numId="52">
    <w:abstractNumId w:val="35"/>
  </w:num>
  <w:num w:numId="53">
    <w:abstractNumId w:val="0"/>
  </w:num>
  <w:num w:numId="54">
    <w:abstractNumId w:val="22"/>
  </w:num>
  <w:num w:numId="55">
    <w:abstractNumId w:val="1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360"/>
  <w:characterSpacingControl w:val="doNotCompress"/>
  <w:footnotePr>
    <w:footnote w:id="-1"/>
    <w:footnote w:id="0"/>
  </w:footnotePr>
  <w:endnotePr>
    <w:endnote w:id="-1"/>
    <w:endnote w:id="0"/>
  </w:endnotePr>
  <w:compat/>
  <w:docVars>
    <w:docVar w:name="_AMO_XmlVersion" w:val="Empty"/>
  </w:docVars>
  <w:rsids>
    <w:rsidRoot w:val="00151E02"/>
    <w:rsid w:val="00023C01"/>
    <w:rsid w:val="00024DC1"/>
    <w:rsid w:val="00030F07"/>
    <w:rsid w:val="000349F5"/>
    <w:rsid w:val="00043569"/>
    <w:rsid w:val="0004628D"/>
    <w:rsid w:val="000615CC"/>
    <w:rsid w:val="000A23D8"/>
    <w:rsid w:val="000A2423"/>
    <w:rsid w:val="000A24D0"/>
    <w:rsid w:val="000A3C5C"/>
    <w:rsid w:val="000A72E4"/>
    <w:rsid w:val="000D0CBA"/>
    <w:rsid w:val="000D447E"/>
    <w:rsid w:val="000D5B4A"/>
    <w:rsid w:val="000E7E17"/>
    <w:rsid w:val="0011417D"/>
    <w:rsid w:val="00116502"/>
    <w:rsid w:val="00122B5E"/>
    <w:rsid w:val="0012540C"/>
    <w:rsid w:val="0013225D"/>
    <w:rsid w:val="00136567"/>
    <w:rsid w:val="00150D4D"/>
    <w:rsid w:val="00151E02"/>
    <w:rsid w:val="001551BC"/>
    <w:rsid w:val="00172E45"/>
    <w:rsid w:val="001730E4"/>
    <w:rsid w:val="00186A59"/>
    <w:rsid w:val="001937B5"/>
    <w:rsid w:val="00196566"/>
    <w:rsid w:val="001A24FB"/>
    <w:rsid w:val="001A45E2"/>
    <w:rsid w:val="001B7CE6"/>
    <w:rsid w:val="001C324A"/>
    <w:rsid w:val="001C3704"/>
    <w:rsid w:val="001C4B2C"/>
    <w:rsid w:val="001E7D41"/>
    <w:rsid w:val="001F3D59"/>
    <w:rsid w:val="001F49F9"/>
    <w:rsid w:val="001F5E92"/>
    <w:rsid w:val="001F648C"/>
    <w:rsid w:val="002010F3"/>
    <w:rsid w:val="00202A8C"/>
    <w:rsid w:val="002053A8"/>
    <w:rsid w:val="00211352"/>
    <w:rsid w:val="00212984"/>
    <w:rsid w:val="00221811"/>
    <w:rsid w:val="00225A15"/>
    <w:rsid w:val="00227A89"/>
    <w:rsid w:val="0023104F"/>
    <w:rsid w:val="00240B4F"/>
    <w:rsid w:val="00242926"/>
    <w:rsid w:val="00243D90"/>
    <w:rsid w:val="002457FD"/>
    <w:rsid w:val="00245CDE"/>
    <w:rsid w:val="00251D3B"/>
    <w:rsid w:val="00253B9A"/>
    <w:rsid w:val="002673ED"/>
    <w:rsid w:val="002736E6"/>
    <w:rsid w:val="00280B07"/>
    <w:rsid w:val="002901C9"/>
    <w:rsid w:val="00293D36"/>
    <w:rsid w:val="002A04A2"/>
    <w:rsid w:val="002A7E84"/>
    <w:rsid w:val="002A7F95"/>
    <w:rsid w:val="002B6C62"/>
    <w:rsid w:val="002C1243"/>
    <w:rsid w:val="002C4819"/>
    <w:rsid w:val="002C602C"/>
    <w:rsid w:val="002D0086"/>
    <w:rsid w:val="002D02AB"/>
    <w:rsid w:val="002D53E5"/>
    <w:rsid w:val="002D6F1E"/>
    <w:rsid w:val="002D7125"/>
    <w:rsid w:val="002F157F"/>
    <w:rsid w:val="002F1870"/>
    <w:rsid w:val="00302AE2"/>
    <w:rsid w:val="003057B1"/>
    <w:rsid w:val="00311900"/>
    <w:rsid w:val="00313501"/>
    <w:rsid w:val="0031663C"/>
    <w:rsid w:val="003220A9"/>
    <w:rsid w:val="00327BFB"/>
    <w:rsid w:val="00335166"/>
    <w:rsid w:val="00341880"/>
    <w:rsid w:val="00341B2E"/>
    <w:rsid w:val="00342FA1"/>
    <w:rsid w:val="003508C9"/>
    <w:rsid w:val="0035127D"/>
    <w:rsid w:val="00363180"/>
    <w:rsid w:val="003671E7"/>
    <w:rsid w:val="00370C88"/>
    <w:rsid w:val="003711BF"/>
    <w:rsid w:val="0037213E"/>
    <w:rsid w:val="0037299F"/>
    <w:rsid w:val="003741A7"/>
    <w:rsid w:val="00374791"/>
    <w:rsid w:val="00377986"/>
    <w:rsid w:val="00382C7D"/>
    <w:rsid w:val="00383026"/>
    <w:rsid w:val="003851BC"/>
    <w:rsid w:val="003853F6"/>
    <w:rsid w:val="00390A15"/>
    <w:rsid w:val="003935DC"/>
    <w:rsid w:val="003A3E32"/>
    <w:rsid w:val="003A3F1F"/>
    <w:rsid w:val="003B0E63"/>
    <w:rsid w:val="003B442C"/>
    <w:rsid w:val="003B5E8E"/>
    <w:rsid w:val="003B68E6"/>
    <w:rsid w:val="003B6DBB"/>
    <w:rsid w:val="003C5731"/>
    <w:rsid w:val="003C5A38"/>
    <w:rsid w:val="003D21EF"/>
    <w:rsid w:val="003E4058"/>
    <w:rsid w:val="00403ACA"/>
    <w:rsid w:val="00403BF3"/>
    <w:rsid w:val="0040442D"/>
    <w:rsid w:val="004055A8"/>
    <w:rsid w:val="00423C13"/>
    <w:rsid w:val="004314C8"/>
    <w:rsid w:val="0043215D"/>
    <w:rsid w:val="00432263"/>
    <w:rsid w:val="00440361"/>
    <w:rsid w:val="0044662E"/>
    <w:rsid w:val="00446CA1"/>
    <w:rsid w:val="00447891"/>
    <w:rsid w:val="0045206A"/>
    <w:rsid w:val="004546D8"/>
    <w:rsid w:val="0046392F"/>
    <w:rsid w:val="0046428C"/>
    <w:rsid w:val="00467D73"/>
    <w:rsid w:val="00471BB3"/>
    <w:rsid w:val="00472A5C"/>
    <w:rsid w:val="00472AFF"/>
    <w:rsid w:val="0048058E"/>
    <w:rsid w:val="00481A10"/>
    <w:rsid w:val="00495849"/>
    <w:rsid w:val="004C73A3"/>
    <w:rsid w:val="004E1EF3"/>
    <w:rsid w:val="004F2495"/>
    <w:rsid w:val="004F742A"/>
    <w:rsid w:val="00511753"/>
    <w:rsid w:val="0051403C"/>
    <w:rsid w:val="00516817"/>
    <w:rsid w:val="00517A36"/>
    <w:rsid w:val="00532719"/>
    <w:rsid w:val="00542B2E"/>
    <w:rsid w:val="005454AD"/>
    <w:rsid w:val="00561793"/>
    <w:rsid w:val="0057547B"/>
    <w:rsid w:val="00580E66"/>
    <w:rsid w:val="005A5C6D"/>
    <w:rsid w:val="005B086C"/>
    <w:rsid w:val="005C1436"/>
    <w:rsid w:val="005C7AA0"/>
    <w:rsid w:val="005E4CF5"/>
    <w:rsid w:val="005E61BC"/>
    <w:rsid w:val="006070DB"/>
    <w:rsid w:val="006141F5"/>
    <w:rsid w:val="0061775D"/>
    <w:rsid w:val="006326E1"/>
    <w:rsid w:val="00633A9F"/>
    <w:rsid w:val="00637B07"/>
    <w:rsid w:val="00637CB6"/>
    <w:rsid w:val="0064564C"/>
    <w:rsid w:val="00662369"/>
    <w:rsid w:val="00666D0D"/>
    <w:rsid w:val="00674E3B"/>
    <w:rsid w:val="00676BB7"/>
    <w:rsid w:val="00680462"/>
    <w:rsid w:val="00691D94"/>
    <w:rsid w:val="006A3094"/>
    <w:rsid w:val="006A3D78"/>
    <w:rsid w:val="006B4EFD"/>
    <w:rsid w:val="006C0138"/>
    <w:rsid w:val="006D4CC6"/>
    <w:rsid w:val="006D5D01"/>
    <w:rsid w:val="006D7AC8"/>
    <w:rsid w:val="006E5CF3"/>
    <w:rsid w:val="006E7AB3"/>
    <w:rsid w:val="006F5435"/>
    <w:rsid w:val="00700082"/>
    <w:rsid w:val="00701B60"/>
    <w:rsid w:val="00702381"/>
    <w:rsid w:val="00703335"/>
    <w:rsid w:val="00721517"/>
    <w:rsid w:val="007315EA"/>
    <w:rsid w:val="00732B3B"/>
    <w:rsid w:val="00746859"/>
    <w:rsid w:val="00752DBC"/>
    <w:rsid w:val="00754EDE"/>
    <w:rsid w:val="00755805"/>
    <w:rsid w:val="007765F1"/>
    <w:rsid w:val="007846DB"/>
    <w:rsid w:val="0079033B"/>
    <w:rsid w:val="007A31B2"/>
    <w:rsid w:val="007C0157"/>
    <w:rsid w:val="007C3413"/>
    <w:rsid w:val="007D1C3B"/>
    <w:rsid w:val="007E6A1A"/>
    <w:rsid w:val="007F29D5"/>
    <w:rsid w:val="00801A89"/>
    <w:rsid w:val="0081210E"/>
    <w:rsid w:val="00815DD6"/>
    <w:rsid w:val="00820544"/>
    <w:rsid w:val="00823E0E"/>
    <w:rsid w:val="0082535F"/>
    <w:rsid w:val="00825B04"/>
    <w:rsid w:val="00833D2B"/>
    <w:rsid w:val="0086451F"/>
    <w:rsid w:val="0086552F"/>
    <w:rsid w:val="008713B3"/>
    <w:rsid w:val="008775EE"/>
    <w:rsid w:val="00880621"/>
    <w:rsid w:val="00890DE4"/>
    <w:rsid w:val="008A5FE5"/>
    <w:rsid w:val="008B0687"/>
    <w:rsid w:val="008B788B"/>
    <w:rsid w:val="008C68F5"/>
    <w:rsid w:val="008D6004"/>
    <w:rsid w:val="008E431D"/>
    <w:rsid w:val="008E672F"/>
    <w:rsid w:val="008F0801"/>
    <w:rsid w:val="009106F0"/>
    <w:rsid w:val="0091295D"/>
    <w:rsid w:val="0092295C"/>
    <w:rsid w:val="009265F3"/>
    <w:rsid w:val="00926C7F"/>
    <w:rsid w:val="00936BF4"/>
    <w:rsid w:val="009574E9"/>
    <w:rsid w:val="00960211"/>
    <w:rsid w:val="00962E63"/>
    <w:rsid w:val="009673C2"/>
    <w:rsid w:val="00967BBD"/>
    <w:rsid w:val="00976207"/>
    <w:rsid w:val="00977123"/>
    <w:rsid w:val="009776DC"/>
    <w:rsid w:val="00986435"/>
    <w:rsid w:val="009A22C8"/>
    <w:rsid w:val="009A343D"/>
    <w:rsid w:val="009A426E"/>
    <w:rsid w:val="009C0836"/>
    <w:rsid w:val="009C2665"/>
    <w:rsid w:val="009D059D"/>
    <w:rsid w:val="009E4EF0"/>
    <w:rsid w:val="009E507B"/>
    <w:rsid w:val="009E6CA9"/>
    <w:rsid w:val="009E7B53"/>
    <w:rsid w:val="00A00C12"/>
    <w:rsid w:val="00A2547A"/>
    <w:rsid w:val="00A25746"/>
    <w:rsid w:val="00A342AC"/>
    <w:rsid w:val="00A5058D"/>
    <w:rsid w:val="00A50F0A"/>
    <w:rsid w:val="00A51433"/>
    <w:rsid w:val="00A619CA"/>
    <w:rsid w:val="00A651C1"/>
    <w:rsid w:val="00A657D5"/>
    <w:rsid w:val="00A70C61"/>
    <w:rsid w:val="00A72C5B"/>
    <w:rsid w:val="00A730B1"/>
    <w:rsid w:val="00A81241"/>
    <w:rsid w:val="00A936C9"/>
    <w:rsid w:val="00A960FE"/>
    <w:rsid w:val="00AA1DEB"/>
    <w:rsid w:val="00AB2D6A"/>
    <w:rsid w:val="00AB7EF6"/>
    <w:rsid w:val="00AC0752"/>
    <w:rsid w:val="00AE65C1"/>
    <w:rsid w:val="00AF2A6A"/>
    <w:rsid w:val="00AF746B"/>
    <w:rsid w:val="00AF7E64"/>
    <w:rsid w:val="00B063B8"/>
    <w:rsid w:val="00B15447"/>
    <w:rsid w:val="00B15CAF"/>
    <w:rsid w:val="00B25FCF"/>
    <w:rsid w:val="00B27A21"/>
    <w:rsid w:val="00B35E75"/>
    <w:rsid w:val="00B54CD7"/>
    <w:rsid w:val="00B56DFD"/>
    <w:rsid w:val="00B6039F"/>
    <w:rsid w:val="00B62C72"/>
    <w:rsid w:val="00B6469B"/>
    <w:rsid w:val="00B9517E"/>
    <w:rsid w:val="00BA4B27"/>
    <w:rsid w:val="00BB6F52"/>
    <w:rsid w:val="00BC3FF3"/>
    <w:rsid w:val="00BC4799"/>
    <w:rsid w:val="00BD1CE3"/>
    <w:rsid w:val="00BD7BC8"/>
    <w:rsid w:val="00BF1D88"/>
    <w:rsid w:val="00BF2EA1"/>
    <w:rsid w:val="00BF58A2"/>
    <w:rsid w:val="00C10102"/>
    <w:rsid w:val="00C111E2"/>
    <w:rsid w:val="00C1201A"/>
    <w:rsid w:val="00C12583"/>
    <w:rsid w:val="00C153E5"/>
    <w:rsid w:val="00C32372"/>
    <w:rsid w:val="00C34956"/>
    <w:rsid w:val="00C42174"/>
    <w:rsid w:val="00C42189"/>
    <w:rsid w:val="00C43F02"/>
    <w:rsid w:val="00C45A49"/>
    <w:rsid w:val="00C45B59"/>
    <w:rsid w:val="00C47FE9"/>
    <w:rsid w:val="00C578FE"/>
    <w:rsid w:val="00C6298C"/>
    <w:rsid w:val="00C72728"/>
    <w:rsid w:val="00C73897"/>
    <w:rsid w:val="00C74207"/>
    <w:rsid w:val="00C81ED7"/>
    <w:rsid w:val="00C93E85"/>
    <w:rsid w:val="00CA006A"/>
    <w:rsid w:val="00CA0DE6"/>
    <w:rsid w:val="00CA1321"/>
    <w:rsid w:val="00CA54F7"/>
    <w:rsid w:val="00CA55CF"/>
    <w:rsid w:val="00CB5637"/>
    <w:rsid w:val="00CC035B"/>
    <w:rsid w:val="00CC616F"/>
    <w:rsid w:val="00CD0E7A"/>
    <w:rsid w:val="00CD3B61"/>
    <w:rsid w:val="00CD6533"/>
    <w:rsid w:val="00CD7C2E"/>
    <w:rsid w:val="00CE3BB3"/>
    <w:rsid w:val="00CE50F5"/>
    <w:rsid w:val="00CE7974"/>
    <w:rsid w:val="00CF70F7"/>
    <w:rsid w:val="00D06916"/>
    <w:rsid w:val="00D23CA3"/>
    <w:rsid w:val="00D23E10"/>
    <w:rsid w:val="00D325E6"/>
    <w:rsid w:val="00D34240"/>
    <w:rsid w:val="00D53BD1"/>
    <w:rsid w:val="00D73000"/>
    <w:rsid w:val="00D84427"/>
    <w:rsid w:val="00D85F76"/>
    <w:rsid w:val="00D930AF"/>
    <w:rsid w:val="00DB1583"/>
    <w:rsid w:val="00DB3D87"/>
    <w:rsid w:val="00DB7E0C"/>
    <w:rsid w:val="00DC0B8B"/>
    <w:rsid w:val="00DD0BB2"/>
    <w:rsid w:val="00DD6264"/>
    <w:rsid w:val="00DF2740"/>
    <w:rsid w:val="00DF3B52"/>
    <w:rsid w:val="00DF78E4"/>
    <w:rsid w:val="00E00A64"/>
    <w:rsid w:val="00E02BC3"/>
    <w:rsid w:val="00E14E24"/>
    <w:rsid w:val="00E17EBE"/>
    <w:rsid w:val="00E2057D"/>
    <w:rsid w:val="00E27287"/>
    <w:rsid w:val="00E42AC7"/>
    <w:rsid w:val="00E47731"/>
    <w:rsid w:val="00E47F96"/>
    <w:rsid w:val="00E63A95"/>
    <w:rsid w:val="00E671DD"/>
    <w:rsid w:val="00E76FB1"/>
    <w:rsid w:val="00E81F86"/>
    <w:rsid w:val="00E83757"/>
    <w:rsid w:val="00E93FE5"/>
    <w:rsid w:val="00E96DC8"/>
    <w:rsid w:val="00EA1C2B"/>
    <w:rsid w:val="00EB5661"/>
    <w:rsid w:val="00EB7A04"/>
    <w:rsid w:val="00EC10DC"/>
    <w:rsid w:val="00EC7B3F"/>
    <w:rsid w:val="00ED1A10"/>
    <w:rsid w:val="00EE10EA"/>
    <w:rsid w:val="00EE5C23"/>
    <w:rsid w:val="00F006AE"/>
    <w:rsid w:val="00F05BCC"/>
    <w:rsid w:val="00F0752A"/>
    <w:rsid w:val="00F31DE6"/>
    <w:rsid w:val="00F40615"/>
    <w:rsid w:val="00F434CC"/>
    <w:rsid w:val="00F4511D"/>
    <w:rsid w:val="00F46B9E"/>
    <w:rsid w:val="00F50B91"/>
    <w:rsid w:val="00F50D6C"/>
    <w:rsid w:val="00F54211"/>
    <w:rsid w:val="00F63633"/>
    <w:rsid w:val="00F64918"/>
    <w:rsid w:val="00F74FC2"/>
    <w:rsid w:val="00F87FC4"/>
    <w:rsid w:val="00FA5CB3"/>
    <w:rsid w:val="00FB0381"/>
    <w:rsid w:val="00FC1C0B"/>
    <w:rsid w:val="00FD2B9E"/>
    <w:rsid w:val="00FD3CE4"/>
    <w:rsid w:val="00FD5D9A"/>
    <w:rsid w:val="00FE20BC"/>
    <w:rsid w:val="00FE3BA0"/>
    <w:rsid w:val="00FF38B5"/>
    <w:rsid w:val="00FF7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02"/>
    <w:pPr>
      <w:tabs>
        <w:tab w:val="left" w:pos="360"/>
      </w:tabs>
      <w:spacing w:before="100" w:beforeAutospacing="1" w:after="100" w:afterAutospacing="1"/>
      <w:jc w:val="both"/>
    </w:pPr>
    <w:rPr>
      <w:rFonts w:eastAsia="Calibri"/>
      <w:sz w:val="24"/>
      <w:szCs w:val="22"/>
    </w:rPr>
  </w:style>
  <w:style w:type="paragraph" w:styleId="Heading1">
    <w:name w:val="heading 1"/>
    <w:basedOn w:val="ListParagraph"/>
    <w:next w:val="Normal"/>
    <w:link w:val="Heading1Char"/>
    <w:uiPriority w:val="9"/>
    <w:qFormat/>
    <w:rsid w:val="00C6298C"/>
    <w:pPr>
      <w:numPr>
        <w:numId w:val="53"/>
      </w:numPr>
      <w:tabs>
        <w:tab w:val="clear" w:pos="360"/>
      </w:tabs>
      <w:ind w:left="0" w:firstLine="0"/>
      <w:contextualSpacing w:val="0"/>
      <w:outlineLvl w:val="0"/>
    </w:pPr>
    <w:rPr>
      <w:rFonts w:eastAsiaTheme="majorEastAsia" w:cstheme="majorBidi"/>
      <w:b/>
      <w:sz w:val="28"/>
      <w:szCs w:val="28"/>
    </w:rPr>
  </w:style>
  <w:style w:type="paragraph" w:styleId="Heading2">
    <w:name w:val="heading 2"/>
    <w:basedOn w:val="ListParagraph"/>
    <w:next w:val="Normal"/>
    <w:link w:val="Heading2Char"/>
    <w:uiPriority w:val="9"/>
    <w:qFormat/>
    <w:rsid w:val="00C6298C"/>
    <w:pPr>
      <w:numPr>
        <w:ilvl w:val="1"/>
        <w:numId w:val="54"/>
      </w:numPr>
      <w:tabs>
        <w:tab w:val="clear" w:pos="360"/>
      </w:tabs>
      <w:spacing w:after="0" w:afterAutospacing="0"/>
      <w:contextualSpacing w:val="0"/>
      <w:outlineLvl w:val="1"/>
    </w:pPr>
    <w:rPr>
      <w:b/>
      <w:sz w:val="24"/>
      <w:szCs w:val="24"/>
    </w:rPr>
  </w:style>
  <w:style w:type="paragraph" w:styleId="Heading3">
    <w:name w:val="heading 3"/>
    <w:basedOn w:val="Normal"/>
    <w:next w:val="Normal"/>
    <w:link w:val="Heading3Char"/>
    <w:uiPriority w:val="9"/>
    <w:qFormat/>
    <w:rsid w:val="00C6298C"/>
    <w:pPr>
      <w:keepNext/>
      <w:numPr>
        <w:ilvl w:val="2"/>
        <w:numId w:val="54"/>
      </w:numPr>
      <w:tabs>
        <w:tab w:val="clear" w:pos="360"/>
      </w:tabs>
      <w:spacing w:before="240" w:beforeAutospacing="0" w:after="0" w:afterAutospacing="0"/>
      <w:ind w:left="0" w:firstLine="0"/>
      <w:outlineLvl w:val="2"/>
    </w:pPr>
    <w:rPr>
      <w:b/>
    </w:rPr>
  </w:style>
  <w:style w:type="paragraph" w:styleId="Heading4">
    <w:name w:val="heading 4"/>
    <w:basedOn w:val="Normal"/>
    <w:next w:val="Normal"/>
    <w:link w:val="Heading4Char"/>
    <w:uiPriority w:val="9"/>
    <w:unhideWhenUsed/>
    <w:qFormat/>
    <w:rsid w:val="00C93E85"/>
    <w:pPr>
      <w:keepNext/>
      <w:keepLines/>
      <w:numPr>
        <w:ilvl w:val="3"/>
        <w:numId w:val="5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3E85"/>
    <w:pPr>
      <w:keepNext/>
      <w:keepLines/>
      <w:numPr>
        <w:ilvl w:val="4"/>
        <w:numId w:val="5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93E85"/>
    <w:pPr>
      <w:keepNext/>
      <w:keepLines/>
      <w:numPr>
        <w:ilvl w:val="5"/>
        <w:numId w:val="5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93E85"/>
    <w:pPr>
      <w:keepNext/>
      <w:keepLines/>
      <w:numPr>
        <w:ilvl w:val="6"/>
        <w:numId w:val="5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93E85"/>
    <w:pPr>
      <w:keepNext/>
      <w:keepLines/>
      <w:numPr>
        <w:ilvl w:val="7"/>
        <w:numId w:val="5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E85"/>
    <w:pPr>
      <w:keepNext/>
      <w:keepLines/>
      <w:numPr>
        <w:ilvl w:val="8"/>
        <w:numId w:val="5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8C"/>
    <w:rPr>
      <w:rFonts w:eastAsiaTheme="majorEastAsia" w:cstheme="majorBidi"/>
      <w:b/>
      <w:sz w:val="28"/>
      <w:szCs w:val="28"/>
    </w:rPr>
  </w:style>
  <w:style w:type="paragraph" w:styleId="ListParagraph">
    <w:name w:val="List Paragraph"/>
    <w:basedOn w:val="Normal"/>
    <w:uiPriority w:val="34"/>
    <w:qFormat/>
    <w:rsid w:val="00C93E85"/>
    <w:pPr>
      <w:ind w:left="720"/>
      <w:contextualSpacing/>
    </w:pPr>
    <w:rPr>
      <w:sz w:val="20"/>
    </w:rPr>
  </w:style>
  <w:style w:type="character" w:customStyle="1" w:styleId="Heading2Char">
    <w:name w:val="Heading 2 Char"/>
    <w:basedOn w:val="DefaultParagraphFont"/>
    <w:link w:val="Heading2"/>
    <w:uiPriority w:val="9"/>
    <w:rsid w:val="00C6298C"/>
    <w:rPr>
      <w:rFonts w:eastAsia="Calibri"/>
      <w:b/>
      <w:sz w:val="24"/>
      <w:szCs w:val="24"/>
    </w:rPr>
  </w:style>
  <w:style w:type="character" w:customStyle="1" w:styleId="Heading3Char">
    <w:name w:val="Heading 3 Char"/>
    <w:basedOn w:val="DefaultParagraphFont"/>
    <w:link w:val="Heading3"/>
    <w:uiPriority w:val="9"/>
    <w:rsid w:val="00C6298C"/>
    <w:rPr>
      <w:rFonts w:eastAsia="Calibri"/>
      <w:b/>
      <w:sz w:val="24"/>
      <w:szCs w:val="22"/>
    </w:rPr>
  </w:style>
  <w:style w:type="character" w:customStyle="1" w:styleId="Heading4Char">
    <w:name w:val="Heading 4 Char"/>
    <w:basedOn w:val="DefaultParagraphFont"/>
    <w:link w:val="Heading4"/>
    <w:uiPriority w:val="9"/>
    <w:rsid w:val="00C93E85"/>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rsid w:val="00C93E85"/>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rsid w:val="00C93E85"/>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rsid w:val="00C93E85"/>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rsid w:val="00C93E85"/>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C93E85"/>
    <w:rPr>
      <w:rFonts w:asciiTheme="majorHAnsi" w:eastAsiaTheme="majorEastAsia" w:hAnsiTheme="majorHAnsi" w:cstheme="majorBidi"/>
      <w:i/>
      <w:iCs/>
      <w:color w:val="404040" w:themeColor="text1" w:themeTint="BF"/>
      <w:szCs w:val="22"/>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BalloonText">
    <w:name w:val="Balloon Text"/>
    <w:basedOn w:val="Normal"/>
    <w:link w:val="BalloonTextChar"/>
    <w:uiPriority w:val="99"/>
    <w:semiHidden/>
    <w:unhideWhenUsed/>
    <w:rsid w:val="00151E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02"/>
    <w:rPr>
      <w:rFonts w:ascii="Tahoma" w:eastAsia="Calibri" w:hAnsi="Tahoma" w:cs="Tahoma"/>
      <w:sz w:val="16"/>
      <w:szCs w:val="16"/>
    </w:rPr>
  </w:style>
  <w:style w:type="character" w:styleId="Hyperlink">
    <w:name w:val="Hyperlink"/>
    <w:basedOn w:val="DefaultParagraphFont"/>
    <w:uiPriority w:val="99"/>
    <w:unhideWhenUsed/>
    <w:rsid w:val="00151E02"/>
    <w:rPr>
      <w:color w:val="0000FF" w:themeColor="hyperlink"/>
      <w:u w:val="single"/>
    </w:rPr>
  </w:style>
  <w:style w:type="character" w:styleId="CommentReference">
    <w:name w:val="annotation reference"/>
    <w:basedOn w:val="DefaultParagraphFont"/>
    <w:uiPriority w:val="99"/>
    <w:semiHidden/>
    <w:unhideWhenUsed/>
    <w:rsid w:val="00151E02"/>
    <w:rPr>
      <w:sz w:val="16"/>
      <w:szCs w:val="16"/>
    </w:rPr>
  </w:style>
  <w:style w:type="paragraph" w:styleId="CommentText">
    <w:name w:val="annotation text"/>
    <w:basedOn w:val="Normal"/>
    <w:link w:val="CommentTextChar"/>
    <w:uiPriority w:val="99"/>
    <w:semiHidden/>
    <w:unhideWhenUsed/>
    <w:rsid w:val="00151E02"/>
    <w:rPr>
      <w:sz w:val="20"/>
      <w:szCs w:val="20"/>
    </w:rPr>
  </w:style>
  <w:style w:type="character" w:customStyle="1" w:styleId="CommentTextChar">
    <w:name w:val="Comment Text Char"/>
    <w:basedOn w:val="DefaultParagraphFont"/>
    <w:link w:val="CommentText"/>
    <w:uiPriority w:val="99"/>
    <w:semiHidden/>
    <w:rsid w:val="00151E02"/>
    <w:rPr>
      <w:rFonts w:eastAsia="Calibri"/>
    </w:rPr>
  </w:style>
  <w:style w:type="paragraph" w:styleId="CommentSubject">
    <w:name w:val="annotation subject"/>
    <w:basedOn w:val="CommentText"/>
    <w:next w:val="CommentText"/>
    <w:link w:val="CommentSubjectChar"/>
    <w:uiPriority w:val="99"/>
    <w:semiHidden/>
    <w:unhideWhenUsed/>
    <w:rsid w:val="00151E02"/>
    <w:rPr>
      <w:b/>
      <w:bCs/>
    </w:rPr>
  </w:style>
  <w:style w:type="character" w:customStyle="1" w:styleId="CommentSubjectChar">
    <w:name w:val="Comment Subject Char"/>
    <w:basedOn w:val="CommentTextChar"/>
    <w:link w:val="CommentSubject"/>
    <w:uiPriority w:val="99"/>
    <w:semiHidden/>
    <w:rsid w:val="00151E02"/>
    <w:rPr>
      <w:rFonts w:eastAsia="Calibri"/>
      <w:b/>
      <w:bCs/>
    </w:rPr>
  </w:style>
  <w:style w:type="paragraph" w:styleId="Revision">
    <w:name w:val="Revision"/>
    <w:hidden/>
    <w:uiPriority w:val="99"/>
    <w:semiHidden/>
    <w:rsid w:val="00151E02"/>
    <w:rPr>
      <w:rFonts w:eastAsia="Calibri"/>
      <w:sz w:val="24"/>
      <w:szCs w:val="22"/>
    </w:rPr>
  </w:style>
  <w:style w:type="character" w:styleId="PlaceholderText">
    <w:name w:val="Placeholder Text"/>
    <w:basedOn w:val="DefaultParagraphFont"/>
    <w:uiPriority w:val="99"/>
    <w:semiHidden/>
    <w:rsid w:val="00151E02"/>
    <w:rPr>
      <w:color w:val="808080"/>
    </w:rPr>
  </w:style>
  <w:style w:type="paragraph" w:styleId="Header">
    <w:name w:val="header"/>
    <w:basedOn w:val="Normal"/>
    <w:link w:val="HeaderChar"/>
    <w:uiPriority w:val="99"/>
    <w:unhideWhenUsed/>
    <w:rsid w:val="00151E02"/>
    <w:pPr>
      <w:tabs>
        <w:tab w:val="clear" w:pos="360"/>
        <w:tab w:val="center" w:pos="4680"/>
        <w:tab w:val="right" w:pos="9360"/>
      </w:tabs>
      <w:spacing w:before="0" w:after="0"/>
    </w:pPr>
  </w:style>
  <w:style w:type="character" w:customStyle="1" w:styleId="HeaderChar">
    <w:name w:val="Header Char"/>
    <w:basedOn w:val="DefaultParagraphFont"/>
    <w:link w:val="Header"/>
    <w:uiPriority w:val="99"/>
    <w:rsid w:val="00151E02"/>
    <w:rPr>
      <w:rFonts w:eastAsia="Calibri"/>
      <w:sz w:val="24"/>
      <w:szCs w:val="22"/>
    </w:rPr>
  </w:style>
  <w:style w:type="paragraph" w:styleId="Footer">
    <w:name w:val="footer"/>
    <w:basedOn w:val="Normal"/>
    <w:link w:val="FooterChar"/>
    <w:uiPriority w:val="99"/>
    <w:unhideWhenUsed/>
    <w:rsid w:val="00151E02"/>
    <w:pPr>
      <w:tabs>
        <w:tab w:val="clear" w:pos="360"/>
        <w:tab w:val="center" w:pos="4680"/>
        <w:tab w:val="right" w:pos="9360"/>
      </w:tabs>
      <w:spacing w:before="0" w:after="0"/>
    </w:pPr>
  </w:style>
  <w:style w:type="character" w:customStyle="1" w:styleId="FooterChar">
    <w:name w:val="Footer Char"/>
    <w:basedOn w:val="DefaultParagraphFont"/>
    <w:link w:val="Footer"/>
    <w:uiPriority w:val="99"/>
    <w:rsid w:val="00151E02"/>
    <w:rPr>
      <w:rFonts w:eastAsia="Calibri"/>
      <w:sz w:val="24"/>
      <w:szCs w:val="22"/>
    </w:rPr>
  </w:style>
  <w:style w:type="paragraph" w:styleId="TOC1">
    <w:name w:val="toc 1"/>
    <w:basedOn w:val="Normal"/>
    <w:next w:val="Normal"/>
    <w:autoRedefine/>
    <w:uiPriority w:val="39"/>
    <w:unhideWhenUsed/>
    <w:rsid w:val="00151E02"/>
    <w:pPr>
      <w:tabs>
        <w:tab w:val="clear" w:pos="360"/>
      </w:tabs>
    </w:pPr>
  </w:style>
  <w:style w:type="paragraph" w:styleId="TOC2">
    <w:name w:val="toc 2"/>
    <w:basedOn w:val="Normal"/>
    <w:next w:val="Normal"/>
    <w:autoRedefine/>
    <w:uiPriority w:val="39"/>
    <w:unhideWhenUsed/>
    <w:rsid w:val="00151E02"/>
    <w:pPr>
      <w:tabs>
        <w:tab w:val="clear" w:pos="360"/>
      </w:tabs>
      <w:ind w:left="240"/>
    </w:pPr>
  </w:style>
  <w:style w:type="paragraph" w:styleId="TOC3">
    <w:name w:val="toc 3"/>
    <w:basedOn w:val="Normal"/>
    <w:next w:val="Normal"/>
    <w:autoRedefine/>
    <w:uiPriority w:val="39"/>
    <w:unhideWhenUsed/>
    <w:rsid w:val="00151E02"/>
    <w:pPr>
      <w:tabs>
        <w:tab w:val="clear" w:pos="360"/>
      </w:tabs>
      <w:ind w:left="480"/>
    </w:pPr>
  </w:style>
  <w:style w:type="paragraph" w:styleId="BodyText">
    <w:name w:val="Body Text"/>
    <w:basedOn w:val="Normal"/>
    <w:link w:val="BodyTextChar"/>
    <w:uiPriority w:val="99"/>
    <w:semiHidden/>
    <w:unhideWhenUsed/>
    <w:rsid w:val="004F2495"/>
    <w:pPr>
      <w:tabs>
        <w:tab w:val="clear" w:pos="360"/>
      </w:tabs>
      <w:spacing w:before="0" w:beforeAutospacing="0" w:after="120" w:afterAutospacing="0" w:line="276" w:lineRule="auto"/>
      <w:jc w:val="left"/>
    </w:pPr>
    <w:rPr>
      <w:rFonts w:ascii="Calibri" w:hAnsi="Calibri"/>
      <w:sz w:val="22"/>
    </w:rPr>
  </w:style>
  <w:style w:type="character" w:customStyle="1" w:styleId="BodyTextChar">
    <w:name w:val="Body Text Char"/>
    <w:basedOn w:val="DefaultParagraphFont"/>
    <w:link w:val="BodyText"/>
    <w:uiPriority w:val="99"/>
    <w:semiHidden/>
    <w:rsid w:val="004F2495"/>
    <w:rPr>
      <w:rFonts w:ascii="Calibri" w:eastAsia="Calibri" w:hAnsi="Calibri"/>
      <w:sz w:val="22"/>
      <w:szCs w:val="22"/>
    </w:rPr>
  </w:style>
  <w:style w:type="character" w:styleId="FootnoteReference">
    <w:name w:val="footnote reference"/>
    <w:basedOn w:val="DefaultParagraphFont"/>
    <w:semiHidden/>
    <w:rsid w:val="005B086C"/>
    <w:rPr>
      <w:vertAlign w:val="superscript"/>
    </w:rPr>
  </w:style>
  <w:style w:type="paragraph" w:styleId="FootnoteText">
    <w:name w:val="footnote text"/>
    <w:basedOn w:val="Normal"/>
    <w:link w:val="FootnoteTextChar"/>
    <w:semiHidden/>
    <w:unhideWhenUsed/>
    <w:rsid w:val="005B086C"/>
    <w:pPr>
      <w:tabs>
        <w:tab w:val="clear" w:pos="360"/>
      </w:tabs>
      <w:spacing w:before="0" w:beforeAutospacing="0" w:after="0" w:afterAutospacing="0"/>
      <w:jc w:val="left"/>
    </w:pPr>
    <w:rPr>
      <w:rFonts w:ascii="Calibri" w:hAnsi="Calibri"/>
      <w:sz w:val="20"/>
      <w:szCs w:val="20"/>
    </w:rPr>
  </w:style>
  <w:style w:type="character" w:customStyle="1" w:styleId="FootnoteTextChar">
    <w:name w:val="Footnote Text Char"/>
    <w:basedOn w:val="DefaultParagraphFont"/>
    <w:link w:val="FootnoteText"/>
    <w:semiHidden/>
    <w:rsid w:val="005B086C"/>
    <w:rPr>
      <w:rFonts w:ascii="Calibri" w:eastAsia="Calibri" w:hAnsi="Calibri"/>
    </w:rPr>
  </w:style>
  <w:style w:type="character" w:styleId="FollowedHyperlink">
    <w:name w:val="FollowedHyperlink"/>
    <w:basedOn w:val="DefaultParagraphFont"/>
    <w:uiPriority w:val="99"/>
    <w:semiHidden/>
    <w:unhideWhenUsed/>
    <w:rsid w:val="00CB5637"/>
    <w:rPr>
      <w:color w:val="800080" w:themeColor="followedHyperlink"/>
      <w:u w:val="single"/>
    </w:rPr>
  </w:style>
  <w:style w:type="paragraph" w:styleId="Caption">
    <w:name w:val="caption"/>
    <w:basedOn w:val="Normal"/>
    <w:next w:val="Normal"/>
    <w:unhideWhenUsed/>
    <w:qFormat/>
    <w:rsid w:val="005C7AA0"/>
    <w:pPr>
      <w:spacing w:before="0"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E02"/>
    <w:pPr>
      <w:tabs>
        <w:tab w:val="left" w:pos="360"/>
      </w:tabs>
      <w:spacing w:before="100" w:beforeAutospacing="1" w:after="100" w:afterAutospacing="1"/>
      <w:jc w:val="both"/>
    </w:pPr>
    <w:rPr>
      <w:rFonts w:eastAsia="Calibri"/>
      <w:sz w:val="24"/>
      <w:szCs w:val="22"/>
    </w:rPr>
  </w:style>
  <w:style w:type="paragraph" w:styleId="Heading1">
    <w:name w:val="heading 1"/>
    <w:basedOn w:val="ListParagraph"/>
    <w:next w:val="Normal"/>
    <w:link w:val="Heading1Char"/>
    <w:uiPriority w:val="9"/>
    <w:qFormat/>
    <w:rsid w:val="00C6298C"/>
    <w:pPr>
      <w:numPr>
        <w:numId w:val="53"/>
      </w:numPr>
      <w:tabs>
        <w:tab w:val="clear" w:pos="360"/>
      </w:tabs>
      <w:ind w:left="0" w:firstLine="0"/>
      <w:contextualSpacing w:val="0"/>
      <w:outlineLvl w:val="0"/>
    </w:pPr>
    <w:rPr>
      <w:rFonts w:eastAsiaTheme="majorEastAsia" w:cstheme="majorBidi"/>
      <w:b/>
      <w:sz w:val="28"/>
      <w:szCs w:val="28"/>
    </w:rPr>
  </w:style>
  <w:style w:type="paragraph" w:styleId="Heading2">
    <w:name w:val="heading 2"/>
    <w:basedOn w:val="ListParagraph"/>
    <w:next w:val="Normal"/>
    <w:link w:val="Heading2Char"/>
    <w:uiPriority w:val="9"/>
    <w:qFormat/>
    <w:rsid w:val="00C6298C"/>
    <w:pPr>
      <w:numPr>
        <w:ilvl w:val="1"/>
        <w:numId w:val="54"/>
      </w:numPr>
      <w:tabs>
        <w:tab w:val="clear" w:pos="360"/>
      </w:tabs>
      <w:spacing w:after="0" w:afterAutospacing="0"/>
      <w:contextualSpacing w:val="0"/>
      <w:outlineLvl w:val="1"/>
    </w:pPr>
    <w:rPr>
      <w:b/>
      <w:sz w:val="24"/>
      <w:szCs w:val="24"/>
    </w:rPr>
  </w:style>
  <w:style w:type="paragraph" w:styleId="Heading3">
    <w:name w:val="heading 3"/>
    <w:basedOn w:val="Normal"/>
    <w:next w:val="Normal"/>
    <w:link w:val="Heading3Char"/>
    <w:uiPriority w:val="9"/>
    <w:qFormat/>
    <w:rsid w:val="00C6298C"/>
    <w:pPr>
      <w:keepNext/>
      <w:numPr>
        <w:ilvl w:val="2"/>
        <w:numId w:val="54"/>
      </w:numPr>
      <w:tabs>
        <w:tab w:val="clear" w:pos="360"/>
      </w:tabs>
      <w:spacing w:before="240" w:beforeAutospacing="0" w:after="0" w:afterAutospacing="0"/>
      <w:ind w:left="0" w:firstLine="0"/>
      <w:outlineLvl w:val="2"/>
    </w:pPr>
    <w:rPr>
      <w:b/>
    </w:rPr>
  </w:style>
  <w:style w:type="paragraph" w:styleId="Heading4">
    <w:name w:val="heading 4"/>
    <w:basedOn w:val="Normal"/>
    <w:next w:val="Normal"/>
    <w:link w:val="Heading4Char"/>
    <w:uiPriority w:val="9"/>
    <w:unhideWhenUsed/>
    <w:qFormat/>
    <w:rsid w:val="00C93E85"/>
    <w:pPr>
      <w:keepNext/>
      <w:keepLines/>
      <w:numPr>
        <w:ilvl w:val="3"/>
        <w:numId w:val="5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93E85"/>
    <w:pPr>
      <w:keepNext/>
      <w:keepLines/>
      <w:numPr>
        <w:ilvl w:val="4"/>
        <w:numId w:val="5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93E85"/>
    <w:pPr>
      <w:keepNext/>
      <w:keepLines/>
      <w:numPr>
        <w:ilvl w:val="5"/>
        <w:numId w:val="5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93E85"/>
    <w:pPr>
      <w:keepNext/>
      <w:keepLines/>
      <w:numPr>
        <w:ilvl w:val="6"/>
        <w:numId w:val="5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93E85"/>
    <w:pPr>
      <w:keepNext/>
      <w:keepLines/>
      <w:numPr>
        <w:ilvl w:val="7"/>
        <w:numId w:val="5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93E85"/>
    <w:pPr>
      <w:keepNext/>
      <w:keepLines/>
      <w:numPr>
        <w:ilvl w:val="8"/>
        <w:numId w:val="5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8C"/>
    <w:rPr>
      <w:rFonts w:eastAsiaTheme="majorEastAsia" w:cstheme="majorBidi"/>
      <w:b/>
      <w:sz w:val="28"/>
      <w:szCs w:val="28"/>
    </w:rPr>
  </w:style>
  <w:style w:type="paragraph" w:styleId="ListParagraph">
    <w:name w:val="List Paragraph"/>
    <w:basedOn w:val="Normal"/>
    <w:uiPriority w:val="34"/>
    <w:qFormat/>
    <w:rsid w:val="00C93E85"/>
    <w:pPr>
      <w:ind w:left="720"/>
      <w:contextualSpacing/>
    </w:pPr>
    <w:rPr>
      <w:sz w:val="20"/>
    </w:rPr>
  </w:style>
  <w:style w:type="character" w:customStyle="1" w:styleId="Heading2Char">
    <w:name w:val="Heading 2 Char"/>
    <w:basedOn w:val="DefaultParagraphFont"/>
    <w:link w:val="Heading2"/>
    <w:uiPriority w:val="9"/>
    <w:rsid w:val="00C6298C"/>
    <w:rPr>
      <w:rFonts w:eastAsia="Calibri"/>
      <w:b/>
      <w:sz w:val="24"/>
      <w:szCs w:val="24"/>
    </w:rPr>
  </w:style>
  <w:style w:type="character" w:customStyle="1" w:styleId="Heading3Char">
    <w:name w:val="Heading 3 Char"/>
    <w:basedOn w:val="DefaultParagraphFont"/>
    <w:link w:val="Heading3"/>
    <w:uiPriority w:val="9"/>
    <w:rsid w:val="00C6298C"/>
    <w:rPr>
      <w:rFonts w:eastAsia="Calibri"/>
      <w:b/>
      <w:sz w:val="24"/>
      <w:szCs w:val="22"/>
    </w:rPr>
  </w:style>
  <w:style w:type="character" w:customStyle="1" w:styleId="Heading4Char">
    <w:name w:val="Heading 4 Char"/>
    <w:basedOn w:val="DefaultParagraphFont"/>
    <w:link w:val="Heading4"/>
    <w:uiPriority w:val="9"/>
    <w:rsid w:val="00C93E85"/>
    <w:rPr>
      <w:rFonts w:asciiTheme="majorHAnsi" w:eastAsiaTheme="majorEastAsia" w:hAnsiTheme="majorHAnsi" w:cstheme="majorBidi"/>
      <w:b/>
      <w:bCs/>
      <w:i/>
      <w:iCs/>
      <w:color w:val="4F81BD" w:themeColor="accent1"/>
      <w:sz w:val="24"/>
      <w:szCs w:val="22"/>
    </w:rPr>
  </w:style>
  <w:style w:type="character" w:customStyle="1" w:styleId="Heading5Char">
    <w:name w:val="Heading 5 Char"/>
    <w:basedOn w:val="DefaultParagraphFont"/>
    <w:link w:val="Heading5"/>
    <w:uiPriority w:val="9"/>
    <w:rsid w:val="00C93E85"/>
    <w:rPr>
      <w:rFonts w:asciiTheme="majorHAnsi" w:eastAsiaTheme="majorEastAsia" w:hAnsiTheme="majorHAnsi" w:cstheme="majorBidi"/>
      <w:color w:val="243F60" w:themeColor="accent1" w:themeShade="7F"/>
      <w:sz w:val="24"/>
      <w:szCs w:val="22"/>
    </w:rPr>
  </w:style>
  <w:style w:type="character" w:customStyle="1" w:styleId="Heading6Char">
    <w:name w:val="Heading 6 Char"/>
    <w:basedOn w:val="DefaultParagraphFont"/>
    <w:link w:val="Heading6"/>
    <w:uiPriority w:val="9"/>
    <w:rsid w:val="00C93E85"/>
    <w:rPr>
      <w:rFonts w:asciiTheme="majorHAnsi" w:eastAsiaTheme="majorEastAsia" w:hAnsiTheme="majorHAnsi" w:cstheme="majorBidi"/>
      <w:i/>
      <w:iCs/>
      <w:color w:val="243F60" w:themeColor="accent1" w:themeShade="7F"/>
      <w:sz w:val="24"/>
      <w:szCs w:val="22"/>
    </w:rPr>
  </w:style>
  <w:style w:type="character" w:customStyle="1" w:styleId="Heading7Char">
    <w:name w:val="Heading 7 Char"/>
    <w:basedOn w:val="DefaultParagraphFont"/>
    <w:link w:val="Heading7"/>
    <w:uiPriority w:val="9"/>
    <w:rsid w:val="00C93E85"/>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uiPriority w:val="9"/>
    <w:rsid w:val="00C93E85"/>
    <w:rPr>
      <w:rFonts w:asciiTheme="majorHAnsi" w:eastAsiaTheme="majorEastAsia" w:hAnsiTheme="majorHAnsi" w:cstheme="majorBidi"/>
      <w:color w:val="404040" w:themeColor="text1" w:themeTint="BF"/>
      <w:szCs w:val="22"/>
    </w:rPr>
  </w:style>
  <w:style w:type="character" w:customStyle="1" w:styleId="Heading9Char">
    <w:name w:val="Heading 9 Char"/>
    <w:basedOn w:val="DefaultParagraphFont"/>
    <w:link w:val="Heading9"/>
    <w:uiPriority w:val="9"/>
    <w:semiHidden/>
    <w:rsid w:val="00C93E85"/>
    <w:rPr>
      <w:rFonts w:asciiTheme="majorHAnsi" w:eastAsiaTheme="majorEastAsia" w:hAnsiTheme="majorHAnsi" w:cstheme="majorBidi"/>
      <w:i/>
      <w:iCs/>
      <w:color w:val="404040" w:themeColor="text1" w:themeTint="BF"/>
      <w:szCs w:val="22"/>
    </w:rPr>
  </w:style>
  <w:style w:type="paragraph" w:styleId="Title">
    <w:name w:val="Title"/>
    <w:basedOn w:val="Normal"/>
    <w:link w:val="TitleChar"/>
    <w:qFormat/>
    <w:rsid w:val="00C93E85"/>
    <w:pPr>
      <w:jc w:val="center"/>
    </w:pPr>
    <w:rPr>
      <w:b/>
    </w:rPr>
  </w:style>
  <w:style w:type="character" w:customStyle="1" w:styleId="TitleChar">
    <w:name w:val="Title Char"/>
    <w:basedOn w:val="DefaultParagraphFont"/>
    <w:link w:val="Title"/>
    <w:rsid w:val="00C93E85"/>
    <w:rPr>
      <w:b/>
      <w:snapToGrid w:val="0"/>
      <w:sz w:val="24"/>
    </w:rPr>
  </w:style>
  <w:style w:type="paragraph" w:styleId="TOCHeading">
    <w:name w:val="TOC Heading"/>
    <w:basedOn w:val="Heading1"/>
    <w:next w:val="Normal"/>
    <w:uiPriority w:val="39"/>
    <w:unhideWhenUsed/>
    <w:qFormat/>
    <w:rsid w:val="00C93E85"/>
    <w:pPr>
      <w:keepNext/>
      <w:keepLines/>
      <w:spacing w:line="276" w:lineRule="auto"/>
      <w:outlineLvl w:val="9"/>
    </w:pPr>
    <w:rPr>
      <w:rFonts w:asciiTheme="majorHAnsi" w:hAnsiTheme="majorHAnsi"/>
      <w:bCs/>
      <w:color w:val="365F91" w:themeColor="accent1" w:themeShade="BF"/>
    </w:rPr>
  </w:style>
  <w:style w:type="paragraph" w:styleId="BalloonText">
    <w:name w:val="Balloon Text"/>
    <w:basedOn w:val="Normal"/>
    <w:link w:val="BalloonTextChar"/>
    <w:uiPriority w:val="99"/>
    <w:semiHidden/>
    <w:unhideWhenUsed/>
    <w:rsid w:val="00151E0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E02"/>
    <w:rPr>
      <w:rFonts w:ascii="Tahoma" w:eastAsia="Calibri" w:hAnsi="Tahoma" w:cs="Tahoma"/>
      <w:sz w:val="16"/>
      <w:szCs w:val="16"/>
    </w:rPr>
  </w:style>
  <w:style w:type="character" w:styleId="Hyperlink">
    <w:name w:val="Hyperlink"/>
    <w:basedOn w:val="DefaultParagraphFont"/>
    <w:uiPriority w:val="99"/>
    <w:unhideWhenUsed/>
    <w:rsid w:val="00151E02"/>
    <w:rPr>
      <w:color w:val="0000FF" w:themeColor="hyperlink"/>
      <w:u w:val="single"/>
    </w:rPr>
  </w:style>
  <w:style w:type="character" w:styleId="CommentReference">
    <w:name w:val="annotation reference"/>
    <w:basedOn w:val="DefaultParagraphFont"/>
    <w:uiPriority w:val="99"/>
    <w:semiHidden/>
    <w:unhideWhenUsed/>
    <w:rsid w:val="00151E02"/>
    <w:rPr>
      <w:sz w:val="16"/>
      <w:szCs w:val="16"/>
    </w:rPr>
  </w:style>
  <w:style w:type="paragraph" w:styleId="CommentText">
    <w:name w:val="annotation text"/>
    <w:basedOn w:val="Normal"/>
    <w:link w:val="CommentTextChar"/>
    <w:uiPriority w:val="99"/>
    <w:semiHidden/>
    <w:unhideWhenUsed/>
    <w:rsid w:val="00151E02"/>
    <w:rPr>
      <w:sz w:val="20"/>
      <w:szCs w:val="20"/>
    </w:rPr>
  </w:style>
  <w:style w:type="character" w:customStyle="1" w:styleId="CommentTextChar">
    <w:name w:val="Comment Text Char"/>
    <w:basedOn w:val="DefaultParagraphFont"/>
    <w:link w:val="CommentText"/>
    <w:uiPriority w:val="99"/>
    <w:semiHidden/>
    <w:rsid w:val="00151E02"/>
    <w:rPr>
      <w:rFonts w:eastAsia="Calibri"/>
    </w:rPr>
  </w:style>
  <w:style w:type="paragraph" w:styleId="CommentSubject">
    <w:name w:val="annotation subject"/>
    <w:basedOn w:val="CommentText"/>
    <w:next w:val="CommentText"/>
    <w:link w:val="CommentSubjectChar"/>
    <w:uiPriority w:val="99"/>
    <w:semiHidden/>
    <w:unhideWhenUsed/>
    <w:rsid w:val="00151E02"/>
    <w:rPr>
      <w:b/>
      <w:bCs/>
    </w:rPr>
  </w:style>
  <w:style w:type="character" w:customStyle="1" w:styleId="CommentSubjectChar">
    <w:name w:val="Comment Subject Char"/>
    <w:basedOn w:val="CommentTextChar"/>
    <w:link w:val="CommentSubject"/>
    <w:uiPriority w:val="99"/>
    <w:semiHidden/>
    <w:rsid w:val="00151E02"/>
    <w:rPr>
      <w:rFonts w:eastAsia="Calibri"/>
      <w:b/>
      <w:bCs/>
    </w:rPr>
  </w:style>
  <w:style w:type="paragraph" w:styleId="Revision">
    <w:name w:val="Revision"/>
    <w:hidden/>
    <w:uiPriority w:val="99"/>
    <w:semiHidden/>
    <w:rsid w:val="00151E02"/>
    <w:rPr>
      <w:rFonts w:eastAsia="Calibri"/>
      <w:sz w:val="24"/>
      <w:szCs w:val="22"/>
    </w:rPr>
  </w:style>
  <w:style w:type="character" w:styleId="PlaceholderText">
    <w:name w:val="Placeholder Text"/>
    <w:basedOn w:val="DefaultParagraphFont"/>
    <w:uiPriority w:val="99"/>
    <w:semiHidden/>
    <w:rsid w:val="00151E02"/>
    <w:rPr>
      <w:color w:val="808080"/>
    </w:rPr>
  </w:style>
  <w:style w:type="paragraph" w:styleId="Header">
    <w:name w:val="header"/>
    <w:basedOn w:val="Normal"/>
    <w:link w:val="HeaderChar"/>
    <w:uiPriority w:val="99"/>
    <w:unhideWhenUsed/>
    <w:rsid w:val="00151E02"/>
    <w:pPr>
      <w:tabs>
        <w:tab w:val="clear" w:pos="360"/>
        <w:tab w:val="center" w:pos="4680"/>
        <w:tab w:val="right" w:pos="9360"/>
      </w:tabs>
      <w:spacing w:before="0" w:after="0"/>
    </w:pPr>
  </w:style>
  <w:style w:type="character" w:customStyle="1" w:styleId="HeaderChar">
    <w:name w:val="Header Char"/>
    <w:basedOn w:val="DefaultParagraphFont"/>
    <w:link w:val="Header"/>
    <w:uiPriority w:val="99"/>
    <w:rsid w:val="00151E02"/>
    <w:rPr>
      <w:rFonts w:eastAsia="Calibri"/>
      <w:sz w:val="24"/>
      <w:szCs w:val="22"/>
    </w:rPr>
  </w:style>
  <w:style w:type="paragraph" w:styleId="Footer">
    <w:name w:val="footer"/>
    <w:basedOn w:val="Normal"/>
    <w:link w:val="FooterChar"/>
    <w:uiPriority w:val="99"/>
    <w:unhideWhenUsed/>
    <w:rsid w:val="00151E02"/>
    <w:pPr>
      <w:tabs>
        <w:tab w:val="clear" w:pos="360"/>
        <w:tab w:val="center" w:pos="4680"/>
        <w:tab w:val="right" w:pos="9360"/>
      </w:tabs>
      <w:spacing w:before="0" w:after="0"/>
    </w:pPr>
  </w:style>
  <w:style w:type="character" w:customStyle="1" w:styleId="FooterChar">
    <w:name w:val="Footer Char"/>
    <w:basedOn w:val="DefaultParagraphFont"/>
    <w:link w:val="Footer"/>
    <w:uiPriority w:val="99"/>
    <w:rsid w:val="00151E02"/>
    <w:rPr>
      <w:rFonts w:eastAsia="Calibri"/>
      <w:sz w:val="24"/>
      <w:szCs w:val="22"/>
    </w:rPr>
  </w:style>
  <w:style w:type="paragraph" w:styleId="TOC1">
    <w:name w:val="toc 1"/>
    <w:basedOn w:val="Normal"/>
    <w:next w:val="Normal"/>
    <w:autoRedefine/>
    <w:uiPriority w:val="39"/>
    <w:unhideWhenUsed/>
    <w:rsid w:val="00151E02"/>
    <w:pPr>
      <w:tabs>
        <w:tab w:val="clear" w:pos="360"/>
      </w:tabs>
    </w:pPr>
  </w:style>
  <w:style w:type="paragraph" w:styleId="TOC2">
    <w:name w:val="toc 2"/>
    <w:basedOn w:val="Normal"/>
    <w:next w:val="Normal"/>
    <w:autoRedefine/>
    <w:uiPriority w:val="39"/>
    <w:unhideWhenUsed/>
    <w:rsid w:val="00151E02"/>
    <w:pPr>
      <w:tabs>
        <w:tab w:val="clear" w:pos="360"/>
      </w:tabs>
      <w:ind w:left="240"/>
    </w:pPr>
  </w:style>
  <w:style w:type="paragraph" w:styleId="TOC3">
    <w:name w:val="toc 3"/>
    <w:basedOn w:val="Normal"/>
    <w:next w:val="Normal"/>
    <w:autoRedefine/>
    <w:uiPriority w:val="39"/>
    <w:unhideWhenUsed/>
    <w:rsid w:val="00151E02"/>
    <w:pPr>
      <w:tabs>
        <w:tab w:val="clear" w:pos="360"/>
      </w:tabs>
      <w:ind w:left="480"/>
    </w:pPr>
  </w:style>
  <w:style w:type="paragraph" w:styleId="BodyText">
    <w:name w:val="Body Text"/>
    <w:basedOn w:val="Normal"/>
    <w:link w:val="BodyTextChar"/>
    <w:uiPriority w:val="99"/>
    <w:semiHidden/>
    <w:unhideWhenUsed/>
    <w:rsid w:val="004F2495"/>
    <w:pPr>
      <w:tabs>
        <w:tab w:val="clear" w:pos="360"/>
      </w:tabs>
      <w:spacing w:before="0" w:beforeAutospacing="0" w:after="120" w:afterAutospacing="0" w:line="276" w:lineRule="auto"/>
      <w:jc w:val="left"/>
    </w:pPr>
    <w:rPr>
      <w:rFonts w:ascii="Calibri" w:hAnsi="Calibri"/>
      <w:sz w:val="22"/>
    </w:rPr>
  </w:style>
  <w:style w:type="character" w:customStyle="1" w:styleId="BodyTextChar">
    <w:name w:val="Body Text Char"/>
    <w:basedOn w:val="DefaultParagraphFont"/>
    <w:link w:val="BodyText"/>
    <w:uiPriority w:val="99"/>
    <w:semiHidden/>
    <w:rsid w:val="004F2495"/>
    <w:rPr>
      <w:rFonts w:ascii="Calibri" w:eastAsia="Calibri" w:hAnsi="Calibri"/>
      <w:sz w:val="22"/>
      <w:szCs w:val="22"/>
    </w:rPr>
  </w:style>
  <w:style w:type="character" w:styleId="FootnoteReference">
    <w:name w:val="footnote reference"/>
    <w:basedOn w:val="DefaultParagraphFont"/>
    <w:semiHidden/>
    <w:rsid w:val="005B086C"/>
    <w:rPr>
      <w:vertAlign w:val="superscript"/>
    </w:rPr>
  </w:style>
  <w:style w:type="paragraph" w:styleId="FootnoteText">
    <w:name w:val="footnote text"/>
    <w:basedOn w:val="Normal"/>
    <w:link w:val="FootnoteTextChar"/>
    <w:semiHidden/>
    <w:unhideWhenUsed/>
    <w:rsid w:val="005B086C"/>
    <w:pPr>
      <w:tabs>
        <w:tab w:val="clear" w:pos="360"/>
      </w:tabs>
      <w:spacing w:before="0" w:beforeAutospacing="0" w:after="0" w:afterAutospacing="0"/>
      <w:jc w:val="left"/>
    </w:pPr>
    <w:rPr>
      <w:rFonts w:ascii="Calibri" w:hAnsi="Calibri"/>
      <w:sz w:val="20"/>
      <w:szCs w:val="20"/>
    </w:rPr>
  </w:style>
  <w:style w:type="character" w:customStyle="1" w:styleId="FootnoteTextChar">
    <w:name w:val="Footnote Text Char"/>
    <w:basedOn w:val="DefaultParagraphFont"/>
    <w:link w:val="FootnoteText"/>
    <w:semiHidden/>
    <w:rsid w:val="005B086C"/>
    <w:rPr>
      <w:rFonts w:ascii="Calibri" w:eastAsia="Calibri" w:hAnsi="Calibri"/>
    </w:rPr>
  </w:style>
  <w:style w:type="character" w:styleId="FollowedHyperlink">
    <w:name w:val="FollowedHyperlink"/>
    <w:basedOn w:val="DefaultParagraphFont"/>
    <w:uiPriority w:val="99"/>
    <w:semiHidden/>
    <w:unhideWhenUsed/>
    <w:rsid w:val="00CB5637"/>
    <w:rPr>
      <w:color w:val="800080" w:themeColor="followedHyperlink"/>
      <w:u w:val="single"/>
    </w:rPr>
  </w:style>
  <w:style w:type="paragraph" w:styleId="Caption">
    <w:name w:val="caption"/>
    <w:basedOn w:val="Normal"/>
    <w:next w:val="Normal"/>
    <w:unhideWhenUsed/>
    <w:qFormat/>
    <w:rsid w:val="005C7AA0"/>
    <w:pPr>
      <w:spacing w:before="0"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908463297">
      <w:bodyDiv w:val="1"/>
      <w:marLeft w:val="0"/>
      <w:marRight w:val="0"/>
      <w:marTop w:val="0"/>
      <w:marBottom w:val="0"/>
      <w:divBdr>
        <w:top w:val="none" w:sz="0" w:space="0" w:color="auto"/>
        <w:left w:val="none" w:sz="0" w:space="0" w:color="auto"/>
        <w:bottom w:val="none" w:sz="0" w:space="0" w:color="auto"/>
        <w:right w:val="none" w:sz="0" w:space="0" w:color="auto"/>
      </w:divBdr>
    </w:div>
    <w:div w:id="957494290">
      <w:bodyDiv w:val="1"/>
      <w:marLeft w:val="0"/>
      <w:marRight w:val="0"/>
      <w:marTop w:val="0"/>
      <w:marBottom w:val="0"/>
      <w:divBdr>
        <w:top w:val="none" w:sz="0" w:space="0" w:color="auto"/>
        <w:left w:val="none" w:sz="0" w:space="0" w:color="auto"/>
        <w:bottom w:val="none" w:sz="0" w:space="0" w:color="auto"/>
        <w:right w:val="none" w:sz="0" w:space="0" w:color="auto"/>
      </w:divBdr>
    </w:div>
    <w:div w:id="982199684">
      <w:bodyDiv w:val="1"/>
      <w:marLeft w:val="0"/>
      <w:marRight w:val="0"/>
      <w:marTop w:val="0"/>
      <w:marBottom w:val="0"/>
      <w:divBdr>
        <w:top w:val="none" w:sz="0" w:space="0" w:color="auto"/>
        <w:left w:val="none" w:sz="0" w:space="0" w:color="auto"/>
        <w:bottom w:val="none" w:sz="0" w:space="0" w:color="auto"/>
        <w:right w:val="none" w:sz="0" w:space="0" w:color="auto"/>
      </w:divBdr>
    </w:div>
    <w:div w:id="21173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ertmapper.cr.usgs.gov/geoportal/catalog/search/browse/browse.page" TargetMode="External"/><Relationship Id="rId18" Type="http://schemas.openxmlformats.org/officeDocument/2006/relationships/hyperlink" Target="http://interstat.statjournals.net/YEAR/2007/abstracts/0704006.php?Name=704006"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ia.gov/survey/" TargetMode="External"/><Relationship Id="rId17" Type="http://schemas.openxmlformats.org/officeDocument/2006/relationships/hyperlink" Target="http://interstat.statjournals.net/YEAR/2005/abstracts/0510004.php?Name=510004"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interstat.statjournals.net/YEAR/2001/abstracts/0106001.php?Name=106001" TargetMode="External"/><Relationship Id="rId20" Type="http://schemas.openxmlformats.org/officeDocument/2006/relationships/hyperlink" Target="http://www.jos.nu/Articles/abstract.asp?article=2711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teven.grape@eia.gov"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interstat.statjournals.net/YEAR/2010/abstracts/1007005.php?Name=00700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D0AAB-42F4-4688-9AA4-CADB3EE3C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5969</Words>
  <Characters>34026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Supporting Statement, Part B: Forms EIA-24L/24S/64A</vt:lpstr>
    </vt:vector>
  </TitlesOfParts>
  <Company>EIA\DOE</Company>
  <LinksUpToDate>false</LinksUpToDate>
  <CharactersWithSpaces>39916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Forms EIA-24L/24S/64A</dc:title>
  <dc:subject>OMB Forms Clearance Process, Supporting Statement, Part B, Forms EIA-23L/23S/64A</dc:subject>
  <dc:creator>Gary Long</dc:creator>
  <dc:description>02-19-13 Version, review by EEP of Program Office 02-15-13 Version.  For review by Program Office.</dc:description>
  <cp:lastModifiedBy>Barbara Mariner-Volpe</cp:lastModifiedBy>
  <cp:revision>2</cp:revision>
  <cp:lastPrinted>2013-02-16T01:55:00Z</cp:lastPrinted>
  <dcterms:created xsi:type="dcterms:W3CDTF">2013-02-26T13:40:00Z</dcterms:created>
  <dcterms:modified xsi:type="dcterms:W3CDTF">2013-02-26T13:40:00Z</dcterms:modified>
</cp:coreProperties>
</file>