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937F33" w:rsidRPr="00EF7FF5" w:rsidRDefault="00937F33">
      <w:pPr>
        <w:tabs>
          <w:tab w:val="left" w:pos="0"/>
        </w:tabs>
        <w:suppressAutoHyphens/>
        <w:rPr>
          <w:rFonts w:ascii="Times New Roman" w:hAnsi="Times New Roman"/>
          <w:szCs w:val="24"/>
        </w:rPr>
      </w:pPr>
    </w:p>
    <w:p w:rsidR="00937F33" w:rsidRPr="00937F33" w:rsidRDefault="00937F33" w:rsidP="00937F33">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Higher Education Act of 1965, as amended (HEA), established the Federal Perkins (Perkins) Loan Program, the Federal Family Education Loan (FFEL) Program and the William D. Ford Federal Direct Loan (Direct Loan) Program under Title IV, Parts B, D, and E.  Section 437(a) of the HEA authorizes the discharge of a borrower’s obligation to repay his or her FFEL Program loan(s) if the borrower is unable to engage in any substantial gainful activity by reason of any medically determinable physical or mental impairment that can be expected to result in death, has lasted for a continuous period of not less than 60 months, or can be expected to last for a continuous period of not less than 60 months.  Section 455(a)(1) of the HEA extends this loan discharge provision to Direct Loan Program borrowers, and section 464(c)(1)(F) of the HEA authorizes total and permanent disability loan discharges in the Perkins Loan Program, in accordance with the same eligibility requirements described in section 437(a) of the HEA.  </w:t>
      </w:r>
    </w:p>
    <w:p w:rsidR="00937F33" w:rsidRDefault="00937F33" w:rsidP="00937F33">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regulations related to total and permanent disability loan discharges are contained in 34 CFR 682.402(c) for the FFEL Program, in 34 CFR 685.212 and 34 CFR 685.213 for the Direct Loan Program, and in 34 CFR 674.61(b) for the Perkins Loan Program.  These regulations require borrowers who seek disability discharges of their FFEL, Direct Loan, or Perkins loans to provide their loan holders with certain information in writing.  The Discharge Application: Total and Permanent Disability (TPD Discharge Application) is the means by which a borrower who seeks a total and permanent disability loan discharge provides this information, which is required to determine the borrower’s eligibility for loan discharge.  Although borrowers initially submit the completed discharge application to their individual loan holders, the final determination of discharge eligibility is made by the U.S. Department of Education (the Department).  </w:t>
      </w: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Final regulations published on June 23, 2008 (73 FR 35472) for the Teacher Education Assistance for College and Higher Education (TEACH) Grant Program established regulations for the TEACH Grant Program in 34 CFR 686.  In accordance with 34 CFR 686.42(b), a TEACH Grant recipient’s teaching service obligation is discharged if the recipient is totally and permanent disabled in accordance with the same definition that applies to borrowers in the FFEL, Direct Loan, and Perkins Loan programs, and if the recipient satisfies the eligibility requirements for a total and permanent disability discharge in 34 CFR 685.213.  A totally and permanently disabled TEACH </w:t>
      </w:r>
      <w:r w:rsidRPr="00CC0911">
        <w:rPr>
          <w:rFonts w:ascii="Calibri" w:hAnsi="Calibri"/>
          <w:snapToGrid w:val="0"/>
          <w:sz w:val="22"/>
          <w:szCs w:val="22"/>
        </w:rPr>
        <w:lastRenderedPageBreak/>
        <w:t xml:space="preserve">Grant recipient applies for a discharge of his or her TEACH Grant service obligation by submitting a completed TPD Discharge Application to the Department. </w:t>
      </w:r>
    </w:p>
    <w:p w:rsidR="001271F0" w:rsidRPr="00937F33" w:rsidRDefault="001271F0" w:rsidP="00937F33">
      <w:pPr>
        <w:widowControl w:val="0"/>
        <w:spacing w:after="200"/>
        <w:ind w:left="720"/>
        <w:rPr>
          <w:rFonts w:ascii="Calibri" w:hAnsi="Calibri"/>
          <w:snapToGrid w:val="0"/>
          <w:sz w:val="22"/>
          <w:szCs w:val="22"/>
        </w:rPr>
      </w:pPr>
      <w:r>
        <w:rPr>
          <w:rFonts w:ascii="Calibri" w:hAnsi="Calibri"/>
          <w:snapToGrid w:val="0"/>
          <w:sz w:val="22"/>
          <w:szCs w:val="22"/>
        </w:rPr>
        <w:t xml:space="preserve">Under these </w:t>
      </w:r>
      <w:r w:rsidR="001C61C4">
        <w:rPr>
          <w:rFonts w:ascii="Calibri" w:hAnsi="Calibri"/>
          <w:snapToGrid w:val="0"/>
          <w:sz w:val="22"/>
          <w:szCs w:val="22"/>
        </w:rPr>
        <w:t>final</w:t>
      </w:r>
      <w:r>
        <w:rPr>
          <w:rFonts w:ascii="Calibri" w:hAnsi="Calibri"/>
          <w:snapToGrid w:val="0"/>
          <w:sz w:val="22"/>
          <w:szCs w:val="22"/>
        </w:rPr>
        <w:t xml:space="preserve"> regulations the application process would be streamlined.  Loan holders (institutions in the case of Perkins loans and lenders and guaranty agencies in the case of FFEL loans) w</w:t>
      </w:r>
      <w:r w:rsidR="001C61C4">
        <w:rPr>
          <w:rFonts w:ascii="Calibri" w:hAnsi="Calibri"/>
          <w:snapToGrid w:val="0"/>
          <w:sz w:val="22"/>
          <w:szCs w:val="22"/>
        </w:rPr>
        <w:t>ill</w:t>
      </w:r>
      <w:r>
        <w:rPr>
          <w:rFonts w:ascii="Calibri" w:hAnsi="Calibri"/>
          <w:snapToGrid w:val="0"/>
          <w:sz w:val="22"/>
          <w:szCs w:val="22"/>
        </w:rPr>
        <w:t xml:space="preserve"> be required to refer borrowers requesting a TPD application to the Department.  The loan holders w</w:t>
      </w:r>
      <w:r w:rsidR="001C61C4">
        <w:rPr>
          <w:rFonts w:ascii="Calibri" w:hAnsi="Calibri"/>
          <w:snapToGrid w:val="0"/>
          <w:sz w:val="22"/>
          <w:szCs w:val="22"/>
        </w:rPr>
        <w:t>ill</w:t>
      </w:r>
      <w:r>
        <w:rPr>
          <w:rFonts w:ascii="Calibri" w:hAnsi="Calibri"/>
          <w:snapToGrid w:val="0"/>
          <w:sz w:val="22"/>
          <w:szCs w:val="22"/>
        </w:rPr>
        <w:t xml:space="preserve"> no longer distribute, review, evaluate, request additional or missing information, </w:t>
      </w:r>
      <w:proofErr w:type="gramStart"/>
      <w:r>
        <w:rPr>
          <w:rFonts w:ascii="Calibri" w:hAnsi="Calibri"/>
          <w:snapToGrid w:val="0"/>
          <w:sz w:val="22"/>
          <w:szCs w:val="22"/>
        </w:rPr>
        <w:t>make</w:t>
      </w:r>
      <w:proofErr w:type="gramEnd"/>
      <w:r>
        <w:rPr>
          <w:rFonts w:ascii="Calibri" w:hAnsi="Calibri"/>
          <w:snapToGrid w:val="0"/>
          <w:sz w:val="22"/>
          <w:szCs w:val="22"/>
        </w:rPr>
        <w:t xml:space="preserve"> preliminary determinations on whether a completed and submitted TPD application supports the conclusion that the borrower is total and permanently disabled.  Instead, the loan holder w</w:t>
      </w:r>
      <w:r w:rsidR="001C61C4">
        <w:rPr>
          <w:rFonts w:ascii="Calibri" w:hAnsi="Calibri"/>
          <w:snapToGrid w:val="0"/>
          <w:sz w:val="22"/>
          <w:szCs w:val="22"/>
        </w:rPr>
        <w:t>ill</w:t>
      </w:r>
      <w:r>
        <w:rPr>
          <w:rFonts w:ascii="Calibri" w:hAnsi="Calibri"/>
          <w:snapToGrid w:val="0"/>
          <w:sz w:val="22"/>
          <w:szCs w:val="22"/>
        </w:rPr>
        <w:t xml:space="preserve"> refer the borrower to the Department.  In so doing, the borrower w</w:t>
      </w:r>
      <w:r w:rsidR="001C61C4">
        <w:rPr>
          <w:rFonts w:ascii="Calibri" w:hAnsi="Calibri"/>
          <w:snapToGrid w:val="0"/>
          <w:sz w:val="22"/>
          <w:szCs w:val="22"/>
        </w:rPr>
        <w:t>ill</w:t>
      </w:r>
      <w:r>
        <w:rPr>
          <w:rFonts w:ascii="Calibri" w:hAnsi="Calibri"/>
          <w:snapToGrid w:val="0"/>
          <w:sz w:val="22"/>
          <w:szCs w:val="22"/>
        </w:rPr>
        <w:t xml:space="preserve"> complete and submit only one TPD application even when the borrower has multiple loans with multiple loan holders.</w:t>
      </w:r>
    </w:p>
    <w:p w:rsidR="00386054" w:rsidRPr="00EF7FF5" w:rsidRDefault="00937F33" w:rsidP="00CC0911">
      <w:pPr>
        <w:widowControl w:val="0"/>
        <w:spacing w:after="200"/>
        <w:ind w:left="720"/>
        <w:rPr>
          <w:rFonts w:ascii="Times New Roman" w:hAnsi="Times New Roman"/>
          <w:szCs w:val="24"/>
        </w:rPr>
      </w:pPr>
      <w:r w:rsidRPr="00937F33">
        <w:rPr>
          <w:rFonts w:ascii="Calibri" w:hAnsi="Calibri"/>
          <w:snapToGrid w:val="0"/>
          <w:sz w:val="22"/>
          <w:szCs w:val="22"/>
        </w:rPr>
        <w:t xml:space="preserve">The Department is requesting a revision of the currently approved collection.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CC0911" w:rsidRPr="00CC0911" w:rsidRDefault="001C61C4" w:rsidP="00CC0911">
      <w:pPr>
        <w:widowControl w:val="0"/>
        <w:spacing w:after="200"/>
        <w:ind w:left="720"/>
        <w:rPr>
          <w:rFonts w:ascii="Calibri" w:hAnsi="Calibri"/>
          <w:snapToGrid w:val="0"/>
          <w:sz w:val="22"/>
          <w:szCs w:val="22"/>
        </w:rPr>
      </w:pPr>
      <w:r>
        <w:rPr>
          <w:rFonts w:ascii="Calibri" w:hAnsi="Calibri"/>
          <w:snapToGrid w:val="0"/>
          <w:sz w:val="22"/>
          <w:szCs w:val="22"/>
        </w:rPr>
        <w:t>T</w:t>
      </w:r>
      <w:r w:rsidR="00CC0911" w:rsidRPr="00CC0911">
        <w:rPr>
          <w:rFonts w:ascii="Calibri" w:hAnsi="Calibri"/>
          <w:snapToGrid w:val="0"/>
          <w:sz w:val="22"/>
          <w:szCs w:val="22"/>
        </w:rPr>
        <w:t xml:space="preserve">he information collected on this form </w:t>
      </w:r>
      <w:r w:rsidR="00CC0911">
        <w:rPr>
          <w:rFonts w:ascii="Calibri" w:hAnsi="Calibri"/>
          <w:snapToGrid w:val="0"/>
          <w:sz w:val="22"/>
          <w:szCs w:val="22"/>
        </w:rPr>
        <w:t xml:space="preserve">will </w:t>
      </w:r>
      <w:r w:rsidR="00CC0911" w:rsidRPr="00CC0911">
        <w:rPr>
          <w:rFonts w:ascii="Calibri" w:hAnsi="Calibri"/>
          <w:snapToGrid w:val="0"/>
          <w:sz w:val="22"/>
          <w:szCs w:val="22"/>
        </w:rPr>
        <w:t>be</w:t>
      </w:r>
      <w:r w:rsidR="00CC0911">
        <w:rPr>
          <w:rFonts w:ascii="Calibri" w:hAnsi="Calibri"/>
          <w:snapToGrid w:val="0"/>
          <w:sz w:val="22"/>
          <w:szCs w:val="22"/>
        </w:rPr>
        <w:t xml:space="preserve"> </w:t>
      </w:r>
      <w:r w:rsidR="00CC0911" w:rsidRPr="00CC0911">
        <w:rPr>
          <w:rFonts w:ascii="Calibri" w:hAnsi="Calibri"/>
          <w:snapToGrid w:val="0"/>
          <w:sz w:val="22"/>
          <w:szCs w:val="22"/>
        </w:rPr>
        <w:t xml:space="preserve">used by </w:t>
      </w:r>
      <w:r w:rsidR="00CC0911">
        <w:rPr>
          <w:rFonts w:ascii="Calibri" w:hAnsi="Calibri"/>
          <w:snapToGrid w:val="0"/>
          <w:sz w:val="22"/>
          <w:szCs w:val="22"/>
        </w:rPr>
        <w:t>the Department</w:t>
      </w:r>
      <w:r w:rsidR="00CC0911" w:rsidRPr="00CC0911">
        <w:rPr>
          <w:rFonts w:ascii="Calibri" w:hAnsi="Calibri"/>
          <w:snapToGrid w:val="0"/>
          <w:sz w:val="22"/>
          <w:szCs w:val="22"/>
        </w:rPr>
        <w:t xml:space="preserve"> to determine whether a borrower or TEACH Grant recipient meets the eligibility criteria for a total and permanent disability discharge of his or her loan(s) or TEACH Grant service obligation, and it will continue to be used for this purpose.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This collection does not involve the use of technological processes such as electronic submission of responses.  The TPD Discharge Application requires a signature from both the discharge applicant and the physician who certifies the applicant’s disability.  In addition, the physician must provide additional information (sometimes including attached documentation) related to the applicant’s disabling condition.  The United States Postal Service, or some other mail delivery service, provides the only currently feasible means for loan holders to send the disability discharge application to borrowers, and for borrowers and TEACH Grant recipients to return the completed discharge application and any supporting documents. </w:t>
      </w:r>
    </w:p>
    <w:p w:rsidR="00CC0911" w:rsidRPr="00EF7FF5" w:rsidRDefault="00CC091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A review of procedures indicates that current requirements avoid duplication.  There is no information available from other sources that can be used to determine a borrower’s or TEACH Grant recipient’s eligibility for a total and permanent disability discharge.</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No small businesses are affected by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If a borrower or TEACH Grant recipient did not complete a TPD Discharge Application, the Department would not have the information needed to determine whether the individual meets the eligibility requirements for a total and permanent disability discharge.  A borrower or TEACH Grant recipient will be required to complete a </w:t>
      </w:r>
      <w:r w:rsidR="001C61C4">
        <w:rPr>
          <w:rFonts w:ascii="Calibri" w:hAnsi="Calibri"/>
          <w:snapToGrid w:val="0"/>
          <w:sz w:val="22"/>
          <w:szCs w:val="22"/>
        </w:rPr>
        <w:t xml:space="preserve">single </w:t>
      </w:r>
      <w:r w:rsidRPr="00CC0911">
        <w:rPr>
          <w:rFonts w:ascii="Calibri" w:hAnsi="Calibri"/>
          <w:snapToGrid w:val="0"/>
          <w:sz w:val="22"/>
          <w:szCs w:val="22"/>
        </w:rPr>
        <w:t xml:space="preserve">discharge application </w:t>
      </w:r>
      <w:r w:rsidR="001C61C4">
        <w:rPr>
          <w:rFonts w:ascii="Calibri" w:hAnsi="Calibri"/>
          <w:snapToGrid w:val="0"/>
          <w:sz w:val="22"/>
          <w:szCs w:val="22"/>
        </w:rPr>
        <w:t>for multiple loans and/or TEACH Grants</w:t>
      </w:r>
      <w:r w:rsidRPr="00CC0911">
        <w:rPr>
          <w:rFonts w:ascii="Calibri" w:hAnsi="Calibri"/>
          <w:snapToGrid w:val="0"/>
          <w:sz w:val="22"/>
          <w:szCs w:val="22"/>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lastRenderedPageBreak/>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The collection of this information will be conducted in a manner that does not involve any of the above conditions.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CC0911" w:rsidRDefault="00CC0911" w:rsidP="003C29C2">
      <w:pPr>
        <w:tabs>
          <w:tab w:val="left" w:pos="-720"/>
        </w:tabs>
        <w:suppressAutoHyphens/>
        <w:ind w:left="360"/>
        <w:rPr>
          <w:rStyle w:val="a"/>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The Department worked closely with the National Council of Higher Education Loan Programs (NCHELP) in developing the currently approved discharge form.  In addition, the currently approved form reflects input provided by the public during the two public comment periods of the last clearance of this collection.  </w:t>
      </w:r>
    </w:p>
    <w:p w:rsidR="00CC0911" w:rsidRPr="00CC0911" w:rsidRDefault="00CC0911" w:rsidP="00CC0911">
      <w:pPr>
        <w:widowControl w:val="0"/>
        <w:spacing w:after="200"/>
        <w:ind w:left="720"/>
        <w:rPr>
          <w:rFonts w:ascii="Calibri" w:hAnsi="Calibri"/>
          <w:snapToGrid w:val="0"/>
          <w:sz w:val="22"/>
          <w:szCs w:val="22"/>
        </w:rPr>
      </w:pPr>
      <w:r>
        <w:rPr>
          <w:rFonts w:ascii="Calibri" w:hAnsi="Calibri"/>
          <w:snapToGrid w:val="0"/>
          <w:sz w:val="22"/>
          <w:szCs w:val="22"/>
        </w:rPr>
        <w:t xml:space="preserve">As a result of the Notice of Proposed Rulemaking (NPRM) process, the public </w:t>
      </w:r>
      <w:r w:rsidR="001C61C4">
        <w:rPr>
          <w:rFonts w:ascii="Calibri" w:hAnsi="Calibri"/>
          <w:snapToGrid w:val="0"/>
          <w:sz w:val="22"/>
          <w:szCs w:val="22"/>
        </w:rPr>
        <w:t>did</w:t>
      </w:r>
      <w:r>
        <w:rPr>
          <w:rFonts w:ascii="Calibri" w:hAnsi="Calibri"/>
          <w:snapToGrid w:val="0"/>
          <w:sz w:val="22"/>
          <w:szCs w:val="22"/>
        </w:rPr>
        <w:t xml:space="preserve"> have an opportunity to provide the Department with comments on the proposed regulations and the streamlined TPD application process.</w:t>
      </w:r>
    </w:p>
    <w:p w:rsidR="00CC0911" w:rsidRPr="00EF7FF5" w:rsidRDefault="00CC0911" w:rsidP="003C29C2">
      <w:pPr>
        <w:tabs>
          <w:tab w:val="left" w:pos="-720"/>
        </w:tabs>
        <w:suppressAutoHyphens/>
        <w:ind w:left="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Default="00386054">
      <w:pPr>
        <w:tabs>
          <w:tab w:val="left" w:pos="-720"/>
        </w:tabs>
        <w:suppressAutoHyphens/>
        <w:rPr>
          <w:rFonts w:ascii="Times New Roman" w:hAnsi="Times New Roman"/>
          <w:szCs w:val="24"/>
        </w:rPr>
      </w:pPr>
    </w:p>
    <w:p w:rsidR="00CC0911" w:rsidRPr="00CC0911" w:rsidRDefault="00CC0911" w:rsidP="00CC0911">
      <w:pPr>
        <w:widowControl w:val="0"/>
        <w:spacing w:after="200"/>
        <w:ind w:left="720"/>
        <w:rPr>
          <w:rFonts w:ascii="Calibri" w:hAnsi="Calibri"/>
          <w:snapToGrid w:val="0"/>
          <w:sz w:val="22"/>
          <w:szCs w:val="22"/>
        </w:rPr>
      </w:pPr>
      <w:r w:rsidRPr="00CC0911">
        <w:rPr>
          <w:rFonts w:ascii="Calibri" w:hAnsi="Calibri"/>
          <w:snapToGrid w:val="0"/>
          <w:sz w:val="22"/>
          <w:szCs w:val="22"/>
        </w:rPr>
        <w:t>No payments or gifts will be provided to respondents.</w:t>
      </w:r>
    </w:p>
    <w:p w:rsidR="00CC0911" w:rsidRPr="00EF7FF5" w:rsidRDefault="00CC091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w:t>
      </w:r>
      <w:r>
        <w:rPr>
          <w:rFonts w:ascii="Times New Roman" w:hAnsi="Times New Roman"/>
          <w:szCs w:val="24"/>
        </w:rPr>
        <w:lastRenderedPageBreak/>
        <w:t xml:space="preserve">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 xml:space="preserve">The discharge form includes a Privacy Act Notice that (1) informs the discharge applicant of the statutory authority for the information collection, (2) explains that disclosure of the information is voluntary, but is required in order to determine the applicant’s eligibility for a discharge, and (3) identifies the third parties to whom the information may be disclosed, and </w:t>
      </w:r>
      <w:r w:rsidR="001C61C4">
        <w:rPr>
          <w:rFonts w:ascii="Calibri" w:hAnsi="Calibri"/>
          <w:snapToGrid w:val="0"/>
          <w:sz w:val="22"/>
          <w:szCs w:val="22"/>
        </w:rPr>
        <w:t xml:space="preserve">(4) </w:t>
      </w:r>
      <w:r w:rsidRPr="00DF30F3">
        <w:rPr>
          <w:rFonts w:ascii="Calibri" w:hAnsi="Calibri"/>
          <w:snapToGrid w:val="0"/>
          <w:sz w:val="22"/>
          <w:szCs w:val="22"/>
        </w:rPr>
        <w:t>explains the circumstances under which such disclosures may occur.</w:t>
      </w:r>
    </w:p>
    <w:p w:rsidR="00CC0911" w:rsidRPr="00EF7FF5" w:rsidRDefault="00CC0911">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The TPD Discharge Application requires the physician who completes the physician’s certification section to provide information about the applicant’s disabling condition.  This information may be considered sensitive, but it is needed in order for the Department to determine whether a borrower or TEACH Grant recipient meets the statutory definition of totally and permanently disabled.</w:t>
      </w:r>
    </w:p>
    <w:p w:rsidR="00DF30F3" w:rsidRDefault="00DF30F3">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The total estimated annual reporting hour burden for this information collection is</w:t>
      </w:r>
      <w:r>
        <w:rPr>
          <w:rFonts w:ascii="Calibri" w:hAnsi="Calibri"/>
          <w:snapToGrid w:val="0"/>
          <w:sz w:val="22"/>
          <w:szCs w:val="22"/>
        </w:rPr>
        <w:t xml:space="preserve"> currently approved at </w:t>
      </w:r>
      <w:r w:rsidRPr="00DF30F3">
        <w:rPr>
          <w:rFonts w:ascii="Calibri" w:hAnsi="Calibri"/>
          <w:snapToGrid w:val="0"/>
          <w:sz w:val="22"/>
          <w:szCs w:val="22"/>
        </w:rPr>
        <w:t xml:space="preserve">15,000 hours.  </w:t>
      </w:r>
      <w:r>
        <w:rPr>
          <w:rFonts w:ascii="Calibri" w:hAnsi="Calibri"/>
          <w:snapToGrid w:val="0"/>
          <w:sz w:val="22"/>
          <w:szCs w:val="22"/>
        </w:rPr>
        <w:t xml:space="preserve">Based on 2011 data, the number of requests for a TPD application has increased significantly.  </w:t>
      </w:r>
      <w:r w:rsidRPr="00DF30F3">
        <w:rPr>
          <w:rFonts w:ascii="Calibri" w:hAnsi="Calibri"/>
          <w:snapToGrid w:val="0"/>
          <w:sz w:val="22"/>
          <w:szCs w:val="22"/>
        </w:rPr>
        <w:t xml:space="preserve">The </w:t>
      </w:r>
      <w:r>
        <w:rPr>
          <w:rFonts w:ascii="Calibri" w:hAnsi="Calibri"/>
          <w:snapToGrid w:val="0"/>
          <w:sz w:val="22"/>
          <w:szCs w:val="22"/>
        </w:rPr>
        <w:t xml:space="preserve">revised </w:t>
      </w:r>
      <w:r w:rsidRPr="00DF30F3">
        <w:rPr>
          <w:rFonts w:ascii="Calibri" w:hAnsi="Calibri"/>
          <w:snapToGrid w:val="0"/>
          <w:sz w:val="22"/>
          <w:szCs w:val="22"/>
        </w:rPr>
        <w:t>burden estimate for this application was calculated as follows:</w:t>
      </w:r>
    </w:p>
    <w:p w:rsidR="00DF30F3" w:rsidRPr="00DF30F3" w:rsidRDefault="00DF30F3" w:rsidP="00DF30F3">
      <w:pPr>
        <w:widowControl w:val="0"/>
        <w:spacing w:after="200"/>
        <w:ind w:left="720"/>
        <w:rPr>
          <w:rFonts w:ascii="Calibri" w:hAnsi="Calibri"/>
          <w:snapToGrid w:val="0"/>
          <w:sz w:val="22"/>
          <w:szCs w:val="22"/>
        </w:rPr>
      </w:pPr>
    </w:p>
    <w:p w:rsidR="00DF30F3" w:rsidRP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 xml:space="preserve">Currently approved </w:t>
      </w:r>
      <w:r w:rsidRPr="00DF30F3">
        <w:rPr>
          <w:rFonts w:ascii="Calibri" w:hAnsi="Calibri"/>
          <w:snapToGrid w:val="0"/>
          <w:sz w:val="22"/>
          <w:szCs w:val="22"/>
        </w:rPr>
        <w:t>annual number of respondents:</w:t>
      </w:r>
      <w:r w:rsidRPr="00DF30F3">
        <w:rPr>
          <w:rFonts w:ascii="Calibri" w:hAnsi="Calibri"/>
          <w:snapToGrid w:val="0"/>
          <w:sz w:val="22"/>
          <w:szCs w:val="22"/>
        </w:rPr>
        <w:tab/>
      </w:r>
      <w:r w:rsidRPr="00DF30F3">
        <w:rPr>
          <w:rFonts w:ascii="Calibri" w:hAnsi="Calibri"/>
          <w:snapToGrid w:val="0"/>
          <w:sz w:val="22"/>
          <w:szCs w:val="22"/>
        </w:rPr>
        <w:tab/>
        <w:t xml:space="preserve"> 30,000</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Number of responses per applicant:</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rPr>
        <w:t>x          1</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Hours per response:</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u w:val="single"/>
        </w:rPr>
        <w:t>x       0.5 hours (30 minutes)</w:t>
      </w:r>
    </w:p>
    <w:p w:rsid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Annual hour burden:</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t xml:space="preserve"> </w:t>
      </w:r>
      <w:r>
        <w:rPr>
          <w:rFonts w:ascii="Calibri" w:hAnsi="Calibri"/>
          <w:snapToGrid w:val="0"/>
          <w:sz w:val="22"/>
          <w:szCs w:val="22"/>
        </w:rPr>
        <w:t xml:space="preserve">                </w:t>
      </w:r>
      <w:r w:rsidRPr="00DF30F3">
        <w:rPr>
          <w:rFonts w:ascii="Calibri" w:hAnsi="Calibri"/>
          <w:snapToGrid w:val="0"/>
          <w:sz w:val="22"/>
          <w:szCs w:val="22"/>
        </w:rPr>
        <w:t>15,000 hours</w:t>
      </w:r>
    </w:p>
    <w:p w:rsidR="00DF30F3" w:rsidRDefault="00DF30F3" w:rsidP="00DF30F3">
      <w:pPr>
        <w:widowControl w:val="0"/>
        <w:spacing w:after="200"/>
        <w:ind w:left="720"/>
        <w:rPr>
          <w:rFonts w:ascii="Calibri" w:hAnsi="Calibri"/>
          <w:snapToGrid w:val="0"/>
          <w:sz w:val="22"/>
          <w:szCs w:val="22"/>
        </w:rPr>
      </w:pPr>
    </w:p>
    <w:p w:rsidR="00DF30F3" w:rsidRP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Number of additional annual respondents:</w:t>
      </w:r>
      <w:r>
        <w:rPr>
          <w:rFonts w:ascii="Calibri" w:hAnsi="Calibri"/>
          <w:snapToGrid w:val="0"/>
          <w:sz w:val="22"/>
          <w:szCs w:val="22"/>
        </w:rPr>
        <w:tab/>
      </w:r>
      <w:r>
        <w:rPr>
          <w:rFonts w:ascii="Calibri" w:hAnsi="Calibri"/>
          <w:snapToGrid w:val="0"/>
          <w:sz w:val="22"/>
          <w:szCs w:val="22"/>
        </w:rPr>
        <w:tab/>
      </w:r>
      <w:r>
        <w:rPr>
          <w:rFonts w:ascii="Calibri" w:hAnsi="Calibri"/>
          <w:snapToGrid w:val="0"/>
          <w:sz w:val="22"/>
          <w:szCs w:val="22"/>
        </w:rPr>
        <w:tab/>
        <w:t>48,390</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Number of responses per applicant:</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rPr>
        <w:t>x          1</w:t>
      </w:r>
    </w:p>
    <w:p w:rsidR="00DF30F3" w:rsidRP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Hours per response:</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Pr>
          <w:rFonts w:ascii="Calibri" w:hAnsi="Calibri"/>
          <w:snapToGrid w:val="0"/>
          <w:sz w:val="22"/>
          <w:szCs w:val="22"/>
        </w:rPr>
        <w:t xml:space="preserve">              </w:t>
      </w:r>
      <w:r w:rsidRPr="00DF30F3">
        <w:rPr>
          <w:rFonts w:ascii="Calibri" w:hAnsi="Calibri"/>
          <w:snapToGrid w:val="0"/>
          <w:sz w:val="22"/>
          <w:szCs w:val="22"/>
          <w:u w:val="single"/>
        </w:rPr>
        <w:t>x       0.5 hours (30 minutes)</w:t>
      </w:r>
    </w:p>
    <w:p w:rsidR="00DF30F3" w:rsidRDefault="00DF30F3" w:rsidP="00DF30F3">
      <w:pPr>
        <w:widowControl w:val="0"/>
        <w:spacing w:after="200"/>
        <w:ind w:left="720"/>
        <w:rPr>
          <w:rFonts w:ascii="Calibri" w:hAnsi="Calibri"/>
          <w:snapToGrid w:val="0"/>
          <w:sz w:val="22"/>
          <w:szCs w:val="22"/>
        </w:rPr>
      </w:pPr>
      <w:r w:rsidRPr="00DF30F3">
        <w:rPr>
          <w:rFonts w:ascii="Calibri" w:hAnsi="Calibri"/>
          <w:snapToGrid w:val="0"/>
          <w:sz w:val="22"/>
          <w:szCs w:val="22"/>
        </w:rPr>
        <w:t>Annual hour burden:</w:t>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r>
      <w:r w:rsidRPr="00DF30F3">
        <w:rPr>
          <w:rFonts w:ascii="Calibri" w:hAnsi="Calibri"/>
          <w:snapToGrid w:val="0"/>
          <w:sz w:val="22"/>
          <w:szCs w:val="22"/>
        </w:rPr>
        <w:tab/>
        <w:t xml:space="preserve"> </w:t>
      </w:r>
      <w:r>
        <w:rPr>
          <w:rFonts w:ascii="Calibri" w:hAnsi="Calibri"/>
          <w:snapToGrid w:val="0"/>
          <w:sz w:val="22"/>
          <w:szCs w:val="22"/>
        </w:rPr>
        <w:t xml:space="preserve">                24,195</w:t>
      </w:r>
      <w:r w:rsidRPr="00DF30F3">
        <w:rPr>
          <w:rFonts w:ascii="Calibri" w:hAnsi="Calibri"/>
          <w:snapToGrid w:val="0"/>
          <w:sz w:val="22"/>
          <w:szCs w:val="22"/>
        </w:rPr>
        <w:t xml:space="preserve"> hours</w:t>
      </w:r>
    </w:p>
    <w:p w:rsidR="00EA6F3C" w:rsidRDefault="00EA6F3C" w:rsidP="00DF30F3">
      <w:pPr>
        <w:widowControl w:val="0"/>
        <w:spacing w:after="200"/>
        <w:ind w:left="720"/>
        <w:rPr>
          <w:rFonts w:ascii="Calibri" w:hAnsi="Calibri"/>
          <w:snapToGrid w:val="0"/>
          <w:sz w:val="22"/>
          <w:szCs w:val="22"/>
        </w:rPr>
      </w:pPr>
    </w:p>
    <w:p w:rsid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Current Inventory:</w:t>
      </w:r>
    </w:p>
    <w:p w:rsid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 xml:space="preserve"># </w:t>
      </w:r>
      <w:proofErr w:type="gramStart"/>
      <w:r>
        <w:rPr>
          <w:rFonts w:ascii="Calibri" w:hAnsi="Calibri"/>
          <w:snapToGrid w:val="0"/>
          <w:sz w:val="22"/>
          <w:szCs w:val="22"/>
        </w:rPr>
        <w:t>of</w:t>
      </w:r>
      <w:proofErr w:type="gramEnd"/>
      <w:r>
        <w:rPr>
          <w:rFonts w:ascii="Calibri" w:hAnsi="Calibri"/>
          <w:snapToGrid w:val="0"/>
          <w:sz w:val="22"/>
          <w:szCs w:val="22"/>
        </w:rPr>
        <w:t xml:space="preserve"> Respondents</w:t>
      </w:r>
      <w:r>
        <w:rPr>
          <w:rFonts w:ascii="Calibri" w:hAnsi="Calibri"/>
          <w:snapToGrid w:val="0"/>
          <w:sz w:val="22"/>
          <w:szCs w:val="22"/>
        </w:rPr>
        <w:tab/>
        <w:t># of Responses</w:t>
      </w:r>
      <w:r>
        <w:rPr>
          <w:rFonts w:ascii="Calibri" w:hAnsi="Calibri"/>
          <w:snapToGrid w:val="0"/>
          <w:sz w:val="22"/>
          <w:szCs w:val="22"/>
        </w:rPr>
        <w:tab/>
      </w:r>
      <w:r>
        <w:rPr>
          <w:rFonts w:ascii="Calibri" w:hAnsi="Calibri"/>
          <w:snapToGrid w:val="0"/>
          <w:sz w:val="22"/>
          <w:szCs w:val="22"/>
        </w:rPr>
        <w:tab/>
        <w:t>Hours/Response</w:t>
      </w:r>
      <w:r>
        <w:rPr>
          <w:rFonts w:ascii="Calibri" w:hAnsi="Calibri"/>
          <w:snapToGrid w:val="0"/>
          <w:sz w:val="22"/>
          <w:szCs w:val="22"/>
        </w:rPr>
        <w:tab/>
        <w:t>Burden Hours</w:t>
      </w:r>
    </w:p>
    <w:p w:rsidR="00386054" w:rsidRDefault="00DF30F3">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30,000</w:t>
      </w:r>
      <w:r>
        <w:rPr>
          <w:rFonts w:ascii="Times New Roman" w:hAnsi="Times New Roman"/>
          <w:szCs w:val="24"/>
        </w:rPr>
        <w:tab/>
      </w:r>
      <w:r>
        <w:rPr>
          <w:rFonts w:ascii="Times New Roman" w:hAnsi="Times New Roman"/>
          <w:szCs w:val="24"/>
        </w:rPr>
        <w:tab/>
        <w:t xml:space="preserve">           30,000</w:t>
      </w:r>
      <w:r>
        <w:rPr>
          <w:rFonts w:ascii="Times New Roman" w:hAnsi="Times New Roman"/>
          <w:szCs w:val="24"/>
        </w:rPr>
        <w:tab/>
      </w:r>
      <w:r>
        <w:rPr>
          <w:rFonts w:ascii="Times New Roman" w:hAnsi="Times New Roman"/>
          <w:szCs w:val="24"/>
        </w:rPr>
        <w:tab/>
        <w:t>.5 hours/borrower</w:t>
      </w:r>
      <w:r>
        <w:rPr>
          <w:rFonts w:ascii="Times New Roman" w:hAnsi="Times New Roman"/>
          <w:szCs w:val="24"/>
        </w:rPr>
        <w:tab/>
        <w:t xml:space="preserve">    15,000</w:t>
      </w:r>
    </w:p>
    <w:p w:rsidR="00DF30F3" w:rsidRDefault="00DF30F3">
      <w:pPr>
        <w:tabs>
          <w:tab w:val="left" w:pos="-720"/>
        </w:tabs>
        <w:suppressAutoHyphens/>
        <w:rPr>
          <w:rFonts w:ascii="Times New Roman" w:hAnsi="Times New Roman"/>
          <w:szCs w:val="24"/>
        </w:rPr>
      </w:pPr>
    </w:p>
    <w:p w:rsidR="00DF30F3" w:rsidRPr="00EF7FF5" w:rsidRDefault="00DF30F3">
      <w:pPr>
        <w:tabs>
          <w:tab w:val="left" w:pos="-720"/>
        </w:tabs>
        <w:suppressAutoHyphens/>
        <w:rPr>
          <w:rFonts w:ascii="Times New Roman" w:hAnsi="Times New Roman"/>
          <w:szCs w:val="24"/>
        </w:rPr>
      </w:pPr>
      <w:r>
        <w:rPr>
          <w:rFonts w:ascii="Times New Roman" w:hAnsi="Times New Roman"/>
          <w:szCs w:val="24"/>
        </w:rPr>
        <w:tab/>
        <w:t>Revised Inventory:</w:t>
      </w:r>
    </w:p>
    <w:p w:rsidR="00DF30F3" w:rsidRDefault="00DF30F3" w:rsidP="00DF30F3">
      <w:pPr>
        <w:widowControl w:val="0"/>
        <w:spacing w:after="200"/>
        <w:ind w:left="720"/>
        <w:rPr>
          <w:rFonts w:ascii="Calibri" w:hAnsi="Calibri"/>
          <w:snapToGrid w:val="0"/>
          <w:sz w:val="22"/>
          <w:szCs w:val="22"/>
        </w:rPr>
      </w:pPr>
      <w:r>
        <w:rPr>
          <w:rFonts w:ascii="Calibri" w:hAnsi="Calibri"/>
          <w:snapToGrid w:val="0"/>
          <w:sz w:val="22"/>
          <w:szCs w:val="22"/>
        </w:rPr>
        <w:t xml:space="preserve"># </w:t>
      </w:r>
      <w:proofErr w:type="gramStart"/>
      <w:r>
        <w:rPr>
          <w:rFonts w:ascii="Calibri" w:hAnsi="Calibri"/>
          <w:snapToGrid w:val="0"/>
          <w:sz w:val="22"/>
          <w:szCs w:val="22"/>
        </w:rPr>
        <w:t>of</w:t>
      </w:r>
      <w:proofErr w:type="gramEnd"/>
      <w:r>
        <w:rPr>
          <w:rFonts w:ascii="Calibri" w:hAnsi="Calibri"/>
          <w:snapToGrid w:val="0"/>
          <w:sz w:val="22"/>
          <w:szCs w:val="22"/>
        </w:rPr>
        <w:t xml:space="preserve"> Respondents</w:t>
      </w:r>
      <w:r>
        <w:rPr>
          <w:rFonts w:ascii="Calibri" w:hAnsi="Calibri"/>
          <w:snapToGrid w:val="0"/>
          <w:sz w:val="22"/>
          <w:szCs w:val="22"/>
        </w:rPr>
        <w:tab/>
        <w:t># of Responses</w:t>
      </w:r>
      <w:r>
        <w:rPr>
          <w:rFonts w:ascii="Calibri" w:hAnsi="Calibri"/>
          <w:snapToGrid w:val="0"/>
          <w:sz w:val="22"/>
          <w:szCs w:val="22"/>
        </w:rPr>
        <w:tab/>
      </w:r>
      <w:r>
        <w:rPr>
          <w:rFonts w:ascii="Calibri" w:hAnsi="Calibri"/>
          <w:snapToGrid w:val="0"/>
          <w:sz w:val="22"/>
          <w:szCs w:val="22"/>
        </w:rPr>
        <w:tab/>
        <w:t>Hours/Response</w:t>
      </w:r>
      <w:r>
        <w:rPr>
          <w:rFonts w:ascii="Calibri" w:hAnsi="Calibri"/>
          <w:snapToGrid w:val="0"/>
          <w:sz w:val="22"/>
          <w:szCs w:val="22"/>
        </w:rPr>
        <w:tab/>
        <w:t>Burden Hours</w:t>
      </w:r>
    </w:p>
    <w:p w:rsidR="00386054" w:rsidRDefault="00DF30F3">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48,390</w:t>
      </w:r>
      <w:r>
        <w:rPr>
          <w:rFonts w:ascii="Times New Roman" w:hAnsi="Times New Roman"/>
          <w:szCs w:val="24"/>
        </w:rPr>
        <w:tab/>
      </w:r>
      <w:r>
        <w:rPr>
          <w:rFonts w:ascii="Times New Roman" w:hAnsi="Times New Roman"/>
          <w:szCs w:val="24"/>
        </w:rPr>
        <w:tab/>
        <w:t xml:space="preserve">            48,390</w:t>
      </w:r>
      <w:r>
        <w:rPr>
          <w:rFonts w:ascii="Times New Roman" w:hAnsi="Times New Roman"/>
          <w:szCs w:val="24"/>
        </w:rPr>
        <w:tab/>
      </w:r>
      <w:r>
        <w:rPr>
          <w:rFonts w:ascii="Times New Roman" w:hAnsi="Times New Roman"/>
          <w:szCs w:val="24"/>
        </w:rPr>
        <w:tab/>
        <w:t>.5 hours/borrower</w:t>
      </w:r>
      <w:r>
        <w:rPr>
          <w:rFonts w:ascii="Times New Roman" w:hAnsi="Times New Roman"/>
          <w:szCs w:val="24"/>
        </w:rPr>
        <w:tab/>
        <w:t xml:space="preserve">    24,195</w:t>
      </w:r>
    </w:p>
    <w:p w:rsidR="00DF30F3" w:rsidRDefault="00DF30F3">
      <w:pPr>
        <w:tabs>
          <w:tab w:val="left" w:pos="-720"/>
        </w:tabs>
        <w:suppressAutoHyphens/>
        <w:rPr>
          <w:rFonts w:ascii="Times New Roman" w:hAnsi="Times New Roman"/>
          <w:szCs w:val="24"/>
        </w:rPr>
      </w:pPr>
    </w:p>
    <w:p w:rsidR="00DF30F3" w:rsidRDefault="00DF30F3">
      <w:pPr>
        <w:tabs>
          <w:tab w:val="left" w:pos="-720"/>
        </w:tabs>
        <w:suppressAutoHyphens/>
        <w:rPr>
          <w:rFonts w:ascii="Times New Roman" w:hAnsi="Times New Roman"/>
          <w:szCs w:val="24"/>
        </w:rPr>
      </w:pPr>
      <w:r>
        <w:rPr>
          <w:rFonts w:ascii="Times New Roman" w:hAnsi="Times New Roman"/>
          <w:szCs w:val="24"/>
        </w:rPr>
        <w:tab/>
        <w:t>TOTAL:</w:t>
      </w:r>
    </w:p>
    <w:p w:rsidR="00DF30F3" w:rsidRPr="00EF7FF5" w:rsidRDefault="00DF30F3">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78,390</w:t>
      </w:r>
      <w:r>
        <w:rPr>
          <w:rFonts w:ascii="Times New Roman" w:hAnsi="Times New Roman"/>
          <w:szCs w:val="24"/>
        </w:rPr>
        <w:tab/>
      </w:r>
      <w:r>
        <w:rPr>
          <w:rFonts w:ascii="Times New Roman" w:hAnsi="Times New Roman"/>
          <w:szCs w:val="24"/>
        </w:rPr>
        <w:tab/>
      </w:r>
      <w:r>
        <w:rPr>
          <w:rFonts w:ascii="Times New Roman" w:hAnsi="Times New Roman"/>
          <w:szCs w:val="24"/>
        </w:rPr>
        <w:tab/>
        <w:t>78,390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39,195</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DF30F3" w:rsidRDefault="00DF30F3" w:rsidP="00DF30F3">
      <w:pPr>
        <w:tabs>
          <w:tab w:val="left" w:pos="-720"/>
        </w:tabs>
        <w:suppressAutoHyphens/>
        <w:ind w:left="70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0"/>
      <w:r w:rsidR="00DF30F3">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DF30F3">
        <w:rPr>
          <w:rFonts w:ascii="Times New Roman" w:hAnsi="Times New Roman"/>
          <w:szCs w:val="24"/>
        </w:rPr>
        <w:tab/>
        <w:t>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EA6F3C"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DF30F3">
        <w:rPr>
          <w:rFonts w:ascii="Times New Roman" w:hAnsi="Times New Roman"/>
          <w:szCs w:val="24"/>
        </w:rPr>
        <w:tab/>
        <w:t>0</w:t>
      </w:r>
      <w:r w:rsidR="00EA6F3C">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DF30F3" w:rsidRP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Capital/Startup Cost:</w:t>
      </w:r>
      <w:r w:rsidRPr="00DF30F3">
        <w:rPr>
          <w:rFonts w:ascii="Calibri" w:hAnsi="Calibri" w:cs="Calibri"/>
          <w:snapToGrid w:val="0"/>
          <w:sz w:val="22"/>
          <w:szCs w:val="22"/>
        </w:rPr>
        <w:tab/>
        <w:t>0</w:t>
      </w:r>
    </w:p>
    <w:p w:rsidR="00DF30F3" w:rsidRP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 Costs (O&amp;M):</w:t>
      </w:r>
      <w:r w:rsidRPr="00DF30F3">
        <w:rPr>
          <w:rFonts w:ascii="Calibri" w:hAnsi="Calibri" w:cs="Calibri"/>
          <w:snapToGrid w:val="0"/>
          <w:sz w:val="22"/>
          <w:szCs w:val="22"/>
        </w:rPr>
        <w:tab/>
      </w:r>
      <w:r w:rsidRPr="00DF30F3">
        <w:rPr>
          <w:rFonts w:ascii="Calibri" w:hAnsi="Calibri" w:cs="Calibri"/>
          <w:snapToGrid w:val="0"/>
          <w:sz w:val="22"/>
          <w:szCs w:val="22"/>
        </w:rPr>
        <w:tab/>
        <w:t>0</w:t>
      </w:r>
    </w:p>
    <w:p w:rsidR="00DF30F3" w:rsidRP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t xml:space="preserve">     ______</w:t>
      </w:r>
    </w:p>
    <w:p w:rsidR="00DF30F3" w:rsidRDefault="00DF30F3" w:rsidP="00DF30F3">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lastRenderedPageBreak/>
        <w:t>Total Annualized Costs Requested:</w:t>
      </w:r>
      <w:r w:rsidRPr="00DF30F3">
        <w:rPr>
          <w:rFonts w:ascii="Calibri" w:hAnsi="Calibri" w:cs="Calibri"/>
          <w:snapToGrid w:val="0"/>
          <w:sz w:val="22"/>
          <w:szCs w:val="22"/>
        </w:rPr>
        <w:tab/>
        <w:t>0</w:t>
      </w:r>
    </w:p>
    <w:p w:rsidR="004F19E6" w:rsidRDefault="004F19E6" w:rsidP="00DF30F3">
      <w:pPr>
        <w:widowControl w:val="0"/>
        <w:tabs>
          <w:tab w:val="left" w:pos="-720"/>
        </w:tabs>
        <w:suppressAutoHyphens/>
        <w:rPr>
          <w:rFonts w:ascii="Calibri" w:hAnsi="Calibri" w:cs="Calibri"/>
          <w:snapToGrid w:val="0"/>
          <w:sz w:val="22"/>
          <w:szCs w:val="22"/>
        </w:rPr>
      </w:pPr>
    </w:p>
    <w:p w:rsidR="004F19E6" w:rsidRPr="00EF7FF5" w:rsidRDefault="004F19E6" w:rsidP="004F19E6">
      <w:pPr>
        <w:widowControl w:val="0"/>
        <w:rPr>
          <w:rFonts w:ascii="Times New Roman" w:hAnsi="Times New Roman"/>
          <w:szCs w:val="24"/>
        </w:rPr>
      </w:pPr>
      <w:r>
        <w:rPr>
          <w:rFonts w:ascii="Calibri" w:hAnsi="Calibri" w:cs="Calibri"/>
          <w:snapToGrid w:val="0"/>
          <w:sz w:val="22"/>
          <w:szCs w:val="22"/>
        </w:rPr>
        <w:t xml:space="preserve">  </w:t>
      </w:r>
      <w:r w:rsidRPr="004D1978">
        <w:rPr>
          <w:rFonts w:ascii="Calibri" w:hAnsi="Calibri"/>
          <w:sz w:val="22"/>
          <w:szCs w:val="22"/>
        </w:rPr>
        <w:t>The cost to the federal government is minimal for cancellation requests for the FFEL and Perkins programs</w:t>
      </w:r>
      <w:r w:rsidR="00EA6F3C">
        <w:rPr>
          <w:rFonts w:ascii="Calibri" w:hAnsi="Calibri"/>
          <w:sz w:val="22"/>
          <w:szCs w:val="22"/>
        </w:rPr>
        <w:t>.</w:t>
      </w:r>
      <w:r w:rsidRPr="004D1978">
        <w:rPr>
          <w:rFonts w:ascii="Calibri" w:hAnsi="Calibri"/>
          <w:sz w:val="22"/>
          <w:szCs w:val="22"/>
        </w:rPr>
        <w:t xml:space="preserve"> </w:t>
      </w:r>
    </w:p>
    <w:p w:rsidR="004F19E6" w:rsidRPr="00EF7FF5" w:rsidRDefault="004F19E6" w:rsidP="004F19E6">
      <w:pPr>
        <w:tabs>
          <w:tab w:val="left" w:pos="-720"/>
        </w:tabs>
        <w:suppressAutoHyphens/>
        <w:ind w:left="720"/>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4F19E6" w:rsidRDefault="004F19E6">
      <w:pPr>
        <w:tabs>
          <w:tab w:val="left" w:pos="-720"/>
        </w:tabs>
        <w:suppressAutoHyphens/>
        <w:rPr>
          <w:rFonts w:ascii="Times New Roman" w:hAnsi="Times New Roman"/>
          <w:szCs w:val="24"/>
        </w:rPr>
      </w:pPr>
    </w:p>
    <w:p w:rsidR="004F19E6" w:rsidRPr="004F19E6" w:rsidRDefault="004F19E6" w:rsidP="004F19E6">
      <w:pPr>
        <w:tabs>
          <w:tab w:val="left" w:pos="-720"/>
        </w:tabs>
        <w:suppressAutoHyphens/>
        <w:ind w:left="720"/>
        <w:rPr>
          <w:rFonts w:asciiTheme="minorHAnsi" w:hAnsiTheme="minorHAnsi" w:cstheme="minorHAnsi"/>
          <w:szCs w:val="24"/>
        </w:rPr>
      </w:pPr>
      <w:r w:rsidRPr="004F19E6">
        <w:rPr>
          <w:rFonts w:asciiTheme="minorHAnsi" w:hAnsiTheme="minorHAnsi" w:cstheme="minorHAnsi"/>
          <w:szCs w:val="24"/>
        </w:rPr>
        <w:t xml:space="preserve">The increase in burden recognizes the significant increase in the number of borrowers </w:t>
      </w:r>
      <w:r w:rsidR="00EA6F3C">
        <w:rPr>
          <w:rFonts w:asciiTheme="minorHAnsi" w:hAnsiTheme="minorHAnsi" w:cstheme="minorHAnsi"/>
          <w:szCs w:val="24"/>
        </w:rPr>
        <w:t xml:space="preserve">requesting a TPD discharge relief </w:t>
      </w:r>
      <w:r w:rsidRPr="004F19E6">
        <w:rPr>
          <w:rFonts w:asciiTheme="minorHAnsi" w:hAnsiTheme="minorHAnsi" w:cstheme="minorHAnsi"/>
          <w:szCs w:val="24"/>
        </w:rPr>
        <w:t>(from 30,000 to 78,390 for 2011</w:t>
      </w:r>
      <w:r>
        <w:rPr>
          <w:rFonts w:asciiTheme="minorHAnsi" w:hAnsiTheme="minorHAnsi" w:cstheme="minorHAnsi"/>
          <w:szCs w:val="24"/>
        </w:rPr>
        <w:t>)</w:t>
      </w:r>
      <w:r w:rsidRPr="004F19E6">
        <w:rPr>
          <w:rFonts w:asciiTheme="minorHAnsi" w:hAnsiTheme="minorHAnsi" w:cstheme="minorHAnsi"/>
          <w:szCs w:val="24"/>
        </w:rPr>
        <w:t xml:space="preserve">.  However, under the current regulations the burden would have been even higher due to the fact that borrowers with multiple loans at multiple loan holders would have had to complete and submit </w:t>
      </w:r>
      <w:r>
        <w:rPr>
          <w:rFonts w:asciiTheme="minorHAnsi" w:hAnsiTheme="minorHAnsi" w:cstheme="minorHAnsi"/>
          <w:szCs w:val="24"/>
        </w:rPr>
        <w:t xml:space="preserve">a </w:t>
      </w:r>
      <w:r w:rsidRPr="004F19E6">
        <w:rPr>
          <w:rFonts w:asciiTheme="minorHAnsi" w:hAnsiTheme="minorHAnsi" w:cstheme="minorHAnsi"/>
          <w:szCs w:val="24"/>
        </w:rPr>
        <w:t>TPD application for each of the separate loan holders.  Under the</w:t>
      </w:r>
      <w:r w:rsidR="001C61C4">
        <w:rPr>
          <w:rFonts w:asciiTheme="minorHAnsi" w:hAnsiTheme="minorHAnsi" w:cstheme="minorHAnsi"/>
          <w:szCs w:val="24"/>
        </w:rPr>
        <w:t xml:space="preserve"> </w:t>
      </w:r>
      <w:r w:rsidRPr="004F19E6">
        <w:rPr>
          <w:rFonts w:asciiTheme="minorHAnsi" w:hAnsiTheme="minorHAnsi" w:cstheme="minorHAnsi"/>
          <w:szCs w:val="24"/>
        </w:rPr>
        <w:t>regulations, a borrower requesting a TPD discharge would only complete and submit a single</w:t>
      </w:r>
      <w:r>
        <w:rPr>
          <w:rFonts w:ascii="Times New Roman" w:hAnsi="Times New Roman"/>
          <w:szCs w:val="24"/>
        </w:rPr>
        <w:t xml:space="preserve"> </w:t>
      </w:r>
      <w:r w:rsidRPr="004F19E6">
        <w:rPr>
          <w:rFonts w:asciiTheme="minorHAnsi" w:hAnsiTheme="minorHAnsi" w:cstheme="minorHAnsi"/>
          <w:szCs w:val="24"/>
        </w:rPr>
        <w:t>TPD application to the Department.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19E6" w:rsidRDefault="004F19E6">
      <w:pPr>
        <w:tabs>
          <w:tab w:val="left" w:pos="-720"/>
        </w:tabs>
        <w:suppressAutoHyphens/>
        <w:rPr>
          <w:rFonts w:ascii="Times New Roman" w:hAnsi="Times New Roman"/>
          <w:szCs w:val="24"/>
        </w:rPr>
      </w:pPr>
    </w:p>
    <w:p w:rsidR="004F19E6" w:rsidRPr="004F19E6" w:rsidRDefault="004F19E6" w:rsidP="004F19E6">
      <w:pPr>
        <w:widowControl w:val="0"/>
        <w:spacing w:after="200"/>
        <w:ind w:left="720"/>
        <w:rPr>
          <w:rFonts w:ascii="Calibri" w:hAnsi="Calibri"/>
          <w:snapToGrid w:val="0"/>
          <w:sz w:val="22"/>
          <w:szCs w:val="22"/>
        </w:rPr>
      </w:pPr>
      <w:r w:rsidRPr="004F19E6">
        <w:rPr>
          <w:rFonts w:ascii="Calibri" w:hAnsi="Calibri"/>
          <w:snapToGrid w:val="0"/>
          <w:sz w:val="22"/>
          <w:szCs w:val="22"/>
        </w:rPr>
        <w:t>The results of this information collection will not be published.</w:t>
      </w:r>
    </w:p>
    <w:p w:rsidR="004F19E6" w:rsidRPr="00EF7FF5" w:rsidRDefault="004F19E6">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4F19E6" w:rsidRPr="004F19E6" w:rsidRDefault="004F19E6" w:rsidP="004F19E6">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4F19E6" w:rsidRDefault="004F19E6" w:rsidP="004F19E6">
      <w:pPr>
        <w:widowControl w:val="0"/>
        <w:spacing w:after="200"/>
        <w:rPr>
          <w:rFonts w:ascii="Calibri" w:hAnsi="Calibri"/>
          <w:snapToGrid w:val="0"/>
          <w:sz w:val="22"/>
          <w:szCs w:val="22"/>
        </w:rPr>
      </w:pPr>
    </w:p>
    <w:p w:rsidR="004F19E6" w:rsidRPr="00EF7FF5" w:rsidRDefault="004F19E6" w:rsidP="002A5427">
      <w:pPr>
        <w:widowControl w:val="0"/>
        <w:spacing w:after="200"/>
        <w:ind w:left="720"/>
        <w:rPr>
          <w:rFonts w:ascii="Times New Roman" w:hAnsi="Times New Roman"/>
          <w:szCs w:val="24"/>
        </w:rPr>
      </w:pPr>
      <w:r w:rsidRPr="004F19E6">
        <w:rPr>
          <w:rFonts w:ascii="Calibri" w:hAnsi="Calibri"/>
          <w:snapToGrid w:val="0"/>
          <w:sz w:val="22"/>
          <w:szCs w:val="22"/>
        </w:rPr>
        <w:t>The Department is not requesting any exceptions to the Certification for Paperwork Reduction Act Submissions.</w:t>
      </w:r>
    </w:p>
    <w:sectPr w:rsidR="004F19E6" w:rsidRPr="00EF7FF5"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51" w:rsidRDefault="00F35B51">
      <w:pPr>
        <w:spacing w:line="20" w:lineRule="exact"/>
      </w:pPr>
    </w:p>
  </w:endnote>
  <w:endnote w:type="continuationSeparator" w:id="0">
    <w:p w:rsidR="00F35B51" w:rsidRDefault="00F35B51">
      <w:r>
        <w:t xml:space="preserve"> </w:t>
      </w:r>
    </w:p>
  </w:endnote>
  <w:endnote w:type="continuationNotice" w:id="1">
    <w:p w:rsidR="00F35B51" w:rsidRDefault="00F35B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3F" w:rsidRDefault="005E2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367710"/>
      <w:docPartObj>
        <w:docPartGallery w:val="Page Numbers (Bottom of Page)"/>
        <w:docPartUnique/>
      </w:docPartObj>
    </w:sdtPr>
    <w:sdtEndPr>
      <w:rPr>
        <w:noProof/>
      </w:rPr>
    </w:sdtEndPr>
    <w:sdtContent>
      <w:p w:rsidR="00DF30F3" w:rsidRDefault="00DF30F3">
        <w:pPr>
          <w:pStyle w:val="Footer"/>
          <w:jc w:val="center"/>
        </w:pPr>
        <w:r>
          <w:fldChar w:fldCharType="begin"/>
        </w:r>
        <w:r>
          <w:instrText xml:space="preserve"> PAGE   \* MERGEFORMAT </w:instrText>
        </w:r>
        <w:r>
          <w:fldChar w:fldCharType="separate"/>
        </w:r>
        <w:r w:rsidR="005E203F">
          <w:rPr>
            <w:noProof/>
          </w:rPr>
          <w:t>1</w:t>
        </w:r>
        <w:r>
          <w:rPr>
            <w:noProof/>
          </w:rPr>
          <w:fldChar w:fldCharType="end"/>
        </w:r>
      </w:p>
    </w:sdtContent>
  </w:sdt>
  <w:p w:rsidR="00DF30F3" w:rsidRDefault="00DF30F3">
    <w:pPr>
      <w:tabs>
        <w:tab w:val="left" w:pos="0"/>
      </w:tabs>
      <w:suppressAutoHyphen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3F" w:rsidRDefault="005E2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51" w:rsidRDefault="00F35B51">
      <w:r>
        <w:separator/>
      </w:r>
    </w:p>
  </w:footnote>
  <w:footnote w:type="continuationSeparator" w:id="0">
    <w:p w:rsidR="00F35B51" w:rsidRDefault="00F35B51">
      <w:r>
        <w:continuationSeparator/>
      </w:r>
    </w:p>
  </w:footnote>
  <w:footnote w:id="1">
    <w:p w:rsidR="00DF30F3" w:rsidRDefault="00DF30F3">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DF30F3" w:rsidRDefault="00DF30F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3F" w:rsidRDefault="005E2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F3" w:rsidRDefault="00DF30F3">
    <w:pPr>
      <w:pStyle w:val="Header"/>
      <w:rPr>
        <w:rFonts w:ascii="Times New Roman" w:hAnsi="Times New Roman"/>
        <w:sz w:val="20"/>
      </w:rPr>
    </w:pPr>
    <w:r>
      <w:rPr>
        <w:rFonts w:ascii="Times New Roman" w:hAnsi="Times New Roman"/>
        <w:sz w:val="20"/>
      </w:rPr>
      <w:t xml:space="preserve">EDICS Tracking and OMB Number: (04864) 1845-0065.v.5                                         Revised: </w:t>
    </w:r>
    <w:r w:rsidR="001C61C4">
      <w:rPr>
        <w:rFonts w:ascii="Times New Roman" w:hAnsi="Times New Roman"/>
        <w:sz w:val="20"/>
      </w:rPr>
      <w:t>08/2</w:t>
    </w:r>
    <w:r w:rsidR="005E203F">
      <w:rPr>
        <w:rFonts w:ascii="Times New Roman" w:hAnsi="Times New Roman"/>
        <w:sz w:val="20"/>
      </w:rPr>
      <w:t>9</w:t>
    </w:r>
    <w:bookmarkStart w:id="3" w:name="_GoBack"/>
    <w:bookmarkEnd w:id="3"/>
    <w:r>
      <w:rPr>
        <w:rFonts w:ascii="Times New Roman" w:hAnsi="Times New Roman"/>
        <w:sz w:val="20"/>
      </w:rPr>
      <w:t>/2012</w:t>
    </w:r>
  </w:p>
  <w:p w:rsidR="00DF30F3" w:rsidRPr="00386054" w:rsidRDefault="00DF30F3">
    <w:pPr>
      <w:pStyle w:val="Header"/>
      <w:rPr>
        <w:rFonts w:ascii="Times New Roman" w:hAnsi="Times New Roman"/>
        <w:sz w:val="20"/>
      </w:rPr>
    </w:pPr>
    <w:r>
      <w:rPr>
        <w:rFonts w:ascii="Times New Roman" w:hAnsi="Times New Roman"/>
        <w:sz w:val="20"/>
      </w:rPr>
      <w:t>RIN Number: 1840-AD05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3F" w:rsidRDefault="005E20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CFB"/>
    <w:rsid w:val="00050CBE"/>
    <w:rsid w:val="000909E0"/>
    <w:rsid w:val="000B14D8"/>
    <w:rsid w:val="000B4AB9"/>
    <w:rsid w:val="000E592D"/>
    <w:rsid w:val="000F175B"/>
    <w:rsid w:val="001271F0"/>
    <w:rsid w:val="0014500F"/>
    <w:rsid w:val="00153F20"/>
    <w:rsid w:val="00156EE3"/>
    <w:rsid w:val="001743A5"/>
    <w:rsid w:val="0018279C"/>
    <w:rsid w:val="001C61C4"/>
    <w:rsid w:val="002473CE"/>
    <w:rsid w:val="002A5427"/>
    <w:rsid w:val="002B0412"/>
    <w:rsid w:val="002B0A95"/>
    <w:rsid w:val="00386054"/>
    <w:rsid w:val="003C29C2"/>
    <w:rsid w:val="003C7F70"/>
    <w:rsid w:val="003E285A"/>
    <w:rsid w:val="004A2DBB"/>
    <w:rsid w:val="004E23D9"/>
    <w:rsid w:val="004F19E6"/>
    <w:rsid w:val="004F692A"/>
    <w:rsid w:val="00512598"/>
    <w:rsid w:val="00563CCF"/>
    <w:rsid w:val="005A1566"/>
    <w:rsid w:val="005A1DFC"/>
    <w:rsid w:val="005A4185"/>
    <w:rsid w:val="005D2E7B"/>
    <w:rsid w:val="005E203F"/>
    <w:rsid w:val="0063484C"/>
    <w:rsid w:val="00654305"/>
    <w:rsid w:val="006737C0"/>
    <w:rsid w:val="00677BC2"/>
    <w:rsid w:val="006A3B5C"/>
    <w:rsid w:val="006C01D0"/>
    <w:rsid w:val="00752AA7"/>
    <w:rsid w:val="007661D9"/>
    <w:rsid w:val="007B14E8"/>
    <w:rsid w:val="007C12B5"/>
    <w:rsid w:val="007E77FA"/>
    <w:rsid w:val="008011B6"/>
    <w:rsid w:val="008F3062"/>
    <w:rsid w:val="00921CB1"/>
    <w:rsid w:val="00937F33"/>
    <w:rsid w:val="009544A3"/>
    <w:rsid w:val="009949A8"/>
    <w:rsid w:val="00A01331"/>
    <w:rsid w:val="00A41F2C"/>
    <w:rsid w:val="00A87940"/>
    <w:rsid w:val="00A94CCB"/>
    <w:rsid w:val="00A978FA"/>
    <w:rsid w:val="00AB0D7D"/>
    <w:rsid w:val="00B23EC0"/>
    <w:rsid w:val="00BC244F"/>
    <w:rsid w:val="00BD1325"/>
    <w:rsid w:val="00C641E9"/>
    <w:rsid w:val="00C723C2"/>
    <w:rsid w:val="00CC0911"/>
    <w:rsid w:val="00CE72AF"/>
    <w:rsid w:val="00D115BF"/>
    <w:rsid w:val="00D269C3"/>
    <w:rsid w:val="00DF30F3"/>
    <w:rsid w:val="00E023B7"/>
    <w:rsid w:val="00E07290"/>
    <w:rsid w:val="00EA3C1F"/>
    <w:rsid w:val="00EA6F3C"/>
    <w:rsid w:val="00EC2CC4"/>
    <w:rsid w:val="00EF7FF5"/>
    <w:rsid w:val="00F313DF"/>
    <w:rsid w:val="00F3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7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7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672A-8E78-4973-842D-2E04171C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3160</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Dan Klock</cp:lastModifiedBy>
  <cp:revision>2</cp:revision>
  <cp:lastPrinted>2012-05-17T15:21:00Z</cp:lastPrinted>
  <dcterms:created xsi:type="dcterms:W3CDTF">2012-08-29T14:18:00Z</dcterms:created>
  <dcterms:modified xsi:type="dcterms:W3CDTF">2012-08-29T14:18:00Z</dcterms:modified>
</cp:coreProperties>
</file>