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CC" w:rsidRDefault="007844CC">
      <w:pPr>
        <w:jc w:val="center"/>
        <w:rPr>
          <w:rFonts w:ascii="Times New Roman" w:hAnsi="Times New Roman"/>
          <w:b/>
          <w:bCs/>
        </w:rPr>
      </w:pPr>
      <w:r>
        <w:rPr>
          <w:rFonts w:ascii="Times New Roman" w:hAnsi="Times New Roman"/>
          <w:b/>
          <w:bCs/>
        </w:rPr>
        <w:t>Office of the Comptroller of the Currency</w:t>
      </w:r>
    </w:p>
    <w:p w:rsidR="006353FB" w:rsidRDefault="006353FB">
      <w:pPr>
        <w:jc w:val="center"/>
        <w:rPr>
          <w:rFonts w:ascii="Times New Roman" w:hAnsi="Times New Roman"/>
          <w:b/>
          <w:bCs/>
        </w:rPr>
      </w:pPr>
      <w:r>
        <w:rPr>
          <w:rFonts w:ascii="Times New Roman" w:hAnsi="Times New Roman"/>
          <w:b/>
          <w:bCs/>
        </w:rPr>
        <w:t>Supporting Statement</w:t>
      </w:r>
    </w:p>
    <w:p w:rsidR="0042007E" w:rsidRDefault="0042007E">
      <w:pPr>
        <w:jc w:val="center"/>
        <w:rPr>
          <w:rFonts w:ascii="Times New Roman" w:hAnsi="Times New Roman"/>
          <w:b/>
          <w:bCs/>
        </w:rPr>
      </w:pPr>
      <w:r>
        <w:rPr>
          <w:rFonts w:ascii="Times New Roman" w:hAnsi="Times New Roman"/>
          <w:b/>
          <w:bCs/>
        </w:rPr>
        <w:t xml:space="preserve">Interagency Policy Statement on </w:t>
      </w:r>
    </w:p>
    <w:p w:rsidR="0042007E" w:rsidRPr="0042007E" w:rsidRDefault="0042007E" w:rsidP="0042007E">
      <w:pPr>
        <w:jc w:val="center"/>
        <w:rPr>
          <w:rFonts w:ascii="Times New Roman" w:hAnsi="Times New Roman"/>
          <w:b/>
          <w:bCs/>
        </w:rPr>
      </w:pPr>
      <w:r>
        <w:rPr>
          <w:rFonts w:ascii="Times New Roman" w:hAnsi="Times New Roman"/>
          <w:b/>
          <w:bCs/>
        </w:rPr>
        <w:t>Funding an</w:t>
      </w:r>
      <w:r w:rsidRPr="0042007E">
        <w:rPr>
          <w:rFonts w:ascii="Times New Roman" w:hAnsi="Times New Roman"/>
          <w:b/>
          <w:bCs/>
        </w:rPr>
        <w:t>d Liquidity Risk Management</w:t>
      </w:r>
    </w:p>
    <w:p w:rsidR="007844CC" w:rsidRPr="0042007E" w:rsidRDefault="009A6377">
      <w:pPr>
        <w:jc w:val="center"/>
        <w:rPr>
          <w:rFonts w:ascii="Times New Roman" w:hAnsi="Times New Roman"/>
          <w:b/>
          <w:bCs/>
        </w:rPr>
      </w:pPr>
      <w:r>
        <w:rPr>
          <w:rFonts w:ascii="Times New Roman" w:hAnsi="Times New Roman"/>
          <w:b/>
        </w:rPr>
        <w:t>1557-0244</w:t>
      </w:r>
    </w:p>
    <w:p w:rsidR="006353FB" w:rsidRDefault="006353FB">
      <w:pPr>
        <w:rPr>
          <w:rFonts w:ascii="Times New Roman" w:hAnsi="Times New Roman"/>
        </w:rPr>
      </w:pP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A. Justification.</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 </w:t>
      </w:r>
      <w:r>
        <w:rPr>
          <w:rFonts w:ascii="Times New Roman" w:hAnsi="Times New Roman"/>
          <w:u w:val="single"/>
        </w:rPr>
        <w:t>Circumstances that make the collection necessary:</w:t>
      </w:r>
    </w:p>
    <w:p w:rsidR="006353FB" w:rsidRDefault="006353FB">
      <w:pPr>
        <w:rPr>
          <w:rFonts w:ascii="Times New Roman" w:hAnsi="Times New Roman"/>
        </w:rPr>
      </w:pPr>
    </w:p>
    <w:p w:rsidR="00CE1E39" w:rsidRPr="00CE1E39" w:rsidRDefault="00511BC7" w:rsidP="00CE1E39">
      <w:pPr>
        <w:rPr>
          <w:rFonts w:ascii="Times New Roman" w:hAnsi="Times New Roman"/>
        </w:rPr>
      </w:pPr>
      <w:r w:rsidRPr="00CE1E39">
        <w:rPr>
          <w:rFonts w:ascii="Times New Roman" w:hAnsi="Times New Roman"/>
        </w:rPr>
        <w:t xml:space="preserve">          </w:t>
      </w:r>
      <w:r w:rsidR="00ED5E11">
        <w:rPr>
          <w:rFonts w:ascii="Times New Roman" w:hAnsi="Times New Roman"/>
        </w:rPr>
        <w:t>On March 22, 2010, t</w:t>
      </w:r>
      <w:r w:rsidR="00CE1E39" w:rsidRPr="00CE1E39">
        <w:rPr>
          <w:rFonts w:ascii="Times New Roman" w:hAnsi="Times New Roman"/>
        </w:rPr>
        <w:t xml:space="preserve">he </w:t>
      </w:r>
      <w:r w:rsidR="00CE1E39">
        <w:rPr>
          <w:rFonts w:ascii="Times New Roman" w:hAnsi="Times New Roman"/>
        </w:rPr>
        <w:t>Office of the Comptroller of the Currency, the Board of Governors of the Federal Reserve System, the Federal Deposit Insurance Corporation, the Office of Thrift Supervision, and the National Credit Union Administration</w:t>
      </w:r>
      <w:r w:rsidR="00CE1E39" w:rsidRPr="00CE1E39">
        <w:rPr>
          <w:rFonts w:ascii="Times New Roman" w:hAnsi="Times New Roman"/>
        </w:rPr>
        <w:t xml:space="preserve"> in conjunction with the Conference of State Bank Supervisors, </w:t>
      </w:r>
      <w:r w:rsidR="009A6377">
        <w:rPr>
          <w:rFonts w:ascii="Times New Roman" w:hAnsi="Times New Roman"/>
        </w:rPr>
        <w:t>issued</w:t>
      </w:r>
      <w:r w:rsidR="00CE1E39" w:rsidRPr="00CE1E39">
        <w:rPr>
          <w:rFonts w:ascii="Times New Roman" w:hAnsi="Times New Roman"/>
        </w:rPr>
        <w:t xml:space="preserve"> </w:t>
      </w:r>
      <w:r w:rsidR="009A6377">
        <w:rPr>
          <w:rFonts w:ascii="Times New Roman" w:hAnsi="Times New Roman"/>
        </w:rPr>
        <w:t>a policy statement</w:t>
      </w:r>
      <w:r w:rsidR="00CE1E39" w:rsidRPr="00CE1E39">
        <w:rPr>
          <w:rFonts w:ascii="Times New Roman" w:hAnsi="Times New Roman"/>
        </w:rPr>
        <w:t xml:space="preserve"> on funding and liquidity risk management.</w:t>
      </w:r>
      <w:r w:rsidR="00A47304" w:rsidRPr="00487CA2">
        <w:rPr>
          <w:rStyle w:val="FootnoteReference"/>
          <w:rFonts w:ascii="Times New Roman" w:hAnsi="Times New Roman"/>
          <w:vertAlign w:val="superscript"/>
        </w:rPr>
        <w:footnoteReference w:id="1"/>
      </w:r>
      <w:r w:rsidR="00CE1E39" w:rsidRPr="00CE1E39">
        <w:rPr>
          <w:rFonts w:ascii="Times New Roman" w:hAnsi="Times New Roman"/>
        </w:rPr>
        <w:t xml:space="preserve">  The </w:t>
      </w:r>
      <w:r w:rsidR="00263445">
        <w:rPr>
          <w:rFonts w:ascii="Times New Roman" w:hAnsi="Times New Roman"/>
        </w:rPr>
        <w:t>g</w:t>
      </w:r>
      <w:r w:rsidR="009A6377">
        <w:rPr>
          <w:rFonts w:ascii="Times New Roman" w:hAnsi="Times New Roman"/>
        </w:rPr>
        <w:t>uidance summarized</w:t>
      </w:r>
      <w:r w:rsidR="00CE1E39" w:rsidRPr="00CE1E39">
        <w:rPr>
          <w:rFonts w:ascii="Times New Roman" w:hAnsi="Times New Roman"/>
        </w:rPr>
        <w:t xml:space="preserve"> the principles of sound liquidity risk management that the agencies have issued in the past and, where appropriate, brings them into conformance with the “Principles for Sound Liquidity Risk Management and Supervision” issued by the Basel Committee on Banking Supervision (BCBS) in September 2008.  </w:t>
      </w:r>
    </w:p>
    <w:p w:rsidR="006353FB" w:rsidRDefault="006353FB">
      <w:pPr>
        <w:rPr>
          <w:rFonts w:ascii="Times New Roman" w:hAnsi="Times New Roman"/>
        </w:rPr>
      </w:pPr>
    </w:p>
    <w:p w:rsidR="006353FB" w:rsidRDefault="006353FB">
      <w:pPr>
        <w:tabs>
          <w:tab w:val="left" w:pos="-1440"/>
        </w:tabs>
        <w:ind w:left="4320" w:hanging="4320"/>
        <w:rPr>
          <w:rFonts w:ascii="Times New Roman" w:hAnsi="Times New Roman"/>
        </w:rPr>
      </w:pPr>
      <w:r>
        <w:rPr>
          <w:rFonts w:ascii="Times New Roman" w:hAnsi="Times New Roman"/>
        </w:rPr>
        <w:t xml:space="preserve">2. </w:t>
      </w:r>
      <w:r>
        <w:rPr>
          <w:rFonts w:ascii="Times New Roman" w:hAnsi="Times New Roman"/>
          <w:u w:val="single"/>
        </w:rPr>
        <w:t>Use of the information:</w:t>
      </w:r>
      <w:r>
        <w:rPr>
          <w:rFonts w:ascii="Times New Roman" w:hAnsi="Times New Roman"/>
        </w:rPr>
        <w:tab/>
      </w:r>
      <w:r>
        <w:rPr>
          <w:rFonts w:ascii="Times New Roman" w:hAnsi="Times New Roman"/>
        </w:rPr>
        <w:tab/>
      </w:r>
    </w:p>
    <w:p w:rsidR="006353FB" w:rsidRDefault="006353FB">
      <w:pPr>
        <w:pStyle w:val="Header"/>
        <w:tabs>
          <w:tab w:val="clear" w:pos="4320"/>
          <w:tab w:val="clear" w:pos="8640"/>
        </w:tabs>
        <w:rPr>
          <w:rFonts w:ascii="Times New Roman" w:hAnsi="Times New Roman"/>
        </w:rPr>
      </w:pPr>
    </w:p>
    <w:p w:rsidR="00443206" w:rsidRDefault="00511BC7"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rPr>
      </w:pPr>
      <w:r w:rsidRPr="00443206">
        <w:rPr>
          <w:rFonts w:ascii="Times New Roman" w:hAnsi="Times New Roman"/>
        </w:rPr>
        <w:t xml:space="preserve">  </w:t>
      </w:r>
      <w:r w:rsidR="00443206">
        <w:rPr>
          <w:rFonts w:ascii="Times New Roman" w:hAnsi="Times New Roman"/>
        </w:rPr>
        <w:tab/>
      </w:r>
      <w:r w:rsidR="00443206" w:rsidRPr="00443206">
        <w:rPr>
          <w:rFonts w:ascii="Times New Roman" w:hAnsi="Times New Roman"/>
        </w:rPr>
        <w:t xml:space="preserve">Section 14 </w:t>
      </w:r>
      <w:r w:rsidR="00443206">
        <w:rPr>
          <w:rFonts w:ascii="Times New Roman" w:hAnsi="Times New Roman"/>
        </w:rPr>
        <w:t xml:space="preserve">of the </w:t>
      </w:r>
      <w:r w:rsidR="008C291C">
        <w:rPr>
          <w:rFonts w:ascii="Times New Roman" w:hAnsi="Times New Roman"/>
        </w:rPr>
        <w:t>policy statement</w:t>
      </w:r>
      <w:r w:rsidR="00443206">
        <w:rPr>
          <w:rFonts w:ascii="Times New Roman" w:hAnsi="Times New Roman"/>
        </w:rPr>
        <w:t xml:space="preserve"> </w:t>
      </w:r>
      <w:r w:rsidR="00B824BC">
        <w:rPr>
          <w:rFonts w:ascii="Times New Roman" w:hAnsi="Times New Roman"/>
        </w:rPr>
        <w:t xml:space="preserve">provides </w:t>
      </w:r>
      <w:r w:rsidR="00443206" w:rsidRPr="00443206">
        <w:rPr>
          <w:rFonts w:ascii="Times New Roman" w:hAnsi="Times New Roman"/>
        </w:rPr>
        <w:t>that i</w:t>
      </w:r>
      <w:r w:rsidR="00443206" w:rsidRPr="00443206">
        <w:rPr>
          <w:rFonts w:ascii="Times New Roman" w:hAnsi="Times New Roman"/>
          <w:color w:val="000000"/>
        </w:rPr>
        <w:t>nstitutions should consider liquidity costs, benefits, and risks in</w:t>
      </w:r>
      <w:r w:rsidR="00263445">
        <w:rPr>
          <w:rFonts w:ascii="Times New Roman" w:hAnsi="Times New Roman"/>
          <w:color w:val="000000"/>
        </w:rPr>
        <w:t xml:space="preserve"> their</w:t>
      </w:r>
      <w:r w:rsidR="00443206" w:rsidRPr="00443206">
        <w:rPr>
          <w:rFonts w:ascii="Times New Roman" w:hAnsi="Times New Roman"/>
          <w:color w:val="000000"/>
        </w:rPr>
        <w:t xml:space="preserve"> strategic planning and budgeting processes.  Significant business activities should be evaluated for liquidity risk exposure as well as profitability.  More complex and sophisticated institutions should incorporate liquidity costs, benefits, and risks in the internal product pricing, performance measurement, and new product approval process for all material business lines, products</w:t>
      </w:r>
      <w:r w:rsidR="00263445">
        <w:rPr>
          <w:rFonts w:ascii="Times New Roman" w:hAnsi="Times New Roman"/>
          <w:color w:val="000000"/>
        </w:rPr>
        <w:t>,</w:t>
      </w:r>
      <w:r w:rsidR="00443206" w:rsidRPr="00443206">
        <w:rPr>
          <w:rFonts w:ascii="Times New Roman" w:hAnsi="Times New Roman"/>
          <w:color w:val="000000"/>
        </w:rPr>
        <w:t xml:space="preserve">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w:t>
      </w:r>
      <w:r w:rsidR="00263445">
        <w:rPr>
          <w:rFonts w:ascii="Times New Roman" w:hAnsi="Times New Roman"/>
          <w:color w:val="000000"/>
        </w:rPr>
        <w:t xml:space="preserve">the institution’s </w:t>
      </w:r>
      <w:r w:rsidR="00443206" w:rsidRPr="00443206">
        <w:rPr>
          <w:rFonts w:ascii="Times New Roman" w:hAnsi="Times New Roman"/>
          <w:color w:val="000000"/>
        </w:rPr>
        <w:t>liquidity would be affected under stressed conditions.</w:t>
      </w:r>
    </w:p>
    <w:p w:rsidR="00443206" w:rsidRPr="00443206" w:rsidRDefault="00443206"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443206" w:rsidRPr="00443206" w:rsidRDefault="009A6377" w:rsidP="0044320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i/>
        </w:rPr>
      </w:pPr>
      <w:r>
        <w:rPr>
          <w:rFonts w:ascii="Times New Roman" w:hAnsi="Times New Roman"/>
          <w:iCs/>
        </w:rPr>
        <w:t xml:space="preserve">          Section 20 </w:t>
      </w:r>
      <w:r w:rsidR="00443206" w:rsidRPr="00443206">
        <w:rPr>
          <w:rFonts w:ascii="Times New Roman" w:hAnsi="Times New Roman"/>
          <w:iCs/>
        </w:rPr>
        <w:t>require</w:t>
      </w:r>
      <w:r>
        <w:rPr>
          <w:rFonts w:ascii="Times New Roman" w:hAnsi="Times New Roman"/>
          <w:iCs/>
        </w:rPr>
        <w:t>s</w:t>
      </w:r>
      <w:r w:rsidR="00443206" w:rsidRPr="00443206">
        <w:rPr>
          <w:rFonts w:ascii="Times New Roman" w:hAnsi="Times New Roman"/>
          <w:iCs/>
        </w:rPr>
        <w:t xml:space="preserve"> that liquidity risk reports provide aggregate information with sufficient supporting detail to enable management to assess the sensitivity of the institution to changes in market conditions, its own financial performance, and other important risk factors.  Institutions </w:t>
      </w:r>
      <w:r w:rsidR="00B824BC">
        <w:rPr>
          <w:rFonts w:ascii="Times New Roman" w:hAnsi="Times New Roman"/>
          <w:iCs/>
        </w:rPr>
        <w:t xml:space="preserve">also </w:t>
      </w:r>
      <w:r w:rsidR="00443206" w:rsidRPr="00443206">
        <w:rPr>
          <w:rFonts w:ascii="Times New Roman" w:hAnsi="Times New Roman"/>
          <w:iCs/>
        </w:rPr>
        <w:t xml:space="preserve">should report on the use of and availability of government support, such as lending and guarantee programs, and </w:t>
      </w:r>
      <w:r w:rsidR="003A1961">
        <w:rPr>
          <w:rFonts w:ascii="Times New Roman" w:hAnsi="Times New Roman"/>
          <w:iCs/>
        </w:rPr>
        <w:t xml:space="preserve">the </w:t>
      </w:r>
      <w:r w:rsidR="00443206" w:rsidRPr="00443206">
        <w:rPr>
          <w:rFonts w:ascii="Times New Roman" w:hAnsi="Times New Roman"/>
          <w:iCs/>
        </w:rPr>
        <w:t xml:space="preserve">implications on liquidity positions, particularly </w:t>
      </w:r>
      <w:r w:rsidR="00263445">
        <w:rPr>
          <w:rFonts w:ascii="Times New Roman" w:hAnsi="Times New Roman"/>
          <w:iCs/>
        </w:rPr>
        <w:t>because</w:t>
      </w:r>
      <w:r w:rsidR="00443206" w:rsidRPr="00443206">
        <w:rPr>
          <w:rFonts w:ascii="Times New Roman" w:hAnsi="Times New Roman"/>
          <w:iCs/>
        </w:rPr>
        <w:t xml:space="preserve"> these programs generally</w:t>
      </w:r>
      <w:r w:rsidR="00263445">
        <w:rPr>
          <w:rFonts w:ascii="Times New Roman" w:hAnsi="Times New Roman"/>
          <w:iCs/>
        </w:rPr>
        <w:t xml:space="preserve"> are </w:t>
      </w:r>
      <w:r w:rsidR="00443206" w:rsidRPr="00443206">
        <w:rPr>
          <w:rFonts w:ascii="Times New Roman" w:hAnsi="Times New Roman"/>
          <w:iCs/>
        </w:rPr>
        <w:t xml:space="preserve">temporary or reserved as a source for contingent funding. </w:t>
      </w:r>
    </w:p>
    <w:p w:rsidR="006353FB" w:rsidRDefault="00511BC7">
      <w:pPr>
        <w:rPr>
          <w:rFonts w:ascii="Times New Roman" w:hAnsi="Times New Roman"/>
        </w:rPr>
      </w:pPr>
      <w:r w:rsidRPr="00443206">
        <w:rPr>
          <w:rFonts w:ascii="Times New Roman" w:hAnsi="Times New Roman"/>
        </w:rPr>
        <w:t xml:space="preserve">  </w:t>
      </w:r>
      <w:r>
        <w:rPr>
          <w:rFonts w:ascii="Times New Roman" w:hAnsi="Times New Roman"/>
        </w:rPr>
        <w:t xml:space="preserve">     </w:t>
      </w: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3. </w:t>
      </w:r>
      <w:r>
        <w:rPr>
          <w:rFonts w:ascii="Times New Roman" w:hAnsi="Times New Roman"/>
          <w:u w:val="single"/>
        </w:rPr>
        <w:t>Consideration of the use of information technology:</w:t>
      </w:r>
    </w:p>
    <w:p w:rsidR="006353FB" w:rsidRDefault="006353FB">
      <w:pPr>
        <w:rPr>
          <w:rFonts w:ascii="Times New Roman" w:hAnsi="Times New Roman"/>
        </w:rPr>
      </w:pPr>
    </w:p>
    <w:p w:rsidR="006353FB" w:rsidRDefault="006353FB">
      <w:pPr>
        <w:rPr>
          <w:rFonts w:ascii="Times New Roman" w:hAnsi="Times New Roman"/>
        </w:rPr>
        <w:sectPr w:rsidR="006353F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440" w:gutter="0"/>
          <w:cols w:space="720"/>
          <w:noEndnote/>
          <w:titlePg/>
        </w:sectPr>
      </w:pPr>
    </w:p>
    <w:p w:rsidR="008F7FD7" w:rsidRDefault="00511BC7">
      <w:pPr>
        <w:rPr>
          <w:rFonts w:ascii="Times New Roman" w:hAnsi="Times New Roman"/>
        </w:rPr>
      </w:pPr>
      <w:r>
        <w:rPr>
          <w:rFonts w:ascii="Times New Roman" w:hAnsi="Times New Roman"/>
        </w:rPr>
        <w:lastRenderedPageBreak/>
        <w:t xml:space="preserve">           </w:t>
      </w:r>
      <w:r w:rsidR="006353FB">
        <w:rPr>
          <w:rFonts w:ascii="Times New Roman" w:hAnsi="Times New Roman"/>
        </w:rPr>
        <w:t>Respondents may use any available information technology</w:t>
      </w:r>
      <w:r w:rsidR="002B46E9">
        <w:rPr>
          <w:rFonts w:ascii="Times New Roman" w:hAnsi="Times New Roman"/>
        </w:rPr>
        <w:t>.</w:t>
      </w:r>
      <w:r w:rsidR="006353FB">
        <w:rPr>
          <w:rFonts w:ascii="Times New Roman" w:hAnsi="Times New Roman"/>
        </w:rPr>
        <w:t xml:space="preserve"> </w:t>
      </w:r>
    </w:p>
    <w:p w:rsidR="009A6377" w:rsidRDefault="009A6377">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4.  </w:t>
      </w:r>
      <w:r>
        <w:rPr>
          <w:rFonts w:ascii="Times New Roman" w:hAnsi="Times New Roman"/>
          <w:u w:val="single"/>
        </w:rPr>
        <w:t>Efforts to identify duplication:</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The information required is unique and is not duplicated elsewhere.</w:t>
      </w:r>
    </w:p>
    <w:p w:rsidR="00511BC7" w:rsidRDefault="00511BC7">
      <w:pPr>
        <w:tabs>
          <w:tab w:val="left" w:pos="-1440"/>
        </w:tabs>
        <w:rPr>
          <w:rFonts w:ascii="Times New Roman" w:hAnsi="Times New Roman"/>
        </w:rPr>
      </w:pPr>
    </w:p>
    <w:p w:rsidR="006353FB" w:rsidRDefault="006353FB">
      <w:pPr>
        <w:tabs>
          <w:tab w:val="left" w:pos="-1440"/>
        </w:tabs>
        <w:rPr>
          <w:rFonts w:ascii="Times New Roman" w:hAnsi="Times New Roman"/>
        </w:rPr>
      </w:pPr>
      <w:r>
        <w:rPr>
          <w:rFonts w:ascii="Times New Roman" w:hAnsi="Times New Roman"/>
        </w:rPr>
        <w:t xml:space="preserve">5. </w:t>
      </w:r>
      <w:r>
        <w:rPr>
          <w:rFonts w:ascii="Times New Roman" w:hAnsi="Times New Roman"/>
          <w:u w:val="single"/>
        </w:rPr>
        <w:t>Methods used to minimize burden if the collection has a significant impact on a substantial number of small entities:</w:t>
      </w:r>
    </w:p>
    <w:p w:rsidR="006353FB" w:rsidRDefault="006353FB">
      <w:pPr>
        <w:rPr>
          <w:rFonts w:ascii="Times New Roman" w:hAnsi="Times New Roman"/>
        </w:rPr>
      </w:pPr>
    </w:p>
    <w:p w:rsidR="006353FB" w:rsidRDefault="000B7F05"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6. </w:t>
      </w:r>
      <w:r>
        <w:rPr>
          <w:rFonts w:ascii="Times New Roman" w:hAnsi="Times New Roman"/>
          <w:u w:val="single"/>
        </w:rPr>
        <w:t>Consequences to the Federal program if the collection were conducted less frequently:</w:t>
      </w:r>
    </w:p>
    <w:p w:rsidR="006353FB" w:rsidRDefault="006353FB">
      <w:pPr>
        <w:rPr>
          <w:rFonts w:ascii="Times New Roman" w:hAnsi="Times New Roman"/>
        </w:rPr>
      </w:pPr>
    </w:p>
    <w:p w:rsidR="006353FB" w:rsidRPr="00092EE9" w:rsidRDefault="00092EE9" w:rsidP="008F322C">
      <w:pPr>
        <w:ind w:firstLine="720"/>
        <w:rPr>
          <w:rFonts w:ascii="Times New Roman" w:hAnsi="Times New Roman"/>
        </w:rPr>
      </w:pPr>
      <w:r>
        <w:rPr>
          <w:rFonts w:ascii="Times New Roman" w:hAnsi="Times New Roman"/>
        </w:rPr>
        <w:t xml:space="preserve">Good liquidity risk management is important </w:t>
      </w:r>
      <w:r w:rsidR="00263445">
        <w:rPr>
          <w:rFonts w:ascii="Times New Roman" w:hAnsi="Times New Roman"/>
        </w:rPr>
        <w:t>to ensure</w:t>
      </w:r>
      <w:r>
        <w:rPr>
          <w:rFonts w:ascii="Times New Roman" w:hAnsi="Times New Roman"/>
        </w:rPr>
        <w:t xml:space="preserve"> the safety and soundness of financial institutions.  </w:t>
      </w:r>
      <w:r w:rsidR="006353FB">
        <w:rPr>
          <w:rFonts w:ascii="Times New Roman" w:hAnsi="Times New Roman"/>
        </w:rPr>
        <w:t xml:space="preserve">Less frequent collection would </w:t>
      </w:r>
      <w:r>
        <w:rPr>
          <w:rFonts w:ascii="Times New Roman" w:hAnsi="Times New Roman"/>
        </w:rPr>
        <w:t>put institutions at risk.</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7. </w:t>
      </w:r>
      <w:r>
        <w:rPr>
          <w:rFonts w:ascii="Times New Roman" w:hAnsi="Times New Roman"/>
          <w:u w:val="single"/>
        </w:rPr>
        <w:t>Special circumstances necessitating collection inconsistent with 5 CFR Part 1320:</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 xml:space="preserve">The information collection is conducted in accordance with OMB guidelines in 5 CFR </w:t>
      </w:r>
      <w:r w:rsidR="00511BC7">
        <w:rPr>
          <w:rFonts w:ascii="Times New Roman" w:hAnsi="Times New Roman"/>
        </w:rPr>
        <w:t>P</w:t>
      </w:r>
      <w:r w:rsidR="000B7F05">
        <w:rPr>
          <w:rFonts w:ascii="Times New Roman" w:hAnsi="Times New Roman"/>
        </w:rPr>
        <w:t>art 1320.</w:t>
      </w:r>
    </w:p>
    <w:p w:rsidR="00813534" w:rsidRDefault="00813534" w:rsidP="008F322C">
      <w:pPr>
        <w:ind w:firstLine="720"/>
        <w:rPr>
          <w:rFonts w:ascii="Times New Roman" w:hAnsi="Times New Roman"/>
        </w:rPr>
      </w:pPr>
    </w:p>
    <w:p w:rsidR="006353FB" w:rsidRDefault="006353FB">
      <w:pPr>
        <w:tabs>
          <w:tab w:val="left" w:pos="-1440"/>
        </w:tabs>
        <w:rPr>
          <w:rFonts w:ascii="Times New Roman" w:hAnsi="Times New Roman"/>
        </w:rPr>
      </w:pPr>
      <w:r>
        <w:rPr>
          <w:rFonts w:ascii="Times New Roman" w:hAnsi="Times New Roman"/>
        </w:rPr>
        <w:t xml:space="preserve">8. </w:t>
      </w:r>
      <w:r>
        <w:rPr>
          <w:rFonts w:ascii="Times New Roman" w:hAnsi="Times New Roman"/>
          <w:u w:val="single"/>
        </w:rPr>
        <w:t>Efforts to consult with persons outside the agency:</w:t>
      </w:r>
    </w:p>
    <w:p w:rsidR="006353FB" w:rsidRDefault="006353FB">
      <w:pPr>
        <w:rPr>
          <w:rFonts w:ascii="Times New Roman" w:hAnsi="Times New Roman"/>
        </w:rPr>
      </w:pPr>
    </w:p>
    <w:p w:rsidR="008817AE" w:rsidRDefault="00927030" w:rsidP="008817AE">
      <w:pPr>
        <w:ind w:firstLine="720"/>
        <w:rPr>
          <w:rFonts w:ascii="Times New Roman" w:hAnsi="Times New Roman"/>
        </w:rPr>
      </w:pPr>
      <w:r>
        <w:rPr>
          <w:rFonts w:ascii="Times New Roman" w:hAnsi="Times New Roman"/>
        </w:rPr>
        <w:t xml:space="preserve">On February 15, 2013, OCC issued a </w:t>
      </w:r>
      <w:r w:rsidRPr="00927030">
        <w:rPr>
          <w:rFonts w:ascii="Times New Roman" w:hAnsi="Times New Roman"/>
          <w:i/>
        </w:rPr>
        <w:t>Federal Register</w:t>
      </w:r>
      <w:r>
        <w:rPr>
          <w:rFonts w:ascii="Times New Roman" w:hAnsi="Times New Roman"/>
        </w:rPr>
        <w:t xml:space="preserve"> notice </w:t>
      </w:r>
      <w:r w:rsidR="003A1961">
        <w:rPr>
          <w:rFonts w:ascii="Times New Roman" w:hAnsi="Times New Roman"/>
        </w:rPr>
        <w:t xml:space="preserve">with a </w:t>
      </w:r>
      <w:r>
        <w:rPr>
          <w:rFonts w:ascii="Times New Roman" w:hAnsi="Times New Roman"/>
        </w:rPr>
        <w:t>60</w:t>
      </w:r>
      <w:r w:rsidR="003A1961">
        <w:rPr>
          <w:rFonts w:ascii="Times New Roman" w:hAnsi="Times New Roman"/>
        </w:rPr>
        <w:t>-</w:t>
      </w:r>
      <w:r w:rsidR="007B1341">
        <w:rPr>
          <w:rFonts w:ascii="Times New Roman" w:hAnsi="Times New Roman"/>
        </w:rPr>
        <w:t xml:space="preserve">day </w:t>
      </w:r>
      <w:r>
        <w:rPr>
          <w:rFonts w:ascii="Times New Roman" w:hAnsi="Times New Roman"/>
        </w:rPr>
        <w:t xml:space="preserve">comment </w:t>
      </w:r>
      <w:r w:rsidR="003A1961">
        <w:rPr>
          <w:rFonts w:ascii="Times New Roman" w:hAnsi="Times New Roman"/>
        </w:rPr>
        <w:t xml:space="preserve">period </w:t>
      </w:r>
      <w:r>
        <w:rPr>
          <w:rFonts w:ascii="Times New Roman" w:hAnsi="Times New Roman"/>
        </w:rPr>
        <w:t xml:space="preserve">regarding the collection.  </w:t>
      </w:r>
      <w:proofErr w:type="gramStart"/>
      <w:r>
        <w:rPr>
          <w:rFonts w:ascii="Times New Roman" w:hAnsi="Times New Roman"/>
        </w:rPr>
        <w:t>78</w:t>
      </w:r>
      <w:proofErr w:type="gramEnd"/>
      <w:r>
        <w:rPr>
          <w:rFonts w:ascii="Times New Roman" w:hAnsi="Times New Roman"/>
        </w:rPr>
        <w:t xml:space="preserve"> FR </w:t>
      </w:r>
      <w:r w:rsidR="009A6377">
        <w:rPr>
          <w:rFonts w:ascii="Times New Roman" w:hAnsi="Times New Roman"/>
        </w:rPr>
        <w:t>11273.  No</w:t>
      </w:r>
      <w:r>
        <w:rPr>
          <w:rFonts w:ascii="Times New Roman" w:hAnsi="Times New Roman"/>
        </w:rPr>
        <w:t xml:space="preserve"> </w:t>
      </w:r>
      <w:r w:rsidR="009A6377">
        <w:rPr>
          <w:rFonts w:ascii="Times New Roman" w:hAnsi="Times New Roman"/>
        </w:rPr>
        <w:t>c</w:t>
      </w:r>
      <w:r>
        <w:rPr>
          <w:rFonts w:ascii="Times New Roman" w:hAnsi="Times New Roman"/>
        </w:rPr>
        <w:t xml:space="preserve">omments </w:t>
      </w:r>
      <w:proofErr w:type="gramStart"/>
      <w:r>
        <w:rPr>
          <w:rFonts w:ascii="Times New Roman" w:hAnsi="Times New Roman"/>
        </w:rPr>
        <w:t>were received</w:t>
      </w:r>
      <w:proofErr w:type="gramEnd"/>
      <w:r>
        <w:rPr>
          <w:rFonts w:ascii="Times New Roman" w:hAnsi="Times New Roman"/>
        </w:rPr>
        <w:t>.</w:t>
      </w:r>
    </w:p>
    <w:p w:rsidR="006353FB" w:rsidRDefault="006353FB">
      <w:pPr>
        <w:rPr>
          <w:rFonts w:ascii="Times New Roman" w:hAnsi="Times New Roman"/>
        </w:rPr>
      </w:pPr>
    </w:p>
    <w:p w:rsidR="006353FB" w:rsidRDefault="006353FB">
      <w:pPr>
        <w:rPr>
          <w:rFonts w:ascii="Times New Roman" w:hAnsi="Times New Roman"/>
        </w:rPr>
        <w:sectPr w:rsidR="006353FB">
          <w:headerReference w:type="default" r:id="rId18"/>
          <w:endnotePr>
            <w:numFmt w:val="decimal"/>
          </w:endnotePr>
          <w:type w:val="continuous"/>
          <w:pgSz w:w="12240" w:h="15840"/>
          <w:pgMar w:top="1440" w:right="1440" w:bottom="1440" w:left="1440" w:header="1440" w:footer="1440" w:gutter="0"/>
          <w:cols w:space="720"/>
          <w:noEndnote/>
        </w:sectPr>
      </w:pPr>
    </w:p>
    <w:p w:rsidR="006353FB" w:rsidRDefault="006353FB">
      <w:pPr>
        <w:rPr>
          <w:rFonts w:ascii="Times New Roman" w:hAnsi="Times New Roman"/>
        </w:rPr>
      </w:pPr>
      <w:r>
        <w:rPr>
          <w:rFonts w:ascii="Times New Roman" w:hAnsi="Times New Roman"/>
        </w:rPr>
        <w:lastRenderedPageBreak/>
        <w:t xml:space="preserve">9. </w:t>
      </w:r>
      <w:r>
        <w:rPr>
          <w:rFonts w:ascii="Times New Roman" w:hAnsi="Times New Roman"/>
          <w:u w:val="single"/>
        </w:rPr>
        <w:t>Payment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proofErr w:type="gramStart"/>
      <w:r>
        <w:rPr>
          <w:rFonts w:ascii="Times New Roman" w:hAnsi="Times New Roman"/>
        </w:rPr>
        <w:t>None.</w:t>
      </w:r>
      <w:proofErr w:type="gramEnd"/>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10. </w:t>
      </w:r>
      <w:r>
        <w:rPr>
          <w:rFonts w:ascii="Times New Roman" w:hAnsi="Times New Roman"/>
          <w:u w:val="single"/>
        </w:rPr>
        <w:t>Any assurance of confidentiality:</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There is no assurance of confidentiality.</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11. </w:t>
      </w:r>
      <w:r>
        <w:rPr>
          <w:rFonts w:ascii="Times New Roman" w:hAnsi="Times New Roman"/>
          <w:u w:val="single"/>
        </w:rPr>
        <w:t>Justification for questions of a sensitive nature:</w:t>
      </w:r>
    </w:p>
    <w:p w:rsidR="006353FB" w:rsidRDefault="006353FB">
      <w:pPr>
        <w:rPr>
          <w:rFonts w:ascii="Times New Roman" w:hAnsi="Times New Roman"/>
        </w:rPr>
      </w:pPr>
    </w:p>
    <w:p w:rsidR="006353FB" w:rsidRDefault="002B46E9" w:rsidP="008F322C">
      <w:pPr>
        <w:ind w:firstLine="720"/>
        <w:rPr>
          <w:rFonts w:ascii="Times New Roman" w:hAnsi="Times New Roman"/>
        </w:rPr>
      </w:pPr>
      <w:r>
        <w:rPr>
          <w:rFonts w:ascii="Times New Roman" w:hAnsi="Times New Roman"/>
        </w:rPr>
        <w:t>Not applicable.</w:t>
      </w:r>
    </w:p>
    <w:p w:rsidR="008F7FD7" w:rsidRDefault="008F7FD7" w:rsidP="00B61535">
      <w:pPr>
        <w:tabs>
          <w:tab w:val="left" w:pos="-1440"/>
        </w:tabs>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u w:val="single"/>
        </w:rPr>
      </w:pPr>
      <w:r>
        <w:rPr>
          <w:rFonts w:ascii="Times New Roman" w:hAnsi="Times New Roman"/>
        </w:rPr>
        <w:t xml:space="preserve">12. </w:t>
      </w:r>
      <w:r>
        <w:rPr>
          <w:rFonts w:ascii="Times New Roman" w:hAnsi="Times New Roman"/>
          <w:u w:val="single"/>
        </w:rPr>
        <w:t>Burden estimate:</w:t>
      </w:r>
    </w:p>
    <w:p w:rsidR="00FF1D65" w:rsidRDefault="00FF1D65">
      <w:pPr>
        <w:tabs>
          <w:tab w:val="left" w:pos="-1440"/>
        </w:tabs>
        <w:ind w:left="720" w:hanging="720"/>
        <w:rPr>
          <w:rFonts w:ascii="Times New Roman" w:hAnsi="Times New Roman"/>
        </w:rPr>
      </w:pPr>
    </w:p>
    <w:p w:rsidR="00FF1D65" w:rsidRPr="00C973EC" w:rsidRDefault="00C973EC">
      <w:pPr>
        <w:tabs>
          <w:tab w:val="left" w:pos="-1440"/>
        </w:tabs>
        <w:ind w:left="720" w:hanging="720"/>
        <w:rPr>
          <w:rFonts w:ascii="Times New Roman" w:hAnsi="Times New Roman"/>
        </w:rPr>
      </w:pPr>
      <w:r w:rsidRPr="00C973EC">
        <w:rPr>
          <w:rFonts w:ascii="Times New Roman" w:hAnsi="Times New Roman"/>
        </w:rPr>
        <w:tab/>
      </w:r>
      <w:proofErr w:type="gramStart"/>
      <w:r w:rsidR="00FF1D65">
        <w:rPr>
          <w:rFonts w:ascii="Times New Roman" w:hAnsi="Times New Roman"/>
          <w:u w:val="single"/>
        </w:rPr>
        <w:t>Affected public</w:t>
      </w:r>
      <w:r>
        <w:rPr>
          <w:rFonts w:ascii="Times New Roman" w:hAnsi="Times New Roman"/>
        </w:rPr>
        <w:t>:  National banks</w:t>
      </w:r>
      <w:r w:rsidR="002E09AB">
        <w:rPr>
          <w:rFonts w:ascii="Times New Roman" w:hAnsi="Times New Roman"/>
        </w:rPr>
        <w:t>, Federal savings associations</w:t>
      </w:r>
      <w:r>
        <w:rPr>
          <w:rFonts w:ascii="Times New Roman" w:hAnsi="Times New Roman"/>
        </w:rPr>
        <w:t>, their subsidiaries, and Federal branches or agencies of foreign banks.</w:t>
      </w:r>
      <w:proofErr w:type="gramEnd"/>
    </w:p>
    <w:p w:rsidR="006353FB" w:rsidRDefault="006353FB">
      <w:pPr>
        <w:rPr>
          <w:rFonts w:ascii="Times New Roman" w:hAnsi="Times New Roman"/>
        </w:rPr>
      </w:pPr>
    </w:p>
    <w:p w:rsidR="00E733CC" w:rsidRDefault="00E733CC" w:rsidP="00C973EC">
      <w:pPr>
        <w:ind w:firstLine="720"/>
        <w:rPr>
          <w:rFonts w:ascii="Times New Roman" w:hAnsi="Times New Roman"/>
        </w:rPr>
      </w:pPr>
      <w:r w:rsidRPr="00FF1D65">
        <w:rPr>
          <w:rFonts w:ascii="Times New Roman" w:hAnsi="Times New Roman"/>
          <w:u w:val="single"/>
        </w:rPr>
        <w:t>Number of respondents</w:t>
      </w:r>
      <w:r>
        <w:rPr>
          <w:rFonts w:ascii="Times New Roman" w:hAnsi="Times New Roman"/>
        </w:rPr>
        <w:t xml:space="preserve">:  </w:t>
      </w:r>
      <w:r w:rsidR="00B61535">
        <w:rPr>
          <w:rFonts w:ascii="Times New Roman" w:hAnsi="Times New Roman"/>
        </w:rPr>
        <w:t>1,833</w:t>
      </w:r>
      <w:r>
        <w:rPr>
          <w:rFonts w:ascii="Times New Roman" w:hAnsi="Times New Roman"/>
        </w:rPr>
        <w:t xml:space="preserve"> total (13 large (over $100 billion in assets), </w:t>
      </w:r>
      <w:r w:rsidR="00B61535">
        <w:rPr>
          <w:rFonts w:ascii="Times New Roman" w:hAnsi="Times New Roman"/>
        </w:rPr>
        <w:t>47</w:t>
      </w:r>
      <w:r>
        <w:rPr>
          <w:rFonts w:ascii="Times New Roman" w:hAnsi="Times New Roman"/>
        </w:rPr>
        <w:t xml:space="preserve"> mid-size ($10 - $100 billion), </w:t>
      </w:r>
      <w:r w:rsidR="00B61535">
        <w:rPr>
          <w:rFonts w:ascii="Times New Roman" w:hAnsi="Times New Roman"/>
        </w:rPr>
        <w:t>1,773</w:t>
      </w:r>
      <w:r>
        <w:rPr>
          <w:rFonts w:ascii="Times New Roman" w:hAnsi="Times New Roman"/>
        </w:rPr>
        <w:t xml:space="preserve"> small (less than $10 billion</w:t>
      </w:r>
      <w:r w:rsidR="00FF1D65">
        <w:rPr>
          <w:rFonts w:ascii="Times New Roman" w:hAnsi="Times New Roman"/>
        </w:rPr>
        <w:t>)).</w:t>
      </w:r>
    </w:p>
    <w:p w:rsidR="00C973EC" w:rsidRDefault="00C973EC">
      <w:pPr>
        <w:rPr>
          <w:rFonts w:ascii="Times New Roman" w:hAnsi="Times New Roman"/>
        </w:rPr>
      </w:pPr>
    </w:p>
    <w:p w:rsidR="00C973EC" w:rsidRDefault="00C973EC">
      <w:pPr>
        <w:rPr>
          <w:rFonts w:ascii="Times New Roman" w:hAnsi="Times New Roman"/>
        </w:rPr>
        <w:sectPr w:rsidR="00C973EC">
          <w:endnotePr>
            <w:numFmt w:val="decimal"/>
          </w:endnotePr>
          <w:type w:val="continuous"/>
          <w:pgSz w:w="12240" w:h="15840"/>
          <w:pgMar w:top="1440" w:right="1440" w:bottom="1440" w:left="1440" w:header="1440" w:footer="1440" w:gutter="0"/>
          <w:cols w:space="720"/>
          <w:noEndnote/>
        </w:sectPr>
      </w:pPr>
    </w:p>
    <w:p w:rsidR="006353FB" w:rsidRDefault="00C973EC">
      <w:pPr>
        <w:rPr>
          <w:rFonts w:ascii="Times New Roman" w:hAnsi="Times New Roman"/>
        </w:rPr>
      </w:pPr>
      <w:r>
        <w:rPr>
          <w:rFonts w:ascii="Times New Roman" w:hAnsi="Times New Roman"/>
        </w:rPr>
        <w:lastRenderedPageBreak/>
        <w:tab/>
      </w:r>
      <w:proofErr w:type="gramStart"/>
      <w:r w:rsidRPr="00C973EC">
        <w:rPr>
          <w:rFonts w:ascii="Times New Roman" w:hAnsi="Times New Roman"/>
          <w:u w:val="single"/>
        </w:rPr>
        <w:t>Burden under section 14</w:t>
      </w:r>
      <w:r>
        <w:rPr>
          <w:rFonts w:ascii="Times New Roman" w:hAnsi="Times New Roman"/>
        </w:rPr>
        <w:t xml:space="preserve">:  </w:t>
      </w:r>
      <w:r w:rsidR="00E32FB5">
        <w:rPr>
          <w:rFonts w:ascii="Times New Roman" w:hAnsi="Times New Roman"/>
        </w:rPr>
        <w:t xml:space="preserve">360 </w:t>
      </w:r>
      <w:r>
        <w:rPr>
          <w:rFonts w:ascii="Times New Roman" w:hAnsi="Times New Roman"/>
        </w:rPr>
        <w:t xml:space="preserve">hours per large respondent, </w:t>
      </w:r>
      <w:r w:rsidR="00E32FB5">
        <w:rPr>
          <w:rFonts w:ascii="Times New Roman" w:hAnsi="Times New Roman"/>
        </w:rPr>
        <w:t xml:space="preserve">120 </w:t>
      </w:r>
      <w:r>
        <w:rPr>
          <w:rFonts w:ascii="Times New Roman" w:hAnsi="Times New Roman"/>
        </w:rPr>
        <w:t xml:space="preserve">hours per mid-size respondent, and </w:t>
      </w:r>
      <w:r w:rsidR="00E32FB5">
        <w:rPr>
          <w:rFonts w:ascii="Times New Roman" w:hAnsi="Times New Roman"/>
        </w:rPr>
        <w:t>40</w:t>
      </w:r>
      <w:r w:rsidR="00B61535">
        <w:rPr>
          <w:rFonts w:ascii="Times New Roman" w:hAnsi="Times New Roman"/>
        </w:rPr>
        <w:t xml:space="preserve"> </w:t>
      </w:r>
      <w:r>
        <w:rPr>
          <w:rFonts w:ascii="Times New Roman" w:hAnsi="Times New Roman"/>
        </w:rPr>
        <w:t>hours per small respondent.</w:t>
      </w:r>
      <w:proofErr w:type="gramEnd"/>
    </w:p>
    <w:p w:rsidR="00C973EC" w:rsidRDefault="00C973EC">
      <w:pPr>
        <w:rPr>
          <w:rFonts w:ascii="Times New Roman" w:hAnsi="Times New Roman"/>
        </w:rPr>
      </w:pPr>
    </w:p>
    <w:p w:rsidR="00C973EC" w:rsidRDefault="00C973EC">
      <w:pPr>
        <w:rPr>
          <w:rFonts w:ascii="Times New Roman" w:hAnsi="Times New Roman"/>
        </w:rPr>
      </w:pPr>
      <w:r>
        <w:rPr>
          <w:rFonts w:ascii="Times New Roman" w:hAnsi="Times New Roman"/>
        </w:rPr>
        <w:tab/>
      </w:r>
      <w:proofErr w:type="gramStart"/>
      <w:r w:rsidRPr="00C973EC">
        <w:rPr>
          <w:rFonts w:ascii="Times New Roman" w:hAnsi="Times New Roman"/>
          <w:u w:val="single"/>
        </w:rPr>
        <w:t>Burden under section 20</w:t>
      </w:r>
      <w:r>
        <w:rPr>
          <w:rFonts w:ascii="Times New Roman" w:hAnsi="Times New Roman"/>
        </w:rPr>
        <w:t xml:space="preserve">:  </w:t>
      </w:r>
      <w:r w:rsidR="00E32FB5">
        <w:rPr>
          <w:rFonts w:ascii="Times New Roman" w:hAnsi="Times New Roman"/>
        </w:rPr>
        <w:t xml:space="preserve">2 </w:t>
      </w:r>
      <w:r>
        <w:rPr>
          <w:rFonts w:ascii="Times New Roman" w:hAnsi="Times New Roman"/>
        </w:rPr>
        <w:t>hours per month.</w:t>
      </w:r>
      <w:proofErr w:type="gramEnd"/>
    </w:p>
    <w:p w:rsidR="00C973EC" w:rsidRDefault="00C973EC">
      <w:pPr>
        <w:rPr>
          <w:rFonts w:ascii="Times New Roman" w:hAnsi="Times New Roman"/>
        </w:rPr>
      </w:pPr>
    </w:p>
    <w:p w:rsidR="00C973EC" w:rsidRDefault="00C973EC">
      <w:pPr>
        <w:rPr>
          <w:rFonts w:ascii="Times New Roman" w:hAnsi="Times New Roman"/>
        </w:rPr>
      </w:pPr>
      <w:r>
        <w:rPr>
          <w:rFonts w:ascii="Times New Roman" w:hAnsi="Times New Roman"/>
        </w:rPr>
        <w:tab/>
      </w:r>
      <w:r w:rsidRPr="00C973EC">
        <w:rPr>
          <w:rFonts w:ascii="Times New Roman" w:hAnsi="Times New Roman"/>
          <w:u w:val="single"/>
        </w:rPr>
        <w:t>Total estimated annual burden</w:t>
      </w:r>
      <w:r>
        <w:rPr>
          <w:rFonts w:ascii="Times New Roman" w:hAnsi="Times New Roman"/>
        </w:rPr>
        <w:t xml:space="preserve">:  </w:t>
      </w:r>
      <w:r w:rsidR="00B61535">
        <w:rPr>
          <w:rFonts w:ascii="Times New Roman" w:hAnsi="Times New Roman"/>
        </w:rPr>
        <w:t>125,232</w:t>
      </w:r>
      <w:r>
        <w:rPr>
          <w:rFonts w:ascii="Times New Roman" w:hAnsi="Times New Roman"/>
        </w:rPr>
        <w:t xml:space="preserve"> hours.</w:t>
      </w:r>
    </w:p>
    <w:p w:rsidR="00511BC7" w:rsidRDefault="00511BC7">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13. </w:t>
      </w:r>
      <w:r>
        <w:rPr>
          <w:rFonts w:ascii="Times New Roman" w:hAnsi="Times New Roman"/>
          <w:u w:val="single"/>
        </w:rPr>
        <w:t>Estimate of annualized costs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sidRPr="00526EBB">
        <w:rPr>
          <w:rFonts w:ascii="Times New Roman" w:hAnsi="Times New Roman"/>
        </w:rPr>
        <w:t xml:space="preserve">14. </w:t>
      </w:r>
      <w:r w:rsidRPr="00813534">
        <w:rPr>
          <w:rFonts w:ascii="Times New Roman" w:hAnsi="Times New Roman"/>
          <w:u w:val="single"/>
        </w:rPr>
        <w:t>Estimate of annualized costs to the government</w:t>
      </w:r>
      <w:r>
        <w:rPr>
          <w:rFonts w:ascii="Times New Roman" w:hAnsi="Times New Roman"/>
        </w:rPr>
        <w:t>:</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15. </w:t>
      </w:r>
      <w:r>
        <w:rPr>
          <w:rFonts w:ascii="Times New Roman" w:hAnsi="Times New Roman"/>
          <w:u w:val="single"/>
        </w:rPr>
        <w:t>Changes in burden:</w:t>
      </w:r>
    </w:p>
    <w:p w:rsidR="006353FB" w:rsidRDefault="006353FB">
      <w:pPr>
        <w:rPr>
          <w:rFonts w:ascii="Times New Roman" w:hAnsi="Times New Roman"/>
        </w:rPr>
      </w:pPr>
    </w:p>
    <w:p w:rsidR="00774092" w:rsidRDefault="00774092">
      <w:pPr>
        <w:rPr>
          <w:rFonts w:ascii="Times New Roman" w:hAnsi="Times New Roman"/>
        </w:rPr>
      </w:pPr>
      <w:r>
        <w:rPr>
          <w:rFonts w:ascii="Times New Roman" w:hAnsi="Times New Roman"/>
        </w:rPr>
        <w:t>Current burden:</w:t>
      </w:r>
    </w:p>
    <w:p w:rsidR="00774092" w:rsidRDefault="00774092">
      <w:pPr>
        <w:rPr>
          <w:rFonts w:ascii="Times New Roman" w:hAnsi="Times New Roman"/>
        </w:rPr>
      </w:pPr>
    </w:p>
    <w:p w:rsidR="006353FB" w:rsidRDefault="00774092" w:rsidP="002B46E9">
      <w:pPr>
        <w:ind w:firstLine="720"/>
        <w:rPr>
          <w:rFonts w:ascii="Times New Roman" w:hAnsi="Times New Roman"/>
        </w:rPr>
      </w:pPr>
      <w:r>
        <w:rPr>
          <w:rFonts w:ascii="Times New Roman" w:hAnsi="Times New Roman"/>
        </w:rPr>
        <w:t>340,768 Total Burden Hours</w:t>
      </w:r>
    </w:p>
    <w:p w:rsidR="00774092" w:rsidRDefault="00774092" w:rsidP="002B46E9">
      <w:pPr>
        <w:ind w:firstLine="720"/>
        <w:rPr>
          <w:rFonts w:ascii="Times New Roman" w:hAnsi="Times New Roman"/>
        </w:rPr>
      </w:pPr>
    </w:p>
    <w:p w:rsidR="00774092" w:rsidRDefault="00774092" w:rsidP="00774092">
      <w:pPr>
        <w:rPr>
          <w:rFonts w:ascii="Times New Roman" w:hAnsi="Times New Roman"/>
        </w:rPr>
      </w:pPr>
      <w:r>
        <w:rPr>
          <w:rFonts w:ascii="Times New Roman" w:hAnsi="Times New Roman"/>
        </w:rPr>
        <w:t>New burden:</w:t>
      </w:r>
    </w:p>
    <w:p w:rsidR="00774092" w:rsidRDefault="00774092" w:rsidP="002B46E9">
      <w:pPr>
        <w:ind w:firstLine="720"/>
        <w:rPr>
          <w:rFonts w:ascii="Times New Roman" w:hAnsi="Times New Roman"/>
        </w:rPr>
      </w:pPr>
    </w:p>
    <w:p w:rsidR="00774092" w:rsidRDefault="00774092" w:rsidP="002B46E9">
      <w:pPr>
        <w:ind w:firstLine="720"/>
        <w:rPr>
          <w:rFonts w:ascii="Times New Roman" w:hAnsi="Times New Roman"/>
        </w:rPr>
      </w:pPr>
      <w:r>
        <w:rPr>
          <w:rFonts w:ascii="Times New Roman" w:hAnsi="Times New Roman"/>
        </w:rPr>
        <w:t>125,232 Total Burden Hours</w:t>
      </w:r>
    </w:p>
    <w:p w:rsidR="00774092" w:rsidRDefault="00774092" w:rsidP="002B46E9">
      <w:pPr>
        <w:ind w:firstLine="720"/>
        <w:rPr>
          <w:rFonts w:ascii="Times New Roman" w:hAnsi="Times New Roman"/>
        </w:rPr>
      </w:pPr>
    </w:p>
    <w:p w:rsidR="00774092" w:rsidRDefault="00774092" w:rsidP="00774092">
      <w:pPr>
        <w:rPr>
          <w:rFonts w:ascii="Times New Roman" w:hAnsi="Times New Roman"/>
        </w:rPr>
      </w:pPr>
      <w:r>
        <w:rPr>
          <w:rFonts w:ascii="Times New Roman" w:hAnsi="Times New Roman"/>
        </w:rPr>
        <w:t>Difference:</w:t>
      </w:r>
    </w:p>
    <w:p w:rsidR="00774092" w:rsidRDefault="00774092" w:rsidP="00774092">
      <w:pPr>
        <w:rPr>
          <w:rFonts w:ascii="Times New Roman" w:hAnsi="Times New Roman"/>
        </w:rPr>
      </w:pPr>
    </w:p>
    <w:p w:rsidR="00774092" w:rsidRDefault="00774092" w:rsidP="00774092">
      <w:pPr>
        <w:rPr>
          <w:rFonts w:ascii="Times New Roman" w:hAnsi="Times New Roman"/>
        </w:rPr>
      </w:pPr>
      <w:r>
        <w:rPr>
          <w:rFonts w:ascii="Times New Roman" w:hAnsi="Times New Roman"/>
        </w:rPr>
        <w:tab/>
        <w:t>-215,536</w:t>
      </w:r>
      <w:r w:rsidR="00317848">
        <w:rPr>
          <w:rFonts w:ascii="Times New Roman" w:hAnsi="Times New Roman"/>
        </w:rPr>
        <w:t xml:space="preserve"> Burden Hours</w:t>
      </w:r>
      <w:bookmarkStart w:id="0" w:name="_GoBack"/>
      <w:bookmarkEnd w:id="0"/>
    </w:p>
    <w:p w:rsidR="000B3872" w:rsidRDefault="000B3872" w:rsidP="00774092">
      <w:pPr>
        <w:rPr>
          <w:rFonts w:ascii="Times New Roman" w:hAnsi="Times New Roman"/>
        </w:rPr>
      </w:pPr>
    </w:p>
    <w:p w:rsidR="000B3872" w:rsidRPr="000B3872" w:rsidRDefault="000B3872" w:rsidP="002024C2">
      <w:pPr>
        <w:ind w:firstLine="720"/>
        <w:rPr>
          <w:rFonts w:ascii="Times New Roman" w:hAnsi="Times New Roman"/>
          <w:color w:val="000000" w:themeColor="text1"/>
        </w:rPr>
      </w:pPr>
      <w:r w:rsidRPr="000B3872">
        <w:rPr>
          <w:rFonts w:ascii="Times New Roman" w:hAnsi="Times New Roman"/>
          <w:color w:val="000000" w:themeColor="text1"/>
        </w:rPr>
        <w:t xml:space="preserve">The decrease in burden is due to the fact that institutions have completed their initial set up and the burden of ongoing compliance is significantly lower.  </w:t>
      </w:r>
    </w:p>
    <w:p w:rsidR="006816AA" w:rsidRDefault="006816AA">
      <w:pPr>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B33044" w:rsidRDefault="00B33044">
      <w:pPr>
        <w:tabs>
          <w:tab w:val="left" w:pos="-1440"/>
        </w:tabs>
        <w:ind w:left="720" w:hanging="720"/>
        <w:rPr>
          <w:rFonts w:ascii="Times New Roman" w:hAnsi="Times New Roman"/>
        </w:rPr>
      </w:pPr>
    </w:p>
    <w:p w:rsidR="00865C6E" w:rsidRDefault="00865C6E">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16. </w:t>
      </w:r>
      <w:r>
        <w:rPr>
          <w:rFonts w:ascii="Times New Roman" w:hAnsi="Times New Roman"/>
          <w:u w:val="single"/>
        </w:rPr>
        <w:t xml:space="preserve">Information regarding collections whose results </w:t>
      </w:r>
      <w:proofErr w:type="gramStart"/>
      <w:r>
        <w:rPr>
          <w:rFonts w:ascii="Times New Roman" w:hAnsi="Times New Roman"/>
          <w:u w:val="single"/>
        </w:rPr>
        <w:t>are planned to be published</w:t>
      </w:r>
      <w:proofErr w:type="gramEnd"/>
      <w:r>
        <w:rPr>
          <w:rFonts w:ascii="Times New Roman" w:hAnsi="Times New Roman"/>
          <w:u w:val="single"/>
        </w:rPr>
        <w:t xml:space="preserve"> for statistical use:</w:t>
      </w:r>
    </w:p>
    <w:p w:rsidR="006353FB" w:rsidRDefault="006353FB">
      <w:pPr>
        <w:ind w:left="720"/>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 publication for statistical use is contemplated.</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 xml:space="preserve">17. </w:t>
      </w:r>
      <w:r>
        <w:rPr>
          <w:rFonts w:ascii="Times New Roman" w:hAnsi="Times New Roman"/>
          <w:u w:val="single"/>
        </w:rPr>
        <w:t>Display of expiration date:</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 xml:space="preserve">18. </w:t>
      </w:r>
      <w:r>
        <w:rPr>
          <w:rFonts w:ascii="Times New Roman" w:hAnsi="Times New Roman"/>
          <w:u w:val="single"/>
        </w:rPr>
        <w:t>Exceptions to certification statement:</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E3724A" w:rsidRDefault="00E3724A">
      <w:pPr>
        <w:rPr>
          <w:rFonts w:ascii="Times New Roman" w:hAnsi="Times New Roman"/>
        </w:rPr>
      </w:pPr>
    </w:p>
    <w:p w:rsidR="006353FB" w:rsidRDefault="006353FB">
      <w:pPr>
        <w:rPr>
          <w:rFonts w:ascii="Times New Roman" w:hAnsi="Times New Roman"/>
        </w:rPr>
      </w:pPr>
      <w:proofErr w:type="gramStart"/>
      <w:r>
        <w:rPr>
          <w:rFonts w:ascii="Times New Roman" w:hAnsi="Times New Roman"/>
        </w:rPr>
        <w:t>B. Collections of Information Employing Statistical Methods.</w:t>
      </w:r>
      <w:proofErr w:type="gramEnd"/>
    </w:p>
    <w:p w:rsidR="00E3724A" w:rsidRDefault="00E3724A">
      <w:pPr>
        <w:rPr>
          <w:rFonts w:ascii="Times New Roman" w:hAnsi="Times New Roman"/>
        </w:rPr>
      </w:pPr>
    </w:p>
    <w:p w:rsidR="006353FB" w:rsidRDefault="006353FB" w:rsidP="008F7FD7">
      <w:pPr>
        <w:ind w:firstLine="720"/>
        <w:rPr>
          <w:rFonts w:ascii="Times New Roman" w:hAnsi="Times New Roman"/>
        </w:rPr>
      </w:pPr>
      <w:proofErr w:type="gramStart"/>
      <w:r>
        <w:rPr>
          <w:rFonts w:ascii="Times New Roman" w:hAnsi="Times New Roman"/>
        </w:rPr>
        <w:t>Not applicable.</w:t>
      </w:r>
      <w:proofErr w:type="gramEnd"/>
    </w:p>
    <w:sectPr w:rsidR="006353FB" w:rsidSect="00AB68F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70" w:rsidRDefault="00781670">
      <w:r>
        <w:separator/>
      </w:r>
    </w:p>
  </w:endnote>
  <w:endnote w:type="continuationSeparator" w:id="0">
    <w:p w:rsidR="00781670" w:rsidRDefault="0078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59910"/>
      <w:docPartObj>
        <w:docPartGallery w:val="Page Numbers (Bottom of Page)"/>
        <w:docPartUnique/>
      </w:docPartObj>
    </w:sdtPr>
    <w:sdtEndPr>
      <w:rPr>
        <w:rFonts w:ascii="Times New Roman" w:hAnsi="Times New Roman"/>
        <w:noProof/>
      </w:rPr>
    </w:sdtEndPr>
    <w:sdtContent>
      <w:p w:rsidR="00E535E6" w:rsidRPr="00E535E6" w:rsidRDefault="00E535E6">
        <w:pPr>
          <w:pStyle w:val="Footer"/>
          <w:jc w:val="center"/>
          <w:rPr>
            <w:rFonts w:ascii="Times New Roman" w:hAnsi="Times New Roman"/>
          </w:rPr>
        </w:pPr>
        <w:r w:rsidRPr="00E535E6">
          <w:rPr>
            <w:rFonts w:ascii="Times New Roman" w:hAnsi="Times New Roman"/>
          </w:rPr>
          <w:fldChar w:fldCharType="begin"/>
        </w:r>
        <w:r w:rsidRPr="00E535E6">
          <w:rPr>
            <w:rFonts w:ascii="Times New Roman" w:hAnsi="Times New Roman"/>
          </w:rPr>
          <w:instrText xml:space="preserve"> PAGE   \* MERGEFORMAT </w:instrText>
        </w:r>
        <w:r w:rsidRPr="00E535E6">
          <w:rPr>
            <w:rFonts w:ascii="Times New Roman" w:hAnsi="Times New Roman"/>
          </w:rPr>
          <w:fldChar w:fldCharType="separate"/>
        </w:r>
        <w:r w:rsidR="00317848">
          <w:rPr>
            <w:rFonts w:ascii="Times New Roman" w:hAnsi="Times New Roman"/>
            <w:noProof/>
          </w:rPr>
          <w:t>3</w:t>
        </w:r>
        <w:r w:rsidRPr="00E535E6">
          <w:rPr>
            <w:rFonts w:ascii="Times New Roman" w:hAnsi="Times New Roman"/>
            <w:noProof/>
          </w:rPr>
          <w:fldChar w:fldCharType="end"/>
        </w:r>
      </w:p>
    </w:sdtContent>
  </w:sdt>
  <w:p w:rsidR="00E535E6" w:rsidRDefault="00E53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70" w:rsidRDefault="00781670">
      <w:r>
        <w:separator/>
      </w:r>
    </w:p>
  </w:footnote>
  <w:footnote w:type="continuationSeparator" w:id="0">
    <w:p w:rsidR="00781670" w:rsidRDefault="00781670">
      <w:r>
        <w:continuationSeparator/>
      </w:r>
    </w:p>
  </w:footnote>
  <w:footnote w:id="1">
    <w:p w:rsidR="00A47304" w:rsidRPr="00A47304" w:rsidRDefault="00A47304" w:rsidP="00A47304">
      <w:pPr>
        <w:rPr>
          <w:rFonts w:ascii="Times New Roman" w:hAnsi="Times New Roman"/>
          <w:sz w:val="20"/>
        </w:rPr>
      </w:pPr>
      <w:r w:rsidRPr="00A47304">
        <w:rPr>
          <w:rStyle w:val="FootnoteReference"/>
          <w:rFonts w:ascii="Times New Roman" w:hAnsi="Times New Roman"/>
          <w:sz w:val="20"/>
          <w:vertAlign w:val="superscript"/>
        </w:rPr>
        <w:footnoteRef/>
      </w:r>
      <w:r w:rsidRPr="00A47304">
        <w:rPr>
          <w:rFonts w:ascii="Times New Roman" w:hAnsi="Times New Roman"/>
          <w:sz w:val="20"/>
        </w:rPr>
        <w:t xml:space="preserve"> </w:t>
      </w:r>
      <w:proofErr w:type="gramStart"/>
      <w:r w:rsidRPr="00A47304">
        <w:rPr>
          <w:rFonts w:ascii="Times New Roman" w:hAnsi="Times New Roman"/>
          <w:sz w:val="20"/>
        </w:rPr>
        <w:t>75</w:t>
      </w:r>
      <w:proofErr w:type="gramEnd"/>
      <w:r w:rsidRPr="00A47304">
        <w:rPr>
          <w:rFonts w:ascii="Times New Roman" w:hAnsi="Times New Roman"/>
          <w:sz w:val="20"/>
        </w:rPr>
        <w:t xml:space="preserve"> FR 13656 (March 22, 2010).</w:t>
      </w:r>
    </w:p>
    <w:p w:rsidR="00A47304" w:rsidRDefault="00A473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4010D9">
    <w:pPr>
      <w:pStyle w:val="Header"/>
      <w:framePr w:wrap="around" w:vAnchor="text" w:hAnchor="margin" w:xAlign="center" w:y="1"/>
      <w:rPr>
        <w:rStyle w:val="PageNumber"/>
      </w:rPr>
    </w:pPr>
    <w:r>
      <w:rPr>
        <w:rStyle w:val="PageNumber"/>
      </w:rPr>
      <w:fldChar w:fldCharType="begin"/>
    </w:r>
    <w:r w:rsidR="00E32FB5">
      <w:rPr>
        <w:rStyle w:val="PageNumber"/>
      </w:rPr>
      <w:instrText xml:space="preserve">PAGE  </w:instrText>
    </w:r>
    <w:r>
      <w:rPr>
        <w:rStyle w:val="PageNumber"/>
      </w:rPr>
      <w:fldChar w:fldCharType="end"/>
    </w:r>
  </w:p>
  <w:p w:rsidR="00E32FB5" w:rsidRDefault="00E32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E32F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E32FB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8F34C38"/>
    <w:multiLevelType w:val="multilevel"/>
    <w:tmpl w:val="6F20B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1"/>
  </w:num>
  <w:num w:numId="3">
    <w:abstractNumId w:val="2"/>
  </w:num>
  <w:num w:numId="4">
    <w:abstractNumId w:val="15"/>
  </w:num>
  <w:num w:numId="5">
    <w:abstractNumId w:val="10"/>
  </w:num>
  <w:num w:numId="6">
    <w:abstractNumId w:val="5"/>
  </w:num>
  <w:num w:numId="7">
    <w:abstractNumId w:val="9"/>
  </w:num>
  <w:num w:numId="8">
    <w:abstractNumId w:val="3"/>
  </w:num>
  <w:num w:numId="9">
    <w:abstractNumId w:val="1"/>
  </w:num>
  <w:num w:numId="10">
    <w:abstractNumId w:val="13"/>
  </w:num>
  <w:num w:numId="11">
    <w:abstractNumId w:val="7"/>
  </w:num>
  <w:num w:numId="12">
    <w:abstractNumId w:val="12"/>
  </w:num>
  <w:num w:numId="13">
    <w:abstractNumId w:val="6"/>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05"/>
    <w:rsid w:val="00007EB2"/>
    <w:rsid w:val="00092EE9"/>
    <w:rsid w:val="000B3872"/>
    <w:rsid w:val="000B7F05"/>
    <w:rsid w:val="000D454D"/>
    <w:rsid w:val="00174548"/>
    <w:rsid w:val="00182F89"/>
    <w:rsid w:val="00185603"/>
    <w:rsid w:val="001A48B8"/>
    <w:rsid w:val="002024C2"/>
    <w:rsid w:val="00237CBA"/>
    <w:rsid w:val="002548AF"/>
    <w:rsid w:val="00263445"/>
    <w:rsid w:val="00282B6A"/>
    <w:rsid w:val="002A7C2E"/>
    <w:rsid w:val="002B46E9"/>
    <w:rsid w:val="002C56E6"/>
    <w:rsid w:val="002E09AB"/>
    <w:rsid w:val="002E5067"/>
    <w:rsid w:val="00317848"/>
    <w:rsid w:val="00343C80"/>
    <w:rsid w:val="003616E6"/>
    <w:rsid w:val="00366D05"/>
    <w:rsid w:val="00395E76"/>
    <w:rsid w:val="003A1961"/>
    <w:rsid w:val="004010D9"/>
    <w:rsid w:val="0042007E"/>
    <w:rsid w:val="00443206"/>
    <w:rsid w:val="00444403"/>
    <w:rsid w:val="00452DFD"/>
    <w:rsid w:val="00453571"/>
    <w:rsid w:val="004614B2"/>
    <w:rsid w:val="00471267"/>
    <w:rsid w:val="00477E66"/>
    <w:rsid w:val="00487CA2"/>
    <w:rsid w:val="00501BBB"/>
    <w:rsid w:val="00511BC7"/>
    <w:rsid w:val="00526EBB"/>
    <w:rsid w:val="0053531E"/>
    <w:rsid w:val="005B493A"/>
    <w:rsid w:val="005D3B05"/>
    <w:rsid w:val="00607AB7"/>
    <w:rsid w:val="006353FB"/>
    <w:rsid w:val="006816AA"/>
    <w:rsid w:val="006946E3"/>
    <w:rsid w:val="00696AA7"/>
    <w:rsid w:val="006D5505"/>
    <w:rsid w:val="006E7873"/>
    <w:rsid w:val="00770657"/>
    <w:rsid w:val="00774092"/>
    <w:rsid w:val="00781670"/>
    <w:rsid w:val="007844CC"/>
    <w:rsid w:val="007B1341"/>
    <w:rsid w:val="007F0F41"/>
    <w:rsid w:val="007F12DC"/>
    <w:rsid w:val="00813534"/>
    <w:rsid w:val="00842987"/>
    <w:rsid w:val="00865C6E"/>
    <w:rsid w:val="008817AE"/>
    <w:rsid w:val="008C291C"/>
    <w:rsid w:val="008D5653"/>
    <w:rsid w:val="008F322C"/>
    <w:rsid w:val="008F7FD7"/>
    <w:rsid w:val="00927030"/>
    <w:rsid w:val="00944E72"/>
    <w:rsid w:val="0095197B"/>
    <w:rsid w:val="00982DFA"/>
    <w:rsid w:val="009A6377"/>
    <w:rsid w:val="009B411A"/>
    <w:rsid w:val="009F1C87"/>
    <w:rsid w:val="00A47304"/>
    <w:rsid w:val="00A622E9"/>
    <w:rsid w:val="00A72DC0"/>
    <w:rsid w:val="00AB68F9"/>
    <w:rsid w:val="00AF4907"/>
    <w:rsid w:val="00B04AA8"/>
    <w:rsid w:val="00B33044"/>
    <w:rsid w:val="00B46EA4"/>
    <w:rsid w:val="00B61535"/>
    <w:rsid w:val="00B74C8F"/>
    <w:rsid w:val="00B824BC"/>
    <w:rsid w:val="00B94C76"/>
    <w:rsid w:val="00B970BE"/>
    <w:rsid w:val="00BA1697"/>
    <w:rsid w:val="00BF5D3C"/>
    <w:rsid w:val="00BF7ECA"/>
    <w:rsid w:val="00C144D4"/>
    <w:rsid w:val="00C66305"/>
    <w:rsid w:val="00C973EC"/>
    <w:rsid w:val="00CE1E39"/>
    <w:rsid w:val="00D20B5F"/>
    <w:rsid w:val="00D2269B"/>
    <w:rsid w:val="00D934CB"/>
    <w:rsid w:val="00DD7147"/>
    <w:rsid w:val="00DF79C1"/>
    <w:rsid w:val="00E32FB5"/>
    <w:rsid w:val="00E3724A"/>
    <w:rsid w:val="00E535E6"/>
    <w:rsid w:val="00E733CC"/>
    <w:rsid w:val="00E75547"/>
    <w:rsid w:val="00E943B9"/>
    <w:rsid w:val="00ED5E11"/>
    <w:rsid w:val="00EF7100"/>
    <w:rsid w:val="00F06CDE"/>
    <w:rsid w:val="00F52DC5"/>
    <w:rsid w:val="00FC35D3"/>
    <w:rsid w:val="00FD5389"/>
    <w:rsid w:val="00FF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535E6"/>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E535E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36920">
      <w:bodyDiv w:val="1"/>
      <w:marLeft w:val="0"/>
      <w:marRight w:val="0"/>
      <w:marTop w:val="0"/>
      <w:marBottom w:val="0"/>
      <w:divBdr>
        <w:top w:val="none" w:sz="0" w:space="0" w:color="auto"/>
        <w:left w:val="none" w:sz="0" w:space="0" w:color="auto"/>
        <w:bottom w:val="none" w:sz="0" w:space="0" w:color="auto"/>
        <w:right w:val="none" w:sz="0" w:space="0" w:color="auto"/>
      </w:divBdr>
    </w:div>
    <w:div w:id="14259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F47C462472B4DAE98E69E13331619" ma:contentTypeVersion="0" ma:contentTypeDescription="Create a new document." ma:contentTypeScope="" ma:versionID="161ee5a67774c96d4782b4e1c825a53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76D7-D230-44A7-8167-C35A12816FFB}">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C739F6-BC9E-4FFA-AF0D-DD3905C5E16B}">
  <ds:schemaRefs>
    <ds:schemaRef ds:uri="http://schemas.microsoft.com/sharepoint/v3/contenttype/forms"/>
  </ds:schemaRefs>
</ds:datastoreItem>
</file>

<file path=customXml/itemProps3.xml><?xml version="1.0" encoding="utf-8"?>
<ds:datastoreItem xmlns:ds="http://schemas.openxmlformats.org/officeDocument/2006/customXml" ds:itemID="{1C78E306-5F2F-428B-A0BE-D9ECC2F6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49EDD3-ABBB-4BE2-B76C-E43D1A09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707</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OCC</dc:creator>
  <cp:lastModifiedBy>mary.gottlieb</cp:lastModifiedBy>
  <cp:revision>5</cp:revision>
  <cp:lastPrinted>2013-02-01T21:15:00Z</cp:lastPrinted>
  <dcterms:created xsi:type="dcterms:W3CDTF">2013-04-18T15:47:00Z</dcterms:created>
  <dcterms:modified xsi:type="dcterms:W3CDTF">2013-04-18T15:53:00Z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0x010100EAFF47C462472B4DAE98E69E13331619</vt:lpwstr>
  </property>
</Properties>
</file>