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90" w:rsidRDefault="00C54890" w:rsidP="00F57763">
      <w:pPr>
        <w:pStyle w:val="Title"/>
        <w:ind w:right="653"/>
        <w:rPr>
          <w:b w:val="0"/>
          <w:bCs w:val="0"/>
          <w:caps/>
        </w:rPr>
      </w:pPr>
      <w:r>
        <w:rPr>
          <w:caps/>
        </w:rPr>
        <w:t>S</w:t>
      </w:r>
      <w:r w:rsidR="00DF4AB0">
        <w:rPr>
          <w:caps/>
        </w:rPr>
        <w:t>upporting</w:t>
      </w:r>
      <w:r>
        <w:rPr>
          <w:caps/>
        </w:rPr>
        <w:t xml:space="preserve"> Statement</w:t>
      </w:r>
    </w:p>
    <w:p w:rsidR="00C54890" w:rsidRDefault="00DF4AB0" w:rsidP="00F57763">
      <w:pPr>
        <w:pStyle w:val="Title"/>
        <w:ind w:right="653"/>
      </w:pPr>
      <w:r>
        <w:t>RISK-BASED CAPITAL STANDARDS:  ADVANCED</w:t>
      </w:r>
    </w:p>
    <w:p w:rsidR="00DF4AB0" w:rsidRDefault="00DF4AB0" w:rsidP="00F57763">
      <w:pPr>
        <w:pStyle w:val="Title"/>
        <w:ind w:right="653"/>
      </w:pPr>
      <w:r>
        <w:t>CAPITAL ADEQUACY FRAMEWORK</w:t>
      </w:r>
    </w:p>
    <w:p w:rsidR="00DF4AB0" w:rsidRDefault="00DF4AB0" w:rsidP="00F57763">
      <w:pPr>
        <w:pStyle w:val="Title"/>
        <w:ind w:right="653"/>
      </w:pPr>
      <w:proofErr w:type="gramStart"/>
      <w:r>
        <w:t>OMB CONTROL NO.</w:t>
      </w:r>
      <w:proofErr w:type="gramEnd"/>
      <w:r>
        <w:t xml:space="preserve"> 1557-0234</w:t>
      </w:r>
    </w:p>
    <w:p w:rsidR="00C54890" w:rsidRDefault="00C54890" w:rsidP="00F57763">
      <w:pPr>
        <w:ind w:right="653"/>
        <w:jc w:val="center"/>
        <w:rPr>
          <w:b/>
          <w:bCs/>
        </w:rPr>
      </w:pPr>
    </w:p>
    <w:p w:rsidR="00C54890" w:rsidRDefault="00C54890" w:rsidP="00F57763">
      <w:pPr>
        <w:ind w:right="653"/>
        <w:rPr>
          <w:b/>
          <w:bCs/>
        </w:rPr>
      </w:pPr>
    </w:p>
    <w:p w:rsidR="00C54890" w:rsidRDefault="00C54890" w:rsidP="00F57763">
      <w:pPr>
        <w:ind w:right="653"/>
        <w:rPr>
          <w:b/>
          <w:bCs/>
        </w:rPr>
      </w:pPr>
      <w:r>
        <w:rPr>
          <w:b/>
          <w:bCs/>
        </w:rPr>
        <w:t>A.  Justification.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/>
        <w:rPr>
          <w:b/>
          <w:bCs/>
          <w:i/>
          <w:iCs/>
        </w:rPr>
      </w:pPr>
      <w:r>
        <w:rPr>
          <w:b/>
          <w:bCs/>
          <w:i/>
          <w:iCs/>
        </w:rPr>
        <w:t>1.  Circumstances that make the collection necessary:</w:t>
      </w:r>
    </w:p>
    <w:p w:rsidR="00C54890" w:rsidRDefault="00C54890" w:rsidP="00F57763">
      <w:pPr>
        <w:ind w:right="653"/>
        <w:rPr>
          <w:b/>
          <w:bCs/>
          <w:i/>
          <w:iCs/>
        </w:rPr>
      </w:pPr>
    </w:p>
    <w:p w:rsidR="00866B10" w:rsidRDefault="00866B10" w:rsidP="00F57763">
      <w:pPr>
        <w:ind w:right="653" w:firstLine="720"/>
      </w:pPr>
      <w:r>
        <w:rPr>
          <w:color w:val="000000"/>
        </w:rPr>
        <w:t xml:space="preserve">On December 7, 2007, </w:t>
      </w:r>
      <w:r w:rsidR="001B086A">
        <w:rPr>
          <w:color w:val="000000"/>
        </w:rPr>
        <w:t>the OCC and the other</w:t>
      </w:r>
      <w:r>
        <w:rPr>
          <w:color w:val="000000"/>
        </w:rPr>
        <w:t xml:space="preserve"> </w:t>
      </w:r>
      <w:r w:rsidR="001B086A">
        <w:rPr>
          <w:color w:val="000000"/>
        </w:rPr>
        <w:t xml:space="preserve">Federal banking </w:t>
      </w:r>
      <w:r>
        <w:rPr>
          <w:color w:val="000000"/>
        </w:rPr>
        <w:t>agencies</w:t>
      </w:r>
      <w:r w:rsidR="001B086A"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issued </w:t>
      </w:r>
      <w:r w:rsidR="00895CBA">
        <w:rPr>
          <w:color w:val="000000"/>
        </w:rPr>
        <w:t>a</w:t>
      </w:r>
      <w:r>
        <w:rPr>
          <w:color w:val="000000"/>
        </w:rPr>
        <w:t xml:space="preserve"> joint final rule titled Risk-Based Capital Standards:  Advanced Capital Adequacy Framework implementing a new risk-based regulatory capital framework for institutions in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United States</w:t>
          </w:r>
        </w:smartTag>
      </w:smartTag>
      <w:r>
        <w:rPr>
          <w:color w:val="000000"/>
        </w:rPr>
        <w:t>.</w:t>
      </w:r>
      <w:r>
        <w:rPr>
          <w:rStyle w:val="FootnoteReference"/>
          <w:szCs w:val="24"/>
        </w:rPr>
        <w:footnoteReference w:id="2"/>
      </w:r>
      <w:r>
        <w:rPr>
          <w:color w:val="000000"/>
        </w:rPr>
        <w:t xml:space="preserve">  </w:t>
      </w:r>
      <w:r>
        <w:t>The final rule requires certain large or internationally active banks and bank holding companies to (1) adopt a written implementation plan, (2) update that plan for any mergers, (3) obtain prior written approvals for the use of certain approaches for determining risk-weighted assets, and (4) make certain public disclosures regarding their capital ratios, their components, and information on implicit support prov</w:t>
      </w:r>
      <w:r w:rsidR="00895CBA">
        <w:t xml:space="preserve">ided to a securitization.  </w:t>
      </w:r>
    </w:p>
    <w:p w:rsidR="00C54890" w:rsidRDefault="00C54890" w:rsidP="00F57763">
      <w:pPr>
        <w:ind w:right="653"/>
      </w:pPr>
    </w:p>
    <w:p w:rsidR="00C54890" w:rsidRPr="00037653" w:rsidRDefault="00957AE5" w:rsidP="00F57763">
      <w:pPr>
        <w:ind w:right="653" w:firstLine="720"/>
        <w:rPr>
          <w:rStyle w:val="documentbody1"/>
          <w:rFonts w:ascii="Times New Roman" w:hAnsi="Times New Roman"/>
          <w:sz w:val="24"/>
          <w:szCs w:val="20"/>
        </w:rPr>
      </w:pPr>
      <w:r>
        <w:rPr>
          <w:rStyle w:val="documentbody1"/>
          <w:rFonts w:ascii="Times New Roman" w:hAnsi="Times New Roman"/>
          <w:sz w:val="24"/>
        </w:rPr>
        <w:t>The i</w:t>
      </w:r>
      <w:r w:rsidR="00C54890">
        <w:rPr>
          <w:rStyle w:val="documentbody1"/>
          <w:rFonts w:ascii="Times New Roman" w:hAnsi="Times New Roman"/>
          <w:sz w:val="24"/>
        </w:rPr>
        <w:t xml:space="preserve">nformation collection requirements </w:t>
      </w:r>
      <w:r w:rsidR="00C71DC2">
        <w:rPr>
          <w:rStyle w:val="documentbody1"/>
          <w:rFonts w:ascii="Times New Roman" w:hAnsi="Times New Roman"/>
          <w:sz w:val="24"/>
        </w:rPr>
        <w:t xml:space="preserve">in this collection </w:t>
      </w:r>
      <w:r w:rsidR="00C54890">
        <w:rPr>
          <w:rStyle w:val="documentbody1"/>
          <w:rFonts w:ascii="Times New Roman" w:hAnsi="Times New Roman"/>
          <w:sz w:val="24"/>
        </w:rPr>
        <w:t xml:space="preserve">are found in </w:t>
      </w:r>
      <w:r w:rsidR="00077C89">
        <w:rPr>
          <w:rStyle w:val="documentbody1"/>
          <w:rFonts w:ascii="Times New Roman" w:hAnsi="Times New Roman"/>
          <w:sz w:val="24"/>
        </w:rPr>
        <w:t xml:space="preserve">12 </w:t>
      </w:r>
      <w:r w:rsidR="006D593E">
        <w:rPr>
          <w:rStyle w:val="documentbody1"/>
          <w:rFonts w:ascii="Times New Roman" w:hAnsi="Times New Roman"/>
          <w:sz w:val="24"/>
        </w:rPr>
        <w:t>CFR</w:t>
      </w:r>
      <w:r w:rsidR="00077C89">
        <w:rPr>
          <w:rStyle w:val="documentbody1"/>
          <w:rFonts w:ascii="Times New Roman" w:hAnsi="Times New Roman"/>
          <w:sz w:val="24"/>
        </w:rPr>
        <w:t xml:space="preserve"> Part</w:t>
      </w:r>
      <w:r w:rsidR="006D593E">
        <w:rPr>
          <w:rStyle w:val="documentbody1"/>
          <w:rFonts w:ascii="Times New Roman" w:hAnsi="Times New Roman"/>
          <w:sz w:val="24"/>
        </w:rPr>
        <w:t>s</w:t>
      </w:r>
      <w:r w:rsidR="00077C89">
        <w:rPr>
          <w:rStyle w:val="documentbody1"/>
          <w:rFonts w:ascii="Times New Roman" w:hAnsi="Times New Roman"/>
          <w:sz w:val="24"/>
        </w:rPr>
        <w:t xml:space="preserve"> 3</w:t>
      </w:r>
      <w:r w:rsidR="006D593E">
        <w:rPr>
          <w:rStyle w:val="documentbody1"/>
          <w:rFonts w:ascii="Times New Roman" w:hAnsi="Times New Roman"/>
          <w:sz w:val="24"/>
        </w:rPr>
        <w:t xml:space="preserve"> and 167</w:t>
      </w:r>
      <w:r w:rsidR="00077C89">
        <w:rPr>
          <w:rStyle w:val="documentbody1"/>
          <w:rFonts w:ascii="Times New Roman" w:hAnsi="Times New Roman"/>
          <w:sz w:val="24"/>
        </w:rPr>
        <w:t>, Appendix C</w:t>
      </w:r>
      <w:r w:rsidR="00C54890">
        <w:rPr>
          <w:rStyle w:val="documentbody1"/>
          <w:rFonts w:ascii="Times New Roman" w:hAnsi="Times New Roman"/>
          <w:sz w:val="24"/>
        </w:rPr>
        <w:t xml:space="preserve">, </w:t>
      </w:r>
      <w:r w:rsidR="002B2013">
        <w:rPr>
          <w:rStyle w:val="documentbody1"/>
          <w:rFonts w:ascii="Times New Roman" w:hAnsi="Times New Roman"/>
          <w:sz w:val="24"/>
        </w:rPr>
        <w:t>§§</w:t>
      </w:r>
      <w:r w:rsidR="00C54890">
        <w:rPr>
          <w:rStyle w:val="documentbody1"/>
          <w:rFonts w:ascii="Times New Roman" w:hAnsi="Times New Roman"/>
          <w:sz w:val="24"/>
        </w:rPr>
        <w:t xml:space="preserve"> 21-2</w:t>
      </w:r>
      <w:r w:rsidR="0096011F">
        <w:rPr>
          <w:rStyle w:val="documentbody1"/>
          <w:rFonts w:ascii="Times New Roman" w:hAnsi="Times New Roman"/>
          <w:sz w:val="24"/>
        </w:rPr>
        <w:t>4</w:t>
      </w:r>
      <w:r w:rsidR="002964EC">
        <w:rPr>
          <w:rStyle w:val="documentbody1"/>
          <w:rFonts w:ascii="Times New Roman" w:hAnsi="Times New Roman"/>
          <w:sz w:val="24"/>
        </w:rPr>
        <w:t xml:space="preserve">, 42, 44, 53 and 71. </w:t>
      </w:r>
      <w:r w:rsidR="00037653">
        <w:rPr>
          <w:rStyle w:val="documentbody1"/>
          <w:rFonts w:ascii="Times New Roman" w:hAnsi="Times New Roman"/>
          <w:sz w:val="24"/>
        </w:rPr>
        <w:t xml:space="preserve"> </w:t>
      </w:r>
      <w:r w:rsidR="00037653">
        <w:t>The required reporting forms are contained in a separate information collection (OMB Control No. 1557-0239.)</w:t>
      </w:r>
      <w:r w:rsidR="002964EC">
        <w:rPr>
          <w:rStyle w:val="documentbody1"/>
          <w:rFonts w:ascii="Times New Roman" w:hAnsi="Times New Roman"/>
          <w:sz w:val="24"/>
        </w:rPr>
        <w:t xml:space="preserve">   </w:t>
      </w:r>
      <w:r w:rsidR="00C54890">
        <w:rPr>
          <w:rStyle w:val="documentbody1"/>
          <w:rFonts w:ascii="Times New Roman" w:hAnsi="Times New Roman"/>
          <w:sz w:val="24"/>
        </w:rPr>
        <w:t xml:space="preserve"> </w:t>
      </w:r>
    </w:p>
    <w:p w:rsidR="00C54890" w:rsidRDefault="00C54890" w:rsidP="00F57763">
      <w:pPr>
        <w:pStyle w:val="BodyText"/>
        <w:ind w:right="653"/>
        <w:rPr>
          <w:b/>
          <w:bCs/>
        </w:rPr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2.  Use of the information:</w:t>
      </w:r>
    </w:p>
    <w:p w:rsidR="00C54890" w:rsidRDefault="00C54890" w:rsidP="00F57763">
      <w:pPr>
        <w:pStyle w:val="Footer"/>
        <w:tabs>
          <w:tab w:val="clear" w:pos="4320"/>
          <w:tab w:val="clear" w:pos="8640"/>
        </w:tabs>
        <w:ind w:right="653"/>
      </w:pPr>
    </w:p>
    <w:p w:rsidR="00C54890" w:rsidRDefault="00C54890" w:rsidP="00F57763">
      <w:pPr>
        <w:ind w:right="653" w:firstLine="720"/>
        <w:rPr>
          <w:szCs w:val="24"/>
        </w:rPr>
      </w:pPr>
      <w:r>
        <w:t xml:space="preserve">The OCC </w:t>
      </w:r>
      <w:r w:rsidR="007B4A05">
        <w:t>use</w:t>
      </w:r>
      <w:r w:rsidR="0096011F">
        <w:t>s</w:t>
      </w:r>
      <w:r w:rsidR="007B4A05">
        <w:t xml:space="preserve"> the information collected to meet its statutory obligations to adopt and implement a risk-based capital requirement, determine the qualification of a bank for application of the rule, and assess the adequacy of a qualifying bank’s risk-based capital.</w:t>
      </w:r>
      <w:r>
        <w:rPr>
          <w:i/>
          <w:iCs/>
        </w:rPr>
        <w:t xml:space="preserve">  </w:t>
      </w:r>
    </w:p>
    <w:p w:rsidR="002D5A5A" w:rsidRPr="002D5A5A" w:rsidRDefault="002D5A5A" w:rsidP="00F57763">
      <w:pPr>
        <w:ind w:right="653"/>
        <w:rPr>
          <w:bCs/>
          <w:iCs/>
        </w:rPr>
      </w:pPr>
    </w:p>
    <w:p w:rsidR="00C54890" w:rsidRDefault="00C54890" w:rsidP="00F57763">
      <w:pPr>
        <w:ind w:right="653"/>
        <w:rPr>
          <w:b/>
          <w:bCs/>
          <w:i/>
          <w:iCs/>
        </w:rPr>
      </w:pPr>
      <w:r>
        <w:rPr>
          <w:b/>
          <w:bCs/>
          <w:i/>
          <w:iCs/>
        </w:rPr>
        <w:t>3.  Consideration of the use of improved information technology:</w:t>
      </w:r>
    </w:p>
    <w:p w:rsidR="00C54890" w:rsidRDefault="00C54890" w:rsidP="00F57763">
      <w:pPr>
        <w:ind w:right="653"/>
      </w:pPr>
    </w:p>
    <w:p w:rsidR="00C54890" w:rsidRDefault="00BA1407" w:rsidP="00F57763">
      <w:pPr>
        <w:pStyle w:val="BodyText"/>
        <w:ind w:right="653" w:firstLine="720"/>
        <w:rPr>
          <w:i w:val="0"/>
          <w:iCs w:val="0"/>
        </w:rPr>
      </w:pPr>
      <w:r>
        <w:rPr>
          <w:i w:val="0"/>
          <w:iCs w:val="0"/>
        </w:rPr>
        <w:t>National banks</w:t>
      </w:r>
      <w:r w:rsidR="00C54890">
        <w:rPr>
          <w:i w:val="0"/>
          <w:iCs w:val="0"/>
        </w:rPr>
        <w:t xml:space="preserve"> </w:t>
      </w:r>
      <w:r w:rsidR="00E934D6">
        <w:rPr>
          <w:i w:val="0"/>
          <w:iCs w:val="0"/>
        </w:rPr>
        <w:t xml:space="preserve">and Federal savings associations </w:t>
      </w:r>
      <w:r w:rsidR="00C54890">
        <w:rPr>
          <w:i w:val="0"/>
          <w:iCs w:val="0"/>
        </w:rPr>
        <w:t>may use any information technology that permits review by OCC examiners.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/>
        <w:rPr>
          <w:b/>
          <w:bCs/>
          <w:i/>
          <w:iCs/>
        </w:rPr>
      </w:pPr>
      <w:r>
        <w:rPr>
          <w:b/>
          <w:bCs/>
          <w:i/>
          <w:iCs/>
        </w:rPr>
        <w:t>4.  Efforts to identify duplication:</w:t>
      </w:r>
    </w:p>
    <w:p w:rsidR="00C54890" w:rsidRDefault="00C54890" w:rsidP="00F57763">
      <w:pPr>
        <w:ind w:right="653"/>
      </w:pPr>
    </w:p>
    <w:p w:rsidR="00C71DC2" w:rsidRDefault="00C54890" w:rsidP="005C54CE">
      <w:pPr>
        <w:ind w:right="653" w:firstLine="720"/>
        <w:rPr>
          <w:b/>
          <w:bCs/>
        </w:rPr>
      </w:pPr>
      <w:r>
        <w:t>The required information is unique and is not duplicative of any other information already collected.</w:t>
      </w:r>
      <w:r w:rsidR="00645D36">
        <w:t xml:space="preserve">  </w:t>
      </w:r>
    </w:p>
    <w:p w:rsidR="00C71DC2" w:rsidRDefault="00C71DC2" w:rsidP="00F57763">
      <w:pPr>
        <w:pStyle w:val="BodyText"/>
        <w:ind w:right="653"/>
        <w:rPr>
          <w:b/>
          <w:bCs/>
        </w:rPr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5.  Methods used to minimize burden if the collection has a significant impact on a substantial number of small entities: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Not applicable.  The collection does not have a significant impact on a substantial number of small entities.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6.  Consequences to the Federal program if the collection were conducted less frequently: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 xml:space="preserve">The OCC will not be able to adequately monitor capital levels </w:t>
      </w:r>
      <w:r w:rsidR="00D61564">
        <w:t>and ensure safety and soundness if the collection were conducted less frequently.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7.  Special circumstances that would cause an information collection to be conducted in a manner inconsistent with 5 CFR Part 1320: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The information collection will be conducted in a manner consistent with 5 CFR Part 1320.</w:t>
      </w:r>
    </w:p>
    <w:p w:rsidR="00C54890" w:rsidRDefault="00C54890" w:rsidP="00F57763">
      <w:pPr>
        <w:pStyle w:val="BodyText"/>
        <w:ind w:right="653"/>
        <w:rPr>
          <w:b/>
          <w:bCs/>
        </w:rPr>
      </w:pPr>
    </w:p>
    <w:p w:rsidR="00C54890" w:rsidRDefault="00C54890" w:rsidP="00F57763">
      <w:pPr>
        <w:pStyle w:val="BodyText"/>
        <w:ind w:right="653"/>
        <w:rPr>
          <w:i w:val="0"/>
          <w:iCs w:val="0"/>
        </w:rPr>
      </w:pPr>
      <w:r>
        <w:rPr>
          <w:b/>
          <w:bCs/>
        </w:rPr>
        <w:t>8.  Efforts to consult with persons outside the agency:</w:t>
      </w:r>
      <w:r>
        <w:rPr>
          <w:i w:val="0"/>
          <w:iCs w:val="0"/>
        </w:rPr>
        <w:t xml:space="preserve">  </w:t>
      </w:r>
    </w:p>
    <w:p w:rsidR="00C54890" w:rsidRDefault="00C54890" w:rsidP="00F57763">
      <w:pPr>
        <w:autoSpaceDE w:val="0"/>
        <w:autoSpaceDN w:val="0"/>
        <w:adjustRightInd w:val="0"/>
        <w:ind w:right="653"/>
      </w:pPr>
    </w:p>
    <w:p w:rsidR="00786794" w:rsidRDefault="00786794" w:rsidP="00F57763">
      <w:pPr>
        <w:ind w:right="653" w:firstLine="720"/>
      </w:pPr>
      <w:r>
        <w:t xml:space="preserve">On </w:t>
      </w:r>
      <w:r w:rsidR="00A6346E">
        <w:t>November 19, 2012</w:t>
      </w:r>
      <w:r>
        <w:t xml:space="preserve">, the </w:t>
      </w:r>
      <w:r w:rsidR="00A6346E">
        <w:t>OCC</w:t>
      </w:r>
      <w:r>
        <w:t xml:space="preserve"> sought comment </w:t>
      </w:r>
      <w:r w:rsidR="00D563CD">
        <w:t xml:space="preserve">on a 60-day </w:t>
      </w:r>
      <w:r w:rsidR="00D563CD" w:rsidRPr="00C71DC2">
        <w:rPr>
          <w:i/>
        </w:rPr>
        <w:t>Federal Register</w:t>
      </w:r>
      <w:r w:rsidR="00D563CD">
        <w:t xml:space="preserve"> notice</w:t>
      </w:r>
      <w:r>
        <w:t xml:space="preserve"> (</w:t>
      </w:r>
      <w:r w:rsidR="00A6346E">
        <w:t>77</w:t>
      </w:r>
      <w:r>
        <w:t xml:space="preserve"> FR </w:t>
      </w:r>
      <w:r w:rsidR="00A6346E">
        <w:t>69546</w:t>
      </w:r>
      <w:r>
        <w:t xml:space="preserve">), and received </w:t>
      </w:r>
      <w:r w:rsidR="0080784C">
        <w:t>no comments.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9.  Payment or gift to respondents: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proofErr w:type="gramStart"/>
      <w:r>
        <w:t>None.</w:t>
      </w:r>
      <w:proofErr w:type="gramEnd"/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10.  Any assurance of confidentiality: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 xml:space="preserve">The information will be kept confidential </w:t>
      </w:r>
      <w:r w:rsidR="00E90404">
        <w:t xml:space="preserve">only </w:t>
      </w:r>
      <w:r w:rsidR="007006B8">
        <w:t>to the extent permitted by law.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11.  Justification for questions of a sensitive nature: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 xml:space="preserve">There are no </w:t>
      </w:r>
      <w:r w:rsidR="00D61564">
        <w:t>questions of a sensitive nature in the information collection.</w:t>
      </w:r>
    </w:p>
    <w:p w:rsidR="00F25F0C" w:rsidRDefault="00F25F0C" w:rsidP="00F57763">
      <w:pPr>
        <w:pStyle w:val="BodyText"/>
        <w:ind w:right="653"/>
        <w:rPr>
          <w:b/>
          <w:bCs/>
        </w:rPr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12.  Burden estimate:</w:t>
      </w:r>
    </w:p>
    <w:p w:rsidR="00D63ED3" w:rsidRDefault="00D63ED3" w:rsidP="00F57763">
      <w:pPr>
        <w:pStyle w:val="BodyText"/>
        <w:ind w:right="653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4"/>
        <w:gridCol w:w="2094"/>
        <w:gridCol w:w="3793"/>
        <w:gridCol w:w="2137"/>
      </w:tblGrid>
      <w:tr w:rsidR="00D63ED3" w:rsidTr="007B1E21">
        <w:trPr>
          <w:tblHeader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3ED3" w:rsidRDefault="00D63ED3">
            <w:pPr>
              <w:pStyle w:val="ArticleNumber"/>
              <w:numPr>
                <w:ilvl w:val="0"/>
                <w:numId w:val="0"/>
              </w:numPr>
              <w:spacing w:line="240" w:lineRule="auto"/>
            </w:pPr>
          </w:p>
          <w:p w:rsidR="00D63ED3" w:rsidRDefault="00D63ED3">
            <w:pPr>
              <w:pStyle w:val="ArticleNumber"/>
              <w:numPr>
                <w:ilvl w:val="0"/>
                <w:numId w:val="0"/>
              </w:numPr>
              <w:spacing w:line="240" w:lineRule="auto"/>
            </w:pPr>
            <w:r>
              <w:t>Section Number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3ED3" w:rsidRDefault="00D63ED3">
            <w:pPr>
              <w:jc w:val="center"/>
            </w:pPr>
          </w:p>
          <w:p w:rsidR="00D63ED3" w:rsidRDefault="00D63ED3">
            <w:pPr>
              <w:jc w:val="center"/>
            </w:pPr>
            <w:r>
              <w:t>Section Title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3ED3" w:rsidRDefault="00D63ED3">
            <w:pPr>
              <w:jc w:val="center"/>
            </w:pPr>
          </w:p>
          <w:p w:rsidR="00D63ED3" w:rsidRDefault="00D63ED3">
            <w:pPr>
              <w:jc w:val="center"/>
            </w:pPr>
            <w:r>
              <w:t>Requirement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63ED3" w:rsidRDefault="00D63ED3">
            <w:pPr>
              <w:jc w:val="center"/>
            </w:pPr>
          </w:p>
          <w:p w:rsidR="00D63ED3" w:rsidRDefault="00D63ED3">
            <w:pPr>
              <w:jc w:val="center"/>
            </w:pPr>
            <w:r>
              <w:t>Estimated Burden Hours</w:t>
            </w:r>
          </w:p>
          <w:p w:rsidR="007B1E21" w:rsidRDefault="007B1E21">
            <w:pPr>
              <w:jc w:val="center"/>
            </w:pPr>
            <w:r>
              <w:t>Per</w:t>
            </w:r>
          </w:p>
          <w:p w:rsidR="007B1E21" w:rsidRDefault="007B1E21">
            <w:pPr>
              <w:jc w:val="center"/>
            </w:pPr>
            <w:r>
              <w:t>Institution</w:t>
            </w:r>
          </w:p>
          <w:p w:rsidR="007B1E21" w:rsidRDefault="007B1E21">
            <w:pPr>
              <w:jc w:val="center"/>
            </w:pP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Section 21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Qualification Process</w:t>
            </w:r>
          </w:p>
          <w:p w:rsidR="00D63ED3" w:rsidRDefault="00D63ED3">
            <w:r>
              <w:t>Timing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(a),(b), (c) and (e)(4) Written Implementation Plan, Parallel run, and reporting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 w:rsidP="00C86CBB">
            <w:pPr>
              <w:jc w:val="center"/>
            </w:pPr>
            <w:r>
              <w:t>4,</w:t>
            </w:r>
            <w:r w:rsidR="006831D7">
              <w:t>2</w:t>
            </w:r>
            <w:r w:rsidR="00C24E07">
              <w:t>75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Section 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Risk Rating and Segmentation Systems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(b)(4) Identify all defaulted retail exposures and group them in segments.</w:t>
            </w:r>
          </w:p>
          <w:p w:rsidR="00D63ED3" w:rsidRDefault="00D63ED3">
            <w:r>
              <w:t>Describe the bank’s rating philosophy and explain migration.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6831D7" w:rsidP="001521C8">
            <w:pPr>
              <w:jc w:val="center"/>
            </w:pPr>
            <w:r>
              <w:t>1</w:t>
            </w:r>
            <w:r w:rsidR="00C24E07">
              <w:t>25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>
            <w:r>
              <w:t xml:space="preserve">Quantification of risk parameters for </w:t>
            </w:r>
            <w:r>
              <w:lastRenderedPageBreak/>
              <w:t>wholesale and retail exposures</w:t>
            </w:r>
          </w:p>
          <w:p w:rsidR="00D63ED3" w:rsidRDefault="00D63ED3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lastRenderedPageBreak/>
              <w:t xml:space="preserve">(c)(8) annually conduct a comprehensive review and analysis </w:t>
            </w:r>
            <w:r>
              <w:lastRenderedPageBreak/>
              <w:t>of reference data to determine relevance, quality, and consistency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 w:rsidP="00C86CBB">
            <w:pPr>
              <w:jc w:val="center"/>
            </w:pPr>
            <w:r>
              <w:lastRenderedPageBreak/>
              <w:t>4,</w:t>
            </w:r>
            <w:r w:rsidR="006831D7">
              <w:t>2</w:t>
            </w:r>
            <w:r w:rsidR="00C24E07">
              <w:t>75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>
            <w:r>
              <w:t>Operational Risk management systems</w:t>
            </w:r>
          </w:p>
          <w:p w:rsidR="00D63ED3" w:rsidRDefault="00D63ED3"/>
          <w:p w:rsidR="00D63ED3" w:rsidRDefault="00D63ED3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 xml:space="preserve">(h)(1)(ii) </w:t>
            </w:r>
            <w:proofErr w:type="gramStart"/>
            <w:r>
              <w:t>and</w:t>
            </w:r>
            <w:proofErr w:type="gramEnd"/>
            <w:r>
              <w:t xml:space="preserve"> (iii) document a process to identify, measure, monitor and control operational risk and report operational risk exposures and losses to management and board of directors.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pPr>
              <w:jc w:val="center"/>
            </w:pPr>
            <w:r>
              <w:t>4</w:t>
            </w:r>
            <w:r w:rsidR="00C24E07">
              <w:t>25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Operational risk quantification systems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(h)(3)(</w:t>
            </w:r>
            <w:proofErr w:type="spellStart"/>
            <w:r>
              <w:t>i</w:t>
            </w:r>
            <w:proofErr w:type="spellEnd"/>
            <w:r>
              <w:t xml:space="preserve">)(D)(ii) </w:t>
            </w:r>
            <w:proofErr w:type="gramStart"/>
            <w:r>
              <w:t>with</w:t>
            </w:r>
            <w:proofErr w:type="gramEnd"/>
            <w:r>
              <w:t xml:space="preserve"> prior written approval, a bank may generate an estimate of operational exposure using an alternative approach, included in implementation plan.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pPr>
              <w:jc w:val="center"/>
            </w:pPr>
            <w:r>
              <w:t>1</w:t>
            </w:r>
            <w:r w:rsidR="00C24E07">
              <w:t>55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Data Management and Maintenance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)(2) </w:t>
            </w:r>
            <w:proofErr w:type="gramStart"/>
            <w:r>
              <w:t>and</w:t>
            </w:r>
            <w:proofErr w:type="gramEnd"/>
            <w:r>
              <w:t xml:space="preserve"> (3) Data management and maintenance systems.  Retain data using electronic format that allows timely retrieval.  Retain sufficient data elements related to the key risk drivers.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pPr>
              <w:jc w:val="center"/>
            </w:pPr>
            <w:r>
              <w:t>4,</w:t>
            </w:r>
            <w:r w:rsidR="006831D7">
              <w:t>2</w:t>
            </w:r>
            <w:r w:rsidR="00C24E07">
              <w:t>75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Control and Oversight Mechanisms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 xml:space="preserve">(j)(2) </w:t>
            </w:r>
            <w:proofErr w:type="gramStart"/>
            <w:r>
              <w:t>and</w:t>
            </w:r>
            <w:proofErr w:type="gramEnd"/>
            <w:r>
              <w:t xml:space="preserve"> (j)(4)(</w:t>
            </w:r>
            <w:proofErr w:type="spellStart"/>
            <w:r>
              <w:t>i</w:t>
            </w:r>
            <w:proofErr w:type="spellEnd"/>
            <w:r>
              <w:t>), (ii), and (iii) Board must annually evaluate effectiveness of and approve bank’s advanced systems.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3D2968">
            <w:pPr>
              <w:jc w:val="center"/>
            </w:pPr>
            <w:r>
              <w:t>200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Documentation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(k) Must adequately document all material aspects of its advanced systems.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pPr>
              <w:jc w:val="center"/>
            </w:pPr>
            <w:r>
              <w:t>2</w:t>
            </w:r>
            <w:r w:rsidR="00C24E07">
              <w:t>65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Section 23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Ongoing Qualification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(a)(b)(c) Keep the implementation plan current for mergers.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pPr>
              <w:jc w:val="center"/>
            </w:pPr>
            <w:r>
              <w:t>2</w:t>
            </w:r>
            <w:r w:rsidR="00C24E07">
              <w:t>65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Section 42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>
            <w:r>
              <w:t>Capital Requirement for Securitization Exposures</w:t>
            </w:r>
          </w:p>
          <w:p w:rsidR="00D63ED3" w:rsidRDefault="00D63ED3"/>
          <w:p w:rsidR="00D63ED3" w:rsidRDefault="00D63ED3">
            <w:r>
              <w:t>Implicit Support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(h)(2) Must disclose publicly that it has provided implicit support to the securitization and regulatory capital impact to the bank of providing implicit support.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3D2968">
            <w:pPr>
              <w:jc w:val="center"/>
            </w:pPr>
            <w:r>
              <w:t>200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Section 44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Internal Assessment Approach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 xml:space="preserve">(a)(1) Bank qualification criteria, prior written approval of use of IAA, review and update each internal credit assessment whenever new material is available but at least </w:t>
            </w:r>
            <w:r>
              <w:lastRenderedPageBreak/>
              <w:t>annually, validate internal credit assessment process on an ongoing basis and at least annually.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764C9C">
            <w:pPr>
              <w:jc w:val="center"/>
            </w:pPr>
            <w:r>
              <w:lastRenderedPageBreak/>
              <w:t>1</w:t>
            </w:r>
            <w:r w:rsidR="00C24E07">
              <w:t>55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lastRenderedPageBreak/>
              <w:t>Section 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Internal Models Approach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(a) Must have prior written approval from agency to use IMA, and a model that assesses potential decline in value of its equity exposures…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3D2968" w:rsidP="00C24E07">
            <w:pPr>
              <w:jc w:val="center"/>
            </w:pPr>
            <w:r>
              <w:t>200</w:t>
            </w:r>
          </w:p>
        </w:tc>
      </w:tr>
      <w:tr w:rsidR="00D63ED3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3" w:rsidRDefault="00D63ED3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D63ED3">
            <w:r>
              <w:t>(a)(5) Daily market prices must be available for all modeled exposures…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D3" w:rsidRDefault="006831D7" w:rsidP="00C24E07">
            <w:pPr>
              <w:jc w:val="center"/>
            </w:pPr>
            <w:r>
              <w:t>1</w:t>
            </w:r>
            <w:r w:rsidR="00C24E07">
              <w:t>25</w:t>
            </w:r>
          </w:p>
        </w:tc>
      </w:tr>
      <w:tr w:rsidR="00AA41DF" w:rsidTr="007B1E2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F" w:rsidRDefault="00AA41DF">
            <w:r>
              <w:t>Total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F" w:rsidRDefault="00AA41DF"/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F" w:rsidRDefault="00AA41DF"/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DF" w:rsidRDefault="00AA41DF" w:rsidP="00C24E07">
            <w:pPr>
              <w:jc w:val="center"/>
            </w:pPr>
            <w:r>
              <w:t>14,940</w:t>
            </w:r>
          </w:p>
        </w:tc>
      </w:tr>
    </w:tbl>
    <w:p w:rsidR="00D63ED3" w:rsidRPr="00D63ED3" w:rsidRDefault="00D63ED3" w:rsidP="00F57763">
      <w:pPr>
        <w:pStyle w:val="BodyText"/>
        <w:ind w:right="653"/>
        <w:rPr>
          <w:bCs/>
          <w:i w:val="0"/>
        </w:rPr>
      </w:pPr>
    </w:p>
    <w:p w:rsidR="00C54890" w:rsidRDefault="00C54890" w:rsidP="00F57763">
      <w:pPr>
        <w:ind w:right="653"/>
        <w:jc w:val="center"/>
        <w:rPr>
          <w:b/>
          <w:bCs/>
        </w:rPr>
      </w:pPr>
    </w:p>
    <w:p w:rsidR="00C54890" w:rsidRDefault="00AA41DF" w:rsidP="00F57763">
      <w:pPr>
        <w:ind w:right="653"/>
        <w:rPr>
          <w:rStyle w:val="a"/>
        </w:rPr>
      </w:pPr>
      <w:proofErr w:type="gramStart"/>
      <w:r>
        <w:rPr>
          <w:rStyle w:val="a"/>
          <w:u w:val="single"/>
        </w:rPr>
        <w:t xml:space="preserve">Estimated </w:t>
      </w:r>
      <w:r w:rsidR="008740C3" w:rsidRPr="00C71DC2">
        <w:rPr>
          <w:rStyle w:val="a"/>
          <w:u w:val="single"/>
        </w:rPr>
        <w:t>Number of Respondents</w:t>
      </w:r>
      <w:r w:rsidR="00635F6A">
        <w:rPr>
          <w:rStyle w:val="a"/>
        </w:rPr>
        <w:t>:  55.</w:t>
      </w:r>
      <w:proofErr w:type="gramEnd"/>
    </w:p>
    <w:p w:rsidR="00AA41DF" w:rsidRDefault="00AA41DF" w:rsidP="00F57763">
      <w:pPr>
        <w:ind w:right="653"/>
        <w:rPr>
          <w:rStyle w:val="a"/>
        </w:rPr>
      </w:pPr>
    </w:p>
    <w:p w:rsidR="00AA41DF" w:rsidRPr="00AA41DF" w:rsidRDefault="00AA41DF" w:rsidP="00F57763">
      <w:pPr>
        <w:ind w:right="653"/>
        <w:rPr>
          <w:rStyle w:val="a"/>
        </w:rPr>
      </w:pPr>
      <w:r>
        <w:rPr>
          <w:rStyle w:val="a"/>
          <w:u w:val="single"/>
        </w:rPr>
        <w:t>Estimated Total Burden Hours per Institution</w:t>
      </w:r>
      <w:r w:rsidRPr="00AA41DF">
        <w:rPr>
          <w:rStyle w:val="a"/>
        </w:rPr>
        <w:t>:  14,940</w:t>
      </w:r>
      <w:r w:rsidR="00AF6CC3">
        <w:rPr>
          <w:rStyle w:val="a"/>
        </w:rPr>
        <w:t xml:space="preserve"> (</w:t>
      </w:r>
      <w:r>
        <w:rPr>
          <w:rStyle w:val="a"/>
        </w:rPr>
        <w:t>14,939 in ROCIS</w:t>
      </w:r>
      <w:r w:rsidR="00AF6CC3">
        <w:rPr>
          <w:rStyle w:val="a"/>
        </w:rPr>
        <w:t xml:space="preserve"> due to rounding</w:t>
      </w:r>
      <w:r>
        <w:rPr>
          <w:rStyle w:val="a"/>
        </w:rPr>
        <w:t>).</w:t>
      </w:r>
      <w:r w:rsidRPr="00AA41DF">
        <w:rPr>
          <w:rStyle w:val="a"/>
        </w:rPr>
        <w:t xml:space="preserve"> </w:t>
      </w:r>
    </w:p>
    <w:p w:rsidR="00C54890" w:rsidRDefault="00C54890" w:rsidP="00F57763">
      <w:pPr>
        <w:ind w:right="653"/>
        <w:rPr>
          <w:rStyle w:val="a"/>
        </w:rPr>
      </w:pPr>
    </w:p>
    <w:p w:rsidR="00C54890" w:rsidRDefault="00C54890" w:rsidP="00F57763">
      <w:pPr>
        <w:ind w:right="653"/>
      </w:pPr>
      <w:r w:rsidRPr="00C71DC2">
        <w:rPr>
          <w:rStyle w:val="a"/>
          <w:u w:val="single"/>
        </w:rPr>
        <w:t>Total Estimated Annual Burden</w:t>
      </w:r>
      <w:r>
        <w:rPr>
          <w:rStyle w:val="a"/>
        </w:rPr>
        <w:t xml:space="preserve">:  </w:t>
      </w:r>
      <w:r w:rsidR="00AA41DF">
        <w:rPr>
          <w:rStyle w:val="a"/>
        </w:rPr>
        <w:t>821,700 (</w:t>
      </w:r>
      <w:r w:rsidR="00635F6A">
        <w:rPr>
          <w:rStyle w:val="a"/>
        </w:rPr>
        <w:t>821,640</w:t>
      </w:r>
      <w:r w:rsidR="00AF6CC3">
        <w:rPr>
          <w:rStyle w:val="a"/>
        </w:rPr>
        <w:t xml:space="preserve"> in ROCIS due to rounding)</w:t>
      </w:r>
      <w:r w:rsidR="00635F6A">
        <w:rPr>
          <w:rStyle w:val="a"/>
        </w:rPr>
        <w:t>.</w:t>
      </w:r>
      <w:r>
        <w:tab/>
      </w:r>
      <w:r>
        <w:tab/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13.  Estimate of total annual costs to respondents (excluding cost of hour burden in Item #12):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Not applicable.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14.  Estimate of annualized costs to the Federal government:</w:t>
      </w:r>
    </w:p>
    <w:p w:rsidR="00C54890" w:rsidRDefault="00C54890" w:rsidP="00F57763">
      <w:pPr>
        <w:pStyle w:val="Footer"/>
        <w:tabs>
          <w:tab w:val="clear" w:pos="4320"/>
          <w:tab w:val="clear" w:pos="8640"/>
        </w:tabs>
        <w:ind w:right="653"/>
      </w:pPr>
    </w:p>
    <w:p w:rsidR="00C54890" w:rsidRDefault="00C54890" w:rsidP="00F57763">
      <w:pPr>
        <w:ind w:right="653" w:firstLine="720"/>
      </w:pPr>
      <w:r>
        <w:t>Not applicable.</w:t>
      </w:r>
    </w:p>
    <w:p w:rsidR="00C54890" w:rsidRDefault="00C54890" w:rsidP="00F57763">
      <w:pPr>
        <w:pStyle w:val="BodyText"/>
        <w:ind w:right="653"/>
        <w:rPr>
          <w:b/>
          <w:bCs/>
        </w:rPr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15.  Change in burden:</w:t>
      </w:r>
    </w:p>
    <w:p w:rsidR="00C54890" w:rsidRDefault="00C54890" w:rsidP="00F57763">
      <w:pPr>
        <w:ind w:right="653"/>
      </w:pPr>
    </w:p>
    <w:p w:rsidR="00C54890" w:rsidRPr="00271DD7" w:rsidRDefault="00271DD7" w:rsidP="00F57763">
      <w:pPr>
        <w:ind w:right="653" w:firstLine="720"/>
      </w:pPr>
      <w:r w:rsidRPr="00271DD7">
        <w:rPr>
          <w:iCs/>
        </w:rPr>
        <w:t>There is no change in burden.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16.  Information regarding collections whose results are to be published for statistical use: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The OCC has no plans to publish the information for statistical purposes.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17.  Reasons for not displaying OMB approval expiration date: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The OCC is not requesting permission to not display the OMB approval expiration date.</w:t>
      </w:r>
    </w:p>
    <w:p w:rsidR="00C54890" w:rsidRDefault="00C54890" w:rsidP="00F57763">
      <w:pPr>
        <w:ind w:right="653"/>
      </w:pPr>
    </w:p>
    <w:p w:rsidR="00C54890" w:rsidRDefault="00C54890" w:rsidP="00F57763">
      <w:pPr>
        <w:pStyle w:val="BodyText"/>
        <w:ind w:right="653"/>
        <w:rPr>
          <w:b/>
          <w:bCs/>
        </w:rPr>
      </w:pPr>
      <w:r>
        <w:rPr>
          <w:b/>
          <w:bCs/>
        </w:rPr>
        <w:t>18.  Exceptions to the certification statement in Item 19 of OMB Form 83-I:</w:t>
      </w:r>
    </w:p>
    <w:p w:rsidR="00C54890" w:rsidRDefault="00C54890" w:rsidP="00F57763">
      <w:pPr>
        <w:ind w:right="653"/>
      </w:pPr>
    </w:p>
    <w:p w:rsidR="003378C0" w:rsidRPr="00C71DC2" w:rsidRDefault="00C54890" w:rsidP="00F57763">
      <w:pPr>
        <w:ind w:right="653" w:firstLine="720"/>
      </w:pPr>
      <w:proofErr w:type="gramStart"/>
      <w:r>
        <w:t>None.</w:t>
      </w:r>
      <w:proofErr w:type="gramEnd"/>
    </w:p>
    <w:p w:rsidR="003378C0" w:rsidRDefault="003378C0" w:rsidP="00F57763">
      <w:pPr>
        <w:ind w:right="653"/>
        <w:rPr>
          <w:b/>
          <w:bCs/>
        </w:rPr>
      </w:pPr>
    </w:p>
    <w:p w:rsidR="00C54890" w:rsidRDefault="00C54890" w:rsidP="00F57763">
      <w:pPr>
        <w:ind w:right="653"/>
      </w:pPr>
      <w:r>
        <w:rPr>
          <w:b/>
          <w:bCs/>
        </w:rPr>
        <w:t>B.  Collections of Information Employing Statistical Methods.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 w:firstLine="720"/>
      </w:pPr>
      <w:r>
        <w:t>Not applicable.</w:t>
      </w:r>
    </w:p>
    <w:p w:rsidR="00C54890" w:rsidRDefault="00C54890" w:rsidP="00F57763">
      <w:pPr>
        <w:ind w:right="653"/>
      </w:pPr>
    </w:p>
    <w:p w:rsidR="00C54890" w:rsidRDefault="00C54890" w:rsidP="00F57763">
      <w:pPr>
        <w:ind w:right="653"/>
      </w:pPr>
    </w:p>
    <w:p w:rsidR="00C54890" w:rsidRDefault="00C54890" w:rsidP="00F57763">
      <w:pPr>
        <w:ind w:right="653"/>
        <w:jc w:val="center"/>
      </w:pPr>
    </w:p>
    <w:sectPr w:rsidR="00C54890" w:rsidSect="00061F8D">
      <w:footerReference w:type="even" r:id="rId8"/>
      <w:footerReference w:type="default" r:id="rId9"/>
      <w:pgSz w:w="12240" w:h="15840" w:code="1"/>
      <w:pgMar w:top="1440" w:right="547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DF" w:rsidRDefault="00AA41DF">
      <w:r>
        <w:separator/>
      </w:r>
    </w:p>
  </w:endnote>
  <w:endnote w:type="continuationSeparator" w:id="0">
    <w:p w:rsidR="00AA41DF" w:rsidRDefault="00AA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1DF" w:rsidRDefault="00AA4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1DF" w:rsidRDefault="00AA41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1DF" w:rsidRDefault="00AA4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CC3">
      <w:rPr>
        <w:rStyle w:val="PageNumber"/>
        <w:noProof/>
      </w:rPr>
      <w:t>4</w:t>
    </w:r>
    <w:r>
      <w:rPr>
        <w:rStyle w:val="PageNumber"/>
      </w:rPr>
      <w:fldChar w:fldCharType="end"/>
    </w:r>
  </w:p>
  <w:p w:rsidR="00AA41DF" w:rsidRDefault="00AA4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DF" w:rsidRDefault="00AA41DF">
      <w:r>
        <w:separator/>
      </w:r>
    </w:p>
  </w:footnote>
  <w:footnote w:type="continuationSeparator" w:id="0">
    <w:p w:rsidR="00AA41DF" w:rsidRDefault="00AA41DF">
      <w:r>
        <w:continuationSeparator/>
      </w:r>
    </w:p>
  </w:footnote>
  <w:footnote w:id="1">
    <w:p w:rsidR="00AA41DF" w:rsidRDefault="00AA41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Board of Governors of the Federal Reserve System, Federal Deposit Insurance Corporation, and Office of Thrift Supervision.</w:t>
      </w:r>
      <w:proofErr w:type="gramEnd"/>
    </w:p>
  </w:footnote>
  <w:footnote w:id="2">
    <w:p w:rsidR="00AA41DF" w:rsidRDefault="00AA41DF" w:rsidP="00866B10">
      <w:pPr>
        <w:pStyle w:val="FootnoteText"/>
      </w:pPr>
      <w:r>
        <w:rPr>
          <w:rStyle w:val="FootnoteReference"/>
        </w:rPr>
        <w:footnoteRef/>
      </w:r>
      <w:r>
        <w:t xml:space="preserve"> 72 FR 69288 (December 7, 2007).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404"/>
    <w:rsid w:val="00016879"/>
    <w:rsid w:val="00037653"/>
    <w:rsid w:val="00061F8D"/>
    <w:rsid w:val="00062E70"/>
    <w:rsid w:val="00072C33"/>
    <w:rsid w:val="00077C89"/>
    <w:rsid w:val="000C28D8"/>
    <w:rsid w:val="000F11D3"/>
    <w:rsid w:val="00126F56"/>
    <w:rsid w:val="001521C8"/>
    <w:rsid w:val="00167F34"/>
    <w:rsid w:val="001742EB"/>
    <w:rsid w:val="001B086A"/>
    <w:rsid w:val="001E35DF"/>
    <w:rsid w:val="001E7734"/>
    <w:rsid w:val="00207024"/>
    <w:rsid w:val="00220557"/>
    <w:rsid w:val="00271DD7"/>
    <w:rsid w:val="00277132"/>
    <w:rsid w:val="0028491D"/>
    <w:rsid w:val="002964EC"/>
    <w:rsid w:val="002B2013"/>
    <w:rsid w:val="002C39A8"/>
    <w:rsid w:val="002C6FD2"/>
    <w:rsid w:val="002D5A5A"/>
    <w:rsid w:val="003378C0"/>
    <w:rsid w:val="0034135E"/>
    <w:rsid w:val="0036670B"/>
    <w:rsid w:val="00374795"/>
    <w:rsid w:val="00384371"/>
    <w:rsid w:val="003A0ACC"/>
    <w:rsid w:val="003C208A"/>
    <w:rsid w:val="003D2968"/>
    <w:rsid w:val="003E7F6C"/>
    <w:rsid w:val="004118AF"/>
    <w:rsid w:val="00422DA1"/>
    <w:rsid w:val="00423D6A"/>
    <w:rsid w:val="004D079B"/>
    <w:rsid w:val="004E36DE"/>
    <w:rsid w:val="005143F9"/>
    <w:rsid w:val="005230C3"/>
    <w:rsid w:val="00546DA5"/>
    <w:rsid w:val="005721F6"/>
    <w:rsid w:val="00596017"/>
    <w:rsid w:val="005B63F5"/>
    <w:rsid w:val="005C54CE"/>
    <w:rsid w:val="00602AAD"/>
    <w:rsid w:val="00635F6A"/>
    <w:rsid w:val="00645D36"/>
    <w:rsid w:val="006831D7"/>
    <w:rsid w:val="006B5B68"/>
    <w:rsid w:val="006D593E"/>
    <w:rsid w:val="007006B8"/>
    <w:rsid w:val="0070438E"/>
    <w:rsid w:val="0073536B"/>
    <w:rsid w:val="00764C9C"/>
    <w:rsid w:val="00786794"/>
    <w:rsid w:val="00792735"/>
    <w:rsid w:val="00792773"/>
    <w:rsid w:val="007A2DD7"/>
    <w:rsid w:val="007B1D9E"/>
    <w:rsid w:val="007B1E21"/>
    <w:rsid w:val="007B4A05"/>
    <w:rsid w:val="007B547C"/>
    <w:rsid w:val="0080784C"/>
    <w:rsid w:val="008132DF"/>
    <w:rsid w:val="00860CA9"/>
    <w:rsid w:val="00866B10"/>
    <w:rsid w:val="008740C3"/>
    <w:rsid w:val="00885DA7"/>
    <w:rsid w:val="00895CBA"/>
    <w:rsid w:val="008E01CD"/>
    <w:rsid w:val="00957AE5"/>
    <w:rsid w:val="0096011F"/>
    <w:rsid w:val="00985652"/>
    <w:rsid w:val="009A421E"/>
    <w:rsid w:val="009D6BD4"/>
    <w:rsid w:val="009E1DB5"/>
    <w:rsid w:val="00A33CA4"/>
    <w:rsid w:val="00A47A84"/>
    <w:rsid w:val="00A6346E"/>
    <w:rsid w:val="00A97A95"/>
    <w:rsid w:val="00AA41DF"/>
    <w:rsid w:val="00AD0BE6"/>
    <w:rsid w:val="00AF6CC3"/>
    <w:rsid w:val="00B03A55"/>
    <w:rsid w:val="00B12F9F"/>
    <w:rsid w:val="00B61BF4"/>
    <w:rsid w:val="00B75379"/>
    <w:rsid w:val="00B91B7C"/>
    <w:rsid w:val="00BA1407"/>
    <w:rsid w:val="00BB1223"/>
    <w:rsid w:val="00BC327B"/>
    <w:rsid w:val="00C24E07"/>
    <w:rsid w:val="00C54890"/>
    <w:rsid w:val="00C71DC2"/>
    <w:rsid w:val="00C833B9"/>
    <w:rsid w:val="00C86CBB"/>
    <w:rsid w:val="00CE71E6"/>
    <w:rsid w:val="00CF774D"/>
    <w:rsid w:val="00D22D3A"/>
    <w:rsid w:val="00D31F63"/>
    <w:rsid w:val="00D563CD"/>
    <w:rsid w:val="00D61564"/>
    <w:rsid w:val="00D63ED3"/>
    <w:rsid w:val="00DB6D53"/>
    <w:rsid w:val="00DE4F8C"/>
    <w:rsid w:val="00DF4AB0"/>
    <w:rsid w:val="00E12177"/>
    <w:rsid w:val="00E175EE"/>
    <w:rsid w:val="00E400F7"/>
    <w:rsid w:val="00E62C46"/>
    <w:rsid w:val="00E90404"/>
    <w:rsid w:val="00E934D6"/>
    <w:rsid w:val="00EB1287"/>
    <w:rsid w:val="00F01771"/>
    <w:rsid w:val="00F10785"/>
    <w:rsid w:val="00F25F0C"/>
    <w:rsid w:val="00F26804"/>
    <w:rsid w:val="00F50E21"/>
    <w:rsid w:val="00F57763"/>
    <w:rsid w:val="00FE3BC3"/>
    <w:rsid w:val="00FE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F8D"/>
    <w:rPr>
      <w:sz w:val="24"/>
    </w:rPr>
  </w:style>
  <w:style w:type="paragraph" w:styleId="Heading1">
    <w:name w:val="heading 1"/>
    <w:basedOn w:val="Normal"/>
    <w:next w:val="Normal"/>
    <w:qFormat/>
    <w:rsid w:val="00061F8D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061F8D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61F8D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061F8D"/>
    <w:pPr>
      <w:keepNext/>
      <w:spacing w:line="480" w:lineRule="auto"/>
      <w:outlineLvl w:val="3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61F8D"/>
    <w:rPr>
      <w:vertAlign w:val="superscript"/>
    </w:rPr>
  </w:style>
  <w:style w:type="paragraph" w:styleId="FootnoteText">
    <w:name w:val="footnote text"/>
    <w:basedOn w:val="Normal"/>
    <w:semiHidden/>
    <w:rsid w:val="00061F8D"/>
    <w:rPr>
      <w:sz w:val="20"/>
    </w:rPr>
  </w:style>
  <w:style w:type="paragraph" w:customStyle="1" w:styleId="ArticleNumber">
    <w:name w:val="Article Number"/>
    <w:basedOn w:val="Normal"/>
    <w:rsid w:val="00061F8D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rsid w:val="00061F8D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rsid w:val="00061F8D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rsid w:val="00061F8D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Title">
    <w:name w:val="Title"/>
    <w:basedOn w:val="Normal"/>
    <w:qFormat/>
    <w:rsid w:val="00061F8D"/>
    <w:pPr>
      <w:jc w:val="center"/>
    </w:pPr>
    <w:rPr>
      <w:b/>
      <w:bCs/>
    </w:rPr>
  </w:style>
  <w:style w:type="paragraph" w:styleId="Footer">
    <w:name w:val="footer"/>
    <w:basedOn w:val="Normal"/>
    <w:rsid w:val="00061F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F8D"/>
  </w:style>
  <w:style w:type="paragraph" w:styleId="BodyText">
    <w:name w:val="Body Text"/>
    <w:basedOn w:val="Normal"/>
    <w:rsid w:val="00061F8D"/>
    <w:rPr>
      <w:i/>
      <w:iCs/>
    </w:rPr>
  </w:style>
  <w:style w:type="character" w:customStyle="1" w:styleId="a">
    <w:name w:val="_"/>
    <w:rsid w:val="00061F8D"/>
  </w:style>
  <w:style w:type="character" w:customStyle="1" w:styleId="documentbody1">
    <w:name w:val="documentbody1"/>
    <w:basedOn w:val="DefaultParagraphFont"/>
    <w:rsid w:val="00061F8D"/>
    <w:rPr>
      <w:rFonts w:ascii="Verdana" w:hAnsi="Verdana" w:hint="default"/>
      <w:sz w:val="19"/>
      <w:szCs w:val="19"/>
    </w:rPr>
  </w:style>
  <w:style w:type="character" w:styleId="Hyperlink">
    <w:name w:val="Hyperlink"/>
    <w:basedOn w:val="DefaultParagraphFont"/>
    <w:rsid w:val="00061F8D"/>
    <w:rPr>
      <w:color w:val="0000FF"/>
      <w:u w:val="single"/>
    </w:rPr>
  </w:style>
  <w:style w:type="paragraph" w:styleId="BodyTextIndent">
    <w:name w:val="Body Text Indent"/>
    <w:basedOn w:val="Normal"/>
    <w:rsid w:val="00061F8D"/>
    <w:pPr>
      <w:ind w:firstLine="720"/>
    </w:pPr>
    <w:rPr>
      <w:color w:val="000000"/>
    </w:rPr>
  </w:style>
  <w:style w:type="paragraph" w:styleId="BalloonText">
    <w:name w:val="Balloon Text"/>
    <w:basedOn w:val="Normal"/>
    <w:semiHidden/>
    <w:rsid w:val="00546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46BE-721A-4452-8E65-69DEC75C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925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 II – NOTICE OF PROPOSED RULEMAKING</vt:lpstr>
    </vt:vector>
  </TitlesOfParts>
  <Company>OCC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 II – NOTICE OF PROPOSED RULEMAKING</dc:title>
  <dc:subject/>
  <dc:creator>Administrator</dc:creator>
  <cp:keywords/>
  <dc:description/>
  <cp:lastModifiedBy>mary.gottlieb</cp:lastModifiedBy>
  <cp:revision>12</cp:revision>
  <cp:lastPrinted>2009-09-17T19:38:00Z</cp:lastPrinted>
  <dcterms:created xsi:type="dcterms:W3CDTF">2013-03-13T17:25:00Z</dcterms:created>
  <dcterms:modified xsi:type="dcterms:W3CDTF">2013-03-13T19:06:00Z</dcterms:modified>
</cp:coreProperties>
</file>